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C729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3EA7BF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D7CFBF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43.020</w:t>
            </w:r>
            <w:r>
              <w:rPr>
                <w:rFonts w:ascii="黑体" w:hAnsi="黑体" w:eastAsia="黑体"/>
                <w:sz w:val="21"/>
                <w:szCs w:val="21"/>
              </w:rPr>
              <w:fldChar w:fldCharType="end"/>
            </w:r>
            <w:bookmarkEnd w:id="0"/>
          </w:p>
        </w:tc>
      </w:tr>
      <w:tr w14:paraId="7EB69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28A04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0C691E4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T 09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C9D74E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0A450A1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4F3AAC4F">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26CEB9F">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2025</w:t>
      </w:r>
      <w:r>
        <w:fldChar w:fldCharType="end"/>
      </w:r>
      <w:bookmarkEnd w:id="7"/>
    </w:p>
    <w:p w14:paraId="3F7B2CE6">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5854728">
      <w:pPr>
        <w:spacing w:line="240" w:lineRule="auto"/>
        <w:rPr>
          <w:rFonts w:ascii="黑体" w:hAnsi="黑体" w:eastAsia="黑体"/>
          <w:kern w:val="0"/>
          <w:sz w:val="10"/>
          <w:szCs w:val="10"/>
        </w:rPr>
      </w:pPr>
      <w:r>
        <w:rPr>
          <w:rFonts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343281A6">
      <w:pPr>
        <w:pStyle w:val="50"/>
        <w:framePr w:w="9639" w:h="6976" w:hRule="exact" w:hSpace="0" w:vSpace="0" w:wrap="around" w:hAnchor="page" w:y="6408"/>
        <w:jc w:val="center"/>
        <w:rPr>
          <w:rFonts w:ascii="黑体" w:hAnsi="黑体" w:eastAsia="黑体"/>
          <w:b w:val="0"/>
          <w:bCs w:val="0"/>
          <w:w w:val="100"/>
        </w:rPr>
      </w:pPr>
    </w:p>
    <w:p w14:paraId="034334C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场（厂）内专用机动车辆使用合规</w:t>
      </w:r>
    </w:p>
    <w:p w14:paraId="29DFDA92">
      <w:pPr>
        <w:pStyle w:val="197"/>
        <w:framePr w:h="6974" w:hRule="exact" w:wrap="around" w:x="1419" w:anchorLock="1"/>
      </w:pPr>
      <w:r>
        <w:rPr>
          <w:rFonts w:hint="eastAsia"/>
        </w:rPr>
        <w:t>管理基本要求</w:t>
      </w:r>
      <w:r>
        <w:fldChar w:fldCharType="end"/>
      </w:r>
      <w:bookmarkEnd w:id="9"/>
    </w:p>
    <w:p w14:paraId="53BBF90F">
      <w:pPr>
        <w:framePr w:w="9639" w:h="6974" w:hRule="exact" w:wrap="around" w:vAnchor="page" w:hAnchor="page" w:x="1419" w:y="6408" w:anchorLock="1"/>
        <w:ind w:left="-1418"/>
        <w:rPr>
          <w:rFonts w:ascii="Times New Roman" w:hAnsi="Times New Roman"/>
        </w:rPr>
      </w:pPr>
    </w:p>
    <w:p w14:paraId="0BEE6F3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Basic requirements for compliance management of the use of specialized motor vehicles in the field (factory)</w:t>
      </w:r>
      <w:r>
        <w:rPr>
          <w:rFonts w:eastAsia="黑体"/>
          <w:szCs w:val="28"/>
        </w:rPr>
        <w:fldChar w:fldCharType="end"/>
      </w:r>
      <w:bookmarkEnd w:id="10"/>
    </w:p>
    <w:p w14:paraId="24D4A780">
      <w:pPr>
        <w:framePr w:w="9639" w:h="6974" w:hRule="exact" w:wrap="around" w:vAnchor="page" w:hAnchor="page" w:x="1419" w:y="6408" w:anchorLock="1"/>
        <w:spacing w:line="760" w:lineRule="exact"/>
        <w:ind w:left="-1418"/>
      </w:pPr>
    </w:p>
    <w:p w14:paraId="2BB63B99">
      <w:pPr>
        <w:pStyle w:val="125"/>
        <w:framePr w:w="9639" w:h="6974" w:hRule="exact" w:wrap="around" w:vAnchor="page" w:hAnchor="page" w:x="1419" w:y="6408" w:anchorLock="1"/>
        <w:textAlignment w:val="bottom"/>
        <w:rPr>
          <w:rFonts w:eastAsia="黑体"/>
          <w:szCs w:val="28"/>
        </w:rPr>
      </w:pPr>
    </w:p>
    <w:p w14:paraId="7191006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B8917B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B3C49C0">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1E7119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5485C6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D8E352F">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77BFEE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3FDA6DF7">
      <w:pPr>
        <w:jc w:val="center"/>
      </w:pPr>
      <w:bookmarkStart w:id="21" w:name="BookMark1"/>
      <w:r>
        <w:rPr>
          <w:rFonts w:hint="eastAsia" w:ascii="黑体" w:hAnsi="黑体" w:eastAsia="黑体" w:cs="黑体"/>
          <w:spacing w:val="320"/>
          <w:sz w:val="32"/>
          <w:szCs w:val="32"/>
        </w:rPr>
        <w:t>目</w:t>
      </w:r>
      <w:r>
        <w:rPr>
          <w:rFonts w:hint="eastAsia" w:ascii="黑体" w:hAnsi="黑体" w:eastAsia="黑体" w:cs="黑体"/>
          <w:sz w:val="32"/>
          <w:szCs w:val="32"/>
        </w:rPr>
        <w:t>次</w:t>
      </w:r>
    </w:p>
    <w:p w14:paraId="1073B082">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w:instrText>
      </w:r>
      <w:r>
        <w:fldChar w:fldCharType="separate"/>
      </w:r>
      <w:r>
        <w:fldChar w:fldCharType="begin"/>
      </w:r>
      <w:r>
        <w:instrText xml:space="preserve"> HYPERLINK \l "_Toc193115851" </w:instrText>
      </w:r>
      <w:r>
        <w:fldChar w:fldCharType="separate"/>
      </w:r>
      <w:r>
        <w:rPr>
          <w:rStyle w:val="32"/>
        </w:rPr>
        <w:t>前言</w:t>
      </w:r>
      <w:r>
        <w:tab/>
      </w:r>
      <w:r>
        <w:fldChar w:fldCharType="begin"/>
      </w:r>
      <w:r>
        <w:instrText xml:space="preserve"> PAGEREF _Toc193115851 \h </w:instrText>
      </w:r>
      <w:r>
        <w:fldChar w:fldCharType="separate"/>
      </w:r>
      <w:r>
        <w:t>II</w:t>
      </w:r>
      <w:r>
        <w:fldChar w:fldCharType="end"/>
      </w:r>
      <w:r>
        <w:fldChar w:fldCharType="end"/>
      </w:r>
    </w:p>
    <w:p w14:paraId="34213095">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"_Toc193115852" </w:instrText>
      </w:r>
      <w:r>
        <w:fldChar w:fldCharType="separate"/>
      </w:r>
      <w:r>
        <w:rPr>
          <w:rStyle w:val="32"/>
        </w:rPr>
        <w:t>1  范围</w:t>
      </w:r>
      <w:r>
        <w:tab/>
      </w:r>
      <w:r>
        <w:fldChar w:fldCharType="begin"/>
      </w:r>
      <w:r>
        <w:instrText xml:space="preserve"> PAGEREF _Toc193115852 \h </w:instrText>
      </w:r>
      <w:r>
        <w:fldChar w:fldCharType="separate"/>
      </w:r>
      <w:r>
        <w:t>1</w:t>
      </w:r>
      <w:r>
        <w:fldChar w:fldCharType="end"/>
      </w:r>
      <w:r>
        <w:fldChar w:fldCharType="end"/>
      </w:r>
    </w:p>
    <w:p w14:paraId="681A1328">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"_Toc193115853" </w:instrText>
      </w:r>
      <w:r>
        <w:fldChar w:fldCharType="separate"/>
      </w:r>
      <w:r>
        <w:rPr>
          <w:rStyle w:val="32"/>
        </w:rPr>
        <w:t>2  规范性引用文件</w:t>
      </w:r>
      <w:r>
        <w:tab/>
      </w:r>
      <w:r>
        <w:fldChar w:fldCharType="begin"/>
      </w:r>
      <w:r>
        <w:instrText xml:space="preserve"> PAGEREF _Toc193115853 \h </w:instrText>
      </w:r>
      <w:r>
        <w:fldChar w:fldCharType="separate"/>
      </w:r>
      <w:r>
        <w:t>1</w:t>
      </w:r>
      <w:r>
        <w:fldChar w:fldCharType="end"/>
      </w:r>
      <w:r>
        <w:fldChar w:fldCharType="end"/>
      </w:r>
    </w:p>
    <w:p w14:paraId="48CDEAC3">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"_Toc193115854" </w:instrText>
      </w:r>
      <w:r>
        <w:fldChar w:fldCharType="separate"/>
      </w:r>
      <w:r>
        <w:rPr>
          <w:rStyle w:val="32"/>
        </w:rPr>
        <w:t>3  术语和定义</w:t>
      </w:r>
      <w:r>
        <w:tab/>
      </w:r>
      <w:r>
        <w:fldChar w:fldCharType="begin"/>
      </w:r>
      <w:r>
        <w:instrText xml:space="preserve"> PAGEREF _Toc193115854 \h </w:instrText>
      </w:r>
      <w:r>
        <w:fldChar w:fldCharType="separate"/>
      </w:r>
      <w:r>
        <w:t>1</w:t>
      </w:r>
      <w:r>
        <w:fldChar w:fldCharType="end"/>
      </w:r>
      <w:r>
        <w:fldChar w:fldCharType="end"/>
      </w:r>
    </w:p>
    <w:p w14:paraId="2A0CF263">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"_Toc193115855" </w:instrText>
      </w:r>
      <w:r>
        <w:fldChar w:fldCharType="separate"/>
      </w:r>
      <w:r>
        <w:rPr>
          <w:rStyle w:val="32"/>
        </w:rPr>
        <w:t>4  总体要求</w:t>
      </w:r>
      <w:r>
        <w:tab/>
      </w:r>
      <w:r>
        <w:fldChar w:fldCharType="begin"/>
      </w:r>
      <w:r>
        <w:instrText xml:space="preserve"> PAGEREF _Toc193115855 \h </w:instrText>
      </w:r>
      <w:r>
        <w:fldChar w:fldCharType="separate"/>
      </w:r>
      <w:r>
        <w:t>2</w:t>
      </w:r>
      <w:r>
        <w:fldChar w:fldCharType="end"/>
      </w:r>
      <w:r>
        <w:fldChar w:fldCharType="end"/>
      </w:r>
    </w:p>
    <w:p w14:paraId="7B6F94F8">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"_Toc193115856" </w:instrText>
      </w:r>
      <w:r>
        <w:fldChar w:fldCharType="separate"/>
      </w:r>
      <w:r>
        <w:rPr>
          <w:rStyle w:val="32"/>
        </w:rPr>
        <w:t>5  人员管理</w:t>
      </w:r>
      <w:r>
        <w:tab/>
      </w:r>
      <w:r>
        <w:fldChar w:fldCharType="begin"/>
      </w:r>
      <w:r>
        <w:instrText xml:space="preserve"> PAGEREF _Toc193115856 \h </w:instrText>
      </w:r>
      <w:r>
        <w:fldChar w:fldCharType="separate"/>
      </w:r>
      <w:r>
        <w:t>2</w:t>
      </w:r>
      <w:r>
        <w:fldChar w:fldCharType="end"/>
      </w:r>
      <w:r>
        <w:fldChar w:fldCharType="end"/>
      </w:r>
    </w:p>
    <w:p w14:paraId="2FBB7FD7">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"_Toc193115857" </w:instrText>
      </w:r>
      <w:r>
        <w:fldChar w:fldCharType="separate"/>
      </w:r>
      <w:r>
        <w:rPr>
          <w:rStyle w:val="32"/>
        </w:rPr>
        <w:t>6  车辆管理</w:t>
      </w:r>
      <w:r>
        <w:tab/>
      </w:r>
      <w:r>
        <w:fldChar w:fldCharType="begin"/>
      </w:r>
      <w:r>
        <w:instrText xml:space="preserve"> PAGEREF _Toc193115857 \h </w:instrText>
      </w:r>
      <w:r>
        <w:fldChar w:fldCharType="separate"/>
      </w:r>
      <w:r>
        <w:t>3</w:t>
      </w:r>
      <w:r>
        <w:fldChar w:fldCharType="end"/>
      </w:r>
      <w:r>
        <w:fldChar w:fldCharType="end"/>
      </w:r>
    </w:p>
    <w:p w14:paraId="47B27B64">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"_Toc193115862" </w:instrText>
      </w:r>
      <w:r>
        <w:fldChar w:fldCharType="separate"/>
      </w:r>
      <w:r>
        <w:rPr>
          <w:rStyle w:val="32"/>
        </w:rPr>
        <w:t>7  运行环境</w:t>
      </w:r>
      <w:r>
        <w:tab/>
      </w:r>
      <w:r>
        <w:fldChar w:fldCharType="begin"/>
      </w:r>
      <w:r>
        <w:instrText xml:space="preserve"> PAGEREF _Toc193115862 \h </w:instrText>
      </w:r>
      <w:r>
        <w:fldChar w:fldCharType="separate"/>
      </w:r>
      <w:r>
        <w:t>4</w:t>
      </w:r>
      <w:r>
        <w:fldChar w:fldCharType="end"/>
      </w:r>
      <w:r>
        <w:fldChar w:fldCharType="end"/>
      </w:r>
    </w:p>
    <w:p w14:paraId="74EEEA78">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"_Toc193115863" </w:instrText>
      </w:r>
      <w:r>
        <w:fldChar w:fldCharType="separate"/>
      </w:r>
      <w:r>
        <w:rPr>
          <w:rStyle w:val="32"/>
        </w:rPr>
        <w:t>8  安全制度管理</w:t>
      </w:r>
      <w:r>
        <w:tab/>
      </w:r>
      <w:r>
        <w:fldChar w:fldCharType="begin"/>
      </w:r>
      <w:r>
        <w:instrText xml:space="preserve"> PAGEREF _Toc193115863 \h </w:instrText>
      </w:r>
      <w:r>
        <w:fldChar w:fldCharType="separate"/>
      </w:r>
      <w:r>
        <w:t>4</w:t>
      </w:r>
      <w:r>
        <w:fldChar w:fldCharType="end"/>
      </w:r>
      <w:r>
        <w:fldChar w:fldCharType="end"/>
      </w:r>
    </w:p>
    <w:p w14:paraId="4FEDDC5E">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"_Toc193115864" </w:instrText>
      </w:r>
      <w:r>
        <w:fldChar w:fldCharType="separate"/>
      </w:r>
      <w:r>
        <w:rPr>
          <w:rStyle w:val="32"/>
        </w:rPr>
        <w:t>9  自行检查与维护保养</w:t>
      </w:r>
      <w:r>
        <w:tab/>
      </w:r>
      <w:r>
        <w:fldChar w:fldCharType="begin"/>
      </w:r>
      <w:r>
        <w:instrText xml:space="preserve"> PAGEREF _Toc193115864 \h </w:instrText>
      </w:r>
      <w:r>
        <w:fldChar w:fldCharType="separate"/>
      </w:r>
      <w:r>
        <w:t>4</w:t>
      </w:r>
      <w:r>
        <w:fldChar w:fldCharType="end"/>
      </w:r>
      <w:r>
        <w:fldChar w:fldCharType="end"/>
      </w:r>
    </w:p>
    <w:p w14:paraId="4DB1E448">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"_Toc193115865" </w:instrText>
      </w:r>
      <w:r>
        <w:fldChar w:fldCharType="separate"/>
      </w:r>
      <w:r>
        <w:rPr>
          <w:rStyle w:val="32"/>
        </w:rPr>
        <w:t>10  定期（首次）检验</w:t>
      </w:r>
      <w:r>
        <w:tab/>
      </w:r>
      <w:r>
        <w:fldChar w:fldCharType="begin"/>
      </w:r>
      <w:r>
        <w:instrText xml:space="preserve"> PAGEREF _Toc193115865 \h </w:instrText>
      </w:r>
      <w:r>
        <w:fldChar w:fldCharType="separate"/>
      </w:r>
      <w:r>
        <w:t>5</w:t>
      </w:r>
      <w:r>
        <w:fldChar w:fldCharType="end"/>
      </w:r>
      <w:r>
        <w:fldChar w:fldCharType="end"/>
      </w:r>
    </w:p>
    <w:p w14:paraId="27EF8292">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"_Toc193115866" </w:instrText>
      </w:r>
      <w:r>
        <w:fldChar w:fldCharType="separate"/>
      </w:r>
      <w:r>
        <w:rPr>
          <w:rStyle w:val="32"/>
        </w:rPr>
        <w:t>11  风险管控和隐患排查治理</w:t>
      </w:r>
      <w:r>
        <w:tab/>
      </w:r>
      <w:r>
        <w:fldChar w:fldCharType="begin"/>
      </w:r>
      <w:r>
        <w:instrText xml:space="preserve"> PAGEREF _Toc193115866 \h </w:instrText>
      </w:r>
      <w:r>
        <w:fldChar w:fldCharType="separate"/>
      </w:r>
      <w:r>
        <w:t>5</w:t>
      </w:r>
      <w:r>
        <w:fldChar w:fldCharType="end"/>
      </w:r>
      <w:r>
        <w:fldChar w:fldCharType="end"/>
      </w:r>
    </w:p>
    <w:p w14:paraId="27AB407C">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"_Toc193115867" </w:instrText>
      </w:r>
      <w:r>
        <w:fldChar w:fldCharType="separate"/>
      </w:r>
      <w:r>
        <w:rPr>
          <w:rStyle w:val="32"/>
        </w:rPr>
        <w:t>12  事故与应急管理</w:t>
      </w:r>
      <w:r>
        <w:tab/>
      </w:r>
      <w:r>
        <w:fldChar w:fldCharType="begin"/>
      </w:r>
      <w:r>
        <w:instrText xml:space="preserve"> PAGEREF _Toc193115867 \h </w:instrText>
      </w:r>
      <w:r>
        <w:fldChar w:fldCharType="separate"/>
      </w:r>
      <w:r>
        <w:t>5</w:t>
      </w:r>
      <w:r>
        <w:fldChar w:fldCharType="end"/>
      </w:r>
      <w:r>
        <w:fldChar w:fldCharType="end"/>
      </w:r>
    </w:p>
    <w:p w14:paraId="11F1A5E5">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"_Toc193115868" </w:instrText>
      </w:r>
      <w:r>
        <w:fldChar w:fldCharType="separate"/>
      </w:r>
      <w:r>
        <w:rPr>
          <w:rStyle w:val="32"/>
        </w:rPr>
        <w:t>13  安全技术档案管理</w:t>
      </w:r>
      <w:r>
        <w:tab/>
      </w:r>
      <w:r>
        <w:fldChar w:fldCharType="begin"/>
      </w:r>
      <w:r>
        <w:instrText xml:space="preserve"> PAGEREF _Toc193115868 \h </w:instrText>
      </w:r>
      <w:r>
        <w:fldChar w:fldCharType="separate"/>
      </w:r>
      <w:r>
        <w:t>6</w:t>
      </w:r>
      <w:r>
        <w:fldChar w:fldCharType="end"/>
      </w:r>
      <w:r>
        <w:fldChar w:fldCharType="end"/>
      </w:r>
    </w:p>
    <w:p w14:paraId="23F7AF75">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"_Toc193115869" </w:instrText>
      </w:r>
      <w:r>
        <w:fldChar w:fldCharType="separate"/>
      </w:r>
      <w:r>
        <w:rPr>
          <w:rStyle w:val="32"/>
        </w:rPr>
        <w:t>附录A（资料性）</w:t>
      </w:r>
      <w:bookmarkStart w:id="22" w:name="OLE_LINK88"/>
      <w:r>
        <w:rPr>
          <w:rStyle w:val="32"/>
        </w:rPr>
        <w:t xml:space="preserve">  </w:t>
      </w:r>
      <w:bookmarkEnd w:id="22"/>
      <w:r>
        <w:rPr>
          <w:rStyle w:val="32"/>
        </w:rPr>
        <w:t>场车涉及主要法律法规、安全技术规范和标准</w:t>
      </w:r>
      <w:r>
        <w:tab/>
      </w:r>
      <w:r>
        <w:fldChar w:fldCharType="begin"/>
      </w:r>
      <w:r>
        <w:instrText xml:space="preserve"> PAGEREF _Toc193115869 \h </w:instrText>
      </w:r>
      <w:r>
        <w:fldChar w:fldCharType="separate"/>
      </w:r>
      <w:r>
        <w:t>7</w:t>
      </w:r>
      <w:r>
        <w:fldChar w:fldCharType="end"/>
      </w:r>
      <w:r>
        <w:fldChar w:fldCharType="end"/>
      </w:r>
    </w:p>
    <w:p w14:paraId="6C7ED75C">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"_Toc193115870" </w:instrText>
      </w:r>
      <w:r>
        <w:fldChar w:fldCharType="separate"/>
      </w:r>
      <w:r>
        <w:rPr>
          <w:rStyle w:val="32"/>
        </w:rPr>
        <w:t>附录B（资料性）  叉车自行检查项目表</w:t>
      </w:r>
      <w:r>
        <w:tab/>
      </w:r>
      <w:r>
        <w:fldChar w:fldCharType="begin"/>
      </w:r>
      <w:r>
        <w:instrText xml:space="preserve"> PAGEREF _Toc193115870 \h </w:instrText>
      </w:r>
      <w:r>
        <w:fldChar w:fldCharType="separate"/>
      </w:r>
      <w:r>
        <w:t>10</w:t>
      </w:r>
      <w:r>
        <w:fldChar w:fldCharType="end"/>
      </w:r>
      <w:r>
        <w:fldChar w:fldCharType="end"/>
      </w:r>
    </w:p>
    <w:p w14:paraId="499CFE20">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"_Toc193115871" </w:instrText>
      </w:r>
      <w:r>
        <w:fldChar w:fldCharType="separate"/>
      </w:r>
      <w:r>
        <w:rPr>
          <w:rStyle w:val="32"/>
        </w:rPr>
        <w:t>附录C（</w:t>
      </w:r>
      <w:r>
        <w:rPr>
          <w:rStyle w:val="32"/>
          <w:rFonts w:hint="eastAsia"/>
        </w:rPr>
        <w:t>资料</w:t>
      </w:r>
      <w:r>
        <w:rPr>
          <w:rStyle w:val="32"/>
        </w:rPr>
        <w:t>性）  非公路用旅游观光车辆自行检查项目表</w:t>
      </w:r>
      <w:r>
        <w:tab/>
      </w:r>
      <w:r>
        <w:fldChar w:fldCharType="begin"/>
      </w:r>
      <w:r>
        <w:instrText xml:space="preserve"> PAGEREF _Toc193115871 \h </w:instrText>
      </w:r>
      <w:r>
        <w:fldChar w:fldCharType="separate"/>
      </w:r>
      <w:r>
        <w:t>16</w:t>
      </w:r>
      <w:r>
        <w:fldChar w:fldCharType="end"/>
      </w:r>
      <w:r>
        <w:fldChar w:fldCharType="end"/>
      </w:r>
    </w:p>
    <w:p w14:paraId="010C7199">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"_Toc193115872" </w:instrText>
      </w:r>
      <w:r>
        <w:fldChar w:fldCharType="separate"/>
      </w:r>
      <w:r>
        <w:rPr>
          <w:rStyle w:val="32"/>
        </w:rPr>
        <w:t>附录D（资料性）  场车使用合规管理检查表</w:t>
      </w:r>
      <w:r>
        <w:tab/>
      </w:r>
      <w:r>
        <w:fldChar w:fldCharType="begin"/>
      </w:r>
      <w:r>
        <w:instrText xml:space="preserve"> PAGEREF _Toc193115872 \h </w:instrText>
      </w:r>
      <w:r>
        <w:fldChar w:fldCharType="separate"/>
      </w:r>
      <w:r>
        <w:t>21</w:t>
      </w:r>
      <w:r>
        <w:fldChar w:fldCharType="end"/>
      </w:r>
      <w:r>
        <w:fldChar w:fldCharType="end"/>
      </w:r>
    </w:p>
    <w:p w14:paraId="0EDD5960">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"_Toc193115873" </w:instrText>
      </w:r>
      <w:r>
        <w:fldChar w:fldCharType="separate"/>
      </w:r>
      <w:r>
        <w:rPr>
          <w:rStyle w:val="32"/>
        </w:rPr>
        <w:t>附录E（资料性）  使用单位检验前的准备清单</w:t>
      </w:r>
      <w:r>
        <w:tab/>
      </w:r>
      <w:r>
        <w:fldChar w:fldCharType="begin"/>
      </w:r>
      <w:r>
        <w:instrText xml:space="preserve"> PAGEREF _Toc193115873 \h </w:instrText>
      </w:r>
      <w:r>
        <w:fldChar w:fldCharType="separate"/>
      </w:r>
      <w:r>
        <w:t>23</w:t>
      </w:r>
      <w:r>
        <w:fldChar w:fldCharType="end"/>
      </w:r>
      <w:r>
        <w:fldChar w:fldCharType="end"/>
      </w:r>
    </w:p>
    <w:p w14:paraId="621B9E80">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"_Toc193115874" </w:instrText>
      </w:r>
      <w:r>
        <w:fldChar w:fldCharType="separate"/>
      </w:r>
      <w:r>
        <w:rPr>
          <w:rStyle w:val="32"/>
        </w:rPr>
        <w:t>附录F（资料性）  场车安全风险管控清单</w:t>
      </w:r>
      <w:r>
        <w:tab/>
      </w:r>
      <w:r>
        <w:fldChar w:fldCharType="begin"/>
      </w:r>
      <w:r>
        <w:instrText xml:space="preserve"> PAGEREF _Toc193115874 \h </w:instrText>
      </w:r>
      <w:r>
        <w:fldChar w:fldCharType="separate"/>
      </w:r>
      <w:r>
        <w:t>25</w:t>
      </w:r>
      <w:r>
        <w:fldChar w:fldCharType="end"/>
      </w:r>
      <w:r>
        <w:fldChar w:fldCharType="end"/>
      </w:r>
    </w:p>
    <w:p w14:paraId="3505484B">
      <w:pPr>
        <w:pStyle w:val="19"/>
        <w:tabs>
          <w:tab w:val="right" w:leader="dot" w:pos="9344"/>
        </w:tabs>
        <w:rPr>
          <w:rFonts w:asciiTheme="minorHAnsi" w:hAnsiTheme="minorHAnsi" w:eastAsiaTheme="minorEastAsia" w:cstheme="minorBidi"/>
          <w:szCs w:val="22"/>
        </w:rPr>
      </w:pPr>
      <w:r>
        <w:fldChar w:fldCharType="begin"/>
      </w:r>
      <w:r>
        <w:instrText xml:space="preserve"> HYPERLINK \l "_Toc193115875" </w:instrText>
      </w:r>
      <w:r>
        <w:fldChar w:fldCharType="separate"/>
      </w:r>
      <w:r>
        <w:rPr>
          <w:rStyle w:val="32"/>
        </w:rPr>
        <w:t>参考文献</w:t>
      </w:r>
      <w:r>
        <w:tab/>
      </w:r>
      <w:r>
        <w:fldChar w:fldCharType="begin"/>
      </w:r>
      <w:r>
        <w:instrText xml:space="preserve"> PAGEREF _Toc193115875 \h </w:instrText>
      </w:r>
      <w:r>
        <w:fldChar w:fldCharType="separate"/>
      </w:r>
      <w:r>
        <w:t>27</w:t>
      </w:r>
      <w:r>
        <w:fldChar w:fldCharType="end"/>
      </w:r>
      <w:r>
        <w:fldChar w:fldCharType="end"/>
      </w:r>
    </w:p>
    <w:p w14:paraId="7E7DE6EB">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5555608E">
      <w:pPr>
        <w:pStyle w:val="89"/>
        <w:spacing w:before="900" w:after="468"/>
      </w:pPr>
      <w:bookmarkStart w:id="23" w:name="_Toc193115851"/>
      <w:bookmarkStart w:id="24" w:name="BookMark2"/>
      <w:r>
        <w:rPr>
          <w:spacing w:val="320"/>
        </w:rPr>
        <w:t>前</w:t>
      </w:r>
      <w:r>
        <w:t>言</w:t>
      </w:r>
      <w:bookmarkEnd w:id="23"/>
    </w:p>
    <w:p w14:paraId="5F5F5DE5">
      <w:pPr>
        <w:pStyle w:val="56"/>
        <w:ind w:firstLine="420"/>
      </w:pPr>
      <w:r>
        <w:rPr>
          <w:rFonts w:hint="eastAsia"/>
        </w:rPr>
        <w:t>本文件按照GB/T 1.1—2020《标准化工作导则  第1部分：标准化文件的结构和起草规则》的规定起草。</w:t>
      </w:r>
    </w:p>
    <w:p w14:paraId="20023204">
      <w:pPr>
        <w:pStyle w:val="56"/>
        <w:ind w:firstLine="420"/>
      </w:pPr>
      <w:r>
        <w:rPr>
          <w:rFonts w:hint="eastAsia"/>
        </w:rPr>
        <w:t>请注意本文件的某些内容可能涉及专利。本文件的发布机构不承担识别专利的责任。</w:t>
      </w:r>
    </w:p>
    <w:p w14:paraId="74E8744E">
      <w:pPr>
        <w:pStyle w:val="56"/>
        <w:ind w:firstLine="420"/>
      </w:pPr>
      <w:r>
        <w:rPr>
          <w:rFonts w:hint="eastAsia"/>
        </w:rPr>
        <w:t>本文件由芜湖市特种设备检验研究院提出。</w:t>
      </w:r>
    </w:p>
    <w:p w14:paraId="55FDEFB4">
      <w:pPr>
        <w:pStyle w:val="56"/>
        <w:ind w:firstLine="420"/>
      </w:pPr>
      <w:r>
        <w:rPr>
          <w:rFonts w:hint="eastAsia"/>
        </w:rPr>
        <w:t>本文件由安徽省市场监督管理局归口。</w:t>
      </w:r>
    </w:p>
    <w:p w14:paraId="4D722D9A">
      <w:pPr>
        <w:pStyle w:val="56"/>
        <w:ind w:firstLine="420"/>
      </w:pPr>
      <w:r>
        <w:rPr>
          <w:rFonts w:hint="eastAsia"/>
        </w:rPr>
        <w:t>本文件起草单位：芜湖市特种设备检验研究院、格力电器（芜湖）有限公司。</w:t>
      </w:r>
    </w:p>
    <w:p w14:paraId="450A5BD3">
      <w:pPr>
        <w:pStyle w:val="56"/>
        <w:ind w:firstLine="420"/>
      </w:pPr>
      <w:r>
        <w:rPr>
          <w:rFonts w:hint="eastAsia"/>
        </w:rPr>
        <w:t>本文件主要起草人：</w:t>
      </w:r>
    </w:p>
    <w:p w14:paraId="60544F31">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4FF3B319">
      <w:pPr>
        <w:spacing w:line="20" w:lineRule="exact"/>
        <w:jc w:val="center"/>
        <w:rPr>
          <w:rFonts w:ascii="黑体" w:hAnsi="黑体" w:eastAsia="黑体"/>
          <w:sz w:val="32"/>
          <w:szCs w:val="32"/>
        </w:rPr>
      </w:pPr>
      <w:bookmarkStart w:id="25" w:name="BookMark4"/>
    </w:p>
    <w:p w14:paraId="51AD63F2">
      <w:pPr>
        <w:spacing w:line="20" w:lineRule="exact"/>
        <w:jc w:val="center"/>
        <w:rPr>
          <w:rFonts w:ascii="黑体" w:hAnsi="黑体" w:eastAsia="黑体"/>
          <w:sz w:val="32"/>
          <w:szCs w:val="32"/>
        </w:rPr>
      </w:pPr>
    </w:p>
    <w:sdt>
      <w:sdtPr>
        <w:tag w:val="NEW_STAND_NAME"/>
        <w:id w:val="595910757"/>
        <w:lock w:val="sdtLocked"/>
        <w:placeholder>
          <w:docPart w:val="F7FA16BE349B4A659D58CACBD676D6F1"/>
        </w:placeholder>
      </w:sdtPr>
      <w:sdtContent>
        <w:p w14:paraId="14D5C3D4">
          <w:pPr>
            <w:pStyle w:val="177"/>
            <w:spacing w:beforeLines="100" w:afterLines="1"/>
          </w:pPr>
          <w:bookmarkStart w:id="26" w:name="NEW_STAND_NAME"/>
          <w:r>
            <w:rPr>
              <w:rFonts w:hint="eastAsia"/>
            </w:rPr>
            <w:t>场（厂）内专用机动车辆使用合规</w:t>
          </w:r>
        </w:p>
        <w:p w14:paraId="759C5CB7">
          <w:pPr>
            <w:pStyle w:val="177"/>
            <w:spacing w:beforeLines="1" w:after="680"/>
          </w:pPr>
          <w:r>
            <w:rPr>
              <w:rFonts w:hint="eastAsia"/>
            </w:rPr>
            <w:t>管理基本要求</w:t>
          </w:r>
        </w:p>
      </w:sdtContent>
    </w:sdt>
    <w:bookmarkEnd w:id="26"/>
    <w:p w14:paraId="22F3448E">
      <w:pPr>
        <w:pStyle w:val="104"/>
        <w:spacing w:before="312" w:after="312"/>
      </w:pPr>
      <w:bookmarkStart w:id="27" w:name="_Toc24884211"/>
      <w:bookmarkStart w:id="28" w:name="_Toc26986771"/>
      <w:bookmarkStart w:id="29" w:name="_Toc26718930"/>
      <w:bookmarkStart w:id="30" w:name="_Toc97191423"/>
      <w:bookmarkStart w:id="31" w:name="_Toc24884218"/>
      <w:bookmarkStart w:id="32" w:name="_Toc17233325"/>
      <w:bookmarkStart w:id="33" w:name="_Toc26986530"/>
      <w:bookmarkStart w:id="34" w:name="_Toc193115852"/>
      <w:bookmarkStart w:id="35" w:name="_Toc17233333"/>
      <w:bookmarkStart w:id="36" w:name="_Toc26648465"/>
      <w:r>
        <w:rPr>
          <w:rFonts w:hint="eastAsia"/>
        </w:rPr>
        <w:t>范围</w:t>
      </w:r>
      <w:bookmarkEnd w:id="27"/>
      <w:bookmarkEnd w:id="28"/>
      <w:bookmarkEnd w:id="29"/>
      <w:bookmarkEnd w:id="30"/>
      <w:bookmarkEnd w:id="31"/>
      <w:bookmarkEnd w:id="32"/>
      <w:bookmarkEnd w:id="33"/>
      <w:bookmarkEnd w:id="34"/>
      <w:bookmarkEnd w:id="35"/>
      <w:bookmarkEnd w:id="36"/>
    </w:p>
    <w:p w14:paraId="18937D57">
      <w:pPr>
        <w:pStyle w:val="56"/>
        <w:ind w:firstLine="420"/>
      </w:pPr>
      <w:bookmarkStart w:id="37" w:name="_Toc17233334"/>
      <w:bookmarkStart w:id="38" w:name="_Toc26648466"/>
      <w:bookmarkStart w:id="39" w:name="_Toc17233326"/>
      <w:bookmarkStart w:id="40" w:name="_Toc24884219"/>
      <w:bookmarkStart w:id="41" w:name="_Toc24884212"/>
      <w:r>
        <w:rPr>
          <w:rFonts w:hint="eastAsia"/>
        </w:rPr>
        <w:t>本文件规定了场（厂）内专用机动车辆（以下简称场车）合规管理的总体要求、人员管理、车辆管理、运行环境、安全制度管理、自行检查与维护保养、定期（首次）检验、风险管控和隐患排查治理、事故与应急管理、安全技术档案管理。</w:t>
      </w:r>
    </w:p>
    <w:p w14:paraId="24E9D595">
      <w:pPr>
        <w:pStyle w:val="56"/>
        <w:ind w:firstLine="420"/>
      </w:pPr>
      <w:r>
        <w:rPr>
          <w:rFonts w:hint="eastAsia"/>
        </w:rPr>
        <w:t>本文件适用于在安徽省内使用且纳入特种设备监管范围的场车使用的合规管理。</w:t>
      </w:r>
    </w:p>
    <w:p w14:paraId="148B1D77">
      <w:pPr>
        <w:pStyle w:val="104"/>
        <w:spacing w:before="312" w:after="312"/>
      </w:pPr>
      <w:bookmarkStart w:id="42" w:name="_Toc97191424"/>
      <w:bookmarkStart w:id="43" w:name="_Toc26986531"/>
      <w:bookmarkStart w:id="44" w:name="_Toc193115853"/>
      <w:bookmarkStart w:id="45" w:name="_Toc26718931"/>
      <w:bookmarkStart w:id="46" w:name="_Toc26986772"/>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3F5C39AC25944029AAB7592E46C4E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BF1A33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C4DFE1">
      <w:pPr>
        <w:pStyle w:val="56"/>
        <w:ind w:firstLine="420"/>
      </w:pPr>
      <w:r>
        <w:rPr>
          <w:rFonts w:hint="eastAsia"/>
        </w:rPr>
        <w:t>TSG 08</w:t>
      </w:r>
      <w:r>
        <w:rPr>
          <w:rFonts w:hint="eastAsia"/>
          <w:lang w:val="en-US" w:eastAsia="zh-CN"/>
        </w:rPr>
        <w:t xml:space="preserve"> </w:t>
      </w:r>
      <w:r>
        <w:rPr>
          <w:rFonts w:hint="eastAsia"/>
        </w:rPr>
        <w:t>特种设备使用管理规则</w:t>
      </w:r>
    </w:p>
    <w:p w14:paraId="5EF12613">
      <w:pPr>
        <w:pStyle w:val="56"/>
        <w:ind w:firstLine="420"/>
      </w:pPr>
      <w:r>
        <w:rPr>
          <w:rFonts w:hint="eastAsia"/>
        </w:rPr>
        <w:t>TSG 81-2022 场（厂）内专用机动车辆安全技术规程</w:t>
      </w:r>
    </w:p>
    <w:p w14:paraId="3CC9CB45">
      <w:pPr>
        <w:pStyle w:val="56"/>
        <w:ind w:firstLine="420"/>
      </w:pPr>
      <w:r>
        <w:rPr>
          <w:rFonts w:hint="eastAsia"/>
        </w:rPr>
        <w:t>GB 45067-2024</w:t>
      </w:r>
      <w:r>
        <w:rPr>
          <w:rFonts w:hint="eastAsia"/>
          <w:lang w:val="en-US" w:eastAsia="zh-CN"/>
        </w:rPr>
        <w:t xml:space="preserve"> </w:t>
      </w:r>
      <w:r>
        <w:rPr>
          <w:rFonts w:hint="eastAsia"/>
        </w:rPr>
        <w:t>特种设备重大事故隐患判定准则</w:t>
      </w:r>
    </w:p>
    <w:p w14:paraId="48FEAB21">
      <w:pPr>
        <w:pStyle w:val="56"/>
        <w:ind w:firstLine="420"/>
      </w:pPr>
      <w:r>
        <w:rPr>
          <w:rFonts w:hint="eastAsia"/>
        </w:rPr>
        <w:t>GB/T 33942</w:t>
      </w:r>
      <w:r>
        <w:rPr>
          <w:rFonts w:hint="eastAsia"/>
          <w:lang w:val="en-US" w:eastAsia="zh-CN"/>
        </w:rPr>
        <w:t xml:space="preserve"> </w:t>
      </w:r>
      <w:r>
        <w:rPr>
          <w:rFonts w:hint="eastAsia"/>
        </w:rPr>
        <w:t>特种设备事故应急预案编制导则</w:t>
      </w:r>
    </w:p>
    <w:p w14:paraId="3169504B">
      <w:pPr>
        <w:pStyle w:val="56"/>
        <w:ind w:firstLine="420"/>
      </w:pPr>
      <w:r>
        <w:rPr>
          <w:rFonts w:hint="eastAsia"/>
        </w:rPr>
        <w:t>GB/T 35770-2022</w:t>
      </w:r>
      <w:r>
        <w:rPr>
          <w:rFonts w:hint="eastAsia"/>
          <w:lang w:val="en-US" w:eastAsia="zh-CN"/>
        </w:rPr>
        <w:t xml:space="preserve"> </w:t>
      </w:r>
      <w:r>
        <w:rPr>
          <w:rFonts w:hint="eastAsia"/>
        </w:rPr>
        <w:t>合规管理体系 要求及使用指南</w:t>
      </w:r>
    </w:p>
    <w:p w14:paraId="15D83847">
      <w:pPr>
        <w:pStyle w:val="56"/>
        <w:ind w:firstLine="420"/>
      </w:pPr>
      <w:r>
        <w:rPr>
          <w:rFonts w:hint="eastAsia"/>
        </w:rPr>
        <w:t>T/CPASE GT 011 特种设备风险管控导则</w:t>
      </w:r>
    </w:p>
    <w:p w14:paraId="6E8B4104">
      <w:pPr>
        <w:pStyle w:val="56"/>
        <w:ind w:firstLine="420"/>
      </w:pPr>
      <w:r>
        <w:rPr>
          <w:rFonts w:hint="eastAsia"/>
        </w:rPr>
        <w:t>《特种设备使用单位落实使用安全主体责任监督管理规定》（国家市场监督管理总局令第74号）</w:t>
      </w:r>
    </w:p>
    <w:p w14:paraId="3208C07B">
      <w:pPr>
        <w:pStyle w:val="104"/>
        <w:spacing w:before="312" w:after="312"/>
      </w:pPr>
      <w:bookmarkStart w:id="47" w:name="_Toc97191425"/>
      <w:bookmarkStart w:id="48" w:name="_Toc193115854"/>
      <w:r>
        <w:rPr>
          <w:rFonts w:hint="eastAsia"/>
          <w:szCs w:val="21"/>
        </w:rPr>
        <w:t>术语和定义</w:t>
      </w:r>
      <w:bookmarkEnd w:id="47"/>
      <w:bookmarkEnd w:id="48"/>
    </w:p>
    <w:sdt>
      <w:sdtPr>
        <w:id w:val="-1909835108"/>
        <w:placeholder>
          <w:docPart w:val="FB36DBA0BE6149ED811EB1C7ECD2384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E6E272">
          <w:pPr>
            <w:pStyle w:val="56"/>
            <w:ind w:firstLine="420"/>
          </w:pPr>
          <w:bookmarkStart w:id="49" w:name="_Toc26986532"/>
          <w:bookmarkEnd w:id="49"/>
          <w:r>
            <w:rPr>
              <w:rFonts w:hint="eastAsia"/>
            </w:rPr>
            <w:t>TSG 81-2022、《特种设备使用单位落实使用安全主体责任监督管理规定》（国家市场监督管理总局令第74号）</w:t>
          </w:r>
          <w:r>
            <w:t>界定的以及下列术语和定义适用于本文件。</w:t>
          </w:r>
        </w:p>
      </w:sdtContent>
    </w:sdt>
    <w:p w14:paraId="09BCB614">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合规管理</w:t>
      </w:r>
      <w:r>
        <w:rPr>
          <w:rFonts w:hint="eastAsia" w:ascii="Times New Roman" w:eastAsia="黑体"/>
        </w:rPr>
        <w:t>Compliance management</w:t>
      </w:r>
    </w:p>
    <w:p w14:paraId="405B9E59">
      <w:pPr>
        <w:pStyle w:val="56"/>
        <w:ind w:firstLine="420"/>
      </w:pPr>
      <w:r>
        <w:rPr>
          <w:rFonts w:hint="eastAsia"/>
        </w:rPr>
        <w:t>使用单位以有效管控合规风险为目的，按照必须执行的法律法规、安全技术规范、标准、政策文件，以及自我承诺遵守的标准、安全制度和管理制度（含企业标准），在场车使用过程中所开展的制度（体系）建设、流程管理、风险识别管控等有组织、有计划的管理活动。</w:t>
      </w:r>
    </w:p>
    <w:p w14:paraId="409BF88E">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合规义务</w:t>
      </w:r>
      <w:r>
        <w:rPr>
          <w:rFonts w:hint="eastAsia" w:ascii="Times New Roman" w:eastAsia="黑体"/>
        </w:rPr>
        <w:t>Compliance obligations</w:t>
      </w:r>
    </w:p>
    <w:p w14:paraId="6A97A8EE">
      <w:pPr>
        <w:pStyle w:val="56"/>
        <w:ind w:firstLine="420"/>
      </w:pPr>
      <w:r>
        <w:rPr>
          <w:rFonts w:hint="eastAsia"/>
        </w:rPr>
        <w:t>组织强制性的必须遵守的要求，以及组织自愿选择遵守的要求。</w:t>
      </w:r>
    </w:p>
    <w:p w14:paraId="68A6E19C">
      <w:pPr>
        <w:pStyle w:val="56"/>
        <w:ind w:firstLine="420"/>
      </w:pPr>
      <w:r>
        <w:rPr>
          <w:rFonts w:hint="eastAsia"/>
        </w:rPr>
        <w:t>[来源：GB/T 35770-2022,3.25]</w:t>
      </w:r>
    </w:p>
    <w:p w14:paraId="5513648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合规</w:t>
      </w:r>
      <w:r>
        <w:rPr>
          <w:rFonts w:ascii="Times New Roman" w:eastAsia="黑体"/>
        </w:rPr>
        <w:t>Compliance</w:t>
      </w:r>
    </w:p>
    <w:p w14:paraId="79581E37">
      <w:pPr>
        <w:pStyle w:val="56"/>
        <w:ind w:firstLine="420"/>
      </w:pPr>
      <w:r>
        <w:rPr>
          <w:rFonts w:hint="eastAsia"/>
        </w:rPr>
        <w:t>履行组织的全部合规义务。</w:t>
      </w:r>
    </w:p>
    <w:p w14:paraId="1F9DF029">
      <w:pPr>
        <w:pStyle w:val="56"/>
        <w:ind w:firstLine="420"/>
      </w:pPr>
      <w:r>
        <w:rPr>
          <w:rFonts w:hint="eastAsia"/>
        </w:rPr>
        <w:t>[来源：GB/T 35770-2022，3.26]</w:t>
      </w:r>
    </w:p>
    <w:p w14:paraId="343D62C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维护保养</w:t>
      </w:r>
      <w:r>
        <w:rPr>
          <w:rFonts w:hint="eastAsia" w:ascii="Times New Roman" w:eastAsia="黑体"/>
        </w:rPr>
        <w:t>Maintenance and upkeep</w:t>
      </w:r>
    </w:p>
    <w:p w14:paraId="187E2D4C">
      <w:pPr>
        <w:pStyle w:val="56"/>
        <w:ind w:firstLine="420"/>
      </w:pPr>
      <w:r>
        <w:rPr>
          <w:rFonts w:hint="eastAsia"/>
        </w:rPr>
        <w:t>通过设备部件拆解，对其主要受力构件、安全保护装置、工作机构、操纵机构、电气（液压、气动）控制系统等的清洁、润滑、检查、调整、更换易损件和失效的零部件，但不改变场车的原主参数或者载荷曲线的活动。</w:t>
      </w:r>
    </w:p>
    <w:p w14:paraId="72E1D8BE">
      <w:pPr>
        <w:pStyle w:val="104"/>
        <w:spacing w:before="312" w:after="312"/>
      </w:pPr>
      <w:bookmarkStart w:id="50" w:name="_Toc193115855"/>
      <w:r>
        <w:rPr>
          <w:rFonts w:hint="eastAsia"/>
        </w:rPr>
        <w:t>总体要求</w:t>
      </w:r>
      <w:bookmarkEnd w:id="50"/>
    </w:p>
    <w:p w14:paraId="6FA0BEAB">
      <w:pPr>
        <w:pStyle w:val="162"/>
      </w:pPr>
      <w:r>
        <w:rPr>
          <w:rFonts w:hint="eastAsia"/>
        </w:rPr>
        <w:t>使用单位应确定对合规管理负责的管理层。</w:t>
      </w:r>
    </w:p>
    <w:p w14:paraId="0CE71206">
      <w:pPr>
        <w:pStyle w:val="162"/>
      </w:pPr>
      <w:r>
        <w:rPr>
          <w:rFonts w:hint="eastAsia"/>
        </w:rPr>
        <w:t>使用单位应按照场车相关法律法规的要求，履行全部合规义务。</w:t>
      </w:r>
    </w:p>
    <w:p w14:paraId="7C6B55F1">
      <w:pPr>
        <w:pStyle w:val="162"/>
      </w:pPr>
      <w:r>
        <w:rPr>
          <w:rFonts w:hint="eastAsia"/>
        </w:rPr>
        <w:t>使用单位应确定其组织和管理结构。</w:t>
      </w:r>
    </w:p>
    <w:p w14:paraId="36E3DEBF">
      <w:pPr>
        <w:pStyle w:val="162"/>
      </w:pPr>
      <w:r>
        <w:rPr>
          <w:rFonts w:hint="eastAsia"/>
        </w:rPr>
        <w:t>使用单位应规定与场车合规管理相关的所有人员的职责和权限。</w:t>
      </w:r>
    </w:p>
    <w:p w14:paraId="674A5049">
      <w:pPr>
        <w:pStyle w:val="162"/>
      </w:pPr>
      <w:r>
        <w:rPr>
          <w:rFonts w:hint="eastAsia"/>
        </w:rPr>
        <w:t>使用单位应配备合规管理所需的人员、设备、设施等资源。</w:t>
      </w:r>
    </w:p>
    <w:p w14:paraId="2AE38099">
      <w:pPr>
        <w:pStyle w:val="162"/>
      </w:pPr>
      <w:r>
        <w:rPr>
          <w:rFonts w:hint="eastAsia"/>
        </w:rPr>
        <w:t>使用单位应确定责任部门或人员负责特种设备日常安全管理工作，及时识别和获取相应特种设备的法律法规、安全技术规范、标准的有效版本，参见附录A。</w:t>
      </w:r>
    </w:p>
    <w:p w14:paraId="16704DBA">
      <w:pPr>
        <w:pStyle w:val="162"/>
      </w:pPr>
      <w:r>
        <w:rPr>
          <w:rFonts w:hint="eastAsia"/>
        </w:rPr>
        <w:t>使用单位应按照附录B、附录C对使用情况自行检查。</w:t>
      </w:r>
    </w:p>
    <w:p w14:paraId="7ECB7D28">
      <w:pPr>
        <w:pStyle w:val="162"/>
      </w:pPr>
      <w:r>
        <w:rPr>
          <w:rFonts w:hint="eastAsia"/>
        </w:rPr>
        <w:t>使用单位应根据场车的用途、使用环境（如温度、湿度、海拔高度、坡度、弯道圆曲线半径、爆炸性环境等），采购适合使用条件要求的场车；在购置观光车辆时，应保证观光车辆的最大行驶坡度能够满足实际行驶路线中的最大坡度要求。</w:t>
      </w:r>
    </w:p>
    <w:p w14:paraId="244D6C4D">
      <w:pPr>
        <w:pStyle w:val="162"/>
      </w:pPr>
      <w:r>
        <w:rPr>
          <w:rFonts w:hint="eastAsia"/>
        </w:rPr>
        <w:t>使用单位应以确保场车使用合规为原则，将管理制度、操作规程形成文件，并制订《场车使用合规管理检查表》，参见附录D。</w:t>
      </w:r>
    </w:p>
    <w:p w14:paraId="30D22BAD">
      <w:pPr>
        <w:pStyle w:val="104"/>
        <w:spacing w:before="312" w:after="312"/>
      </w:pPr>
      <w:bookmarkStart w:id="51" w:name="_Toc193115856"/>
      <w:r>
        <w:rPr>
          <w:rFonts w:hint="eastAsia"/>
        </w:rPr>
        <w:t>人员管理</w:t>
      </w:r>
      <w:bookmarkEnd w:id="51"/>
    </w:p>
    <w:p w14:paraId="2D347AE9">
      <w:pPr>
        <w:pStyle w:val="162"/>
      </w:pPr>
      <w:r>
        <w:rPr>
          <w:rFonts w:hint="eastAsia"/>
        </w:rPr>
        <w:t>使用单位根据本单位场车的数量、用途、使用环境等情况，配备场车安全总监和足够数量的场车安全员</w:t>
      </w:r>
      <w:bookmarkStart w:id="52" w:name="OLE_LINK44"/>
      <w:bookmarkStart w:id="53" w:name="OLE_LINK45"/>
      <w:r>
        <w:rPr>
          <w:rFonts w:hint="eastAsia"/>
        </w:rPr>
        <w:t>，并逐台明确负责的场车安全员</w:t>
      </w:r>
      <w:bookmarkEnd w:id="52"/>
      <w:bookmarkEnd w:id="53"/>
      <w:r>
        <w:rPr>
          <w:rFonts w:hint="eastAsia"/>
        </w:rPr>
        <w:t>。</w:t>
      </w:r>
    </w:p>
    <w:p w14:paraId="00DE2C5C">
      <w:pPr>
        <w:pStyle w:val="162"/>
      </w:pPr>
      <w:r>
        <w:rPr>
          <w:rFonts w:hint="eastAsia"/>
        </w:rPr>
        <w:t>主要负责人是场车使用单位的实际最高管理者，应对场车的使用安全全面负责，其岗位能力要求及职责如下：</w:t>
      </w:r>
    </w:p>
    <w:p w14:paraId="3CCADC87">
      <w:pPr>
        <w:pStyle w:val="174"/>
      </w:pPr>
      <w:bookmarkStart w:id="54" w:name="OLE_LINK3"/>
      <w:bookmarkStart w:id="55" w:name="OLE_LINK4"/>
      <w:r>
        <w:rPr>
          <w:rFonts w:hint="eastAsia"/>
        </w:rPr>
        <w:t>应充分了解和掌握国家和行业主管部门关于场车的法律法规，贯彻落实国家相关法律法规要求，熟悉场车的运行特点和安全要求；</w:t>
      </w:r>
    </w:p>
    <w:bookmarkEnd w:id="54"/>
    <w:bookmarkEnd w:id="55"/>
    <w:p w14:paraId="04AF49EC">
      <w:pPr>
        <w:pStyle w:val="174"/>
      </w:pPr>
      <w:r>
        <w:rPr>
          <w:rFonts w:hint="eastAsia"/>
        </w:rPr>
        <w:t>组织制定并实施本单位规章制度，建立健全并落实本单位场车司机安全责任制，推进本单位安全制度管理规范化、标准化、制度化；</w:t>
      </w:r>
    </w:p>
    <w:p w14:paraId="14667C09">
      <w:pPr>
        <w:pStyle w:val="174"/>
      </w:pPr>
      <w:r>
        <w:rPr>
          <w:rFonts w:hint="eastAsia"/>
        </w:rPr>
        <w:t>组织建立并落实安全风险管控和隐患排查治理双重预防工作机制，督促、检查本单位安全工作，及时消除事故隐患；</w:t>
      </w:r>
    </w:p>
    <w:p w14:paraId="7A8126D8">
      <w:pPr>
        <w:pStyle w:val="174"/>
      </w:pPr>
      <w:r>
        <w:rPr>
          <w:rFonts w:hint="eastAsia"/>
        </w:rPr>
        <w:t>每月至少召开一次安全会议，落实场车使用安全制度管理工作，组织制定并实施本单位场车预案。</w:t>
      </w:r>
    </w:p>
    <w:p w14:paraId="3305EC6D">
      <w:pPr>
        <w:pStyle w:val="162"/>
      </w:pPr>
      <w:r>
        <w:rPr>
          <w:rFonts w:hint="eastAsia"/>
        </w:rPr>
        <w:t>安全总监按照职责要求，直接对本单位主要负责人负责，其岗位能力要求及职责如下：</w:t>
      </w:r>
    </w:p>
    <w:p w14:paraId="3BA12335">
      <w:pPr>
        <w:pStyle w:val="174"/>
        <w:numPr>
          <w:ilvl w:val="0"/>
          <w:numId w:val="32"/>
        </w:numPr>
      </w:pPr>
      <w:r>
        <w:rPr>
          <w:rFonts w:hint="eastAsia"/>
        </w:rPr>
        <w:t>熟悉场车使用相关法律法规、安全技术规范、标准和本单位场车安全使用要求；</w:t>
      </w:r>
    </w:p>
    <w:p w14:paraId="6CB125DB">
      <w:pPr>
        <w:pStyle w:val="174"/>
      </w:pPr>
      <w:r>
        <w:rPr>
          <w:rFonts w:hint="eastAsia"/>
        </w:rPr>
        <w:t>具备识别和防控场车使用安全风险的专业知识；</w:t>
      </w:r>
    </w:p>
    <w:p w14:paraId="39F98CBD">
      <w:pPr>
        <w:pStyle w:val="174"/>
      </w:pPr>
      <w:r>
        <w:rPr>
          <w:rFonts w:hint="eastAsia"/>
        </w:rPr>
        <w:t>具备按照相关要求履行岗位职责的其他能力；</w:t>
      </w:r>
    </w:p>
    <w:p w14:paraId="69C189CA">
      <w:pPr>
        <w:pStyle w:val="174"/>
      </w:pPr>
      <w:r>
        <w:rPr>
          <w:rFonts w:hint="eastAsia"/>
        </w:rPr>
        <w:t>组织宣传、贯彻有关法律法规和安全技术规范及相关标准；</w:t>
      </w:r>
    </w:p>
    <w:p w14:paraId="750111AD">
      <w:pPr>
        <w:pStyle w:val="174"/>
      </w:pPr>
      <w:r>
        <w:rPr>
          <w:rFonts w:hint="eastAsia"/>
        </w:rPr>
        <w:t>组织制定本单位场车使用安全管理制度，督促落实场车使用安全责任制；</w:t>
      </w:r>
    </w:p>
    <w:p w14:paraId="7DF4FF3D">
      <w:pPr>
        <w:pStyle w:val="174"/>
      </w:pPr>
      <w:r>
        <w:rPr>
          <w:rFonts w:hint="eastAsia"/>
        </w:rPr>
        <w:t>组织制定场车事故应急专项预案，组织并开展应急演练；</w:t>
      </w:r>
    </w:p>
    <w:p w14:paraId="4E40C5CD">
      <w:pPr>
        <w:pStyle w:val="174"/>
      </w:pPr>
      <w:r>
        <w:rPr>
          <w:rFonts w:hint="eastAsia"/>
        </w:rPr>
        <w:t>对场车安全员进行安全教育和技术培训，并监督、指导场车安全员做好安全保护工作；</w:t>
      </w:r>
    </w:p>
    <w:p w14:paraId="448BBB89">
      <w:pPr>
        <w:pStyle w:val="174"/>
      </w:pPr>
      <w:r>
        <w:rPr>
          <w:rFonts w:hint="eastAsia"/>
        </w:rPr>
        <w:t>对本单位场车使用安全管理工作进行检查，及时向主要负责人报告有关情况，提出改进措施；</w:t>
      </w:r>
    </w:p>
    <w:p w14:paraId="3BC50C6C">
      <w:pPr>
        <w:pStyle w:val="174"/>
      </w:pPr>
      <w:r>
        <w:rPr>
          <w:rFonts w:hint="eastAsia"/>
        </w:rPr>
        <w:t>每周至少组织一次风险隐患排查，分析研判场车使用安全管理情况，研究解决日管控中发现的问题，形成每周场车安全排查治理报告；</w:t>
      </w:r>
    </w:p>
    <w:p w14:paraId="18075485">
      <w:pPr>
        <w:pStyle w:val="174"/>
      </w:pPr>
      <w:r>
        <w:rPr>
          <w:rFonts w:hint="eastAsia"/>
        </w:rPr>
        <w:t>组织合规管理检查。</w:t>
      </w:r>
    </w:p>
    <w:p w14:paraId="40AC2961">
      <w:pPr>
        <w:pStyle w:val="162"/>
      </w:pPr>
      <w:r>
        <w:rPr>
          <w:rFonts w:hint="eastAsia"/>
        </w:rPr>
        <w:t>场车安全员按照职责要求，对安全总监或主要负责人负责，其岗位能力要求及职责如下：</w:t>
      </w:r>
    </w:p>
    <w:p w14:paraId="093AD84C">
      <w:pPr>
        <w:pStyle w:val="174"/>
        <w:numPr>
          <w:ilvl w:val="0"/>
          <w:numId w:val="33"/>
        </w:numPr>
      </w:pPr>
      <w:r>
        <w:rPr>
          <w:rFonts w:hint="eastAsia"/>
        </w:rPr>
        <w:t>熟悉场车使用相关法律法规、安全技术规范、标准和本单位场车安全使用要求；</w:t>
      </w:r>
    </w:p>
    <w:p w14:paraId="7ADA609F">
      <w:pPr>
        <w:pStyle w:val="174"/>
      </w:pPr>
      <w:r>
        <w:rPr>
          <w:rFonts w:hint="eastAsia"/>
        </w:rPr>
        <w:t>具备识别和防控场车使用安全风险的专业知识；</w:t>
      </w:r>
    </w:p>
    <w:p w14:paraId="17F0EA44">
      <w:pPr>
        <w:pStyle w:val="174"/>
      </w:pPr>
      <w:r>
        <w:rPr>
          <w:rFonts w:hint="eastAsia"/>
        </w:rPr>
        <w:t>具备按照相关要求履行岗位职责的其他能力；</w:t>
      </w:r>
    </w:p>
    <w:p w14:paraId="218C7D68">
      <w:pPr>
        <w:pStyle w:val="174"/>
      </w:pPr>
      <w:r>
        <w:rPr>
          <w:rFonts w:hint="eastAsia"/>
        </w:rPr>
        <w:t>建立健全场车安全技术档案，并办理本单位场车使用登记；</w:t>
      </w:r>
    </w:p>
    <w:p w14:paraId="4044D4FE">
      <w:pPr>
        <w:pStyle w:val="174"/>
      </w:pPr>
      <w:r>
        <w:rPr>
          <w:rFonts w:hint="eastAsia"/>
        </w:rPr>
        <w:t>组织制定场车安全操作规程；</w:t>
      </w:r>
    </w:p>
    <w:p w14:paraId="009B3375">
      <w:pPr>
        <w:pStyle w:val="174"/>
      </w:pPr>
      <w:r>
        <w:rPr>
          <w:rFonts w:hint="eastAsia"/>
        </w:rPr>
        <w:t>组织对场车作业人员进行教育和培训，指导和监督作业人员正确使用场车；</w:t>
      </w:r>
    </w:p>
    <w:p w14:paraId="41955921">
      <w:pPr>
        <w:pStyle w:val="174"/>
      </w:pPr>
      <w:r>
        <w:rPr>
          <w:rFonts w:hint="eastAsia"/>
        </w:rPr>
        <w:t>对场车和作业区域进行日常巡检，纠正和制止违章作业行为；</w:t>
      </w:r>
    </w:p>
    <w:p w14:paraId="6010F475">
      <w:pPr>
        <w:pStyle w:val="174"/>
      </w:pPr>
      <w:r>
        <w:rPr>
          <w:rFonts w:hint="eastAsia"/>
        </w:rPr>
        <w:t>编制场车定期检验计划，督促落实场车定期检验和后续整改等工作；</w:t>
      </w:r>
    </w:p>
    <w:p w14:paraId="682F67D2">
      <w:pPr>
        <w:pStyle w:val="174"/>
      </w:pPr>
      <w:r>
        <w:rPr>
          <w:rFonts w:hint="eastAsia"/>
        </w:rPr>
        <w:t>按照规定报告场车事故，参加场车事故救援，协助进行事故调查和善后处理；</w:t>
      </w:r>
    </w:p>
    <w:p w14:paraId="3A807147">
      <w:pPr>
        <w:pStyle w:val="174"/>
      </w:pPr>
      <w:r>
        <w:rPr>
          <w:rFonts w:hint="eastAsia"/>
        </w:rPr>
        <w:t>履行市场监督管理部门规定和本单位要求的其他场车使用安全管理职责；</w:t>
      </w:r>
    </w:p>
    <w:p w14:paraId="3D779F6B">
      <w:pPr>
        <w:pStyle w:val="174"/>
      </w:pPr>
      <w:r>
        <w:rPr>
          <w:rFonts w:hint="eastAsia"/>
        </w:rPr>
        <w:t>按照相关安全技术规范和本单位安全管理制度的要求，对投入使用的场车和作业区域进行巡检，形成每日场车安全检查记录。</w:t>
      </w:r>
    </w:p>
    <w:p w14:paraId="700705BA">
      <w:pPr>
        <w:pStyle w:val="162"/>
      </w:pPr>
      <w:r>
        <w:rPr>
          <w:rFonts w:hint="eastAsia"/>
        </w:rPr>
        <w:t>场车司机需取得相应项目（叉车司机N1、观光车辆司机N2）的《特种设备安全制度管理和作业人员证》，持证上岗。场车司机包括但不限于以下职责：</w:t>
      </w:r>
    </w:p>
    <w:p w14:paraId="6FC65C99">
      <w:pPr>
        <w:pStyle w:val="174"/>
        <w:numPr>
          <w:ilvl w:val="0"/>
          <w:numId w:val="34"/>
        </w:numPr>
      </w:pPr>
      <w:r>
        <w:rPr>
          <w:rFonts w:hint="eastAsia"/>
        </w:rPr>
        <w:t>严格执行场车有关安全管理制度，并且按照操作规程进行操作，拒绝违章作业；</w:t>
      </w:r>
    </w:p>
    <w:p w14:paraId="33D26A8C">
      <w:pPr>
        <w:pStyle w:val="174"/>
      </w:pPr>
      <w:r>
        <w:rPr>
          <w:rFonts w:hint="eastAsia"/>
        </w:rPr>
        <w:t>按照规定填写作业、交接班记录；</w:t>
      </w:r>
    </w:p>
    <w:p w14:paraId="2E47457C">
      <w:pPr>
        <w:pStyle w:val="174"/>
      </w:pPr>
      <w:r>
        <w:rPr>
          <w:rFonts w:hint="eastAsia"/>
        </w:rPr>
        <w:t>参加安全教育和技能培训；</w:t>
      </w:r>
    </w:p>
    <w:p w14:paraId="0436232D">
      <w:pPr>
        <w:pStyle w:val="174"/>
      </w:pPr>
      <w:r>
        <w:rPr>
          <w:rFonts w:hint="eastAsia"/>
        </w:rPr>
        <w:t>进行经常性的保养，对发现的异常情况及时进行处理，并做好记录；</w:t>
      </w:r>
    </w:p>
    <w:p w14:paraId="60D68639">
      <w:pPr>
        <w:pStyle w:val="174"/>
      </w:pPr>
      <w:r>
        <w:rPr>
          <w:rFonts w:hint="eastAsia"/>
        </w:rPr>
        <w:t>作业过程中发现事故隐患或者其他不安全因素后应立即采取紧急措施，并按照规定程序向安全员和单位有关负责人报告；</w:t>
      </w:r>
    </w:p>
    <w:p w14:paraId="1324F7D1">
      <w:pPr>
        <w:pStyle w:val="174"/>
      </w:pPr>
      <w:r>
        <w:rPr>
          <w:rFonts w:hint="eastAsia"/>
        </w:rPr>
        <w:t>发生事故时，应立即停车并保护现场，迅速报告安全管理部门；</w:t>
      </w:r>
    </w:p>
    <w:p w14:paraId="7D4CAAD9">
      <w:pPr>
        <w:pStyle w:val="174"/>
      </w:pPr>
      <w:r>
        <w:rPr>
          <w:rFonts w:hint="eastAsia"/>
        </w:rPr>
        <w:t>参加应急演练，掌握相应的应急处置技能；</w:t>
      </w:r>
    </w:p>
    <w:p w14:paraId="47FF7D94">
      <w:pPr>
        <w:pStyle w:val="174"/>
      </w:pPr>
      <w:r>
        <w:rPr>
          <w:rFonts w:hint="eastAsia"/>
        </w:rPr>
        <w:t>每日使用场车前，对其进行试运行和安全检查，并对灯光、喇叭、刹车等功能进行检查确认。</w:t>
      </w:r>
    </w:p>
    <w:p w14:paraId="424E79A5">
      <w:pPr>
        <w:pStyle w:val="104"/>
        <w:spacing w:before="312" w:after="312"/>
      </w:pPr>
      <w:bookmarkStart w:id="56" w:name="_Toc193115857"/>
      <w:r>
        <w:rPr>
          <w:rFonts w:hint="eastAsia"/>
        </w:rPr>
        <w:t>车辆管理</w:t>
      </w:r>
      <w:bookmarkEnd w:id="56"/>
    </w:p>
    <w:p w14:paraId="5E92FDF8">
      <w:pPr>
        <w:pStyle w:val="105"/>
        <w:spacing w:before="156" w:after="156"/>
      </w:pPr>
      <w:bookmarkStart w:id="57" w:name="_Toc193115858"/>
      <w:r>
        <w:rPr>
          <w:rFonts w:hint="eastAsia"/>
        </w:rPr>
        <w:t>准入与登记</w:t>
      </w:r>
      <w:bookmarkEnd w:id="57"/>
    </w:p>
    <w:p w14:paraId="1CDDA30F">
      <w:pPr>
        <w:pStyle w:val="165"/>
      </w:pPr>
      <w:r>
        <w:rPr>
          <w:rFonts w:hint="eastAsia"/>
        </w:rPr>
        <w:t>使用单位应使用取得许可生产并经检验合格的场车，禁止使用国家明令淘汰已经报废或者达到报废条件的场车，不得使用未经检验或检验结论为“不合格”的场车。</w:t>
      </w:r>
    </w:p>
    <w:p w14:paraId="1995F311">
      <w:pPr>
        <w:pStyle w:val="165"/>
      </w:pPr>
      <w:r>
        <w:rPr>
          <w:rFonts w:hint="eastAsia"/>
        </w:rPr>
        <w:t>在场车首次投入使用前，向特种设备检验机构申请首次检验，并办理使用登记手续。</w:t>
      </w:r>
    </w:p>
    <w:p w14:paraId="5EBE2D00">
      <w:pPr>
        <w:pStyle w:val="105"/>
        <w:spacing w:before="156" w:after="156"/>
      </w:pPr>
      <w:bookmarkStart w:id="58" w:name="_Toc193115859"/>
      <w:r>
        <w:rPr>
          <w:rFonts w:hint="eastAsia"/>
        </w:rPr>
        <w:t>使用与管理</w:t>
      </w:r>
      <w:bookmarkEnd w:id="58"/>
    </w:p>
    <w:p w14:paraId="00740595">
      <w:pPr>
        <w:pStyle w:val="165"/>
      </w:pPr>
      <w:bookmarkStart w:id="59" w:name="OLE_LINK91"/>
      <w:r>
        <w:rPr>
          <w:rFonts w:hint="eastAsia"/>
        </w:rPr>
        <w:t>使用单位应制定并实施场车的安全管理制度，包括车辆采购、登记、检验、人员培训、操作规程、维护保养和自行检查、事故应急预案等，并满足本标准相关要求。</w:t>
      </w:r>
    </w:p>
    <w:p w14:paraId="1E470B6D">
      <w:pPr>
        <w:pStyle w:val="165"/>
      </w:pPr>
      <w:r>
        <w:rPr>
          <w:rFonts w:hint="eastAsia"/>
        </w:rPr>
        <w:t>建立车辆台账（包括型号、产品编号、车牌号、技术参数、使用部</w:t>
      </w:r>
      <w:bookmarkEnd w:id="59"/>
      <w:r>
        <w:rPr>
          <w:rFonts w:hint="eastAsia"/>
        </w:rPr>
        <w:t>门、下次检验日期等）。</w:t>
      </w:r>
    </w:p>
    <w:p w14:paraId="4CDD0BA3">
      <w:pPr>
        <w:pStyle w:val="105"/>
        <w:spacing w:before="156" w:after="156"/>
      </w:pPr>
      <w:bookmarkStart w:id="60" w:name="_Toc193115860"/>
      <w:r>
        <w:rPr>
          <w:rFonts w:hint="eastAsia"/>
        </w:rPr>
        <w:t>改造与修理</w:t>
      </w:r>
      <w:bookmarkEnd w:id="60"/>
    </w:p>
    <w:p w14:paraId="45A0621E">
      <w:pPr>
        <w:pStyle w:val="165"/>
      </w:pPr>
      <w:r>
        <w:rPr>
          <w:rFonts w:hint="eastAsia"/>
        </w:rPr>
        <w:t>场车需要改造、修理时，使用单位需要找具备相应资质的单位进行施工。</w:t>
      </w:r>
    </w:p>
    <w:p w14:paraId="5E0180D1">
      <w:pPr>
        <w:pStyle w:val="165"/>
      </w:pPr>
      <w:r>
        <w:rPr>
          <w:rFonts w:hint="eastAsia"/>
        </w:rPr>
        <w:t xml:space="preserve">场车改造后应当经首次检验合格，并且变更使用登记后方可投入使用。 </w:t>
      </w:r>
    </w:p>
    <w:p w14:paraId="22253EE7">
      <w:pPr>
        <w:pStyle w:val="165"/>
      </w:pPr>
      <w:r>
        <w:rPr>
          <w:rFonts w:hint="eastAsia"/>
        </w:rPr>
        <w:t>场车改造、修理后，使用单位应收集相关检验报告和技术资料（如改造后的产品质量合格证明）并存档。</w:t>
      </w:r>
    </w:p>
    <w:p w14:paraId="77FAB029">
      <w:pPr>
        <w:pStyle w:val="105"/>
        <w:spacing w:before="156" w:after="156"/>
      </w:pPr>
      <w:bookmarkStart w:id="61" w:name="_Toc193115861"/>
      <w:r>
        <w:rPr>
          <w:rFonts w:hint="eastAsia"/>
        </w:rPr>
        <w:t>报废</w:t>
      </w:r>
      <w:bookmarkEnd w:id="61"/>
    </w:p>
    <w:p w14:paraId="492BB296">
      <w:pPr>
        <w:pStyle w:val="56"/>
        <w:ind w:firstLine="420"/>
      </w:pPr>
      <w:r>
        <w:rPr>
          <w:rFonts w:hint="eastAsia"/>
        </w:rPr>
        <w:t>使用单位应明确车辆报废标准，有下列情形之一的，应采取必要措施消除该车辆的使用功能，并且注销使用登记。</w:t>
      </w:r>
    </w:p>
    <w:p w14:paraId="7C7EC510">
      <w:pPr>
        <w:pStyle w:val="174"/>
        <w:numPr>
          <w:ilvl w:val="0"/>
          <w:numId w:val="35"/>
        </w:numPr>
      </w:pPr>
      <w:r>
        <w:rPr>
          <w:rFonts w:hint="eastAsia"/>
        </w:rPr>
        <w:t>超期服役；</w:t>
      </w:r>
    </w:p>
    <w:p w14:paraId="4F1149F2">
      <w:pPr>
        <w:pStyle w:val="174"/>
      </w:pPr>
      <w:r>
        <w:rPr>
          <w:rFonts w:hint="eastAsia"/>
        </w:rPr>
        <w:t>存在严重事故隐患且无改造、修理价值；</w:t>
      </w:r>
    </w:p>
    <w:p w14:paraId="233DE858">
      <w:pPr>
        <w:pStyle w:val="174"/>
      </w:pPr>
      <w:r>
        <w:rPr>
          <w:rFonts w:hint="eastAsia"/>
        </w:rPr>
        <w:t>不满足环保要求且无法通过改造、修理达到要求</w:t>
      </w:r>
      <w:bookmarkStart w:id="62" w:name="OLE_LINK16"/>
      <w:bookmarkStart w:id="63" w:name="OLE_LINK17"/>
      <w:r>
        <w:rPr>
          <w:rFonts w:hint="eastAsia"/>
        </w:rPr>
        <w:t>；</w:t>
      </w:r>
      <w:bookmarkEnd w:id="62"/>
      <w:bookmarkEnd w:id="63"/>
    </w:p>
    <w:p w14:paraId="740A0253">
      <w:pPr>
        <w:pStyle w:val="174"/>
      </w:pPr>
      <w:r>
        <w:rPr>
          <w:rFonts w:hint="eastAsia"/>
        </w:rPr>
        <w:t>达到报废技术条件。</w:t>
      </w:r>
    </w:p>
    <w:p w14:paraId="07BB2FB8">
      <w:pPr>
        <w:pStyle w:val="104"/>
        <w:spacing w:before="312" w:after="312"/>
      </w:pPr>
      <w:bookmarkStart w:id="64" w:name="_Toc193115862"/>
      <w:r>
        <w:rPr>
          <w:rFonts w:hint="eastAsia"/>
        </w:rPr>
        <w:t>运行环境</w:t>
      </w:r>
      <w:bookmarkEnd w:id="64"/>
    </w:p>
    <w:p w14:paraId="722C7047">
      <w:pPr>
        <w:pStyle w:val="162"/>
      </w:pPr>
      <w:r>
        <w:rPr>
          <w:rFonts w:hint="eastAsia"/>
        </w:rPr>
        <w:t>使用单位应当根据本单位场车作业区域的状况，规范本单位场车作业环境，对于作业环境不符合要求的，场车不得进入该区域作业。</w:t>
      </w:r>
    </w:p>
    <w:p w14:paraId="19A694FB">
      <w:pPr>
        <w:pStyle w:val="162"/>
      </w:pPr>
      <w:r>
        <w:rPr>
          <w:rFonts w:hint="eastAsia"/>
        </w:rPr>
        <w:t>观光车辆的行驶路线中，任意连续20m路段的平均坡度不应当超过最大行驶坡度。</w:t>
      </w:r>
    </w:p>
    <w:p w14:paraId="7423B8EB">
      <w:pPr>
        <w:pStyle w:val="162"/>
      </w:pPr>
      <w:r>
        <w:rPr>
          <w:rFonts w:hint="eastAsia"/>
        </w:rPr>
        <w:t>观光车辆的行驶路线中不得存在爆炸性环境，路面沿边3m（弯道处为4.5m）内有悬崖、深谷、深沟或水域的路段，应当设置防护能力与车辆相匹配的路侧护栏。存在陡坡、连续下坡、急弯、窄道、交岔口等特殊情况的路段，使用单位应当评估风险，根据需要设置相应的标志、标线、避险车道、减速丘、凸面镜等安全设施，或者采取限速、分流等管理措施。</w:t>
      </w:r>
    </w:p>
    <w:p w14:paraId="363B1D0F">
      <w:pPr>
        <w:pStyle w:val="162"/>
      </w:pPr>
      <w:r>
        <w:rPr>
          <w:rFonts w:hint="eastAsia"/>
        </w:rPr>
        <w:t>使用单位应当制定观光车辆运营时的行驶路线图，并且按照路线图在行驶路线上设置醒目的行驶路线标志，明确行驶速度等安全要求。观光车辆的行驶路线图，应当在乘客固定的上下车位置明确标识。</w:t>
      </w:r>
    </w:p>
    <w:p w14:paraId="3D28F505">
      <w:pPr>
        <w:pStyle w:val="162"/>
      </w:pPr>
      <w:r>
        <w:rPr>
          <w:rFonts w:hint="eastAsia"/>
        </w:rPr>
        <w:t>工作区域应有足够的照明，确保操作人员在夜间或光线不足的环境下能够清晰看到周围情况。</w:t>
      </w:r>
    </w:p>
    <w:p w14:paraId="35216296">
      <w:pPr>
        <w:pStyle w:val="162"/>
      </w:pPr>
      <w:r>
        <w:rPr>
          <w:rFonts w:hint="eastAsia"/>
        </w:rPr>
        <w:t>场地内应设置清晰的交通标志、警示标志和指示牌，如限速标志、停车标志、危险区域标志等。必要时应安装护栏或防碰撞装置，防止碰撞。</w:t>
      </w:r>
    </w:p>
    <w:p w14:paraId="4B01EB96">
      <w:pPr>
        <w:pStyle w:val="162"/>
      </w:pPr>
      <w:r>
        <w:rPr>
          <w:rFonts w:hint="eastAsia"/>
        </w:rPr>
        <w:t>在爆炸性环境使用叉车时，遵守有关部门对防爆安全的管理规定。</w:t>
      </w:r>
    </w:p>
    <w:p w14:paraId="791F1576">
      <w:pPr>
        <w:pStyle w:val="104"/>
        <w:spacing w:before="312" w:after="312"/>
      </w:pPr>
      <w:bookmarkStart w:id="65" w:name="_Toc193115863"/>
      <w:r>
        <w:rPr>
          <w:rFonts w:hint="eastAsia"/>
        </w:rPr>
        <w:t>安全制度管理</w:t>
      </w:r>
      <w:bookmarkEnd w:id="65"/>
    </w:p>
    <w:p w14:paraId="75859A61">
      <w:pPr>
        <w:pStyle w:val="162"/>
      </w:pPr>
      <w:r>
        <w:rPr>
          <w:rFonts w:hint="eastAsia"/>
        </w:rPr>
        <w:t>场车安全制度管理的核心在于预防为主、责任明确、操作规范、监督到位。通过建立健全的安全制度，企业可以有效降低场车事故的发生率，保障员工的生命安全和企业的正常运营。</w:t>
      </w:r>
    </w:p>
    <w:p w14:paraId="23CD41D8">
      <w:pPr>
        <w:pStyle w:val="162"/>
      </w:pPr>
      <w:r>
        <w:rPr>
          <w:rFonts w:hint="eastAsia"/>
        </w:rPr>
        <w:t>使用单位应当建立健全使用安全制度，落实使用安全责任制，建立从管理层到操作层的安全责任体系，确保每个环节都有专人负责，保证车辆安全运行。</w:t>
      </w:r>
    </w:p>
    <w:p w14:paraId="551EA59D">
      <w:pPr>
        <w:pStyle w:val="162"/>
      </w:pPr>
      <w:r>
        <w:rPr>
          <w:rFonts w:hint="eastAsia"/>
        </w:rPr>
        <w:t>定期组织隐患排查，发现隐患后</w:t>
      </w:r>
      <w:bookmarkStart w:id="66" w:name="OLE_LINK50"/>
      <w:bookmarkStart w:id="67" w:name="OLE_LINK49"/>
      <w:r>
        <w:rPr>
          <w:rFonts w:hint="eastAsia"/>
        </w:rPr>
        <w:t>及时整</w:t>
      </w:r>
      <w:bookmarkEnd w:id="66"/>
      <w:bookmarkEnd w:id="67"/>
      <w:r>
        <w:rPr>
          <w:rFonts w:hint="eastAsia"/>
        </w:rPr>
        <w:t>改并记录，确保隐患得到有效消除。</w:t>
      </w:r>
    </w:p>
    <w:p w14:paraId="28989762">
      <w:pPr>
        <w:pStyle w:val="162"/>
      </w:pPr>
      <w:r>
        <w:rPr>
          <w:rFonts w:hint="eastAsia"/>
        </w:rPr>
        <w:t>属于特种设备事故的，使用单位应立即上报属地市场监督管理部门。</w:t>
      </w:r>
    </w:p>
    <w:p w14:paraId="724304AE">
      <w:pPr>
        <w:pStyle w:val="104"/>
        <w:spacing w:before="312" w:after="312"/>
      </w:pPr>
      <w:bookmarkStart w:id="68" w:name="_Toc193115864"/>
      <w:r>
        <w:rPr>
          <w:rFonts w:hint="eastAsia"/>
        </w:rPr>
        <w:t>自行检查与维护保养</w:t>
      </w:r>
      <w:bookmarkEnd w:id="68"/>
    </w:p>
    <w:p w14:paraId="528CFE88">
      <w:pPr>
        <w:pStyle w:val="162"/>
      </w:pPr>
      <w:r>
        <w:rPr>
          <w:rFonts w:hint="eastAsia"/>
        </w:rPr>
        <w:t>使用单位应建立场车自行检查与维护保养制度，按计划开展各种预防性自检维护工作。</w:t>
      </w:r>
    </w:p>
    <w:p w14:paraId="70682A84">
      <w:pPr>
        <w:pStyle w:val="162"/>
      </w:pPr>
      <w:r>
        <w:rPr>
          <w:rFonts w:hint="eastAsia"/>
        </w:rPr>
        <w:t>使用单位应该结合场车使用维护说明书、安全技术规范、相关标准等，制定自行检查、维护保养作业指导文件。并根据事故教训、安全检查、使用过程中的故障异常，以及法规、标准新要求等进行有针对性的持续优化。</w:t>
      </w:r>
    </w:p>
    <w:p w14:paraId="7C3534E7">
      <w:pPr>
        <w:pStyle w:val="162"/>
      </w:pPr>
      <w:r>
        <w:rPr>
          <w:rFonts w:hint="eastAsia"/>
        </w:rPr>
        <w:t>自行检查以宏观（目测、耳听）检查为主，配合操作、测试、试验等手段。使用单位应根据场车特点和使用情况，合理制定适合本单位的检查维护保养周期、项目、内容和方法。自行检查项目可参见附录B、附录C。</w:t>
      </w:r>
    </w:p>
    <w:p w14:paraId="209399DC">
      <w:pPr>
        <w:pStyle w:val="162"/>
      </w:pPr>
      <w:r>
        <w:rPr>
          <w:rFonts w:hint="eastAsia"/>
        </w:rPr>
        <w:t>自行检查、维护保养作业指导文件及其记录表单应全面完整且便于追溯。</w:t>
      </w:r>
    </w:p>
    <w:p w14:paraId="5B6F3225">
      <w:pPr>
        <w:pStyle w:val="162"/>
      </w:pPr>
      <w:r>
        <w:rPr>
          <w:rFonts w:hint="eastAsia"/>
        </w:rPr>
        <w:t>使用单位在每日投入使用前，按照自行检查项目表，规范开展安全检查工作。</w:t>
      </w:r>
    </w:p>
    <w:p w14:paraId="23299B05">
      <w:pPr>
        <w:pStyle w:val="162"/>
      </w:pPr>
      <w:r>
        <w:rPr>
          <w:rFonts w:hint="eastAsia"/>
        </w:rPr>
        <w:t>使用单位应根据使用维护说明书和实际故障情况，制定并维护易损件清单，按期更换符合要求的易损件并及时补充。</w:t>
      </w:r>
    </w:p>
    <w:p w14:paraId="4F57354C">
      <w:pPr>
        <w:pStyle w:val="162"/>
      </w:pPr>
      <w:r>
        <w:rPr>
          <w:rFonts w:hint="eastAsia"/>
        </w:rPr>
        <w:t>实施委托维保的，双方应签订维保合同，使用单位应对维保质量进行控制。</w:t>
      </w:r>
    </w:p>
    <w:p w14:paraId="30AA30AD">
      <w:pPr>
        <w:pStyle w:val="104"/>
        <w:spacing w:before="312" w:after="312"/>
      </w:pPr>
      <w:bookmarkStart w:id="69" w:name="_Toc193115865"/>
      <w:r>
        <w:rPr>
          <w:rFonts w:hint="eastAsia"/>
        </w:rPr>
        <w:t>定期（首次）检验</w:t>
      </w:r>
      <w:bookmarkEnd w:id="69"/>
    </w:p>
    <w:p w14:paraId="5EE58479">
      <w:pPr>
        <w:pStyle w:val="162"/>
      </w:pPr>
      <w:r>
        <w:rPr>
          <w:rFonts w:hint="eastAsia"/>
          <w:lang w:val="en-US" w:eastAsia="zh-CN"/>
        </w:rPr>
        <w:t>在</w:t>
      </w:r>
      <w:r>
        <w:rPr>
          <w:rFonts w:hint="eastAsia"/>
        </w:rPr>
        <w:t>生产单位或者使用单位自行检查的基础上，方可向特种设备检验机构申</w:t>
      </w:r>
      <w:r>
        <w:rPr>
          <w:rFonts w:hint="eastAsia"/>
          <w:lang w:val="en-US" w:eastAsia="zh-CN"/>
        </w:rPr>
        <w:t>请</w:t>
      </w:r>
      <w:r>
        <w:rPr>
          <w:rFonts w:hint="eastAsia"/>
        </w:rPr>
        <w:t>检验。</w:t>
      </w:r>
    </w:p>
    <w:p w14:paraId="1B02A528">
      <w:pPr>
        <w:pStyle w:val="162"/>
      </w:pPr>
      <w:r>
        <w:rPr>
          <w:rFonts w:hint="eastAsia"/>
        </w:rPr>
        <w:t>使用单位应在场车下次检验到期1个月以前，向特种设备检验机构提出定期检验申请，并按照《使用单位检验前的准备清单》要求，参见附录E，做好相关准备。在用叉车的定期检验每2年1次；在用非公路用旅游观光车辆的定期检验每年1次。</w:t>
      </w:r>
    </w:p>
    <w:p w14:paraId="0C694CA1">
      <w:pPr>
        <w:pStyle w:val="162"/>
      </w:pPr>
      <w:r>
        <w:rPr>
          <w:rFonts w:hint="eastAsia"/>
        </w:rPr>
        <w:t>对于检验结论为“不合格”的场车，使用单位应及时整改并</w:t>
      </w:r>
      <w:r>
        <w:rPr>
          <w:rFonts w:hint="eastAsia"/>
          <w:lang w:val="en-US" w:eastAsia="zh-CN"/>
        </w:rPr>
        <w:t>在</w:t>
      </w:r>
      <w:r>
        <w:rPr>
          <w:rFonts w:hint="eastAsia"/>
        </w:rPr>
        <w:t>自行检查的基础上，向原检验机构重新申</w:t>
      </w:r>
      <w:r>
        <w:rPr>
          <w:rFonts w:hint="eastAsia"/>
          <w:lang w:val="en-US" w:eastAsia="zh-CN"/>
        </w:rPr>
        <w:t>请</w:t>
      </w:r>
      <w:r>
        <w:rPr>
          <w:rFonts w:hint="eastAsia"/>
        </w:rPr>
        <w:t>检验。</w:t>
      </w:r>
    </w:p>
    <w:p w14:paraId="687F9EC9">
      <w:pPr>
        <w:pStyle w:val="162"/>
      </w:pPr>
      <w:r>
        <w:rPr>
          <w:rFonts w:hint="eastAsia"/>
        </w:rPr>
        <w:t>在非使用登记地的场车，使用单位应当在收到报告之日起30日内将检验报告（复印件）报送使用登记机关。</w:t>
      </w:r>
    </w:p>
    <w:p w14:paraId="514E1F03">
      <w:pPr>
        <w:pStyle w:val="104"/>
        <w:spacing w:before="312" w:after="312"/>
      </w:pPr>
      <w:bookmarkStart w:id="70" w:name="_Toc193115866"/>
      <w:r>
        <w:rPr>
          <w:rFonts w:hint="eastAsia"/>
        </w:rPr>
        <w:t>风险管控和隐患排查治理</w:t>
      </w:r>
      <w:bookmarkEnd w:id="70"/>
    </w:p>
    <w:p w14:paraId="0FF1D1BE">
      <w:pPr>
        <w:pStyle w:val="162"/>
      </w:pPr>
      <w:r>
        <w:rPr>
          <w:rFonts w:hint="eastAsia"/>
        </w:rPr>
        <w:t>使用单位应从人员、车辆、安全保护和防护装置、环境及管理等方面进行风险识别与评估，确定风险管控措施，制定《场车安全风险管控清单》，参见附录F，建立健全日管控、周排查、月调度工作制度和机制。</w:t>
      </w:r>
    </w:p>
    <w:p w14:paraId="77B10A67">
      <w:pPr>
        <w:pStyle w:val="162"/>
      </w:pPr>
      <w:r>
        <w:rPr>
          <w:rFonts w:hint="eastAsia"/>
        </w:rPr>
        <w:t>当组织架构、运行环境或法规标准发生重大变更时，使用单位应重新开展风险识别评估，调整管控措施。</w:t>
      </w:r>
    </w:p>
    <w:p w14:paraId="602416C8">
      <w:pPr>
        <w:pStyle w:val="162"/>
      </w:pPr>
      <w:r>
        <w:rPr>
          <w:rFonts w:hint="eastAsia"/>
        </w:rPr>
        <w:t>使用单位对故障、事故、安全检查问题等进行统计分析，找出安全风险的动态分布特征及趋势，并实现监测预警。</w:t>
      </w:r>
    </w:p>
    <w:p w14:paraId="0F55C99C">
      <w:pPr>
        <w:pStyle w:val="162"/>
      </w:pPr>
      <w:r>
        <w:rPr>
          <w:rFonts w:hint="eastAsia"/>
        </w:rPr>
        <w:t>使用单位应按照政府部门发布的隐患排查通知以及自行收集的行业内外已发生的可借鉴事故案例，组织学习，避免同类安全事故发生。</w:t>
      </w:r>
    </w:p>
    <w:p w14:paraId="4BCBD64F">
      <w:pPr>
        <w:pStyle w:val="162"/>
      </w:pPr>
      <w:r>
        <w:rPr>
          <w:rFonts w:hint="eastAsia"/>
        </w:rPr>
        <w:t>场车出现故障、异常后，使用单位应组织专业技术人员进行排查，对排查发现的缺陷问题及时进行处理，待缺陷完全消除，方可投入使用。</w:t>
      </w:r>
    </w:p>
    <w:p w14:paraId="32E68CC4">
      <w:pPr>
        <w:pStyle w:val="162"/>
      </w:pPr>
      <w:r>
        <w:rPr>
          <w:rFonts w:hint="eastAsia"/>
        </w:rPr>
        <w:t>使用单位无法自主查清故障异常、消除安全隐患的，应委托有能力的单位对场车进行全面检查。</w:t>
      </w:r>
    </w:p>
    <w:p w14:paraId="4C01633F">
      <w:pPr>
        <w:pStyle w:val="104"/>
        <w:spacing w:before="312" w:after="312"/>
      </w:pPr>
      <w:bookmarkStart w:id="71" w:name="_Toc193115867"/>
      <w:r>
        <w:rPr>
          <w:rFonts w:hint="eastAsia"/>
        </w:rPr>
        <w:t>事故与应急管理</w:t>
      </w:r>
      <w:bookmarkEnd w:id="71"/>
    </w:p>
    <w:p w14:paraId="3D6D5D82">
      <w:pPr>
        <w:pStyle w:val="162"/>
      </w:pPr>
      <w:r>
        <w:rPr>
          <w:rFonts w:hint="eastAsia"/>
        </w:rPr>
        <w:t>事故风险识别包括但不限于以下情形：</w:t>
      </w:r>
    </w:p>
    <w:p w14:paraId="1D4A6C5F">
      <w:pPr>
        <w:pStyle w:val="174"/>
        <w:numPr>
          <w:ilvl w:val="0"/>
          <w:numId w:val="36"/>
        </w:numPr>
      </w:pPr>
      <w:r>
        <w:rPr>
          <w:rFonts w:hint="eastAsia"/>
        </w:rPr>
        <w:t>火灾、触电等突发事件或事故；</w:t>
      </w:r>
    </w:p>
    <w:p w14:paraId="6C8D1D52">
      <w:pPr>
        <w:pStyle w:val="174"/>
      </w:pPr>
      <w:r>
        <w:rPr>
          <w:rFonts w:hint="eastAsia"/>
        </w:rPr>
        <w:t>场车司机突发疾病；</w:t>
      </w:r>
    </w:p>
    <w:p w14:paraId="040B57EB">
      <w:pPr>
        <w:pStyle w:val="174"/>
      </w:pPr>
      <w:r>
        <w:rPr>
          <w:rFonts w:hint="eastAsia"/>
        </w:rPr>
        <w:t>堆垛货物发生货物倒塌、覆盖叉车事故；</w:t>
      </w:r>
    </w:p>
    <w:p w14:paraId="091C39F9">
      <w:pPr>
        <w:pStyle w:val="174"/>
      </w:pPr>
      <w:r>
        <w:rPr>
          <w:rFonts w:hint="eastAsia"/>
        </w:rPr>
        <w:t>场车发生侧翻事故；</w:t>
      </w:r>
    </w:p>
    <w:p w14:paraId="5F584C16">
      <w:pPr>
        <w:pStyle w:val="174"/>
      </w:pPr>
      <w:r>
        <w:rPr>
          <w:rFonts w:hint="eastAsia"/>
        </w:rPr>
        <w:t>叉车从平台坠落事故；</w:t>
      </w:r>
    </w:p>
    <w:p w14:paraId="6636D07A">
      <w:pPr>
        <w:pStyle w:val="174"/>
      </w:pPr>
      <w:r>
        <w:rPr>
          <w:rFonts w:hint="eastAsia"/>
        </w:rPr>
        <w:t>场车运行碰撞他人事故；</w:t>
      </w:r>
    </w:p>
    <w:p w14:paraId="3D786CB2">
      <w:pPr>
        <w:pStyle w:val="174"/>
      </w:pPr>
      <w:r>
        <w:rPr>
          <w:rFonts w:hint="eastAsia"/>
        </w:rPr>
        <w:t>定期检验的检验结论为“不合格”；</w:t>
      </w:r>
    </w:p>
    <w:p w14:paraId="4464ED05">
      <w:pPr>
        <w:pStyle w:val="174"/>
      </w:pPr>
      <w:r>
        <w:rPr>
          <w:rFonts w:hint="eastAsia"/>
        </w:rPr>
        <w:t>电动车辆电源紧急切断装置缺失或失效；</w:t>
      </w:r>
    </w:p>
    <w:p w14:paraId="6712D2CC">
      <w:pPr>
        <w:pStyle w:val="174"/>
      </w:pPr>
      <w:r>
        <w:rPr>
          <w:rFonts w:hint="eastAsia"/>
        </w:rPr>
        <w:t>制动（包括行车、驻车）装置缺失或失效；</w:t>
      </w:r>
    </w:p>
    <w:p w14:paraId="47C4D9FE">
      <w:pPr>
        <w:pStyle w:val="174"/>
      </w:pPr>
      <w:r>
        <w:rPr>
          <w:rFonts w:hint="eastAsia"/>
        </w:rPr>
        <w:t>观光列车的牵引连接装置及其二次保护装置缺失或失效；</w:t>
      </w:r>
    </w:p>
    <w:p w14:paraId="19546DF1">
      <w:pPr>
        <w:pStyle w:val="174"/>
      </w:pPr>
      <w:r>
        <w:rPr>
          <w:rFonts w:hint="eastAsia"/>
        </w:rPr>
        <w:t>非公路用旅游观光车辆超过最大行驶坡度使用。</w:t>
      </w:r>
    </w:p>
    <w:p w14:paraId="608D2B18">
      <w:pPr>
        <w:pStyle w:val="162"/>
      </w:pPr>
      <w:r>
        <w:rPr>
          <w:rFonts w:hint="eastAsia"/>
        </w:rPr>
        <w:t>使用单位应根据场车的类别，分别编制应急预案，应急预案应明确事故处理流程和责任人，确保在发生事故时能够迅速响应。应急预案的格式、内容参照GB/T 33942的规定执行。</w:t>
      </w:r>
    </w:p>
    <w:p w14:paraId="1A9EF4DF">
      <w:pPr>
        <w:pStyle w:val="162"/>
      </w:pPr>
      <w:r>
        <w:rPr>
          <w:rFonts w:hint="eastAsia"/>
        </w:rPr>
        <w:t>使用单位主要负责人是应急管理第一责任人，负责组织建立应急指挥机构，担任场车应急总指挥，且应每年至少组织一次应急救援演练。</w:t>
      </w:r>
    </w:p>
    <w:p w14:paraId="223EDF1B">
      <w:pPr>
        <w:pStyle w:val="162"/>
      </w:pPr>
      <w:r>
        <w:rPr>
          <w:rFonts w:hint="eastAsia"/>
        </w:rPr>
        <w:t>当出现安全责任事故、应急处置有缺陷、管理团队重组等情况时，应专门组织应急演练。</w:t>
      </w:r>
    </w:p>
    <w:p w14:paraId="43C7D813">
      <w:pPr>
        <w:pStyle w:val="162"/>
      </w:pPr>
      <w:r>
        <w:rPr>
          <w:rFonts w:hint="eastAsia"/>
        </w:rPr>
        <w:t>应急演练过程应采用文字、拍照、摄像等方式记录并存档，应急演练记录参照GB/T 33942。</w:t>
      </w:r>
    </w:p>
    <w:p w14:paraId="5A36AD77">
      <w:pPr>
        <w:pStyle w:val="162"/>
      </w:pPr>
      <w:r>
        <w:rPr>
          <w:rFonts w:hint="eastAsia"/>
        </w:rPr>
        <w:t>使用单位对应急演练效果进行评估，以改进应急管理工作。</w:t>
      </w:r>
    </w:p>
    <w:p w14:paraId="3C41582E">
      <w:pPr>
        <w:pStyle w:val="162"/>
      </w:pPr>
      <w:r>
        <w:rPr>
          <w:rFonts w:hint="eastAsia"/>
        </w:rPr>
        <w:t>发生安全事故时，使用单位应立即启动应急预案，及时有力组织应急处置和救援，保护事故现场，按规定及时准确上报并积极配合调查。</w:t>
      </w:r>
    </w:p>
    <w:p w14:paraId="4174BA5A">
      <w:pPr>
        <w:pStyle w:val="162"/>
      </w:pPr>
      <w:r>
        <w:rPr>
          <w:rFonts w:hint="eastAsia"/>
        </w:rPr>
        <w:t>使用单位应对事故响应及时性、应急处置有效性、事故上报及时性、调查处理准确性、统计分析等方面情况进行监督检查和总结评估，改进安全制度管理工作。</w:t>
      </w:r>
    </w:p>
    <w:p w14:paraId="529FECCE">
      <w:pPr>
        <w:pStyle w:val="162"/>
      </w:pPr>
      <w:r>
        <w:rPr>
          <w:rFonts w:hint="eastAsia"/>
        </w:rPr>
        <w:t>使用单位应建立健全事故管理机制。</w:t>
      </w:r>
    </w:p>
    <w:p w14:paraId="3EE5953D">
      <w:pPr>
        <w:pStyle w:val="104"/>
        <w:spacing w:before="312" w:after="312"/>
      </w:pPr>
      <w:bookmarkStart w:id="72" w:name="_Toc193115868"/>
      <w:r>
        <w:rPr>
          <w:rFonts w:hint="eastAsia"/>
        </w:rPr>
        <w:t>安全技术档案管理</w:t>
      </w:r>
      <w:bookmarkEnd w:id="72"/>
    </w:p>
    <w:p w14:paraId="6E413BF4">
      <w:pPr>
        <w:pStyle w:val="162"/>
      </w:pPr>
      <w:r>
        <w:rPr>
          <w:rFonts w:hint="eastAsia"/>
        </w:rPr>
        <w:t>使用单位应当逐台建立安全技术档案，并及时补充完善档案内容。</w:t>
      </w:r>
    </w:p>
    <w:p w14:paraId="7A66ED08">
      <w:pPr>
        <w:pStyle w:val="162"/>
      </w:pPr>
      <w:r>
        <w:rPr>
          <w:rFonts w:hint="eastAsia"/>
        </w:rPr>
        <w:t>场车安全技术档案应至少包括以下内容：</w:t>
      </w:r>
    </w:p>
    <w:p w14:paraId="48335D70">
      <w:pPr>
        <w:pStyle w:val="174"/>
        <w:numPr>
          <w:ilvl w:val="0"/>
          <w:numId w:val="37"/>
        </w:numPr>
      </w:pPr>
      <w:r>
        <w:rPr>
          <w:rFonts w:hint="eastAsia"/>
        </w:rPr>
        <w:t>使用登记证；</w:t>
      </w:r>
    </w:p>
    <w:p w14:paraId="68361C33">
      <w:pPr>
        <w:pStyle w:val="174"/>
      </w:pPr>
      <w:r>
        <w:rPr>
          <w:rFonts w:hint="eastAsia"/>
        </w:rPr>
        <w:t>《特种设备使用登记表》；</w:t>
      </w:r>
    </w:p>
    <w:p w14:paraId="2BE7392E">
      <w:pPr>
        <w:pStyle w:val="174"/>
      </w:pPr>
      <w:r>
        <w:rPr>
          <w:rFonts w:hint="eastAsia"/>
        </w:rPr>
        <w:t>产品质量合格证明（包括出厂检验报告和产品合格证）、特种设备生产许可证、整机型式试验证书、使用维护保养说明；</w:t>
      </w:r>
    </w:p>
    <w:p w14:paraId="77D35EC4">
      <w:pPr>
        <w:pStyle w:val="174"/>
      </w:pPr>
      <w:r>
        <w:rPr>
          <w:rFonts w:hint="eastAsia"/>
        </w:rPr>
        <w:t>首次检验报告；</w:t>
      </w:r>
    </w:p>
    <w:p w14:paraId="4786FB07">
      <w:pPr>
        <w:pStyle w:val="174"/>
      </w:pPr>
      <w:r>
        <w:rPr>
          <w:rFonts w:hint="eastAsia"/>
        </w:rPr>
        <w:t>定期自行检查记录（报告）和定期检验报告；</w:t>
      </w:r>
    </w:p>
    <w:p w14:paraId="5865AE5E">
      <w:pPr>
        <w:pStyle w:val="174"/>
      </w:pPr>
      <w:r>
        <w:rPr>
          <w:rFonts w:hint="eastAsia"/>
        </w:rPr>
        <w:t>维护保养记录；</w:t>
      </w:r>
    </w:p>
    <w:p w14:paraId="16C6B1A0">
      <w:pPr>
        <w:pStyle w:val="174"/>
      </w:pPr>
      <w:r>
        <w:rPr>
          <w:rFonts w:hint="eastAsia"/>
        </w:rPr>
        <w:t>故障和事故记录及事故处理报告；</w:t>
      </w:r>
    </w:p>
    <w:p w14:paraId="187E2D9F">
      <w:pPr>
        <w:pStyle w:val="174"/>
      </w:pPr>
      <w:r>
        <w:rPr>
          <w:rFonts w:hint="eastAsia"/>
        </w:rPr>
        <w:t>应急预案、演练记录等应急资料；</w:t>
      </w:r>
    </w:p>
    <w:p w14:paraId="0C04F2CC">
      <w:pPr>
        <w:pStyle w:val="174"/>
      </w:pPr>
      <w:r>
        <w:rPr>
          <w:rFonts w:hint="eastAsia"/>
        </w:rPr>
        <w:t>风险管控和隐患排查治理；</w:t>
      </w:r>
    </w:p>
    <w:p w14:paraId="26A19862">
      <w:pPr>
        <w:pStyle w:val="174"/>
      </w:pPr>
      <w:r>
        <w:rPr>
          <w:rFonts w:hint="eastAsia"/>
        </w:rPr>
        <w:t>人员培训、考核和证书档案；</w:t>
      </w:r>
    </w:p>
    <w:p w14:paraId="26723625">
      <w:pPr>
        <w:pStyle w:val="174"/>
      </w:pPr>
      <w:r>
        <w:rPr>
          <w:rFonts w:hint="eastAsia"/>
        </w:rPr>
        <w:t>其他。</w:t>
      </w:r>
    </w:p>
    <w:p w14:paraId="5E969790">
      <w:pPr>
        <w:pStyle w:val="174"/>
        <w:sectPr>
          <w:pgSz w:w="11906" w:h="16838"/>
          <w:pgMar w:top="1928" w:right="1134" w:bottom="1134" w:left="1134" w:header="1418" w:footer="1134" w:gutter="284"/>
          <w:pgNumType w:start="1"/>
          <w:cols w:space="425" w:num="1"/>
          <w:formProt w:val="0"/>
          <w:docGrid w:type="lines" w:linePitch="312" w:charSpace="0"/>
        </w:sectPr>
      </w:pPr>
    </w:p>
    <w:bookmarkEnd w:id="25"/>
    <w:p w14:paraId="141DE02C">
      <w:pPr>
        <w:pStyle w:val="198"/>
      </w:pPr>
      <w:bookmarkStart w:id="73" w:name="BookMark5"/>
    </w:p>
    <w:p w14:paraId="04D2027C">
      <w:pPr>
        <w:pStyle w:val="199"/>
      </w:pPr>
    </w:p>
    <w:p w14:paraId="1E29A31F">
      <w:pPr>
        <w:pStyle w:val="76"/>
        <w:spacing w:after="156"/>
      </w:pPr>
      <w:r>
        <w:br w:type="textWrapping"/>
      </w:r>
      <w:bookmarkStart w:id="74" w:name="_Toc193115869"/>
      <w:r>
        <w:rPr>
          <w:rFonts w:hint="eastAsia"/>
        </w:rPr>
        <w:t>（资料性）</w:t>
      </w:r>
      <w:r>
        <w:br w:type="textWrapping"/>
      </w:r>
      <w:r>
        <w:rPr>
          <w:rFonts w:hint="eastAsia"/>
        </w:rPr>
        <w:t>场车涉及主要法律法规、安全技术规范和标准</w:t>
      </w:r>
      <w:bookmarkEnd w:id="74"/>
    </w:p>
    <w:p w14:paraId="2248C7AE">
      <w:pPr>
        <w:pStyle w:val="56"/>
        <w:ind w:firstLine="420"/>
      </w:pPr>
      <w:r>
        <w:rPr>
          <w:rFonts w:hint="eastAsia"/>
        </w:rPr>
        <w:t>场车涉及主要法律法规、安全技术规范和标准见表A</w:t>
      </w:r>
      <w:r>
        <w:t>.1</w:t>
      </w:r>
      <w:r>
        <w:rPr>
          <w:rFonts w:hint="eastAsia"/>
        </w:rPr>
        <w:t>。</w:t>
      </w:r>
    </w:p>
    <w:p w14:paraId="61CA1393">
      <w:pPr>
        <w:pStyle w:val="77"/>
        <w:spacing w:before="156" w:after="156"/>
      </w:pPr>
      <w:r>
        <w:rPr>
          <w:rFonts w:hint="eastAsia"/>
        </w:rPr>
        <w:t>场车涉及主要法律法规、安全技术规范和标准</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380"/>
        <w:gridCol w:w="2599"/>
        <w:gridCol w:w="3847"/>
        <w:gridCol w:w="1015"/>
      </w:tblGrid>
      <w:tr w14:paraId="01867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4A02D9BE">
            <w:pPr>
              <w:widowControl/>
              <w:tabs>
                <w:tab w:val="left" w:pos="5813"/>
              </w:tabs>
              <w:jc w:val="center"/>
              <w:rPr>
                <w:rFonts w:ascii="宋体" w:hAnsi="宋体" w:cs="宋体"/>
                <w:color w:val="000000"/>
                <w:kern w:val="0"/>
              </w:rPr>
            </w:pPr>
            <w:r>
              <w:rPr>
                <w:rFonts w:hint="eastAsia" w:ascii="宋体" w:hAnsi="宋体" w:cs="宋体"/>
                <w:color w:val="000000"/>
                <w:kern w:val="0"/>
              </w:rPr>
              <w:t>序号</w:t>
            </w:r>
          </w:p>
        </w:tc>
        <w:tc>
          <w:tcPr>
            <w:tcW w:w="721" w:type="pct"/>
            <w:vAlign w:val="center"/>
          </w:tcPr>
          <w:p w14:paraId="5007EBED">
            <w:pPr>
              <w:widowControl/>
              <w:tabs>
                <w:tab w:val="left" w:pos="5813"/>
              </w:tabs>
              <w:jc w:val="center"/>
              <w:rPr>
                <w:rFonts w:ascii="宋体" w:hAnsi="宋体" w:cs="宋体"/>
                <w:color w:val="000000"/>
                <w:kern w:val="0"/>
              </w:rPr>
            </w:pPr>
            <w:r>
              <w:rPr>
                <w:rFonts w:hint="eastAsia" w:ascii="宋体" w:hAnsi="宋体" w:cs="宋体"/>
                <w:color w:val="000000"/>
                <w:kern w:val="0"/>
              </w:rPr>
              <w:t>类别</w:t>
            </w:r>
          </w:p>
        </w:tc>
        <w:tc>
          <w:tcPr>
            <w:tcW w:w="1358" w:type="pct"/>
            <w:vAlign w:val="center"/>
          </w:tcPr>
          <w:p w14:paraId="42B909A5">
            <w:pPr>
              <w:widowControl/>
              <w:tabs>
                <w:tab w:val="left" w:pos="5813"/>
              </w:tabs>
              <w:jc w:val="center"/>
              <w:rPr>
                <w:rFonts w:ascii="宋体" w:hAnsi="宋体" w:cs="宋体"/>
                <w:color w:val="000000"/>
                <w:kern w:val="0"/>
              </w:rPr>
            </w:pPr>
            <w:r>
              <w:rPr>
                <w:rFonts w:hint="eastAsia" w:ascii="宋体" w:hAnsi="宋体" w:cs="宋体"/>
                <w:color w:val="000000"/>
                <w:kern w:val="0"/>
              </w:rPr>
              <w:t>发布号/标准号</w:t>
            </w:r>
          </w:p>
        </w:tc>
        <w:tc>
          <w:tcPr>
            <w:tcW w:w="2010" w:type="pct"/>
            <w:vAlign w:val="center"/>
          </w:tcPr>
          <w:p w14:paraId="7FDFA6FF">
            <w:pPr>
              <w:widowControl/>
              <w:tabs>
                <w:tab w:val="left" w:pos="5813"/>
              </w:tabs>
              <w:jc w:val="center"/>
              <w:rPr>
                <w:rFonts w:ascii="宋体" w:hAnsi="宋体" w:cs="宋体"/>
                <w:color w:val="000000"/>
                <w:kern w:val="0"/>
              </w:rPr>
            </w:pPr>
            <w:r>
              <w:rPr>
                <w:rFonts w:hint="eastAsia" w:ascii="宋体" w:hAnsi="宋体" w:cs="宋体"/>
                <w:color w:val="000000"/>
                <w:kern w:val="0"/>
              </w:rPr>
              <w:t>名称</w:t>
            </w:r>
          </w:p>
        </w:tc>
        <w:tc>
          <w:tcPr>
            <w:tcW w:w="530" w:type="pct"/>
            <w:vAlign w:val="center"/>
          </w:tcPr>
          <w:p w14:paraId="356B1459">
            <w:pPr>
              <w:widowControl/>
              <w:tabs>
                <w:tab w:val="left" w:pos="5813"/>
              </w:tabs>
              <w:jc w:val="center"/>
              <w:rPr>
                <w:rFonts w:ascii="宋体" w:hAnsi="宋体" w:cs="宋体"/>
                <w:color w:val="000000"/>
                <w:kern w:val="0"/>
              </w:rPr>
            </w:pPr>
            <w:r>
              <w:rPr>
                <w:rFonts w:hint="eastAsia" w:ascii="宋体" w:hAnsi="宋体" w:cs="宋体"/>
                <w:color w:val="000000"/>
                <w:kern w:val="0"/>
              </w:rPr>
              <w:t>备注</w:t>
            </w:r>
          </w:p>
        </w:tc>
      </w:tr>
      <w:tr w14:paraId="4091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1" w:type="pct"/>
            <w:vAlign w:val="center"/>
          </w:tcPr>
          <w:p w14:paraId="744A4615">
            <w:pPr>
              <w:widowControl/>
              <w:tabs>
                <w:tab w:val="left" w:pos="5813"/>
              </w:tabs>
              <w:jc w:val="center"/>
              <w:rPr>
                <w:rFonts w:ascii="宋体" w:hAnsi="宋体" w:cs="宋体"/>
                <w:color w:val="000000"/>
                <w:kern w:val="0"/>
              </w:rPr>
            </w:pPr>
            <w:r>
              <w:rPr>
                <w:rFonts w:hint="eastAsia" w:ascii="宋体" w:hAnsi="宋体" w:cs="宋体"/>
                <w:color w:val="000000"/>
                <w:kern w:val="0"/>
              </w:rPr>
              <w:t>1</w:t>
            </w:r>
          </w:p>
        </w:tc>
        <w:tc>
          <w:tcPr>
            <w:tcW w:w="721" w:type="pct"/>
            <w:vAlign w:val="center"/>
          </w:tcPr>
          <w:p w14:paraId="418B0A22">
            <w:pPr>
              <w:widowControl/>
              <w:tabs>
                <w:tab w:val="left" w:pos="5813"/>
              </w:tabs>
              <w:jc w:val="center"/>
              <w:rPr>
                <w:rFonts w:ascii="宋体" w:hAnsi="宋体" w:cs="宋体"/>
                <w:color w:val="000000"/>
                <w:kern w:val="0"/>
              </w:rPr>
            </w:pPr>
            <w:r>
              <w:rPr>
                <w:rFonts w:hint="eastAsia" w:ascii="宋体" w:hAnsi="宋体" w:cs="宋体"/>
                <w:color w:val="000000"/>
                <w:kern w:val="0"/>
              </w:rPr>
              <w:t>法律</w:t>
            </w:r>
          </w:p>
        </w:tc>
        <w:tc>
          <w:tcPr>
            <w:tcW w:w="1358" w:type="pct"/>
            <w:vAlign w:val="center"/>
          </w:tcPr>
          <w:p w14:paraId="00E47AE0">
            <w:pPr>
              <w:widowControl/>
              <w:tabs>
                <w:tab w:val="left" w:pos="5813"/>
              </w:tabs>
              <w:rPr>
                <w:rFonts w:ascii="宋体" w:hAnsi="宋体" w:cs="宋体"/>
                <w:color w:val="000000"/>
                <w:kern w:val="0"/>
              </w:rPr>
            </w:pPr>
            <w:r>
              <w:rPr>
                <w:rFonts w:hint="eastAsia" w:ascii="宋体" w:hAnsi="宋体" w:cs="宋体"/>
                <w:color w:val="000000"/>
                <w:kern w:val="0"/>
              </w:rPr>
              <w:t>主席令第四号</w:t>
            </w:r>
          </w:p>
        </w:tc>
        <w:tc>
          <w:tcPr>
            <w:tcW w:w="2010" w:type="pct"/>
            <w:vAlign w:val="center"/>
          </w:tcPr>
          <w:p w14:paraId="38DC8FF1">
            <w:pPr>
              <w:widowControl/>
              <w:tabs>
                <w:tab w:val="left" w:pos="5813"/>
              </w:tabs>
              <w:rPr>
                <w:rFonts w:ascii="宋体" w:hAnsi="宋体" w:cs="宋体"/>
                <w:color w:val="000000"/>
                <w:kern w:val="0"/>
              </w:rPr>
            </w:pPr>
            <w:r>
              <w:rPr>
                <w:rFonts w:hint="eastAsia" w:ascii="宋体" w:hAnsi="宋体" w:cs="宋体"/>
                <w:color w:val="000000"/>
                <w:kern w:val="0"/>
              </w:rPr>
              <w:t>中华人民共和国特种设备安全法</w:t>
            </w:r>
          </w:p>
        </w:tc>
        <w:tc>
          <w:tcPr>
            <w:tcW w:w="530" w:type="pct"/>
            <w:vAlign w:val="center"/>
          </w:tcPr>
          <w:p w14:paraId="1D4C9A15">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556A8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0CB46B8F">
            <w:pPr>
              <w:widowControl/>
              <w:tabs>
                <w:tab w:val="left" w:pos="5813"/>
              </w:tabs>
              <w:jc w:val="center"/>
              <w:rPr>
                <w:rFonts w:ascii="宋体" w:hAnsi="宋体" w:cs="宋体"/>
                <w:color w:val="000000"/>
                <w:kern w:val="0"/>
              </w:rPr>
            </w:pPr>
            <w:r>
              <w:rPr>
                <w:rFonts w:hint="eastAsia" w:ascii="宋体" w:hAnsi="宋体" w:cs="宋体"/>
                <w:color w:val="000000"/>
                <w:kern w:val="0"/>
              </w:rPr>
              <w:t>2</w:t>
            </w:r>
          </w:p>
        </w:tc>
        <w:tc>
          <w:tcPr>
            <w:tcW w:w="721" w:type="pct"/>
            <w:vAlign w:val="center"/>
          </w:tcPr>
          <w:p w14:paraId="40D376F8">
            <w:pPr>
              <w:widowControl/>
              <w:tabs>
                <w:tab w:val="left" w:pos="5813"/>
              </w:tabs>
              <w:jc w:val="center"/>
              <w:rPr>
                <w:rFonts w:ascii="宋体" w:hAnsi="宋体" w:cs="宋体"/>
                <w:color w:val="000000"/>
                <w:kern w:val="0"/>
              </w:rPr>
            </w:pPr>
            <w:r>
              <w:rPr>
                <w:rFonts w:hint="eastAsia" w:ascii="宋体" w:hAnsi="宋体" w:cs="宋体"/>
                <w:color w:val="000000"/>
                <w:kern w:val="0"/>
              </w:rPr>
              <w:t>行政法规</w:t>
            </w:r>
          </w:p>
        </w:tc>
        <w:tc>
          <w:tcPr>
            <w:tcW w:w="1358" w:type="pct"/>
            <w:vAlign w:val="center"/>
          </w:tcPr>
          <w:p w14:paraId="5D44848E">
            <w:pPr>
              <w:widowControl/>
              <w:tabs>
                <w:tab w:val="left" w:pos="5813"/>
              </w:tabs>
              <w:rPr>
                <w:rFonts w:ascii="宋体" w:hAnsi="宋体" w:cs="宋体"/>
                <w:color w:val="000000"/>
                <w:kern w:val="0"/>
              </w:rPr>
            </w:pPr>
            <w:r>
              <w:rPr>
                <w:rFonts w:hint="eastAsia" w:ascii="宋体" w:hAnsi="宋体" w:cs="宋体"/>
                <w:color w:val="000000"/>
                <w:kern w:val="0"/>
              </w:rPr>
              <w:t xml:space="preserve">国务院令第 </w:t>
            </w:r>
            <w:r>
              <w:rPr>
                <w:rFonts w:hint="eastAsia" w:ascii="宋体" w:hAnsi="宋体" w:cs="宋体"/>
                <w:color w:val="000000"/>
                <w:kern w:val="0"/>
                <w:lang w:val="en-US" w:eastAsia="zh-CN"/>
              </w:rPr>
              <w:t>549</w:t>
            </w:r>
            <w:r>
              <w:rPr>
                <w:rFonts w:hint="eastAsia" w:ascii="宋体" w:hAnsi="宋体" w:cs="宋体"/>
                <w:color w:val="000000"/>
                <w:kern w:val="0"/>
              </w:rPr>
              <w:t xml:space="preserve"> 号 </w:t>
            </w:r>
          </w:p>
        </w:tc>
        <w:tc>
          <w:tcPr>
            <w:tcW w:w="2010" w:type="pct"/>
            <w:vAlign w:val="center"/>
          </w:tcPr>
          <w:p w14:paraId="0FADAED7">
            <w:pPr>
              <w:widowControl/>
              <w:tabs>
                <w:tab w:val="left" w:pos="5813"/>
              </w:tabs>
              <w:rPr>
                <w:rFonts w:ascii="宋体" w:hAnsi="宋体" w:cs="宋体"/>
                <w:color w:val="000000"/>
                <w:kern w:val="0"/>
              </w:rPr>
            </w:pPr>
            <w:r>
              <w:rPr>
                <w:rFonts w:hint="eastAsia" w:ascii="宋体" w:hAnsi="宋体" w:cs="宋体"/>
                <w:color w:val="000000"/>
                <w:kern w:val="0"/>
              </w:rPr>
              <w:t>特种设备安全监察条例</w:t>
            </w:r>
          </w:p>
        </w:tc>
        <w:tc>
          <w:tcPr>
            <w:tcW w:w="530" w:type="pct"/>
            <w:vAlign w:val="center"/>
          </w:tcPr>
          <w:p w14:paraId="05289151">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2B7A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1" w:type="pct"/>
            <w:vMerge w:val="restart"/>
            <w:vAlign w:val="center"/>
          </w:tcPr>
          <w:p w14:paraId="1167FCC5">
            <w:pPr>
              <w:widowControl/>
              <w:tabs>
                <w:tab w:val="left" w:pos="5813"/>
              </w:tabs>
              <w:jc w:val="center"/>
              <w:rPr>
                <w:rFonts w:ascii="宋体" w:hAnsi="宋体" w:cs="宋体"/>
                <w:color w:val="000000"/>
                <w:kern w:val="0"/>
              </w:rPr>
            </w:pPr>
            <w:r>
              <w:rPr>
                <w:rFonts w:hint="eastAsia" w:ascii="宋体" w:hAnsi="宋体" w:cs="宋体"/>
                <w:color w:val="000000"/>
                <w:kern w:val="0"/>
              </w:rPr>
              <w:t>3</w:t>
            </w:r>
          </w:p>
        </w:tc>
        <w:tc>
          <w:tcPr>
            <w:tcW w:w="721" w:type="pct"/>
            <w:vMerge w:val="restart"/>
            <w:vAlign w:val="center"/>
          </w:tcPr>
          <w:p w14:paraId="2996D621">
            <w:pPr>
              <w:widowControl/>
              <w:tabs>
                <w:tab w:val="left" w:pos="5813"/>
              </w:tabs>
              <w:jc w:val="center"/>
              <w:rPr>
                <w:rFonts w:ascii="宋体" w:hAnsi="宋体" w:cs="宋体"/>
                <w:color w:val="000000"/>
                <w:kern w:val="0"/>
              </w:rPr>
            </w:pPr>
            <w:r>
              <w:rPr>
                <w:rFonts w:hint="eastAsia" w:ascii="宋体" w:hAnsi="宋体" w:cs="宋体"/>
                <w:color w:val="000000"/>
                <w:kern w:val="0"/>
              </w:rPr>
              <w:t>部门规章</w:t>
            </w:r>
          </w:p>
        </w:tc>
        <w:tc>
          <w:tcPr>
            <w:tcW w:w="1358" w:type="pct"/>
            <w:vAlign w:val="center"/>
          </w:tcPr>
          <w:p w14:paraId="6FF69A07">
            <w:pPr>
              <w:widowControl/>
              <w:tabs>
                <w:tab w:val="left" w:pos="5813"/>
              </w:tabs>
              <w:rPr>
                <w:rFonts w:ascii="宋体" w:hAnsi="宋体" w:cs="宋体"/>
                <w:color w:val="000000"/>
                <w:kern w:val="0"/>
              </w:rPr>
            </w:pPr>
            <w:r>
              <w:rPr>
                <w:rFonts w:hint="eastAsia" w:ascii="宋体" w:hAnsi="宋体" w:cs="宋体"/>
                <w:color w:val="000000"/>
                <w:kern w:val="0"/>
              </w:rPr>
              <w:t>质检总局关于修订《特种设备目录》的公告（2014 年第 114 号）</w:t>
            </w:r>
          </w:p>
        </w:tc>
        <w:tc>
          <w:tcPr>
            <w:tcW w:w="2010" w:type="pct"/>
            <w:vAlign w:val="center"/>
          </w:tcPr>
          <w:p w14:paraId="36A7940B">
            <w:pPr>
              <w:widowControl/>
              <w:tabs>
                <w:tab w:val="left" w:pos="5813"/>
              </w:tabs>
              <w:rPr>
                <w:rFonts w:ascii="宋体" w:hAnsi="宋体" w:cs="宋体"/>
                <w:color w:val="000000"/>
                <w:kern w:val="0"/>
              </w:rPr>
            </w:pPr>
            <w:r>
              <w:rPr>
                <w:rFonts w:hint="eastAsia" w:ascii="宋体" w:hAnsi="宋体" w:cs="宋体"/>
                <w:color w:val="000000"/>
                <w:kern w:val="0"/>
              </w:rPr>
              <w:t>特种设备目录</w:t>
            </w:r>
          </w:p>
        </w:tc>
        <w:tc>
          <w:tcPr>
            <w:tcW w:w="530" w:type="pct"/>
            <w:vAlign w:val="center"/>
          </w:tcPr>
          <w:p w14:paraId="42369B74">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29B77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81" w:type="pct"/>
            <w:vMerge w:val="continue"/>
            <w:vAlign w:val="center"/>
          </w:tcPr>
          <w:p w14:paraId="4418F35F">
            <w:pPr>
              <w:widowControl/>
              <w:tabs>
                <w:tab w:val="left" w:pos="5813"/>
              </w:tabs>
              <w:jc w:val="center"/>
              <w:rPr>
                <w:rFonts w:ascii="宋体" w:hAnsi="宋体" w:cs="宋体"/>
                <w:color w:val="000000"/>
                <w:kern w:val="0"/>
              </w:rPr>
            </w:pPr>
          </w:p>
        </w:tc>
        <w:tc>
          <w:tcPr>
            <w:tcW w:w="721" w:type="pct"/>
            <w:vMerge w:val="continue"/>
            <w:vAlign w:val="center"/>
          </w:tcPr>
          <w:p w14:paraId="6EBC1D81">
            <w:pPr>
              <w:widowControl/>
              <w:tabs>
                <w:tab w:val="left" w:pos="5813"/>
              </w:tabs>
              <w:jc w:val="center"/>
              <w:rPr>
                <w:rFonts w:ascii="宋体" w:hAnsi="宋体" w:cs="宋体"/>
                <w:color w:val="000000"/>
                <w:kern w:val="0"/>
              </w:rPr>
            </w:pPr>
          </w:p>
        </w:tc>
        <w:tc>
          <w:tcPr>
            <w:tcW w:w="1358" w:type="pct"/>
            <w:vAlign w:val="center"/>
          </w:tcPr>
          <w:p w14:paraId="661A0351">
            <w:pPr>
              <w:widowControl/>
              <w:tabs>
                <w:tab w:val="left" w:pos="5813"/>
              </w:tabs>
              <w:rPr>
                <w:rFonts w:ascii="宋体" w:hAnsi="宋体" w:cs="宋体"/>
                <w:color w:val="000000"/>
                <w:kern w:val="0"/>
              </w:rPr>
            </w:pPr>
            <w:r>
              <w:rPr>
                <w:rFonts w:hint="eastAsia" w:ascii="宋体" w:hAnsi="宋体" w:cs="宋体"/>
                <w:color w:val="000000"/>
                <w:kern w:val="0"/>
              </w:rPr>
              <w:t>国家市场监督管理总局令第 50 号</w:t>
            </w:r>
          </w:p>
        </w:tc>
        <w:tc>
          <w:tcPr>
            <w:tcW w:w="2010" w:type="pct"/>
            <w:vAlign w:val="center"/>
          </w:tcPr>
          <w:p w14:paraId="5D241223">
            <w:pPr>
              <w:widowControl/>
              <w:tabs>
                <w:tab w:val="left" w:pos="5813"/>
              </w:tabs>
              <w:rPr>
                <w:rFonts w:ascii="宋体" w:hAnsi="宋体" w:cs="宋体"/>
                <w:color w:val="000000"/>
                <w:kern w:val="0"/>
              </w:rPr>
            </w:pPr>
            <w:r>
              <w:rPr>
                <w:rFonts w:hint="eastAsia" w:ascii="宋体" w:hAnsi="宋体" w:cs="宋体"/>
                <w:color w:val="000000"/>
                <w:kern w:val="0"/>
              </w:rPr>
              <w:t>特种设备事故报告和调查处理规定</w:t>
            </w:r>
          </w:p>
        </w:tc>
        <w:tc>
          <w:tcPr>
            <w:tcW w:w="530" w:type="pct"/>
            <w:vAlign w:val="center"/>
          </w:tcPr>
          <w:p w14:paraId="7044D51B">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57E6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EC45CD2">
            <w:pPr>
              <w:widowControl/>
              <w:tabs>
                <w:tab w:val="left" w:pos="5813"/>
              </w:tabs>
              <w:jc w:val="center"/>
              <w:rPr>
                <w:rFonts w:ascii="宋体" w:hAnsi="宋体" w:cs="宋体"/>
                <w:color w:val="000000"/>
                <w:kern w:val="0"/>
              </w:rPr>
            </w:pPr>
          </w:p>
        </w:tc>
        <w:tc>
          <w:tcPr>
            <w:tcW w:w="721" w:type="pct"/>
            <w:vMerge w:val="continue"/>
            <w:vAlign w:val="center"/>
          </w:tcPr>
          <w:p w14:paraId="48481067">
            <w:pPr>
              <w:widowControl/>
              <w:tabs>
                <w:tab w:val="left" w:pos="5813"/>
              </w:tabs>
              <w:jc w:val="center"/>
              <w:rPr>
                <w:rFonts w:ascii="宋体" w:hAnsi="宋体" w:cs="宋体"/>
                <w:color w:val="000000"/>
                <w:kern w:val="0"/>
              </w:rPr>
            </w:pPr>
          </w:p>
        </w:tc>
        <w:tc>
          <w:tcPr>
            <w:tcW w:w="1358" w:type="pct"/>
            <w:vAlign w:val="center"/>
          </w:tcPr>
          <w:p w14:paraId="6421CEB8">
            <w:pPr>
              <w:widowControl/>
              <w:tabs>
                <w:tab w:val="left" w:pos="5813"/>
              </w:tabs>
              <w:rPr>
                <w:rFonts w:ascii="宋体" w:hAnsi="宋体" w:cs="宋体"/>
                <w:color w:val="000000"/>
                <w:kern w:val="0"/>
              </w:rPr>
            </w:pPr>
            <w:r>
              <w:rPr>
                <w:rFonts w:hint="eastAsia" w:ascii="宋体" w:hAnsi="宋体" w:cs="宋体"/>
                <w:color w:val="000000"/>
                <w:kern w:val="0"/>
              </w:rPr>
              <w:t>国家市场监督管理总局令第 74 号</w:t>
            </w:r>
          </w:p>
        </w:tc>
        <w:tc>
          <w:tcPr>
            <w:tcW w:w="2010" w:type="pct"/>
            <w:vAlign w:val="center"/>
          </w:tcPr>
          <w:p w14:paraId="6834EDDF">
            <w:pPr>
              <w:widowControl/>
              <w:tabs>
                <w:tab w:val="left" w:pos="5813"/>
              </w:tabs>
              <w:rPr>
                <w:rFonts w:ascii="宋体" w:hAnsi="宋体" w:cs="宋体"/>
                <w:color w:val="000000"/>
                <w:kern w:val="0"/>
              </w:rPr>
            </w:pPr>
            <w:r>
              <w:rPr>
                <w:rFonts w:hint="eastAsia" w:ascii="宋体" w:hAnsi="宋体" w:cs="宋体"/>
                <w:color w:val="000000"/>
                <w:kern w:val="0"/>
              </w:rPr>
              <w:t>特种设备使用单位落实使用安全主体责任监督管理规定</w:t>
            </w:r>
          </w:p>
        </w:tc>
        <w:tc>
          <w:tcPr>
            <w:tcW w:w="530" w:type="pct"/>
            <w:vAlign w:val="center"/>
          </w:tcPr>
          <w:p w14:paraId="36C359FA">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37D5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restart"/>
            <w:vAlign w:val="center"/>
          </w:tcPr>
          <w:p w14:paraId="090926BB">
            <w:pPr>
              <w:widowControl/>
              <w:tabs>
                <w:tab w:val="left" w:pos="5813"/>
              </w:tabs>
              <w:jc w:val="center"/>
              <w:rPr>
                <w:rFonts w:ascii="宋体" w:hAnsi="宋体" w:cs="宋体"/>
                <w:color w:val="000000"/>
                <w:kern w:val="0"/>
              </w:rPr>
            </w:pPr>
            <w:r>
              <w:rPr>
                <w:rFonts w:hint="eastAsia" w:ascii="宋体" w:hAnsi="宋体" w:cs="宋体"/>
                <w:color w:val="000000"/>
                <w:kern w:val="0"/>
              </w:rPr>
              <w:t>4</w:t>
            </w:r>
          </w:p>
        </w:tc>
        <w:tc>
          <w:tcPr>
            <w:tcW w:w="721" w:type="pct"/>
            <w:vMerge w:val="restart"/>
            <w:vAlign w:val="center"/>
          </w:tcPr>
          <w:p w14:paraId="1540A7B0">
            <w:pPr>
              <w:widowControl/>
              <w:tabs>
                <w:tab w:val="left" w:pos="5813"/>
              </w:tabs>
              <w:jc w:val="center"/>
              <w:rPr>
                <w:rFonts w:ascii="宋体" w:hAnsi="宋体" w:cs="宋体"/>
                <w:color w:val="000000"/>
                <w:kern w:val="0"/>
              </w:rPr>
            </w:pPr>
            <w:r>
              <w:rPr>
                <w:rFonts w:hint="eastAsia" w:ascii="宋体" w:hAnsi="宋体" w:cs="宋体"/>
                <w:color w:val="000000"/>
                <w:kern w:val="0"/>
              </w:rPr>
              <w:t>规范性文件</w:t>
            </w:r>
          </w:p>
        </w:tc>
        <w:tc>
          <w:tcPr>
            <w:tcW w:w="1358" w:type="pct"/>
            <w:vAlign w:val="center"/>
          </w:tcPr>
          <w:p w14:paraId="52E2C8FC">
            <w:pPr>
              <w:widowControl/>
              <w:tabs>
                <w:tab w:val="left" w:pos="5813"/>
              </w:tabs>
              <w:rPr>
                <w:rFonts w:hint="eastAsia" w:ascii="宋体" w:hAnsi="宋体" w:cs="宋体"/>
                <w:color w:val="000000"/>
                <w:kern w:val="0"/>
              </w:rPr>
            </w:pPr>
            <w:r>
              <w:rPr>
                <w:rFonts w:hint="eastAsia" w:ascii="宋体" w:hAnsi="宋体" w:cs="宋体"/>
                <w:color w:val="000000"/>
                <w:kern w:val="0"/>
              </w:rPr>
              <w:t>国家市场监督管理总局公告第 41 号</w:t>
            </w:r>
          </w:p>
        </w:tc>
        <w:tc>
          <w:tcPr>
            <w:tcW w:w="2010" w:type="pct"/>
            <w:vAlign w:val="center"/>
          </w:tcPr>
          <w:p w14:paraId="1B9BA777">
            <w:pPr>
              <w:widowControl/>
              <w:tabs>
                <w:tab w:val="left" w:pos="5813"/>
              </w:tabs>
              <w:rPr>
                <w:rFonts w:hint="eastAsia" w:ascii="宋体" w:hAnsi="宋体" w:cs="宋体"/>
                <w:color w:val="000000"/>
                <w:kern w:val="0"/>
              </w:rPr>
            </w:pPr>
            <w:bookmarkStart w:id="75" w:name="OLE_LINK34"/>
            <w:bookmarkStart w:id="76" w:name="OLE_LINK35"/>
            <w:r>
              <w:rPr>
                <w:rFonts w:hint="eastAsia" w:ascii="宋体" w:hAnsi="宋体" w:cs="宋体"/>
                <w:color w:val="000000"/>
                <w:kern w:val="0"/>
              </w:rPr>
              <w:t>市场监管总局关于特种设备行政许可有关事项的公告</w:t>
            </w:r>
            <w:bookmarkEnd w:id="75"/>
            <w:bookmarkEnd w:id="76"/>
          </w:p>
        </w:tc>
        <w:tc>
          <w:tcPr>
            <w:tcW w:w="530" w:type="pct"/>
            <w:vAlign w:val="center"/>
          </w:tcPr>
          <w:p w14:paraId="24E7D317">
            <w:pPr>
              <w:widowControl/>
              <w:tabs>
                <w:tab w:val="left" w:pos="5813"/>
              </w:tabs>
              <w:jc w:val="center"/>
              <w:rPr>
                <w:rFonts w:hint="eastAsia" w:ascii="宋体" w:hAnsi="宋体" w:cs="宋体"/>
                <w:color w:val="000000"/>
                <w:kern w:val="0"/>
              </w:rPr>
            </w:pPr>
            <w:r>
              <w:rPr>
                <w:rFonts w:hint="eastAsia" w:ascii="宋体" w:hAnsi="宋体" w:cs="宋体"/>
                <w:color w:val="000000"/>
                <w:kern w:val="0"/>
              </w:rPr>
              <w:t>强制性</w:t>
            </w:r>
          </w:p>
        </w:tc>
      </w:tr>
      <w:tr w14:paraId="5503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21485CD">
            <w:pPr>
              <w:widowControl/>
              <w:tabs>
                <w:tab w:val="left" w:pos="5813"/>
              </w:tabs>
              <w:jc w:val="center"/>
              <w:rPr>
                <w:rFonts w:ascii="宋体" w:hAnsi="宋体" w:cs="宋体"/>
                <w:color w:val="000000"/>
                <w:kern w:val="0"/>
              </w:rPr>
            </w:pPr>
          </w:p>
        </w:tc>
        <w:tc>
          <w:tcPr>
            <w:tcW w:w="721" w:type="pct"/>
            <w:vMerge w:val="continue"/>
            <w:vAlign w:val="center"/>
          </w:tcPr>
          <w:p w14:paraId="75E18A3A">
            <w:pPr>
              <w:widowControl/>
              <w:tabs>
                <w:tab w:val="left" w:pos="5813"/>
              </w:tabs>
              <w:jc w:val="center"/>
              <w:rPr>
                <w:rFonts w:ascii="宋体" w:hAnsi="宋体" w:cs="宋体"/>
                <w:color w:val="000000"/>
                <w:kern w:val="0"/>
              </w:rPr>
            </w:pPr>
          </w:p>
        </w:tc>
        <w:tc>
          <w:tcPr>
            <w:tcW w:w="1358" w:type="pct"/>
            <w:vAlign w:val="center"/>
          </w:tcPr>
          <w:p w14:paraId="5F125D1E">
            <w:pPr>
              <w:widowControl/>
              <w:tabs>
                <w:tab w:val="left" w:pos="5813"/>
              </w:tabs>
              <w:rPr>
                <w:rFonts w:hint="eastAsia" w:ascii="宋体" w:hAnsi="宋体" w:cs="宋体"/>
                <w:color w:val="000000"/>
                <w:kern w:val="0"/>
              </w:rPr>
            </w:pPr>
            <w:bookmarkStart w:id="77" w:name="OLE_LINK58"/>
            <w:bookmarkStart w:id="78" w:name="OLE_LINK57"/>
            <w:r>
              <w:rPr>
                <w:rFonts w:hint="eastAsia" w:ascii="宋体" w:hAnsi="宋体" w:cs="宋体"/>
                <w:color w:val="000000"/>
                <w:kern w:val="0"/>
              </w:rPr>
              <w:t>质检总局（国质检特〔2014〕679 号）</w:t>
            </w:r>
            <w:bookmarkEnd w:id="77"/>
            <w:bookmarkEnd w:id="78"/>
          </w:p>
        </w:tc>
        <w:tc>
          <w:tcPr>
            <w:tcW w:w="2010" w:type="pct"/>
            <w:vAlign w:val="center"/>
          </w:tcPr>
          <w:p w14:paraId="75F8D642">
            <w:pPr>
              <w:widowControl/>
              <w:tabs>
                <w:tab w:val="left" w:pos="5813"/>
              </w:tabs>
              <w:rPr>
                <w:rFonts w:hint="eastAsia" w:ascii="宋体" w:hAnsi="宋体" w:cs="宋体"/>
                <w:color w:val="000000"/>
                <w:kern w:val="0"/>
              </w:rPr>
            </w:pPr>
            <w:r>
              <w:rPr>
                <w:rFonts w:hint="eastAsia" w:ascii="宋体" w:hAnsi="宋体" w:cs="宋体"/>
                <w:color w:val="000000"/>
                <w:kern w:val="0"/>
              </w:rPr>
              <w:t>质检总局关于实施新修订的《特种设备目录》若干问题的意见</w:t>
            </w:r>
          </w:p>
        </w:tc>
        <w:tc>
          <w:tcPr>
            <w:tcW w:w="530" w:type="pct"/>
            <w:vAlign w:val="center"/>
          </w:tcPr>
          <w:p w14:paraId="39FD9480">
            <w:pPr>
              <w:widowControl/>
              <w:tabs>
                <w:tab w:val="left" w:pos="5813"/>
              </w:tabs>
              <w:jc w:val="center"/>
              <w:rPr>
                <w:rFonts w:hint="eastAsia" w:ascii="宋体" w:hAnsi="宋体" w:cs="宋体"/>
                <w:color w:val="000000"/>
                <w:kern w:val="0"/>
              </w:rPr>
            </w:pPr>
            <w:r>
              <w:rPr>
                <w:rFonts w:hint="eastAsia" w:ascii="宋体" w:hAnsi="宋体" w:cs="宋体"/>
                <w:color w:val="000000"/>
                <w:kern w:val="0"/>
              </w:rPr>
              <w:t>强制性</w:t>
            </w:r>
          </w:p>
        </w:tc>
      </w:tr>
      <w:tr w14:paraId="6AE8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restart"/>
            <w:vAlign w:val="center"/>
          </w:tcPr>
          <w:p w14:paraId="18DF3A72">
            <w:pPr>
              <w:widowControl/>
              <w:tabs>
                <w:tab w:val="left" w:pos="5813"/>
              </w:tabs>
              <w:jc w:val="center"/>
              <w:rPr>
                <w:rFonts w:ascii="宋体" w:hAnsi="宋体" w:cs="宋体"/>
                <w:color w:val="000000"/>
                <w:kern w:val="0"/>
              </w:rPr>
            </w:pPr>
            <w:r>
              <w:rPr>
                <w:rFonts w:hint="eastAsia" w:ascii="宋体" w:hAnsi="宋体" w:cs="宋体"/>
                <w:color w:val="000000"/>
                <w:kern w:val="0"/>
              </w:rPr>
              <w:t>5</w:t>
            </w:r>
          </w:p>
        </w:tc>
        <w:tc>
          <w:tcPr>
            <w:tcW w:w="721" w:type="pct"/>
            <w:vMerge w:val="restart"/>
            <w:vAlign w:val="center"/>
          </w:tcPr>
          <w:p w14:paraId="3BCFE7DE">
            <w:pPr>
              <w:widowControl/>
              <w:tabs>
                <w:tab w:val="left" w:pos="5813"/>
              </w:tabs>
              <w:jc w:val="center"/>
              <w:rPr>
                <w:rFonts w:ascii="宋体" w:hAnsi="宋体" w:cs="宋体"/>
                <w:color w:val="000000"/>
                <w:kern w:val="0"/>
              </w:rPr>
            </w:pPr>
            <w:r>
              <w:rPr>
                <w:rFonts w:hint="eastAsia" w:ascii="宋体" w:hAnsi="宋体" w:cs="宋体"/>
                <w:color w:val="000000"/>
                <w:kern w:val="0"/>
              </w:rPr>
              <w:t>安全技术规范</w:t>
            </w:r>
          </w:p>
        </w:tc>
        <w:tc>
          <w:tcPr>
            <w:tcW w:w="1358" w:type="pct"/>
            <w:vAlign w:val="center"/>
          </w:tcPr>
          <w:p w14:paraId="44D39716">
            <w:pPr>
              <w:widowControl/>
              <w:tabs>
                <w:tab w:val="left" w:pos="5813"/>
              </w:tabs>
              <w:rPr>
                <w:rFonts w:ascii="宋体" w:hAnsi="宋体" w:cs="宋体"/>
                <w:color w:val="000000"/>
                <w:kern w:val="0"/>
              </w:rPr>
            </w:pPr>
            <w:r>
              <w:rPr>
                <w:rFonts w:hint="eastAsia" w:ascii="宋体" w:hAnsi="宋体" w:cs="宋体"/>
                <w:color w:val="000000"/>
                <w:kern w:val="0"/>
              </w:rPr>
              <w:t xml:space="preserve">TSG </w:t>
            </w:r>
            <w:bookmarkStart w:id="79" w:name="OLE_LINK60"/>
            <w:bookmarkStart w:id="80" w:name="OLE_LINK59"/>
            <w:r>
              <w:rPr>
                <w:rFonts w:hint="eastAsia" w:ascii="宋体" w:hAnsi="宋体" w:cs="宋体"/>
                <w:color w:val="000000"/>
                <w:kern w:val="0"/>
              </w:rPr>
              <w:t>08-201</w:t>
            </w:r>
            <w:bookmarkEnd w:id="79"/>
            <w:bookmarkEnd w:id="80"/>
            <w:r>
              <w:rPr>
                <w:rFonts w:hint="eastAsia" w:ascii="宋体" w:hAnsi="宋体" w:cs="宋体"/>
                <w:color w:val="000000"/>
                <w:kern w:val="0"/>
              </w:rPr>
              <w:t>7</w:t>
            </w:r>
          </w:p>
        </w:tc>
        <w:tc>
          <w:tcPr>
            <w:tcW w:w="2010" w:type="pct"/>
            <w:vAlign w:val="center"/>
          </w:tcPr>
          <w:p w14:paraId="54D5ED1E">
            <w:pPr>
              <w:widowControl/>
              <w:tabs>
                <w:tab w:val="left" w:pos="5813"/>
              </w:tabs>
              <w:rPr>
                <w:rFonts w:ascii="宋体" w:hAnsi="宋体" w:cs="宋体"/>
                <w:color w:val="000000"/>
                <w:kern w:val="0"/>
              </w:rPr>
            </w:pPr>
            <w:r>
              <w:rPr>
                <w:rFonts w:hint="eastAsia" w:ascii="宋体" w:hAnsi="宋体" w:cs="宋体"/>
                <w:color w:val="000000"/>
                <w:kern w:val="0"/>
              </w:rPr>
              <w:t>特种设备使用管理规则</w:t>
            </w:r>
          </w:p>
        </w:tc>
        <w:tc>
          <w:tcPr>
            <w:tcW w:w="530" w:type="pct"/>
            <w:vAlign w:val="center"/>
          </w:tcPr>
          <w:p w14:paraId="6A33EFFF">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68CE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1A07F0E">
            <w:pPr>
              <w:widowControl/>
              <w:tabs>
                <w:tab w:val="left" w:pos="5813"/>
              </w:tabs>
              <w:jc w:val="center"/>
              <w:rPr>
                <w:rFonts w:ascii="宋体" w:hAnsi="宋体" w:cs="宋体"/>
                <w:color w:val="000000"/>
                <w:kern w:val="0"/>
              </w:rPr>
            </w:pPr>
          </w:p>
        </w:tc>
        <w:tc>
          <w:tcPr>
            <w:tcW w:w="721" w:type="pct"/>
            <w:vMerge w:val="continue"/>
            <w:vAlign w:val="center"/>
          </w:tcPr>
          <w:p w14:paraId="6DCB2064">
            <w:pPr>
              <w:widowControl/>
              <w:tabs>
                <w:tab w:val="left" w:pos="5813"/>
              </w:tabs>
              <w:jc w:val="center"/>
              <w:rPr>
                <w:rFonts w:ascii="宋体" w:hAnsi="宋体" w:cs="宋体"/>
                <w:color w:val="000000"/>
                <w:kern w:val="0"/>
              </w:rPr>
            </w:pPr>
          </w:p>
        </w:tc>
        <w:tc>
          <w:tcPr>
            <w:tcW w:w="1358" w:type="pct"/>
            <w:vAlign w:val="center"/>
          </w:tcPr>
          <w:p w14:paraId="7F67F982">
            <w:pPr>
              <w:widowControl/>
              <w:tabs>
                <w:tab w:val="left" w:pos="5813"/>
              </w:tabs>
              <w:rPr>
                <w:rFonts w:ascii="宋体" w:hAnsi="宋体" w:cs="宋体"/>
                <w:color w:val="000000"/>
                <w:kern w:val="0"/>
              </w:rPr>
            </w:pPr>
            <w:r>
              <w:rPr>
                <w:rFonts w:hint="eastAsia" w:ascii="宋体" w:hAnsi="宋体" w:cs="宋体"/>
                <w:color w:val="000000"/>
                <w:kern w:val="0"/>
              </w:rPr>
              <w:t>TSG 07-2019</w:t>
            </w:r>
          </w:p>
        </w:tc>
        <w:tc>
          <w:tcPr>
            <w:tcW w:w="2010" w:type="pct"/>
            <w:vAlign w:val="center"/>
          </w:tcPr>
          <w:p w14:paraId="4CBEBEE5">
            <w:pPr>
              <w:widowControl/>
              <w:tabs>
                <w:tab w:val="left" w:pos="5813"/>
              </w:tabs>
              <w:rPr>
                <w:rFonts w:ascii="宋体" w:hAnsi="宋体" w:cs="宋体"/>
                <w:color w:val="000000"/>
                <w:kern w:val="0"/>
              </w:rPr>
            </w:pPr>
            <w:r>
              <w:rPr>
                <w:rFonts w:hint="eastAsia" w:ascii="宋体" w:hAnsi="宋体" w:cs="宋体"/>
                <w:color w:val="000000"/>
                <w:kern w:val="0"/>
              </w:rPr>
              <w:t>特种设备生产和充装单位许可规则（含1、2号修改单）</w:t>
            </w:r>
          </w:p>
        </w:tc>
        <w:tc>
          <w:tcPr>
            <w:tcW w:w="530" w:type="pct"/>
            <w:vAlign w:val="center"/>
          </w:tcPr>
          <w:p w14:paraId="62C8C61F">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152B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674EF712">
            <w:pPr>
              <w:widowControl/>
              <w:tabs>
                <w:tab w:val="left" w:pos="5813"/>
              </w:tabs>
              <w:jc w:val="center"/>
              <w:rPr>
                <w:rFonts w:ascii="宋体" w:hAnsi="宋体" w:cs="宋体"/>
                <w:color w:val="000000"/>
                <w:kern w:val="0"/>
              </w:rPr>
            </w:pPr>
          </w:p>
        </w:tc>
        <w:tc>
          <w:tcPr>
            <w:tcW w:w="721" w:type="pct"/>
            <w:vMerge w:val="continue"/>
            <w:vAlign w:val="center"/>
          </w:tcPr>
          <w:p w14:paraId="5310204C">
            <w:pPr>
              <w:widowControl/>
              <w:tabs>
                <w:tab w:val="left" w:pos="5813"/>
              </w:tabs>
              <w:jc w:val="center"/>
              <w:rPr>
                <w:rFonts w:ascii="宋体" w:hAnsi="宋体" w:cs="宋体"/>
                <w:color w:val="000000"/>
                <w:kern w:val="0"/>
              </w:rPr>
            </w:pPr>
          </w:p>
        </w:tc>
        <w:tc>
          <w:tcPr>
            <w:tcW w:w="1358" w:type="pct"/>
            <w:vAlign w:val="center"/>
          </w:tcPr>
          <w:p w14:paraId="0604CF32">
            <w:pPr>
              <w:widowControl/>
              <w:tabs>
                <w:tab w:val="left" w:pos="5813"/>
              </w:tabs>
              <w:rPr>
                <w:rFonts w:ascii="宋体" w:hAnsi="宋体" w:cs="宋体"/>
                <w:color w:val="000000"/>
                <w:kern w:val="0"/>
              </w:rPr>
            </w:pPr>
            <w:r>
              <w:rPr>
                <w:rFonts w:hint="eastAsia" w:ascii="宋体" w:hAnsi="宋体" w:cs="宋体"/>
                <w:color w:val="000000"/>
                <w:kern w:val="0"/>
              </w:rPr>
              <w:t>TSG Z6001-2019</w:t>
            </w:r>
          </w:p>
        </w:tc>
        <w:tc>
          <w:tcPr>
            <w:tcW w:w="2010" w:type="pct"/>
            <w:vAlign w:val="center"/>
          </w:tcPr>
          <w:p w14:paraId="1ADF4C70">
            <w:pPr>
              <w:widowControl/>
              <w:tabs>
                <w:tab w:val="left" w:pos="5813"/>
              </w:tabs>
              <w:rPr>
                <w:rFonts w:ascii="宋体" w:hAnsi="宋体" w:cs="宋体"/>
                <w:color w:val="000000"/>
                <w:kern w:val="0"/>
              </w:rPr>
            </w:pPr>
            <w:bookmarkStart w:id="81" w:name="OLE_LINK63"/>
            <w:bookmarkStart w:id="82" w:name="OLE_LINK62"/>
            <w:r>
              <w:rPr>
                <w:rFonts w:hint="eastAsia" w:ascii="宋体" w:hAnsi="宋体" w:cs="宋体"/>
                <w:color w:val="000000"/>
                <w:kern w:val="0"/>
              </w:rPr>
              <w:t>特种设备作业人员考核规则</w:t>
            </w:r>
            <w:bookmarkEnd w:id="81"/>
            <w:bookmarkEnd w:id="82"/>
          </w:p>
        </w:tc>
        <w:tc>
          <w:tcPr>
            <w:tcW w:w="530" w:type="pct"/>
            <w:vAlign w:val="center"/>
          </w:tcPr>
          <w:p w14:paraId="4DEA3013">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0A6A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FC1FCCD">
            <w:pPr>
              <w:widowControl/>
              <w:tabs>
                <w:tab w:val="left" w:pos="5813"/>
              </w:tabs>
              <w:jc w:val="center"/>
              <w:rPr>
                <w:rFonts w:ascii="宋体" w:hAnsi="宋体" w:cs="宋体"/>
                <w:color w:val="000000"/>
                <w:kern w:val="0"/>
              </w:rPr>
            </w:pPr>
          </w:p>
        </w:tc>
        <w:tc>
          <w:tcPr>
            <w:tcW w:w="721" w:type="pct"/>
            <w:vMerge w:val="continue"/>
            <w:vAlign w:val="center"/>
          </w:tcPr>
          <w:p w14:paraId="4A48FECD">
            <w:pPr>
              <w:widowControl/>
              <w:tabs>
                <w:tab w:val="left" w:pos="5813"/>
              </w:tabs>
              <w:jc w:val="center"/>
              <w:rPr>
                <w:rFonts w:ascii="宋体" w:hAnsi="宋体" w:cs="宋体"/>
                <w:color w:val="000000"/>
                <w:kern w:val="0"/>
              </w:rPr>
            </w:pPr>
          </w:p>
        </w:tc>
        <w:tc>
          <w:tcPr>
            <w:tcW w:w="1358" w:type="pct"/>
            <w:vAlign w:val="center"/>
          </w:tcPr>
          <w:p w14:paraId="7C63C933">
            <w:pPr>
              <w:widowControl/>
              <w:tabs>
                <w:tab w:val="left" w:pos="5813"/>
              </w:tabs>
              <w:rPr>
                <w:rFonts w:ascii="宋体" w:hAnsi="宋体" w:cs="宋体"/>
                <w:color w:val="000000"/>
                <w:kern w:val="0"/>
              </w:rPr>
            </w:pPr>
            <w:r>
              <w:rPr>
                <w:rFonts w:hint="eastAsia" w:ascii="宋体" w:hAnsi="宋体" w:cs="宋体"/>
                <w:color w:val="000000"/>
                <w:kern w:val="0"/>
              </w:rPr>
              <w:t>TSG 81-2022</w:t>
            </w:r>
          </w:p>
        </w:tc>
        <w:tc>
          <w:tcPr>
            <w:tcW w:w="2010" w:type="pct"/>
            <w:vAlign w:val="center"/>
          </w:tcPr>
          <w:p w14:paraId="3AED3453">
            <w:pPr>
              <w:widowControl/>
              <w:tabs>
                <w:tab w:val="left" w:pos="5813"/>
              </w:tabs>
              <w:rPr>
                <w:rFonts w:ascii="宋体" w:hAnsi="宋体" w:cs="宋体"/>
                <w:color w:val="000000"/>
                <w:kern w:val="0"/>
              </w:rPr>
            </w:pPr>
            <w:r>
              <w:rPr>
                <w:rFonts w:hint="eastAsia" w:ascii="宋体" w:hAnsi="宋体" w:cs="宋体"/>
                <w:color w:val="000000"/>
                <w:kern w:val="0"/>
              </w:rPr>
              <w:t>场（厂）内专用机动车辆安全技术规程</w:t>
            </w:r>
          </w:p>
        </w:tc>
        <w:tc>
          <w:tcPr>
            <w:tcW w:w="530" w:type="pct"/>
            <w:vAlign w:val="center"/>
          </w:tcPr>
          <w:p w14:paraId="084AF2F2">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7F43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4F9C1C0F">
            <w:pPr>
              <w:widowControl/>
              <w:tabs>
                <w:tab w:val="left" w:pos="5813"/>
              </w:tabs>
              <w:jc w:val="center"/>
              <w:rPr>
                <w:rFonts w:ascii="宋体" w:hAnsi="宋体" w:cs="宋体"/>
                <w:color w:val="000000"/>
                <w:kern w:val="0"/>
              </w:rPr>
            </w:pPr>
          </w:p>
        </w:tc>
        <w:tc>
          <w:tcPr>
            <w:tcW w:w="721" w:type="pct"/>
            <w:vMerge w:val="continue"/>
            <w:vAlign w:val="center"/>
          </w:tcPr>
          <w:p w14:paraId="20A1E3A5">
            <w:pPr>
              <w:widowControl/>
              <w:tabs>
                <w:tab w:val="left" w:pos="5813"/>
              </w:tabs>
              <w:jc w:val="center"/>
              <w:rPr>
                <w:rFonts w:ascii="宋体" w:hAnsi="宋体" w:cs="宋体"/>
                <w:color w:val="000000"/>
                <w:kern w:val="0"/>
              </w:rPr>
            </w:pPr>
          </w:p>
        </w:tc>
        <w:tc>
          <w:tcPr>
            <w:tcW w:w="1358" w:type="pct"/>
            <w:vAlign w:val="center"/>
          </w:tcPr>
          <w:p w14:paraId="73CBC88F">
            <w:pPr>
              <w:widowControl/>
              <w:tabs>
                <w:tab w:val="left" w:pos="5813"/>
              </w:tabs>
              <w:rPr>
                <w:rFonts w:ascii="宋体" w:hAnsi="宋体" w:cs="宋体"/>
                <w:color w:val="000000"/>
                <w:kern w:val="0"/>
              </w:rPr>
            </w:pPr>
            <w:bookmarkStart w:id="83" w:name="OLE_LINK61"/>
            <w:r>
              <w:rPr>
                <w:rFonts w:hint="eastAsia" w:ascii="宋体" w:hAnsi="宋体" w:cs="宋体"/>
                <w:color w:val="000000"/>
                <w:kern w:val="0"/>
              </w:rPr>
              <w:t>TSG 03-2024</w:t>
            </w:r>
            <w:bookmarkEnd w:id="83"/>
          </w:p>
        </w:tc>
        <w:tc>
          <w:tcPr>
            <w:tcW w:w="2010" w:type="pct"/>
            <w:vAlign w:val="center"/>
          </w:tcPr>
          <w:p w14:paraId="6F94D307">
            <w:pPr>
              <w:widowControl/>
              <w:tabs>
                <w:tab w:val="left" w:pos="5813"/>
              </w:tabs>
              <w:rPr>
                <w:rFonts w:ascii="宋体" w:hAnsi="宋体" w:cs="宋体"/>
                <w:color w:val="000000"/>
                <w:kern w:val="0"/>
              </w:rPr>
            </w:pPr>
            <w:r>
              <w:rPr>
                <w:rFonts w:hint="eastAsia" w:ascii="宋体" w:hAnsi="宋体" w:cs="宋体"/>
                <w:color w:val="000000"/>
                <w:kern w:val="0"/>
              </w:rPr>
              <w:t>特种设备事故报告和调查处理导则</w:t>
            </w:r>
          </w:p>
        </w:tc>
        <w:tc>
          <w:tcPr>
            <w:tcW w:w="530" w:type="pct"/>
            <w:vAlign w:val="center"/>
          </w:tcPr>
          <w:p w14:paraId="36BA21BE">
            <w:pPr>
              <w:widowControl/>
              <w:tabs>
                <w:tab w:val="left" w:pos="5813"/>
              </w:tabs>
              <w:jc w:val="center"/>
              <w:rPr>
                <w:rFonts w:ascii="宋体" w:hAnsi="宋体" w:cs="宋体"/>
                <w:color w:val="000000"/>
                <w:kern w:val="0"/>
              </w:rPr>
            </w:pPr>
            <w:r>
              <w:rPr>
                <w:rFonts w:hint="eastAsia" w:ascii="宋体" w:hAnsi="宋体" w:cs="宋体"/>
                <w:color w:val="000000"/>
                <w:kern w:val="0"/>
              </w:rPr>
              <w:t>强制性</w:t>
            </w:r>
          </w:p>
        </w:tc>
      </w:tr>
      <w:tr w14:paraId="7D29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restart"/>
            <w:vAlign w:val="center"/>
          </w:tcPr>
          <w:p w14:paraId="0E54F645">
            <w:pPr>
              <w:widowControl/>
              <w:tabs>
                <w:tab w:val="left" w:pos="5813"/>
              </w:tabs>
              <w:jc w:val="center"/>
              <w:rPr>
                <w:rFonts w:ascii="宋体" w:hAnsi="宋体" w:cs="宋体"/>
                <w:color w:val="000000"/>
                <w:kern w:val="0"/>
              </w:rPr>
            </w:pPr>
            <w:r>
              <w:rPr>
                <w:rFonts w:hint="eastAsia" w:ascii="宋体" w:hAnsi="宋体" w:cs="宋体"/>
                <w:color w:val="000000"/>
                <w:kern w:val="0"/>
              </w:rPr>
              <w:t>6</w:t>
            </w:r>
          </w:p>
        </w:tc>
        <w:tc>
          <w:tcPr>
            <w:tcW w:w="721" w:type="pct"/>
            <w:vMerge w:val="restart"/>
            <w:vAlign w:val="center"/>
          </w:tcPr>
          <w:p w14:paraId="36F3001D">
            <w:pPr>
              <w:widowControl/>
              <w:tabs>
                <w:tab w:val="left" w:pos="5813"/>
              </w:tabs>
              <w:jc w:val="center"/>
              <w:rPr>
                <w:rFonts w:ascii="宋体" w:hAnsi="宋体" w:cs="宋体"/>
                <w:color w:val="000000"/>
                <w:kern w:val="0"/>
              </w:rPr>
            </w:pPr>
            <w:r>
              <w:rPr>
                <w:rFonts w:hint="eastAsia" w:ascii="宋体" w:hAnsi="宋体" w:cs="宋体"/>
                <w:color w:val="000000"/>
                <w:kern w:val="0"/>
              </w:rPr>
              <w:t>国家标准</w:t>
            </w:r>
          </w:p>
        </w:tc>
        <w:tc>
          <w:tcPr>
            <w:tcW w:w="1358" w:type="pct"/>
            <w:vAlign w:val="center"/>
          </w:tcPr>
          <w:p w14:paraId="43AFB264">
            <w:pPr>
              <w:widowControl/>
              <w:tabs>
                <w:tab w:val="left" w:pos="5813"/>
              </w:tabs>
              <w:rPr>
                <w:rFonts w:hint="default" w:ascii="宋体" w:hAnsi="宋体" w:eastAsia="宋体" w:cs="宋体"/>
                <w:color w:val="000000"/>
                <w:kern w:val="0"/>
                <w:lang w:val="en-US" w:eastAsia="zh-CN"/>
              </w:rPr>
            </w:pPr>
            <w:r>
              <w:rPr>
                <w:rFonts w:hint="eastAsia" w:ascii="宋体" w:hAnsi="宋体" w:cs="宋体"/>
                <w:color w:val="000000"/>
                <w:kern w:val="0"/>
              </w:rPr>
              <w:t>GB/T 33942</w:t>
            </w:r>
            <w:r>
              <w:rPr>
                <w:rFonts w:hint="eastAsia" w:ascii="宋体" w:hAnsi="宋体" w:cs="宋体"/>
                <w:color w:val="000000"/>
                <w:kern w:val="0"/>
                <w:lang w:val="en-US" w:eastAsia="zh-CN"/>
              </w:rPr>
              <w:t>-2017</w:t>
            </w:r>
          </w:p>
        </w:tc>
        <w:tc>
          <w:tcPr>
            <w:tcW w:w="2010" w:type="pct"/>
            <w:vAlign w:val="center"/>
          </w:tcPr>
          <w:p w14:paraId="45975A7A">
            <w:pPr>
              <w:widowControl/>
              <w:tabs>
                <w:tab w:val="left" w:pos="5813"/>
              </w:tabs>
              <w:rPr>
                <w:rFonts w:ascii="宋体" w:hAnsi="宋体" w:cs="宋体"/>
                <w:color w:val="000000"/>
                <w:kern w:val="0"/>
              </w:rPr>
            </w:pPr>
            <w:r>
              <w:rPr>
                <w:rFonts w:hint="eastAsia" w:ascii="宋体" w:hAnsi="宋体" w:cs="宋体"/>
                <w:color w:val="000000"/>
                <w:kern w:val="0"/>
              </w:rPr>
              <w:t>特种设备事故应急预案编制导则</w:t>
            </w:r>
          </w:p>
        </w:tc>
        <w:tc>
          <w:tcPr>
            <w:tcW w:w="530" w:type="pct"/>
            <w:vAlign w:val="center"/>
          </w:tcPr>
          <w:p w14:paraId="4F0736AC">
            <w:pPr>
              <w:widowControl/>
              <w:tabs>
                <w:tab w:val="left" w:pos="5813"/>
              </w:tabs>
              <w:jc w:val="center"/>
              <w:rPr>
                <w:rFonts w:ascii="宋体" w:hAnsi="宋体" w:cs="宋体"/>
                <w:color w:val="000000"/>
                <w:kern w:val="0"/>
              </w:rPr>
            </w:pPr>
            <w:r>
              <w:rPr>
                <w:rFonts w:hint="eastAsia" w:ascii="宋体" w:hAnsi="宋体" w:cs="宋体"/>
                <w:color w:val="000000"/>
                <w:kern w:val="0"/>
              </w:rPr>
              <w:t>推荐性</w:t>
            </w:r>
          </w:p>
        </w:tc>
      </w:tr>
      <w:tr w14:paraId="64A6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2549C927">
            <w:pPr>
              <w:widowControl/>
              <w:tabs>
                <w:tab w:val="left" w:pos="5813"/>
              </w:tabs>
              <w:jc w:val="center"/>
              <w:rPr>
                <w:rFonts w:ascii="宋体" w:hAnsi="宋体" w:cs="宋体"/>
                <w:color w:val="000000"/>
                <w:kern w:val="0"/>
              </w:rPr>
            </w:pPr>
          </w:p>
        </w:tc>
        <w:tc>
          <w:tcPr>
            <w:tcW w:w="721" w:type="pct"/>
            <w:vMerge w:val="continue"/>
            <w:vAlign w:val="center"/>
          </w:tcPr>
          <w:p w14:paraId="7FAB5EE4">
            <w:pPr>
              <w:widowControl/>
              <w:tabs>
                <w:tab w:val="left" w:pos="5813"/>
              </w:tabs>
              <w:jc w:val="center"/>
              <w:rPr>
                <w:rFonts w:ascii="宋体" w:hAnsi="宋体" w:cs="宋体"/>
                <w:color w:val="000000"/>
                <w:kern w:val="0"/>
              </w:rPr>
            </w:pPr>
          </w:p>
        </w:tc>
        <w:tc>
          <w:tcPr>
            <w:tcW w:w="1358" w:type="pct"/>
            <w:vAlign w:val="center"/>
          </w:tcPr>
          <w:p w14:paraId="6771BBFA">
            <w:pPr>
              <w:widowControl/>
              <w:tabs>
                <w:tab w:val="left" w:pos="5813"/>
              </w:tabs>
              <w:rPr>
                <w:rFonts w:ascii="宋体" w:hAnsi="宋体" w:cs="宋体"/>
                <w:color w:val="000000"/>
                <w:kern w:val="0"/>
              </w:rPr>
            </w:pPr>
            <w:r>
              <w:rPr>
                <w:rFonts w:hint="eastAsia" w:ascii="宋体" w:hAnsi="宋体" w:cs="宋体"/>
                <w:color w:val="000000"/>
                <w:kern w:val="0"/>
              </w:rPr>
              <w:t>GB/T 6104.1-2018</w:t>
            </w:r>
          </w:p>
        </w:tc>
        <w:tc>
          <w:tcPr>
            <w:tcW w:w="2010" w:type="pct"/>
            <w:vAlign w:val="center"/>
          </w:tcPr>
          <w:p w14:paraId="24CDDBE5">
            <w:pPr>
              <w:widowControl/>
              <w:tabs>
                <w:tab w:val="left" w:pos="5813"/>
              </w:tabs>
              <w:rPr>
                <w:rFonts w:ascii="宋体" w:hAnsi="宋体" w:cs="宋体"/>
                <w:color w:val="000000"/>
                <w:kern w:val="0"/>
              </w:rPr>
            </w:pPr>
            <w:r>
              <w:rPr>
                <w:rFonts w:hint="eastAsia" w:ascii="宋体" w:hAnsi="宋体" w:cs="宋体"/>
                <w:color w:val="000000"/>
                <w:kern w:val="0"/>
              </w:rPr>
              <w:t>工业车辆 术语和分类 第1部分：工业车辆类型</w:t>
            </w:r>
          </w:p>
        </w:tc>
        <w:tc>
          <w:tcPr>
            <w:tcW w:w="530" w:type="pct"/>
            <w:vAlign w:val="center"/>
          </w:tcPr>
          <w:p w14:paraId="2C4242B7">
            <w:pPr>
              <w:widowControl/>
              <w:tabs>
                <w:tab w:val="left" w:pos="5813"/>
              </w:tabs>
              <w:jc w:val="center"/>
              <w:rPr>
                <w:rFonts w:ascii="宋体" w:hAnsi="宋体" w:cs="宋体"/>
                <w:color w:val="000000"/>
                <w:kern w:val="0"/>
              </w:rPr>
            </w:pPr>
            <w:r>
              <w:rPr>
                <w:rFonts w:hint="eastAsia"/>
              </w:rPr>
              <w:t>推荐性</w:t>
            </w:r>
          </w:p>
        </w:tc>
      </w:tr>
      <w:tr w14:paraId="4553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2C3363D">
            <w:pPr>
              <w:widowControl/>
              <w:tabs>
                <w:tab w:val="left" w:pos="5813"/>
              </w:tabs>
              <w:jc w:val="center"/>
              <w:rPr>
                <w:rFonts w:ascii="宋体" w:hAnsi="宋体" w:cs="宋体"/>
                <w:color w:val="000000"/>
                <w:kern w:val="0"/>
              </w:rPr>
            </w:pPr>
          </w:p>
        </w:tc>
        <w:tc>
          <w:tcPr>
            <w:tcW w:w="721" w:type="pct"/>
            <w:vMerge w:val="continue"/>
            <w:vAlign w:val="center"/>
          </w:tcPr>
          <w:p w14:paraId="43664EEA">
            <w:pPr>
              <w:widowControl/>
              <w:tabs>
                <w:tab w:val="left" w:pos="5813"/>
              </w:tabs>
              <w:jc w:val="center"/>
              <w:rPr>
                <w:rFonts w:ascii="宋体" w:hAnsi="宋体" w:cs="宋体"/>
                <w:color w:val="000000"/>
                <w:kern w:val="0"/>
              </w:rPr>
            </w:pPr>
          </w:p>
        </w:tc>
        <w:tc>
          <w:tcPr>
            <w:tcW w:w="1358" w:type="pct"/>
            <w:vAlign w:val="center"/>
          </w:tcPr>
          <w:p w14:paraId="746E71C6">
            <w:pPr>
              <w:widowControl/>
              <w:tabs>
                <w:tab w:val="left" w:pos="5813"/>
              </w:tabs>
              <w:rPr>
                <w:rFonts w:ascii="宋体" w:hAnsi="宋体" w:cs="宋体"/>
                <w:color w:val="000000"/>
                <w:kern w:val="0"/>
              </w:rPr>
            </w:pPr>
            <w:r>
              <w:rPr>
                <w:rFonts w:hint="eastAsia" w:ascii="宋体" w:hAnsi="宋体" w:cs="宋体"/>
                <w:color w:val="000000"/>
                <w:kern w:val="0"/>
              </w:rPr>
              <w:t xml:space="preserve">GB/T 6104.2-2022 </w:t>
            </w:r>
          </w:p>
        </w:tc>
        <w:tc>
          <w:tcPr>
            <w:tcW w:w="2010" w:type="pct"/>
            <w:vAlign w:val="center"/>
          </w:tcPr>
          <w:p w14:paraId="359817A7">
            <w:pPr>
              <w:widowControl/>
              <w:tabs>
                <w:tab w:val="left" w:pos="5813"/>
              </w:tabs>
              <w:rPr>
                <w:rFonts w:ascii="宋体" w:hAnsi="宋体" w:cs="宋体"/>
                <w:color w:val="000000"/>
                <w:kern w:val="0"/>
              </w:rPr>
            </w:pPr>
            <w:r>
              <w:rPr>
                <w:rFonts w:hint="eastAsia" w:ascii="宋体" w:hAnsi="宋体" w:cs="宋体"/>
                <w:color w:val="000000"/>
                <w:kern w:val="0"/>
              </w:rPr>
              <w:t>工业车辆 术语 第2部分：货叉和属具</w:t>
            </w:r>
          </w:p>
        </w:tc>
        <w:tc>
          <w:tcPr>
            <w:tcW w:w="530" w:type="pct"/>
            <w:vAlign w:val="center"/>
          </w:tcPr>
          <w:p w14:paraId="6FD1DCFC">
            <w:pPr>
              <w:widowControl/>
              <w:tabs>
                <w:tab w:val="left" w:pos="5813"/>
              </w:tabs>
              <w:jc w:val="center"/>
              <w:rPr>
                <w:rFonts w:ascii="宋体" w:hAnsi="宋体" w:cs="宋体"/>
                <w:color w:val="000000"/>
                <w:kern w:val="0"/>
              </w:rPr>
            </w:pPr>
            <w:r>
              <w:rPr>
                <w:rFonts w:hint="eastAsia"/>
              </w:rPr>
              <w:t>推荐性</w:t>
            </w:r>
          </w:p>
        </w:tc>
      </w:tr>
      <w:tr w14:paraId="19DC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F8AEB99">
            <w:pPr>
              <w:widowControl/>
              <w:tabs>
                <w:tab w:val="left" w:pos="5813"/>
              </w:tabs>
              <w:jc w:val="center"/>
              <w:rPr>
                <w:rFonts w:ascii="宋体" w:hAnsi="宋体" w:cs="宋体"/>
                <w:color w:val="000000"/>
                <w:kern w:val="0"/>
              </w:rPr>
            </w:pPr>
          </w:p>
        </w:tc>
        <w:tc>
          <w:tcPr>
            <w:tcW w:w="721" w:type="pct"/>
            <w:vMerge w:val="continue"/>
            <w:vAlign w:val="center"/>
          </w:tcPr>
          <w:p w14:paraId="1469E34C">
            <w:pPr>
              <w:widowControl/>
              <w:tabs>
                <w:tab w:val="left" w:pos="5813"/>
              </w:tabs>
              <w:jc w:val="center"/>
              <w:rPr>
                <w:rFonts w:ascii="宋体" w:hAnsi="宋体" w:cs="宋体"/>
                <w:color w:val="000000"/>
                <w:kern w:val="0"/>
              </w:rPr>
            </w:pPr>
          </w:p>
        </w:tc>
        <w:tc>
          <w:tcPr>
            <w:tcW w:w="1358" w:type="pct"/>
            <w:vAlign w:val="center"/>
          </w:tcPr>
          <w:p w14:paraId="769F081B">
            <w:pPr>
              <w:widowControl/>
              <w:tabs>
                <w:tab w:val="left" w:pos="5813"/>
              </w:tabs>
              <w:rPr>
                <w:rFonts w:ascii="宋体" w:hAnsi="宋体" w:cs="宋体"/>
                <w:color w:val="000000"/>
                <w:kern w:val="0"/>
              </w:rPr>
            </w:pPr>
            <w:r>
              <w:rPr>
                <w:rFonts w:hint="eastAsia" w:ascii="宋体" w:hAnsi="宋体" w:cs="宋体"/>
                <w:color w:val="000000"/>
                <w:kern w:val="0"/>
              </w:rPr>
              <w:t>GB/T 6104-2005</w:t>
            </w:r>
          </w:p>
        </w:tc>
        <w:tc>
          <w:tcPr>
            <w:tcW w:w="2010" w:type="pct"/>
            <w:vAlign w:val="center"/>
          </w:tcPr>
          <w:p w14:paraId="34041AE6">
            <w:pPr>
              <w:widowControl/>
              <w:tabs>
                <w:tab w:val="left" w:pos="5813"/>
              </w:tabs>
              <w:rPr>
                <w:rFonts w:ascii="宋体" w:hAnsi="宋体" w:cs="宋体"/>
                <w:color w:val="000000"/>
                <w:kern w:val="0"/>
              </w:rPr>
            </w:pPr>
            <w:r>
              <w:rPr>
                <w:rFonts w:hint="eastAsia" w:ascii="宋体" w:hAnsi="宋体" w:cs="宋体"/>
                <w:color w:val="000000"/>
                <w:kern w:val="0"/>
              </w:rPr>
              <w:t>机动工业车辆 术语</w:t>
            </w:r>
          </w:p>
        </w:tc>
        <w:tc>
          <w:tcPr>
            <w:tcW w:w="530" w:type="pct"/>
            <w:vAlign w:val="center"/>
          </w:tcPr>
          <w:p w14:paraId="3A1D8FEF">
            <w:pPr>
              <w:widowControl/>
              <w:tabs>
                <w:tab w:val="left" w:pos="5813"/>
              </w:tabs>
              <w:jc w:val="center"/>
              <w:rPr>
                <w:rFonts w:ascii="宋体" w:hAnsi="宋体" w:cs="宋体"/>
                <w:color w:val="000000"/>
                <w:kern w:val="0"/>
              </w:rPr>
            </w:pPr>
            <w:r>
              <w:rPr>
                <w:rFonts w:hint="eastAsia"/>
              </w:rPr>
              <w:t>推荐性</w:t>
            </w:r>
          </w:p>
        </w:tc>
      </w:tr>
      <w:tr w14:paraId="4201A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28A6CD39">
            <w:pPr>
              <w:widowControl/>
              <w:tabs>
                <w:tab w:val="left" w:pos="5813"/>
              </w:tabs>
              <w:jc w:val="center"/>
              <w:rPr>
                <w:rFonts w:ascii="宋体" w:hAnsi="宋体" w:cs="宋体"/>
                <w:color w:val="000000"/>
                <w:kern w:val="0"/>
              </w:rPr>
            </w:pPr>
          </w:p>
        </w:tc>
        <w:tc>
          <w:tcPr>
            <w:tcW w:w="721" w:type="pct"/>
            <w:vMerge w:val="continue"/>
            <w:vAlign w:val="center"/>
          </w:tcPr>
          <w:p w14:paraId="17AFFD93">
            <w:pPr>
              <w:widowControl/>
              <w:tabs>
                <w:tab w:val="left" w:pos="5813"/>
              </w:tabs>
              <w:jc w:val="center"/>
              <w:rPr>
                <w:rFonts w:ascii="宋体" w:hAnsi="宋体" w:cs="宋体"/>
                <w:color w:val="000000"/>
                <w:kern w:val="0"/>
              </w:rPr>
            </w:pPr>
          </w:p>
        </w:tc>
        <w:tc>
          <w:tcPr>
            <w:tcW w:w="1358" w:type="pct"/>
            <w:vAlign w:val="center"/>
          </w:tcPr>
          <w:p w14:paraId="7B00A533">
            <w:pPr>
              <w:widowControl/>
              <w:tabs>
                <w:tab w:val="left" w:pos="5813"/>
              </w:tabs>
              <w:rPr>
                <w:rFonts w:ascii="宋体" w:hAnsi="宋体" w:cs="宋体"/>
                <w:color w:val="000000"/>
                <w:kern w:val="0"/>
              </w:rPr>
            </w:pPr>
            <w:r>
              <w:rPr>
                <w:rFonts w:hint="eastAsia" w:ascii="宋体" w:hAnsi="宋体" w:cs="宋体"/>
                <w:color w:val="000000"/>
                <w:kern w:val="0"/>
              </w:rPr>
              <w:t>GB/T 26560-2011</w:t>
            </w:r>
          </w:p>
        </w:tc>
        <w:tc>
          <w:tcPr>
            <w:tcW w:w="2010" w:type="pct"/>
            <w:vAlign w:val="center"/>
          </w:tcPr>
          <w:p w14:paraId="59B07A33">
            <w:pPr>
              <w:widowControl/>
              <w:tabs>
                <w:tab w:val="left" w:pos="5813"/>
              </w:tabs>
              <w:rPr>
                <w:rFonts w:ascii="宋体" w:hAnsi="宋体" w:cs="宋体"/>
                <w:color w:val="000000"/>
                <w:kern w:val="0"/>
              </w:rPr>
            </w:pPr>
            <w:r>
              <w:rPr>
                <w:rFonts w:hint="eastAsia" w:ascii="宋体" w:hAnsi="宋体" w:cs="宋体"/>
                <w:color w:val="000000"/>
                <w:kern w:val="0"/>
              </w:rPr>
              <w:t>机动工业车辆 安全标志和危险图示 通则</w:t>
            </w:r>
          </w:p>
        </w:tc>
        <w:tc>
          <w:tcPr>
            <w:tcW w:w="530" w:type="pct"/>
            <w:vAlign w:val="center"/>
          </w:tcPr>
          <w:p w14:paraId="27FDE467">
            <w:pPr>
              <w:widowControl/>
              <w:tabs>
                <w:tab w:val="left" w:pos="5813"/>
              </w:tabs>
              <w:jc w:val="center"/>
              <w:rPr>
                <w:rFonts w:ascii="宋体" w:hAnsi="宋体" w:cs="宋体"/>
                <w:color w:val="000000"/>
                <w:kern w:val="0"/>
              </w:rPr>
            </w:pPr>
            <w:r>
              <w:rPr>
                <w:rFonts w:hint="eastAsia"/>
              </w:rPr>
              <w:t>推荐性</w:t>
            </w:r>
          </w:p>
        </w:tc>
      </w:tr>
      <w:tr w14:paraId="18D8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D536095">
            <w:pPr>
              <w:widowControl/>
              <w:tabs>
                <w:tab w:val="left" w:pos="5813"/>
              </w:tabs>
              <w:jc w:val="center"/>
              <w:rPr>
                <w:rFonts w:ascii="宋体" w:hAnsi="宋体" w:cs="宋体"/>
                <w:color w:val="000000"/>
                <w:kern w:val="0"/>
              </w:rPr>
            </w:pPr>
          </w:p>
        </w:tc>
        <w:tc>
          <w:tcPr>
            <w:tcW w:w="721" w:type="pct"/>
            <w:vMerge w:val="continue"/>
            <w:vAlign w:val="center"/>
          </w:tcPr>
          <w:p w14:paraId="47D9EF4D">
            <w:pPr>
              <w:widowControl/>
              <w:tabs>
                <w:tab w:val="left" w:pos="5813"/>
              </w:tabs>
              <w:jc w:val="center"/>
              <w:rPr>
                <w:rFonts w:ascii="宋体" w:hAnsi="宋体" w:cs="宋体"/>
                <w:color w:val="000000"/>
                <w:kern w:val="0"/>
              </w:rPr>
            </w:pPr>
          </w:p>
        </w:tc>
        <w:tc>
          <w:tcPr>
            <w:tcW w:w="1358" w:type="pct"/>
            <w:vAlign w:val="center"/>
          </w:tcPr>
          <w:p w14:paraId="613FBABA">
            <w:pPr>
              <w:widowControl/>
              <w:tabs>
                <w:tab w:val="left" w:pos="5813"/>
              </w:tabs>
              <w:rPr>
                <w:rFonts w:ascii="宋体" w:hAnsi="宋体" w:cs="宋体"/>
                <w:color w:val="000000"/>
                <w:kern w:val="0"/>
              </w:rPr>
            </w:pPr>
            <w:r>
              <w:rPr>
                <w:rFonts w:hint="eastAsia" w:ascii="宋体" w:hAnsi="宋体" w:cs="宋体"/>
                <w:color w:val="000000"/>
                <w:kern w:val="0"/>
              </w:rPr>
              <w:t xml:space="preserve">GB/T 10827.1-2014 </w:t>
            </w:r>
          </w:p>
        </w:tc>
        <w:tc>
          <w:tcPr>
            <w:tcW w:w="2010" w:type="pct"/>
            <w:vAlign w:val="center"/>
          </w:tcPr>
          <w:p w14:paraId="3F1996D2">
            <w:pPr>
              <w:widowControl/>
              <w:tabs>
                <w:tab w:val="left" w:pos="5813"/>
              </w:tabs>
              <w:rPr>
                <w:rFonts w:ascii="宋体" w:hAnsi="宋体" w:cs="宋体"/>
                <w:color w:val="000000"/>
                <w:kern w:val="0"/>
              </w:rPr>
            </w:pPr>
            <w:r>
              <w:rPr>
                <w:rFonts w:hint="eastAsia" w:ascii="宋体" w:hAnsi="宋体" w:cs="宋体"/>
                <w:color w:val="000000"/>
                <w:kern w:val="0"/>
              </w:rPr>
              <w:t>工业车辆 安全要求和验证 第1部分 自行式工业车辆（除无人驾驶车辆伸缩臂式叉车和载运车）（含1号修改单）</w:t>
            </w:r>
          </w:p>
        </w:tc>
        <w:tc>
          <w:tcPr>
            <w:tcW w:w="530" w:type="pct"/>
            <w:vAlign w:val="center"/>
          </w:tcPr>
          <w:p w14:paraId="46199297">
            <w:pPr>
              <w:widowControl/>
              <w:tabs>
                <w:tab w:val="left" w:pos="5813"/>
              </w:tabs>
              <w:jc w:val="center"/>
              <w:rPr>
                <w:rFonts w:ascii="宋体" w:hAnsi="宋体" w:cs="宋体"/>
                <w:color w:val="000000"/>
                <w:kern w:val="0"/>
              </w:rPr>
            </w:pPr>
            <w:r>
              <w:rPr>
                <w:rFonts w:hint="eastAsia"/>
              </w:rPr>
              <w:t>推荐性</w:t>
            </w:r>
          </w:p>
        </w:tc>
      </w:tr>
      <w:tr w14:paraId="095E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9A11F94">
            <w:pPr>
              <w:widowControl/>
              <w:tabs>
                <w:tab w:val="left" w:pos="5813"/>
              </w:tabs>
              <w:jc w:val="center"/>
              <w:rPr>
                <w:rFonts w:ascii="宋体" w:hAnsi="宋体" w:cs="宋体"/>
                <w:color w:val="000000"/>
                <w:kern w:val="0"/>
              </w:rPr>
            </w:pPr>
          </w:p>
        </w:tc>
        <w:tc>
          <w:tcPr>
            <w:tcW w:w="721" w:type="pct"/>
            <w:vMerge w:val="continue"/>
            <w:vAlign w:val="center"/>
          </w:tcPr>
          <w:p w14:paraId="5CF0A805">
            <w:pPr>
              <w:widowControl/>
              <w:tabs>
                <w:tab w:val="left" w:pos="5813"/>
              </w:tabs>
              <w:jc w:val="center"/>
              <w:rPr>
                <w:rFonts w:ascii="宋体" w:hAnsi="宋体" w:cs="宋体"/>
                <w:color w:val="000000"/>
                <w:kern w:val="0"/>
              </w:rPr>
            </w:pPr>
          </w:p>
        </w:tc>
        <w:tc>
          <w:tcPr>
            <w:tcW w:w="1358" w:type="pct"/>
            <w:vAlign w:val="center"/>
          </w:tcPr>
          <w:p w14:paraId="28C758A9">
            <w:pPr>
              <w:widowControl/>
              <w:tabs>
                <w:tab w:val="left" w:pos="5813"/>
              </w:tabs>
              <w:rPr>
                <w:rFonts w:ascii="宋体" w:hAnsi="宋体" w:cs="宋体"/>
                <w:color w:val="000000"/>
                <w:kern w:val="0"/>
              </w:rPr>
            </w:pPr>
            <w:r>
              <w:rPr>
                <w:rFonts w:hint="eastAsia" w:ascii="宋体" w:hAnsi="宋体" w:cs="宋体"/>
                <w:color w:val="000000"/>
                <w:kern w:val="0"/>
              </w:rPr>
              <w:t xml:space="preserve">GB/T 26949.1-2020 </w:t>
            </w:r>
          </w:p>
        </w:tc>
        <w:tc>
          <w:tcPr>
            <w:tcW w:w="2010" w:type="pct"/>
            <w:vAlign w:val="center"/>
          </w:tcPr>
          <w:p w14:paraId="19C0354B">
            <w:pPr>
              <w:widowControl/>
              <w:tabs>
                <w:tab w:val="left" w:pos="5813"/>
              </w:tabs>
              <w:rPr>
                <w:rFonts w:ascii="宋体" w:hAnsi="宋体" w:cs="宋体"/>
                <w:color w:val="000000"/>
                <w:kern w:val="0"/>
              </w:rPr>
            </w:pPr>
            <w:r>
              <w:rPr>
                <w:rFonts w:hint="eastAsia" w:ascii="宋体" w:hAnsi="宋体" w:cs="宋体"/>
                <w:color w:val="000000"/>
                <w:kern w:val="0"/>
              </w:rPr>
              <w:t>工业车辆 稳定性验证 第1部分：总则</w:t>
            </w:r>
          </w:p>
        </w:tc>
        <w:tc>
          <w:tcPr>
            <w:tcW w:w="530" w:type="pct"/>
            <w:vAlign w:val="center"/>
          </w:tcPr>
          <w:p w14:paraId="69DC8C94">
            <w:pPr>
              <w:widowControl/>
              <w:tabs>
                <w:tab w:val="left" w:pos="5813"/>
              </w:tabs>
              <w:jc w:val="center"/>
              <w:rPr>
                <w:rFonts w:ascii="宋体" w:hAnsi="宋体" w:cs="宋体"/>
                <w:color w:val="000000"/>
                <w:kern w:val="0"/>
              </w:rPr>
            </w:pPr>
            <w:r>
              <w:rPr>
                <w:rFonts w:hint="eastAsia"/>
              </w:rPr>
              <w:t>推荐性</w:t>
            </w:r>
          </w:p>
        </w:tc>
      </w:tr>
      <w:tr w14:paraId="4C49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2736519">
            <w:pPr>
              <w:widowControl/>
              <w:tabs>
                <w:tab w:val="left" w:pos="5813"/>
              </w:tabs>
              <w:jc w:val="center"/>
              <w:rPr>
                <w:rFonts w:ascii="宋体" w:hAnsi="宋体" w:cs="宋体"/>
                <w:color w:val="000000"/>
                <w:kern w:val="0"/>
              </w:rPr>
            </w:pPr>
          </w:p>
        </w:tc>
        <w:tc>
          <w:tcPr>
            <w:tcW w:w="721" w:type="pct"/>
            <w:vMerge w:val="continue"/>
            <w:vAlign w:val="center"/>
          </w:tcPr>
          <w:p w14:paraId="76D1432E">
            <w:pPr>
              <w:widowControl/>
              <w:tabs>
                <w:tab w:val="left" w:pos="5813"/>
              </w:tabs>
              <w:jc w:val="center"/>
              <w:rPr>
                <w:rFonts w:ascii="宋体" w:hAnsi="宋体" w:cs="宋体"/>
                <w:color w:val="000000"/>
                <w:kern w:val="0"/>
              </w:rPr>
            </w:pPr>
          </w:p>
        </w:tc>
        <w:tc>
          <w:tcPr>
            <w:tcW w:w="1358" w:type="pct"/>
            <w:vAlign w:val="center"/>
          </w:tcPr>
          <w:p w14:paraId="7F6468EA">
            <w:pPr>
              <w:widowControl/>
              <w:tabs>
                <w:tab w:val="left" w:pos="5813"/>
              </w:tabs>
              <w:rPr>
                <w:rFonts w:ascii="宋体" w:hAnsi="宋体" w:cs="宋体"/>
                <w:color w:val="000000"/>
                <w:kern w:val="0"/>
              </w:rPr>
            </w:pPr>
            <w:r>
              <w:rPr>
                <w:rFonts w:hint="eastAsia" w:ascii="宋体" w:hAnsi="宋体" w:cs="宋体"/>
                <w:color w:val="000000"/>
                <w:kern w:val="0"/>
              </w:rPr>
              <w:t>GB/T 26949.2-2022</w:t>
            </w:r>
          </w:p>
        </w:tc>
        <w:tc>
          <w:tcPr>
            <w:tcW w:w="2010" w:type="pct"/>
            <w:vAlign w:val="center"/>
          </w:tcPr>
          <w:p w14:paraId="56CE2EAB">
            <w:pPr>
              <w:widowControl/>
              <w:tabs>
                <w:tab w:val="left" w:pos="5813"/>
              </w:tabs>
              <w:rPr>
                <w:rFonts w:ascii="宋体" w:hAnsi="宋体" w:cs="宋体"/>
                <w:color w:val="000000"/>
                <w:kern w:val="0"/>
              </w:rPr>
            </w:pPr>
            <w:r>
              <w:rPr>
                <w:rFonts w:hint="eastAsia" w:ascii="宋体" w:hAnsi="宋体" w:cs="宋体"/>
                <w:color w:val="000000"/>
                <w:kern w:val="0"/>
              </w:rPr>
              <w:t>工业车辆 稳定性验证 第2部分：平衡重式叉车</w:t>
            </w:r>
          </w:p>
        </w:tc>
        <w:tc>
          <w:tcPr>
            <w:tcW w:w="530" w:type="pct"/>
            <w:vAlign w:val="center"/>
          </w:tcPr>
          <w:p w14:paraId="0D1FBDE8">
            <w:pPr>
              <w:widowControl/>
              <w:tabs>
                <w:tab w:val="left" w:pos="5813"/>
              </w:tabs>
              <w:jc w:val="center"/>
              <w:rPr>
                <w:rFonts w:ascii="宋体" w:hAnsi="宋体" w:cs="宋体"/>
                <w:color w:val="000000"/>
                <w:kern w:val="0"/>
              </w:rPr>
            </w:pPr>
            <w:r>
              <w:rPr>
                <w:rFonts w:hint="eastAsia"/>
              </w:rPr>
              <w:t>推荐性</w:t>
            </w:r>
          </w:p>
        </w:tc>
      </w:tr>
      <w:tr w14:paraId="6981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2F1B489F">
            <w:pPr>
              <w:widowControl/>
              <w:tabs>
                <w:tab w:val="left" w:pos="5813"/>
              </w:tabs>
              <w:jc w:val="center"/>
              <w:rPr>
                <w:rFonts w:ascii="宋体" w:hAnsi="宋体" w:cs="宋体"/>
                <w:color w:val="000000"/>
                <w:kern w:val="0"/>
              </w:rPr>
            </w:pPr>
          </w:p>
        </w:tc>
        <w:tc>
          <w:tcPr>
            <w:tcW w:w="721" w:type="pct"/>
            <w:vMerge w:val="continue"/>
            <w:vAlign w:val="center"/>
          </w:tcPr>
          <w:p w14:paraId="57835292">
            <w:pPr>
              <w:widowControl/>
              <w:tabs>
                <w:tab w:val="left" w:pos="5813"/>
              </w:tabs>
              <w:jc w:val="center"/>
              <w:rPr>
                <w:rFonts w:ascii="宋体" w:hAnsi="宋体" w:cs="宋体"/>
                <w:color w:val="000000"/>
                <w:kern w:val="0"/>
              </w:rPr>
            </w:pPr>
          </w:p>
        </w:tc>
        <w:tc>
          <w:tcPr>
            <w:tcW w:w="1358" w:type="pct"/>
            <w:vAlign w:val="center"/>
          </w:tcPr>
          <w:p w14:paraId="3AE068A1">
            <w:pPr>
              <w:widowControl/>
              <w:tabs>
                <w:tab w:val="left" w:pos="5813"/>
              </w:tabs>
              <w:rPr>
                <w:rFonts w:ascii="宋体" w:hAnsi="宋体" w:cs="宋体"/>
                <w:color w:val="000000"/>
                <w:kern w:val="0"/>
              </w:rPr>
            </w:pPr>
            <w:r>
              <w:rPr>
                <w:rFonts w:hint="eastAsia" w:ascii="宋体" w:hAnsi="宋体" w:cs="宋体"/>
                <w:color w:val="000000"/>
                <w:kern w:val="0"/>
              </w:rPr>
              <w:t>GB/T 26949.3-2018</w:t>
            </w:r>
          </w:p>
        </w:tc>
        <w:tc>
          <w:tcPr>
            <w:tcW w:w="2010" w:type="pct"/>
            <w:vAlign w:val="center"/>
          </w:tcPr>
          <w:p w14:paraId="0D9747B5">
            <w:pPr>
              <w:widowControl/>
              <w:tabs>
                <w:tab w:val="left" w:pos="5813"/>
              </w:tabs>
              <w:rPr>
                <w:rFonts w:ascii="宋体" w:hAnsi="宋体" w:cs="宋体"/>
                <w:color w:val="000000"/>
                <w:kern w:val="0"/>
              </w:rPr>
            </w:pPr>
            <w:r>
              <w:rPr>
                <w:rFonts w:hint="eastAsia" w:ascii="宋体" w:hAnsi="宋体" w:cs="宋体"/>
                <w:color w:val="000000"/>
                <w:kern w:val="0"/>
              </w:rPr>
              <w:t>工业车辆 稳定性验证 第3部分：前移式和插腿式叉车</w:t>
            </w:r>
          </w:p>
        </w:tc>
        <w:tc>
          <w:tcPr>
            <w:tcW w:w="530" w:type="pct"/>
            <w:vAlign w:val="center"/>
          </w:tcPr>
          <w:p w14:paraId="6B2C2139">
            <w:pPr>
              <w:widowControl/>
              <w:tabs>
                <w:tab w:val="left" w:pos="5813"/>
              </w:tabs>
              <w:jc w:val="center"/>
              <w:rPr>
                <w:rFonts w:ascii="宋体" w:hAnsi="宋体" w:cs="宋体"/>
                <w:color w:val="000000"/>
                <w:kern w:val="0"/>
              </w:rPr>
            </w:pPr>
            <w:r>
              <w:rPr>
                <w:rFonts w:hint="eastAsia"/>
              </w:rPr>
              <w:t>推荐性</w:t>
            </w:r>
          </w:p>
        </w:tc>
      </w:tr>
      <w:tr w14:paraId="7A7C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65C5323">
            <w:pPr>
              <w:widowControl/>
              <w:tabs>
                <w:tab w:val="left" w:pos="5813"/>
              </w:tabs>
              <w:jc w:val="center"/>
              <w:rPr>
                <w:rFonts w:ascii="宋体" w:hAnsi="宋体" w:cs="宋体"/>
                <w:color w:val="000000"/>
                <w:kern w:val="0"/>
              </w:rPr>
            </w:pPr>
          </w:p>
        </w:tc>
        <w:tc>
          <w:tcPr>
            <w:tcW w:w="721" w:type="pct"/>
            <w:vMerge w:val="continue"/>
            <w:vAlign w:val="center"/>
          </w:tcPr>
          <w:p w14:paraId="457B95CB">
            <w:pPr>
              <w:widowControl/>
              <w:tabs>
                <w:tab w:val="left" w:pos="5813"/>
              </w:tabs>
              <w:jc w:val="center"/>
              <w:rPr>
                <w:rFonts w:ascii="宋体" w:hAnsi="宋体" w:cs="宋体"/>
                <w:color w:val="000000"/>
                <w:kern w:val="0"/>
              </w:rPr>
            </w:pPr>
          </w:p>
        </w:tc>
        <w:tc>
          <w:tcPr>
            <w:tcW w:w="1358" w:type="pct"/>
            <w:vAlign w:val="center"/>
          </w:tcPr>
          <w:p w14:paraId="310339DC">
            <w:pPr>
              <w:widowControl/>
              <w:tabs>
                <w:tab w:val="left" w:pos="5813"/>
              </w:tabs>
              <w:rPr>
                <w:rFonts w:ascii="宋体" w:hAnsi="宋体" w:cs="宋体"/>
                <w:color w:val="000000"/>
                <w:kern w:val="0"/>
              </w:rPr>
            </w:pPr>
            <w:r>
              <w:rPr>
                <w:rFonts w:hint="eastAsia" w:ascii="宋体" w:hAnsi="宋体" w:cs="宋体"/>
                <w:color w:val="000000"/>
                <w:kern w:val="0"/>
              </w:rPr>
              <w:t>GB/T 26949.4-2022</w:t>
            </w:r>
          </w:p>
        </w:tc>
        <w:tc>
          <w:tcPr>
            <w:tcW w:w="2010" w:type="pct"/>
            <w:vAlign w:val="center"/>
          </w:tcPr>
          <w:p w14:paraId="13FB4432">
            <w:pPr>
              <w:widowControl/>
              <w:tabs>
                <w:tab w:val="left" w:pos="5813"/>
              </w:tabs>
              <w:rPr>
                <w:rFonts w:ascii="宋体" w:hAnsi="宋体" w:cs="宋体"/>
                <w:color w:val="000000"/>
                <w:kern w:val="0"/>
              </w:rPr>
            </w:pPr>
            <w:r>
              <w:rPr>
                <w:rFonts w:hint="eastAsia" w:ascii="宋体" w:hAnsi="宋体" w:cs="宋体"/>
                <w:color w:val="000000"/>
                <w:kern w:val="0"/>
              </w:rPr>
              <w:t>工业车辆 稳定性验证 第4部分：托盘堆垛车、双层堆垛车和操作者位置起升高度不大于1200 mm的拣选车</w:t>
            </w:r>
          </w:p>
        </w:tc>
        <w:tc>
          <w:tcPr>
            <w:tcW w:w="530" w:type="pct"/>
            <w:vAlign w:val="center"/>
          </w:tcPr>
          <w:p w14:paraId="6F249402">
            <w:pPr>
              <w:widowControl/>
              <w:tabs>
                <w:tab w:val="left" w:pos="5813"/>
              </w:tabs>
              <w:jc w:val="center"/>
              <w:rPr>
                <w:rFonts w:ascii="宋体" w:hAnsi="宋体" w:cs="宋体"/>
                <w:color w:val="000000"/>
                <w:kern w:val="0"/>
              </w:rPr>
            </w:pPr>
            <w:r>
              <w:rPr>
                <w:rFonts w:hint="eastAsia"/>
              </w:rPr>
              <w:t>推荐性</w:t>
            </w:r>
          </w:p>
        </w:tc>
      </w:tr>
      <w:tr w14:paraId="5728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8CD7386">
            <w:pPr>
              <w:widowControl/>
              <w:tabs>
                <w:tab w:val="left" w:pos="5813"/>
              </w:tabs>
              <w:jc w:val="center"/>
              <w:rPr>
                <w:rFonts w:ascii="宋体" w:hAnsi="宋体" w:cs="宋体"/>
                <w:color w:val="000000"/>
                <w:kern w:val="0"/>
              </w:rPr>
            </w:pPr>
          </w:p>
        </w:tc>
        <w:tc>
          <w:tcPr>
            <w:tcW w:w="721" w:type="pct"/>
            <w:vMerge w:val="continue"/>
            <w:vAlign w:val="center"/>
          </w:tcPr>
          <w:p w14:paraId="1C61AE12">
            <w:pPr>
              <w:widowControl/>
              <w:tabs>
                <w:tab w:val="left" w:pos="5813"/>
              </w:tabs>
              <w:jc w:val="center"/>
              <w:rPr>
                <w:rFonts w:ascii="宋体" w:hAnsi="宋体" w:cs="宋体"/>
                <w:color w:val="000000"/>
                <w:kern w:val="0"/>
              </w:rPr>
            </w:pPr>
          </w:p>
        </w:tc>
        <w:tc>
          <w:tcPr>
            <w:tcW w:w="1358" w:type="pct"/>
            <w:vAlign w:val="center"/>
          </w:tcPr>
          <w:p w14:paraId="713388D2">
            <w:pPr>
              <w:widowControl/>
              <w:tabs>
                <w:tab w:val="left" w:pos="5813"/>
              </w:tabs>
              <w:rPr>
                <w:rFonts w:ascii="宋体" w:hAnsi="宋体" w:cs="宋体"/>
                <w:color w:val="000000"/>
                <w:kern w:val="0"/>
              </w:rPr>
            </w:pPr>
            <w:r>
              <w:rPr>
                <w:rFonts w:hint="eastAsia" w:ascii="宋体" w:hAnsi="宋体" w:cs="宋体"/>
                <w:color w:val="000000"/>
                <w:kern w:val="0"/>
              </w:rPr>
              <w:t>GB/T 26949.5-2018</w:t>
            </w:r>
          </w:p>
        </w:tc>
        <w:tc>
          <w:tcPr>
            <w:tcW w:w="2010" w:type="pct"/>
            <w:vAlign w:val="center"/>
          </w:tcPr>
          <w:p w14:paraId="3C16896F">
            <w:pPr>
              <w:widowControl/>
              <w:tabs>
                <w:tab w:val="left" w:pos="5813"/>
              </w:tabs>
              <w:rPr>
                <w:rFonts w:ascii="宋体" w:hAnsi="宋体" w:cs="宋体"/>
                <w:color w:val="000000"/>
                <w:kern w:val="0"/>
              </w:rPr>
            </w:pPr>
            <w:r>
              <w:rPr>
                <w:rFonts w:hint="eastAsia" w:ascii="宋体" w:hAnsi="宋体" w:cs="宋体"/>
                <w:color w:val="000000"/>
                <w:kern w:val="0"/>
              </w:rPr>
              <w:t>工业车辆 稳定性验证 第5部分：侧面式叉车(单侧)</w:t>
            </w:r>
          </w:p>
        </w:tc>
        <w:tc>
          <w:tcPr>
            <w:tcW w:w="530" w:type="pct"/>
            <w:vAlign w:val="center"/>
          </w:tcPr>
          <w:p w14:paraId="57683FA2">
            <w:pPr>
              <w:widowControl/>
              <w:tabs>
                <w:tab w:val="left" w:pos="5813"/>
              </w:tabs>
              <w:jc w:val="center"/>
              <w:rPr>
                <w:rFonts w:ascii="宋体" w:hAnsi="宋体" w:cs="宋体"/>
                <w:color w:val="000000"/>
                <w:kern w:val="0"/>
              </w:rPr>
            </w:pPr>
            <w:r>
              <w:rPr>
                <w:rFonts w:hint="eastAsia"/>
              </w:rPr>
              <w:t>推荐性</w:t>
            </w:r>
          </w:p>
        </w:tc>
      </w:tr>
      <w:tr w14:paraId="6BE9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84625F5">
            <w:pPr>
              <w:widowControl/>
              <w:tabs>
                <w:tab w:val="left" w:pos="5813"/>
              </w:tabs>
              <w:jc w:val="center"/>
              <w:rPr>
                <w:rFonts w:ascii="宋体" w:hAnsi="宋体" w:cs="宋体"/>
                <w:color w:val="000000"/>
                <w:kern w:val="0"/>
              </w:rPr>
            </w:pPr>
          </w:p>
        </w:tc>
        <w:tc>
          <w:tcPr>
            <w:tcW w:w="721" w:type="pct"/>
            <w:vMerge w:val="continue"/>
            <w:vAlign w:val="center"/>
          </w:tcPr>
          <w:p w14:paraId="15911FE3">
            <w:pPr>
              <w:widowControl/>
              <w:tabs>
                <w:tab w:val="left" w:pos="5813"/>
              </w:tabs>
              <w:jc w:val="center"/>
              <w:rPr>
                <w:rFonts w:ascii="宋体" w:hAnsi="宋体" w:cs="宋体"/>
                <w:color w:val="000000"/>
                <w:kern w:val="0"/>
              </w:rPr>
            </w:pPr>
          </w:p>
        </w:tc>
        <w:tc>
          <w:tcPr>
            <w:tcW w:w="1358" w:type="pct"/>
            <w:vAlign w:val="center"/>
          </w:tcPr>
          <w:p w14:paraId="548C27FA">
            <w:pPr>
              <w:widowControl/>
              <w:tabs>
                <w:tab w:val="left" w:pos="5813"/>
              </w:tabs>
              <w:rPr>
                <w:rFonts w:ascii="宋体" w:hAnsi="宋体" w:cs="宋体"/>
                <w:color w:val="000000"/>
                <w:kern w:val="0"/>
              </w:rPr>
            </w:pPr>
            <w:r>
              <w:rPr>
                <w:rFonts w:hint="eastAsia" w:ascii="宋体" w:hAnsi="宋体" w:cs="宋体"/>
                <w:color w:val="000000"/>
                <w:kern w:val="0"/>
              </w:rPr>
              <w:t>JB/T 3300-2010</w:t>
            </w:r>
          </w:p>
        </w:tc>
        <w:tc>
          <w:tcPr>
            <w:tcW w:w="2010" w:type="pct"/>
            <w:vAlign w:val="center"/>
          </w:tcPr>
          <w:p w14:paraId="48BBDC01">
            <w:pPr>
              <w:widowControl/>
              <w:tabs>
                <w:tab w:val="left" w:pos="5813"/>
              </w:tabs>
              <w:rPr>
                <w:rFonts w:ascii="宋体" w:hAnsi="宋体" w:cs="宋体"/>
                <w:color w:val="000000"/>
                <w:kern w:val="0"/>
              </w:rPr>
            </w:pPr>
            <w:r>
              <w:rPr>
                <w:rFonts w:hint="eastAsia" w:ascii="宋体" w:hAnsi="宋体" w:cs="宋体"/>
                <w:color w:val="000000"/>
                <w:kern w:val="0"/>
              </w:rPr>
              <w:t>平衡重式叉车 整机试验方法</w:t>
            </w:r>
          </w:p>
        </w:tc>
        <w:tc>
          <w:tcPr>
            <w:tcW w:w="530" w:type="pct"/>
            <w:vAlign w:val="center"/>
          </w:tcPr>
          <w:p w14:paraId="50C4663C">
            <w:pPr>
              <w:widowControl/>
              <w:tabs>
                <w:tab w:val="left" w:pos="5813"/>
              </w:tabs>
              <w:jc w:val="center"/>
              <w:rPr>
                <w:rFonts w:ascii="宋体" w:hAnsi="宋体" w:cs="宋体"/>
                <w:color w:val="000000"/>
                <w:kern w:val="0"/>
              </w:rPr>
            </w:pPr>
            <w:r>
              <w:rPr>
                <w:rFonts w:hint="eastAsia"/>
              </w:rPr>
              <w:t>推荐性</w:t>
            </w:r>
          </w:p>
        </w:tc>
      </w:tr>
      <w:tr w14:paraId="01C64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77A0A52">
            <w:pPr>
              <w:widowControl/>
              <w:tabs>
                <w:tab w:val="left" w:pos="5813"/>
              </w:tabs>
              <w:jc w:val="center"/>
              <w:rPr>
                <w:rFonts w:ascii="宋体" w:hAnsi="宋体" w:cs="宋体"/>
                <w:color w:val="000000"/>
                <w:kern w:val="0"/>
              </w:rPr>
            </w:pPr>
          </w:p>
        </w:tc>
        <w:tc>
          <w:tcPr>
            <w:tcW w:w="721" w:type="pct"/>
            <w:vMerge w:val="continue"/>
            <w:vAlign w:val="center"/>
          </w:tcPr>
          <w:p w14:paraId="0BF69B1C">
            <w:pPr>
              <w:widowControl/>
              <w:tabs>
                <w:tab w:val="left" w:pos="5813"/>
              </w:tabs>
              <w:jc w:val="center"/>
              <w:rPr>
                <w:rFonts w:ascii="宋体" w:hAnsi="宋体" w:cs="宋体"/>
                <w:color w:val="000000"/>
                <w:kern w:val="0"/>
              </w:rPr>
            </w:pPr>
          </w:p>
        </w:tc>
        <w:tc>
          <w:tcPr>
            <w:tcW w:w="1358" w:type="pct"/>
            <w:vAlign w:val="center"/>
          </w:tcPr>
          <w:p w14:paraId="23AA7609">
            <w:pPr>
              <w:widowControl/>
              <w:tabs>
                <w:tab w:val="left" w:pos="5813"/>
              </w:tabs>
              <w:rPr>
                <w:rFonts w:ascii="宋体" w:hAnsi="宋体" w:cs="宋体"/>
                <w:color w:val="000000"/>
                <w:kern w:val="0"/>
              </w:rPr>
            </w:pPr>
            <w:r>
              <w:rPr>
                <w:rFonts w:hint="eastAsia" w:ascii="宋体" w:hAnsi="宋体" w:cs="宋体"/>
                <w:color w:val="000000"/>
                <w:kern w:val="0"/>
              </w:rPr>
              <w:t xml:space="preserve">JB/T 2391-2017 </w:t>
            </w:r>
          </w:p>
        </w:tc>
        <w:tc>
          <w:tcPr>
            <w:tcW w:w="2010" w:type="pct"/>
            <w:vAlign w:val="center"/>
          </w:tcPr>
          <w:p w14:paraId="0B77E503">
            <w:pPr>
              <w:widowControl/>
              <w:tabs>
                <w:tab w:val="left" w:pos="5813"/>
              </w:tabs>
              <w:rPr>
                <w:rFonts w:ascii="宋体" w:hAnsi="宋体" w:cs="宋体"/>
                <w:color w:val="000000"/>
                <w:kern w:val="0"/>
              </w:rPr>
            </w:pPr>
            <w:r>
              <w:rPr>
                <w:rFonts w:hint="eastAsia" w:ascii="宋体" w:hAnsi="宋体" w:cs="宋体"/>
                <w:color w:val="000000"/>
                <w:kern w:val="0"/>
              </w:rPr>
              <w:t>500 kg～10000 kg乘驾式平衡重式叉车</w:t>
            </w:r>
          </w:p>
        </w:tc>
        <w:tc>
          <w:tcPr>
            <w:tcW w:w="530" w:type="pct"/>
            <w:vAlign w:val="center"/>
          </w:tcPr>
          <w:p w14:paraId="6AC5BA05">
            <w:pPr>
              <w:widowControl/>
              <w:tabs>
                <w:tab w:val="left" w:pos="5813"/>
              </w:tabs>
              <w:jc w:val="center"/>
              <w:rPr>
                <w:rFonts w:ascii="宋体" w:hAnsi="宋体" w:cs="宋体"/>
                <w:color w:val="000000"/>
                <w:kern w:val="0"/>
              </w:rPr>
            </w:pPr>
            <w:r>
              <w:rPr>
                <w:rFonts w:hint="eastAsia"/>
              </w:rPr>
              <w:t>推荐性</w:t>
            </w:r>
          </w:p>
        </w:tc>
      </w:tr>
      <w:tr w14:paraId="0A23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3EB46E0">
            <w:pPr>
              <w:widowControl/>
              <w:tabs>
                <w:tab w:val="left" w:pos="5813"/>
              </w:tabs>
              <w:jc w:val="center"/>
              <w:rPr>
                <w:rFonts w:ascii="宋体" w:hAnsi="宋体" w:cs="宋体"/>
                <w:color w:val="000000"/>
                <w:kern w:val="0"/>
              </w:rPr>
            </w:pPr>
          </w:p>
        </w:tc>
        <w:tc>
          <w:tcPr>
            <w:tcW w:w="721" w:type="pct"/>
            <w:vMerge w:val="continue"/>
            <w:vAlign w:val="center"/>
          </w:tcPr>
          <w:p w14:paraId="05C816E3">
            <w:pPr>
              <w:widowControl/>
              <w:tabs>
                <w:tab w:val="left" w:pos="5813"/>
              </w:tabs>
              <w:jc w:val="center"/>
              <w:rPr>
                <w:rFonts w:ascii="宋体" w:hAnsi="宋体" w:cs="宋体"/>
                <w:color w:val="000000"/>
                <w:kern w:val="0"/>
              </w:rPr>
            </w:pPr>
          </w:p>
        </w:tc>
        <w:tc>
          <w:tcPr>
            <w:tcW w:w="1358" w:type="pct"/>
            <w:vAlign w:val="center"/>
          </w:tcPr>
          <w:p w14:paraId="67585870">
            <w:pPr>
              <w:widowControl/>
              <w:tabs>
                <w:tab w:val="left" w:pos="5813"/>
              </w:tabs>
              <w:rPr>
                <w:rFonts w:ascii="宋体" w:hAnsi="宋体" w:cs="宋体"/>
                <w:color w:val="000000"/>
                <w:kern w:val="0"/>
              </w:rPr>
            </w:pPr>
            <w:r>
              <w:rPr>
                <w:rFonts w:hint="eastAsia" w:ascii="宋体" w:hAnsi="宋体" w:cs="宋体"/>
                <w:color w:val="000000"/>
                <w:kern w:val="0"/>
              </w:rPr>
              <w:t>JB/T 3244-2005</w:t>
            </w:r>
          </w:p>
        </w:tc>
        <w:tc>
          <w:tcPr>
            <w:tcW w:w="2010" w:type="pct"/>
            <w:vAlign w:val="center"/>
          </w:tcPr>
          <w:p w14:paraId="3BEDA4CE">
            <w:pPr>
              <w:widowControl/>
              <w:tabs>
                <w:tab w:val="left" w:pos="5813"/>
              </w:tabs>
              <w:rPr>
                <w:rFonts w:ascii="宋体" w:hAnsi="宋体" w:cs="宋体"/>
                <w:color w:val="000000"/>
                <w:kern w:val="0"/>
              </w:rPr>
            </w:pPr>
            <w:r>
              <w:rPr>
                <w:rFonts w:hint="eastAsia" w:ascii="宋体" w:hAnsi="宋体" w:cs="宋体"/>
                <w:color w:val="000000"/>
                <w:kern w:val="0"/>
              </w:rPr>
              <w:t>蓄电池前移叉车</w:t>
            </w:r>
          </w:p>
        </w:tc>
        <w:tc>
          <w:tcPr>
            <w:tcW w:w="530" w:type="pct"/>
            <w:vAlign w:val="center"/>
          </w:tcPr>
          <w:p w14:paraId="42614D85">
            <w:pPr>
              <w:widowControl/>
              <w:tabs>
                <w:tab w:val="left" w:pos="5813"/>
              </w:tabs>
              <w:jc w:val="center"/>
              <w:rPr>
                <w:rFonts w:ascii="宋体" w:hAnsi="宋体" w:cs="宋体"/>
                <w:color w:val="000000"/>
                <w:kern w:val="0"/>
              </w:rPr>
            </w:pPr>
            <w:r>
              <w:rPr>
                <w:rFonts w:hint="eastAsia"/>
              </w:rPr>
              <w:t>推荐性</w:t>
            </w:r>
          </w:p>
        </w:tc>
      </w:tr>
      <w:tr w14:paraId="6C7C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2D40BB0E">
            <w:pPr>
              <w:widowControl/>
              <w:tabs>
                <w:tab w:val="left" w:pos="5813"/>
              </w:tabs>
              <w:jc w:val="center"/>
              <w:rPr>
                <w:rFonts w:ascii="宋体" w:hAnsi="宋体" w:cs="宋体"/>
                <w:color w:val="000000"/>
                <w:kern w:val="0"/>
              </w:rPr>
            </w:pPr>
          </w:p>
        </w:tc>
        <w:tc>
          <w:tcPr>
            <w:tcW w:w="721" w:type="pct"/>
            <w:vMerge w:val="continue"/>
            <w:vAlign w:val="center"/>
          </w:tcPr>
          <w:p w14:paraId="1E0EE109">
            <w:pPr>
              <w:widowControl/>
              <w:tabs>
                <w:tab w:val="left" w:pos="5813"/>
              </w:tabs>
              <w:jc w:val="center"/>
              <w:rPr>
                <w:rFonts w:ascii="宋体" w:hAnsi="宋体" w:cs="宋体"/>
                <w:color w:val="000000"/>
                <w:kern w:val="0"/>
              </w:rPr>
            </w:pPr>
          </w:p>
        </w:tc>
        <w:tc>
          <w:tcPr>
            <w:tcW w:w="1358" w:type="pct"/>
            <w:vAlign w:val="center"/>
          </w:tcPr>
          <w:p w14:paraId="206491AC">
            <w:pPr>
              <w:widowControl/>
              <w:tabs>
                <w:tab w:val="left" w:pos="5813"/>
              </w:tabs>
              <w:rPr>
                <w:rFonts w:ascii="宋体" w:hAnsi="宋体" w:cs="宋体"/>
                <w:color w:val="000000"/>
                <w:kern w:val="0"/>
              </w:rPr>
            </w:pPr>
            <w:r>
              <w:rPr>
                <w:rFonts w:hint="eastAsia" w:ascii="宋体" w:hAnsi="宋体" w:cs="宋体"/>
                <w:color w:val="000000"/>
                <w:kern w:val="0"/>
              </w:rPr>
              <w:t xml:space="preserve">JB/T 3340-2005 </w:t>
            </w:r>
          </w:p>
        </w:tc>
        <w:tc>
          <w:tcPr>
            <w:tcW w:w="2010" w:type="pct"/>
            <w:vAlign w:val="center"/>
          </w:tcPr>
          <w:p w14:paraId="5A2F1D2E">
            <w:pPr>
              <w:widowControl/>
              <w:tabs>
                <w:tab w:val="left" w:pos="5813"/>
              </w:tabs>
              <w:rPr>
                <w:rFonts w:ascii="宋体" w:hAnsi="宋体" w:cs="宋体"/>
                <w:color w:val="000000"/>
                <w:kern w:val="0"/>
              </w:rPr>
            </w:pPr>
            <w:r>
              <w:rPr>
                <w:rFonts w:hint="eastAsia" w:ascii="宋体" w:hAnsi="宋体" w:cs="宋体"/>
                <w:color w:val="000000"/>
                <w:kern w:val="0"/>
              </w:rPr>
              <w:t>插腿式叉车</w:t>
            </w:r>
          </w:p>
        </w:tc>
        <w:tc>
          <w:tcPr>
            <w:tcW w:w="530" w:type="pct"/>
            <w:vAlign w:val="center"/>
          </w:tcPr>
          <w:p w14:paraId="062A2E68">
            <w:pPr>
              <w:widowControl/>
              <w:tabs>
                <w:tab w:val="left" w:pos="5813"/>
              </w:tabs>
              <w:jc w:val="center"/>
              <w:rPr>
                <w:rFonts w:ascii="宋体" w:hAnsi="宋体" w:cs="宋体"/>
                <w:color w:val="000000"/>
                <w:kern w:val="0"/>
              </w:rPr>
            </w:pPr>
            <w:r>
              <w:rPr>
                <w:rFonts w:hint="eastAsia"/>
              </w:rPr>
              <w:t>推荐性</w:t>
            </w:r>
          </w:p>
        </w:tc>
      </w:tr>
      <w:tr w14:paraId="62EAD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56F2092">
            <w:pPr>
              <w:widowControl/>
              <w:tabs>
                <w:tab w:val="left" w:pos="5813"/>
              </w:tabs>
              <w:jc w:val="center"/>
              <w:rPr>
                <w:rFonts w:ascii="宋体" w:hAnsi="宋体" w:cs="宋体"/>
                <w:color w:val="000000"/>
                <w:kern w:val="0"/>
              </w:rPr>
            </w:pPr>
          </w:p>
        </w:tc>
        <w:tc>
          <w:tcPr>
            <w:tcW w:w="721" w:type="pct"/>
            <w:vMerge w:val="continue"/>
            <w:vAlign w:val="center"/>
          </w:tcPr>
          <w:p w14:paraId="1F2FD699">
            <w:pPr>
              <w:widowControl/>
              <w:tabs>
                <w:tab w:val="left" w:pos="5813"/>
              </w:tabs>
              <w:jc w:val="center"/>
              <w:rPr>
                <w:rFonts w:ascii="宋体" w:hAnsi="宋体" w:cs="宋体"/>
                <w:color w:val="000000"/>
                <w:kern w:val="0"/>
              </w:rPr>
            </w:pPr>
          </w:p>
        </w:tc>
        <w:tc>
          <w:tcPr>
            <w:tcW w:w="1358" w:type="pct"/>
            <w:vAlign w:val="center"/>
          </w:tcPr>
          <w:p w14:paraId="5E65629D">
            <w:pPr>
              <w:widowControl/>
              <w:tabs>
                <w:tab w:val="left" w:pos="5813"/>
              </w:tabs>
              <w:rPr>
                <w:rFonts w:ascii="宋体" w:hAnsi="宋体" w:cs="宋体"/>
                <w:color w:val="000000"/>
                <w:kern w:val="0"/>
              </w:rPr>
            </w:pPr>
            <w:r>
              <w:rPr>
                <w:rFonts w:hint="eastAsia" w:ascii="宋体" w:hAnsi="宋体" w:cs="宋体"/>
                <w:color w:val="000000"/>
                <w:kern w:val="0"/>
              </w:rPr>
              <w:t>JB/T 3341-2005</w:t>
            </w:r>
          </w:p>
        </w:tc>
        <w:tc>
          <w:tcPr>
            <w:tcW w:w="2010" w:type="pct"/>
            <w:vAlign w:val="center"/>
          </w:tcPr>
          <w:p w14:paraId="5DBD4302">
            <w:pPr>
              <w:widowControl/>
              <w:tabs>
                <w:tab w:val="left" w:pos="5813"/>
              </w:tabs>
              <w:rPr>
                <w:rFonts w:ascii="宋体" w:hAnsi="宋体" w:cs="宋体"/>
                <w:color w:val="000000"/>
                <w:kern w:val="0"/>
              </w:rPr>
            </w:pPr>
            <w:r>
              <w:rPr>
                <w:rFonts w:hint="eastAsia" w:ascii="宋体" w:hAnsi="宋体" w:cs="宋体"/>
                <w:color w:val="000000"/>
                <w:kern w:val="0"/>
              </w:rPr>
              <w:t>托盘堆垛车</w:t>
            </w:r>
          </w:p>
        </w:tc>
        <w:tc>
          <w:tcPr>
            <w:tcW w:w="530" w:type="pct"/>
            <w:vAlign w:val="center"/>
          </w:tcPr>
          <w:p w14:paraId="3415A00C">
            <w:pPr>
              <w:widowControl/>
              <w:tabs>
                <w:tab w:val="left" w:pos="5813"/>
              </w:tabs>
              <w:jc w:val="center"/>
              <w:rPr>
                <w:rFonts w:ascii="宋体" w:hAnsi="宋体" w:cs="宋体"/>
                <w:color w:val="000000"/>
                <w:kern w:val="0"/>
              </w:rPr>
            </w:pPr>
            <w:r>
              <w:rPr>
                <w:rFonts w:hint="eastAsia"/>
              </w:rPr>
              <w:t>推荐性</w:t>
            </w:r>
          </w:p>
        </w:tc>
      </w:tr>
      <w:tr w14:paraId="7AFA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3407FF3">
            <w:pPr>
              <w:widowControl/>
              <w:tabs>
                <w:tab w:val="left" w:pos="5813"/>
              </w:tabs>
              <w:jc w:val="center"/>
              <w:rPr>
                <w:rFonts w:ascii="宋体" w:hAnsi="宋体" w:cs="宋体"/>
                <w:color w:val="000000"/>
                <w:kern w:val="0"/>
              </w:rPr>
            </w:pPr>
          </w:p>
        </w:tc>
        <w:tc>
          <w:tcPr>
            <w:tcW w:w="721" w:type="pct"/>
            <w:vMerge w:val="continue"/>
            <w:vAlign w:val="center"/>
          </w:tcPr>
          <w:p w14:paraId="13F70D10">
            <w:pPr>
              <w:widowControl/>
              <w:tabs>
                <w:tab w:val="left" w:pos="5813"/>
              </w:tabs>
              <w:jc w:val="center"/>
              <w:rPr>
                <w:rFonts w:ascii="宋体" w:hAnsi="宋体" w:cs="宋体"/>
                <w:color w:val="000000"/>
                <w:kern w:val="0"/>
              </w:rPr>
            </w:pPr>
          </w:p>
        </w:tc>
        <w:tc>
          <w:tcPr>
            <w:tcW w:w="1358" w:type="pct"/>
            <w:vAlign w:val="center"/>
          </w:tcPr>
          <w:p w14:paraId="16F8187E">
            <w:pPr>
              <w:widowControl/>
              <w:tabs>
                <w:tab w:val="left" w:pos="5813"/>
              </w:tabs>
              <w:rPr>
                <w:rFonts w:ascii="宋体" w:hAnsi="宋体" w:cs="宋体"/>
                <w:color w:val="000000"/>
                <w:kern w:val="0"/>
              </w:rPr>
            </w:pPr>
            <w:r>
              <w:rPr>
                <w:rFonts w:hint="eastAsia" w:ascii="宋体" w:hAnsi="宋体" w:cs="宋体"/>
                <w:color w:val="000000"/>
                <w:kern w:val="0"/>
              </w:rPr>
              <w:t xml:space="preserve">JB/T 9012-2011 </w:t>
            </w:r>
          </w:p>
        </w:tc>
        <w:tc>
          <w:tcPr>
            <w:tcW w:w="2010" w:type="pct"/>
            <w:vAlign w:val="center"/>
          </w:tcPr>
          <w:p w14:paraId="4454D1BD">
            <w:pPr>
              <w:widowControl/>
              <w:tabs>
                <w:tab w:val="left" w:pos="5813"/>
              </w:tabs>
              <w:rPr>
                <w:rFonts w:ascii="宋体" w:hAnsi="宋体" w:cs="宋体"/>
                <w:color w:val="000000"/>
                <w:kern w:val="0"/>
              </w:rPr>
            </w:pPr>
            <w:r>
              <w:rPr>
                <w:rFonts w:hint="eastAsia" w:ascii="宋体" w:hAnsi="宋体" w:cs="宋体"/>
                <w:color w:val="000000"/>
                <w:kern w:val="0"/>
              </w:rPr>
              <w:t>侧面式叉车</w:t>
            </w:r>
          </w:p>
        </w:tc>
        <w:tc>
          <w:tcPr>
            <w:tcW w:w="530" w:type="pct"/>
            <w:vAlign w:val="center"/>
          </w:tcPr>
          <w:p w14:paraId="304AD4A4">
            <w:pPr>
              <w:widowControl/>
              <w:tabs>
                <w:tab w:val="left" w:pos="5813"/>
              </w:tabs>
              <w:jc w:val="center"/>
              <w:rPr>
                <w:rFonts w:ascii="宋体" w:hAnsi="宋体" w:cs="宋体"/>
                <w:color w:val="000000"/>
                <w:kern w:val="0"/>
              </w:rPr>
            </w:pPr>
            <w:r>
              <w:rPr>
                <w:rFonts w:hint="eastAsia"/>
              </w:rPr>
              <w:t>推荐性</w:t>
            </w:r>
          </w:p>
        </w:tc>
      </w:tr>
      <w:tr w14:paraId="211E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4A928097">
            <w:pPr>
              <w:widowControl/>
              <w:tabs>
                <w:tab w:val="left" w:pos="5813"/>
              </w:tabs>
              <w:jc w:val="center"/>
              <w:rPr>
                <w:rFonts w:ascii="宋体" w:hAnsi="宋体" w:cs="宋体"/>
                <w:color w:val="000000"/>
                <w:kern w:val="0"/>
              </w:rPr>
            </w:pPr>
          </w:p>
        </w:tc>
        <w:tc>
          <w:tcPr>
            <w:tcW w:w="721" w:type="pct"/>
            <w:vMerge w:val="continue"/>
            <w:vAlign w:val="center"/>
          </w:tcPr>
          <w:p w14:paraId="0C2B70A1">
            <w:pPr>
              <w:widowControl/>
              <w:tabs>
                <w:tab w:val="left" w:pos="5813"/>
              </w:tabs>
              <w:jc w:val="center"/>
              <w:rPr>
                <w:rFonts w:ascii="宋体" w:hAnsi="宋体" w:cs="宋体"/>
                <w:color w:val="000000"/>
                <w:kern w:val="0"/>
              </w:rPr>
            </w:pPr>
          </w:p>
        </w:tc>
        <w:tc>
          <w:tcPr>
            <w:tcW w:w="1358" w:type="pct"/>
            <w:vAlign w:val="center"/>
          </w:tcPr>
          <w:p w14:paraId="70CD9B2F">
            <w:pPr>
              <w:widowControl/>
              <w:tabs>
                <w:tab w:val="left" w:pos="5813"/>
              </w:tabs>
              <w:rPr>
                <w:rFonts w:ascii="宋体" w:hAnsi="宋体" w:cs="宋体"/>
                <w:color w:val="000000"/>
                <w:kern w:val="0"/>
              </w:rPr>
            </w:pPr>
            <w:r>
              <w:rPr>
                <w:rFonts w:hint="eastAsia" w:ascii="宋体" w:hAnsi="宋体" w:cs="宋体"/>
                <w:color w:val="000000"/>
                <w:kern w:val="0"/>
              </w:rPr>
              <w:t xml:space="preserve">JB/T 11037-2010 </w:t>
            </w:r>
          </w:p>
        </w:tc>
        <w:tc>
          <w:tcPr>
            <w:tcW w:w="2010" w:type="pct"/>
            <w:vAlign w:val="center"/>
          </w:tcPr>
          <w:p w14:paraId="5F442EAC">
            <w:pPr>
              <w:widowControl/>
              <w:tabs>
                <w:tab w:val="left" w:pos="5813"/>
              </w:tabs>
              <w:rPr>
                <w:rFonts w:ascii="宋体" w:hAnsi="宋体" w:cs="宋体"/>
                <w:color w:val="000000"/>
                <w:kern w:val="0"/>
              </w:rPr>
            </w:pPr>
            <w:r>
              <w:rPr>
                <w:rFonts w:hint="eastAsia" w:ascii="宋体" w:hAnsi="宋体" w:cs="宋体"/>
                <w:color w:val="000000"/>
                <w:kern w:val="0"/>
              </w:rPr>
              <w:t>10000kg～45000kg内燃平衡重式叉车 技术条件</w:t>
            </w:r>
          </w:p>
        </w:tc>
        <w:tc>
          <w:tcPr>
            <w:tcW w:w="530" w:type="pct"/>
            <w:vAlign w:val="center"/>
          </w:tcPr>
          <w:p w14:paraId="42A0489E">
            <w:pPr>
              <w:widowControl/>
              <w:tabs>
                <w:tab w:val="left" w:pos="5813"/>
              </w:tabs>
              <w:jc w:val="center"/>
              <w:rPr>
                <w:rFonts w:ascii="宋体" w:hAnsi="宋体" w:cs="宋体"/>
                <w:color w:val="000000"/>
                <w:kern w:val="0"/>
              </w:rPr>
            </w:pPr>
            <w:r>
              <w:rPr>
                <w:rFonts w:hint="eastAsia"/>
              </w:rPr>
              <w:t>推荐性</w:t>
            </w:r>
          </w:p>
        </w:tc>
      </w:tr>
      <w:tr w14:paraId="082C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59AEDF6">
            <w:pPr>
              <w:widowControl/>
              <w:tabs>
                <w:tab w:val="left" w:pos="5813"/>
              </w:tabs>
              <w:jc w:val="center"/>
              <w:rPr>
                <w:rFonts w:ascii="宋体" w:hAnsi="宋体" w:cs="宋体"/>
                <w:color w:val="000000"/>
                <w:kern w:val="0"/>
              </w:rPr>
            </w:pPr>
          </w:p>
        </w:tc>
        <w:tc>
          <w:tcPr>
            <w:tcW w:w="721" w:type="pct"/>
            <w:vMerge w:val="continue"/>
            <w:vAlign w:val="center"/>
          </w:tcPr>
          <w:p w14:paraId="2830C566">
            <w:pPr>
              <w:widowControl/>
              <w:tabs>
                <w:tab w:val="left" w:pos="5813"/>
              </w:tabs>
              <w:jc w:val="center"/>
              <w:rPr>
                <w:rFonts w:ascii="宋体" w:hAnsi="宋体" w:cs="宋体"/>
                <w:color w:val="000000"/>
                <w:kern w:val="0"/>
              </w:rPr>
            </w:pPr>
          </w:p>
        </w:tc>
        <w:tc>
          <w:tcPr>
            <w:tcW w:w="1358" w:type="pct"/>
            <w:vAlign w:val="center"/>
          </w:tcPr>
          <w:p w14:paraId="00BFC7EC">
            <w:pPr>
              <w:widowControl/>
              <w:tabs>
                <w:tab w:val="left" w:pos="5813"/>
              </w:tabs>
              <w:rPr>
                <w:rFonts w:ascii="宋体" w:hAnsi="宋体" w:cs="宋体"/>
                <w:color w:val="000000"/>
                <w:kern w:val="0"/>
              </w:rPr>
            </w:pPr>
            <w:r>
              <w:rPr>
                <w:rFonts w:hint="eastAsia" w:ascii="宋体" w:hAnsi="宋体" w:cs="宋体"/>
                <w:color w:val="000000"/>
                <w:kern w:val="0"/>
              </w:rPr>
              <w:t>GB/T 26950.1-2011</w:t>
            </w:r>
          </w:p>
        </w:tc>
        <w:tc>
          <w:tcPr>
            <w:tcW w:w="2010" w:type="pct"/>
            <w:vAlign w:val="center"/>
          </w:tcPr>
          <w:p w14:paraId="3E0A7CE2">
            <w:pPr>
              <w:widowControl/>
              <w:tabs>
                <w:tab w:val="left" w:pos="5813"/>
              </w:tabs>
              <w:rPr>
                <w:rFonts w:ascii="宋体" w:hAnsi="宋体" w:cs="宋体"/>
                <w:color w:val="000000"/>
                <w:kern w:val="0"/>
              </w:rPr>
            </w:pPr>
            <w:r>
              <w:rPr>
                <w:rFonts w:hint="eastAsia" w:ascii="宋体" w:hAnsi="宋体" w:cs="宋体"/>
                <w:color w:val="000000"/>
                <w:kern w:val="0"/>
              </w:rPr>
              <w:t>防爆工业车辆 第1部分：蓄电池工业车辆</w:t>
            </w:r>
          </w:p>
        </w:tc>
        <w:tc>
          <w:tcPr>
            <w:tcW w:w="530" w:type="pct"/>
            <w:vAlign w:val="center"/>
          </w:tcPr>
          <w:p w14:paraId="65005BF3">
            <w:pPr>
              <w:widowControl/>
              <w:tabs>
                <w:tab w:val="left" w:pos="5813"/>
              </w:tabs>
              <w:jc w:val="center"/>
              <w:rPr>
                <w:rFonts w:ascii="宋体" w:hAnsi="宋体" w:cs="宋体"/>
                <w:color w:val="000000"/>
                <w:kern w:val="0"/>
              </w:rPr>
            </w:pPr>
            <w:r>
              <w:rPr>
                <w:rFonts w:hint="eastAsia"/>
              </w:rPr>
              <w:t>推荐性</w:t>
            </w:r>
          </w:p>
        </w:tc>
      </w:tr>
      <w:tr w14:paraId="0D0D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6828F84C">
            <w:pPr>
              <w:widowControl/>
              <w:tabs>
                <w:tab w:val="left" w:pos="5813"/>
              </w:tabs>
              <w:jc w:val="center"/>
              <w:rPr>
                <w:rFonts w:ascii="宋体" w:hAnsi="宋体" w:cs="宋体"/>
                <w:color w:val="000000"/>
                <w:kern w:val="0"/>
              </w:rPr>
            </w:pPr>
          </w:p>
        </w:tc>
        <w:tc>
          <w:tcPr>
            <w:tcW w:w="721" w:type="pct"/>
            <w:vMerge w:val="continue"/>
            <w:vAlign w:val="center"/>
          </w:tcPr>
          <w:p w14:paraId="57DFEA10">
            <w:pPr>
              <w:widowControl/>
              <w:tabs>
                <w:tab w:val="left" w:pos="5813"/>
              </w:tabs>
              <w:jc w:val="center"/>
              <w:rPr>
                <w:rFonts w:ascii="宋体" w:hAnsi="宋体" w:cs="宋体"/>
                <w:color w:val="000000"/>
                <w:kern w:val="0"/>
              </w:rPr>
            </w:pPr>
          </w:p>
        </w:tc>
        <w:tc>
          <w:tcPr>
            <w:tcW w:w="1358" w:type="pct"/>
            <w:vAlign w:val="center"/>
          </w:tcPr>
          <w:p w14:paraId="07E60711">
            <w:pPr>
              <w:widowControl/>
              <w:tabs>
                <w:tab w:val="left" w:pos="5813"/>
              </w:tabs>
              <w:rPr>
                <w:rFonts w:ascii="宋体" w:hAnsi="宋体" w:cs="宋体"/>
                <w:color w:val="000000"/>
                <w:kern w:val="0"/>
              </w:rPr>
            </w:pPr>
            <w:r>
              <w:rPr>
                <w:rFonts w:hint="eastAsia" w:ascii="宋体" w:hAnsi="宋体" w:cs="宋体"/>
                <w:color w:val="000000"/>
                <w:kern w:val="0"/>
              </w:rPr>
              <w:t>GB/T 26950.2-2015</w:t>
            </w:r>
          </w:p>
        </w:tc>
        <w:tc>
          <w:tcPr>
            <w:tcW w:w="2010" w:type="pct"/>
            <w:vAlign w:val="center"/>
          </w:tcPr>
          <w:p w14:paraId="299B27AB">
            <w:pPr>
              <w:widowControl/>
              <w:tabs>
                <w:tab w:val="left" w:pos="5813"/>
              </w:tabs>
              <w:rPr>
                <w:rFonts w:ascii="宋体" w:hAnsi="宋体" w:cs="宋体"/>
                <w:color w:val="000000"/>
                <w:kern w:val="0"/>
              </w:rPr>
            </w:pPr>
            <w:r>
              <w:rPr>
                <w:rFonts w:hint="eastAsia" w:ascii="宋体" w:hAnsi="宋体" w:cs="宋体"/>
                <w:color w:val="000000"/>
                <w:kern w:val="0"/>
              </w:rPr>
              <w:t>防爆工业车辆 第2部分：内燃工业车辆</w:t>
            </w:r>
          </w:p>
        </w:tc>
        <w:tc>
          <w:tcPr>
            <w:tcW w:w="530" w:type="pct"/>
            <w:vAlign w:val="center"/>
          </w:tcPr>
          <w:p w14:paraId="61280086">
            <w:pPr>
              <w:widowControl/>
              <w:tabs>
                <w:tab w:val="left" w:pos="5813"/>
              </w:tabs>
              <w:jc w:val="center"/>
              <w:rPr>
                <w:rFonts w:ascii="宋体" w:hAnsi="宋体" w:cs="宋体"/>
                <w:color w:val="000000"/>
                <w:kern w:val="0"/>
              </w:rPr>
            </w:pPr>
            <w:r>
              <w:rPr>
                <w:rFonts w:hint="eastAsia"/>
              </w:rPr>
              <w:t>推荐性</w:t>
            </w:r>
          </w:p>
        </w:tc>
      </w:tr>
      <w:tr w14:paraId="3D8E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073657C">
            <w:pPr>
              <w:widowControl/>
              <w:tabs>
                <w:tab w:val="left" w:pos="5813"/>
              </w:tabs>
              <w:jc w:val="center"/>
              <w:rPr>
                <w:rFonts w:ascii="宋体" w:hAnsi="宋体" w:cs="宋体"/>
                <w:color w:val="000000"/>
                <w:kern w:val="0"/>
              </w:rPr>
            </w:pPr>
          </w:p>
        </w:tc>
        <w:tc>
          <w:tcPr>
            <w:tcW w:w="721" w:type="pct"/>
            <w:vMerge w:val="continue"/>
            <w:vAlign w:val="center"/>
          </w:tcPr>
          <w:p w14:paraId="36E522C2">
            <w:pPr>
              <w:widowControl/>
              <w:tabs>
                <w:tab w:val="left" w:pos="5813"/>
              </w:tabs>
              <w:jc w:val="center"/>
              <w:rPr>
                <w:rFonts w:ascii="宋体" w:hAnsi="宋体" w:cs="宋体"/>
                <w:color w:val="000000"/>
                <w:kern w:val="0"/>
              </w:rPr>
            </w:pPr>
          </w:p>
        </w:tc>
        <w:tc>
          <w:tcPr>
            <w:tcW w:w="1358" w:type="pct"/>
            <w:vAlign w:val="center"/>
          </w:tcPr>
          <w:p w14:paraId="3B6F3F82">
            <w:pPr>
              <w:widowControl/>
              <w:tabs>
                <w:tab w:val="left" w:pos="5813"/>
              </w:tabs>
              <w:rPr>
                <w:rFonts w:ascii="宋体" w:hAnsi="宋体" w:cs="宋体"/>
                <w:color w:val="000000"/>
                <w:kern w:val="0"/>
              </w:rPr>
            </w:pPr>
            <w:r>
              <w:rPr>
                <w:rFonts w:hint="eastAsia" w:ascii="宋体" w:hAnsi="宋体" w:cs="宋体"/>
                <w:color w:val="000000"/>
                <w:kern w:val="0"/>
              </w:rPr>
              <w:t>GB/T 5182-2008</w:t>
            </w:r>
          </w:p>
        </w:tc>
        <w:tc>
          <w:tcPr>
            <w:tcW w:w="2010" w:type="pct"/>
            <w:vAlign w:val="center"/>
          </w:tcPr>
          <w:p w14:paraId="57375EC1">
            <w:pPr>
              <w:widowControl/>
              <w:tabs>
                <w:tab w:val="left" w:pos="5813"/>
              </w:tabs>
              <w:rPr>
                <w:rFonts w:ascii="宋体" w:hAnsi="宋体" w:cs="宋体"/>
                <w:color w:val="000000"/>
                <w:kern w:val="0"/>
              </w:rPr>
            </w:pPr>
            <w:r>
              <w:rPr>
                <w:rFonts w:hint="eastAsia" w:ascii="宋体" w:hAnsi="宋体" w:cs="宋体"/>
                <w:color w:val="000000"/>
                <w:kern w:val="0"/>
              </w:rPr>
              <w:t>叉车 货叉 技术要求和试验方法</w:t>
            </w:r>
          </w:p>
        </w:tc>
        <w:tc>
          <w:tcPr>
            <w:tcW w:w="530" w:type="pct"/>
            <w:vAlign w:val="center"/>
          </w:tcPr>
          <w:p w14:paraId="7711739B">
            <w:pPr>
              <w:widowControl/>
              <w:tabs>
                <w:tab w:val="left" w:pos="5813"/>
              </w:tabs>
              <w:jc w:val="center"/>
              <w:rPr>
                <w:rFonts w:ascii="宋体" w:hAnsi="宋体" w:cs="宋体"/>
                <w:color w:val="000000"/>
                <w:kern w:val="0"/>
              </w:rPr>
            </w:pPr>
            <w:r>
              <w:rPr>
                <w:rFonts w:hint="eastAsia"/>
              </w:rPr>
              <w:t>推荐性</w:t>
            </w:r>
          </w:p>
        </w:tc>
      </w:tr>
      <w:tr w14:paraId="6589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DB4D441">
            <w:pPr>
              <w:widowControl/>
              <w:tabs>
                <w:tab w:val="left" w:pos="5813"/>
              </w:tabs>
              <w:jc w:val="center"/>
              <w:rPr>
                <w:rFonts w:ascii="宋体" w:hAnsi="宋体" w:cs="宋体"/>
                <w:color w:val="000000"/>
                <w:kern w:val="0"/>
              </w:rPr>
            </w:pPr>
          </w:p>
        </w:tc>
        <w:tc>
          <w:tcPr>
            <w:tcW w:w="721" w:type="pct"/>
            <w:vMerge w:val="continue"/>
            <w:vAlign w:val="center"/>
          </w:tcPr>
          <w:p w14:paraId="4C9F5EC0">
            <w:pPr>
              <w:widowControl/>
              <w:tabs>
                <w:tab w:val="left" w:pos="5813"/>
              </w:tabs>
              <w:jc w:val="center"/>
              <w:rPr>
                <w:rFonts w:ascii="宋体" w:hAnsi="宋体" w:cs="宋体"/>
                <w:color w:val="000000"/>
                <w:kern w:val="0"/>
              </w:rPr>
            </w:pPr>
          </w:p>
        </w:tc>
        <w:tc>
          <w:tcPr>
            <w:tcW w:w="1358" w:type="pct"/>
            <w:vAlign w:val="center"/>
          </w:tcPr>
          <w:p w14:paraId="44020D87">
            <w:pPr>
              <w:widowControl/>
              <w:tabs>
                <w:tab w:val="left" w:pos="5813"/>
              </w:tabs>
              <w:rPr>
                <w:rFonts w:ascii="宋体" w:hAnsi="宋体" w:cs="宋体"/>
                <w:color w:val="000000"/>
                <w:kern w:val="0"/>
              </w:rPr>
            </w:pPr>
            <w:r>
              <w:rPr>
                <w:rFonts w:hint="eastAsia" w:ascii="宋体" w:hAnsi="宋体" w:cs="宋体"/>
                <w:color w:val="000000"/>
                <w:kern w:val="0"/>
              </w:rPr>
              <w:t xml:space="preserve">GB/T 26562-2011 </w:t>
            </w:r>
          </w:p>
        </w:tc>
        <w:tc>
          <w:tcPr>
            <w:tcW w:w="2010" w:type="pct"/>
            <w:vAlign w:val="center"/>
          </w:tcPr>
          <w:p w14:paraId="41AE422E">
            <w:pPr>
              <w:widowControl/>
              <w:tabs>
                <w:tab w:val="left" w:pos="5813"/>
              </w:tabs>
              <w:rPr>
                <w:rFonts w:ascii="宋体" w:hAnsi="宋体" w:cs="宋体"/>
                <w:color w:val="000000"/>
                <w:kern w:val="0"/>
              </w:rPr>
            </w:pPr>
            <w:r>
              <w:rPr>
                <w:rFonts w:hint="eastAsia" w:ascii="宋体" w:hAnsi="宋体" w:cs="宋体"/>
                <w:color w:val="000000"/>
                <w:kern w:val="0"/>
              </w:rPr>
              <w:t>自行式坐驾工业车辆踏板的结构与布置　踏板的结构与布置原则</w:t>
            </w:r>
          </w:p>
        </w:tc>
        <w:tc>
          <w:tcPr>
            <w:tcW w:w="530" w:type="pct"/>
            <w:vAlign w:val="center"/>
          </w:tcPr>
          <w:p w14:paraId="3D996118">
            <w:pPr>
              <w:widowControl/>
              <w:tabs>
                <w:tab w:val="left" w:pos="5813"/>
              </w:tabs>
              <w:jc w:val="center"/>
              <w:rPr>
                <w:rFonts w:ascii="宋体" w:hAnsi="宋体" w:cs="宋体"/>
                <w:color w:val="000000"/>
                <w:kern w:val="0"/>
              </w:rPr>
            </w:pPr>
            <w:r>
              <w:rPr>
                <w:rFonts w:hint="eastAsia"/>
              </w:rPr>
              <w:t>推荐性</w:t>
            </w:r>
          </w:p>
        </w:tc>
      </w:tr>
      <w:tr w14:paraId="034EC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A363CED">
            <w:pPr>
              <w:widowControl/>
              <w:tabs>
                <w:tab w:val="left" w:pos="5813"/>
              </w:tabs>
              <w:jc w:val="center"/>
              <w:rPr>
                <w:rFonts w:ascii="宋体" w:hAnsi="宋体" w:cs="宋体"/>
                <w:color w:val="000000"/>
                <w:kern w:val="0"/>
              </w:rPr>
            </w:pPr>
          </w:p>
        </w:tc>
        <w:tc>
          <w:tcPr>
            <w:tcW w:w="721" w:type="pct"/>
            <w:vMerge w:val="continue"/>
            <w:vAlign w:val="center"/>
          </w:tcPr>
          <w:p w14:paraId="50D34C72">
            <w:pPr>
              <w:widowControl/>
              <w:tabs>
                <w:tab w:val="left" w:pos="5813"/>
              </w:tabs>
              <w:jc w:val="center"/>
              <w:rPr>
                <w:rFonts w:ascii="宋体" w:hAnsi="宋体" w:cs="宋体"/>
                <w:color w:val="000000"/>
                <w:kern w:val="0"/>
              </w:rPr>
            </w:pPr>
          </w:p>
        </w:tc>
        <w:tc>
          <w:tcPr>
            <w:tcW w:w="1358" w:type="pct"/>
            <w:vAlign w:val="center"/>
          </w:tcPr>
          <w:p w14:paraId="417C83CC">
            <w:pPr>
              <w:widowControl/>
              <w:tabs>
                <w:tab w:val="left" w:pos="5813"/>
              </w:tabs>
              <w:rPr>
                <w:rFonts w:ascii="宋体" w:hAnsi="宋体" w:cs="宋体"/>
                <w:color w:val="000000"/>
                <w:kern w:val="0"/>
              </w:rPr>
            </w:pPr>
            <w:r>
              <w:rPr>
                <w:rFonts w:hint="eastAsia" w:ascii="宋体" w:hAnsi="宋体" w:cs="宋体"/>
                <w:color w:val="000000"/>
                <w:kern w:val="0"/>
              </w:rPr>
              <w:t xml:space="preserve">GB/T 5143-2008 </w:t>
            </w:r>
          </w:p>
        </w:tc>
        <w:tc>
          <w:tcPr>
            <w:tcW w:w="2010" w:type="pct"/>
            <w:vAlign w:val="center"/>
          </w:tcPr>
          <w:p w14:paraId="605E26C3">
            <w:pPr>
              <w:widowControl/>
              <w:tabs>
                <w:tab w:val="left" w:pos="5813"/>
              </w:tabs>
              <w:rPr>
                <w:rFonts w:ascii="宋体" w:hAnsi="宋体" w:cs="宋体"/>
                <w:color w:val="000000"/>
                <w:kern w:val="0"/>
              </w:rPr>
            </w:pPr>
            <w:r>
              <w:rPr>
                <w:rFonts w:hint="eastAsia" w:ascii="宋体" w:hAnsi="宋体" w:cs="宋体"/>
                <w:color w:val="000000"/>
                <w:kern w:val="0"/>
              </w:rPr>
              <w:t>工业车辆 护顶架 技术要求和试验方法</w:t>
            </w:r>
          </w:p>
        </w:tc>
        <w:tc>
          <w:tcPr>
            <w:tcW w:w="530" w:type="pct"/>
            <w:vAlign w:val="center"/>
          </w:tcPr>
          <w:p w14:paraId="65873EFB">
            <w:pPr>
              <w:widowControl/>
              <w:tabs>
                <w:tab w:val="left" w:pos="5813"/>
              </w:tabs>
              <w:jc w:val="center"/>
              <w:rPr>
                <w:rFonts w:ascii="宋体" w:hAnsi="宋体" w:cs="宋体"/>
                <w:color w:val="000000"/>
                <w:kern w:val="0"/>
              </w:rPr>
            </w:pPr>
            <w:r>
              <w:rPr>
                <w:rFonts w:hint="eastAsia"/>
              </w:rPr>
              <w:t>推荐性</w:t>
            </w:r>
          </w:p>
        </w:tc>
      </w:tr>
      <w:tr w14:paraId="43BAF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FD5CF16">
            <w:pPr>
              <w:widowControl/>
              <w:tabs>
                <w:tab w:val="left" w:pos="5813"/>
              </w:tabs>
              <w:jc w:val="center"/>
              <w:rPr>
                <w:rFonts w:ascii="宋体" w:hAnsi="宋体" w:cs="宋体"/>
                <w:color w:val="000000"/>
                <w:kern w:val="0"/>
              </w:rPr>
            </w:pPr>
          </w:p>
        </w:tc>
        <w:tc>
          <w:tcPr>
            <w:tcW w:w="721" w:type="pct"/>
            <w:vMerge w:val="continue"/>
            <w:vAlign w:val="center"/>
          </w:tcPr>
          <w:p w14:paraId="0C1824E9">
            <w:pPr>
              <w:widowControl/>
              <w:tabs>
                <w:tab w:val="left" w:pos="5813"/>
              </w:tabs>
              <w:jc w:val="center"/>
              <w:rPr>
                <w:rFonts w:ascii="宋体" w:hAnsi="宋体" w:cs="宋体"/>
                <w:color w:val="000000"/>
                <w:kern w:val="0"/>
              </w:rPr>
            </w:pPr>
          </w:p>
        </w:tc>
        <w:tc>
          <w:tcPr>
            <w:tcW w:w="1358" w:type="pct"/>
            <w:vAlign w:val="center"/>
          </w:tcPr>
          <w:p w14:paraId="3263CF28">
            <w:pPr>
              <w:widowControl/>
              <w:tabs>
                <w:tab w:val="left" w:pos="5813"/>
              </w:tabs>
              <w:rPr>
                <w:rFonts w:ascii="宋体" w:hAnsi="宋体" w:cs="宋体"/>
                <w:color w:val="000000"/>
                <w:kern w:val="0"/>
              </w:rPr>
            </w:pPr>
            <w:r>
              <w:rPr>
                <w:rFonts w:hint="eastAsia" w:ascii="宋体" w:hAnsi="宋体" w:cs="宋体"/>
                <w:color w:val="000000"/>
                <w:kern w:val="0"/>
              </w:rPr>
              <w:t>GB/T 26948.1-2011</w:t>
            </w:r>
          </w:p>
        </w:tc>
        <w:tc>
          <w:tcPr>
            <w:tcW w:w="2010" w:type="pct"/>
            <w:vAlign w:val="center"/>
          </w:tcPr>
          <w:p w14:paraId="61E780A7">
            <w:pPr>
              <w:widowControl/>
              <w:tabs>
                <w:tab w:val="left" w:pos="5813"/>
              </w:tabs>
              <w:rPr>
                <w:rFonts w:ascii="宋体" w:hAnsi="宋体" w:cs="宋体"/>
                <w:color w:val="000000"/>
                <w:kern w:val="0"/>
              </w:rPr>
            </w:pPr>
            <w:r>
              <w:rPr>
                <w:rFonts w:hint="eastAsia" w:ascii="宋体" w:hAnsi="宋体" w:cs="宋体"/>
                <w:color w:val="000000"/>
                <w:kern w:val="0"/>
              </w:rPr>
              <w:t>工业车辆驾驶员约束系统技术要求及试验方法 第1部分：腰部安全带</w:t>
            </w:r>
          </w:p>
        </w:tc>
        <w:tc>
          <w:tcPr>
            <w:tcW w:w="530" w:type="pct"/>
            <w:vAlign w:val="center"/>
          </w:tcPr>
          <w:p w14:paraId="35E5BF9A">
            <w:pPr>
              <w:widowControl/>
              <w:tabs>
                <w:tab w:val="left" w:pos="5813"/>
              </w:tabs>
              <w:jc w:val="center"/>
              <w:rPr>
                <w:rFonts w:ascii="宋体" w:hAnsi="宋体" w:cs="宋体"/>
                <w:color w:val="000000"/>
                <w:kern w:val="0"/>
              </w:rPr>
            </w:pPr>
            <w:r>
              <w:rPr>
                <w:rFonts w:hint="eastAsia"/>
              </w:rPr>
              <w:t>推荐性</w:t>
            </w:r>
          </w:p>
        </w:tc>
      </w:tr>
      <w:tr w14:paraId="5054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68516F2F">
            <w:pPr>
              <w:widowControl/>
              <w:tabs>
                <w:tab w:val="left" w:pos="5813"/>
              </w:tabs>
              <w:jc w:val="center"/>
              <w:rPr>
                <w:rFonts w:ascii="宋体" w:hAnsi="宋体" w:cs="宋体"/>
                <w:color w:val="000000"/>
                <w:kern w:val="0"/>
              </w:rPr>
            </w:pPr>
          </w:p>
        </w:tc>
        <w:tc>
          <w:tcPr>
            <w:tcW w:w="721" w:type="pct"/>
            <w:vMerge w:val="continue"/>
            <w:vAlign w:val="center"/>
          </w:tcPr>
          <w:p w14:paraId="52E4CB75">
            <w:pPr>
              <w:widowControl/>
              <w:tabs>
                <w:tab w:val="left" w:pos="5813"/>
              </w:tabs>
              <w:jc w:val="center"/>
              <w:rPr>
                <w:rFonts w:ascii="宋体" w:hAnsi="宋体" w:cs="宋体"/>
                <w:color w:val="000000"/>
                <w:kern w:val="0"/>
              </w:rPr>
            </w:pPr>
          </w:p>
        </w:tc>
        <w:tc>
          <w:tcPr>
            <w:tcW w:w="1358" w:type="pct"/>
            <w:vAlign w:val="center"/>
          </w:tcPr>
          <w:p w14:paraId="7B89B5C8">
            <w:pPr>
              <w:widowControl/>
              <w:tabs>
                <w:tab w:val="left" w:pos="5813"/>
              </w:tabs>
              <w:rPr>
                <w:rFonts w:ascii="宋体" w:hAnsi="宋体" w:cs="宋体"/>
                <w:color w:val="000000"/>
                <w:kern w:val="0"/>
              </w:rPr>
            </w:pPr>
            <w:r>
              <w:rPr>
                <w:rFonts w:hint="eastAsia" w:ascii="宋体" w:hAnsi="宋体" w:cs="宋体"/>
                <w:color w:val="000000"/>
                <w:kern w:val="0"/>
              </w:rPr>
              <w:t>GB/T 2981-2014</w:t>
            </w:r>
          </w:p>
        </w:tc>
        <w:tc>
          <w:tcPr>
            <w:tcW w:w="2010" w:type="pct"/>
            <w:vAlign w:val="center"/>
          </w:tcPr>
          <w:p w14:paraId="5646069E">
            <w:pPr>
              <w:widowControl/>
              <w:tabs>
                <w:tab w:val="left" w:pos="5813"/>
              </w:tabs>
              <w:rPr>
                <w:rFonts w:ascii="宋体" w:hAnsi="宋体" w:cs="宋体"/>
                <w:color w:val="000000"/>
                <w:kern w:val="0"/>
              </w:rPr>
            </w:pPr>
            <w:r>
              <w:rPr>
                <w:rFonts w:hint="eastAsia" w:ascii="宋体" w:hAnsi="宋体" w:cs="宋体"/>
                <w:color w:val="000000"/>
                <w:kern w:val="0"/>
              </w:rPr>
              <w:t>工业车辆充气轮胎技术条件</w:t>
            </w:r>
          </w:p>
        </w:tc>
        <w:tc>
          <w:tcPr>
            <w:tcW w:w="530" w:type="pct"/>
            <w:vAlign w:val="center"/>
          </w:tcPr>
          <w:p w14:paraId="4427E12F">
            <w:pPr>
              <w:widowControl/>
              <w:tabs>
                <w:tab w:val="left" w:pos="5813"/>
              </w:tabs>
              <w:jc w:val="center"/>
              <w:rPr>
                <w:rFonts w:ascii="宋体" w:hAnsi="宋体" w:cs="宋体"/>
                <w:color w:val="000000"/>
                <w:kern w:val="0"/>
              </w:rPr>
            </w:pPr>
            <w:r>
              <w:rPr>
                <w:rFonts w:hint="eastAsia"/>
              </w:rPr>
              <w:t>推荐性</w:t>
            </w:r>
          </w:p>
        </w:tc>
      </w:tr>
      <w:tr w14:paraId="3009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5775231">
            <w:pPr>
              <w:widowControl/>
              <w:tabs>
                <w:tab w:val="left" w:pos="5813"/>
              </w:tabs>
              <w:jc w:val="center"/>
              <w:rPr>
                <w:rFonts w:ascii="宋体" w:hAnsi="宋体" w:cs="宋体"/>
                <w:color w:val="000000"/>
                <w:kern w:val="0"/>
              </w:rPr>
            </w:pPr>
          </w:p>
        </w:tc>
        <w:tc>
          <w:tcPr>
            <w:tcW w:w="721" w:type="pct"/>
            <w:vMerge w:val="continue"/>
            <w:vAlign w:val="center"/>
          </w:tcPr>
          <w:p w14:paraId="1B6AE742">
            <w:pPr>
              <w:widowControl/>
              <w:tabs>
                <w:tab w:val="left" w:pos="5813"/>
              </w:tabs>
              <w:jc w:val="center"/>
              <w:rPr>
                <w:rFonts w:ascii="宋体" w:hAnsi="宋体" w:cs="宋体"/>
                <w:color w:val="000000"/>
                <w:kern w:val="0"/>
              </w:rPr>
            </w:pPr>
          </w:p>
        </w:tc>
        <w:tc>
          <w:tcPr>
            <w:tcW w:w="1358" w:type="pct"/>
            <w:vAlign w:val="center"/>
          </w:tcPr>
          <w:p w14:paraId="1259A8FE">
            <w:pPr>
              <w:widowControl/>
              <w:tabs>
                <w:tab w:val="left" w:pos="5813"/>
              </w:tabs>
              <w:rPr>
                <w:rFonts w:ascii="宋体" w:hAnsi="宋体" w:cs="宋体"/>
                <w:color w:val="000000"/>
                <w:kern w:val="0"/>
              </w:rPr>
            </w:pPr>
            <w:r>
              <w:rPr>
                <w:rFonts w:hint="eastAsia" w:ascii="宋体" w:hAnsi="宋体" w:cs="宋体"/>
                <w:color w:val="000000"/>
                <w:kern w:val="0"/>
              </w:rPr>
              <w:t>GB/T 2982-2014</w:t>
            </w:r>
          </w:p>
        </w:tc>
        <w:tc>
          <w:tcPr>
            <w:tcW w:w="2010" w:type="pct"/>
            <w:vAlign w:val="center"/>
          </w:tcPr>
          <w:p w14:paraId="2A059596">
            <w:pPr>
              <w:widowControl/>
              <w:tabs>
                <w:tab w:val="left" w:pos="5813"/>
              </w:tabs>
              <w:rPr>
                <w:rFonts w:ascii="宋体" w:hAnsi="宋体" w:cs="宋体"/>
                <w:color w:val="000000"/>
                <w:kern w:val="0"/>
              </w:rPr>
            </w:pPr>
            <w:r>
              <w:rPr>
                <w:rFonts w:hint="eastAsia" w:ascii="宋体" w:hAnsi="宋体" w:cs="宋体"/>
                <w:color w:val="000000"/>
                <w:kern w:val="0"/>
              </w:rPr>
              <w:t>工业车辆充气轮胎规格、尺寸、气压与负荷</w:t>
            </w:r>
          </w:p>
        </w:tc>
        <w:tc>
          <w:tcPr>
            <w:tcW w:w="530" w:type="pct"/>
            <w:vAlign w:val="center"/>
          </w:tcPr>
          <w:p w14:paraId="071D3D01">
            <w:pPr>
              <w:widowControl/>
              <w:tabs>
                <w:tab w:val="left" w:pos="5813"/>
              </w:tabs>
              <w:jc w:val="center"/>
              <w:rPr>
                <w:rFonts w:ascii="宋体" w:hAnsi="宋体" w:cs="宋体"/>
                <w:color w:val="000000"/>
                <w:kern w:val="0"/>
              </w:rPr>
            </w:pPr>
            <w:r>
              <w:rPr>
                <w:rFonts w:hint="eastAsia"/>
              </w:rPr>
              <w:t>推荐性</w:t>
            </w:r>
          </w:p>
        </w:tc>
      </w:tr>
      <w:tr w14:paraId="5D2E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8516C19">
            <w:pPr>
              <w:widowControl/>
              <w:tabs>
                <w:tab w:val="left" w:pos="5813"/>
              </w:tabs>
              <w:jc w:val="center"/>
              <w:rPr>
                <w:rFonts w:ascii="宋体" w:hAnsi="宋体" w:cs="宋体"/>
                <w:color w:val="000000"/>
                <w:kern w:val="0"/>
              </w:rPr>
            </w:pPr>
          </w:p>
        </w:tc>
        <w:tc>
          <w:tcPr>
            <w:tcW w:w="721" w:type="pct"/>
            <w:vMerge w:val="continue"/>
            <w:vAlign w:val="center"/>
          </w:tcPr>
          <w:p w14:paraId="2A349DC5">
            <w:pPr>
              <w:widowControl/>
              <w:tabs>
                <w:tab w:val="left" w:pos="5813"/>
              </w:tabs>
              <w:jc w:val="center"/>
              <w:rPr>
                <w:rFonts w:ascii="宋体" w:hAnsi="宋体" w:cs="宋体"/>
                <w:color w:val="000000"/>
                <w:kern w:val="0"/>
              </w:rPr>
            </w:pPr>
          </w:p>
        </w:tc>
        <w:tc>
          <w:tcPr>
            <w:tcW w:w="1358" w:type="pct"/>
            <w:vAlign w:val="center"/>
          </w:tcPr>
          <w:p w14:paraId="71C79D63">
            <w:pPr>
              <w:widowControl/>
              <w:tabs>
                <w:tab w:val="left" w:pos="5813"/>
              </w:tabs>
              <w:rPr>
                <w:rFonts w:ascii="宋体" w:hAnsi="宋体" w:cs="宋体"/>
                <w:color w:val="000000"/>
                <w:kern w:val="0"/>
              </w:rPr>
            </w:pPr>
            <w:r>
              <w:rPr>
                <w:rFonts w:hint="eastAsia" w:ascii="宋体" w:hAnsi="宋体" w:cs="宋体"/>
                <w:color w:val="000000"/>
                <w:kern w:val="0"/>
              </w:rPr>
              <w:t>GB/T 18849-2023</w:t>
            </w:r>
          </w:p>
        </w:tc>
        <w:tc>
          <w:tcPr>
            <w:tcW w:w="2010" w:type="pct"/>
            <w:vAlign w:val="center"/>
          </w:tcPr>
          <w:p w14:paraId="5FB8A74F">
            <w:pPr>
              <w:widowControl/>
              <w:tabs>
                <w:tab w:val="left" w:pos="5813"/>
              </w:tabs>
              <w:rPr>
                <w:rFonts w:ascii="宋体" w:hAnsi="宋体" w:cs="宋体"/>
                <w:color w:val="000000"/>
                <w:kern w:val="0"/>
              </w:rPr>
            </w:pPr>
            <w:r>
              <w:rPr>
                <w:rFonts w:hint="eastAsia" w:ascii="宋体" w:hAnsi="宋体" w:cs="宋体"/>
                <w:color w:val="000000"/>
                <w:kern w:val="0"/>
              </w:rPr>
              <w:t>机动工业车辆　制动器性能和零件强度（发布于 2023-11-27，实施于 2024-06-01）</w:t>
            </w:r>
          </w:p>
        </w:tc>
        <w:tc>
          <w:tcPr>
            <w:tcW w:w="530" w:type="pct"/>
            <w:vAlign w:val="center"/>
          </w:tcPr>
          <w:p w14:paraId="35D80177">
            <w:pPr>
              <w:widowControl/>
              <w:tabs>
                <w:tab w:val="left" w:pos="5813"/>
              </w:tabs>
              <w:jc w:val="center"/>
              <w:rPr>
                <w:rFonts w:ascii="宋体" w:hAnsi="宋体" w:cs="宋体"/>
                <w:color w:val="000000"/>
                <w:kern w:val="0"/>
              </w:rPr>
            </w:pPr>
            <w:r>
              <w:rPr>
                <w:rFonts w:hint="eastAsia"/>
              </w:rPr>
              <w:t>推荐性</w:t>
            </w:r>
          </w:p>
        </w:tc>
      </w:tr>
      <w:tr w14:paraId="1421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1D38E8E6">
            <w:pPr>
              <w:widowControl/>
              <w:tabs>
                <w:tab w:val="left" w:pos="5813"/>
              </w:tabs>
              <w:jc w:val="center"/>
              <w:rPr>
                <w:rFonts w:ascii="宋体" w:hAnsi="宋体" w:cs="宋体"/>
                <w:color w:val="000000"/>
                <w:kern w:val="0"/>
              </w:rPr>
            </w:pPr>
          </w:p>
        </w:tc>
        <w:tc>
          <w:tcPr>
            <w:tcW w:w="721" w:type="pct"/>
            <w:vMerge w:val="continue"/>
            <w:vAlign w:val="center"/>
          </w:tcPr>
          <w:p w14:paraId="13B24AC6">
            <w:pPr>
              <w:widowControl/>
              <w:tabs>
                <w:tab w:val="left" w:pos="5813"/>
              </w:tabs>
              <w:jc w:val="center"/>
              <w:rPr>
                <w:rFonts w:ascii="宋体" w:hAnsi="宋体" w:cs="宋体"/>
                <w:color w:val="000000"/>
                <w:kern w:val="0"/>
              </w:rPr>
            </w:pPr>
          </w:p>
        </w:tc>
        <w:tc>
          <w:tcPr>
            <w:tcW w:w="1358" w:type="pct"/>
            <w:vAlign w:val="center"/>
          </w:tcPr>
          <w:p w14:paraId="17527EB9">
            <w:pPr>
              <w:widowControl/>
              <w:tabs>
                <w:tab w:val="left" w:pos="5813"/>
              </w:tabs>
              <w:rPr>
                <w:rFonts w:ascii="宋体" w:hAnsi="宋体" w:cs="宋体"/>
                <w:color w:val="000000"/>
                <w:kern w:val="0"/>
              </w:rPr>
            </w:pPr>
            <w:r>
              <w:rPr>
                <w:rFonts w:hint="eastAsia" w:ascii="宋体" w:hAnsi="宋体" w:cs="宋体"/>
                <w:color w:val="000000"/>
                <w:kern w:val="0"/>
              </w:rPr>
              <w:t>GB/T 27544-2011</w:t>
            </w:r>
          </w:p>
        </w:tc>
        <w:tc>
          <w:tcPr>
            <w:tcW w:w="2010" w:type="pct"/>
            <w:vAlign w:val="center"/>
          </w:tcPr>
          <w:p w14:paraId="36FADC96">
            <w:pPr>
              <w:widowControl/>
              <w:tabs>
                <w:tab w:val="left" w:pos="5813"/>
              </w:tabs>
              <w:rPr>
                <w:rFonts w:ascii="宋体" w:hAnsi="宋体" w:cs="宋体"/>
                <w:color w:val="000000"/>
                <w:kern w:val="0"/>
              </w:rPr>
            </w:pPr>
            <w:r>
              <w:rPr>
                <w:rFonts w:hint="eastAsia" w:ascii="宋体" w:hAnsi="宋体" w:cs="宋体"/>
                <w:color w:val="000000"/>
                <w:kern w:val="0"/>
              </w:rPr>
              <w:t>工业车辆   电气要求</w:t>
            </w:r>
          </w:p>
        </w:tc>
        <w:tc>
          <w:tcPr>
            <w:tcW w:w="530" w:type="pct"/>
            <w:vAlign w:val="center"/>
          </w:tcPr>
          <w:p w14:paraId="66B0F5A6">
            <w:pPr>
              <w:widowControl/>
              <w:tabs>
                <w:tab w:val="left" w:pos="5813"/>
              </w:tabs>
              <w:jc w:val="center"/>
              <w:rPr>
                <w:rFonts w:ascii="宋体" w:hAnsi="宋体" w:cs="宋体"/>
                <w:color w:val="000000"/>
                <w:kern w:val="0"/>
              </w:rPr>
            </w:pPr>
            <w:r>
              <w:rPr>
                <w:rFonts w:hint="eastAsia"/>
              </w:rPr>
              <w:t>推荐性</w:t>
            </w:r>
          </w:p>
        </w:tc>
      </w:tr>
      <w:tr w14:paraId="0FE5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EF9A6EF">
            <w:pPr>
              <w:widowControl/>
              <w:tabs>
                <w:tab w:val="left" w:pos="5813"/>
              </w:tabs>
              <w:jc w:val="center"/>
              <w:rPr>
                <w:rFonts w:ascii="宋体" w:hAnsi="宋体" w:cs="宋体"/>
                <w:color w:val="000000"/>
                <w:kern w:val="0"/>
              </w:rPr>
            </w:pPr>
          </w:p>
        </w:tc>
        <w:tc>
          <w:tcPr>
            <w:tcW w:w="721" w:type="pct"/>
            <w:vMerge w:val="continue"/>
            <w:vAlign w:val="center"/>
          </w:tcPr>
          <w:p w14:paraId="6A077D2D">
            <w:pPr>
              <w:widowControl/>
              <w:tabs>
                <w:tab w:val="left" w:pos="5813"/>
              </w:tabs>
              <w:jc w:val="center"/>
              <w:rPr>
                <w:rFonts w:ascii="宋体" w:hAnsi="宋体" w:cs="宋体"/>
                <w:color w:val="000000"/>
                <w:kern w:val="0"/>
              </w:rPr>
            </w:pPr>
          </w:p>
        </w:tc>
        <w:tc>
          <w:tcPr>
            <w:tcW w:w="1358" w:type="pct"/>
            <w:vAlign w:val="center"/>
          </w:tcPr>
          <w:p w14:paraId="6B182DAC">
            <w:pPr>
              <w:widowControl/>
              <w:tabs>
                <w:tab w:val="left" w:pos="5813"/>
              </w:tabs>
              <w:rPr>
                <w:rFonts w:ascii="宋体" w:hAnsi="宋体" w:cs="宋体"/>
                <w:color w:val="000000"/>
                <w:kern w:val="0"/>
              </w:rPr>
            </w:pPr>
            <w:r>
              <w:rPr>
                <w:rFonts w:hint="eastAsia" w:ascii="宋体" w:hAnsi="宋体" w:cs="宋体"/>
                <w:color w:val="000000"/>
                <w:kern w:val="0"/>
              </w:rPr>
              <w:t>GB/T 38893-2020</w:t>
            </w:r>
          </w:p>
        </w:tc>
        <w:tc>
          <w:tcPr>
            <w:tcW w:w="2010" w:type="pct"/>
            <w:vAlign w:val="center"/>
          </w:tcPr>
          <w:p w14:paraId="11AB1784">
            <w:pPr>
              <w:widowControl/>
              <w:tabs>
                <w:tab w:val="left" w:pos="5813"/>
              </w:tabs>
              <w:rPr>
                <w:rFonts w:ascii="宋体" w:hAnsi="宋体" w:cs="宋体"/>
                <w:color w:val="000000"/>
                <w:kern w:val="0"/>
              </w:rPr>
            </w:pPr>
            <w:r>
              <w:rPr>
                <w:rFonts w:hint="eastAsia" w:ascii="宋体" w:hAnsi="宋体" w:cs="宋体"/>
                <w:color w:val="000000"/>
                <w:kern w:val="0"/>
              </w:rPr>
              <w:t>工业车辆 安全监控管理系统</w:t>
            </w:r>
          </w:p>
        </w:tc>
        <w:tc>
          <w:tcPr>
            <w:tcW w:w="530" w:type="pct"/>
            <w:vAlign w:val="center"/>
          </w:tcPr>
          <w:p w14:paraId="37CCF5E1">
            <w:pPr>
              <w:widowControl/>
              <w:tabs>
                <w:tab w:val="left" w:pos="5813"/>
              </w:tabs>
              <w:jc w:val="center"/>
              <w:rPr>
                <w:rFonts w:ascii="宋体" w:hAnsi="宋体" w:cs="宋体"/>
                <w:color w:val="000000"/>
                <w:kern w:val="0"/>
              </w:rPr>
            </w:pPr>
            <w:r>
              <w:rPr>
                <w:rFonts w:hint="eastAsia"/>
              </w:rPr>
              <w:t>推荐性</w:t>
            </w:r>
          </w:p>
        </w:tc>
      </w:tr>
      <w:tr w14:paraId="318E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3F53D71">
            <w:pPr>
              <w:widowControl/>
              <w:tabs>
                <w:tab w:val="left" w:pos="5813"/>
              </w:tabs>
              <w:jc w:val="center"/>
              <w:rPr>
                <w:rFonts w:ascii="宋体" w:hAnsi="宋体" w:cs="宋体"/>
                <w:color w:val="000000"/>
                <w:kern w:val="0"/>
              </w:rPr>
            </w:pPr>
          </w:p>
        </w:tc>
        <w:tc>
          <w:tcPr>
            <w:tcW w:w="721" w:type="pct"/>
            <w:vMerge w:val="continue"/>
            <w:vAlign w:val="center"/>
          </w:tcPr>
          <w:p w14:paraId="11C3F244">
            <w:pPr>
              <w:widowControl/>
              <w:tabs>
                <w:tab w:val="left" w:pos="5813"/>
              </w:tabs>
              <w:jc w:val="center"/>
              <w:rPr>
                <w:rFonts w:ascii="宋体" w:hAnsi="宋体" w:cs="宋体"/>
                <w:color w:val="000000"/>
                <w:kern w:val="0"/>
              </w:rPr>
            </w:pPr>
          </w:p>
        </w:tc>
        <w:tc>
          <w:tcPr>
            <w:tcW w:w="1358" w:type="pct"/>
            <w:vAlign w:val="center"/>
          </w:tcPr>
          <w:p w14:paraId="4E632838">
            <w:pPr>
              <w:widowControl/>
              <w:tabs>
                <w:tab w:val="left" w:pos="5813"/>
              </w:tabs>
              <w:rPr>
                <w:rFonts w:ascii="宋体" w:hAnsi="宋体" w:cs="宋体"/>
                <w:color w:val="000000"/>
                <w:kern w:val="0"/>
              </w:rPr>
            </w:pPr>
            <w:r>
              <w:rPr>
                <w:rFonts w:hint="eastAsia" w:ascii="宋体" w:hAnsi="宋体" w:cs="宋体"/>
                <w:color w:val="000000"/>
                <w:kern w:val="0"/>
              </w:rPr>
              <w:t xml:space="preserve">GB/T 19854-2018 </w:t>
            </w:r>
          </w:p>
        </w:tc>
        <w:tc>
          <w:tcPr>
            <w:tcW w:w="2010" w:type="pct"/>
            <w:vAlign w:val="center"/>
          </w:tcPr>
          <w:p w14:paraId="15AD788A">
            <w:pPr>
              <w:widowControl/>
              <w:tabs>
                <w:tab w:val="left" w:pos="5813"/>
              </w:tabs>
              <w:rPr>
                <w:rFonts w:ascii="宋体" w:hAnsi="宋体" w:cs="宋体"/>
                <w:color w:val="000000"/>
                <w:kern w:val="0"/>
              </w:rPr>
            </w:pPr>
            <w:r>
              <w:rPr>
                <w:rFonts w:hint="eastAsia" w:ascii="宋体" w:hAnsi="宋体" w:cs="宋体"/>
                <w:color w:val="000000"/>
                <w:kern w:val="0"/>
              </w:rPr>
              <w:t>爆炸性环境用工业车辆防爆技术通则</w:t>
            </w:r>
          </w:p>
        </w:tc>
        <w:tc>
          <w:tcPr>
            <w:tcW w:w="530" w:type="pct"/>
            <w:vAlign w:val="center"/>
          </w:tcPr>
          <w:p w14:paraId="6B81CE42">
            <w:pPr>
              <w:widowControl/>
              <w:tabs>
                <w:tab w:val="left" w:pos="5813"/>
              </w:tabs>
              <w:jc w:val="center"/>
              <w:rPr>
                <w:rFonts w:ascii="宋体" w:hAnsi="宋体" w:cs="宋体"/>
                <w:color w:val="000000"/>
                <w:kern w:val="0"/>
              </w:rPr>
            </w:pPr>
            <w:r>
              <w:rPr>
                <w:rFonts w:hint="eastAsia"/>
              </w:rPr>
              <w:t>推荐性</w:t>
            </w:r>
          </w:p>
        </w:tc>
      </w:tr>
      <w:tr w14:paraId="26BB4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FFF9543">
            <w:pPr>
              <w:widowControl/>
              <w:tabs>
                <w:tab w:val="left" w:pos="5813"/>
              </w:tabs>
              <w:jc w:val="center"/>
              <w:rPr>
                <w:rFonts w:ascii="宋体" w:hAnsi="宋体" w:cs="宋体"/>
                <w:color w:val="000000"/>
                <w:kern w:val="0"/>
              </w:rPr>
            </w:pPr>
          </w:p>
        </w:tc>
        <w:tc>
          <w:tcPr>
            <w:tcW w:w="721" w:type="pct"/>
            <w:vMerge w:val="continue"/>
            <w:vAlign w:val="center"/>
          </w:tcPr>
          <w:p w14:paraId="02F8C4B9">
            <w:pPr>
              <w:widowControl/>
              <w:tabs>
                <w:tab w:val="left" w:pos="5813"/>
              </w:tabs>
              <w:jc w:val="center"/>
              <w:rPr>
                <w:rFonts w:ascii="宋体" w:hAnsi="宋体" w:cs="宋体"/>
                <w:color w:val="000000"/>
                <w:kern w:val="0"/>
              </w:rPr>
            </w:pPr>
          </w:p>
        </w:tc>
        <w:tc>
          <w:tcPr>
            <w:tcW w:w="1358" w:type="pct"/>
            <w:vAlign w:val="center"/>
          </w:tcPr>
          <w:p w14:paraId="795BB539">
            <w:pPr>
              <w:widowControl/>
              <w:tabs>
                <w:tab w:val="left" w:pos="5813"/>
              </w:tabs>
              <w:rPr>
                <w:rFonts w:ascii="宋体" w:hAnsi="宋体" w:cs="宋体"/>
                <w:color w:val="000000"/>
                <w:kern w:val="0"/>
              </w:rPr>
            </w:pPr>
            <w:r>
              <w:rPr>
                <w:rFonts w:hint="eastAsia" w:ascii="宋体" w:hAnsi="宋体" w:cs="宋体"/>
                <w:color w:val="000000"/>
                <w:kern w:val="0"/>
              </w:rPr>
              <w:t>JB/T 5335-1991</w:t>
            </w:r>
          </w:p>
        </w:tc>
        <w:tc>
          <w:tcPr>
            <w:tcW w:w="2010" w:type="pct"/>
            <w:vAlign w:val="center"/>
          </w:tcPr>
          <w:p w14:paraId="167A399D">
            <w:pPr>
              <w:widowControl/>
              <w:tabs>
                <w:tab w:val="left" w:pos="5813"/>
              </w:tabs>
              <w:rPr>
                <w:rFonts w:ascii="宋体" w:hAnsi="宋体" w:cs="宋体"/>
                <w:color w:val="000000"/>
                <w:kern w:val="0"/>
              </w:rPr>
            </w:pPr>
            <w:r>
              <w:rPr>
                <w:rFonts w:hint="eastAsia" w:ascii="宋体" w:hAnsi="宋体" w:cs="宋体"/>
                <w:color w:val="000000"/>
                <w:kern w:val="0"/>
              </w:rPr>
              <w:t>蓄电池车辆用直流电动机 基本技术条件</w:t>
            </w:r>
          </w:p>
        </w:tc>
        <w:tc>
          <w:tcPr>
            <w:tcW w:w="530" w:type="pct"/>
            <w:vAlign w:val="center"/>
          </w:tcPr>
          <w:p w14:paraId="656B60A4">
            <w:pPr>
              <w:widowControl/>
              <w:tabs>
                <w:tab w:val="left" w:pos="5813"/>
              </w:tabs>
              <w:jc w:val="center"/>
              <w:rPr>
                <w:rFonts w:ascii="宋体" w:hAnsi="宋体" w:cs="宋体"/>
                <w:color w:val="000000"/>
                <w:kern w:val="0"/>
              </w:rPr>
            </w:pPr>
            <w:r>
              <w:rPr>
                <w:rFonts w:hint="eastAsia"/>
              </w:rPr>
              <w:t>推荐性</w:t>
            </w:r>
          </w:p>
        </w:tc>
      </w:tr>
      <w:tr w14:paraId="4E9A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46E6CE60">
            <w:pPr>
              <w:widowControl/>
              <w:tabs>
                <w:tab w:val="left" w:pos="5813"/>
              </w:tabs>
              <w:jc w:val="center"/>
              <w:rPr>
                <w:rFonts w:ascii="宋体" w:hAnsi="宋体" w:cs="宋体"/>
                <w:color w:val="000000"/>
                <w:kern w:val="0"/>
              </w:rPr>
            </w:pPr>
          </w:p>
        </w:tc>
        <w:tc>
          <w:tcPr>
            <w:tcW w:w="721" w:type="pct"/>
            <w:vMerge w:val="continue"/>
            <w:vAlign w:val="center"/>
          </w:tcPr>
          <w:p w14:paraId="1E7F4DCB">
            <w:pPr>
              <w:widowControl/>
              <w:tabs>
                <w:tab w:val="left" w:pos="5813"/>
              </w:tabs>
              <w:jc w:val="center"/>
              <w:rPr>
                <w:rFonts w:ascii="宋体" w:hAnsi="宋体" w:cs="宋体"/>
                <w:color w:val="000000"/>
                <w:kern w:val="0"/>
              </w:rPr>
            </w:pPr>
          </w:p>
        </w:tc>
        <w:tc>
          <w:tcPr>
            <w:tcW w:w="1358" w:type="pct"/>
            <w:vAlign w:val="center"/>
          </w:tcPr>
          <w:p w14:paraId="04548671">
            <w:pPr>
              <w:widowControl/>
              <w:tabs>
                <w:tab w:val="left" w:pos="5813"/>
              </w:tabs>
              <w:rPr>
                <w:rFonts w:ascii="宋体" w:hAnsi="宋体" w:cs="宋体"/>
                <w:color w:val="000000"/>
                <w:kern w:val="0"/>
              </w:rPr>
            </w:pPr>
            <w:r>
              <w:rPr>
                <w:rFonts w:hint="eastAsia" w:ascii="宋体" w:hAnsi="宋体" w:cs="宋体"/>
                <w:color w:val="000000"/>
                <w:kern w:val="0"/>
              </w:rPr>
              <w:t>GB/T 21268-2014</w:t>
            </w:r>
          </w:p>
        </w:tc>
        <w:tc>
          <w:tcPr>
            <w:tcW w:w="2010" w:type="pct"/>
            <w:vAlign w:val="center"/>
          </w:tcPr>
          <w:p w14:paraId="7312D913">
            <w:pPr>
              <w:widowControl/>
              <w:tabs>
                <w:tab w:val="left" w:pos="5813"/>
              </w:tabs>
              <w:rPr>
                <w:rFonts w:ascii="宋体" w:hAnsi="宋体" w:cs="宋体"/>
                <w:color w:val="000000"/>
                <w:kern w:val="0"/>
              </w:rPr>
            </w:pPr>
            <w:r>
              <w:rPr>
                <w:rFonts w:hint="eastAsia" w:ascii="宋体" w:hAnsi="宋体" w:cs="宋体"/>
                <w:color w:val="000000"/>
                <w:kern w:val="0"/>
              </w:rPr>
              <w:t>非公路用旅游观光车通用技术条件</w:t>
            </w:r>
          </w:p>
        </w:tc>
        <w:tc>
          <w:tcPr>
            <w:tcW w:w="530" w:type="pct"/>
            <w:vAlign w:val="center"/>
          </w:tcPr>
          <w:p w14:paraId="3359B80B">
            <w:pPr>
              <w:widowControl/>
              <w:tabs>
                <w:tab w:val="left" w:pos="5813"/>
              </w:tabs>
              <w:jc w:val="center"/>
              <w:rPr>
                <w:rFonts w:ascii="宋体" w:hAnsi="宋体" w:cs="宋体"/>
                <w:color w:val="000000"/>
                <w:kern w:val="0"/>
              </w:rPr>
            </w:pPr>
            <w:r>
              <w:rPr>
                <w:rFonts w:hint="eastAsia"/>
              </w:rPr>
              <w:t>推荐性</w:t>
            </w:r>
          </w:p>
        </w:tc>
      </w:tr>
      <w:tr w14:paraId="4C616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6CC34634">
            <w:pPr>
              <w:widowControl/>
              <w:tabs>
                <w:tab w:val="left" w:pos="5813"/>
              </w:tabs>
              <w:jc w:val="center"/>
              <w:rPr>
                <w:rFonts w:ascii="宋体" w:hAnsi="宋体" w:cs="宋体"/>
                <w:color w:val="000000"/>
                <w:kern w:val="0"/>
              </w:rPr>
            </w:pPr>
          </w:p>
        </w:tc>
        <w:tc>
          <w:tcPr>
            <w:tcW w:w="721" w:type="pct"/>
            <w:vMerge w:val="continue"/>
            <w:vAlign w:val="center"/>
          </w:tcPr>
          <w:p w14:paraId="74336797">
            <w:pPr>
              <w:widowControl/>
              <w:tabs>
                <w:tab w:val="left" w:pos="5813"/>
              </w:tabs>
              <w:jc w:val="center"/>
              <w:rPr>
                <w:rFonts w:ascii="宋体" w:hAnsi="宋体" w:cs="宋体"/>
                <w:color w:val="000000"/>
                <w:kern w:val="0"/>
              </w:rPr>
            </w:pPr>
          </w:p>
        </w:tc>
        <w:tc>
          <w:tcPr>
            <w:tcW w:w="1358" w:type="pct"/>
            <w:vAlign w:val="center"/>
          </w:tcPr>
          <w:p w14:paraId="0F90440A">
            <w:pPr>
              <w:widowControl/>
              <w:tabs>
                <w:tab w:val="left" w:pos="5813"/>
              </w:tabs>
              <w:rPr>
                <w:rFonts w:ascii="宋体" w:hAnsi="宋体" w:cs="宋体"/>
                <w:color w:val="000000"/>
                <w:kern w:val="0"/>
              </w:rPr>
            </w:pPr>
            <w:r>
              <w:rPr>
                <w:rFonts w:hint="eastAsia" w:ascii="宋体" w:hAnsi="宋体" w:cs="宋体"/>
                <w:color w:val="000000"/>
                <w:kern w:val="0"/>
              </w:rPr>
              <w:t>GB/T 38433-2019</w:t>
            </w:r>
          </w:p>
        </w:tc>
        <w:tc>
          <w:tcPr>
            <w:tcW w:w="2010" w:type="pct"/>
            <w:vAlign w:val="center"/>
          </w:tcPr>
          <w:p w14:paraId="75BE9DA1">
            <w:pPr>
              <w:widowControl/>
              <w:tabs>
                <w:tab w:val="left" w:pos="5813"/>
              </w:tabs>
              <w:rPr>
                <w:rFonts w:ascii="宋体" w:hAnsi="宋体" w:cs="宋体"/>
                <w:color w:val="000000"/>
                <w:kern w:val="0"/>
              </w:rPr>
            </w:pPr>
            <w:r>
              <w:rPr>
                <w:rFonts w:hint="eastAsia" w:ascii="宋体" w:hAnsi="宋体" w:cs="宋体"/>
                <w:color w:val="000000"/>
                <w:kern w:val="0"/>
              </w:rPr>
              <w:t>非公路用旅游观光列车通用技术条件</w:t>
            </w:r>
          </w:p>
        </w:tc>
        <w:tc>
          <w:tcPr>
            <w:tcW w:w="530" w:type="pct"/>
            <w:vAlign w:val="center"/>
          </w:tcPr>
          <w:p w14:paraId="63FE3EDF">
            <w:pPr>
              <w:widowControl/>
              <w:tabs>
                <w:tab w:val="left" w:pos="5813"/>
              </w:tabs>
              <w:jc w:val="center"/>
              <w:rPr>
                <w:rFonts w:ascii="宋体" w:hAnsi="宋体" w:cs="宋体"/>
                <w:color w:val="000000"/>
                <w:kern w:val="0"/>
              </w:rPr>
            </w:pPr>
            <w:r>
              <w:rPr>
                <w:rFonts w:hint="eastAsia"/>
              </w:rPr>
              <w:t>推荐性</w:t>
            </w:r>
          </w:p>
        </w:tc>
      </w:tr>
      <w:tr w14:paraId="6F36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0554CCDB">
            <w:pPr>
              <w:widowControl/>
              <w:tabs>
                <w:tab w:val="left" w:pos="5813"/>
              </w:tabs>
              <w:jc w:val="center"/>
              <w:rPr>
                <w:rFonts w:ascii="宋体" w:hAnsi="宋体" w:cs="宋体"/>
                <w:color w:val="000000"/>
                <w:kern w:val="0"/>
              </w:rPr>
            </w:pPr>
          </w:p>
        </w:tc>
        <w:tc>
          <w:tcPr>
            <w:tcW w:w="721" w:type="pct"/>
            <w:vMerge w:val="continue"/>
            <w:vAlign w:val="center"/>
          </w:tcPr>
          <w:p w14:paraId="5478A31D">
            <w:pPr>
              <w:widowControl/>
              <w:tabs>
                <w:tab w:val="left" w:pos="5813"/>
              </w:tabs>
              <w:jc w:val="center"/>
              <w:rPr>
                <w:rFonts w:ascii="宋体" w:hAnsi="宋体" w:cs="宋体"/>
                <w:color w:val="000000"/>
                <w:kern w:val="0"/>
              </w:rPr>
            </w:pPr>
          </w:p>
        </w:tc>
        <w:tc>
          <w:tcPr>
            <w:tcW w:w="1358" w:type="pct"/>
            <w:vAlign w:val="center"/>
          </w:tcPr>
          <w:p w14:paraId="58441D22">
            <w:pPr>
              <w:widowControl/>
              <w:tabs>
                <w:tab w:val="left" w:pos="5813"/>
              </w:tabs>
              <w:rPr>
                <w:rFonts w:ascii="宋体" w:hAnsi="宋体" w:cs="宋体"/>
                <w:color w:val="000000"/>
                <w:kern w:val="0"/>
              </w:rPr>
            </w:pPr>
            <w:r>
              <w:rPr>
                <w:rFonts w:hint="eastAsia" w:ascii="宋体" w:hAnsi="宋体" w:cs="宋体"/>
                <w:color w:val="000000"/>
                <w:kern w:val="0"/>
              </w:rPr>
              <w:t>GB 7258-2017</w:t>
            </w:r>
          </w:p>
        </w:tc>
        <w:tc>
          <w:tcPr>
            <w:tcW w:w="2010" w:type="pct"/>
            <w:vAlign w:val="center"/>
          </w:tcPr>
          <w:p w14:paraId="33EB7D92">
            <w:pPr>
              <w:widowControl/>
              <w:tabs>
                <w:tab w:val="left" w:pos="5813"/>
              </w:tabs>
              <w:rPr>
                <w:rFonts w:ascii="宋体" w:hAnsi="宋体" w:cs="宋体"/>
                <w:color w:val="000000"/>
                <w:kern w:val="0"/>
              </w:rPr>
            </w:pPr>
            <w:r>
              <w:rPr>
                <w:rFonts w:hint="eastAsia" w:ascii="宋体" w:hAnsi="宋体" w:cs="宋体"/>
                <w:color w:val="000000"/>
                <w:kern w:val="0"/>
              </w:rPr>
              <w:t>机动车运行安全技术条件（含1、2号修改单）</w:t>
            </w:r>
          </w:p>
        </w:tc>
        <w:tc>
          <w:tcPr>
            <w:tcW w:w="530" w:type="pct"/>
            <w:vAlign w:val="center"/>
          </w:tcPr>
          <w:p w14:paraId="3904E0B9">
            <w:pPr>
              <w:widowControl/>
              <w:tabs>
                <w:tab w:val="left" w:pos="5813"/>
              </w:tabs>
              <w:jc w:val="center"/>
              <w:rPr>
                <w:rFonts w:ascii="宋体" w:hAnsi="宋体" w:cs="宋体"/>
                <w:color w:val="000000"/>
                <w:kern w:val="0"/>
              </w:rPr>
            </w:pPr>
            <w:r>
              <w:rPr>
                <w:rFonts w:hint="eastAsia"/>
              </w:rPr>
              <w:t>强制性</w:t>
            </w:r>
          </w:p>
        </w:tc>
      </w:tr>
      <w:tr w14:paraId="0AC4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600A55E7">
            <w:pPr>
              <w:widowControl/>
              <w:tabs>
                <w:tab w:val="left" w:pos="5813"/>
              </w:tabs>
              <w:jc w:val="center"/>
              <w:rPr>
                <w:rFonts w:ascii="宋体" w:hAnsi="宋体" w:cs="宋体"/>
                <w:color w:val="000000"/>
                <w:kern w:val="0"/>
              </w:rPr>
            </w:pPr>
          </w:p>
        </w:tc>
        <w:tc>
          <w:tcPr>
            <w:tcW w:w="721" w:type="pct"/>
            <w:vMerge w:val="continue"/>
            <w:vAlign w:val="center"/>
          </w:tcPr>
          <w:p w14:paraId="150A0AA2">
            <w:pPr>
              <w:widowControl/>
              <w:tabs>
                <w:tab w:val="left" w:pos="5813"/>
              </w:tabs>
              <w:jc w:val="center"/>
              <w:rPr>
                <w:rFonts w:ascii="宋体" w:hAnsi="宋体" w:cs="宋体"/>
                <w:color w:val="000000"/>
                <w:kern w:val="0"/>
              </w:rPr>
            </w:pPr>
          </w:p>
        </w:tc>
        <w:tc>
          <w:tcPr>
            <w:tcW w:w="1358" w:type="pct"/>
            <w:vAlign w:val="center"/>
          </w:tcPr>
          <w:p w14:paraId="4C2662FC">
            <w:pPr>
              <w:widowControl/>
              <w:tabs>
                <w:tab w:val="left" w:pos="5813"/>
              </w:tabs>
              <w:rPr>
                <w:rFonts w:ascii="宋体" w:hAnsi="宋体" w:cs="宋体"/>
                <w:color w:val="000000"/>
                <w:kern w:val="0"/>
              </w:rPr>
            </w:pPr>
            <w:r>
              <w:rPr>
                <w:rFonts w:hint="eastAsia" w:ascii="宋体" w:hAnsi="宋体" w:cs="宋体"/>
                <w:color w:val="000000"/>
                <w:kern w:val="0"/>
              </w:rPr>
              <w:t>GB/T 42611-2023</w:t>
            </w:r>
          </w:p>
        </w:tc>
        <w:tc>
          <w:tcPr>
            <w:tcW w:w="2010" w:type="pct"/>
            <w:vAlign w:val="center"/>
          </w:tcPr>
          <w:p w14:paraId="301186A3">
            <w:pPr>
              <w:widowControl/>
              <w:tabs>
                <w:tab w:val="left" w:pos="5813"/>
              </w:tabs>
              <w:rPr>
                <w:rFonts w:ascii="宋体" w:hAnsi="宋体" w:cs="宋体"/>
                <w:color w:val="000000"/>
                <w:kern w:val="0"/>
              </w:rPr>
            </w:pPr>
            <w:r>
              <w:rPr>
                <w:rFonts w:hint="eastAsia" w:ascii="宋体" w:hAnsi="宋体" w:cs="宋体"/>
                <w:color w:val="000000"/>
                <w:kern w:val="0"/>
              </w:rPr>
              <w:t>非公路用旅游观光车辆制动性能试验方法</w:t>
            </w:r>
          </w:p>
        </w:tc>
        <w:tc>
          <w:tcPr>
            <w:tcW w:w="530" w:type="pct"/>
            <w:vAlign w:val="center"/>
          </w:tcPr>
          <w:p w14:paraId="19640F7C">
            <w:pPr>
              <w:widowControl/>
              <w:tabs>
                <w:tab w:val="left" w:pos="5813"/>
              </w:tabs>
              <w:jc w:val="center"/>
              <w:rPr>
                <w:rFonts w:ascii="宋体" w:hAnsi="宋体" w:cs="宋体"/>
                <w:color w:val="000000"/>
                <w:kern w:val="0"/>
              </w:rPr>
            </w:pPr>
            <w:r>
              <w:rPr>
                <w:rFonts w:hint="eastAsia"/>
              </w:rPr>
              <w:t>推荐性</w:t>
            </w:r>
          </w:p>
        </w:tc>
      </w:tr>
      <w:tr w14:paraId="0CDB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3F46618B">
            <w:pPr>
              <w:widowControl/>
              <w:tabs>
                <w:tab w:val="left" w:pos="5813"/>
              </w:tabs>
              <w:rPr>
                <w:rFonts w:ascii="宋体" w:hAnsi="宋体" w:cs="宋体"/>
                <w:color w:val="000000"/>
                <w:kern w:val="0"/>
              </w:rPr>
            </w:pPr>
          </w:p>
        </w:tc>
        <w:tc>
          <w:tcPr>
            <w:tcW w:w="721" w:type="pct"/>
            <w:vMerge w:val="continue"/>
            <w:vAlign w:val="center"/>
          </w:tcPr>
          <w:p w14:paraId="3F6F0AAC">
            <w:pPr>
              <w:widowControl/>
              <w:tabs>
                <w:tab w:val="left" w:pos="5813"/>
              </w:tabs>
              <w:rPr>
                <w:rFonts w:ascii="宋体" w:hAnsi="宋体" w:cs="宋体"/>
                <w:color w:val="000000"/>
                <w:kern w:val="0"/>
              </w:rPr>
            </w:pPr>
          </w:p>
        </w:tc>
        <w:tc>
          <w:tcPr>
            <w:tcW w:w="1358" w:type="pct"/>
            <w:vAlign w:val="center"/>
          </w:tcPr>
          <w:p w14:paraId="31D54BCD">
            <w:pPr>
              <w:widowControl/>
              <w:tabs>
                <w:tab w:val="left" w:pos="5813"/>
              </w:tabs>
              <w:rPr>
                <w:rFonts w:ascii="宋体" w:hAnsi="宋体" w:cs="宋体"/>
                <w:color w:val="000000"/>
                <w:kern w:val="0"/>
              </w:rPr>
            </w:pPr>
            <w:r>
              <w:rPr>
                <w:rFonts w:hint="eastAsia" w:ascii="宋体" w:hAnsi="宋体" w:cs="宋体"/>
                <w:color w:val="000000"/>
                <w:kern w:val="0"/>
              </w:rPr>
              <w:t xml:space="preserve">GB/T 41097-2021 </w:t>
            </w:r>
          </w:p>
        </w:tc>
        <w:tc>
          <w:tcPr>
            <w:tcW w:w="2010" w:type="pct"/>
            <w:vAlign w:val="center"/>
          </w:tcPr>
          <w:p w14:paraId="30741C12">
            <w:pPr>
              <w:widowControl/>
              <w:tabs>
                <w:tab w:val="left" w:pos="5813"/>
              </w:tabs>
              <w:rPr>
                <w:rFonts w:ascii="宋体" w:hAnsi="宋体" w:cs="宋体"/>
                <w:color w:val="000000"/>
                <w:kern w:val="0"/>
              </w:rPr>
            </w:pPr>
            <w:r>
              <w:rPr>
                <w:rFonts w:hint="eastAsia" w:ascii="宋体" w:hAnsi="宋体" w:cs="宋体"/>
                <w:color w:val="000000"/>
                <w:kern w:val="0"/>
              </w:rPr>
              <w:t>非公路用旅游观光车辆使用管理</w:t>
            </w:r>
          </w:p>
        </w:tc>
        <w:tc>
          <w:tcPr>
            <w:tcW w:w="530" w:type="pct"/>
            <w:vAlign w:val="center"/>
          </w:tcPr>
          <w:p w14:paraId="52F0961B">
            <w:pPr>
              <w:widowControl/>
              <w:tabs>
                <w:tab w:val="left" w:pos="5813"/>
              </w:tabs>
              <w:jc w:val="center"/>
              <w:rPr>
                <w:rFonts w:ascii="宋体" w:hAnsi="宋体" w:cs="宋体"/>
                <w:color w:val="000000"/>
                <w:kern w:val="0"/>
              </w:rPr>
            </w:pPr>
            <w:r>
              <w:rPr>
                <w:rFonts w:hint="eastAsia"/>
              </w:rPr>
              <w:t>推荐性</w:t>
            </w:r>
          </w:p>
        </w:tc>
      </w:tr>
      <w:tr w14:paraId="4A46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5264410D">
            <w:pPr>
              <w:widowControl/>
              <w:tabs>
                <w:tab w:val="left" w:pos="5813"/>
              </w:tabs>
              <w:rPr>
                <w:rFonts w:ascii="宋体" w:hAnsi="宋体" w:cs="宋体"/>
                <w:color w:val="000000"/>
                <w:kern w:val="0"/>
              </w:rPr>
            </w:pPr>
          </w:p>
        </w:tc>
        <w:tc>
          <w:tcPr>
            <w:tcW w:w="721" w:type="pct"/>
            <w:vMerge w:val="continue"/>
            <w:vAlign w:val="center"/>
          </w:tcPr>
          <w:p w14:paraId="736BEFE1">
            <w:pPr>
              <w:widowControl/>
              <w:tabs>
                <w:tab w:val="left" w:pos="5813"/>
              </w:tabs>
              <w:rPr>
                <w:rFonts w:ascii="宋体" w:hAnsi="宋体" w:cs="宋体"/>
                <w:color w:val="000000"/>
                <w:kern w:val="0"/>
              </w:rPr>
            </w:pPr>
          </w:p>
        </w:tc>
        <w:tc>
          <w:tcPr>
            <w:tcW w:w="1358" w:type="pct"/>
            <w:vAlign w:val="center"/>
          </w:tcPr>
          <w:p w14:paraId="77BFC05C">
            <w:pPr>
              <w:widowControl/>
              <w:tabs>
                <w:tab w:val="left" w:pos="5813"/>
              </w:tabs>
              <w:rPr>
                <w:rFonts w:ascii="宋体" w:hAnsi="宋体" w:cs="宋体"/>
                <w:color w:val="000000"/>
                <w:kern w:val="0"/>
              </w:rPr>
            </w:pPr>
            <w:r>
              <w:rPr>
                <w:rFonts w:hint="eastAsia" w:ascii="宋体" w:hAnsi="宋体" w:cs="宋体"/>
                <w:color w:val="000000"/>
                <w:kern w:val="0"/>
              </w:rPr>
              <w:t>GB/T 4208-2017</w:t>
            </w:r>
          </w:p>
        </w:tc>
        <w:tc>
          <w:tcPr>
            <w:tcW w:w="2010" w:type="pct"/>
            <w:vAlign w:val="center"/>
          </w:tcPr>
          <w:p w14:paraId="1B0C1BFD">
            <w:pPr>
              <w:widowControl/>
              <w:tabs>
                <w:tab w:val="left" w:pos="5813"/>
              </w:tabs>
              <w:rPr>
                <w:rFonts w:ascii="宋体" w:hAnsi="宋体" w:cs="宋体"/>
                <w:color w:val="000000"/>
                <w:kern w:val="0"/>
              </w:rPr>
            </w:pPr>
            <w:r>
              <w:rPr>
                <w:rFonts w:hint="eastAsia" w:ascii="宋体" w:hAnsi="宋体" w:cs="宋体"/>
                <w:color w:val="000000"/>
                <w:kern w:val="0"/>
              </w:rPr>
              <w:t>外壳防护等级（IP代码）</w:t>
            </w:r>
          </w:p>
        </w:tc>
        <w:tc>
          <w:tcPr>
            <w:tcW w:w="530" w:type="pct"/>
            <w:vAlign w:val="center"/>
          </w:tcPr>
          <w:p w14:paraId="0F63C57A">
            <w:pPr>
              <w:widowControl/>
              <w:tabs>
                <w:tab w:val="left" w:pos="5813"/>
              </w:tabs>
              <w:jc w:val="center"/>
              <w:rPr>
                <w:rFonts w:ascii="宋体" w:hAnsi="宋体" w:cs="宋体"/>
                <w:color w:val="000000"/>
                <w:kern w:val="0"/>
              </w:rPr>
            </w:pPr>
            <w:r>
              <w:rPr>
                <w:rFonts w:hint="eastAsia"/>
              </w:rPr>
              <w:t>推荐性</w:t>
            </w:r>
          </w:p>
        </w:tc>
      </w:tr>
      <w:tr w14:paraId="0121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restart"/>
            <w:vAlign w:val="center"/>
          </w:tcPr>
          <w:p w14:paraId="0F2E2142">
            <w:pPr>
              <w:widowControl/>
              <w:tabs>
                <w:tab w:val="left" w:pos="5813"/>
              </w:tabs>
              <w:jc w:val="center"/>
              <w:rPr>
                <w:rFonts w:ascii="宋体" w:hAnsi="宋体" w:cs="宋体"/>
                <w:color w:val="000000"/>
                <w:kern w:val="0"/>
              </w:rPr>
            </w:pPr>
            <w:r>
              <w:rPr>
                <w:rFonts w:hint="eastAsia" w:ascii="宋体" w:hAnsi="宋体" w:cs="宋体"/>
                <w:color w:val="000000"/>
                <w:kern w:val="0"/>
              </w:rPr>
              <w:t>7</w:t>
            </w:r>
          </w:p>
        </w:tc>
        <w:tc>
          <w:tcPr>
            <w:tcW w:w="721" w:type="pct"/>
            <w:vMerge w:val="restart"/>
            <w:vAlign w:val="center"/>
          </w:tcPr>
          <w:p w14:paraId="3FFD02E1">
            <w:pPr>
              <w:widowControl/>
              <w:tabs>
                <w:tab w:val="left" w:pos="5813"/>
              </w:tabs>
              <w:jc w:val="center"/>
              <w:rPr>
                <w:rFonts w:ascii="宋体" w:hAnsi="宋体" w:cs="宋体"/>
                <w:color w:val="000000"/>
                <w:kern w:val="0"/>
              </w:rPr>
            </w:pPr>
            <w:r>
              <w:rPr>
                <w:rFonts w:hint="eastAsia" w:ascii="宋体" w:hAnsi="宋体" w:cs="宋体"/>
                <w:color w:val="000000"/>
                <w:kern w:val="0"/>
              </w:rPr>
              <w:t>团体标准</w:t>
            </w:r>
          </w:p>
        </w:tc>
        <w:tc>
          <w:tcPr>
            <w:tcW w:w="1358" w:type="pct"/>
            <w:vAlign w:val="center"/>
          </w:tcPr>
          <w:p w14:paraId="2C1413FF">
            <w:pPr>
              <w:widowControl/>
              <w:tabs>
                <w:tab w:val="left" w:pos="5813"/>
              </w:tabs>
              <w:rPr>
                <w:rFonts w:hint="default" w:ascii="宋体" w:hAnsi="宋体" w:eastAsia="宋体" w:cs="宋体"/>
                <w:color w:val="000000"/>
                <w:kern w:val="0"/>
                <w:lang w:val="en-US" w:eastAsia="zh-CN"/>
              </w:rPr>
            </w:pPr>
            <w:r>
              <w:rPr>
                <w:rFonts w:hint="eastAsia" w:ascii="宋体" w:hAnsi="宋体" w:cs="宋体"/>
                <w:color w:val="000000"/>
                <w:kern w:val="0"/>
              </w:rPr>
              <w:t>T/CPASE GT 007</w:t>
            </w:r>
            <w:r>
              <w:rPr>
                <w:rFonts w:hint="eastAsia" w:ascii="宋体" w:hAnsi="宋体" w:cs="宋体"/>
                <w:color w:val="000000"/>
                <w:kern w:val="0"/>
                <w:lang w:val="en-US" w:eastAsia="zh-CN"/>
              </w:rPr>
              <w:t>-2019</w:t>
            </w:r>
          </w:p>
        </w:tc>
        <w:tc>
          <w:tcPr>
            <w:tcW w:w="2010" w:type="pct"/>
            <w:vAlign w:val="center"/>
          </w:tcPr>
          <w:p w14:paraId="25623BB0">
            <w:pPr>
              <w:widowControl/>
              <w:tabs>
                <w:tab w:val="left" w:pos="5813"/>
              </w:tabs>
              <w:rPr>
                <w:rFonts w:ascii="宋体" w:hAnsi="宋体" w:cs="宋体"/>
                <w:color w:val="000000"/>
                <w:kern w:val="0"/>
              </w:rPr>
            </w:pPr>
            <w:r>
              <w:rPr>
                <w:rFonts w:hint="eastAsia" w:ascii="宋体" w:hAnsi="宋体" w:cs="宋体"/>
                <w:color w:val="000000"/>
                <w:kern w:val="0"/>
              </w:rPr>
              <w:t>特种设备事故隐患分类分级</w:t>
            </w:r>
          </w:p>
        </w:tc>
        <w:tc>
          <w:tcPr>
            <w:tcW w:w="530" w:type="pct"/>
            <w:vAlign w:val="center"/>
          </w:tcPr>
          <w:p w14:paraId="03BAD84F">
            <w:pPr>
              <w:widowControl/>
              <w:tabs>
                <w:tab w:val="left" w:pos="5813"/>
              </w:tabs>
              <w:jc w:val="center"/>
              <w:rPr>
                <w:rFonts w:ascii="宋体" w:hAnsi="宋体" w:cs="宋体"/>
                <w:color w:val="000000"/>
                <w:kern w:val="0"/>
              </w:rPr>
            </w:pPr>
            <w:r>
              <w:rPr>
                <w:rFonts w:hint="eastAsia"/>
              </w:rPr>
              <w:t>推荐性</w:t>
            </w:r>
          </w:p>
        </w:tc>
      </w:tr>
      <w:tr w14:paraId="1941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Merge w:val="continue"/>
            <w:vAlign w:val="center"/>
          </w:tcPr>
          <w:p w14:paraId="7CF1BD26">
            <w:pPr>
              <w:widowControl/>
              <w:tabs>
                <w:tab w:val="left" w:pos="5813"/>
              </w:tabs>
              <w:jc w:val="center"/>
              <w:rPr>
                <w:rFonts w:ascii="宋体" w:hAnsi="宋体" w:cs="宋体"/>
                <w:color w:val="000000"/>
                <w:kern w:val="0"/>
              </w:rPr>
            </w:pPr>
          </w:p>
        </w:tc>
        <w:tc>
          <w:tcPr>
            <w:tcW w:w="721" w:type="pct"/>
            <w:vMerge w:val="continue"/>
            <w:vAlign w:val="center"/>
          </w:tcPr>
          <w:p w14:paraId="65BFFFB6">
            <w:pPr>
              <w:widowControl/>
              <w:tabs>
                <w:tab w:val="left" w:pos="5813"/>
              </w:tabs>
              <w:rPr>
                <w:rFonts w:ascii="宋体" w:hAnsi="宋体" w:cs="宋体"/>
                <w:color w:val="000000"/>
                <w:kern w:val="0"/>
              </w:rPr>
            </w:pPr>
          </w:p>
        </w:tc>
        <w:tc>
          <w:tcPr>
            <w:tcW w:w="1358" w:type="pct"/>
            <w:vAlign w:val="center"/>
          </w:tcPr>
          <w:p w14:paraId="10F8CA78">
            <w:pPr>
              <w:widowControl/>
              <w:tabs>
                <w:tab w:val="left" w:pos="5813"/>
              </w:tabs>
              <w:rPr>
                <w:rFonts w:hint="default" w:ascii="宋体" w:hAnsi="宋体" w:eastAsia="宋体" w:cs="宋体"/>
                <w:color w:val="000000"/>
                <w:kern w:val="0"/>
                <w:lang w:val="en-US" w:eastAsia="zh-CN"/>
              </w:rPr>
            </w:pPr>
            <w:r>
              <w:rPr>
                <w:rFonts w:hint="eastAsia" w:ascii="宋体" w:hAnsi="宋体" w:cs="宋体"/>
                <w:color w:val="000000"/>
                <w:kern w:val="0"/>
              </w:rPr>
              <w:t>T/CPASE GT 011</w:t>
            </w:r>
            <w:r>
              <w:rPr>
                <w:rFonts w:hint="eastAsia" w:ascii="宋体" w:hAnsi="宋体" w:cs="宋体"/>
                <w:color w:val="000000"/>
                <w:kern w:val="0"/>
                <w:lang w:val="en-US" w:eastAsia="zh-CN"/>
              </w:rPr>
              <w:t>-2020</w:t>
            </w:r>
          </w:p>
        </w:tc>
        <w:tc>
          <w:tcPr>
            <w:tcW w:w="2010" w:type="pct"/>
            <w:vAlign w:val="center"/>
          </w:tcPr>
          <w:p w14:paraId="6B453F1E">
            <w:pPr>
              <w:widowControl/>
              <w:tabs>
                <w:tab w:val="left" w:pos="5813"/>
              </w:tabs>
              <w:rPr>
                <w:rFonts w:ascii="宋体" w:hAnsi="宋体" w:cs="宋体"/>
                <w:color w:val="000000"/>
                <w:kern w:val="0"/>
              </w:rPr>
            </w:pPr>
            <w:r>
              <w:rPr>
                <w:rFonts w:hint="eastAsia" w:ascii="宋体" w:hAnsi="宋体" w:cs="宋体"/>
                <w:color w:val="000000"/>
                <w:kern w:val="0"/>
              </w:rPr>
              <w:t xml:space="preserve">特种设备风险管控导则 </w:t>
            </w:r>
          </w:p>
        </w:tc>
        <w:tc>
          <w:tcPr>
            <w:tcW w:w="530" w:type="pct"/>
            <w:vAlign w:val="center"/>
          </w:tcPr>
          <w:p w14:paraId="0DC68A9D">
            <w:pPr>
              <w:widowControl/>
              <w:tabs>
                <w:tab w:val="left" w:pos="5813"/>
              </w:tabs>
              <w:jc w:val="center"/>
              <w:rPr>
                <w:rFonts w:ascii="宋体" w:hAnsi="宋体" w:cs="宋体"/>
                <w:color w:val="000000"/>
                <w:kern w:val="0"/>
              </w:rPr>
            </w:pPr>
            <w:r>
              <w:rPr>
                <w:rFonts w:hint="eastAsia"/>
              </w:rPr>
              <w:t>推荐性</w:t>
            </w:r>
          </w:p>
        </w:tc>
      </w:tr>
    </w:tbl>
    <w:p w14:paraId="1A74A615">
      <w:pPr>
        <w:pStyle w:val="56"/>
        <w:ind w:firstLine="420"/>
      </w:pPr>
    </w:p>
    <w:p w14:paraId="5C003DA2">
      <w:pPr>
        <w:pStyle w:val="56"/>
        <w:ind w:firstLine="420"/>
        <w:sectPr>
          <w:pgSz w:w="11906" w:h="16838"/>
          <w:pgMar w:top="1928" w:right="1134" w:bottom="1134" w:left="1134" w:header="1418" w:footer="1134" w:gutter="284"/>
          <w:cols w:space="425" w:num="1"/>
          <w:formProt w:val="0"/>
          <w:docGrid w:type="lines" w:linePitch="312" w:charSpace="0"/>
        </w:sectPr>
      </w:pPr>
    </w:p>
    <w:p w14:paraId="0F5AACC2">
      <w:pPr>
        <w:pStyle w:val="198"/>
      </w:pPr>
    </w:p>
    <w:p w14:paraId="6E8716E9">
      <w:pPr>
        <w:pStyle w:val="199"/>
      </w:pPr>
    </w:p>
    <w:p w14:paraId="49768644">
      <w:pPr>
        <w:pStyle w:val="76"/>
        <w:spacing w:after="156"/>
      </w:pPr>
      <w:r>
        <w:br w:type="textWrapping"/>
      </w:r>
      <w:bookmarkStart w:id="84" w:name="_Toc193115870"/>
      <w:r>
        <w:rPr>
          <w:rFonts w:hint="eastAsia"/>
        </w:rPr>
        <w:t>（资料性）</w:t>
      </w:r>
      <w:r>
        <w:br w:type="textWrapping"/>
      </w:r>
      <w:r>
        <w:rPr>
          <w:rFonts w:hint="eastAsia"/>
        </w:rPr>
        <w:t>叉车自行检查项目表</w:t>
      </w:r>
      <w:bookmarkEnd w:id="84"/>
    </w:p>
    <w:p w14:paraId="365170AB">
      <w:pPr>
        <w:pStyle w:val="56"/>
        <w:ind w:firstLine="420"/>
      </w:pPr>
      <w:r>
        <w:rPr>
          <w:rFonts w:hint="eastAsia"/>
        </w:rPr>
        <w:t>叉车自行检查项目表见表B</w:t>
      </w:r>
      <w:r>
        <w:t>.1</w:t>
      </w:r>
      <w:r>
        <w:rPr>
          <w:rFonts w:hint="eastAsia"/>
        </w:rPr>
        <w:t>。</w:t>
      </w:r>
    </w:p>
    <w:p w14:paraId="0C864980">
      <w:pPr>
        <w:pStyle w:val="77"/>
        <w:spacing w:before="156" w:after="156"/>
      </w:pPr>
      <w:r>
        <w:rPr>
          <w:rFonts w:hint="eastAsia"/>
        </w:rPr>
        <w:t>叉车自行检查项目表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104"/>
        <w:gridCol w:w="6100"/>
        <w:gridCol w:w="754"/>
        <w:gridCol w:w="772"/>
      </w:tblGrid>
      <w:tr w14:paraId="3C57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439" w:type="pct"/>
            <w:shd w:val="clear" w:color="auto" w:fill="auto"/>
            <w:noWrap/>
            <w:vAlign w:val="center"/>
          </w:tcPr>
          <w:p w14:paraId="6D3EBCBC">
            <w:pPr>
              <w:widowControl/>
              <w:jc w:val="center"/>
              <w:rPr>
                <w:rFonts w:ascii="宋体" w:hAnsi="宋体" w:cs="宋体"/>
                <w:bCs/>
                <w:kern w:val="0"/>
              </w:rPr>
            </w:pPr>
            <w:r>
              <w:rPr>
                <w:rFonts w:hint="eastAsia" w:ascii="宋体" w:hAnsi="宋体" w:cs="宋体"/>
                <w:bCs/>
                <w:kern w:val="0"/>
              </w:rPr>
              <w:t>序号</w:t>
            </w:r>
          </w:p>
        </w:tc>
        <w:tc>
          <w:tcPr>
            <w:tcW w:w="3764" w:type="pct"/>
            <w:gridSpan w:val="2"/>
            <w:shd w:val="clear" w:color="auto" w:fill="auto"/>
            <w:noWrap/>
            <w:vAlign w:val="center"/>
          </w:tcPr>
          <w:p w14:paraId="42BDE42B">
            <w:pPr>
              <w:widowControl/>
              <w:jc w:val="center"/>
              <w:rPr>
                <w:rFonts w:ascii="宋体" w:hAnsi="宋体" w:cs="宋体"/>
                <w:bCs/>
                <w:kern w:val="0"/>
              </w:rPr>
            </w:pPr>
            <w:r>
              <w:rPr>
                <w:rFonts w:hint="eastAsia" w:ascii="宋体" w:hAnsi="宋体" w:cs="宋体"/>
                <w:bCs/>
                <w:kern w:val="0"/>
              </w:rPr>
              <w:t>自检项目及其内容、要求</w:t>
            </w:r>
          </w:p>
        </w:tc>
        <w:tc>
          <w:tcPr>
            <w:tcW w:w="394" w:type="pct"/>
            <w:shd w:val="clear" w:color="auto" w:fill="auto"/>
            <w:noWrap/>
            <w:vAlign w:val="center"/>
          </w:tcPr>
          <w:p w14:paraId="0FA92A4B">
            <w:pPr>
              <w:widowControl/>
              <w:jc w:val="center"/>
              <w:rPr>
                <w:rFonts w:ascii="宋体" w:hAnsi="宋体" w:cs="宋体"/>
                <w:bCs/>
                <w:kern w:val="0"/>
              </w:rPr>
            </w:pPr>
            <w:r>
              <w:rPr>
                <w:rFonts w:hint="eastAsia" w:ascii="宋体" w:hAnsi="宋体" w:cs="宋体"/>
                <w:bCs/>
                <w:kern w:val="0"/>
              </w:rPr>
              <w:t>自检</w:t>
            </w:r>
          </w:p>
          <w:p w14:paraId="735C0D23">
            <w:pPr>
              <w:widowControl/>
              <w:jc w:val="center"/>
              <w:rPr>
                <w:rFonts w:ascii="宋体" w:hAnsi="宋体" w:cs="宋体"/>
                <w:bCs/>
                <w:kern w:val="0"/>
              </w:rPr>
            </w:pPr>
            <w:r>
              <w:rPr>
                <w:rFonts w:hint="eastAsia" w:ascii="宋体" w:hAnsi="宋体" w:cs="宋体"/>
                <w:bCs/>
                <w:kern w:val="0"/>
              </w:rPr>
              <w:t>结果</w:t>
            </w:r>
          </w:p>
        </w:tc>
        <w:tc>
          <w:tcPr>
            <w:tcW w:w="400" w:type="pct"/>
            <w:shd w:val="clear" w:color="auto" w:fill="auto"/>
            <w:noWrap/>
            <w:vAlign w:val="center"/>
          </w:tcPr>
          <w:p w14:paraId="20386DD2">
            <w:pPr>
              <w:widowControl/>
              <w:jc w:val="center"/>
              <w:rPr>
                <w:rFonts w:ascii="宋体" w:hAnsi="宋体" w:cs="宋体"/>
                <w:bCs/>
                <w:kern w:val="0"/>
              </w:rPr>
            </w:pPr>
            <w:r>
              <w:rPr>
                <w:rFonts w:hint="eastAsia" w:ascii="宋体" w:hAnsi="宋体" w:cs="宋体"/>
                <w:bCs/>
                <w:kern w:val="0"/>
              </w:rPr>
              <w:t>自检</w:t>
            </w:r>
          </w:p>
          <w:p w14:paraId="57024158">
            <w:pPr>
              <w:widowControl/>
              <w:jc w:val="center"/>
              <w:rPr>
                <w:rFonts w:ascii="宋体" w:hAnsi="宋体" w:cs="宋体"/>
                <w:bCs/>
                <w:kern w:val="0"/>
              </w:rPr>
            </w:pPr>
            <w:r>
              <w:rPr>
                <w:rFonts w:hint="eastAsia" w:ascii="宋体" w:hAnsi="宋体" w:cs="宋体"/>
                <w:bCs/>
                <w:kern w:val="0"/>
              </w:rPr>
              <w:t>周期</w:t>
            </w:r>
          </w:p>
        </w:tc>
      </w:tr>
      <w:tr w14:paraId="7B8E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39" w:type="pct"/>
            <w:vMerge w:val="restart"/>
            <w:shd w:val="clear" w:color="auto" w:fill="auto"/>
            <w:noWrap/>
            <w:vAlign w:val="center"/>
          </w:tcPr>
          <w:p w14:paraId="30A3210D">
            <w:pPr>
              <w:widowControl/>
              <w:jc w:val="center"/>
              <w:rPr>
                <w:rFonts w:ascii="宋体" w:hAnsi="宋体" w:cs="宋体"/>
                <w:kern w:val="0"/>
              </w:rPr>
            </w:pPr>
            <w:r>
              <w:rPr>
                <w:rFonts w:hint="eastAsia" w:ascii="宋体" w:hAnsi="宋体" w:cs="宋体"/>
                <w:kern w:val="0"/>
              </w:rPr>
              <w:t>1</w:t>
            </w:r>
          </w:p>
        </w:tc>
        <w:tc>
          <w:tcPr>
            <w:tcW w:w="577" w:type="pct"/>
            <w:vMerge w:val="restart"/>
            <w:shd w:val="clear" w:color="auto" w:fill="auto"/>
            <w:vAlign w:val="center"/>
          </w:tcPr>
          <w:p w14:paraId="42F08173">
            <w:pPr>
              <w:widowControl/>
              <w:jc w:val="center"/>
              <w:rPr>
                <w:rFonts w:ascii="宋体" w:hAnsi="宋体" w:cs="宋体"/>
                <w:kern w:val="0"/>
              </w:rPr>
            </w:pPr>
            <w:r>
              <w:rPr>
                <w:rFonts w:hint="eastAsia" w:ascii="宋体" w:hAnsi="宋体" w:cs="宋体"/>
                <w:kern w:val="0"/>
              </w:rPr>
              <w:t>1</w:t>
            </w:r>
            <w:r>
              <w:rPr>
                <w:rFonts w:hint="eastAsia" w:ascii="宋体" w:hAnsi="宋体" w:cs="宋体"/>
                <w:kern w:val="0"/>
              </w:rPr>
              <w:br w:type="textWrapping"/>
            </w:r>
            <w:r>
              <w:rPr>
                <w:rFonts w:hint="eastAsia" w:ascii="宋体" w:hAnsi="宋体" w:cs="宋体"/>
                <w:kern w:val="0"/>
              </w:rPr>
              <w:t>使用资料</w:t>
            </w:r>
          </w:p>
        </w:tc>
        <w:tc>
          <w:tcPr>
            <w:tcW w:w="3187" w:type="pct"/>
            <w:shd w:val="clear" w:color="auto" w:fill="auto"/>
            <w:vAlign w:val="center"/>
          </w:tcPr>
          <w:p w14:paraId="1C873966">
            <w:pPr>
              <w:widowControl/>
              <w:tabs>
                <w:tab w:val="left" w:pos="5813"/>
              </w:tabs>
              <w:rPr>
                <w:rFonts w:ascii="宋体" w:hAnsi="宋体" w:cs="宋体"/>
                <w:kern w:val="0"/>
              </w:rPr>
            </w:pPr>
            <w:r>
              <w:rPr>
                <w:rFonts w:hint="eastAsia" w:ascii="宋体" w:hAnsi="宋体" w:cs="宋体"/>
                <w:kern w:val="0"/>
              </w:rPr>
              <w:t>（1）叉车安全操作规程、事故应急专项预案、应急演练记录。</w:t>
            </w:r>
          </w:p>
        </w:tc>
        <w:tc>
          <w:tcPr>
            <w:tcW w:w="394" w:type="pct"/>
            <w:shd w:val="clear" w:color="auto" w:fill="auto"/>
            <w:noWrap/>
            <w:vAlign w:val="center"/>
          </w:tcPr>
          <w:p w14:paraId="6183E42E">
            <w:pPr>
              <w:widowControl/>
              <w:jc w:val="center"/>
              <w:rPr>
                <w:rFonts w:ascii="宋体" w:hAnsi="宋体" w:cs="宋体"/>
                <w:kern w:val="0"/>
              </w:rPr>
            </w:pPr>
          </w:p>
        </w:tc>
        <w:tc>
          <w:tcPr>
            <w:tcW w:w="400" w:type="pct"/>
            <w:shd w:val="clear" w:color="auto" w:fill="auto"/>
            <w:noWrap/>
            <w:vAlign w:val="center"/>
          </w:tcPr>
          <w:p w14:paraId="69CD53B7">
            <w:pPr>
              <w:widowControl/>
              <w:jc w:val="center"/>
              <w:rPr>
                <w:rFonts w:ascii="宋体" w:hAnsi="宋体" w:cs="宋体"/>
                <w:kern w:val="0"/>
              </w:rPr>
            </w:pPr>
          </w:p>
        </w:tc>
      </w:tr>
      <w:tr w14:paraId="36C6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39" w:type="pct"/>
            <w:vMerge w:val="continue"/>
            <w:shd w:val="clear" w:color="auto" w:fill="auto"/>
            <w:noWrap/>
            <w:vAlign w:val="center"/>
          </w:tcPr>
          <w:p w14:paraId="2A927096">
            <w:pPr>
              <w:widowControl/>
              <w:jc w:val="center"/>
              <w:rPr>
                <w:rFonts w:ascii="宋体" w:hAnsi="宋体" w:cs="宋体"/>
                <w:kern w:val="0"/>
              </w:rPr>
            </w:pPr>
          </w:p>
        </w:tc>
        <w:tc>
          <w:tcPr>
            <w:tcW w:w="577" w:type="pct"/>
            <w:vMerge w:val="continue"/>
            <w:shd w:val="clear" w:color="auto" w:fill="auto"/>
            <w:vAlign w:val="center"/>
          </w:tcPr>
          <w:p w14:paraId="4A93CD15">
            <w:pPr>
              <w:widowControl/>
              <w:jc w:val="center"/>
              <w:rPr>
                <w:rFonts w:ascii="宋体" w:hAnsi="宋体" w:cs="宋体"/>
                <w:kern w:val="0"/>
              </w:rPr>
            </w:pPr>
          </w:p>
        </w:tc>
        <w:tc>
          <w:tcPr>
            <w:tcW w:w="3187" w:type="pct"/>
            <w:shd w:val="clear" w:color="auto" w:fill="auto"/>
            <w:vAlign w:val="center"/>
          </w:tcPr>
          <w:p w14:paraId="4B699963">
            <w:pPr>
              <w:widowControl/>
              <w:tabs>
                <w:tab w:val="left" w:pos="5813"/>
              </w:tabs>
              <w:rPr>
                <w:rFonts w:ascii="宋体" w:hAnsi="宋体" w:cs="宋体"/>
                <w:kern w:val="0"/>
              </w:rPr>
            </w:pPr>
            <w:r>
              <w:rPr>
                <w:rFonts w:hint="eastAsia" w:ascii="宋体" w:hAnsi="宋体" w:cs="宋体"/>
                <w:kern w:val="0"/>
              </w:rPr>
              <w:t>（2）逐台建立的安全技术档案，包括使用登记证、产品质量合格证明（含合格证（如涉及改造应包括改造后的合格证）及其数据表、质量证明书）、上一周期的检验报告、自行检查记录或者报告、产品使用维护保养说明书、日常使用状态记录、维护保养记录、运行故障和事故记录及事故处理报告等。</w:t>
            </w:r>
          </w:p>
        </w:tc>
        <w:tc>
          <w:tcPr>
            <w:tcW w:w="394" w:type="pct"/>
            <w:shd w:val="clear" w:color="auto" w:fill="auto"/>
            <w:noWrap/>
            <w:vAlign w:val="center"/>
          </w:tcPr>
          <w:p w14:paraId="0CD7EA6D">
            <w:pPr>
              <w:widowControl/>
              <w:jc w:val="center"/>
              <w:rPr>
                <w:rFonts w:ascii="宋体" w:hAnsi="宋体" w:cs="宋体"/>
                <w:kern w:val="0"/>
              </w:rPr>
            </w:pPr>
          </w:p>
        </w:tc>
        <w:tc>
          <w:tcPr>
            <w:tcW w:w="400" w:type="pct"/>
            <w:shd w:val="clear" w:color="auto" w:fill="auto"/>
            <w:noWrap/>
            <w:vAlign w:val="center"/>
          </w:tcPr>
          <w:p w14:paraId="630A0948">
            <w:pPr>
              <w:widowControl/>
              <w:jc w:val="center"/>
              <w:rPr>
                <w:rFonts w:ascii="宋体" w:hAnsi="宋体" w:cs="宋体"/>
                <w:kern w:val="0"/>
              </w:rPr>
            </w:pPr>
          </w:p>
        </w:tc>
      </w:tr>
      <w:tr w14:paraId="588E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439" w:type="pct"/>
            <w:shd w:val="clear" w:color="auto" w:fill="auto"/>
            <w:noWrap/>
            <w:vAlign w:val="center"/>
          </w:tcPr>
          <w:p w14:paraId="2C6ED230">
            <w:pPr>
              <w:widowControl/>
              <w:jc w:val="center"/>
              <w:rPr>
                <w:rFonts w:ascii="宋体" w:hAnsi="宋体" w:cs="宋体"/>
                <w:kern w:val="0"/>
              </w:rPr>
            </w:pPr>
            <w:r>
              <w:rPr>
                <w:rFonts w:hint="eastAsia" w:ascii="宋体" w:hAnsi="宋体" w:cs="宋体"/>
                <w:kern w:val="0"/>
              </w:rPr>
              <w:t>2</w:t>
            </w:r>
          </w:p>
        </w:tc>
        <w:tc>
          <w:tcPr>
            <w:tcW w:w="577" w:type="pct"/>
            <w:shd w:val="clear" w:color="auto" w:fill="auto"/>
            <w:vAlign w:val="center"/>
          </w:tcPr>
          <w:p w14:paraId="2D1B7802">
            <w:pPr>
              <w:widowControl/>
              <w:jc w:val="center"/>
              <w:rPr>
                <w:rFonts w:ascii="宋体" w:hAnsi="宋体" w:cs="宋体"/>
                <w:kern w:val="0"/>
              </w:rPr>
            </w:pPr>
            <w:r>
              <w:rPr>
                <w:rFonts w:hint="eastAsia" w:ascii="宋体" w:hAnsi="宋体" w:cs="宋体"/>
                <w:kern w:val="0"/>
              </w:rPr>
              <w:t>2</w:t>
            </w:r>
            <w:r>
              <w:rPr>
                <w:rFonts w:hint="eastAsia" w:ascii="宋体" w:hAnsi="宋体" w:cs="宋体"/>
                <w:kern w:val="0"/>
              </w:rPr>
              <w:br w:type="textWrapping"/>
            </w:r>
            <w:r>
              <w:rPr>
                <w:rFonts w:hint="eastAsia" w:ascii="宋体" w:hAnsi="宋体" w:cs="宋体"/>
                <w:kern w:val="0"/>
              </w:rPr>
              <w:t>结构型式</w:t>
            </w:r>
          </w:p>
        </w:tc>
        <w:tc>
          <w:tcPr>
            <w:tcW w:w="3187" w:type="pct"/>
            <w:shd w:val="clear" w:color="auto" w:fill="auto"/>
            <w:vAlign w:val="center"/>
          </w:tcPr>
          <w:p w14:paraId="05F11774">
            <w:pPr>
              <w:widowControl/>
              <w:rPr>
                <w:rFonts w:ascii="宋体" w:hAnsi="宋体" w:cs="宋体"/>
                <w:kern w:val="0"/>
              </w:rPr>
            </w:pPr>
            <w:r>
              <w:rPr>
                <w:rFonts w:hint="eastAsia" w:ascii="宋体" w:hAnsi="宋体" w:cs="宋体"/>
                <w:kern w:val="0"/>
              </w:rPr>
              <w:t>结构型式、主参数与技术资料一致。</w:t>
            </w:r>
          </w:p>
        </w:tc>
        <w:tc>
          <w:tcPr>
            <w:tcW w:w="394" w:type="pct"/>
            <w:shd w:val="clear" w:color="auto" w:fill="auto"/>
            <w:noWrap/>
            <w:vAlign w:val="center"/>
          </w:tcPr>
          <w:p w14:paraId="148E0193">
            <w:pPr>
              <w:widowControl/>
              <w:jc w:val="center"/>
              <w:rPr>
                <w:rFonts w:ascii="宋体" w:hAnsi="宋体" w:cs="宋体"/>
                <w:kern w:val="0"/>
              </w:rPr>
            </w:pPr>
          </w:p>
        </w:tc>
        <w:tc>
          <w:tcPr>
            <w:tcW w:w="400" w:type="pct"/>
            <w:shd w:val="clear" w:color="auto" w:fill="auto"/>
            <w:noWrap/>
            <w:vAlign w:val="center"/>
          </w:tcPr>
          <w:p w14:paraId="489A46F0">
            <w:pPr>
              <w:widowControl/>
              <w:jc w:val="center"/>
              <w:rPr>
                <w:rFonts w:ascii="宋体" w:hAnsi="宋体" w:cs="宋体"/>
                <w:kern w:val="0"/>
              </w:rPr>
            </w:pPr>
          </w:p>
        </w:tc>
      </w:tr>
      <w:tr w14:paraId="0A7E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39" w:type="pct"/>
            <w:vMerge w:val="restart"/>
            <w:shd w:val="clear" w:color="auto" w:fill="auto"/>
            <w:noWrap/>
            <w:vAlign w:val="center"/>
          </w:tcPr>
          <w:p w14:paraId="5EA11CD0">
            <w:pPr>
              <w:widowControl/>
              <w:jc w:val="center"/>
              <w:rPr>
                <w:rFonts w:ascii="宋体" w:hAnsi="宋体" w:cs="宋体"/>
                <w:kern w:val="0"/>
              </w:rPr>
            </w:pPr>
            <w:r>
              <w:rPr>
                <w:rFonts w:hint="eastAsia" w:ascii="宋体" w:hAnsi="宋体" w:cs="宋体"/>
                <w:kern w:val="0"/>
              </w:rPr>
              <w:t>3</w:t>
            </w:r>
          </w:p>
        </w:tc>
        <w:tc>
          <w:tcPr>
            <w:tcW w:w="577" w:type="pct"/>
            <w:vMerge w:val="restart"/>
            <w:shd w:val="clear" w:color="auto" w:fill="auto"/>
            <w:vAlign w:val="center"/>
          </w:tcPr>
          <w:p w14:paraId="6665F7AE">
            <w:pPr>
              <w:widowControl/>
              <w:jc w:val="center"/>
              <w:rPr>
                <w:rFonts w:ascii="宋体" w:hAnsi="宋体" w:cs="宋体"/>
                <w:kern w:val="0"/>
              </w:rPr>
            </w:pPr>
            <w:r>
              <w:rPr>
                <w:rFonts w:hint="eastAsia" w:ascii="宋体" w:hAnsi="宋体" w:cs="宋体"/>
                <w:kern w:val="0"/>
              </w:rPr>
              <w:t>3</w:t>
            </w:r>
            <w:r>
              <w:rPr>
                <w:rFonts w:hint="eastAsia" w:ascii="宋体" w:hAnsi="宋体" w:cs="宋体"/>
                <w:kern w:val="0"/>
              </w:rPr>
              <w:br w:type="textWrapping"/>
            </w:r>
            <w:r>
              <w:rPr>
                <w:rFonts w:hint="eastAsia" w:ascii="宋体" w:hAnsi="宋体" w:cs="宋体"/>
                <w:kern w:val="0"/>
              </w:rPr>
              <w:t>整车外观</w:t>
            </w:r>
          </w:p>
        </w:tc>
        <w:tc>
          <w:tcPr>
            <w:tcW w:w="3187" w:type="pct"/>
            <w:shd w:val="clear" w:color="auto" w:fill="auto"/>
            <w:vAlign w:val="center"/>
          </w:tcPr>
          <w:p w14:paraId="3BBFB3EA">
            <w:pPr>
              <w:widowControl/>
              <w:rPr>
                <w:rFonts w:ascii="宋体" w:hAnsi="宋体" w:cs="宋体"/>
                <w:kern w:val="0"/>
              </w:rPr>
            </w:pPr>
            <w:r>
              <w:rPr>
                <w:rFonts w:hint="eastAsia" w:ascii="宋体" w:hAnsi="宋体" w:cs="宋体"/>
                <w:kern w:val="0"/>
              </w:rPr>
              <w:t>（1）车架易见部位应当有清晰的永久编号，且与有关资料一致。</w:t>
            </w:r>
          </w:p>
        </w:tc>
        <w:tc>
          <w:tcPr>
            <w:tcW w:w="394" w:type="pct"/>
            <w:shd w:val="clear" w:color="auto" w:fill="auto"/>
            <w:noWrap/>
            <w:vAlign w:val="center"/>
          </w:tcPr>
          <w:p w14:paraId="0DEA9F59">
            <w:pPr>
              <w:widowControl/>
              <w:jc w:val="center"/>
              <w:rPr>
                <w:rFonts w:ascii="宋体" w:hAnsi="宋体" w:cs="宋体"/>
                <w:kern w:val="0"/>
              </w:rPr>
            </w:pPr>
          </w:p>
        </w:tc>
        <w:tc>
          <w:tcPr>
            <w:tcW w:w="400" w:type="pct"/>
            <w:shd w:val="clear" w:color="auto" w:fill="auto"/>
            <w:noWrap/>
            <w:vAlign w:val="center"/>
          </w:tcPr>
          <w:p w14:paraId="218370E5">
            <w:pPr>
              <w:widowControl/>
              <w:jc w:val="center"/>
              <w:rPr>
                <w:rFonts w:ascii="宋体" w:hAnsi="宋体" w:cs="宋体"/>
                <w:kern w:val="0"/>
              </w:rPr>
            </w:pPr>
          </w:p>
        </w:tc>
      </w:tr>
      <w:tr w14:paraId="7BC3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39" w:type="pct"/>
            <w:vMerge w:val="continue"/>
            <w:shd w:val="clear" w:color="auto" w:fill="auto"/>
            <w:noWrap/>
            <w:vAlign w:val="center"/>
          </w:tcPr>
          <w:p w14:paraId="4F7EF9AF">
            <w:pPr>
              <w:widowControl/>
              <w:jc w:val="center"/>
              <w:rPr>
                <w:rFonts w:ascii="宋体" w:hAnsi="宋体" w:cs="宋体"/>
                <w:kern w:val="0"/>
              </w:rPr>
            </w:pPr>
          </w:p>
        </w:tc>
        <w:tc>
          <w:tcPr>
            <w:tcW w:w="577" w:type="pct"/>
            <w:vMerge w:val="continue"/>
            <w:shd w:val="clear" w:color="auto" w:fill="auto"/>
            <w:vAlign w:val="center"/>
          </w:tcPr>
          <w:p w14:paraId="6F22C18A">
            <w:pPr>
              <w:widowControl/>
              <w:jc w:val="left"/>
              <w:rPr>
                <w:rFonts w:ascii="宋体" w:hAnsi="宋体" w:cs="宋体"/>
                <w:kern w:val="0"/>
              </w:rPr>
            </w:pPr>
          </w:p>
        </w:tc>
        <w:tc>
          <w:tcPr>
            <w:tcW w:w="3187" w:type="pct"/>
            <w:shd w:val="clear" w:color="auto" w:fill="auto"/>
            <w:vAlign w:val="center"/>
          </w:tcPr>
          <w:p w14:paraId="72335487">
            <w:pPr>
              <w:widowControl/>
              <w:rPr>
                <w:rFonts w:ascii="宋体" w:hAnsi="宋体" w:cs="宋体"/>
                <w:kern w:val="0"/>
              </w:rPr>
            </w:pPr>
            <w:r>
              <w:rPr>
                <w:rFonts w:hint="eastAsia" w:ascii="宋体" w:hAnsi="宋体" w:cs="宋体"/>
                <w:kern w:val="0"/>
              </w:rPr>
              <w:t>（2）防爆功能的叉车应当在明显部位设置和车辆体积相适合的永久性“Ex”标志和使用说明牌。</w:t>
            </w:r>
          </w:p>
        </w:tc>
        <w:tc>
          <w:tcPr>
            <w:tcW w:w="394" w:type="pct"/>
            <w:shd w:val="clear" w:color="auto" w:fill="auto"/>
            <w:noWrap/>
            <w:vAlign w:val="center"/>
          </w:tcPr>
          <w:p w14:paraId="6A510F80">
            <w:pPr>
              <w:widowControl/>
              <w:jc w:val="center"/>
              <w:rPr>
                <w:rFonts w:ascii="宋体" w:hAnsi="宋体" w:cs="宋体"/>
                <w:kern w:val="0"/>
              </w:rPr>
            </w:pPr>
          </w:p>
        </w:tc>
        <w:tc>
          <w:tcPr>
            <w:tcW w:w="400" w:type="pct"/>
            <w:shd w:val="clear" w:color="auto" w:fill="auto"/>
            <w:noWrap/>
            <w:vAlign w:val="center"/>
          </w:tcPr>
          <w:p w14:paraId="3A4B8A39">
            <w:pPr>
              <w:widowControl/>
              <w:jc w:val="center"/>
              <w:rPr>
                <w:rFonts w:ascii="宋体" w:hAnsi="宋体" w:cs="宋体"/>
                <w:kern w:val="0"/>
              </w:rPr>
            </w:pPr>
          </w:p>
        </w:tc>
      </w:tr>
      <w:tr w14:paraId="7648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439" w:type="pct"/>
            <w:vMerge w:val="continue"/>
            <w:shd w:val="clear" w:color="auto" w:fill="auto"/>
            <w:noWrap/>
            <w:vAlign w:val="center"/>
          </w:tcPr>
          <w:p w14:paraId="39916FB2">
            <w:pPr>
              <w:widowControl/>
              <w:jc w:val="center"/>
              <w:rPr>
                <w:rFonts w:ascii="宋体" w:hAnsi="宋体" w:cs="宋体"/>
                <w:kern w:val="0"/>
              </w:rPr>
            </w:pPr>
          </w:p>
        </w:tc>
        <w:tc>
          <w:tcPr>
            <w:tcW w:w="577" w:type="pct"/>
            <w:vMerge w:val="continue"/>
            <w:vAlign w:val="center"/>
          </w:tcPr>
          <w:p w14:paraId="089A5D65">
            <w:pPr>
              <w:widowControl/>
              <w:jc w:val="left"/>
              <w:rPr>
                <w:rFonts w:ascii="宋体" w:hAnsi="宋体" w:cs="宋体"/>
                <w:kern w:val="0"/>
              </w:rPr>
            </w:pPr>
          </w:p>
        </w:tc>
        <w:tc>
          <w:tcPr>
            <w:tcW w:w="3187" w:type="pct"/>
            <w:shd w:val="clear" w:color="auto" w:fill="auto"/>
            <w:vAlign w:val="center"/>
          </w:tcPr>
          <w:p w14:paraId="48F9AFD9">
            <w:pPr>
              <w:widowControl/>
              <w:rPr>
                <w:rFonts w:ascii="宋体" w:hAnsi="宋体" w:cs="宋体"/>
                <w:kern w:val="0"/>
              </w:rPr>
            </w:pPr>
            <w:r>
              <w:rPr>
                <w:rFonts w:hint="eastAsia" w:ascii="宋体" w:hAnsi="宋体" w:cs="宋体"/>
                <w:kern w:val="0"/>
              </w:rPr>
              <w:t>（4）仪表或者指示器应当指（显）示清晰醒目、灵敏有效。</w:t>
            </w:r>
          </w:p>
        </w:tc>
        <w:tc>
          <w:tcPr>
            <w:tcW w:w="394" w:type="pct"/>
            <w:shd w:val="clear" w:color="auto" w:fill="auto"/>
            <w:noWrap/>
            <w:vAlign w:val="center"/>
          </w:tcPr>
          <w:p w14:paraId="5ABD8E7B">
            <w:pPr>
              <w:widowControl/>
              <w:jc w:val="center"/>
              <w:rPr>
                <w:rFonts w:ascii="宋体" w:hAnsi="宋体" w:cs="宋体"/>
                <w:kern w:val="0"/>
              </w:rPr>
            </w:pPr>
          </w:p>
        </w:tc>
        <w:tc>
          <w:tcPr>
            <w:tcW w:w="400" w:type="pct"/>
            <w:shd w:val="clear" w:color="auto" w:fill="auto"/>
            <w:noWrap/>
            <w:vAlign w:val="center"/>
          </w:tcPr>
          <w:p w14:paraId="6184BE06">
            <w:pPr>
              <w:widowControl/>
              <w:jc w:val="center"/>
              <w:rPr>
                <w:rFonts w:ascii="宋体" w:hAnsi="宋体" w:cs="宋体"/>
                <w:kern w:val="0"/>
              </w:rPr>
            </w:pPr>
          </w:p>
        </w:tc>
      </w:tr>
      <w:tr w14:paraId="699E6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439" w:type="pct"/>
            <w:vMerge w:val="continue"/>
            <w:shd w:val="clear" w:color="auto" w:fill="auto"/>
            <w:noWrap/>
            <w:vAlign w:val="center"/>
          </w:tcPr>
          <w:p w14:paraId="56F7451B">
            <w:pPr>
              <w:widowControl/>
              <w:jc w:val="center"/>
              <w:rPr>
                <w:rFonts w:ascii="宋体" w:hAnsi="宋体" w:cs="宋体"/>
                <w:kern w:val="0"/>
              </w:rPr>
            </w:pPr>
          </w:p>
        </w:tc>
        <w:tc>
          <w:tcPr>
            <w:tcW w:w="577" w:type="pct"/>
            <w:vMerge w:val="continue"/>
            <w:vAlign w:val="center"/>
          </w:tcPr>
          <w:p w14:paraId="2D784952">
            <w:pPr>
              <w:widowControl/>
              <w:jc w:val="left"/>
              <w:rPr>
                <w:rFonts w:ascii="宋体" w:hAnsi="宋体" w:cs="宋体"/>
                <w:kern w:val="0"/>
              </w:rPr>
            </w:pPr>
          </w:p>
        </w:tc>
        <w:tc>
          <w:tcPr>
            <w:tcW w:w="3187" w:type="pct"/>
            <w:shd w:val="clear" w:color="auto" w:fill="auto"/>
            <w:vAlign w:val="center"/>
          </w:tcPr>
          <w:p w14:paraId="2FD94C02">
            <w:pPr>
              <w:widowControl/>
              <w:rPr>
                <w:rFonts w:ascii="宋体" w:hAnsi="宋体" w:cs="宋体"/>
                <w:kern w:val="0"/>
              </w:rPr>
            </w:pPr>
            <w:r>
              <w:rPr>
                <w:rFonts w:hint="eastAsia" w:ascii="宋体" w:hAnsi="宋体" w:cs="宋体"/>
                <w:kern w:val="0"/>
              </w:rPr>
              <w:t>（5）车身应当周正，各部件齐全、完整，连接紧固，无缺损。</w:t>
            </w:r>
          </w:p>
        </w:tc>
        <w:tc>
          <w:tcPr>
            <w:tcW w:w="394" w:type="pct"/>
            <w:shd w:val="clear" w:color="auto" w:fill="auto"/>
            <w:noWrap/>
            <w:vAlign w:val="center"/>
          </w:tcPr>
          <w:p w14:paraId="33674BCC">
            <w:pPr>
              <w:widowControl/>
              <w:jc w:val="center"/>
              <w:rPr>
                <w:rFonts w:ascii="宋体" w:hAnsi="宋体" w:cs="宋体"/>
                <w:kern w:val="0"/>
              </w:rPr>
            </w:pPr>
          </w:p>
        </w:tc>
        <w:tc>
          <w:tcPr>
            <w:tcW w:w="400" w:type="pct"/>
            <w:shd w:val="clear" w:color="auto" w:fill="auto"/>
            <w:noWrap/>
            <w:vAlign w:val="center"/>
          </w:tcPr>
          <w:p w14:paraId="22845C9B">
            <w:pPr>
              <w:widowControl/>
              <w:jc w:val="center"/>
              <w:rPr>
                <w:rFonts w:ascii="宋体" w:hAnsi="宋体" w:cs="宋体"/>
                <w:kern w:val="0"/>
              </w:rPr>
            </w:pPr>
          </w:p>
        </w:tc>
      </w:tr>
      <w:tr w14:paraId="03C9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439" w:type="pct"/>
            <w:vMerge w:val="continue"/>
            <w:shd w:val="clear" w:color="auto" w:fill="auto"/>
            <w:noWrap/>
            <w:vAlign w:val="center"/>
          </w:tcPr>
          <w:p w14:paraId="57F22656">
            <w:pPr>
              <w:widowControl/>
              <w:jc w:val="center"/>
              <w:rPr>
                <w:rFonts w:ascii="宋体" w:hAnsi="宋体" w:cs="宋体"/>
              </w:rPr>
            </w:pPr>
          </w:p>
        </w:tc>
        <w:tc>
          <w:tcPr>
            <w:tcW w:w="577" w:type="pct"/>
            <w:vMerge w:val="continue"/>
            <w:vAlign w:val="center"/>
          </w:tcPr>
          <w:p w14:paraId="0B66E766">
            <w:pPr>
              <w:widowControl/>
              <w:jc w:val="center"/>
              <w:rPr>
                <w:rFonts w:ascii="宋体" w:hAnsi="宋体" w:cs="宋体"/>
              </w:rPr>
            </w:pPr>
          </w:p>
        </w:tc>
        <w:tc>
          <w:tcPr>
            <w:tcW w:w="3187" w:type="pct"/>
            <w:shd w:val="clear" w:color="auto" w:fill="auto"/>
            <w:vAlign w:val="center"/>
          </w:tcPr>
          <w:p w14:paraId="4453E1A9">
            <w:pPr>
              <w:widowControl/>
              <w:rPr>
                <w:rFonts w:ascii="宋体" w:hAnsi="宋体" w:cs="宋体"/>
                <w:kern w:val="0"/>
              </w:rPr>
            </w:pPr>
            <w:r>
              <w:rPr>
                <w:rFonts w:hint="eastAsia" w:ascii="宋体" w:hAnsi="宋体" w:cs="宋体"/>
                <w:kern w:val="0"/>
              </w:rPr>
              <w:t>（6）车牌固定在车辆明显部位，车牌编号与使用登记信息一致。</w:t>
            </w:r>
          </w:p>
        </w:tc>
        <w:tc>
          <w:tcPr>
            <w:tcW w:w="394" w:type="pct"/>
            <w:shd w:val="clear" w:color="auto" w:fill="auto"/>
            <w:noWrap/>
            <w:vAlign w:val="center"/>
          </w:tcPr>
          <w:p w14:paraId="62577539">
            <w:pPr>
              <w:widowControl/>
              <w:jc w:val="center"/>
              <w:rPr>
                <w:rFonts w:ascii="宋体" w:hAnsi="宋体" w:cs="宋体"/>
                <w:kern w:val="0"/>
              </w:rPr>
            </w:pPr>
          </w:p>
        </w:tc>
        <w:tc>
          <w:tcPr>
            <w:tcW w:w="400" w:type="pct"/>
            <w:shd w:val="clear" w:color="auto" w:fill="auto"/>
            <w:noWrap/>
            <w:vAlign w:val="center"/>
          </w:tcPr>
          <w:p w14:paraId="59A0E46F">
            <w:pPr>
              <w:widowControl/>
              <w:jc w:val="center"/>
              <w:rPr>
                <w:rFonts w:ascii="宋体" w:hAnsi="宋体" w:cs="宋体"/>
                <w:kern w:val="0"/>
              </w:rPr>
            </w:pPr>
          </w:p>
        </w:tc>
      </w:tr>
      <w:tr w14:paraId="0A87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439" w:type="pct"/>
            <w:vMerge w:val="restart"/>
            <w:shd w:val="clear" w:color="auto" w:fill="auto"/>
            <w:noWrap/>
            <w:vAlign w:val="center"/>
          </w:tcPr>
          <w:p w14:paraId="12196BC9">
            <w:pPr>
              <w:widowControl/>
              <w:jc w:val="center"/>
              <w:rPr>
                <w:rFonts w:ascii="宋体" w:hAnsi="宋体" w:cs="宋体"/>
                <w:kern w:val="0"/>
              </w:rPr>
            </w:pPr>
            <w:r>
              <w:rPr>
                <w:rFonts w:hint="eastAsia" w:ascii="宋体" w:hAnsi="宋体" w:cs="宋体"/>
                <w:kern w:val="0"/>
              </w:rPr>
              <w:t>4</w:t>
            </w:r>
          </w:p>
        </w:tc>
        <w:tc>
          <w:tcPr>
            <w:tcW w:w="577" w:type="pct"/>
            <w:vMerge w:val="restart"/>
            <w:shd w:val="clear" w:color="auto" w:fill="auto"/>
            <w:vAlign w:val="center"/>
          </w:tcPr>
          <w:p w14:paraId="652369C6">
            <w:pPr>
              <w:widowControl/>
              <w:jc w:val="center"/>
              <w:rPr>
                <w:rFonts w:ascii="宋体" w:hAnsi="宋体" w:cs="宋体"/>
                <w:kern w:val="0"/>
              </w:rPr>
            </w:pPr>
            <w:r>
              <w:rPr>
                <w:rFonts w:hint="eastAsia" w:ascii="宋体" w:hAnsi="宋体" w:cs="宋体"/>
                <w:kern w:val="0"/>
              </w:rPr>
              <w:t>4</w:t>
            </w:r>
            <w:r>
              <w:rPr>
                <w:rFonts w:hint="eastAsia" w:ascii="宋体" w:hAnsi="宋体" w:cs="宋体"/>
                <w:kern w:val="0"/>
              </w:rPr>
              <w:br w:type="textWrapping"/>
            </w:r>
            <w:r>
              <w:rPr>
                <w:rFonts w:hint="eastAsia" w:ascii="宋体" w:hAnsi="宋体" w:cs="宋体"/>
                <w:kern w:val="0"/>
              </w:rPr>
              <w:t>主要受力结构件</w:t>
            </w:r>
          </w:p>
        </w:tc>
        <w:tc>
          <w:tcPr>
            <w:tcW w:w="3187" w:type="pct"/>
            <w:shd w:val="clear" w:color="auto" w:fill="auto"/>
            <w:vAlign w:val="center"/>
          </w:tcPr>
          <w:p w14:paraId="032A6A29">
            <w:pPr>
              <w:widowControl/>
              <w:rPr>
                <w:rFonts w:ascii="宋体" w:hAnsi="宋体" w:cs="宋体"/>
                <w:kern w:val="0"/>
              </w:rPr>
            </w:pPr>
            <w:r>
              <w:rPr>
                <w:rFonts w:hint="eastAsia" w:ascii="宋体" w:hAnsi="宋体" w:cs="宋体"/>
                <w:kern w:val="0"/>
              </w:rPr>
              <w:t>（1）焊缝无可见的漏焊、裂纹、烧穿、严重咬边等缺陷。</w:t>
            </w:r>
          </w:p>
        </w:tc>
        <w:tc>
          <w:tcPr>
            <w:tcW w:w="394" w:type="pct"/>
            <w:shd w:val="clear" w:color="auto" w:fill="auto"/>
            <w:noWrap/>
            <w:vAlign w:val="center"/>
          </w:tcPr>
          <w:p w14:paraId="72CE26D0">
            <w:pPr>
              <w:widowControl/>
              <w:jc w:val="center"/>
              <w:rPr>
                <w:rFonts w:ascii="宋体" w:hAnsi="宋体" w:cs="宋体"/>
                <w:kern w:val="0"/>
              </w:rPr>
            </w:pPr>
          </w:p>
        </w:tc>
        <w:tc>
          <w:tcPr>
            <w:tcW w:w="400" w:type="pct"/>
            <w:shd w:val="clear" w:color="auto" w:fill="auto"/>
            <w:noWrap/>
            <w:vAlign w:val="center"/>
          </w:tcPr>
          <w:p w14:paraId="6C170D05">
            <w:pPr>
              <w:widowControl/>
              <w:jc w:val="center"/>
              <w:rPr>
                <w:rFonts w:ascii="宋体" w:hAnsi="宋体" w:cs="宋体"/>
                <w:kern w:val="0"/>
              </w:rPr>
            </w:pPr>
          </w:p>
        </w:tc>
      </w:tr>
      <w:tr w14:paraId="72CC4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9" w:type="pct"/>
            <w:vMerge w:val="continue"/>
            <w:shd w:val="clear" w:color="auto" w:fill="auto"/>
            <w:noWrap/>
            <w:vAlign w:val="center"/>
          </w:tcPr>
          <w:p w14:paraId="6A46941A">
            <w:pPr>
              <w:widowControl/>
              <w:jc w:val="center"/>
              <w:rPr>
                <w:rFonts w:ascii="宋体" w:hAnsi="宋体" w:cs="宋体"/>
                <w:kern w:val="0"/>
              </w:rPr>
            </w:pPr>
          </w:p>
        </w:tc>
        <w:tc>
          <w:tcPr>
            <w:tcW w:w="577" w:type="pct"/>
            <w:vMerge w:val="continue"/>
            <w:shd w:val="clear" w:color="auto" w:fill="auto"/>
            <w:vAlign w:val="center"/>
          </w:tcPr>
          <w:p w14:paraId="37791E00">
            <w:pPr>
              <w:widowControl/>
              <w:jc w:val="center"/>
              <w:rPr>
                <w:rFonts w:ascii="宋体" w:hAnsi="宋体" w:cs="宋体"/>
                <w:kern w:val="0"/>
              </w:rPr>
            </w:pPr>
          </w:p>
        </w:tc>
        <w:tc>
          <w:tcPr>
            <w:tcW w:w="3187" w:type="pct"/>
            <w:shd w:val="clear" w:color="auto" w:fill="auto"/>
            <w:vAlign w:val="center"/>
          </w:tcPr>
          <w:p w14:paraId="26ACD93C">
            <w:pPr>
              <w:widowControl/>
              <w:rPr>
                <w:rFonts w:ascii="宋体" w:hAnsi="宋体" w:cs="宋体"/>
                <w:kern w:val="0"/>
              </w:rPr>
            </w:pPr>
            <w:r>
              <w:rPr>
                <w:rFonts w:hint="eastAsia" w:ascii="宋体" w:hAnsi="宋体" w:cs="宋体"/>
                <w:kern w:val="0"/>
              </w:rPr>
              <w:t>（2）主要受力结构件（车架、门架、货叉架、货叉）无明显变形、裂纹和锈蚀，螺栓等连接件无缺少和松动。</w:t>
            </w:r>
          </w:p>
        </w:tc>
        <w:tc>
          <w:tcPr>
            <w:tcW w:w="394" w:type="pct"/>
            <w:shd w:val="clear" w:color="auto" w:fill="auto"/>
            <w:noWrap/>
            <w:vAlign w:val="center"/>
          </w:tcPr>
          <w:p w14:paraId="53AE746E">
            <w:pPr>
              <w:widowControl/>
              <w:jc w:val="center"/>
              <w:rPr>
                <w:rFonts w:ascii="宋体" w:hAnsi="宋体" w:cs="宋体"/>
                <w:kern w:val="0"/>
              </w:rPr>
            </w:pPr>
          </w:p>
        </w:tc>
        <w:tc>
          <w:tcPr>
            <w:tcW w:w="400" w:type="pct"/>
            <w:shd w:val="clear" w:color="auto" w:fill="auto"/>
            <w:noWrap/>
            <w:vAlign w:val="center"/>
          </w:tcPr>
          <w:p w14:paraId="10562FBB">
            <w:pPr>
              <w:widowControl/>
              <w:jc w:val="center"/>
              <w:rPr>
                <w:rFonts w:ascii="宋体" w:hAnsi="宋体" w:cs="宋体"/>
                <w:kern w:val="0"/>
              </w:rPr>
            </w:pPr>
          </w:p>
        </w:tc>
      </w:tr>
      <w:tr w14:paraId="18B4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439" w:type="pct"/>
            <w:shd w:val="clear" w:color="auto" w:fill="auto"/>
            <w:noWrap/>
            <w:vAlign w:val="center"/>
          </w:tcPr>
          <w:p w14:paraId="2D20CD94">
            <w:pPr>
              <w:widowControl/>
              <w:jc w:val="center"/>
              <w:rPr>
                <w:rFonts w:ascii="宋体" w:hAnsi="宋体" w:cs="宋体"/>
                <w:kern w:val="0"/>
              </w:rPr>
            </w:pPr>
            <w:r>
              <w:rPr>
                <w:rFonts w:hint="eastAsia" w:ascii="宋体" w:hAnsi="宋体" w:cs="宋体"/>
                <w:kern w:val="0"/>
              </w:rPr>
              <w:t>5</w:t>
            </w:r>
          </w:p>
        </w:tc>
        <w:tc>
          <w:tcPr>
            <w:tcW w:w="577" w:type="pct"/>
            <w:shd w:val="clear" w:color="auto" w:fill="auto"/>
            <w:vAlign w:val="center"/>
          </w:tcPr>
          <w:p w14:paraId="7ACC60EF">
            <w:pPr>
              <w:widowControl/>
              <w:jc w:val="center"/>
              <w:rPr>
                <w:rFonts w:ascii="宋体" w:hAnsi="宋体" w:cs="宋体"/>
                <w:kern w:val="0"/>
              </w:rPr>
            </w:pPr>
            <w:r>
              <w:rPr>
                <w:rFonts w:hint="eastAsia" w:ascii="宋体" w:hAnsi="宋体" w:cs="宋体"/>
                <w:kern w:val="0"/>
              </w:rPr>
              <w:t>5</w:t>
            </w:r>
            <w:r>
              <w:rPr>
                <w:rFonts w:hint="eastAsia" w:ascii="宋体" w:hAnsi="宋体" w:cs="宋体"/>
                <w:kern w:val="0"/>
              </w:rPr>
              <w:br w:type="textWrapping"/>
            </w:r>
            <w:r>
              <w:rPr>
                <w:rFonts w:hint="eastAsia" w:ascii="宋体" w:hAnsi="宋体" w:cs="宋体"/>
                <w:kern w:val="0"/>
              </w:rPr>
              <w:t>铭牌和安全标志</w:t>
            </w:r>
          </w:p>
        </w:tc>
        <w:tc>
          <w:tcPr>
            <w:tcW w:w="3187" w:type="pct"/>
            <w:shd w:val="clear" w:color="auto" w:fill="auto"/>
            <w:vAlign w:val="center"/>
          </w:tcPr>
          <w:p w14:paraId="594EE241">
            <w:pPr>
              <w:widowControl/>
              <w:rPr>
                <w:rFonts w:ascii="宋体" w:hAnsi="宋体" w:cs="宋体"/>
                <w:kern w:val="0"/>
              </w:rPr>
            </w:pPr>
            <w:r>
              <w:rPr>
                <w:rFonts w:hint="eastAsia" w:ascii="宋体" w:hAnsi="宋体" w:cs="宋体"/>
                <w:kern w:val="0"/>
              </w:rPr>
              <w:t>（1）铭牌、安全标志、载荷曲线应当置于车辆的显著位置，并保持清晰。</w:t>
            </w:r>
          </w:p>
        </w:tc>
        <w:tc>
          <w:tcPr>
            <w:tcW w:w="394" w:type="pct"/>
            <w:shd w:val="clear" w:color="auto" w:fill="auto"/>
            <w:noWrap/>
            <w:vAlign w:val="center"/>
          </w:tcPr>
          <w:p w14:paraId="5F93D43E">
            <w:pPr>
              <w:widowControl/>
              <w:jc w:val="center"/>
              <w:rPr>
                <w:rFonts w:ascii="宋体" w:hAnsi="宋体" w:cs="宋体"/>
                <w:kern w:val="0"/>
              </w:rPr>
            </w:pPr>
          </w:p>
        </w:tc>
        <w:tc>
          <w:tcPr>
            <w:tcW w:w="400" w:type="pct"/>
            <w:shd w:val="clear" w:color="auto" w:fill="auto"/>
            <w:noWrap/>
            <w:vAlign w:val="center"/>
          </w:tcPr>
          <w:p w14:paraId="484E5818">
            <w:pPr>
              <w:widowControl/>
              <w:jc w:val="center"/>
              <w:rPr>
                <w:rFonts w:ascii="宋体" w:hAnsi="宋体" w:cs="宋体"/>
                <w:kern w:val="0"/>
              </w:rPr>
            </w:pPr>
          </w:p>
        </w:tc>
      </w:tr>
      <w:tr w14:paraId="40C34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439" w:type="pct"/>
            <w:vMerge w:val="restart"/>
            <w:shd w:val="clear" w:color="auto" w:fill="auto"/>
            <w:noWrap/>
            <w:vAlign w:val="center"/>
          </w:tcPr>
          <w:p w14:paraId="3EE87AE2">
            <w:pPr>
              <w:widowControl/>
              <w:jc w:val="center"/>
              <w:rPr>
                <w:rFonts w:ascii="宋体" w:hAnsi="宋体" w:cs="宋体"/>
                <w:kern w:val="0"/>
              </w:rPr>
            </w:pPr>
            <w:r>
              <w:rPr>
                <w:rFonts w:hint="eastAsia" w:ascii="宋体" w:hAnsi="宋体" w:cs="宋体"/>
                <w:kern w:val="0"/>
              </w:rPr>
              <w:t>6</w:t>
            </w:r>
          </w:p>
        </w:tc>
        <w:tc>
          <w:tcPr>
            <w:tcW w:w="577" w:type="pct"/>
            <w:vMerge w:val="restart"/>
            <w:shd w:val="clear" w:color="auto" w:fill="auto"/>
            <w:vAlign w:val="center"/>
          </w:tcPr>
          <w:p w14:paraId="65D0807C">
            <w:pPr>
              <w:widowControl/>
              <w:jc w:val="center"/>
              <w:rPr>
                <w:rFonts w:ascii="宋体" w:hAnsi="宋体" w:cs="宋体"/>
                <w:kern w:val="0"/>
              </w:rPr>
            </w:pPr>
            <w:r>
              <w:rPr>
                <w:rFonts w:hint="eastAsia" w:ascii="宋体" w:hAnsi="宋体" w:cs="宋体"/>
                <w:kern w:val="0"/>
              </w:rPr>
              <w:t>6</w:t>
            </w:r>
            <w:r>
              <w:rPr>
                <w:rFonts w:hint="eastAsia" w:ascii="宋体" w:hAnsi="宋体" w:cs="宋体"/>
                <w:kern w:val="0"/>
              </w:rPr>
              <w:br w:type="textWrapping"/>
            </w:r>
            <w:r>
              <w:rPr>
                <w:rFonts w:hint="eastAsia" w:ascii="宋体" w:hAnsi="宋体" w:cs="宋体"/>
                <w:kern w:val="0"/>
              </w:rPr>
              <w:t>动力系统</w:t>
            </w:r>
          </w:p>
        </w:tc>
        <w:tc>
          <w:tcPr>
            <w:tcW w:w="3187" w:type="pct"/>
            <w:shd w:val="clear" w:color="auto" w:fill="auto"/>
            <w:vAlign w:val="center"/>
          </w:tcPr>
          <w:p w14:paraId="73393E5F">
            <w:pPr>
              <w:widowControl/>
              <w:rPr>
                <w:rFonts w:ascii="宋体" w:hAnsi="宋体" w:cs="宋体"/>
                <w:kern w:val="0"/>
              </w:rPr>
            </w:pPr>
            <w:r>
              <w:rPr>
                <w:rFonts w:hint="eastAsia" w:ascii="宋体" w:hAnsi="宋体" w:cs="宋体"/>
                <w:kern w:val="0"/>
              </w:rPr>
              <w:t>（1）动力源为蓄电池的叉车，蓄电池金属盖板与蓄电池带电部分之间应当有30mm 以上的间隙；若盖板和带电部分被有效绝缘，其间隙至少10mm。</w:t>
            </w:r>
          </w:p>
        </w:tc>
        <w:tc>
          <w:tcPr>
            <w:tcW w:w="394" w:type="pct"/>
            <w:shd w:val="clear" w:color="auto" w:fill="auto"/>
            <w:noWrap/>
            <w:vAlign w:val="center"/>
          </w:tcPr>
          <w:p w14:paraId="51F65CFE">
            <w:pPr>
              <w:widowControl/>
              <w:jc w:val="center"/>
              <w:rPr>
                <w:rFonts w:ascii="宋体" w:hAnsi="宋体" w:cs="宋体"/>
                <w:kern w:val="0"/>
              </w:rPr>
            </w:pPr>
          </w:p>
        </w:tc>
        <w:tc>
          <w:tcPr>
            <w:tcW w:w="400" w:type="pct"/>
            <w:shd w:val="clear" w:color="auto" w:fill="auto"/>
            <w:noWrap/>
            <w:vAlign w:val="center"/>
          </w:tcPr>
          <w:p w14:paraId="7126B3DE">
            <w:pPr>
              <w:widowControl/>
              <w:jc w:val="center"/>
              <w:rPr>
                <w:rFonts w:ascii="宋体" w:hAnsi="宋体" w:cs="宋体"/>
                <w:kern w:val="0"/>
              </w:rPr>
            </w:pPr>
          </w:p>
        </w:tc>
      </w:tr>
      <w:tr w14:paraId="72A0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439" w:type="pct"/>
            <w:vMerge w:val="continue"/>
            <w:shd w:val="clear" w:color="auto" w:fill="auto"/>
            <w:noWrap/>
            <w:vAlign w:val="center"/>
          </w:tcPr>
          <w:p w14:paraId="53A9E6AD">
            <w:pPr>
              <w:widowControl/>
              <w:jc w:val="center"/>
              <w:rPr>
                <w:rFonts w:ascii="宋体" w:hAnsi="宋体" w:cs="宋体"/>
                <w:kern w:val="0"/>
              </w:rPr>
            </w:pPr>
          </w:p>
        </w:tc>
        <w:tc>
          <w:tcPr>
            <w:tcW w:w="577" w:type="pct"/>
            <w:vMerge w:val="continue"/>
            <w:vAlign w:val="center"/>
          </w:tcPr>
          <w:p w14:paraId="5903EB12">
            <w:pPr>
              <w:widowControl/>
              <w:jc w:val="left"/>
              <w:rPr>
                <w:rFonts w:ascii="宋体" w:hAnsi="宋体" w:cs="宋体"/>
                <w:kern w:val="0"/>
              </w:rPr>
            </w:pPr>
          </w:p>
        </w:tc>
        <w:tc>
          <w:tcPr>
            <w:tcW w:w="3187" w:type="pct"/>
            <w:shd w:val="clear" w:color="auto" w:fill="auto"/>
            <w:vAlign w:val="center"/>
          </w:tcPr>
          <w:p w14:paraId="05B27915">
            <w:pPr>
              <w:widowControl/>
              <w:rPr>
                <w:rFonts w:ascii="宋体" w:hAnsi="宋体" w:cs="宋体"/>
                <w:kern w:val="0"/>
              </w:rPr>
            </w:pPr>
            <w:r>
              <w:rPr>
                <w:rFonts w:hint="eastAsia" w:ascii="宋体" w:hAnsi="宋体" w:cs="宋体"/>
                <w:kern w:val="0"/>
              </w:rPr>
              <w:t>（2）由于意外的关闭会造成伤害的，应当在罩壳处（如牵引蓄电池或者发动机罩）设置防止意外关闭的装置，并且永久地固定在车辆上或者安装在车辆的安全处。</w:t>
            </w:r>
          </w:p>
        </w:tc>
        <w:tc>
          <w:tcPr>
            <w:tcW w:w="394" w:type="pct"/>
            <w:shd w:val="clear" w:color="auto" w:fill="auto"/>
            <w:noWrap/>
            <w:vAlign w:val="center"/>
          </w:tcPr>
          <w:p w14:paraId="6D02793E">
            <w:pPr>
              <w:widowControl/>
              <w:jc w:val="center"/>
              <w:rPr>
                <w:rFonts w:ascii="宋体" w:hAnsi="宋体" w:cs="宋体"/>
                <w:kern w:val="0"/>
              </w:rPr>
            </w:pPr>
          </w:p>
        </w:tc>
        <w:tc>
          <w:tcPr>
            <w:tcW w:w="400" w:type="pct"/>
            <w:shd w:val="clear" w:color="auto" w:fill="auto"/>
            <w:noWrap/>
            <w:vAlign w:val="center"/>
          </w:tcPr>
          <w:p w14:paraId="32E978E4">
            <w:pPr>
              <w:widowControl/>
              <w:jc w:val="center"/>
              <w:rPr>
                <w:rFonts w:ascii="宋体" w:hAnsi="宋体" w:cs="宋体"/>
                <w:kern w:val="0"/>
              </w:rPr>
            </w:pPr>
          </w:p>
        </w:tc>
      </w:tr>
      <w:tr w14:paraId="1728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439" w:type="pct"/>
            <w:vMerge w:val="continue"/>
            <w:shd w:val="clear" w:color="auto" w:fill="auto"/>
            <w:noWrap/>
            <w:vAlign w:val="center"/>
          </w:tcPr>
          <w:p w14:paraId="325EFCAE">
            <w:pPr>
              <w:widowControl/>
              <w:jc w:val="center"/>
              <w:rPr>
                <w:rFonts w:ascii="宋体" w:hAnsi="宋体" w:cs="宋体"/>
                <w:kern w:val="0"/>
              </w:rPr>
            </w:pPr>
          </w:p>
        </w:tc>
        <w:tc>
          <w:tcPr>
            <w:tcW w:w="577" w:type="pct"/>
            <w:vMerge w:val="continue"/>
            <w:vAlign w:val="center"/>
          </w:tcPr>
          <w:p w14:paraId="5B41912E">
            <w:pPr>
              <w:widowControl/>
              <w:jc w:val="left"/>
              <w:rPr>
                <w:rFonts w:ascii="宋体" w:hAnsi="宋体" w:cs="宋体"/>
                <w:kern w:val="0"/>
              </w:rPr>
            </w:pPr>
          </w:p>
        </w:tc>
        <w:tc>
          <w:tcPr>
            <w:tcW w:w="3187" w:type="pct"/>
            <w:shd w:val="clear" w:color="auto" w:fill="auto"/>
            <w:vAlign w:val="center"/>
          </w:tcPr>
          <w:p w14:paraId="0CCF0507">
            <w:pPr>
              <w:widowControl/>
              <w:rPr>
                <w:rFonts w:ascii="宋体" w:hAnsi="宋体" w:cs="宋体"/>
                <w:kern w:val="0"/>
              </w:rPr>
            </w:pPr>
            <w:r>
              <w:rPr>
                <w:rFonts w:hint="eastAsia" w:ascii="宋体" w:hAnsi="宋体" w:cs="宋体"/>
                <w:kern w:val="0"/>
              </w:rPr>
              <w:t>（3）发动机（行走电机）应当运转平稳，无异响，能正常启动、熄火（关闭）。</w:t>
            </w:r>
          </w:p>
        </w:tc>
        <w:tc>
          <w:tcPr>
            <w:tcW w:w="394" w:type="pct"/>
            <w:shd w:val="clear" w:color="auto" w:fill="auto"/>
            <w:noWrap/>
            <w:vAlign w:val="center"/>
          </w:tcPr>
          <w:p w14:paraId="446B75B4">
            <w:pPr>
              <w:widowControl/>
              <w:jc w:val="center"/>
              <w:rPr>
                <w:rFonts w:ascii="宋体" w:hAnsi="宋体" w:cs="宋体"/>
                <w:kern w:val="0"/>
              </w:rPr>
            </w:pPr>
          </w:p>
        </w:tc>
        <w:tc>
          <w:tcPr>
            <w:tcW w:w="400" w:type="pct"/>
            <w:shd w:val="clear" w:color="auto" w:fill="auto"/>
            <w:noWrap/>
            <w:vAlign w:val="center"/>
          </w:tcPr>
          <w:p w14:paraId="64306BF5">
            <w:pPr>
              <w:widowControl/>
              <w:jc w:val="center"/>
              <w:rPr>
                <w:rFonts w:ascii="宋体" w:hAnsi="宋体" w:cs="宋体"/>
                <w:kern w:val="0"/>
              </w:rPr>
            </w:pPr>
          </w:p>
        </w:tc>
      </w:tr>
      <w:tr w14:paraId="63CE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439" w:type="pct"/>
            <w:vMerge w:val="continue"/>
            <w:shd w:val="clear" w:color="auto" w:fill="auto"/>
            <w:noWrap/>
            <w:vAlign w:val="center"/>
          </w:tcPr>
          <w:p w14:paraId="66DCCFBF">
            <w:pPr>
              <w:widowControl/>
              <w:jc w:val="center"/>
              <w:rPr>
                <w:rFonts w:ascii="宋体" w:hAnsi="宋体" w:cs="宋体"/>
                <w:kern w:val="0"/>
              </w:rPr>
            </w:pPr>
          </w:p>
        </w:tc>
        <w:tc>
          <w:tcPr>
            <w:tcW w:w="577" w:type="pct"/>
            <w:vMerge w:val="continue"/>
            <w:vAlign w:val="center"/>
          </w:tcPr>
          <w:p w14:paraId="3F999D12">
            <w:pPr>
              <w:widowControl/>
              <w:jc w:val="left"/>
              <w:rPr>
                <w:rFonts w:ascii="宋体" w:hAnsi="宋体" w:cs="宋体"/>
                <w:kern w:val="0"/>
              </w:rPr>
            </w:pPr>
          </w:p>
        </w:tc>
        <w:tc>
          <w:tcPr>
            <w:tcW w:w="3187" w:type="pct"/>
            <w:shd w:val="clear" w:color="auto" w:fill="auto"/>
            <w:vAlign w:val="center"/>
          </w:tcPr>
          <w:p w14:paraId="7531BEF3">
            <w:pPr>
              <w:widowControl/>
              <w:rPr>
                <w:rFonts w:ascii="宋体" w:hAnsi="宋体" w:cs="宋体"/>
                <w:kern w:val="0"/>
              </w:rPr>
            </w:pPr>
            <w:r>
              <w:rPr>
                <w:rFonts w:hint="eastAsia" w:ascii="宋体" w:hAnsi="宋体" w:cs="宋体"/>
                <w:kern w:val="0"/>
              </w:rPr>
              <w:t>（4）动力系统线路应当无漏电现象，管路应当无漏水、漏油现象。</w:t>
            </w:r>
          </w:p>
        </w:tc>
        <w:tc>
          <w:tcPr>
            <w:tcW w:w="394" w:type="pct"/>
            <w:shd w:val="clear" w:color="auto" w:fill="auto"/>
            <w:noWrap/>
            <w:vAlign w:val="center"/>
          </w:tcPr>
          <w:p w14:paraId="10120DE9">
            <w:pPr>
              <w:widowControl/>
              <w:jc w:val="center"/>
              <w:rPr>
                <w:rFonts w:ascii="宋体" w:hAnsi="宋体" w:cs="宋体"/>
                <w:kern w:val="0"/>
              </w:rPr>
            </w:pPr>
          </w:p>
        </w:tc>
        <w:tc>
          <w:tcPr>
            <w:tcW w:w="400" w:type="pct"/>
            <w:shd w:val="clear" w:color="auto" w:fill="auto"/>
            <w:noWrap/>
            <w:vAlign w:val="center"/>
          </w:tcPr>
          <w:p w14:paraId="6A8B5569">
            <w:pPr>
              <w:widowControl/>
              <w:jc w:val="center"/>
              <w:rPr>
                <w:rFonts w:ascii="宋体" w:hAnsi="宋体" w:cs="宋体"/>
                <w:kern w:val="0"/>
              </w:rPr>
            </w:pPr>
          </w:p>
        </w:tc>
      </w:tr>
      <w:tr w14:paraId="7DDC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2FA23C46">
            <w:pPr>
              <w:widowControl/>
              <w:jc w:val="center"/>
              <w:rPr>
                <w:rFonts w:ascii="宋体" w:hAnsi="宋体" w:cs="宋体"/>
                <w:kern w:val="0"/>
              </w:rPr>
            </w:pPr>
          </w:p>
        </w:tc>
        <w:tc>
          <w:tcPr>
            <w:tcW w:w="577" w:type="pct"/>
            <w:vMerge w:val="continue"/>
            <w:vAlign w:val="center"/>
          </w:tcPr>
          <w:p w14:paraId="7CD808B5">
            <w:pPr>
              <w:widowControl/>
              <w:jc w:val="left"/>
              <w:rPr>
                <w:rFonts w:ascii="宋体" w:hAnsi="宋体" w:cs="宋体"/>
                <w:kern w:val="0"/>
              </w:rPr>
            </w:pPr>
          </w:p>
        </w:tc>
        <w:tc>
          <w:tcPr>
            <w:tcW w:w="3187" w:type="pct"/>
            <w:shd w:val="clear" w:color="auto" w:fill="auto"/>
            <w:vAlign w:val="center"/>
          </w:tcPr>
          <w:p w14:paraId="5DD74305">
            <w:pPr>
              <w:widowControl/>
              <w:rPr>
                <w:rFonts w:ascii="宋体" w:hAnsi="宋体" w:cs="宋体"/>
                <w:kern w:val="0"/>
              </w:rPr>
            </w:pPr>
            <w:r>
              <w:rPr>
                <w:rFonts w:hint="eastAsia" w:ascii="宋体" w:hAnsi="宋体" w:cs="宋体"/>
                <w:kern w:val="0"/>
              </w:rPr>
              <w:t>（5）发动机（行走电机）的安装应当牢固可靠，连接部分无松动、脱落、损坏。</w:t>
            </w:r>
          </w:p>
        </w:tc>
        <w:tc>
          <w:tcPr>
            <w:tcW w:w="394" w:type="pct"/>
            <w:shd w:val="clear" w:color="auto" w:fill="auto"/>
            <w:noWrap/>
            <w:vAlign w:val="center"/>
          </w:tcPr>
          <w:p w14:paraId="594E89E6">
            <w:pPr>
              <w:widowControl/>
              <w:jc w:val="center"/>
              <w:rPr>
                <w:rFonts w:ascii="宋体" w:hAnsi="宋体" w:cs="宋体"/>
                <w:kern w:val="0"/>
              </w:rPr>
            </w:pPr>
          </w:p>
        </w:tc>
        <w:tc>
          <w:tcPr>
            <w:tcW w:w="400" w:type="pct"/>
            <w:shd w:val="clear" w:color="auto" w:fill="auto"/>
            <w:noWrap/>
            <w:vAlign w:val="center"/>
          </w:tcPr>
          <w:p w14:paraId="298284E4">
            <w:pPr>
              <w:widowControl/>
              <w:jc w:val="center"/>
              <w:rPr>
                <w:rFonts w:ascii="宋体" w:hAnsi="宋体" w:cs="宋体"/>
                <w:kern w:val="0"/>
              </w:rPr>
            </w:pPr>
          </w:p>
        </w:tc>
      </w:tr>
      <w:tr w14:paraId="199F6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pct"/>
            <w:vMerge w:val="continue"/>
            <w:shd w:val="clear" w:color="auto" w:fill="auto"/>
            <w:noWrap/>
            <w:vAlign w:val="center"/>
          </w:tcPr>
          <w:p w14:paraId="63472BCE">
            <w:pPr>
              <w:widowControl/>
              <w:jc w:val="center"/>
              <w:rPr>
                <w:rFonts w:ascii="宋体" w:hAnsi="宋体" w:cs="宋体"/>
                <w:kern w:val="0"/>
              </w:rPr>
            </w:pPr>
          </w:p>
        </w:tc>
        <w:tc>
          <w:tcPr>
            <w:tcW w:w="577" w:type="pct"/>
            <w:vMerge w:val="continue"/>
            <w:vAlign w:val="center"/>
          </w:tcPr>
          <w:p w14:paraId="3C1C7EE5">
            <w:pPr>
              <w:widowControl/>
              <w:jc w:val="left"/>
              <w:rPr>
                <w:rFonts w:ascii="宋体" w:hAnsi="宋体" w:cs="宋体"/>
                <w:kern w:val="0"/>
              </w:rPr>
            </w:pPr>
          </w:p>
        </w:tc>
        <w:tc>
          <w:tcPr>
            <w:tcW w:w="3187" w:type="pct"/>
            <w:shd w:val="clear" w:color="auto" w:fill="auto"/>
            <w:vAlign w:val="center"/>
          </w:tcPr>
          <w:p w14:paraId="24003BB6">
            <w:pPr>
              <w:widowControl/>
              <w:rPr>
                <w:rFonts w:ascii="宋体" w:hAnsi="宋体" w:cs="宋体"/>
                <w:kern w:val="0"/>
              </w:rPr>
            </w:pPr>
            <w:r>
              <w:rPr>
                <w:rFonts w:hint="eastAsia" w:ascii="宋体" w:hAnsi="宋体" w:cs="宋体"/>
                <w:kern w:val="0"/>
              </w:rPr>
              <w:t>（6）车辆配置车用气瓶时，气瓶应当在检验有效期内。</w:t>
            </w:r>
          </w:p>
        </w:tc>
        <w:tc>
          <w:tcPr>
            <w:tcW w:w="394" w:type="pct"/>
            <w:shd w:val="clear" w:color="auto" w:fill="auto"/>
            <w:noWrap/>
            <w:vAlign w:val="center"/>
          </w:tcPr>
          <w:p w14:paraId="6A70896C">
            <w:pPr>
              <w:widowControl/>
              <w:jc w:val="center"/>
              <w:rPr>
                <w:rFonts w:ascii="宋体" w:hAnsi="宋体" w:cs="宋体"/>
                <w:kern w:val="0"/>
              </w:rPr>
            </w:pPr>
          </w:p>
        </w:tc>
        <w:tc>
          <w:tcPr>
            <w:tcW w:w="400" w:type="pct"/>
            <w:shd w:val="clear" w:color="auto" w:fill="auto"/>
            <w:noWrap/>
            <w:vAlign w:val="center"/>
          </w:tcPr>
          <w:p w14:paraId="50416531">
            <w:pPr>
              <w:widowControl/>
              <w:jc w:val="center"/>
              <w:rPr>
                <w:rFonts w:ascii="宋体" w:hAnsi="宋体" w:cs="宋体"/>
                <w:kern w:val="0"/>
              </w:rPr>
            </w:pPr>
          </w:p>
        </w:tc>
      </w:tr>
      <w:tr w14:paraId="4EBEF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439" w:type="pct"/>
            <w:vMerge w:val="restart"/>
            <w:shd w:val="clear" w:color="auto" w:fill="auto"/>
            <w:noWrap/>
            <w:vAlign w:val="center"/>
          </w:tcPr>
          <w:p w14:paraId="3887DFBD">
            <w:pPr>
              <w:widowControl/>
              <w:jc w:val="center"/>
              <w:rPr>
                <w:rFonts w:ascii="宋体" w:hAnsi="宋体" w:cs="宋体"/>
                <w:kern w:val="0"/>
              </w:rPr>
            </w:pPr>
            <w:r>
              <w:rPr>
                <w:rFonts w:hint="eastAsia" w:ascii="宋体" w:hAnsi="宋体" w:cs="宋体"/>
                <w:kern w:val="0"/>
              </w:rPr>
              <w:t>7</w:t>
            </w:r>
          </w:p>
        </w:tc>
        <w:tc>
          <w:tcPr>
            <w:tcW w:w="577" w:type="pct"/>
            <w:vMerge w:val="restart"/>
            <w:shd w:val="clear" w:color="auto" w:fill="auto"/>
            <w:vAlign w:val="center"/>
          </w:tcPr>
          <w:p w14:paraId="2A6AE614">
            <w:pPr>
              <w:widowControl/>
              <w:jc w:val="center"/>
              <w:rPr>
                <w:rFonts w:ascii="宋体" w:hAnsi="宋体" w:cs="宋体"/>
                <w:kern w:val="0"/>
              </w:rPr>
            </w:pPr>
            <w:r>
              <w:rPr>
                <w:rFonts w:hint="eastAsia" w:ascii="宋体" w:hAnsi="宋体" w:cs="宋体"/>
                <w:kern w:val="0"/>
              </w:rPr>
              <w:t>7</w:t>
            </w:r>
            <w:r>
              <w:rPr>
                <w:rFonts w:hint="eastAsia" w:ascii="宋体" w:hAnsi="宋体" w:cs="宋体"/>
                <w:kern w:val="0"/>
              </w:rPr>
              <w:br w:type="textWrapping"/>
            </w:r>
            <w:r>
              <w:rPr>
                <w:rFonts w:hint="eastAsia" w:ascii="宋体" w:hAnsi="宋体" w:cs="宋体"/>
                <w:kern w:val="0"/>
              </w:rPr>
              <w:t>传动系统</w:t>
            </w:r>
            <w:r>
              <w:rPr>
                <w:rFonts w:hint="eastAsia" w:ascii="宋体" w:hAnsi="宋体" w:cs="宋体"/>
                <w:kern w:val="0"/>
              </w:rPr>
              <w:br w:type="textWrapping"/>
            </w:r>
          </w:p>
        </w:tc>
        <w:tc>
          <w:tcPr>
            <w:tcW w:w="3187" w:type="pct"/>
            <w:shd w:val="clear" w:color="auto" w:fill="auto"/>
            <w:vAlign w:val="center"/>
          </w:tcPr>
          <w:p w14:paraId="5BAA5B2C">
            <w:pPr>
              <w:widowControl/>
              <w:rPr>
                <w:rFonts w:ascii="宋体" w:hAnsi="宋体" w:cs="宋体"/>
                <w:kern w:val="0"/>
              </w:rPr>
            </w:pPr>
            <w:r>
              <w:rPr>
                <w:rFonts w:hint="eastAsia" w:ascii="宋体" w:hAnsi="宋体" w:cs="宋体"/>
                <w:kern w:val="0"/>
              </w:rPr>
              <w:t>（1）静压传动的叉车，只有处于制动状态时才能启动发动机。</w:t>
            </w:r>
          </w:p>
        </w:tc>
        <w:tc>
          <w:tcPr>
            <w:tcW w:w="394" w:type="pct"/>
            <w:shd w:val="clear" w:color="auto" w:fill="auto"/>
            <w:noWrap/>
            <w:vAlign w:val="center"/>
          </w:tcPr>
          <w:p w14:paraId="657A1659">
            <w:pPr>
              <w:widowControl/>
              <w:jc w:val="center"/>
              <w:rPr>
                <w:rFonts w:ascii="宋体" w:hAnsi="宋体" w:cs="宋体"/>
                <w:kern w:val="0"/>
              </w:rPr>
            </w:pPr>
          </w:p>
        </w:tc>
        <w:tc>
          <w:tcPr>
            <w:tcW w:w="400" w:type="pct"/>
            <w:shd w:val="clear" w:color="auto" w:fill="auto"/>
            <w:noWrap/>
            <w:vAlign w:val="center"/>
          </w:tcPr>
          <w:p w14:paraId="70D0060A">
            <w:pPr>
              <w:widowControl/>
              <w:jc w:val="center"/>
              <w:rPr>
                <w:rFonts w:ascii="宋体" w:hAnsi="宋体" w:cs="宋体"/>
                <w:kern w:val="0"/>
              </w:rPr>
            </w:pPr>
          </w:p>
        </w:tc>
      </w:tr>
      <w:tr w14:paraId="5207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439" w:type="pct"/>
            <w:vMerge w:val="continue"/>
            <w:shd w:val="clear" w:color="auto" w:fill="auto"/>
            <w:noWrap/>
            <w:vAlign w:val="center"/>
          </w:tcPr>
          <w:p w14:paraId="37B09D5F">
            <w:pPr>
              <w:widowControl/>
              <w:jc w:val="center"/>
              <w:rPr>
                <w:rFonts w:ascii="宋体" w:hAnsi="宋体" w:cs="宋体"/>
                <w:kern w:val="0"/>
              </w:rPr>
            </w:pPr>
          </w:p>
        </w:tc>
        <w:tc>
          <w:tcPr>
            <w:tcW w:w="577" w:type="pct"/>
            <w:vMerge w:val="continue"/>
            <w:vAlign w:val="center"/>
          </w:tcPr>
          <w:p w14:paraId="31BD357D">
            <w:pPr>
              <w:widowControl/>
              <w:jc w:val="left"/>
              <w:rPr>
                <w:rFonts w:ascii="宋体" w:hAnsi="宋体" w:cs="宋体"/>
                <w:kern w:val="0"/>
              </w:rPr>
            </w:pPr>
          </w:p>
        </w:tc>
        <w:tc>
          <w:tcPr>
            <w:tcW w:w="3187" w:type="pct"/>
            <w:shd w:val="clear" w:color="auto" w:fill="auto"/>
            <w:vAlign w:val="center"/>
          </w:tcPr>
          <w:p w14:paraId="094BE91F">
            <w:pPr>
              <w:widowControl/>
              <w:rPr>
                <w:rFonts w:ascii="宋体" w:hAnsi="宋体" w:cs="宋体"/>
                <w:kern w:val="0"/>
              </w:rPr>
            </w:pPr>
            <w:r>
              <w:rPr>
                <w:rFonts w:hint="eastAsia" w:ascii="宋体" w:hAnsi="宋体" w:cs="宋体"/>
                <w:kern w:val="0"/>
              </w:rPr>
              <w:t>（2）机械传动和液力传动的内燃叉车，应当配备在传动装置处于接合状态时，能防止发动机启动的装置。</w:t>
            </w:r>
          </w:p>
        </w:tc>
        <w:tc>
          <w:tcPr>
            <w:tcW w:w="394" w:type="pct"/>
            <w:shd w:val="clear" w:color="auto" w:fill="auto"/>
            <w:noWrap/>
            <w:vAlign w:val="center"/>
          </w:tcPr>
          <w:p w14:paraId="517DB016">
            <w:pPr>
              <w:widowControl/>
              <w:jc w:val="center"/>
              <w:rPr>
                <w:rFonts w:ascii="宋体" w:hAnsi="宋体" w:cs="宋体"/>
                <w:kern w:val="0"/>
              </w:rPr>
            </w:pPr>
          </w:p>
        </w:tc>
        <w:tc>
          <w:tcPr>
            <w:tcW w:w="400" w:type="pct"/>
            <w:shd w:val="clear" w:color="auto" w:fill="auto"/>
            <w:noWrap/>
            <w:vAlign w:val="center"/>
          </w:tcPr>
          <w:p w14:paraId="6BE7DF4B">
            <w:pPr>
              <w:widowControl/>
              <w:jc w:val="center"/>
              <w:rPr>
                <w:rFonts w:ascii="宋体" w:hAnsi="宋体" w:cs="宋体"/>
                <w:kern w:val="0"/>
              </w:rPr>
            </w:pPr>
          </w:p>
        </w:tc>
      </w:tr>
      <w:tr w14:paraId="51DE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439" w:type="pct"/>
            <w:vMerge w:val="continue"/>
            <w:shd w:val="clear" w:color="auto" w:fill="auto"/>
            <w:noWrap/>
            <w:vAlign w:val="center"/>
          </w:tcPr>
          <w:p w14:paraId="34BCE9F1">
            <w:pPr>
              <w:widowControl/>
              <w:jc w:val="center"/>
              <w:rPr>
                <w:rFonts w:ascii="宋体" w:hAnsi="宋体" w:cs="宋体"/>
                <w:kern w:val="0"/>
              </w:rPr>
            </w:pPr>
          </w:p>
        </w:tc>
        <w:tc>
          <w:tcPr>
            <w:tcW w:w="577" w:type="pct"/>
            <w:vMerge w:val="continue"/>
            <w:vAlign w:val="center"/>
          </w:tcPr>
          <w:p w14:paraId="260AA92E">
            <w:pPr>
              <w:widowControl/>
              <w:jc w:val="left"/>
              <w:rPr>
                <w:rFonts w:ascii="宋体" w:hAnsi="宋体" w:cs="宋体"/>
                <w:kern w:val="0"/>
              </w:rPr>
            </w:pPr>
          </w:p>
        </w:tc>
        <w:tc>
          <w:tcPr>
            <w:tcW w:w="3187" w:type="pct"/>
            <w:shd w:val="clear" w:color="auto" w:fill="auto"/>
            <w:vAlign w:val="center"/>
          </w:tcPr>
          <w:p w14:paraId="2D9DFFE5">
            <w:pPr>
              <w:widowControl/>
              <w:rPr>
                <w:rFonts w:ascii="宋体" w:hAnsi="宋体" w:cs="宋体"/>
                <w:kern w:val="0"/>
              </w:rPr>
            </w:pPr>
            <w:r>
              <w:rPr>
                <w:rFonts w:hint="eastAsia" w:ascii="宋体" w:hAnsi="宋体" w:cs="宋体"/>
                <w:kern w:val="0"/>
              </w:rPr>
              <w:t>（3）传动系统及其零部件运转平稳，运行中无振抖、无异响。</w:t>
            </w:r>
          </w:p>
        </w:tc>
        <w:tc>
          <w:tcPr>
            <w:tcW w:w="394" w:type="pct"/>
            <w:shd w:val="clear" w:color="auto" w:fill="auto"/>
            <w:noWrap/>
            <w:vAlign w:val="center"/>
          </w:tcPr>
          <w:p w14:paraId="2E9197B7">
            <w:pPr>
              <w:widowControl/>
              <w:jc w:val="center"/>
              <w:rPr>
                <w:rFonts w:ascii="宋体" w:hAnsi="宋体" w:cs="宋体"/>
                <w:kern w:val="0"/>
              </w:rPr>
            </w:pPr>
          </w:p>
        </w:tc>
        <w:tc>
          <w:tcPr>
            <w:tcW w:w="400" w:type="pct"/>
            <w:shd w:val="clear" w:color="auto" w:fill="auto"/>
            <w:noWrap/>
            <w:vAlign w:val="center"/>
          </w:tcPr>
          <w:p w14:paraId="5FB7431A">
            <w:pPr>
              <w:widowControl/>
              <w:jc w:val="center"/>
              <w:rPr>
                <w:rFonts w:ascii="宋体" w:hAnsi="宋体" w:cs="宋体"/>
                <w:kern w:val="0"/>
              </w:rPr>
            </w:pPr>
          </w:p>
        </w:tc>
      </w:tr>
      <w:tr w14:paraId="3EF4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439" w:type="pct"/>
            <w:vMerge w:val="continue"/>
            <w:shd w:val="clear" w:color="auto" w:fill="auto"/>
            <w:noWrap/>
            <w:vAlign w:val="center"/>
          </w:tcPr>
          <w:p w14:paraId="60A5D3A7">
            <w:pPr>
              <w:widowControl/>
              <w:jc w:val="center"/>
              <w:rPr>
                <w:rFonts w:ascii="宋体" w:hAnsi="宋体" w:cs="宋体"/>
                <w:kern w:val="0"/>
              </w:rPr>
            </w:pPr>
          </w:p>
        </w:tc>
        <w:tc>
          <w:tcPr>
            <w:tcW w:w="577" w:type="pct"/>
            <w:vMerge w:val="continue"/>
            <w:vAlign w:val="center"/>
          </w:tcPr>
          <w:p w14:paraId="122309C5">
            <w:pPr>
              <w:widowControl/>
              <w:jc w:val="left"/>
              <w:rPr>
                <w:rFonts w:ascii="宋体" w:hAnsi="宋体" w:cs="宋体"/>
                <w:kern w:val="0"/>
              </w:rPr>
            </w:pPr>
          </w:p>
        </w:tc>
        <w:tc>
          <w:tcPr>
            <w:tcW w:w="3187" w:type="pct"/>
            <w:shd w:val="clear" w:color="auto" w:fill="auto"/>
            <w:vAlign w:val="center"/>
          </w:tcPr>
          <w:p w14:paraId="2E9846BF">
            <w:pPr>
              <w:widowControl/>
              <w:rPr>
                <w:rFonts w:ascii="宋体" w:hAnsi="宋体" w:cs="宋体"/>
                <w:kern w:val="0"/>
              </w:rPr>
            </w:pPr>
            <w:r>
              <w:rPr>
                <w:rFonts w:hint="eastAsia" w:ascii="宋体" w:hAnsi="宋体" w:cs="宋体"/>
                <w:kern w:val="0"/>
              </w:rPr>
              <w:t>（4）变速箱无自动脱挡、串挡现象，运行正常，倒挡可靠。</w:t>
            </w:r>
          </w:p>
        </w:tc>
        <w:tc>
          <w:tcPr>
            <w:tcW w:w="394" w:type="pct"/>
            <w:shd w:val="clear" w:color="auto" w:fill="auto"/>
            <w:noWrap/>
            <w:vAlign w:val="center"/>
          </w:tcPr>
          <w:p w14:paraId="4934FFF2">
            <w:pPr>
              <w:widowControl/>
              <w:jc w:val="center"/>
              <w:rPr>
                <w:rFonts w:ascii="宋体" w:hAnsi="宋体" w:cs="宋体"/>
                <w:kern w:val="0"/>
              </w:rPr>
            </w:pPr>
          </w:p>
        </w:tc>
        <w:tc>
          <w:tcPr>
            <w:tcW w:w="400" w:type="pct"/>
            <w:shd w:val="clear" w:color="auto" w:fill="auto"/>
            <w:noWrap/>
            <w:vAlign w:val="center"/>
          </w:tcPr>
          <w:p w14:paraId="53C1E185">
            <w:pPr>
              <w:widowControl/>
              <w:jc w:val="center"/>
              <w:rPr>
                <w:rFonts w:ascii="宋体" w:hAnsi="宋体" w:cs="宋体"/>
                <w:kern w:val="0"/>
              </w:rPr>
            </w:pPr>
          </w:p>
        </w:tc>
      </w:tr>
      <w:tr w14:paraId="3BB5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439" w:type="pct"/>
            <w:vMerge w:val="continue"/>
            <w:shd w:val="clear" w:color="auto" w:fill="auto"/>
            <w:noWrap/>
            <w:vAlign w:val="center"/>
          </w:tcPr>
          <w:p w14:paraId="158089C9">
            <w:pPr>
              <w:widowControl/>
              <w:jc w:val="center"/>
              <w:rPr>
                <w:rFonts w:ascii="宋体" w:hAnsi="宋体" w:cs="宋体"/>
                <w:kern w:val="0"/>
              </w:rPr>
            </w:pPr>
          </w:p>
        </w:tc>
        <w:tc>
          <w:tcPr>
            <w:tcW w:w="577" w:type="pct"/>
            <w:vMerge w:val="continue"/>
            <w:vAlign w:val="center"/>
          </w:tcPr>
          <w:p w14:paraId="779456DA">
            <w:pPr>
              <w:widowControl/>
              <w:jc w:val="left"/>
              <w:rPr>
                <w:rFonts w:ascii="宋体" w:hAnsi="宋体" w:cs="宋体"/>
                <w:kern w:val="0"/>
              </w:rPr>
            </w:pPr>
          </w:p>
        </w:tc>
        <w:tc>
          <w:tcPr>
            <w:tcW w:w="3187" w:type="pct"/>
            <w:shd w:val="clear" w:color="auto" w:fill="auto"/>
            <w:vAlign w:val="center"/>
          </w:tcPr>
          <w:p w14:paraId="1E65A106">
            <w:pPr>
              <w:widowControl/>
              <w:rPr>
                <w:rFonts w:ascii="宋体" w:hAnsi="宋体" w:cs="宋体"/>
                <w:kern w:val="0"/>
              </w:rPr>
            </w:pPr>
            <w:r>
              <w:rPr>
                <w:rFonts w:hint="eastAsia" w:ascii="宋体" w:hAnsi="宋体" w:cs="宋体"/>
                <w:kern w:val="0"/>
              </w:rPr>
              <w:t>（5）离合器分离彻底、接合平稳，工作时无异响、抖动或不正常打滑等现象。</w:t>
            </w:r>
          </w:p>
        </w:tc>
        <w:tc>
          <w:tcPr>
            <w:tcW w:w="394" w:type="pct"/>
            <w:shd w:val="clear" w:color="auto" w:fill="auto"/>
            <w:noWrap/>
            <w:vAlign w:val="center"/>
          </w:tcPr>
          <w:p w14:paraId="44B8A240">
            <w:pPr>
              <w:widowControl/>
              <w:jc w:val="center"/>
              <w:rPr>
                <w:rFonts w:ascii="宋体" w:hAnsi="宋体" w:cs="宋体"/>
                <w:kern w:val="0"/>
              </w:rPr>
            </w:pPr>
          </w:p>
        </w:tc>
        <w:tc>
          <w:tcPr>
            <w:tcW w:w="400" w:type="pct"/>
            <w:shd w:val="clear" w:color="auto" w:fill="auto"/>
            <w:noWrap/>
            <w:vAlign w:val="center"/>
          </w:tcPr>
          <w:p w14:paraId="36D0A5AB">
            <w:pPr>
              <w:widowControl/>
              <w:jc w:val="center"/>
              <w:rPr>
                <w:rFonts w:ascii="宋体" w:hAnsi="宋体" w:cs="宋体"/>
                <w:kern w:val="0"/>
              </w:rPr>
            </w:pPr>
          </w:p>
        </w:tc>
      </w:tr>
      <w:tr w14:paraId="6B809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39" w:type="pct"/>
            <w:vMerge w:val="restart"/>
            <w:shd w:val="clear" w:color="auto" w:fill="auto"/>
            <w:noWrap/>
            <w:vAlign w:val="center"/>
          </w:tcPr>
          <w:p w14:paraId="4F886133">
            <w:pPr>
              <w:widowControl/>
              <w:jc w:val="center"/>
              <w:rPr>
                <w:rFonts w:ascii="宋体" w:hAnsi="宋体" w:cs="宋体"/>
                <w:kern w:val="0"/>
              </w:rPr>
            </w:pPr>
            <w:r>
              <w:rPr>
                <w:rFonts w:hint="eastAsia" w:ascii="宋体" w:hAnsi="宋体" w:cs="宋体"/>
                <w:kern w:val="0"/>
              </w:rPr>
              <w:t>8</w:t>
            </w:r>
          </w:p>
        </w:tc>
        <w:tc>
          <w:tcPr>
            <w:tcW w:w="577" w:type="pct"/>
            <w:vMerge w:val="restart"/>
            <w:shd w:val="clear" w:color="auto" w:fill="auto"/>
            <w:vAlign w:val="center"/>
          </w:tcPr>
          <w:p w14:paraId="4B1FAC06">
            <w:pPr>
              <w:widowControl/>
              <w:jc w:val="center"/>
              <w:rPr>
                <w:rFonts w:ascii="宋体" w:hAnsi="宋体" w:cs="宋体"/>
                <w:kern w:val="0"/>
              </w:rPr>
            </w:pPr>
            <w:r>
              <w:rPr>
                <w:rFonts w:hint="eastAsia" w:ascii="宋体" w:hAnsi="宋体" w:cs="宋体"/>
                <w:kern w:val="0"/>
              </w:rPr>
              <w:t>8</w:t>
            </w:r>
            <w:r>
              <w:rPr>
                <w:rFonts w:hint="eastAsia" w:ascii="宋体" w:hAnsi="宋体" w:cs="宋体"/>
                <w:kern w:val="0"/>
              </w:rPr>
              <w:br w:type="textWrapping"/>
            </w:r>
            <w:r>
              <w:rPr>
                <w:rFonts w:hint="eastAsia" w:ascii="宋体" w:hAnsi="宋体" w:cs="宋体"/>
                <w:kern w:val="0"/>
              </w:rPr>
              <w:t>行驶系统</w:t>
            </w:r>
          </w:p>
        </w:tc>
        <w:tc>
          <w:tcPr>
            <w:tcW w:w="3187" w:type="pct"/>
            <w:shd w:val="clear" w:color="auto" w:fill="auto"/>
            <w:vAlign w:val="center"/>
          </w:tcPr>
          <w:p w14:paraId="1583764A">
            <w:pPr>
              <w:widowControl/>
              <w:rPr>
                <w:rFonts w:ascii="宋体" w:hAnsi="宋体" w:cs="宋体"/>
                <w:kern w:val="0"/>
              </w:rPr>
            </w:pPr>
            <w:r>
              <w:rPr>
                <w:rFonts w:hint="eastAsia" w:ascii="宋体" w:hAnsi="宋体" w:cs="宋体"/>
                <w:kern w:val="0"/>
              </w:rPr>
              <w:t>（1）同一轴上的轮胎规格和花纹应当相同。</w:t>
            </w:r>
          </w:p>
        </w:tc>
        <w:tc>
          <w:tcPr>
            <w:tcW w:w="394" w:type="pct"/>
            <w:shd w:val="clear" w:color="auto" w:fill="auto"/>
            <w:noWrap/>
            <w:vAlign w:val="center"/>
          </w:tcPr>
          <w:p w14:paraId="31969C70">
            <w:pPr>
              <w:widowControl/>
              <w:jc w:val="center"/>
              <w:rPr>
                <w:rFonts w:ascii="宋体" w:hAnsi="宋体" w:cs="宋体"/>
                <w:kern w:val="0"/>
              </w:rPr>
            </w:pPr>
          </w:p>
        </w:tc>
        <w:tc>
          <w:tcPr>
            <w:tcW w:w="400" w:type="pct"/>
            <w:shd w:val="clear" w:color="auto" w:fill="auto"/>
            <w:noWrap/>
            <w:vAlign w:val="center"/>
          </w:tcPr>
          <w:p w14:paraId="2931F2BB">
            <w:pPr>
              <w:widowControl/>
              <w:jc w:val="center"/>
              <w:rPr>
                <w:rFonts w:ascii="宋体" w:hAnsi="宋体" w:cs="宋体"/>
                <w:kern w:val="0"/>
              </w:rPr>
            </w:pPr>
          </w:p>
        </w:tc>
      </w:tr>
      <w:tr w14:paraId="2E8D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439" w:type="pct"/>
            <w:vMerge w:val="continue"/>
            <w:shd w:val="clear" w:color="auto" w:fill="auto"/>
            <w:noWrap/>
            <w:vAlign w:val="center"/>
          </w:tcPr>
          <w:p w14:paraId="7198CCF1">
            <w:pPr>
              <w:widowControl/>
              <w:jc w:val="center"/>
              <w:rPr>
                <w:rFonts w:ascii="宋体" w:hAnsi="宋体" w:cs="宋体"/>
                <w:kern w:val="0"/>
              </w:rPr>
            </w:pPr>
          </w:p>
        </w:tc>
        <w:tc>
          <w:tcPr>
            <w:tcW w:w="577" w:type="pct"/>
            <w:vMerge w:val="continue"/>
            <w:vAlign w:val="center"/>
          </w:tcPr>
          <w:p w14:paraId="1329C38B">
            <w:pPr>
              <w:widowControl/>
              <w:jc w:val="left"/>
              <w:rPr>
                <w:rFonts w:ascii="宋体" w:hAnsi="宋体" w:cs="宋体"/>
                <w:kern w:val="0"/>
              </w:rPr>
            </w:pPr>
          </w:p>
        </w:tc>
        <w:tc>
          <w:tcPr>
            <w:tcW w:w="3187" w:type="pct"/>
            <w:shd w:val="clear" w:color="auto" w:fill="auto"/>
            <w:vAlign w:val="center"/>
          </w:tcPr>
          <w:p w14:paraId="384B7C34">
            <w:pPr>
              <w:widowControl/>
              <w:rPr>
                <w:rFonts w:ascii="宋体" w:hAnsi="宋体" w:cs="宋体"/>
                <w:kern w:val="0"/>
              </w:rPr>
            </w:pPr>
            <w:r>
              <w:rPr>
                <w:rFonts w:hint="eastAsia" w:ascii="宋体" w:hAnsi="宋体" w:cs="宋体"/>
                <w:kern w:val="0"/>
              </w:rPr>
              <w:t>（2）轮辋应当完整无损，螺栓、螺母应当齐全紧固。</w:t>
            </w:r>
          </w:p>
        </w:tc>
        <w:tc>
          <w:tcPr>
            <w:tcW w:w="394" w:type="pct"/>
            <w:shd w:val="clear" w:color="auto" w:fill="auto"/>
            <w:noWrap/>
            <w:vAlign w:val="center"/>
          </w:tcPr>
          <w:p w14:paraId="020AD26E">
            <w:pPr>
              <w:widowControl/>
              <w:jc w:val="center"/>
              <w:rPr>
                <w:rFonts w:ascii="宋体" w:hAnsi="宋体" w:cs="宋体"/>
                <w:kern w:val="0"/>
              </w:rPr>
            </w:pPr>
          </w:p>
        </w:tc>
        <w:tc>
          <w:tcPr>
            <w:tcW w:w="400" w:type="pct"/>
            <w:shd w:val="clear" w:color="auto" w:fill="auto"/>
            <w:noWrap/>
            <w:vAlign w:val="center"/>
          </w:tcPr>
          <w:p w14:paraId="04BD1E72">
            <w:pPr>
              <w:widowControl/>
              <w:jc w:val="center"/>
              <w:rPr>
                <w:rFonts w:ascii="宋体" w:hAnsi="宋体" w:cs="宋体"/>
                <w:kern w:val="0"/>
              </w:rPr>
            </w:pPr>
          </w:p>
        </w:tc>
      </w:tr>
      <w:tr w14:paraId="004B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439" w:type="pct"/>
            <w:vMerge w:val="continue"/>
            <w:shd w:val="clear" w:color="auto" w:fill="auto"/>
            <w:noWrap/>
            <w:vAlign w:val="center"/>
          </w:tcPr>
          <w:p w14:paraId="0FF52BFA">
            <w:pPr>
              <w:widowControl/>
              <w:jc w:val="center"/>
              <w:rPr>
                <w:rFonts w:ascii="宋体" w:hAnsi="宋体" w:cs="宋体"/>
                <w:kern w:val="0"/>
              </w:rPr>
            </w:pPr>
          </w:p>
        </w:tc>
        <w:tc>
          <w:tcPr>
            <w:tcW w:w="577" w:type="pct"/>
            <w:vMerge w:val="continue"/>
            <w:vAlign w:val="center"/>
          </w:tcPr>
          <w:p w14:paraId="4C7CDA47">
            <w:pPr>
              <w:widowControl/>
              <w:jc w:val="left"/>
              <w:rPr>
                <w:rFonts w:ascii="宋体" w:hAnsi="宋体" w:cs="宋体"/>
                <w:kern w:val="0"/>
              </w:rPr>
            </w:pPr>
          </w:p>
        </w:tc>
        <w:tc>
          <w:tcPr>
            <w:tcW w:w="3187" w:type="pct"/>
            <w:shd w:val="clear" w:color="auto" w:fill="auto"/>
            <w:vAlign w:val="center"/>
          </w:tcPr>
          <w:p w14:paraId="63B1B54D">
            <w:pPr>
              <w:widowControl/>
              <w:rPr>
                <w:rFonts w:ascii="宋体" w:hAnsi="宋体" w:cs="宋体"/>
                <w:kern w:val="0"/>
              </w:rPr>
            </w:pPr>
            <w:r>
              <w:rPr>
                <w:rFonts w:hint="eastAsia" w:ascii="宋体" w:hAnsi="宋体" w:cs="宋体"/>
                <w:kern w:val="0"/>
              </w:rPr>
              <w:t>（3）前后桥与车架的连接应当紧固。</w:t>
            </w:r>
          </w:p>
        </w:tc>
        <w:tc>
          <w:tcPr>
            <w:tcW w:w="394" w:type="pct"/>
            <w:shd w:val="clear" w:color="auto" w:fill="auto"/>
            <w:noWrap/>
            <w:vAlign w:val="center"/>
          </w:tcPr>
          <w:p w14:paraId="38843572">
            <w:pPr>
              <w:widowControl/>
              <w:jc w:val="center"/>
              <w:rPr>
                <w:rFonts w:ascii="宋体" w:hAnsi="宋体" w:cs="宋体"/>
                <w:kern w:val="0"/>
              </w:rPr>
            </w:pPr>
          </w:p>
        </w:tc>
        <w:tc>
          <w:tcPr>
            <w:tcW w:w="400" w:type="pct"/>
            <w:shd w:val="clear" w:color="auto" w:fill="auto"/>
            <w:noWrap/>
            <w:vAlign w:val="center"/>
          </w:tcPr>
          <w:p w14:paraId="58055D2E">
            <w:pPr>
              <w:widowControl/>
              <w:jc w:val="center"/>
              <w:rPr>
                <w:rFonts w:ascii="宋体" w:hAnsi="宋体" w:cs="宋体"/>
                <w:kern w:val="0"/>
              </w:rPr>
            </w:pPr>
          </w:p>
        </w:tc>
      </w:tr>
      <w:tr w14:paraId="19CC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39" w:type="pct"/>
            <w:vMerge w:val="continue"/>
            <w:shd w:val="clear" w:color="auto" w:fill="auto"/>
            <w:noWrap/>
            <w:vAlign w:val="center"/>
          </w:tcPr>
          <w:p w14:paraId="304013EE">
            <w:pPr>
              <w:widowControl/>
              <w:jc w:val="center"/>
              <w:rPr>
                <w:rFonts w:ascii="宋体" w:hAnsi="宋体" w:cs="宋体"/>
                <w:kern w:val="0"/>
              </w:rPr>
            </w:pPr>
          </w:p>
        </w:tc>
        <w:tc>
          <w:tcPr>
            <w:tcW w:w="577" w:type="pct"/>
            <w:vMerge w:val="continue"/>
            <w:vAlign w:val="center"/>
          </w:tcPr>
          <w:p w14:paraId="2FAA767C">
            <w:pPr>
              <w:widowControl/>
              <w:jc w:val="left"/>
              <w:rPr>
                <w:rFonts w:ascii="宋体" w:hAnsi="宋体" w:cs="宋体"/>
                <w:kern w:val="0"/>
              </w:rPr>
            </w:pPr>
          </w:p>
        </w:tc>
        <w:tc>
          <w:tcPr>
            <w:tcW w:w="3187" w:type="pct"/>
            <w:shd w:val="clear" w:color="auto" w:fill="auto"/>
            <w:vAlign w:val="center"/>
          </w:tcPr>
          <w:p w14:paraId="3F5E3302">
            <w:pPr>
              <w:widowControl/>
              <w:rPr>
                <w:rFonts w:ascii="宋体" w:hAnsi="宋体" w:cs="宋体"/>
                <w:kern w:val="0"/>
              </w:rPr>
            </w:pPr>
            <w:r>
              <w:rPr>
                <w:rFonts w:hint="eastAsia" w:ascii="宋体" w:hAnsi="宋体" w:cs="宋体"/>
                <w:kern w:val="0"/>
              </w:rPr>
              <w:t>（4）充气轮胎胎面和胎壁应当无长度超过25mm或者深度足以暴露出轮胎帘布层的破裂和割伤；实心轮胎（包括工业脚轮和车轮轮胎）应当无胶层气泡和脱层、钢圈与胶层松脱等缺陷。</w:t>
            </w:r>
          </w:p>
        </w:tc>
        <w:tc>
          <w:tcPr>
            <w:tcW w:w="394" w:type="pct"/>
            <w:shd w:val="clear" w:color="auto" w:fill="auto"/>
            <w:noWrap/>
            <w:vAlign w:val="center"/>
          </w:tcPr>
          <w:p w14:paraId="50221FB8">
            <w:pPr>
              <w:widowControl/>
              <w:jc w:val="center"/>
              <w:rPr>
                <w:rFonts w:ascii="宋体" w:hAnsi="宋体" w:cs="宋体"/>
                <w:kern w:val="0"/>
              </w:rPr>
            </w:pPr>
          </w:p>
        </w:tc>
        <w:tc>
          <w:tcPr>
            <w:tcW w:w="400" w:type="pct"/>
            <w:shd w:val="clear" w:color="auto" w:fill="auto"/>
            <w:noWrap/>
            <w:vAlign w:val="center"/>
          </w:tcPr>
          <w:p w14:paraId="62152BE6">
            <w:pPr>
              <w:widowControl/>
              <w:jc w:val="center"/>
              <w:rPr>
                <w:rFonts w:ascii="宋体" w:hAnsi="宋体" w:cs="宋体"/>
                <w:kern w:val="0"/>
              </w:rPr>
            </w:pPr>
          </w:p>
          <w:p w14:paraId="00768610">
            <w:pPr>
              <w:widowControl/>
              <w:jc w:val="center"/>
              <w:rPr>
                <w:rFonts w:ascii="宋体" w:hAnsi="宋体" w:cs="宋体"/>
                <w:kern w:val="0"/>
              </w:rPr>
            </w:pPr>
          </w:p>
        </w:tc>
      </w:tr>
      <w:tr w14:paraId="78FD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439" w:type="pct"/>
            <w:vMerge w:val="restart"/>
            <w:shd w:val="clear" w:color="auto" w:fill="auto"/>
            <w:noWrap/>
            <w:vAlign w:val="center"/>
          </w:tcPr>
          <w:p w14:paraId="75B8889A">
            <w:pPr>
              <w:widowControl/>
              <w:jc w:val="center"/>
              <w:rPr>
                <w:rFonts w:ascii="宋体" w:hAnsi="宋体" w:cs="宋体"/>
                <w:kern w:val="0"/>
              </w:rPr>
            </w:pPr>
            <w:r>
              <w:rPr>
                <w:rFonts w:hint="eastAsia" w:ascii="宋体" w:hAnsi="宋体" w:cs="宋体"/>
                <w:kern w:val="0"/>
              </w:rPr>
              <w:t>9</w:t>
            </w:r>
          </w:p>
        </w:tc>
        <w:tc>
          <w:tcPr>
            <w:tcW w:w="577" w:type="pct"/>
            <w:vMerge w:val="restart"/>
            <w:shd w:val="clear" w:color="auto" w:fill="auto"/>
            <w:noWrap/>
            <w:vAlign w:val="center"/>
          </w:tcPr>
          <w:p w14:paraId="3EE9A7EC">
            <w:pPr>
              <w:widowControl/>
              <w:jc w:val="left"/>
              <w:rPr>
                <w:rFonts w:ascii="宋体" w:hAnsi="宋体" w:cs="宋体"/>
                <w:kern w:val="0"/>
              </w:rPr>
            </w:pPr>
            <w:r>
              <w:rPr>
                <w:rFonts w:hint="eastAsia" w:ascii="宋体" w:hAnsi="宋体" w:cs="宋体"/>
                <w:kern w:val="0"/>
              </w:rPr>
              <w:t>　</w:t>
            </w:r>
          </w:p>
          <w:p w14:paraId="4DB15D0D">
            <w:pPr>
              <w:widowControl/>
              <w:jc w:val="center"/>
              <w:rPr>
                <w:rFonts w:ascii="宋体" w:hAnsi="宋体" w:cs="宋体"/>
                <w:kern w:val="0"/>
              </w:rPr>
            </w:pPr>
            <w:r>
              <w:rPr>
                <w:rFonts w:hint="eastAsia" w:ascii="宋体" w:hAnsi="宋体" w:cs="宋体"/>
                <w:kern w:val="0"/>
              </w:rPr>
              <w:t>9</w:t>
            </w:r>
            <w:r>
              <w:rPr>
                <w:rFonts w:hint="eastAsia" w:ascii="宋体" w:hAnsi="宋体" w:cs="宋体"/>
                <w:kern w:val="0"/>
              </w:rPr>
              <w:br w:type="textWrapping"/>
            </w:r>
            <w:r>
              <w:rPr>
                <w:rFonts w:hint="eastAsia" w:ascii="宋体" w:hAnsi="宋体" w:cs="宋体"/>
                <w:kern w:val="0"/>
              </w:rPr>
              <w:t>转向系统</w:t>
            </w:r>
          </w:p>
        </w:tc>
        <w:tc>
          <w:tcPr>
            <w:tcW w:w="3187" w:type="pct"/>
            <w:shd w:val="clear" w:color="auto" w:fill="auto"/>
            <w:vAlign w:val="center"/>
          </w:tcPr>
          <w:p w14:paraId="20E4FB05">
            <w:pPr>
              <w:widowControl/>
              <w:rPr>
                <w:rFonts w:ascii="宋体" w:hAnsi="宋体" w:cs="宋体"/>
                <w:kern w:val="0"/>
              </w:rPr>
            </w:pPr>
            <w:r>
              <w:rPr>
                <w:rFonts w:hint="eastAsia" w:ascii="宋体" w:hAnsi="宋体" w:cs="宋体"/>
                <w:kern w:val="0"/>
              </w:rPr>
              <w:t>（1）转向系统应当转动灵活、操纵方便、无卡滞，在任意转向操作时不得与其他部件有干涉。</w:t>
            </w:r>
          </w:p>
        </w:tc>
        <w:tc>
          <w:tcPr>
            <w:tcW w:w="394" w:type="pct"/>
            <w:shd w:val="clear" w:color="auto" w:fill="auto"/>
            <w:noWrap/>
            <w:vAlign w:val="center"/>
          </w:tcPr>
          <w:p w14:paraId="3D2D7665">
            <w:pPr>
              <w:widowControl/>
              <w:jc w:val="center"/>
              <w:rPr>
                <w:rFonts w:ascii="宋体" w:hAnsi="宋体" w:cs="宋体"/>
                <w:kern w:val="0"/>
              </w:rPr>
            </w:pPr>
          </w:p>
        </w:tc>
        <w:tc>
          <w:tcPr>
            <w:tcW w:w="400" w:type="pct"/>
            <w:shd w:val="clear" w:color="auto" w:fill="auto"/>
            <w:noWrap/>
            <w:vAlign w:val="center"/>
          </w:tcPr>
          <w:p w14:paraId="2B3B3DD6">
            <w:pPr>
              <w:widowControl/>
              <w:jc w:val="center"/>
              <w:rPr>
                <w:rFonts w:ascii="宋体" w:hAnsi="宋体" w:cs="宋体"/>
                <w:kern w:val="0"/>
              </w:rPr>
            </w:pPr>
          </w:p>
        </w:tc>
      </w:tr>
      <w:tr w14:paraId="2CDA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439" w:type="pct"/>
            <w:vMerge w:val="continue"/>
            <w:shd w:val="clear" w:color="auto" w:fill="auto"/>
            <w:noWrap/>
            <w:vAlign w:val="center"/>
          </w:tcPr>
          <w:p w14:paraId="48267A80">
            <w:pPr>
              <w:widowControl/>
              <w:jc w:val="center"/>
              <w:rPr>
                <w:rFonts w:ascii="宋体" w:hAnsi="宋体" w:cs="宋体"/>
                <w:kern w:val="0"/>
              </w:rPr>
            </w:pPr>
          </w:p>
        </w:tc>
        <w:tc>
          <w:tcPr>
            <w:tcW w:w="577" w:type="pct"/>
            <w:vMerge w:val="continue"/>
            <w:shd w:val="clear" w:color="auto" w:fill="auto"/>
            <w:noWrap/>
            <w:vAlign w:val="center"/>
          </w:tcPr>
          <w:p w14:paraId="46603EEB">
            <w:pPr>
              <w:widowControl/>
              <w:jc w:val="left"/>
              <w:rPr>
                <w:rFonts w:ascii="宋体" w:hAnsi="宋体" w:cs="宋体"/>
                <w:kern w:val="0"/>
              </w:rPr>
            </w:pPr>
          </w:p>
        </w:tc>
        <w:tc>
          <w:tcPr>
            <w:tcW w:w="3187" w:type="pct"/>
            <w:shd w:val="clear" w:color="auto" w:fill="auto"/>
            <w:vAlign w:val="center"/>
          </w:tcPr>
          <w:p w14:paraId="67D6166A">
            <w:pPr>
              <w:widowControl/>
              <w:rPr>
                <w:rFonts w:ascii="宋体" w:hAnsi="宋体" w:cs="宋体"/>
                <w:kern w:val="0"/>
              </w:rPr>
            </w:pPr>
            <w:r>
              <w:rPr>
                <w:rFonts w:hint="eastAsia" w:ascii="宋体" w:hAnsi="宋体" w:cs="宋体"/>
                <w:kern w:val="0"/>
              </w:rPr>
              <w:t>（2）向前运行时，顺时针转动方向盘或者对转向控制装置的等同操作，应当使叉车右转，并且乘驾式叉车的控制装置应当被限制在叉车轮廓内。</w:t>
            </w:r>
          </w:p>
        </w:tc>
        <w:tc>
          <w:tcPr>
            <w:tcW w:w="394" w:type="pct"/>
            <w:shd w:val="clear" w:color="auto" w:fill="auto"/>
            <w:noWrap/>
            <w:vAlign w:val="center"/>
          </w:tcPr>
          <w:p w14:paraId="632069DA">
            <w:pPr>
              <w:widowControl/>
              <w:jc w:val="center"/>
              <w:rPr>
                <w:rFonts w:ascii="宋体" w:hAnsi="宋体" w:cs="宋体"/>
                <w:kern w:val="0"/>
              </w:rPr>
            </w:pPr>
          </w:p>
        </w:tc>
        <w:tc>
          <w:tcPr>
            <w:tcW w:w="400" w:type="pct"/>
            <w:shd w:val="clear" w:color="auto" w:fill="auto"/>
            <w:noWrap/>
            <w:vAlign w:val="center"/>
          </w:tcPr>
          <w:p w14:paraId="60A4BFD3">
            <w:pPr>
              <w:widowControl/>
              <w:jc w:val="center"/>
              <w:rPr>
                <w:rFonts w:ascii="宋体" w:hAnsi="宋体" w:cs="宋体"/>
                <w:kern w:val="0"/>
              </w:rPr>
            </w:pPr>
          </w:p>
        </w:tc>
      </w:tr>
      <w:tr w14:paraId="6593C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39" w:type="pct"/>
            <w:vMerge w:val="continue"/>
            <w:shd w:val="clear" w:color="auto" w:fill="auto"/>
            <w:noWrap/>
            <w:vAlign w:val="center"/>
          </w:tcPr>
          <w:p w14:paraId="036704E2">
            <w:pPr>
              <w:widowControl/>
              <w:jc w:val="center"/>
              <w:rPr>
                <w:rFonts w:ascii="宋体" w:hAnsi="宋体" w:cs="宋体"/>
                <w:kern w:val="0"/>
              </w:rPr>
            </w:pPr>
          </w:p>
        </w:tc>
        <w:tc>
          <w:tcPr>
            <w:tcW w:w="577" w:type="pct"/>
            <w:vMerge w:val="continue"/>
            <w:shd w:val="clear" w:color="auto" w:fill="auto"/>
            <w:noWrap/>
            <w:vAlign w:val="center"/>
          </w:tcPr>
          <w:p w14:paraId="2D174618">
            <w:pPr>
              <w:widowControl/>
              <w:jc w:val="left"/>
              <w:rPr>
                <w:rFonts w:ascii="宋体" w:hAnsi="宋体" w:cs="宋体"/>
                <w:kern w:val="0"/>
              </w:rPr>
            </w:pPr>
          </w:p>
        </w:tc>
        <w:tc>
          <w:tcPr>
            <w:tcW w:w="3187" w:type="pct"/>
            <w:shd w:val="clear" w:color="auto" w:fill="auto"/>
            <w:vAlign w:val="center"/>
          </w:tcPr>
          <w:p w14:paraId="0A663FDD">
            <w:pPr>
              <w:widowControl/>
              <w:rPr>
                <w:rFonts w:ascii="宋体" w:hAnsi="宋体" w:cs="宋体"/>
                <w:kern w:val="0"/>
              </w:rPr>
            </w:pPr>
            <w:r>
              <w:rPr>
                <w:rFonts w:hint="eastAsia" w:ascii="宋体" w:hAnsi="宋体" w:cs="宋体"/>
                <w:kern w:val="0"/>
              </w:rPr>
              <w:t>（3）转向装置中的转向节臂，转向横、直拉杆无裂纹、损伤，球销无松旷，转向油缸无泄漏油现象。</w:t>
            </w:r>
          </w:p>
        </w:tc>
        <w:tc>
          <w:tcPr>
            <w:tcW w:w="394" w:type="pct"/>
            <w:shd w:val="clear" w:color="auto" w:fill="auto"/>
            <w:noWrap/>
            <w:vAlign w:val="center"/>
          </w:tcPr>
          <w:p w14:paraId="325DA5A9">
            <w:pPr>
              <w:widowControl/>
              <w:jc w:val="center"/>
              <w:rPr>
                <w:rFonts w:ascii="宋体" w:hAnsi="宋体" w:cs="宋体"/>
                <w:kern w:val="0"/>
              </w:rPr>
            </w:pPr>
          </w:p>
        </w:tc>
        <w:tc>
          <w:tcPr>
            <w:tcW w:w="400" w:type="pct"/>
            <w:shd w:val="clear" w:color="auto" w:fill="auto"/>
            <w:noWrap/>
            <w:vAlign w:val="center"/>
          </w:tcPr>
          <w:p w14:paraId="77D718F8">
            <w:pPr>
              <w:widowControl/>
              <w:jc w:val="center"/>
              <w:rPr>
                <w:rFonts w:ascii="宋体" w:hAnsi="宋体" w:cs="宋体"/>
                <w:kern w:val="0"/>
              </w:rPr>
            </w:pPr>
          </w:p>
        </w:tc>
      </w:tr>
      <w:tr w14:paraId="09972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restart"/>
            <w:shd w:val="clear" w:color="auto" w:fill="auto"/>
            <w:noWrap/>
            <w:vAlign w:val="center"/>
          </w:tcPr>
          <w:p w14:paraId="2738A849">
            <w:pPr>
              <w:widowControl/>
              <w:jc w:val="center"/>
              <w:rPr>
                <w:rFonts w:ascii="宋体" w:hAnsi="宋体" w:cs="宋体"/>
                <w:kern w:val="0"/>
              </w:rPr>
            </w:pPr>
            <w:r>
              <w:rPr>
                <w:rFonts w:hint="eastAsia" w:ascii="宋体" w:hAnsi="宋体" w:cs="宋体"/>
                <w:kern w:val="0"/>
              </w:rPr>
              <w:t>10</w:t>
            </w:r>
          </w:p>
        </w:tc>
        <w:tc>
          <w:tcPr>
            <w:tcW w:w="577" w:type="pct"/>
            <w:vMerge w:val="restart"/>
            <w:shd w:val="clear" w:color="auto" w:fill="auto"/>
            <w:vAlign w:val="center"/>
          </w:tcPr>
          <w:p w14:paraId="4705E601">
            <w:pPr>
              <w:widowControl/>
              <w:jc w:val="center"/>
              <w:rPr>
                <w:rFonts w:ascii="宋体" w:hAnsi="宋体" w:cs="宋体"/>
                <w:kern w:val="0"/>
              </w:rPr>
            </w:pPr>
            <w:r>
              <w:rPr>
                <w:rFonts w:hint="eastAsia" w:ascii="宋体" w:hAnsi="宋体" w:cs="宋体"/>
                <w:kern w:val="0"/>
              </w:rPr>
              <w:t>10</w:t>
            </w:r>
            <w:r>
              <w:rPr>
                <w:rFonts w:hint="eastAsia" w:ascii="宋体" w:hAnsi="宋体" w:cs="宋体"/>
                <w:kern w:val="0"/>
              </w:rPr>
              <w:br w:type="textWrapping"/>
            </w:r>
            <w:r>
              <w:rPr>
                <w:rFonts w:hint="eastAsia" w:ascii="宋体" w:hAnsi="宋体" w:cs="宋体"/>
                <w:kern w:val="0"/>
              </w:rPr>
              <w:t>液压系统</w:t>
            </w:r>
          </w:p>
        </w:tc>
        <w:tc>
          <w:tcPr>
            <w:tcW w:w="3187" w:type="pct"/>
            <w:shd w:val="clear" w:color="auto" w:fill="auto"/>
            <w:vAlign w:val="center"/>
          </w:tcPr>
          <w:p w14:paraId="43826020">
            <w:pPr>
              <w:widowControl/>
              <w:rPr>
                <w:rFonts w:ascii="宋体" w:hAnsi="宋体" w:cs="宋体"/>
                <w:kern w:val="0"/>
              </w:rPr>
            </w:pPr>
            <w:r>
              <w:rPr>
                <w:rFonts w:hint="eastAsia" w:ascii="宋体" w:hAnsi="宋体" w:cs="宋体"/>
                <w:kern w:val="0"/>
              </w:rPr>
              <w:t>（1）液压管路布置与其他运动机件应当无相互干涉。</w:t>
            </w:r>
          </w:p>
        </w:tc>
        <w:tc>
          <w:tcPr>
            <w:tcW w:w="394" w:type="pct"/>
            <w:shd w:val="clear" w:color="auto" w:fill="auto"/>
            <w:noWrap/>
            <w:vAlign w:val="center"/>
          </w:tcPr>
          <w:p w14:paraId="14B38DB4">
            <w:pPr>
              <w:widowControl/>
              <w:jc w:val="center"/>
              <w:rPr>
                <w:rFonts w:ascii="宋体" w:hAnsi="宋体" w:cs="宋体"/>
                <w:kern w:val="0"/>
              </w:rPr>
            </w:pPr>
          </w:p>
        </w:tc>
        <w:tc>
          <w:tcPr>
            <w:tcW w:w="400" w:type="pct"/>
            <w:shd w:val="clear" w:color="auto" w:fill="auto"/>
            <w:noWrap/>
            <w:vAlign w:val="center"/>
          </w:tcPr>
          <w:p w14:paraId="617B4958">
            <w:pPr>
              <w:widowControl/>
              <w:jc w:val="center"/>
              <w:rPr>
                <w:rFonts w:ascii="宋体" w:hAnsi="宋体" w:cs="宋体"/>
                <w:kern w:val="0"/>
              </w:rPr>
            </w:pPr>
          </w:p>
        </w:tc>
      </w:tr>
      <w:tr w14:paraId="4575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9" w:type="pct"/>
            <w:vMerge w:val="continue"/>
            <w:shd w:val="clear" w:color="auto" w:fill="auto"/>
            <w:noWrap/>
            <w:vAlign w:val="center"/>
          </w:tcPr>
          <w:p w14:paraId="2D2E38F4">
            <w:pPr>
              <w:widowControl/>
              <w:jc w:val="center"/>
              <w:rPr>
                <w:rFonts w:ascii="宋体" w:hAnsi="宋体" w:cs="宋体"/>
                <w:kern w:val="0"/>
              </w:rPr>
            </w:pPr>
          </w:p>
        </w:tc>
        <w:tc>
          <w:tcPr>
            <w:tcW w:w="577" w:type="pct"/>
            <w:vMerge w:val="continue"/>
            <w:shd w:val="clear" w:color="auto" w:fill="auto"/>
            <w:vAlign w:val="center"/>
          </w:tcPr>
          <w:p w14:paraId="2DC99C0D">
            <w:pPr>
              <w:widowControl/>
              <w:jc w:val="center"/>
              <w:rPr>
                <w:rFonts w:ascii="宋体" w:hAnsi="宋体" w:cs="宋体"/>
                <w:kern w:val="0"/>
              </w:rPr>
            </w:pPr>
          </w:p>
        </w:tc>
        <w:tc>
          <w:tcPr>
            <w:tcW w:w="3187" w:type="pct"/>
            <w:shd w:val="clear" w:color="auto" w:fill="auto"/>
            <w:vAlign w:val="center"/>
          </w:tcPr>
          <w:p w14:paraId="1A446DE3">
            <w:pPr>
              <w:widowControl/>
              <w:rPr>
                <w:rFonts w:ascii="宋体" w:hAnsi="宋体" w:cs="宋体"/>
                <w:kern w:val="0"/>
              </w:rPr>
            </w:pPr>
            <w:r>
              <w:rPr>
                <w:rFonts w:hint="eastAsia" w:ascii="宋体" w:hAnsi="宋体" w:cs="宋体"/>
                <w:kern w:val="0"/>
              </w:rPr>
              <w:t>（2）液压系统固定接口应当无渗油，运动接口应当无漏油，各部位应当无泄漏现象。</w:t>
            </w:r>
          </w:p>
        </w:tc>
        <w:tc>
          <w:tcPr>
            <w:tcW w:w="394" w:type="pct"/>
            <w:shd w:val="clear" w:color="auto" w:fill="auto"/>
            <w:noWrap/>
            <w:vAlign w:val="center"/>
          </w:tcPr>
          <w:p w14:paraId="2A3D8F87">
            <w:pPr>
              <w:widowControl/>
              <w:jc w:val="center"/>
              <w:rPr>
                <w:rFonts w:ascii="宋体" w:hAnsi="宋体" w:cs="宋体"/>
                <w:kern w:val="0"/>
              </w:rPr>
            </w:pPr>
          </w:p>
        </w:tc>
        <w:tc>
          <w:tcPr>
            <w:tcW w:w="400" w:type="pct"/>
            <w:shd w:val="clear" w:color="auto" w:fill="auto"/>
            <w:noWrap/>
            <w:vAlign w:val="center"/>
          </w:tcPr>
          <w:p w14:paraId="7E245910">
            <w:pPr>
              <w:widowControl/>
              <w:jc w:val="center"/>
              <w:rPr>
                <w:rFonts w:ascii="宋体" w:hAnsi="宋体" w:cs="宋体"/>
                <w:kern w:val="0"/>
              </w:rPr>
            </w:pPr>
          </w:p>
        </w:tc>
      </w:tr>
      <w:tr w14:paraId="1CC1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restart"/>
            <w:shd w:val="clear" w:color="auto" w:fill="auto"/>
            <w:noWrap/>
            <w:vAlign w:val="center"/>
          </w:tcPr>
          <w:p w14:paraId="2ED4D6B5">
            <w:pPr>
              <w:widowControl/>
              <w:jc w:val="center"/>
              <w:rPr>
                <w:rFonts w:ascii="宋体" w:hAnsi="宋体" w:cs="宋体"/>
                <w:kern w:val="0"/>
              </w:rPr>
            </w:pPr>
            <w:r>
              <w:rPr>
                <w:rFonts w:hint="eastAsia" w:ascii="宋体" w:hAnsi="宋体" w:cs="宋体"/>
                <w:kern w:val="0"/>
              </w:rPr>
              <w:t>11</w:t>
            </w:r>
          </w:p>
        </w:tc>
        <w:tc>
          <w:tcPr>
            <w:tcW w:w="577" w:type="pct"/>
            <w:vMerge w:val="restart"/>
            <w:shd w:val="clear" w:color="auto" w:fill="auto"/>
            <w:vAlign w:val="center"/>
          </w:tcPr>
          <w:p w14:paraId="2EB65C24">
            <w:pPr>
              <w:widowControl/>
              <w:jc w:val="center"/>
              <w:rPr>
                <w:rFonts w:ascii="宋体" w:hAnsi="宋体" w:cs="宋体"/>
                <w:kern w:val="0"/>
              </w:rPr>
            </w:pPr>
            <w:r>
              <w:rPr>
                <w:rFonts w:hint="eastAsia" w:ascii="宋体" w:hAnsi="宋体" w:cs="宋体"/>
                <w:kern w:val="0"/>
              </w:rPr>
              <w:t>11</w:t>
            </w:r>
            <w:r>
              <w:rPr>
                <w:rFonts w:hint="eastAsia" w:ascii="宋体" w:hAnsi="宋体" w:cs="宋体"/>
                <w:kern w:val="0"/>
              </w:rPr>
              <w:br w:type="textWrapping"/>
            </w:r>
            <w:r>
              <w:rPr>
                <w:rFonts w:hint="eastAsia" w:ascii="宋体" w:hAnsi="宋体" w:cs="宋体"/>
                <w:kern w:val="0"/>
              </w:rPr>
              <w:t>制动系统</w:t>
            </w:r>
          </w:p>
        </w:tc>
        <w:tc>
          <w:tcPr>
            <w:tcW w:w="3187" w:type="pct"/>
            <w:shd w:val="clear" w:color="auto" w:fill="auto"/>
            <w:vAlign w:val="center"/>
          </w:tcPr>
          <w:p w14:paraId="3B9B938D">
            <w:pPr>
              <w:widowControl/>
              <w:rPr>
                <w:rFonts w:ascii="宋体" w:hAnsi="宋体" w:cs="宋体"/>
                <w:kern w:val="0"/>
              </w:rPr>
            </w:pPr>
            <w:r>
              <w:rPr>
                <w:rFonts w:hint="eastAsia" w:ascii="宋体" w:hAnsi="宋体" w:cs="宋体"/>
                <w:kern w:val="0"/>
              </w:rPr>
              <w:t>（1）设置行车和驻车的制动系统或装置，并且有效。</w:t>
            </w:r>
          </w:p>
        </w:tc>
        <w:tc>
          <w:tcPr>
            <w:tcW w:w="394" w:type="pct"/>
            <w:shd w:val="clear" w:color="auto" w:fill="auto"/>
            <w:noWrap/>
            <w:vAlign w:val="center"/>
          </w:tcPr>
          <w:p w14:paraId="700271B8">
            <w:pPr>
              <w:widowControl/>
              <w:jc w:val="center"/>
              <w:rPr>
                <w:rFonts w:ascii="宋体" w:hAnsi="宋体" w:cs="宋体"/>
                <w:kern w:val="0"/>
              </w:rPr>
            </w:pPr>
          </w:p>
        </w:tc>
        <w:tc>
          <w:tcPr>
            <w:tcW w:w="400" w:type="pct"/>
            <w:shd w:val="clear" w:color="auto" w:fill="auto"/>
            <w:noWrap/>
            <w:vAlign w:val="center"/>
          </w:tcPr>
          <w:p w14:paraId="7A4EF351">
            <w:pPr>
              <w:widowControl/>
              <w:jc w:val="center"/>
              <w:rPr>
                <w:rFonts w:ascii="宋体" w:hAnsi="宋体" w:cs="宋体"/>
                <w:kern w:val="0"/>
              </w:rPr>
            </w:pPr>
          </w:p>
        </w:tc>
      </w:tr>
      <w:tr w14:paraId="48D7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439" w:type="pct"/>
            <w:vMerge w:val="continue"/>
            <w:shd w:val="clear" w:color="auto" w:fill="auto"/>
            <w:noWrap/>
            <w:vAlign w:val="center"/>
          </w:tcPr>
          <w:p w14:paraId="07BF8953">
            <w:pPr>
              <w:widowControl/>
              <w:jc w:val="center"/>
              <w:rPr>
                <w:rFonts w:ascii="宋体" w:hAnsi="宋体" w:cs="宋体"/>
                <w:kern w:val="0"/>
              </w:rPr>
            </w:pPr>
          </w:p>
        </w:tc>
        <w:tc>
          <w:tcPr>
            <w:tcW w:w="577" w:type="pct"/>
            <w:vMerge w:val="continue"/>
            <w:shd w:val="clear" w:color="auto" w:fill="auto"/>
            <w:vAlign w:val="center"/>
          </w:tcPr>
          <w:p w14:paraId="7A3C3A6D">
            <w:pPr>
              <w:widowControl/>
              <w:jc w:val="center"/>
              <w:rPr>
                <w:rFonts w:ascii="宋体" w:hAnsi="宋体" w:cs="宋体"/>
                <w:kern w:val="0"/>
              </w:rPr>
            </w:pPr>
          </w:p>
        </w:tc>
        <w:tc>
          <w:tcPr>
            <w:tcW w:w="3187" w:type="pct"/>
            <w:shd w:val="clear" w:color="auto" w:fill="auto"/>
            <w:vAlign w:val="center"/>
          </w:tcPr>
          <w:p w14:paraId="462C19C6">
            <w:pPr>
              <w:widowControl/>
              <w:rPr>
                <w:rFonts w:ascii="宋体" w:hAnsi="宋体" w:cs="宋体"/>
                <w:kern w:val="0"/>
              </w:rPr>
            </w:pPr>
            <w:r>
              <w:rPr>
                <w:rFonts w:hint="eastAsia" w:ascii="宋体" w:hAnsi="宋体" w:cs="宋体"/>
                <w:kern w:val="0"/>
              </w:rPr>
              <w:t>（2）坐驾式叉车的行车制动与驻车制动系统应当由独立的装置进行操纵。</w:t>
            </w:r>
          </w:p>
        </w:tc>
        <w:tc>
          <w:tcPr>
            <w:tcW w:w="394" w:type="pct"/>
            <w:shd w:val="clear" w:color="auto" w:fill="auto"/>
            <w:noWrap/>
            <w:vAlign w:val="center"/>
          </w:tcPr>
          <w:p w14:paraId="7C678A2D">
            <w:pPr>
              <w:widowControl/>
              <w:jc w:val="center"/>
              <w:rPr>
                <w:rFonts w:ascii="宋体" w:hAnsi="宋体" w:cs="宋体"/>
                <w:kern w:val="0"/>
              </w:rPr>
            </w:pPr>
          </w:p>
        </w:tc>
        <w:tc>
          <w:tcPr>
            <w:tcW w:w="400" w:type="pct"/>
            <w:shd w:val="clear" w:color="auto" w:fill="auto"/>
            <w:noWrap/>
            <w:vAlign w:val="center"/>
          </w:tcPr>
          <w:p w14:paraId="0BDE26E1">
            <w:pPr>
              <w:widowControl/>
              <w:jc w:val="center"/>
              <w:rPr>
                <w:rFonts w:ascii="宋体" w:hAnsi="宋体" w:cs="宋体"/>
                <w:kern w:val="0"/>
              </w:rPr>
            </w:pPr>
          </w:p>
        </w:tc>
      </w:tr>
      <w:tr w14:paraId="27A3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05C1701E">
            <w:pPr>
              <w:widowControl/>
              <w:jc w:val="center"/>
              <w:rPr>
                <w:rFonts w:ascii="宋体" w:hAnsi="宋体" w:cs="宋体"/>
                <w:kern w:val="0"/>
              </w:rPr>
            </w:pPr>
          </w:p>
        </w:tc>
        <w:tc>
          <w:tcPr>
            <w:tcW w:w="577" w:type="pct"/>
            <w:vMerge w:val="continue"/>
            <w:shd w:val="clear" w:color="auto" w:fill="auto"/>
            <w:vAlign w:val="center"/>
          </w:tcPr>
          <w:p w14:paraId="08C1FBDF">
            <w:pPr>
              <w:widowControl/>
              <w:jc w:val="center"/>
              <w:rPr>
                <w:rFonts w:ascii="宋体" w:hAnsi="宋体" w:cs="宋体"/>
                <w:kern w:val="0"/>
              </w:rPr>
            </w:pPr>
          </w:p>
        </w:tc>
        <w:tc>
          <w:tcPr>
            <w:tcW w:w="3187" w:type="pct"/>
            <w:shd w:val="clear" w:color="auto" w:fill="auto"/>
            <w:vAlign w:val="center"/>
          </w:tcPr>
          <w:p w14:paraId="5DA31564">
            <w:pPr>
              <w:widowControl/>
              <w:rPr>
                <w:rFonts w:ascii="宋体" w:hAnsi="宋体" w:cs="宋体"/>
                <w:kern w:val="0"/>
              </w:rPr>
            </w:pPr>
            <w:r>
              <w:rPr>
                <w:rFonts w:hint="eastAsia" w:ascii="宋体" w:hAnsi="宋体" w:cs="宋体"/>
                <w:kern w:val="0"/>
              </w:rPr>
              <w:t>（3）站驾式和步驾式叉车应当带有一个制动装置，该装置应当自动闭合直到其被司机释放。</w:t>
            </w:r>
          </w:p>
        </w:tc>
        <w:tc>
          <w:tcPr>
            <w:tcW w:w="394" w:type="pct"/>
            <w:shd w:val="clear" w:color="auto" w:fill="auto"/>
            <w:noWrap/>
            <w:vAlign w:val="center"/>
          </w:tcPr>
          <w:p w14:paraId="74468C03">
            <w:pPr>
              <w:widowControl/>
              <w:jc w:val="center"/>
              <w:rPr>
                <w:rFonts w:ascii="宋体" w:hAnsi="宋体" w:cs="宋体"/>
                <w:kern w:val="0"/>
              </w:rPr>
            </w:pPr>
          </w:p>
        </w:tc>
        <w:tc>
          <w:tcPr>
            <w:tcW w:w="400" w:type="pct"/>
            <w:shd w:val="clear" w:color="auto" w:fill="auto"/>
            <w:noWrap/>
            <w:vAlign w:val="center"/>
          </w:tcPr>
          <w:p w14:paraId="4CD26BFC">
            <w:pPr>
              <w:widowControl/>
              <w:jc w:val="center"/>
              <w:rPr>
                <w:rFonts w:ascii="宋体" w:hAnsi="宋体" w:cs="宋体"/>
                <w:kern w:val="0"/>
              </w:rPr>
            </w:pPr>
          </w:p>
        </w:tc>
      </w:tr>
      <w:tr w14:paraId="0E13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9" w:type="pct"/>
            <w:vMerge w:val="continue"/>
            <w:shd w:val="clear" w:color="auto" w:fill="auto"/>
            <w:noWrap/>
            <w:vAlign w:val="center"/>
          </w:tcPr>
          <w:p w14:paraId="2797EFFE">
            <w:pPr>
              <w:widowControl/>
              <w:jc w:val="center"/>
              <w:rPr>
                <w:rFonts w:ascii="宋体" w:hAnsi="宋体" w:cs="宋体"/>
                <w:kern w:val="0"/>
              </w:rPr>
            </w:pPr>
          </w:p>
        </w:tc>
        <w:tc>
          <w:tcPr>
            <w:tcW w:w="577" w:type="pct"/>
            <w:vMerge w:val="continue"/>
            <w:shd w:val="clear" w:color="auto" w:fill="auto"/>
            <w:vAlign w:val="center"/>
          </w:tcPr>
          <w:p w14:paraId="5BBECF1F">
            <w:pPr>
              <w:widowControl/>
              <w:jc w:val="center"/>
              <w:rPr>
                <w:rFonts w:ascii="宋体" w:hAnsi="宋体" w:cs="宋体"/>
                <w:kern w:val="0"/>
              </w:rPr>
            </w:pPr>
          </w:p>
        </w:tc>
        <w:tc>
          <w:tcPr>
            <w:tcW w:w="3187" w:type="pct"/>
            <w:shd w:val="clear" w:color="auto" w:fill="auto"/>
            <w:vAlign w:val="center"/>
          </w:tcPr>
          <w:p w14:paraId="55DED06C">
            <w:pPr>
              <w:widowControl/>
              <w:rPr>
                <w:rFonts w:ascii="宋体" w:hAnsi="宋体" w:cs="宋体"/>
                <w:kern w:val="0"/>
              </w:rPr>
            </w:pPr>
            <w:r>
              <w:rPr>
                <w:rFonts w:hint="eastAsia" w:ascii="宋体" w:hAnsi="宋体" w:cs="宋体"/>
                <w:kern w:val="0"/>
              </w:rPr>
              <w:t>（4）驻车制动系统应当通过纯机械装置把工作部件锁止，手柄操纵的驻车制动控制装置应当有防止意外释放的功能。</w:t>
            </w:r>
          </w:p>
        </w:tc>
        <w:tc>
          <w:tcPr>
            <w:tcW w:w="394" w:type="pct"/>
            <w:shd w:val="clear" w:color="auto" w:fill="auto"/>
            <w:noWrap/>
            <w:vAlign w:val="center"/>
          </w:tcPr>
          <w:p w14:paraId="2C777D09">
            <w:pPr>
              <w:widowControl/>
              <w:jc w:val="center"/>
              <w:rPr>
                <w:rFonts w:ascii="宋体" w:hAnsi="宋体" w:cs="宋体"/>
                <w:kern w:val="0"/>
              </w:rPr>
            </w:pPr>
          </w:p>
        </w:tc>
        <w:tc>
          <w:tcPr>
            <w:tcW w:w="400" w:type="pct"/>
            <w:shd w:val="clear" w:color="auto" w:fill="auto"/>
            <w:noWrap/>
            <w:vAlign w:val="center"/>
          </w:tcPr>
          <w:p w14:paraId="7788360C">
            <w:pPr>
              <w:widowControl/>
              <w:jc w:val="center"/>
              <w:rPr>
                <w:rFonts w:ascii="宋体" w:hAnsi="宋体" w:cs="宋体"/>
                <w:kern w:val="0"/>
              </w:rPr>
            </w:pPr>
          </w:p>
        </w:tc>
      </w:tr>
      <w:tr w14:paraId="3EBF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39" w:type="pct"/>
            <w:vMerge w:val="restart"/>
            <w:shd w:val="clear" w:color="auto" w:fill="auto"/>
            <w:noWrap/>
            <w:vAlign w:val="center"/>
          </w:tcPr>
          <w:p w14:paraId="559F33AE">
            <w:pPr>
              <w:widowControl/>
              <w:jc w:val="center"/>
              <w:rPr>
                <w:rFonts w:ascii="宋体" w:hAnsi="宋体" w:cs="宋体"/>
                <w:kern w:val="0"/>
              </w:rPr>
            </w:pPr>
            <w:r>
              <w:rPr>
                <w:rFonts w:hint="eastAsia" w:ascii="宋体" w:hAnsi="宋体" w:cs="宋体"/>
                <w:kern w:val="0"/>
              </w:rPr>
              <w:t>12</w:t>
            </w:r>
          </w:p>
        </w:tc>
        <w:tc>
          <w:tcPr>
            <w:tcW w:w="577" w:type="pct"/>
            <w:vMerge w:val="restart"/>
            <w:shd w:val="clear" w:color="auto" w:fill="auto"/>
            <w:vAlign w:val="center"/>
          </w:tcPr>
          <w:p w14:paraId="359D4AA5">
            <w:pPr>
              <w:widowControl/>
              <w:jc w:val="center"/>
              <w:rPr>
                <w:rFonts w:ascii="宋体" w:hAnsi="宋体" w:cs="宋体"/>
                <w:kern w:val="0"/>
              </w:rPr>
            </w:pPr>
            <w:r>
              <w:rPr>
                <w:rFonts w:hint="eastAsia" w:ascii="宋体" w:hAnsi="宋体" w:cs="宋体"/>
                <w:kern w:val="0"/>
              </w:rPr>
              <w:t>12</w:t>
            </w:r>
            <w:r>
              <w:rPr>
                <w:rFonts w:hint="eastAsia" w:ascii="宋体" w:hAnsi="宋体" w:cs="宋体"/>
                <w:kern w:val="0"/>
              </w:rPr>
              <w:br w:type="textWrapping"/>
            </w:r>
            <w:r>
              <w:rPr>
                <w:rFonts w:hint="eastAsia" w:ascii="宋体" w:hAnsi="宋体" w:cs="宋体"/>
                <w:kern w:val="0"/>
              </w:rPr>
              <w:t>电气和控</w:t>
            </w:r>
            <w:r>
              <w:rPr>
                <w:rFonts w:hint="eastAsia" w:ascii="宋体" w:hAnsi="宋体" w:cs="宋体"/>
                <w:kern w:val="0"/>
              </w:rPr>
              <w:br w:type="textWrapping"/>
            </w:r>
            <w:r>
              <w:rPr>
                <w:rFonts w:hint="eastAsia" w:ascii="宋体" w:hAnsi="宋体" w:cs="宋体"/>
                <w:kern w:val="0"/>
              </w:rPr>
              <w:t>制系统</w:t>
            </w:r>
          </w:p>
        </w:tc>
        <w:tc>
          <w:tcPr>
            <w:tcW w:w="3187" w:type="pct"/>
            <w:shd w:val="clear" w:color="auto" w:fill="auto"/>
            <w:vAlign w:val="center"/>
          </w:tcPr>
          <w:p w14:paraId="2E556B59">
            <w:pPr>
              <w:widowControl/>
              <w:rPr>
                <w:rFonts w:ascii="宋体" w:hAnsi="宋体" w:cs="宋体"/>
                <w:kern w:val="0"/>
              </w:rPr>
            </w:pPr>
            <w:r>
              <w:rPr>
                <w:rFonts w:hint="eastAsia" w:ascii="宋体" w:hAnsi="宋体" w:cs="宋体"/>
                <w:kern w:val="0"/>
              </w:rPr>
              <w:t>（1）启动应当设置开关装置，需要用钥匙、密码或者磁卡等才能启动。</w:t>
            </w:r>
          </w:p>
        </w:tc>
        <w:tc>
          <w:tcPr>
            <w:tcW w:w="394" w:type="pct"/>
            <w:shd w:val="clear" w:color="auto" w:fill="auto"/>
            <w:noWrap/>
            <w:vAlign w:val="center"/>
          </w:tcPr>
          <w:p w14:paraId="009DC35B">
            <w:pPr>
              <w:widowControl/>
              <w:jc w:val="center"/>
              <w:rPr>
                <w:rFonts w:ascii="宋体" w:hAnsi="宋体" w:cs="宋体"/>
                <w:kern w:val="0"/>
              </w:rPr>
            </w:pPr>
          </w:p>
        </w:tc>
        <w:tc>
          <w:tcPr>
            <w:tcW w:w="400" w:type="pct"/>
            <w:shd w:val="clear" w:color="auto" w:fill="auto"/>
            <w:noWrap/>
            <w:vAlign w:val="center"/>
          </w:tcPr>
          <w:p w14:paraId="3C343D82">
            <w:pPr>
              <w:widowControl/>
              <w:jc w:val="center"/>
              <w:rPr>
                <w:rFonts w:ascii="宋体" w:hAnsi="宋体" w:cs="宋体"/>
                <w:kern w:val="0"/>
              </w:rPr>
            </w:pPr>
          </w:p>
        </w:tc>
      </w:tr>
      <w:tr w14:paraId="3422C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23075AD1">
            <w:pPr>
              <w:widowControl/>
              <w:jc w:val="center"/>
              <w:rPr>
                <w:rFonts w:ascii="宋体" w:hAnsi="宋体" w:cs="宋体"/>
                <w:kern w:val="0"/>
              </w:rPr>
            </w:pPr>
          </w:p>
        </w:tc>
        <w:tc>
          <w:tcPr>
            <w:tcW w:w="577" w:type="pct"/>
            <w:vMerge w:val="continue"/>
            <w:vAlign w:val="center"/>
          </w:tcPr>
          <w:p w14:paraId="015C62BC">
            <w:pPr>
              <w:widowControl/>
              <w:jc w:val="left"/>
              <w:rPr>
                <w:rFonts w:ascii="宋体" w:hAnsi="宋体" w:cs="宋体"/>
                <w:kern w:val="0"/>
              </w:rPr>
            </w:pPr>
          </w:p>
        </w:tc>
        <w:tc>
          <w:tcPr>
            <w:tcW w:w="3187" w:type="pct"/>
            <w:shd w:val="clear" w:color="auto" w:fill="auto"/>
            <w:vAlign w:val="center"/>
          </w:tcPr>
          <w:p w14:paraId="051D2CF3">
            <w:pPr>
              <w:widowControl/>
              <w:rPr>
                <w:rFonts w:ascii="宋体" w:hAnsi="宋体" w:cs="宋体"/>
                <w:kern w:val="0"/>
              </w:rPr>
            </w:pPr>
            <w:r>
              <w:rPr>
                <w:rFonts w:hint="eastAsia" w:ascii="宋体" w:hAnsi="宋体" w:cs="宋体"/>
                <w:kern w:val="0"/>
              </w:rPr>
              <w:t>（2）电动叉车的电气系统应当采用双线制。</w:t>
            </w:r>
          </w:p>
        </w:tc>
        <w:tc>
          <w:tcPr>
            <w:tcW w:w="394" w:type="pct"/>
            <w:shd w:val="clear" w:color="auto" w:fill="auto"/>
            <w:noWrap/>
            <w:vAlign w:val="center"/>
          </w:tcPr>
          <w:p w14:paraId="536EF927">
            <w:pPr>
              <w:widowControl/>
              <w:jc w:val="center"/>
              <w:rPr>
                <w:rFonts w:ascii="宋体" w:hAnsi="宋体" w:cs="宋体"/>
                <w:kern w:val="0"/>
              </w:rPr>
            </w:pPr>
          </w:p>
        </w:tc>
        <w:tc>
          <w:tcPr>
            <w:tcW w:w="400" w:type="pct"/>
            <w:shd w:val="clear" w:color="auto" w:fill="auto"/>
            <w:noWrap/>
            <w:vAlign w:val="center"/>
          </w:tcPr>
          <w:p w14:paraId="0FD44AC2">
            <w:pPr>
              <w:widowControl/>
              <w:jc w:val="center"/>
              <w:rPr>
                <w:rFonts w:ascii="宋体" w:hAnsi="宋体" w:cs="宋体"/>
                <w:kern w:val="0"/>
              </w:rPr>
            </w:pPr>
          </w:p>
        </w:tc>
      </w:tr>
      <w:tr w14:paraId="1FB7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39" w:type="pct"/>
            <w:vMerge w:val="continue"/>
            <w:shd w:val="clear" w:color="auto" w:fill="auto"/>
            <w:noWrap/>
            <w:vAlign w:val="center"/>
          </w:tcPr>
          <w:p w14:paraId="35F3556C">
            <w:pPr>
              <w:widowControl/>
              <w:jc w:val="center"/>
              <w:rPr>
                <w:rFonts w:ascii="宋体" w:hAnsi="宋体" w:cs="宋体"/>
                <w:kern w:val="0"/>
              </w:rPr>
            </w:pPr>
          </w:p>
        </w:tc>
        <w:tc>
          <w:tcPr>
            <w:tcW w:w="577" w:type="pct"/>
            <w:vMerge w:val="continue"/>
            <w:vAlign w:val="center"/>
          </w:tcPr>
          <w:p w14:paraId="5992EFF2">
            <w:pPr>
              <w:widowControl/>
              <w:jc w:val="left"/>
              <w:rPr>
                <w:rFonts w:ascii="宋体" w:hAnsi="宋体" w:cs="宋体"/>
                <w:kern w:val="0"/>
              </w:rPr>
            </w:pPr>
          </w:p>
        </w:tc>
        <w:tc>
          <w:tcPr>
            <w:tcW w:w="3187" w:type="pct"/>
            <w:shd w:val="clear" w:color="auto" w:fill="auto"/>
            <w:vAlign w:val="center"/>
          </w:tcPr>
          <w:p w14:paraId="44680AF4">
            <w:pPr>
              <w:widowControl/>
              <w:rPr>
                <w:rFonts w:ascii="宋体" w:hAnsi="宋体" w:cs="宋体"/>
                <w:kern w:val="0"/>
              </w:rPr>
            </w:pPr>
            <w:r>
              <w:rPr>
                <w:rFonts w:hint="eastAsia" w:ascii="宋体" w:hAnsi="宋体" w:cs="宋体"/>
                <w:kern w:val="0"/>
              </w:rPr>
              <w:t>（3）坐驾式平衡重式叉车和侧面式叉车应当设置前照灯、制动灯、转向灯等照明和信号装置，照明和信号装置应当功能完好。</w:t>
            </w:r>
          </w:p>
        </w:tc>
        <w:tc>
          <w:tcPr>
            <w:tcW w:w="394" w:type="pct"/>
            <w:shd w:val="clear" w:color="auto" w:fill="auto"/>
            <w:noWrap/>
            <w:vAlign w:val="center"/>
          </w:tcPr>
          <w:p w14:paraId="7442EF10">
            <w:pPr>
              <w:widowControl/>
              <w:jc w:val="center"/>
              <w:rPr>
                <w:rFonts w:ascii="宋体" w:hAnsi="宋体" w:cs="宋体"/>
                <w:kern w:val="0"/>
              </w:rPr>
            </w:pPr>
          </w:p>
        </w:tc>
        <w:tc>
          <w:tcPr>
            <w:tcW w:w="400" w:type="pct"/>
            <w:shd w:val="clear" w:color="auto" w:fill="auto"/>
            <w:noWrap/>
            <w:vAlign w:val="center"/>
          </w:tcPr>
          <w:p w14:paraId="2D1C8CEE">
            <w:pPr>
              <w:widowControl/>
              <w:jc w:val="center"/>
              <w:rPr>
                <w:rFonts w:ascii="宋体" w:hAnsi="宋体" w:cs="宋体"/>
                <w:kern w:val="0"/>
              </w:rPr>
            </w:pPr>
          </w:p>
        </w:tc>
      </w:tr>
      <w:tr w14:paraId="0C26D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439" w:type="pct"/>
            <w:vMerge w:val="continue"/>
            <w:shd w:val="clear" w:color="auto" w:fill="auto"/>
            <w:noWrap/>
            <w:vAlign w:val="center"/>
          </w:tcPr>
          <w:p w14:paraId="76CAD896">
            <w:pPr>
              <w:widowControl/>
              <w:jc w:val="center"/>
              <w:rPr>
                <w:rFonts w:ascii="宋体" w:hAnsi="宋体" w:cs="宋体"/>
                <w:kern w:val="0"/>
              </w:rPr>
            </w:pPr>
          </w:p>
        </w:tc>
        <w:tc>
          <w:tcPr>
            <w:tcW w:w="577" w:type="pct"/>
            <w:vMerge w:val="continue"/>
            <w:vAlign w:val="center"/>
          </w:tcPr>
          <w:p w14:paraId="601899DC">
            <w:pPr>
              <w:widowControl/>
              <w:jc w:val="left"/>
              <w:rPr>
                <w:rFonts w:ascii="宋体" w:hAnsi="宋体" w:cs="宋体"/>
                <w:kern w:val="0"/>
              </w:rPr>
            </w:pPr>
          </w:p>
        </w:tc>
        <w:tc>
          <w:tcPr>
            <w:tcW w:w="3187" w:type="pct"/>
            <w:shd w:val="clear" w:color="auto" w:fill="auto"/>
            <w:vAlign w:val="center"/>
          </w:tcPr>
          <w:p w14:paraId="15AE042D">
            <w:pPr>
              <w:widowControl/>
              <w:rPr>
                <w:rFonts w:ascii="宋体" w:hAnsi="宋体" w:cs="宋体"/>
                <w:kern w:val="0"/>
              </w:rPr>
            </w:pPr>
            <w:r>
              <w:rPr>
                <w:rFonts w:hint="eastAsia" w:ascii="宋体" w:hAnsi="宋体" w:cs="宋体"/>
                <w:kern w:val="0"/>
              </w:rPr>
              <w:t>（4）电动叉车应当设置非自动复位且能切断所有驱动部件电源的紧急断电开关。</w:t>
            </w:r>
          </w:p>
        </w:tc>
        <w:tc>
          <w:tcPr>
            <w:tcW w:w="394" w:type="pct"/>
            <w:shd w:val="clear" w:color="auto" w:fill="auto"/>
            <w:noWrap/>
            <w:vAlign w:val="center"/>
          </w:tcPr>
          <w:p w14:paraId="5D902FB1">
            <w:pPr>
              <w:widowControl/>
              <w:jc w:val="center"/>
              <w:rPr>
                <w:rFonts w:ascii="宋体" w:hAnsi="宋体" w:cs="宋体"/>
                <w:kern w:val="0"/>
              </w:rPr>
            </w:pPr>
          </w:p>
        </w:tc>
        <w:tc>
          <w:tcPr>
            <w:tcW w:w="400" w:type="pct"/>
            <w:shd w:val="clear" w:color="auto" w:fill="auto"/>
            <w:noWrap/>
            <w:vAlign w:val="center"/>
          </w:tcPr>
          <w:p w14:paraId="75491FD8">
            <w:pPr>
              <w:widowControl/>
              <w:jc w:val="center"/>
              <w:rPr>
                <w:rFonts w:ascii="宋体" w:hAnsi="宋体" w:cs="宋体"/>
                <w:kern w:val="0"/>
              </w:rPr>
            </w:pPr>
          </w:p>
        </w:tc>
      </w:tr>
      <w:tr w14:paraId="7CFF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7D76F9E0">
            <w:pPr>
              <w:widowControl/>
              <w:jc w:val="center"/>
              <w:rPr>
                <w:rFonts w:ascii="宋体" w:hAnsi="宋体" w:cs="宋体"/>
                <w:kern w:val="0"/>
              </w:rPr>
            </w:pPr>
          </w:p>
        </w:tc>
        <w:tc>
          <w:tcPr>
            <w:tcW w:w="577" w:type="pct"/>
            <w:vMerge w:val="continue"/>
            <w:vAlign w:val="center"/>
          </w:tcPr>
          <w:p w14:paraId="040B0571">
            <w:pPr>
              <w:widowControl/>
              <w:jc w:val="left"/>
              <w:rPr>
                <w:rFonts w:ascii="宋体" w:hAnsi="宋体" w:cs="宋体"/>
                <w:kern w:val="0"/>
              </w:rPr>
            </w:pPr>
          </w:p>
        </w:tc>
        <w:tc>
          <w:tcPr>
            <w:tcW w:w="3187" w:type="pct"/>
            <w:shd w:val="clear" w:color="auto" w:fill="auto"/>
            <w:vAlign w:val="center"/>
          </w:tcPr>
          <w:p w14:paraId="3B976A84">
            <w:pPr>
              <w:widowControl/>
              <w:rPr>
                <w:rFonts w:ascii="宋体" w:hAnsi="宋体" w:cs="宋体"/>
                <w:kern w:val="0"/>
              </w:rPr>
            </w:pPr>
            <w:r>
              <w:rPr>
                <w:rFonts w:hint="eastAsia" w:ascii="宋体" w:hAnsi="宋体" w:cs="宋体"/>
                <w:kern w:val="0"/>
              </w:rPr>
              <w:t>（5）动力源为蓄电池的叉车充电时，应当保证电源与车辆控制电路分离，车辆不能通过自身的驱动系统行驶。</w:t>
            </w:r>
          </w:p>
        </w:tc>
        <w:tc>
          <w:tcPr>
            <w:tcW w:w="394" w:type="pct"/>
            <w:shd w:val="clear" w:color="auto" w:fill="auto"/>
            <w:noWrap/>
            <w:vAlign w:val="center"/>
          </w:tcPr>
          <w:p w14:paraId="1BBA0D16">
            <w:pPr>
              <w:widowControl/>
              <w:jc w:val="center"/>
              <w:rPr>
                <w:rFonts w:ascii="宋体" w:hAnsi="宋体" w:cs="宋体"/>
                <w:kern w:val="0"/>
              </w:rPr>
            </w:pPr>
          </w:p>
        </w:tc>
        <w:tc>
          <w:tcPr>
            <w:tcW w:w="400" w:type="pct"/>
            <w:shd w:val="clear" w:color="auto" w:fill="auto"/>
            <w:noWrap/>
            <w:vAlign w:val="center"/>
          </w:tcPr>
          <w:p w14:paraId="0DC37317">
            <w:pPr>
              <w:widowControl/>
              <w:jc w:val="center"/>
              <w:rPr>
                <w:rFonts w:ascii="宋体" w:hAnsi="宋体" w:cs="宋体"/>
                <w:kern w:val="0"/>
              </w:rPr>
            </w:pPr>
          </w:p>
        </w:tc>
      </w:tr>
      <w:tr w14:paraId="4F8AA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72A0156B">
            <w:pPr>
              <w:widowControl/>
              <w:jc w:val="center"/>
              <w:rPr>
                <w:rFonts w:ascii="宋体" w:hAnsi="宋体" w:cs="宋体"/>
                <w:kern w:val="0"/>
              </w:rPr>
            </w:pPr>
          </w:p>
        </w:tc>
        <w:tc>
          <w:tcPr>
            <w:tcW w:w="577" w:type="pct"/>
            <w:vMerge w:val="continue"/>
            <w:vAlign w:val="center"/>
          </w:tcPr>
          <w:p w14:paraId="6D16A614">
            <w:pPr>
              <w:widowControl/>
              <w:jc w:val="left"/>
              <w:rPr>
                <w:rFonts w:ascii="宋体" w:hAnsi="宋体" w:cs="宋体"/>
                <w:kern w:val="0"/>
              </w:rPr>
            </w:pPr>
          </w:p>
        </w:tc>
        <w:tc>
          <w:tcPr>
            <w:tcW w:w="3187" w:type="pct"/>
            <w:shd w:val="clear" w:color="auto" w:fill="auto"/>
            <w:vAlign w:val="center"/>
          </w:tcPr>
          <w:p w14:paraId="08669EC9">
            <w:pPr>
              <w:widowControl/>
              <w:rPr>
                <w:rFonts w:ascii="宋体" w:hAnsi="宋体" w:cs="宋体"/>
                <w:kern w:val="0"/>
              </w:rPr>
            </w:pPr>
            <w:r>
              <w:rPr>
                <w:rFonts w:hint="eastAsia" w:ascii="宋体" w:hAnsi="宋体" w:cs="宋体"/>
                <w:kern w:val="0"/>
              </w:rPr>
              <w:t>（6）电气部件及线路的带电部分无裸露。</w:t>
            </w:r>
          </w:p>
        </w:tc>
        <w:tc>
          <w:tcPr>
            <w:tcW w:w="394" w:type="pct"/>
            <w:shd w:val="clear" w:color="auto" w:fill="auto"/>
            <w:noWrap/>
            <w:vAlign w:val="center"/>
          </w:tcPr>
          <w:p w14:paraId="3D107D7E">
            <w:pPr>
              <w:widowControl/>
              <w:jc w:val="center"/>
              <w:rPr>
                <w:rFonts w:ascii="宋体" w:hAnsi="宋体" w:cs="宋体"/>
                <w:kern w:val="0"/>
              </w:rPr>
            </w:pPr>
          </w:p>
        </w:tc>
        <w:tc>
          <w:tcPr>
            <w:tcW w:w="400" w:type="pct"/>
            <w:shd w:val="clear" w:color="auto" w:fill="auto"/>
            <w:noWrap/>
            <w:vAlign w:val="center"/>
          </w:tcPr>
          <w:p w14:paraId="58D3EDCD">
            <w:pPr>
              <w:widowControl/>
              <w:jc w:val="center"/>
              <w:rPr>
                <w:rFonts w:ascii="宋体" w:hAnsi="宋体" w:cs="宋体"/>
                <w:kern w:val="0"/>
              </w:rPr>
            </w:pPr>
          </w:p>
        </w:tc>
      </w:tr>
      <w:tr w14:paraId="2D86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restart"/>
            <w:shd w:val="clear" w:color="auto" w:fill="auto"/>
            <w:noWrap/>
            <w:vAlign w:val="center"/>
          </w:tcPr>
          <w:p w14:paraId="1EEE9544">
            <w:pPr>
              <w:widowControl/>
              <w:jc w:val="center"/>
              <w:rPr>
                <w:rFonts w:ascii="宋体" w:hAnsi="宋体" w:cs="宋体"/>
                <w:kern w:val="0"/>
              </w:rPr>
            </w:pPr>
            <w:r>
              <w:rPr>
                <w:rFonts w:hint="eastAsia" w:ascii="宋体" w:hAnsi="宋体" w:cs="宋体"/>
                <w:kern w:val="0"/>
              </w:rPr>
              <w:t>13</w:t>
            </w:r>
          </w:p>
        </w:tc>
        <w:tc>
          <w:tcPr>
            <w:tcW w:w="577" w:type="pct"/>
            <w:vMerge w:val="restart"/>
            <w:shd w:val="clear" w:color="auto" w:fill="auto"/>
            <w:vAlign w:val="center"/>
          </w:tcPr>
          <w:p w14:paraId="53435DE3">
            <w:pPr>
              <w:widowControl/>
              <w:jc w:val="center"/>
              <w:rPr>
                <w:rFonts w:ascii="宋体" w:hAnsi="宋体" w:cs="宋体"/>
                <w:kern w:val="0"/>
              </w:rPr>
            </w:pPr>
            <w:r>
              <w:rPr>
                <w:rFonts w:hint="eastAsia" w:ascii="宋体" w:hAnsi="宋体" w:cs="宋体"/>
                <w:kern w:val="0"/>
              </w:rPr>
              <w:t>13</w:t>
            </w:r>
            <w:r>
              <w:rPr>
                <w:rFonts w:hint="eastAsia" w:ascii="宋体" w:hAnsi="宋体" w:cs="宋体"/>
                <w:kern w:val="0"/>
              </w:rPr>
              <w:br w:type="textWrapping"/>
            </w:r>
            <w:r>
              <w:rPr>
                <w:rFonts w:hint="eastAsia" w:ascii="宋体" w:hAnsi="宋体" w:cs="宋体"/>
                <w:kern w:val="0"/>
              </w:rPr>
              <w:t>工作装置</w:t>
            </w:r>
          </w:p>
        </w:tc>
        <w:tc>
          <w:tcPr>
            <w:tcW w:w="3187" w:type="pct"/>
            <w:shd w:val="clear" w:color="auto" w:fill="auto"/>
            <w:vAlign w:val="center"/>
          </w:tcPr>
          <w:p w14:paraId="5C268790">
            <w:pPr>
              <w:widowControl/>
              <w:rPr>
                <w:rFonts w:ascii="宋体" w:hAnsi="宋体" w:cs="宋体"/>
                <w:kern w:val="0"/>
              </w:rPr>
            </w:pPr>
            <w:r>
              <w:rPr>
                <w:rFonts w:hint="eastAsia" w:ascii="宋体" w:hAnsi="宋体" w:cs="宋体"/>
                <w:kern w:val="0"/>
              </w:rPr>
              <w:t>（1）叉车操纵杆设置符合TSG 81-2022要求。</w:t>
            </w:r>
          </w:p>
        </w:tc>
        <w:tc>
          <w:tcPr>
            <w:tcW w:w="394" w:type="pct"/>
            <w:shd w:val="clear" w:color="auto" w:fill="auto"/>
            <w:noWrap/>
            <w:vAlign w:val="center"/>
          </w:tcPr>
          <w:p w14:paraId="43BF19F4">
            <w:pPr>
              <w:widowControl/>
              <w:jc w:val="center"/>
              <w:rPr>
                <w:rFonts w:ascii="宋体" w:hAnsi="宋体" w:cs="宋体"/>
                <w:kern w:val="0"/>
              </w:rPr>
            </w:pPr>
          </w:p>
        </w:tc>
        <w:tc>
          <w:tcPr>
            <w:tcW w:w="400" w:type="pct"/>
            <w:shd w:val="clear" w:color="auto" w:fill="auto"/>
            <w:noWrap/>
            <w:vAlign w:val="center"/>
          </w:tcPr>
          <w:p w14:paraId="69136EE1">
            <w:pPr>
              <w:widowControl/>
              <w:jc w:val="center"/>
              <w:rPr>
                <w:rFonts w:ascii="宋体" w:hAnsi="宋体" w:cs="宋体"/>
                <w:kern w:val="0"/>
              </w:rPr>
            </w:pPr>
          </w:p>
        </w:tc>
      </w:tr>
      <w:tr w14:paraId="43D2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555E94AC">
            <w:pPr>
              <w:widowControl/>
              <w:jc w:val="center"/>
              <w:rPr>
                <w:rFonts w:ascii="宋体" w:hAnsi="宋体" w:cs="宋体"/>
                <w:kern w:val="0"/>
              </w:rPr>
            </w:pPr>
          </w:p>
        </w:tc>
        <w:tc>
          <w:tcPr>
            <w:tcW w:w="577" w:type="pct"/>
            <w:vMerge w:val="continue"/>
            <w:shd w:val="clear" w:color="auto" w:fill="auto"/>
            <w:vAlign w:val="center"/>
          </w:tcPr>
          <w:p w14:paraId="6A6867AE">
            <w:pPr>
              <w:widowControl/>
              <w:jc w:val="left"/>
              <w:rPr>
                <w:rFonts w:ascii="宋体" w:hAnsi="宋体" w:cs="宋体"/>
                <w:kern w:val="0"/>
              </w:rPr>
            </w:pPr>
          </w:p>
        </w:tc>
        <w:tc>
          <w:tcPr>
            <w:tcW w:w="3187" w:type="pct"/>
            <w:shd w:val="clear" w:color="auto" w:fill="auto"/>
            <w:vAlign w:val="center"/>
          </w:tcPr>
          <w:p w14:paraId="31592D18">
            <w:pPr>
              <w:widowControl/>
              <w:rPr>
                <w:rFonts w:ascii="宋体" w:hAnsi="宋体" w:cs="宋体"/>
                <w:kern w:val="0"/>
              </w:rPr>
            </w:pPr>
            <w:r>
              <w:rPr>
                <w:rFonts w:hint="eastAsia" w:ascii="宋体" w:hAnsi="宋体" w:cs="宋体"/>
                <w:kern w:val="0"/>
              </w:rPr>
              <w:t>（2）控制装置被设计和构造成能完成一个以上的功能时，每一单独功能都应当做出清晰的标志。</w:t>
            </w:r>
          </w:p>
        </w:tc>
        <w:tc>
          <w:tcPr>
            <w:tcW w:w="394" w:type="pct"/>
            <w:shd w:val="clear" w:color="auto" w:fill="auto"/>
            <w:noWrap/>
            <w:vAlign w:val="center"/>
          </w:tcPr>
          <w:p w14:paraId="7655969B">
            <w:pPr>
              <w:widowControl/>
              <w:jc w:val="center"/>
              <w:rPr>
                <w:rFonts w:ascii="宋体" w:hAnsi="宋体" w:cs="宋体"/>
                <w:kern w:val="0"/>
              </w:rPr>
            </w:pPr>
          </w:p>
        </w:tc>
        <w:tc>
          <w:tcPr>
            <w:tcW w:w="400" w:type="pct"/>
            <w:shd w:val="clear" w:color="auto" w:fill="auto"/>
            <w:noWrap/>
            <w:vAlign w:val="center"/>
          </w:tcPr>
          <w:p w14:paraId="34233550">
            <w:pPr>
              <w:widowControl/>
              <w:jc w:val="center"/>
              <w:rPr>
                <w:rFonts w:ascii="宋体" w:hAnsi="宋体" w:cs="宋体"/>
                <w:kern w:val="0"/>
              </w:rPr>
            </w:pPr>
          </w:p>
        </w:tc>
      </w:tr>
      <w:tr w14:paraId="3B8A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39" w:type="pct"/>
            <w:vMerge w:val="continue"/>
            <w:shd w:val="clear" w:color="auto" w:fill="auto"/>
            <w:noWrap/>
            <w:vAlign w:val="center"/>
          </w:tcPr>
          <w:p w14:paraId="3CBE6377">
            <w:pPr>
              <w:widowControl/>
              <w:jc w:val="center"/>
              <w:rPr>
                <w:rFonts w:ascii="宋体" w:hAnsi="宋体" w:cs="宋体"/>
                <w:kern w:val="0"/>
              </w:rPr>
            </w:pPr>
          </w:p>
        </w:tc>
        <w:tc>
          <w:tcPr>
            <w:tcW w:w="577" w:type="pct"/>
            <w:vMerge w:val="continue"/>
            <w:vAlign w:val="center"/>
          </w:tcPr>
          <w:p w14:paraId="44F0086C">
            <w:pPr>
              <w:widowControl/>
              <w:jc w:val="left"/>
              <w:rPr>
                <w:rFonts w:ascii="宋体" w:hAnsi="宋体" w:cs="宋体"/>
                <w:kern w:val="0"/>
              </w:rPr>
            </w:pPr>
          </w:p>
        </w:tc>
        <w:tc>
          <w:tcPr>
            <w:tcW w:w="3187" w:type="pct"/>
            <w:shd w:val="clear" w:color="auto" w:fill="auto"/>
            <w:vAlign w:val="center"/>
          </w:tcPr>
          <w:p w14:paraId="239E1BDB">
            <w:pPr>
              <w:widowControl/>
              <w:rPr>
                <w:rFonts w:ascii="宋体" w:hAnsi="宋体" w:cs="宋体"/>
                <w:kern w:val="0"/>
              </w:rPr>
            </w:pPr>
            <w:r>
              <w:rPr>
                <w:rFonts w:hint="eastAsia" w:ascii="宋体" w:hAnsi="宋体" w:cs="宋体"/>
                <w:kern w:val="0"/>
              </w:rPr>
              <w:t>（3）控制装置应当操作灵活，被释放时，应当自动回到中位，并且停止相应的载荷移动。</w:t>
            </w:r>
          </w:p>
        </w:tc>
        <w:tc>
          <w:tcPr>
            <w:tcW w:w="394" w:type="pct"/>
            <w:shd w:val="clear" w:color="auto" w:fill="auto"/>
            <w:noWrap/>
            <w:vAlign w:val="center"/>
          </w:tcPr>
          <w:p w14:paraId="696D1496">
            <w:pPr>
              <w:widowControl/>
              <w:jc w:val="center"/>
              <w:rPr>
                <w:rFonts w:ascii="宋体" w:hAnsi="宋体" w:cs="宋体"/>
                <w:kern w:val="0"/>
              </w:rPr>
            </w:pPr>
          </w:p>
        </w:tc>
        <w:tc>
          <w:tcPr>
            <w:tcW w:w="400" w:type="pct"/>
            <w:shd w:val="clear" w:color="auto" w:fill="auto"/>
            <w:noWrap/>
            <w:vAlign w:val="center"/>
          </w:tcPr>
          <w:p w14:paraId="73E49361">
            <w:pPr>
              <w:widowControl/>
              <w:jc w:val="center"/>
              <w:rPr>
                <w:rFonts w:ascii="宋体" w:hAnsi="宋体" w:cs="宋体"/>
                <w:kern w:val="0"/>
              </w:rPr>
            </w:pPr>
          </w:p>
        </w:tc>
      </w:tr>
      <w:tr w14:paraId="23C0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65159E5C">
            <w:pPr>
              <w:widowControl/>
              <w:jc w:val="center"/>
              <w:rPr>
                <w:rFonts w:ascii="宋体" w:hAnsi="宋体" w:cs="宋体"/>
                <w:kern w:val="0"/>
              </w:rPr>
            </w:pPr>
          </w:p>
        </w:tc>
        <w:tc>
          <w:tcPr>
            <w:tcW w:w="577" w:type="pct"/>
            <w:vMerge w:val="continue"/>
            <w:vAlign w:val="center"/>
          </w:tcPr>
          <w:p w14:paraId="3252474B">
            <w:pPr>
              <w:widowControl/>
              <w:jc w:val="left"/>
              <w:rPr>
                <w:rFonts w:ascii="宋体" w:hAnsi="宋体" w:cs="宋体"/>
                <w:kern w:val="0"/>
              </w:rPr>
            </w:pPr>
          </w:p>
        </w:tc>
        <w:tc>
          <w:tcPr>
            <w:tcW w:w="3187" w:type="pct"/>
            <w:shd w:val="clear" w:color="auto" w:fill="auto"/>
            <w:vAlign w:val="center"/>
          </w:tcPr>
          <w:p w14:paraId="64D9353B">
            <w:pPr>
              <w:widowControl/>
              <w:rPr>
                <w:rFonts w:ascii="宋体" w:hAnsi="宋体" w:cs="宋体"/>
                <w:kern w:val="0"/>
              </w:rPr>
            </w:pPr>
            <w:r>
              <w:rPr>
                <w:rFonts w:hint="eastAsia" w:ascii="宋体" w:hAnsi="宋体" w:cs="宋体"/>
                <w:kern w:val="0"/>
              </w:rPr>
              <w:t>（4）应当设置防止货叉意外侧向滑移或者脱落的装置。</w:t>
            </w:r>
          </w:p>
        </w:tc>
        <w:tc>
          <w:tcPr>
            <w:tcW w:w="394" w:type="pct"/>
            <w:shd w:val="clear" w:color="auto" w:fill="auto"/>
            <w:noWrap/>
            <w:vAlign w:val="center"/>
          </w:tcPr>
          <w:p w14:paraId="1D2E2421">
            <w:pPr>
              <w:widowControl/>
              <w:jc w:val="center"/>
              <w:rPr>
                <w:rFonts w:ascii="宋体" w:hAnsi="宋体" w:cs="宋体"/>
                <w:kern w:val="0"/>
              </w:rPr>
            </w:pPr>
          </w:p>
        </w:tc>
        <w:tc>
          <w:tcPr>
            <w:tcW w:w="400" w:type="pct"/>
            <w:shd w:val="clear" w:color="auto" w:fill="auto"/>
            <w:noWrap/>
            <w:vAlign w:val="center"/>
          </w:tcPr>
          <w:p w14:paraId="291A8B67">
            <w:pPr>
              <w:widowControl/>
              <w:jc w:val="center"/>
              <w:rPr>
                <w:rFonts w:ascii="宋体" w:hAnsi="宋体" w:cs="宋体"/>
                <w:kern w:val="0"/>
              </w:rPr>
            </w:pPr>
          </w:p>
        </w:tc>
      </w:tr>
      <w:tr w14:paraId="567C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439" w:type="pct"/>
            <w:vMerge w:val="continue"/>
            <w:shd w:val="clear" w:color="auto" w:fill="auto"/>
            <w:noWrap/>
            <w:vAlign w:val="center"/>
          </w:tcPr>
          <w:p w14:paraId="53BF4B77">
            <w:pPr>
              <w:widowControl/>
              <w:jc w:val="center"/>
              <w:rPr>
                <w:rFonts w:ascii="宋体" w:hAnsi="宋体" w:cs="宋体"/>
                <w:kern w:val="0"/>
              </w:rPr>
            </w:pPr>
          </w:p>
        </w:tc>
        <w:tc>
          <w:tcPr>
            <w:tcW w:w="577" w:type="pct"/>
            <w:vMerge w:val="continue"/>
            <w:vAlign w:val="center"/>
          </w:tcPr>
          <w:p w14:paraId="69C1A030">
            <w:pPr>
              <w:widowControl/>
              <w:jc w:val="left"/>
              <w:rPr>
                <w:rFonts w:ascii="宋体" w:hAnsi="宋体" w:cs="宋体"/>
                <w:kern w:val="0"/>
              </w:rPr>
            </w:pPr>
          </w:p>
        </w:tc>
        <w:tc>
          <w:tcPr>
            <w:tcW w:w="3187" w:type="pct"/>
            <w:shd w:val="clear" w:color="auto" w:fill="auto"/>
            <w:vAlign w:val="center"/>
          </w:tcPr>
          <w:p w14:paraId="6478CD02">
            <w:pPr>
              <w:widowControl/>
              <w:rPr>
                <w:rFonts w:ascii="宋体" w:hAnsi="宋体" w:cs="宋体"/>
                <w:kern w:val="0"/>
              </w:rPr>
            </w:pPr>
            <w:r>
              <w:rPr>
                <w:rFonts w:hint="eastAsia" w:ascii="宋体" w:hAnsi="宋体" w:cs="宋体"/>
                <w:kern w:val="0"/>
              </w:rPr>
              <w:t>（5）各运动机构应当配合良好，无异响，运动无阻滞现象。</w:t>
            </w:r>
          </w:p>
        </w:tc>
        <w:tc>
          <w:tcPr>
            <w:tcW w:w="394" w:type="pct"/>
            <w:shd w:val="clear" w:color="auto" w:fill="auto"/>
            <w:noWrap/>
            <w:vAlign w:val="center"/>
          </w:tcPr>
          <w:p w14:paraId="05DDD159">
            <w:pPr>
              <w:widowControl/>
              <w:jc w:val="center"/>
              <w:rPr>
                <w:rFonts w:ascii="宋体" w:hAnsi="宋体" w:cs="宋体"/>
                <w:kern w:val="0"/>
              </w:rPr>
            </w:pPr>
          </w:p>
        </w:tc>
        <w:tc>
          <w:tcPr>
            <w:tcW w:w="400" w:type="pct"/>
            <w:shd w:val="clear" w:color="auto" w:fill="auto"/>
            <w:noWrap/>
            <w:vAlign w:val="center"/>
          </w:tcPr>
          <w:p w14:paraId="5A388319">
            <w:pPr>
              <w:widowControl/>
              <w:jc w:val="center"/>
              <w:rPr>
                <w:rFonts w:ascii="宋体" w:hAnsi="宋体" w:cs="宋体"/>
                <w:kern w:val="0"/>
              </w:rPr>
            </w:pPr>
          </w:p>
        </w:tc>
      </w:tr>
      <w:tr w14:paraId="3C212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1FF19C94">
            <w:pPr>
              <w:widowControl/>
              <w:jc w:val="center"/>
              <w:rPr>
                <w:rFonts w:ascii="宋体" w:hAnsi="宋体" w:cs="宋体"/>
                <w:kern w:val="0"/>
              </w:rPr>
            </w:pPr>
          </w:p>
        </w:tc>
        <w:tc>
          <w:tcPr>
            <w:tcW w:w="577" w:type="pct"/>
            <w:vMerge w:val="continue"/>
            <w:vAlign w:val="center"/>
          </w:tcPr>
          <w:p w14:paraId="037FB115">
            <w:pPr>
              <w:widowControl/>
              <w:jc w:val="left"/>
              <w:rPr>
                <w:rFonts w:ascii="宋体" w:hAnsi="宋体" w:cs="宋体"/>
                <w:kern w:val="0"/>
              </w:rPr>
            </w:pPr>
          </w:p>
        </w:tc>
        <w:tc>
          <w:tcPr>
            <w:tcW w:w="3187" w:type="pct"/>
            <w:shd w:val="clear" w:color="auto" w:fill="auto"/>
            <w:vAlign w:val="center"/>
          </w:tcPr>
          <w:p w14:paraId="40EE0A30">
            <w:pPr>
              <w:widowControl/>
              <w:rPr>
                <w:rFonts w:ascii="宋体" w:hAnsi="宋体" w:cs="宋体"/>
                <w:kern w:val="0"/>
              </w:rPr>
            </w:pPr>
            <w:r>
              <w:rPr>
                <w:rFonts w:hint="eastAsia" w:ascii="宋体" w:hAnsi="宋体" w:cs="宋体"/>
                <w:kern w:val="0"/>
              </w:rPr>
              <w:t>（6）起升链条应当完整无裂纹，无变形，连接配合良好，工作灵敏可靠。</w:t>
            </w:r>
          </w:p>
        </w:tc>
        <w:tc>
          <w:tcPr>
            <w:tcW w:w="394" w:type="pct"/>
            <w:shd w:val="clear" w:color="auto" w:fill="auto"/>
            <w:noWrap/>
            <w:vAlign w:val="center"/>
          </w:tcPr>
          <w:p w14:paraId="3F12AEE2">
            <w:pPr>
              <w:widowControl/>
              <w:jc w:val="center"/>
              <w:rPr>
                <w:rFonts w:ascii="宋体" w:hAnsi="宋体" w:cs="宋体"/>
                <w:kern w:val="0"/>
              </w:rPr>
            </w:pPr>
          </w:p>
        </w:tc>
        <w:tc>
          <w:tcPr>
            <w:tcW w:w="400" w:type="pct"/>
            <w:shd w:val="clear" w:color="auto" w:fill="auto"/>
            <w:noWrap/>
            <w:vAlign w:val="center"/>
          </w:tcPr>
          <w:p w14:paraId="5E5D4025">
            <w:pPr>
              <w:widowControl/>
              <w:jc w:val="center"/>
              <w:rPr>
                <w:rFonts w:ascii="宋体" w:hAnsi="宋体" w:cs="宋体"/>
                <w:kern w:val="0"/>
              </w:rPr>
            </w:pPr>
          </w:p>
        </w:tc>
      </w:tr>
      <w:tr w14:paraId="6D7F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39" w:type="pct"/>
            <w:vMerge w:val="continue"/>
            <w:shd w:val="clear" w:color="auto" w:fill="auto"/>
            <w:noWrap/>
            <w:vAlign w:val="center"/>
          </w:tcPr>
          <w:p w14:paraId="33CA8370">
            <w:pPr>
              <w:widowControl/>
              <w:jc w:val="center"/>
              <w:rPr>
                <w:rFonts w:ascii="宋体" w:hAnsi="宋体" w:cs="宋体"/>
                <w:kern w:val="0"/>
              </w:rPr>
            </w:pPr>
          </w:p>
        </w:tc>
        <w:tc>
          <w:tcPr>
            <w:tcW w:w="577" w:type="pct"/>
            <w:vMerge w:val="continue"/>
            <w:vAlign w:val="center"/>
          </w:tcPr>
          <w:p w14:paraId="359EC6CB">
            <w:pPr>
              <w:widowControl/>
              <w:jc w:val="left"/>
              <w:rPr>
                <w:rFonts w:ascii="宋体" w:hAnsi="宋体" w:cs="宋体"/>
                <w:kern w:val="0"/>
              </w:rPr>
            </w:pPr>
          </w:p>
        </w:tc>
        <w:tc>
          <w:tcPr>
            <w:tcW w:w="3187" w:type="pct"/>
            <w:shd w:val="clear" w:color="auto" w:fill="auto"/>
            <w:vAlign w:val="center"/>
          </w:tcPr>
          <w:p w14:paraId="6C11DB82">
            <w:pPr>
              <w:widowControl/>
              <w:rPr>
                <w:rFonts w:ascii="宋体" w:hAnsi="宋体" w:cs="宋体"/>
                <w:kern w:val="0"/>
              </w:rPr>
            </w:pPr>
            <w:r>
              <w:rPr>
                <w:rFonts w:hint="eastAsia" w:ascii="宋体" w:hAnsi="宋体" w:cs="宋体"/>
                <w:kern w:val="0"/>
              </w:rPr>
              <w:t>（7）起升货叉，检查起升链条的松紧程度，长短是否一致。</w:t>
            </w:r>
          </w:p>
        </w:tc>
        <w:tc>
          <w:tcPr>
            <w:tcW w:w="394" w:type="pct"/>
            <w:shd w:val="clear" w:color="auto" w:fill="auto"/>
            <w:noWrap/>
            <w:vAlign w:val="center"/>
          </w:tcPr>
          <w:p w14:paraId="28A8CA65">
            <w:pPr>
              <w:widowControl/>
              <w:jc w:val="center"/>
              <w:rPr>
                <w:rFonts w:ascii="宋体" w:hAnsi="宋体" w:cs="宋体"/>
                <w:kern w:val="0"/>
              </w:rPr>
            </w:pPr>
          </w:p>
        </w:tc>
        <w:tc>
          <w:tcPr>
            <w:tcW w:w="400" w:type="pct"/>
            <w:shd w:val="clear" w:color="auto" w:fill="auto"/>
            <w:noWrap/>
            <w:vAlign w:val="center"/>
          </w:tcPr>
          <w:p w14:paraId="7AB7B27E">
            <w:pPr>
              <w:widowControl/>
              <w:jc w:val="center"/>
              <w:rPr>
                <w:rFonts w:ascii="宋体" w:hAnsi="宋体" w:cs="宋体"/>
                <w:kern w:val="0"/>
              </w:rPr>
            </w:pPr>
          </w:p>
        </w:tc>
      </w:tr>
      <w:tr w14:paraId="00BD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439" w:type="pct"/>
            <w:vMerge w:val="restart"/>
            <w:shd w:val="clear" w:color="auto" w:fill="auto"/>
            <w:noWrap/>
            <w:vAlign w:val="center"/>
          </w:tcPr>
          <w:p w14:paraId="3AB08F0C">
            <w:pPr>
              <w:widowControl/>
              <w:jc w:val="center"/>
              <w:rPr>
                <w:rFonts w:ascii="宋体" w:hAnsi="宋体" w:cs="宋体"/>
                <w:kern w:val="0"/>
              </w:rPr>
            </w:pPr>
            <w:r>
              <w:rPr>
                <w:rFonts w:hint="eastAsia" w:ascii="宋体" w:hAnsi="宋体" w:cs="宋体"/>
                <w:kern w:val="0"/>
              </w:rPr>
              <w:t>14</w:t>
            </w:r>
          </w:p>
        </w:tc>
        <w:tc>
          <w:tcPr>
            <w:tcW w:w="577" w:type="pct"/>
            <w:vMerge w:val="restart"/>
            <w:shd w:val="clear" w:color="auto" w:fill="auto"/>
            <w:vAlign w:val="center"/>
          </w:tcPr>
          <w:p w14:paraId="5355E2B8">
            <w:pPr>
              <w:widowControl/>
              <w:jc w:val="center"/>
              <w:rPr>
                <w:rFonts w:ascii="宋体" w:hAnsi="宋体" w:cs="宋体"/>
                <w:kern w:val="0"/>
              </w:rPr>
            </w:pPr>
            <w:r>
              <w:rPr>
                <w:rFonts w:hint="eastAsia" w:ascii="宋体" w:hAnsi="宋体" w:cs="宋体"/>
                <w:kern w:val="0"/>
              </w:rPr>
              <w:t>14</w:t>
            </w:r>
            <w:r>
              <w:rPr>
                <w:rFonts w:hint="eastAsia" w:ascii="宋体" w:hAnsi="宋体" w:cs="宋体"/>
                <w:kern w:val="0"/>
              </w:rPr>
              <w:br w:type="textWrapping"/>
            </w:r>
            <w:r>
              <w:rPr>
                <w:rFonts w:hint="eastAsia" w:ascii="宋体" w:hAnsi="宋体" w:cs="宋体"/>
                <w:kern w:val="0"/>
              </w:rPr>
              <w:t>安全保护</w:t>
            </w:r>
            <w:r>
              <w:rPr>
                <w:rFonts w:hint="eastAsia" w:ascii="宋体" w:hAnsi="宋体" w:cs="宋体"/>
                <w:kern w:val="0"/>
              </w:rPr>
              <w:br w:type="textWrapping"/>
            </w:r>
            <w:r>
              <w:rPr>
                <w:rFonts w:hint="eastAsia" w:ascii="宋体" w:hAnsi="宋体" w:cs="宋体"/>
                <w:kern w:val="0"/>
              </w:rPr>
              <w:t>与防护装</w:t>
            </w:r>
            <w:r>
              <w:rPr>
                <w:rFonts w:hint="eastAsia" w:ascii="宋体" w:hAnsi="宋体" w:cs="宋体"/>
                <w:kern w:val="0"/>
              </w:rPr>
              <w:br w:type="textWrapping"/>
            </w:r>
            <w:r>
              <w:rPr>
                <w:rFonts w:hint="eastAsia" w:ascii="宋体" w:hAnsi="宋体" w:cs="宋体"/>
                <w:kern w:val="0"/>
              </w:rPr>
              <w:t>置</w:t>
            </w:r>
          </w:p>
        </w:tc>
        <w:tc>
          <w:tcPr>
            <w:tcW w:w="3187" w:type="pct"/>
            <w:shd w:val="clear" w:color="auto" w:fill="auto"/>
            <w:vAlign w:val="center"/>
          </w:tcPr>
          <w:p w14:paraId="030B7E82">
            <w:pPr>
              <w:widowControl/>
              <w:rPr>
                <w:rFonts w:ascii="宋体" w:hAnsi="宋体" w:cs="宋体"/>
                <w:kern w:val="0"/>
              </w:rPr>
            </w:pPr>
            <w:r>
              <w:rPr>
                <w:rFonts w:hint="eastAsia" w:ascii="宋体" w:hAnsi="宋体" w:cs="宋体"/>
                <w:kern w:val="0"/>
              </w:rPr>
              <w:t>（1）起升高度大于 1800mm 的乘驾式叉车或载荷起升高度超过操作平台 1800mm的叉车应当装有护顶架或者司机室，功能完好。</w:t>
            </w:r>
          </w:p>
        </w:tc>
        <w:tc>
          <w:tcPr>
            <w:tcW w:w="394" w:type="pct"/>
            <w:shd w:val="clear" w:color="auto" w:fill="auto"/>
            <w:noWrap/>
            <w:vAlign w:val="center"/>
          </w:tcPr>
          <w:p w14:paraId="35082C80">
            <w:pPr>
              <w:widowControl/>
              <w:jc w:val="center"/>
              <w:rPr>
                <w:rFonts w:ascii="宋体" w:hAnsi="宋体" w:cs="宋体"/>
                <w:kern w:val="0"/>
              </w:rPr>
            </w:pPr>
          </w:p>
        </w:tc>
        <w:tc>
          <w:tcPr>
            <w:tcW w:w="400" w:type="pct"/>
            <w:shd w:val="clear" w:color="auto" w:fill="auto"/>
            <w:noWrap/>
            <w:vAlign w:val="center"/>
          </w:tcPr>
          <w:p w14:paraId="532AE6DB">
            <w:pPr>
              <w:widowControl/>
              <w:jc w:val="center"/>
              <w:rPr>
                <w:rFonts w:ascii="宋体" w:hAnsi="宋体" w:cs="宋体"/>
                <w:kern w:val="0"/>
              </w:rPr>
            </w:pPr>
          </w:p>
        </w:tc>
      </w:tr>
      <w:tr w14:paraId="7CA7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1E1E8ACD">
            <w:pPr>
              <w:widowControl/>
              <w:jc w:val="center"/>
              <w:rPr>
                <w:rFonts w:ascii="宋体" w:hAnsi="宋体" w:cs="宋体"/>
                <w:kern w:val="0"/>
              </w:rPr>
            </w:pPr>
          </w:p>
        </w:tc>
        <w:tc>
          <w:tcPr>
            <w:tcW w:w="577" w:type="pct"/>
            <w:vMerge w:val="continue"/>
            <w:shd w:val="clear" w:color="auto" w:fill="auto"/>
            <w:vAlign w:val="center"/>
          </w:tcPr>
          <w:p w14:paraId="74679B06">
            <w:pPr>
              <w:widowControl/>
              <w:jc w:val="left"/>
              <w:rPr>
                <w:rFonts w:ascii="宋体" w:hAnsi="宋体" w:cs="宋体"/>
                <w:kern w:val="0"/>
              </w:rPr>
            </w:pPr>
          </w:p>
        </w:tc>
        <w:tc>
          <w:tcPr>
            <w:tcW w:w="3187" w:type="pct"/>
            <w:shd w:val="clear" w:color="auto" w:fill="auto"/>
            <w:vAlign w:val="center"/>
          </w:tcPr>
          <w:p w14:paraId="2FE31F4F">
            <w:pPr>
              <w:widowControl/>
              <w:rPr>
                <w:rFonts w:ascii="宋体" w:hAnsi="宋体" w:cs="宋体"/>
                <w:kern w:val="0"/>
              </w:rPr>
            </w:pPr>
            <w:r>
              <w:rPr>
                <w:rFonts w:hint="eastAsia" w:ascii="宋体" w:hAnsi="宋体" w:cs="宋体"/>
                <w:kern w:val="0"/>
              </w:rPr>
              <w:t>（2）乘驾式叉车设置的由司机控制、能够发出清晰声响的警示装置（至少包括喇叭、倒车蜂鸣器）完好。（设计为司机侧站或者侧坐驾驶的叉车可不设置倒车蜂鸣器。）</w:t>
            </w:r>
          </w:p>
        </w:tc>
        <w:tc>
          <w:tcPr>
            <w:tcW w:w="394" w:type="pct"/>
            <w:shd w:val="clear" w:color="auto" w:fill="auto"/>
            <w:noWrap/>
            <w:vAlign w:val="center"/>
          </w:tcPr>
          <w:p w14:paraId="6F90BA7E">
            <w:pPr>
              <w:widowControl/>
              <w:jc w:val="center"/>
              <w:rPr>
                <w:rFonts w:ascii="宋体" w:hAnsi="宋体" w:cs="宋体"/>
                <w:kern w:val="0"/>
              </w:rPr>
            </w:pPr>
          </w:p>
        </w:tc>
        <w:tc>
          <w:tcPr>
            <w:tcW w:w="400" w:type="pct"/>
            <w:shd w:val="clear" w:color="auto" w:fill="auto"/>
            <w:noWrap/>
            <w:vAlign w:val="center"/>
          </w:tcPr>
          <w:p w14:paraId="0AC43052">
            <w:pPr>
              <w:widowControl/>
              <w:jc w:val="center"/>
              <w:rPr>
                <w:rFonts w:ascii="宋体" w:hAnsi="宋体" w:cs="宋体"/>
                <w:kern w:val="0"/>
              </w:rPr>
            </w:pPr>
          </w:p>
        </w:tc>
      </w:tr>
      <w:tr w14:paraId="43B1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10F561DB">
            <w:pPr>
              <w:widowControl/>
              <w:jc w:val="center"/>
              <w:rPr>
                <w:rFonts w:ascii="宋体" w:hAnsi="宋体" w:cs="宋体"/>
                <w:kern w:val="0"/>
              </w:rPr>
            </w:pPr>
          </w:p>
        </w:tc>
        <w:tc>
          <w:tcPr>
            <w:tcW w:w="577" w:type="pct"/>
            <w:vMerge w:val="continue"/>
            <w:shd w:val="clear" w:color="auto" w:fill="auto"/>
            <w:vAlign w:val="center"/>
          </w:tcPr>
          <w:p w14:paraId="401E8B30">
            <w:pPr>
              <w:widowControl/>
              <w:jc w:val="left"/>
              <w:rPr>
                <w:rFonts w:ascii="宋体" w:hAnsi="宋体" w:cs="宋体"/>
                <w:kern w:val="0"/>
              </w:rPr>
            </w:pPr>
          </w:p>
        </w:tc>
        <w:tc>
          <w:tcPr>
            <w:tcW w:w="3187" w:type="pct"/>
            <w:shd w:val="clear" w:color="auto" w:fill="auto"/>
            <w:vAlign w:val="center"/>
          </w:tcPr>
          <w:p w14:paraId="15578BCA">
            <w:pPr>
              <w:widowControl/>
              <w:rPr>
                <w:rFonts w:ascii="宋体" w:hAnsi="宋体" w:cs="宋体"/>
                <w:kern w:val="0"/>
              </w:rPr>
            </w:pPr>
            <w:r>
              <w:rPr>
                <w:rFonts w:hint="eastAsia" w:ascii="宋体" w:hAnsi="宋体" w:cs="宋体"/>
                <w:kern w:val="0"/>
              </w:rPr>
              <w:t>（3）坐驾式平衡重式叉车和侧面式叉车设置后视镜，设备完好；侧面式叉车货叉侧和额定起重量大于10000kg的坐驾式平衡重式叉车后方还应当设置视频监视装置且有效。</w:t>
            </w:r>
          </w:p>
        </w:tc>
        <w:tc>
          <w:tcPr>
            <w:tcW w:w="394" w:type="pct"/>
            <w:shd w:val="clear" w:color="auto" w:fill="auto"/>
            <w:noWrap/>
            <w:vAlign w:val="center"/>
          </w:tcPr>
          <w:p w14:paraId="646DC798">
            <w:pPr>
              <w:widowControl/>
              <w:jc w:val="center"/>
              <w:rPr>
                <w:rFonts w:ascii="宋体" w:hAnsi="宋体" w:cs="宋体"/>
                <w:kern w:val="0"/>
              </w:rPr>
            </w:pPr>
          </w:p>
        </w:tc>
        <w:tc>
          <w:tcPr>
            <w:tcW w:w="400" w:type="pct"/>
            <w:shd w:val="clear" w:color="auto" w:fill="auto"/>
            <w:noWrap/>
            <w:vAlign w:val="center"/>
          </w:tcPr>
          <w:p w14:paraId="28FDAE18">
            <w:pPr>
              <w:widowControl/>
              <w:jc w:val="center"/>
              <w:rPr>
                <w:rFonts w:ascii="宋体" w:hAnsi="宋体" w:cs="宋体"/>
                <w:kern w:val="0"/>
              </w:rPr>
            </w:pPr>
          </w:p>
        </w:tc>
      </w:tr>
      <w:tr w14:paraId="2658F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439" w:type="pct"/>
            <w:vMerge w:val="continue"/>
            <w:shd w:val="clear" w:color="auto" w:fill="auto"/>
            <w:noWrap/>
            <w:vAlign w:val="center"/>
          </w:tcPr>
          <w:p w14:paraId="32FB2735">
            <w:pPr>
              <w:widowControl/>
              <w:jc w:val="center"/>
              <w:rPr>
                <w:rFonts w:ascii="宋体" w:hAnsi="宋体" w:cs="宋体"/>
                <w:kern w:val="0"/>
              </w:rPr>
            </w:pPr>
          </w:p>
        </w:tc>
        <w:tc>
          <w:tcPr>
            <w:tcW w:w="577" w:type="pct"/>
            <w:vMerge w:val="continue"/>
            <w:vAlign w:val="center"/>
          </w:tcPr>
          <w:p w14:paraId="3243FCD5">
            <w:pPr>
              <w:widowControl/>
              <w:jc w:val="left"/>
              <w:rPr>
                <w:rFonts w:ascii="宋体" w:hAnsi="宋体" w:cs="宋体"/>
                <w:kern w:val="0"/>
              </w:rPr>
            </w:pPr>
          </w:p>
        </w:tc>
        <w:tc>
          <w:tcPr>
            <w:tcW w:w="3187" w:type="pct"/>
            <w:shd w:val="clear" w:color="auto" w:fill="auto"/>
            <w:vAlign w:val="center"/>
          </w:tcPr>
          <w:p w14:paraId="6FA3172E">
            <w:pPr>
              <w:widowControl/>
              <w:rPr>
                <w:rFonts w:ascii="宋体" w:hAnsi="宋体" w:cs="宋体"/>
                <w:kern w:val="0"/>
              </w:rPr>
            </w:pPr>
            <w:r>
              <w:rPr>
                <w:rFonts w:hint="eastAsia" w:ascii="宋体" w:hAnsi="宋体" w:cs="宋体"/>
                <w:kern w:val="0"/>
              </w:rPr>
              <w:t>（4）额定起重量不大于 10000kg 坐驾式叉车和侧面式叉车（单侧）应当配备司机防护约束装置（如安全带）</w:t>
            </w:r>
            <w:bookmarkStart w:id="85" w:name="OLE_LINK67"/>
            <w:r>
              <w:rPr>
                <w:rFonts w:hint="eastAsia" w:ascii="宋体" w:hAnsi="宋体" w:cs="宋体"/>
                <w:kern w:val="0"/>
              </w:rPr>
              <w:t>，</w:t>
            </w:r>
            <w:bookmarkEnd w:id="85"/>
            <w:r>
              <w:rPr>
                <w:rFonts w:hint="eastAsia" w:ascii="宋体" w:hAnsi="宋体" w:cs="宋体"/>
                <w:kern w:val="0"/>
              </w:rPr>
              <w:t>且功能正常。</w:t>
            </w:r>
          </w:p>
        </w:tc>
        <w:tc>
          <w:tcPr>
            <w:tcW w:w="394" w:type="pct"/>
            <w:shd w:val="clear" w:color="auto" w:fill="auto"/>
            <w:noWrap/>
            <w:vAlign w:val="center"/>
          </w:tcPr>
          <w:p w14:paraId="18968226">
            <w:pPr>
              <w:widowControl/>
              <w:jc w:val="center"/>
              <w:rPr>
                <w:rFonts w:ascii="宋体" w:hAnsi="宋体" w:cs="宋体"/>
                <w:kern w:val="0"/>
              </w:rPr>
            </w:pPr>
          </w:p>
        </w:tc>
        <w:tc>
          <w:tcPr>
            <w:tcW w:w="400" w:type="pct"/>
            <w:shd w:val="clear" w:color="auto" w:fill="auto"/>
            <w:noWrap/>
            <w:vAlign w:val="center"/>
          </w:tcPr>
          <w:p w14:paraId="21E6239A">
            <w:pPr>
              <w:widowControl/>
              <w:jc w:val="center"/>
              <w:rPr>
                <w:rFonts w:ascii="宋体" w:hAnsi="宋体" w:cs="宋体"/>
                <w:kern w:val="0"/>
              </w:rPr>
            </w:pPr>
          </w:p>
        </w:tc>
      </w:tr>
      <w:tr w14:paraId="0DD8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439" w:type="pct"/>
            <w:vMerge w:val="continue"/>
            <w:shd w:val="clear" w:color="auto" w:fill="auto"/>
            <w:noWrap/>
            <w:vAlign w:val="center"/>
          </w:tcPr>
          <w:p w14:paraId="09199F00">
            <w:pPr>
              <w:widowControl/>
              <w:jc w:val="center"/>
              <w:rPr>
                <w:rFonts w:ascii="宋体" w:hAnsi="宋体" w:cs="宋体"/>
                <w:kern w:val="0"/>
              </w:rPr>
            </w:pPr>
          </w:p>
        </w:tc>
        <w:tc>
          <w:tcPr>
            <w:tcW w:w="577" w:type="pct"/>
            <w:vMerge w:val="continue"/>
            <w:vAlign w:val="center"/>
          </w:tcPr>
          <w:p w14:paraId="11D1E39E">
            <w:pPr>
              <w:widowControl/>
              <w:jc w:val="left"/>
              <w:rPr>
                <w:rFonts w:ascii="宋体" w:hAnsi="宋体" w:cs="宋体"/>
                <w:kern w:val="0"/>
              </w:rPr>
            </w:pPr>
          </w:p>
        </w:tc>
        <w:tc>
          <w:tcPr>
            <w:tcW w:w="3187" w:type="pct"/>
            <w:shd w:val="clear" w:color="auto" w:fill="auto"/>
            <w:vAlign w:val="center"/>
          </w:tcPr>
          <w:p w14:paraId="32AE0CA1">
            <w:pPr>
              <w:widowControl/>
              <w:rPr>
                <w:rFonts w:ascii="宋体" w:hAnsi="宋体" w:cs="宋体"/>
                <w:kern w:val="0"/>
              </w:rPr>
            </w:pPr>
            <w:r>
              <w:rPr>
                <w:rFonts w:hint="eastAsia" w:ascii="宋体" w:hAnsi="宋体" w:cs="宋体"/>
                <w:kern w:val="0"/>
              </w:rPr>
              <w:t>（5）前风窗玻璃应当设置刮水器，刮水器应当能正常工作，且关闭时刮片应当能自动返回至初始位置。</w:t>
            </w:r>
          </w:p>
        </w:tc>
        <w:tc>
          <w:tcPr>
            <w:tcW w:w="394" w:type="pct"/>
            <w:shd w:val="clear" w:color="auto" w:fill="auto"/>
            <w:noWrap/>
            <w:vAlign w:val="center"/>
          </w:tcPr>
          <w:p w14:paraId="04824B50">
            <w:pPr>
              <w:widowControl/>
              <w:jc w:val="center"/>
              <w:rPr>
                <w:rFonts w:ascii="宋体" w:hAnsi="宋体" w:cs="宋体"/>
                <w:kern w:val="0"/>
              </w:rPr>
            </w:pPr>
          </w:p>
        </w:tc>
        <w:tc>
          <w:tcPr>
            <w:tcW w:w="400" w:type="pct"/>
            <w:shd w:val="clear" w:color="auto" w:fill="auto"/>
            <w:noWrap/>
            <w:vAlign w:val="center"/>
          </w:tcPr>
          <w:p w14:paraId="245AD000">
            <w:pPr>
              <w:widowControl/>
              <w:jc w:val="center"/>
              <w:rPr>
                <w:rFonts w:ascii="宋体" w:hAnsi="宋体" w:cs="宋体"/>
                <w:kern w:val="0"/>
              </w:rPr>
            </w:pPr>
          </w:p>
        </w:tc>
      </w:tr>
      <w:tr w14:paraId="2A7F5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439" w:type="pct"/>
            <w:vMerge w:val="continue"/>
            <w:shd w:val="clear" w:color="auto" w:fill="auto"/>
            <w:noWrap/>
            <w:vAlign w:val="center"/>
          </w:tcPr>
          <w:p w14:paraId="4BEAC285">
            <w:pPr>
              <w:widowControl/>
              <w:jc w:val="center"/>
              <w:rPr>
                <w:rFonts w:ascii="宋体" w:hAnsi="宋体" w:cs="宋体"/>
                <w:kern w:val="0"/>
              </w:rPr>
            </w:pPr>
          </w:p>
        </w:tc>
        <w:tc>
          <w:tcPr>
            <w:tcW w:w="577" w:type="pct"/>
            <w:vMerge w:val="continue"/>
            <w:vAlign w:val="center"/>
          </w:tcPr>
          <w:p w14:paraId="57F3F74E">
            <w:pPr>
              <w:widowControl/>
              <w:jc w:val="left"/>
              <w:rPr>
                <w:rFonts w:ascii="宋体" w:hAnsi="宋体" w:cs="宋体"/>
                <w:kern w:val="0"/>
              </w:rPr>
            </w:pPr>
          </w:p>
        </w:tc>
        <w:tc>
          <w:tcPr>
            <w:tcW w:w="3187" w:type="pct"/>
            <w:shd w:val="clear" w:color="auto" w:fill="auto"/>
            <w:vAlign w:val="center"/>
          </w:tcPr>
          <w:p w14:paraId="1EF9C980">
            <w:pPr>
              <w:widowControl/>
              <w:rPr>
                <w:rFonts w:ascii="宋体" w:hAnsi="宋体" w:cs="宋体"/>
                <w:kern w:val="0"/>
              </w:rPr>
            </w:pPr>
            <w:r>
              <w:rPr>
                <w:rFonts w:hint="eastAsia" w:ascii="宋体" w:hAnsi="宋体" w:cs="宋体"/>
                <w:kern w:val="0"/>
              </w:rPr>
              <w:t>（6）应当设置下降限速装置、门架前倾自锁装置，如果下降限速阀与升降油缸采用软管连接，还应当有防止爆管装置。</w:t>
            </w:r>
          </w:p>
        </w:tc>
        <w:tc>
          <w:tcPr>
            <w:tcW w:w="394" w:type="pct"/>
            <w:shd w:val="clear" w:color="auto" w:fill="auto"/>
            <w:noWrap/>
            <w:vAlign w:val="center"/>
          </w:tcPr>
          <w:p w14:paraId="4863678E">
            <w:pPr>
              <w:widowControl/>
              <w:jc w:val="center"/>
              <w:rPr>
                <w:rFonts w:ascii="宋体" w:hAnsi="宋体" w:cs="宋体"/>
                <w:kern w:val="0"/>
              </w:rPr>
            </w:pPr>
          </w:p>
        </w:tc>
        <w:tc>
          <w:tcPr>
            <w:tcW w:w="400" w:type="pct"/>
            <w:shd w:val="clear" w:color="auto" w:fill="auto"/>
            <w:noWrap/>
            <w:vAlign w:val="center"/>
          </w:tcPr>
          <w:p w14:paraId="560AA459">
            <w:pPr>
              <w:widowControl/>
              <w:jc w:val="center"/>
              <w:rPr>
                <w:rFonts w:ascii="宋体" w:hAnsi="宋体" w:cs="宋体"/>
                <w:kern w:val="0"/>
              </w:rPr>
            </w:pPr>
          </w:p>
        </w:tc>
      </w:tr>
      <w:tr w14:paraId="3048A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2029CA75">
            <w:pPr>
              <w:widowControl/>
              <w:jc w:val="center"/>
              <w:rPr>
                <w:rFonts w:ascii="宋体" w:hAnsi="宋体" w:cs="宋体"/>
                <w:kern w:val="0"/>
              </w:rPr>
            </w:pPr>
          </w:p>
        </w:tc>
        <w:tc>
          <w:tcPr>
            <w:tcW w:w="577" w:type="pct"/>
            <w:vMerge w:val="continue"/>
            <w:vAlign w:val="center"/>
          </w:tcPr>
          <w:p w14:paraId="1CE98ABA">
            <w:pPr>
              <w:widowControl/>
              <w:jc w:val="left"/>
              <w:rPr>
                <w:rFonts w:ascii="宋体" w:hAnsi="宋体" w:cs="宋体"/>
                <w:kern w:val="0"/>
              </w:rPr>
            </w:pPr>
          </w:p>
        </w:tc>
        <w:tc>
          <w:tcPr>
            <w:tcW w:w="3187" w:type="pct"/>
            <w:shd w:val="clear" w:color="auto" w:fill="auto"/>
            <w:vAlign w:val="center"/>
          </w:tcPr>
          <w:p w14:paraId="61D324E5">
            <w:pPr>
              <w:widowControl/>
              <w:rPr>
                <w:rFonts w:ascii="宋体" w:hAnsi="宋体" w:cs="宋体"/>
                <w:kern w:val="0"/>
              </w:rPr>
            </w:pPr>
            <w:r>
              <w:rPr>
                <w:rFonts w:hint="eastAsia" w:ascii="宋体" w:hAnsi="宋体" w:cs="宋体"/>
                <w:kern w:val="0"/>
              </w:rPr>
              <w:t>（7）起升装置应当设置防越程装置，防止货叉架和门架上的运动部件从门架上端意外脱落。</w:t>
            </w:r>
          </w:p>
        </w:tc>
        <w:tc>
          <w:tcPr>
            <w:tcW w:w="394" w:type="pct"/>
            <w:shd w:val="clear" w:color="auto" w:fill="auto"/>
            <w:noWrap/>
            <w:vAlign w:val="center"/>
          </w:tcPr>
          <w:p w14:paraId="489C3D62">
            <w:pPr>
              <w:widowControl/>
              <w:jc w:val="center"/>
              <w:rPr>
                <w:rFonts w:ascii="宋体" w:hAnsi="宋体" w:cs="宋体"/>
                <w:kern w:val="0"/>
              </w:rPr>
            </w:pPr>
          </w:p>
        </w:tc>
        <w:tc>
          <w:tcPr>
            <w:tcW w:w="400" w:type="pct"/>
            <w:shd w:val="clear" w:color="auto" w:fill="auto"/>
            <w:noWrap/>
            <w:vAlign w:val="center"/>
          </w:tcPr>
          <w:p w14:paraId="6F736591">
            <w:pPr>
              <w:widowControl/>
              <w:jc w:val="center"/>
              <w:rPr>
                <w:rFonts w:ascii="宋体" w:hAnsi="宋体" w:cs="宋体"/>
                <w:kern w:val="0"/>
              </w:rPr>
            </w:pPr>
          </w:p>
        </w:tc>
      </w:tr>
      <w:tr w14:paraId="4830E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39" w:type="pct"/>
            <w:vMerge w:val="continue"/>
            <w:shd w:val="clear" w:color="auto" w:fill="auto"/>
            <w:noWrap/>
            <w:vAlign w:val="center"/>
          </w:tcPr>
          <w:p w14:paraId="4E00EA63">
            <w:pPr>
              <w:widowControl/>
              <w:jc w:val="center"/>
              <w:rPr>
                <w:rFonts w:ascii="宋体" w:hAnsi="宋体" w:cs="宋体"/>
                <w:kern w:val="0"/>
              </w:rPr>
            </w:pPr>
          </w:p>
        </w:tc>
        <w:tc>
          <w:tcPr>
            <w:tcW w:w="577" w:type="pct"/>
            <w:vMerge w:val="continue"/>
            <w:vAlign w:val="center"/>
          </w:tcPr>
          <w:p w14:paraId="63AF4546">
            <w:pPr>
              <w:widowControl/>
              <w:jc w:val="left"/>
              <w:rPr>
                <w:rFonts w:ascii="宋体" w:hAnsi="宋体" w:cs="宋体"/>
                <w:kern w:val="0"/>
              </w:rPr>
            </w:pPr>
          </w:p>
        </w:tc>
        <w:tc>
          <w:tcPr>
            <w:tcW w:w="3187" w:type="pct"/>
            <w:shd w:val="clear" w:color="auto" w:fill="auto"/>
            <w:vAlign w:val="center"/>
          </w:tcPr>
          <w:p w14:paraId="69FA9F68">
            <w:pPr>
              <w:widowControl/>
              <w:rPr>
                <w:rFonts w:ascii="宋体" w:hAnsi="宋体" w:cs="宋体"/>
                <w:kern w:val="0"/>
              </w:rPr>
            </w:pPr>
            <w:r>
              <w:rPr>
                <w:rFonts w:hint="eastAsia" w:ascii="宋体" w:hAnsi="宋体" w:cs="宋体"/>
                <w:kern w:val="0"/>
              </w:rPr>
              <w:t>（8）挡货架上开口的两个尺寸中应当有一个不大于150mm。</w:t>
            </w:r>
          </w:p>
        </w:tc>
        <w:tc>
          <w:tcPr>
            <w:tcW w:w="394" w:type="pct"/>
            <w:shd w:val="clear" w:color="auto" w:fill="auto"/>
            <w:noWrap/>
            <w:vAlign w:val="center"/>
          </w:tcPr>
          <w:p w14:paraId="4C21192B">
            <w:pPr>
              <w:widowControl/>
              <w:jc w:val="center"/>
              <w:rPr>
                <w:rFonts w:ascii="宋体" w:hAnsi="宋体" w:cs="宋体"/>
                <w:kern w:val="0"/>
              </w:rPr>
            </w:pPr>
          </w:p>
        </w:tc>
        <w:tc>
          <w:tcPr>
            <w:tcW w:w="400" w:type="pct"/>
            <w:shd w:val="clear" w:color="auto" w:fill="auto"/>
            <w:noWrap/>
            <w:vAlign w:val="center"/>
          </w:tcPr>
          <w:p w14:paraId="1364873C">
            <w:pPr>
              <w:widowControl/>
              <w:jc w:val="center"/>
              <w:rPr>
                <w:rFonts w:ascii="宋体" w:hAnsi="宋体" w:cs="宋体"/>
                <w:kern w:val="0"/>
              </w:rPr>
            </w:pPr>
          </w:p>
        </w:tc>
      </w:tr>
      <w:tr w14:paraId="3894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439" w:type="pct"/>
            <w:vMerge w:val="continue"/>
            <w:shd w:val="clear" w:color="auto" w:fill="auto"/>
            <w:noWrap/>
            <w:vAlign w:val="center"/>
          </w:tcPr>
          <w:p w14:paraId="2C368956">
            <w:pPr>
              <w:widowControl/>
              <w:jc w:val="center"/>
              <w:rPr>
                <w:rFonts w:ascii="宋体" w:hAnsi="宋体" w:cs="宋体"/>
                <w:kern w:val="0"/>
              </w:rPr>
            </w:pPr>
          </w:p>
        </w:tc>
        <w:tc>
          <w:tcPr>
            <w:tcW w:w="577" w:type="pct"/>
            <w:vMerge w:val="continue"/>
            <w:vAlign w:val="center"/>
          </w:tcPr>
          <w:p w14:paraId="0420AF99">
            <w:pPr>
              <w:widowControl/>
              <w:jc w:val="left"/>
              <w:rPr>
                <w:rFonts w:ascii="宋体" w:hAnsi="宋体" w:cs="宋体"/>
                <w:kern w:val="0"/>
              </w:rPr>
            </w:pPr>
          </w:p>
        </w:tc>
        <w:tc>
          <w:tcPr>
            <w:tcW w:w="3187" w:type="pct"/>
            <w:shd w:val="clear" w:color="auto" w:fill="auto"/>
            <w:vAlign w:val="center"/>
          </w:tcPr>
          <w:p w14:paraId="7ECA32E7">
            <w:pPr>
              <w:widowControl/>
              <w:rPr>
                <w:rFonts w:ascii="宋体" w:hAnsi="宋体" w:cs="宋体"/>
                <w:kern w:val="0"/>
              </w:rPr>
            </w:pPr>
            <w:r>
              <w:rPr>
                <w:rFonts w:hint="eastAsia" w:ascii="宋体" w:hAnsi="宋体" w:cs="宋体"/>
                <w:kern w:val="0"/>
              </w:rPr>
              <w:t>（9）应当有避免正常操作的司机与车轮接触以及被车轮</w:t>
            </w:r>
            <w:r>
              <w:rPr>
                <w:rFonts w:hint="eastAsia" w:ascii="宋体" w:hAnsi="宋体" w:cs="宋体"/>
                <w:kern w:val="0"/>
                <w:lang w:val="en-US" w:eastAsia="zh-CN"/>
              </w:rPr>
              <w:t>甩</w:t>
            </w:r>
            <w:r>
              <w:rPr>
                <w:rFonts w:hint="eastAsia" w:ascii="宋体" w:hAnsi="宋体" w:cs="宋体"/>
                <w:kern w:val="0"/>
              </w:rPr>
              <w:t>出物体伤害的保护装置；对于转向轮，只需对其直线行驶状态进行防护。</w:t>
            </w:r>
          </w:p>
        </w:tc>
        <w:tc>
          <w:tcPr>
            <w:tcW w:w="394" w:type="pct"/>
            <w:shd w:val="clear" w:color="auto" w:fill="auto"/>
            <w:noWrap/>
            <w:vAlign w:val="center"/>
          </w:tcPr>
          <w:p w14:paraId="2391902A">
            <w:pPr>
              <w:widowControl/>
              <w:jc w:val="center"/>
              <w:rPr>
                <w:rFonts w:ascii="宋体" w:hAnsi="宋体" w:cs="宋体"/>
                <w:kern w:val="0"/>
              </w:rPr>
            </w:pPr>
          </w:p>
        </w:tc>
        <w:tc>
          <w:tcPr>
            <w:tcW w:w="400" w:type="pct"/>
            <w:shd w:val="clear" w:color="auto" w:fill="auto"/>
            <w:noWrap/>
            <w:vAlign w:val="center"/>
          </w:tcPr>
          <w:p w14:paraId="11B16F5F">
            <w:pPr>
              <w:widowControl/>
              <w:jc w:val="center"/>
              <w:rPr>
                <w:rFonts w:ascii="宋体" w:hAnsi="宋体" w:cs="宋体"/>
                <w:kern w:val="0"/>
              </w:rPr>
            </w:pPr>
          </w:p>
        </w:tc>
      </w:tr>
      <w:tr w14:paraId="2DC49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22A16942">
            <w:pPr>
              <w:widowControl/>
              <w:jc w:val="center"/>
              <w:rPr>
                <w:rFonts w:ascii="宋体" w:hAnsi="宋体" w:cs="宋体"/>
                <w:kern w:val="0"/>
              </w:rPr>
            </w:pPr>
          </w:p>
        </w:tc>
        <w:tc>
          <w:tcPr>
            <w:tcW w:w="577" w:type="pct"/>
            <w:vMerge w:val="continue"/>
            <w:vAlign w:val="center"/>
          </w:tcPr>
          <w:p w14:paraId="172803BA">
            <w:pPr>
              <w:widowControl/>
              <w:jc w:val="left"/>
              <w:rPr>
                <w:rFonts w:ascii="宋体" w:hAnsi="宋体" w:cs="宋体"/>
                <w:kern w:val="0"/>
              </w:rPr>
            </w:pPr>
          </w:p>
        </w:tc>
        <w:tc>
          <w:tcPr>
            <w:tcW w:w="3187" w:type="pct"/>
            <w:shd w:val="clear" w:color="auto" w:fill="auto"/>
            <w:vAlign w:val="center"/>
          </w:tcPr>
          <w:p w14:paraId="5DA7BB8F">
            <w:pPr>
              <w:widowControl/>
              <w:rPr>
                <w:rFonts w:ascii="宋体" w:hAnsi="宋体" w:cs="宋体"/>
                <w:kern w:val="0"/>
              </w:rPr>
            </w:pPr>
            <w:r>
              <w:rPr>
                <w:rFonts w:hint="eastAsia" w:ascii="宋体" w:hAnsi="宋体" w:cs="宋体"/>
                <w:kern w:val="0"/>
              </w:rPr>
              <w:t>（10）没有安装护顶架的带有折叠站板的步驾式叉车，当其侧面防护装置处于保护位置时，起升高度不大于1800mm。</w:t>
            </w:r>
          </w:p>
        </w:tc>
        <w:tc>
          <w:tcPr>
            <w:tcW w:w="394" w:type="pct"/>
            <w:shd w:val="clear" w:color="auto" w:fill="auto"/>
            <w:noWrap/>
            <w:vAlign w:val="center"/>
          </w:tcPr>
          <w:p w14:paraId="1A92D77A">
            <w:pPr>
              <w:widowControl/>
              <w:jc w:val="center"/>
              <w:rPr>
                <w:rFonts w:ascii="宋体" w:hAnsi="宋体" w:cs="宋体"/>
                <w:kern w:val="0"/>
              </w:rPr>
            </w:pPr>
          </w:p>
        </w:tc>
        <w:tc>
          <w:tcPr>
            <w:tcW w:w="400" w:type="pct"/>
            <w:shd w:val="clear" w:color="auto" w:fill="auto"/>
            <w:noWrap/>
            <w:vAlign w:val="center"/>
          </w:tcPr>
          <w:p w14:paraId="6825FE63">
            <w:pPr>
              <w:widowControl/>
              <w:jc w:val="center"/>
              <w:rPr>
                <w:rFonts w:ascii="宋体" w:hAnsi="宋体" w:cs="宋体"/>
                <w:kern w:val="0"/>
              </w:rPr>
            </w:pPr>
          </w:p>
        </w:tc>
      </w:tr>
      <w:tr w14:paraId="69887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39ECFC35">
            <w:pPr>
              <w:widowControl/>
              <w:jc w:val="center"/>
              <w:rPr>
                <w:rFonts w:ascii="宋体" w:hAnsi="宋体" w:cs="宋体"/>
                <w:kern w:val="0"/>
              </w:rPr>
            </w:pPr>
          </w:p>
        </w:tc>
        <w:tc>
          <w:tcPr>
            <w:tcW w:w="577" w:type="pct"/>
            <w:vMerge w:val="continue"/>
            <w:vAlign w:val="center"/>
          </w:tcPr>
          <w:p w14:paraId="346A0629">
            <w:pPr>
              <w:widowControl/>
              <w:jc w:val="left"/>
              <w:rPr>
                <w:rFonts w:ascii="宋体" w:hAnsi="宋体" w:cs="宋体"/>
                <w:kern w:val="0"/>
              </w:rPr>
            </w:pPr>
          </w:p>
        </w:tc>
        <w:tc>
          <w:tcPr>
            <w:tcW w:w="3187" w:type="pct"/>
            <w:shd w:val="clear" w:color="auto" w:fill="auto"/>
            <w:vAlign w:val="center"/>
          </w:tcPr>
          <w:p w14:paraId="6CF0BA77">
            <w:pPr>
              <w:widowControl/>
              <w:rPr>
                <w:rFonts w:ascii="宋体" w:hAnsi="宋体" w:cs="宋体"/>
                <w:kern w:val="0"/>
              </w:rPr>
            </w:pPr>
            <w:r>
              <w:rPr>
                <w:rFonts w:hint="eastAsia" w:ascii="宋体" w:hAnsi="宋体" w:cs="宋体"/>
                <w:kern w:val="0"/>
              </w:rPr>
              <w:t>（11）步驾式叉车，舵柄头部在操作位置与固体物（如司机的身体）接触时，能促使车辆朝远离司机的方向运行，直到该装置上的压力被解除或者实施制动使车辆停下，且该装置可靠有效。</w:t>
            </w:r>
          </w:p>
        </w:tc>
        <w:tc>
          <w:tcPr>
            <w:tcW w:w="394" w:type="pct"/>
            <w:shd w:val="clear" w:color="auto" w:fill="auto"/>
            <w:noWrap/>
            <w:vAlign w:val="center"/>
          </w:tcPr>
          <w:p w14:paraId="5CA56386">
            <w:pPr>
              <w:widowControl/>
              <w:jc w:val="center"/>
              <w:rPr>
                <w:rFonts w:ascii="宋体" w:hAnsi="宋体" w:cs="宋体"/>
                <w:kern w:val="0"/>
              </w:rPr>
            </w:pPr>
          </w:p>
        </w:tc>
        <w:tc>
          <w:tcPr>
            <w:tcW w:w="400" w:type="pct"/>
            <w:shd w:val="clear" w:color="auto" w:fill="auto"/>
            <w:noWrap/>
            <w:vAlign w:val="center"/>
          </w:tcPr>
          <w:p w14:paraId="38CEED71">
            <w:pPr>
              <w:widowControl/>
              <w:jc w:val="center"/>
              <w:rPr>
                <w:rFonts w:ascii="宋体" w:hAnsi="宋体" w:cs="宋体"/>
                <w:kern w:val="0"/>
              </w:rPr>
            </w:pPr>
          </w:p>
        </w:tc>
      </w:tr>
      <w:tr w14:paraId="5C80A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39" w:type="pct"/>
            <w:vMerge w:val="continue"/>
            <w:shd w:val="clear" w:color="auto" w:fill="auto"/>
            <w:noWrap/>
            <w:vAlign w:val="center"/>
          </w:tcPr>
          <w:p w14:paraId="1631D1BD">
            <w:pPr>
              <w:widowControl/>
              <w:jc w:val="center"/>
              <w:rPr>
                <w:rFonts w:ascii="宋体" w:hAnsi="宋体" w:cs="宋体"/>
                <w:kern w:val="0"/>
              </w:rPr>
            </w:pPr>
          </w:p>
        </w:tc>
        <w:tc>
          <w:tcPr>
            <w:tcW w:w="577" w:type="pct"/>
            <w:vMerge w:val="continue"/>
            <w:vAlign w:val="center"/>
          </w:tcPr>
          <w:p w14:paraId="51CECFA2">
            <w:pPr>
              <w:widowControl/>
              <w:jc w:val="left"/>
              <w:rPr>
                <w:rFonts w:ascii="宋体" w:hAnsi="宋体" w:cs="宋体"/>
                <w:kern w:val="0"/>
              </w:rPr>
            </w:pPr>
          </w:p>
        </w:tc>
        <w:tc>
          <w:tcPr>
            <w:tcW w:w="3187" w:type="pct"/>
            <w:shd w:val="clear" w:color="auto" w:fill="auto"/>
            <w:vAlign w:val="center"/>
          </w:tcPr>
          <w:p w14:paraId="18A05961">
            <w:pPr>
              <w:widowControl/>
              <w:rPr>
                <w:rFonts w:ascii="宋体" w:hAnsi="宋体" w:cs="宋体"/>
                <w:kern w:val="0"/>
              </w:rPr>
            </w:pPr>
            <w:r>
              <w:rPr>
                <w:rFonts w:hint="eastAsia" w:ascii="宋体" w:hAnsi="宋体" w:cs="宋体"/>
                <w:kern w:val="0"/>
              </w:rPr>
              <w:t>（12）对带站驾板的步驾式叉车，悬挂在车架上的站板应当能自动折叠或者回转到直立位置；无法实现自动折叠站板的应当有保护装置，防止司机未站立在站板上或者站板未处于折起位置时叉车移动或者运行。</w:t>
            </w:r>
          </w:p>
        </w:tc>
        <w:tc>
          <w:tcPr>
            <w:tcW w:w="394" w:type="pct"/>
            <w:shd w:val="clear" w:color="auto" w:fill="auto"/>
            <w:noWrap/>
            <w:vAlign w:val="center"/>
          </w:tcPr>
          <w:p w14:paraId="0F9976FD">
            <w:pPr>
              <w:widowControl/>
              <w:jc w:val="center"/>
              <w:rPr>
                <w:rFonts w:ascii="宋体" w:hAnsi="宋体" w:cs="宋体"/>
                <w:kern w:val="0"/>
              </w:rPr>
            </w:pPr>
          </w:p>
        </w:tc>
        <w:tc>
          <w:tcPr>
            <w:tcW w:w="400" w:type="pct"/>
            <w:shd w:val="clear" w:color="auto" w:fill="auto"/>
            <w:noWrap/>
            <w:vAlign w:val="center"/>
          </w:tcPr>
          <w:p w14:paraId="0F8D62E8">
            <w:pPr>
              <w:widowControl/>
              <w:jc w:val="center"/>
              <w:rPr>
                <w:rFonts w:ascii="宋体" w:hAnsi="宋体" w:cs="宋体"/>
                <w:kern w:val="0"/>
              </w:rPr>
            </w:pPr>
          </w:p>
        </w:tc>
      </w:tr>
      <w:tr w14:paraId="592A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continue"/>
            <w:shd w:val="clear" w:color="auto" w:fill="auto"/>
            <w:noWrap/>
            <w:vAlign w:val="center"/>
          </w:tcPr>
          <w:p w14:paraId="7CA01F07">
            <w:pPr>
              <w:widowControl/>
              <w:jc w:val="center"/>
              <w:rPr>
                <w:rFonts w:ascii="宋体" w:hAnsi="宋体" w:cs="宋体"/>
                <w:kern w:val="0"/>
              </w:rPr>
            </w:pPr>
          </w:p>
        </w:tc>
        <w:tc>
          <w:tcPr>
            <w:tcW w:w="577" w:type="pct"/>
            <w:vMerge w:val="continue"/>
            <w:vAlign w:val="center"/>
          </w:tcPr>
          <w:p w14:paraId="3EDC0EAF">
            <w:pPr>
              <w:widowControl/>
              <w:jc w:val="left"/>
              <w:rPr>
                <w:rFonts w:ascii="宋体" w:hAnsi="宋体" w:cs="宋体"/>
                <w:kern w:val="0"/>
              </w:rPr>
            </w:pPr>
          </w:p>
        </w:tc>
        <w:tc>
          <w:tcPr>
            <w:tcW w:w="3187" w:type="pct"/>
            <w:shd w:val="clear" w:color="auto" w:fill="auto"/>
            <w:vAlign w:val="center"/>
          </w:tcPr>
          <w:p w14:paraId="459D7097">
            <w:pPr>
              <w:widowControl/>
              <w:rPr>
                <w:rFonts w:ascii="宋体" w:hAnsi="宋体" w:cs="宋体"/>
                <w:kern w:val="0"/>
              </w:rPr>
            </w:pPr>
            <w:r>
              <w:rPr>
                <w:rFonts w:hint="eastAsia" w:ascii="宋体" w:hAnsi="宋体" w:cs="宋体"/>
                <w:kern w:val="0"/>
              </w:rPr>
              <w:t>（13）对带站驾板的步驾式叉车，当站板保护装置和司机侧面围护装置处于保护位置时，叉车的运行速度才可超过6km/h。</w:t>
            </w:r>
          </w:p>
        </w:tc>
        <w:tc>
          <w:tcPr>
            <w:tcW w:w="394" w:type="pct"/>
            <w:shd w:val="clear" w:color="auto" w:fill="auto"/>
            <w:noWrap/>
            <w:vAlign w:val="center"/>
          </w:tcPr>
          <w:p w14:paraId="50C4A06C">
            <w:pPr>
              <w:widowControl/>
              <w:jc w:val="center"/>
              <w:rPr>
                <w:rFonts w:ascii="宋体" w:hAnsi="宋体" w:cs="宋体"/>
                <w:kern w:val="0"/>
              </w:rPr>
            </w:pPr>
          </w:p>
        </w:tc>
        <w:tc>
          <w:tcPr>
            <w:tcW w:w="400" w:type="pct"/>
            <w:shd w:val="clear" w:color="auto" w:fill="auto"/>
            <w:noWrap/>
            <w:vAlign w:val="center"/>
          </w:tcPr>
          <w:p w14:paraId="10ADDE13">
            <w:pPr>
              <w:widowControl/>
              <w:jc w:val="center"/>
              <w:rPr>
                <w:rFonts w:ascii="宋体" w:hAnsi="宋体" w:cs="宋体"/>
                <w:kern w:val="0"/>
              </w:rPr>
            </w:pPr>
          </w:p>
        </w:tc>
      </w:tr>
      <w:tr w14:paraId="5AB2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39" w:type="pct"/>
            <w:vMerge w:val="continue"/>
            <w:shd w:val="clear" w:color="auto" w:fill="auto"/>
            <w:noWrap/>
            <w:vAlign w:val="center"/>
          </w:tcPr>
          <w:p w14:paraId="7E1CEB5A">
            <w:pPr>
              <w:widowControl/>
              <w:jc w:val="center"/>
              <w:rPr>
                <w:rFonts w:ascii="宋体" w:hAnsi="宋体" w:cs="宋体"/>
                <w:kern w:val="0"/>
              </w:rPr>
            </w:pPr>
          </w:p>
        </w:tc>
        <w:tc>
          <w:tcPr>
            <w:tcW w:w="577" w:type="pct"/>
            <w:vMerge w:val="continue"/>
            <w:vAlign w:val="center"/>
          </w:tcPr>
          <w:p w14:paraId="2EBBBEB6">
            <w:pPr>
              <w:widowControl/>
              <w:jc w:val="left"/>
              <w:rPr>
                <w:rFonts w:ascii="宋体" w:hAnsi="宋体" w:cs="宋体"/>
                <w:kern w:val="0"/>
              </w:rPr>
            </w:pPr>
          </w:p>
        </w:tc>
        <w:tc>
          <w:tcPr>
            <w:tcW w:w="3187" w:type="pct"/>
            <w:shd w:val="clear" w:color="auto" w:fill="auto"/>
            <w:vAlign w:val="center"/>
          </w:tcPr>
          <w:p w14:paraId="770DA8AA">
            <w:pPr>
              <w:widowControl/>
              <w:rPr>
                <w:rFonts w:ascii="宋体" w:hAnsi="宋体" w:cs="宋体"/>
                <w:kern w:val="0"/>
              </w:rPr>
            </w:pPr>
            <w:r>
              <w:rPr>
                <w:rFonts w:hint="eastAsia" w:ascii="宋体" w:hAnsi="宋体" w:cs="宋体"/>
                <w:kern w:val="0"/>
              </w:rPr>
              <w:t>（14）护顶架（司机室）与车辆连接应当紧固，结构件及其配件应当无裂纹、分离，顶棚垂直方向应当无明显的永久变形。</w:t>
            </w:r>
          </w:p>
        </w:tc>
        <w:tc>
          <w:tcPr>
            <w:tcW w:w="394" w:type="pct"/>
            <w:shd w:val="clear" w:color="auto" w:fill="auto"/>
            <w:noWrap/>
            <w:vAlign w:val="center"/>
          </w:tcPr>
          <w:p w14:paraId="454FF00A">
            <w:pPr>
              <w:widowControl/>
              <w:jc w:val="center"/>
              <w:rPr>
                <w:rFonts w:ascii="宋体" w:hAnsi="宋体" w:cs="宋体"/>
                <w:kern w:val="0"/>
              </w:rPr>
            </w:pPr>
          </w:p>
        </w:tc>
        <w:tc>
          <w:tcPr>
            <w:tcW w:w="400" w:type="pct"/>
            <w:shd w:val="clear" w:color="auto" w:fill="auto"/>
            <w:noWrap/>
            <w:vAlign w:val="center"/>
          </w:tcPr>
          <w:p w14:paraId="01AD52BC">
            <w:pPr>
              <w:widowControl/>
              <w:jc w:val="center"/>
              <w:rPr>
                <w:rFonts w:ascii="宋体" w:hAnsi="宋体" w:cs="宋体"/>
                <w:kern w:val="0"/>
              </w:rPr>
            </w:pPr>
          </w:p>
        </w:tc>
      </w:tr>
      <w:tr w14:paraId="5964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439" w:type="pct"/>
            <w:vMerge w:val="restart"/>
            <w:shd w:val="clear" w:color="auto" w:fill="auto"/>
            <w:noWrap/>
            <w:vAlign w:val="center"/>
          </w:tcPr>
          <w:p w14:paraId="658A69EB">
            <w:pPr>
              <w:widowControl/>
              <w:jc w:val="center"/>
              <w:rPr>
                <w:rFonts w:ascii="宋体" w:hAnsi="宋体" w:cs="宋体"/>
                <w:kern w:val="0"/>
              </w:rPr>
            </w:pPr>
            <w:r>
              <w:rPr>
                <w:rFonts w:hint="eastAsia" w:ascii="宋体" w:hAnsi="宋体" w:cs="宋体"/>
                <w:kern w:val="0"/>
              </w:rPr>
              <w:t>15</w:t>
            </w:r>
          </w:p>
        </w:tc>
        <w:tc>
          <w:tcPr>
            <w:tcW w:w="577" w:type="pct"/>
            <w:vMerge w:val="restart"/>
            <w:shd w:val="clear" w:color="auto" w:fill="auto"/>
            <w:vAlign w:val="center"/>
          </w:tcPr>
          <w:p w14:paraId="3E90D9B6">
            <w:pPr>
              <w:widowControl/>
              <w:jc w:val="center"/>
              <w:rPr>
                <w:rFonts w:ascii="宋体" w:hAnsi="宋体" w:cs="宋体"/>
                <w:kern w:val="0"/>
              </w:rPr>
            </w:pPr>
            <w:r>
              <w:rPr>
                <w:rFonts w:hint="eastAsia" w:ascii="宋体" w:hAnsi="宋体" w:cs="宋体"/>
                <w:kern w:val="0"/>
              </w:rPr>
              <w:t>15</w:t>
            </w:r>
            <w:r>
              <w:rPr>
                <w:rFonts w:hint="eastAsia" w:ascii="宋体" w:hAnsi="宋体" w:cs="宋体"/>
                <w:kern w:val="0"/>
              </w:rPr>
              <w:br w:type="textWrapping"/>
            </w:r>
            <w:r>
              <w:rPr>
                <w:rFonts w:hint="eastAsia" w:ascii="宋体" w:hAnsi="宋体" w:cs="宋体"/>
                <w:kern w:val="0"/>
              </w:rPr>
              <w:t>安全监控</w:t>
            </w:r>
            <w:r>
              <w:rPr>
                <w:rFonts w:hint="eastAsia" w:ascii="宋体" w:hAnsi="宋体" w:cs="宋体"/>
                <w:kern w:val="0"/>
              </w:rPr>
              <w:br w:type="textWrapping"/>
            </w:r>
            <w:r>
              <w:rPr>
                <w:rFonts w:hint="eastAsia" w:ascii="宋体" w:hAnsi="宋体" w:cs="宋体"/>
                <w:kern w:val="0"/>
              </w:rPr>
              <w:t>装置</w:t>
            </w:r>
          </w:p>
        </w:tc>
        <w:tc>
          <w:tcPr>
            <w:tcW w:w="3187" w:type="pct"/>
            <w:shd w:val="clear" w:color="auto" w:fill="auto"/>
            <w:vAlign w:val="center"/>
          </w:tcPr>
          <w:p w14:paraId="1EACAEB3">
            <w:pPr>
              <w:widowControl/>
              <w:rPr>
                <w:rFonts w:ascii="宋体" w:hAnsi="宋体" w:cs="宋体"/>
                <w:kern w:val="0"/>
              </w:rPr>
            </w:pPr>
            <w:r>
              <w:rPr>
                <w:rFonts w:hint="eastAsia" w:ascii="宋体" w:hAnsi="宋体" w:cs="宋体"/>
                <w:kern w:val="0"/>
              </w:rPr>
              <w:t>（1）乘驾式电动叉车、电液换向的乘驾式内燃平衡重式叉车、电液换向的乘驾式内燃侧面式叉车设置的司机坐（站）姿状态感知系统，当司机不在正常操作位置时，车辆不能进行动力运行，即使操纵载荷装卸控制装置，也不应当出现门架的倾斜和货叉架的移动。</w:t>
            </w:r>
          </w:p>
        </w:tc>
        <w:tc>
          <w:tcPr>
            <w:tcW w:w="394" w:type="pct"/>
            <w:shd w:val="clear" w:color="auto" w:fill="auto"/>
            <w:noWrap/>
            <w:vAlign w:val="center"/>
          </w:tcPr>
          <w:p w14:paraId="3EFDCF1E">
            <w:pPr>
              <w:widowControl/>
              <w:jc w:val="center"/>
              <w:rPr>
                <w:rFonts w:ascii="宋体" w:hAnsi="宋体" w:cs="宋体"/>
                <w:kern w:val="0"/>
              </w:rPr>
            </w:pPr>
          </w:p>
        </w:tc>
        <w:tc>
          <w:tcPr>
            <w:tcW w:w="400" w:type="pct"/>
            <w:shd w:val="clear" w:color="auto" w:fill="auto"/>
            <w:noWrap/>
            <w:vAlign w:val="center"/>
          </w:tcPr>
          <w:p w14:paraId="1E7E23EA">
            <w:pPr>
              <w:widowControl/>
              <w:jc w:val="center"/>
              <w:rPr>
                <w:rFonts w:ascii="宋体" w:hAnsi="宋体" w:cs="宋体"/>
                <w:kern w:val="0"/>
              </w:rPr>
            </w:pPr>
          </w:p>
        </w:tc>
      </w:tr>
      <w:tr w14:paraId="344B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39" w:type="pct"/>
            <w:vMerge w:val="continue"/>
            <w:shd w:val="clear" w:color="auto" w:fill="auto"/>
            <w:noWrap/>
            <w:vAlign w:val="center"/>
          </w:tcPr>
          <w:p w14:paraId="0661B38B">
            <w:pPr>
              <w:widowControl/>
              <w:jc w:val="center"/>
              <w:rPr>
                <w:rFonts w:ascii="宋体" w:hAnsi="宋体" w:cs="宋体"/>
                <w:kern w:val="0"/>
              </w:rPr>
            </w:pPr>
          </w:p>
        </w:tc>
        <w:tc>
          <w:tcPr>
            <w:tcW w:w="577" w:type="pct"/>
            <w:vMerge w:val="continue"/>
            <w:shd w:val="clear" w:color="auto" w:fill="auto"/>
            <w:vAlign w:val="center"/>
          </w:tcPr>
          <w:p w14:paraId="2AC963BC">
            <w:pPr>
              <w:widowControl/>
              <w:jc w:val="left"/>
              <w:rPr>
                <w:rFonts w:ascii="宋体" w:hAnsi="宋体" w:cs="宋体"/>
                <w:kern w:val="0"/>
              </w:rPr>
            </w:pPr>
          </w:p>
        </w:tc>
        <w:tc>
          <w:tcPr>
            <w:tcW w:w="3187" w:type="pct"/>
            <w:shd w:val="clear" w:color="auto" w:fill="auto"/>
            <w:vAlign w:val="center"/>
          </w:tcPr>
          <w:p w14:paraId="4CF10EE6">
            <w:pPr>
              <w:widowControl/>
              <w:rPr>
                <w:rFonts w:ascii="宋体" w:hAnsi="宋体" w:cs="宋体"/>
                <w:kern w:val="0"/>
              </w:rPr>
            </w:pPr>
            <w:r>
              <w:rPr>
                <w:rFonts w:hint="eastAsia" w:ascii="宋体" w:hAnsi="宋体" w:cs="宋体"/>
                <w:kern w:val="0"/>
              </w:rPr>
              <w:t>（2）司机权限信息采集器应有效，当该采集器失效、拆除或者司机信息不正确时，车辆不能启动。</w:t>
            </w:r>
          </w:p>
        </w:tc>
        <w:tc>
          <w:tcPr>
            <w:tcW w:w="394" w:type="pct"/>
            <w:shd w:val="clear" w:color="auto" w:fill="auto"/>
            <w:noWrap/>
            <w:vAlign w:val="center"/>
          </w:tcPr>
          <w:p w14:paraId="63A9CF31">
            <w:pPr>
              <w:widowControl/>
              <w:jc w:val="center"/>
              <w:rPr>
                <w:rFonts w:ascii="宋体" w:hAnsi="宋体" w:cs="宋体"/>
                <w:kern w:val="0"/>
              </w:rPr>
            </w:pPr>
          </w:p>
        </w:tc>
        <w:tc>
          <w:tcPr>
            <w:tcW w:w="400" w:type="pct"/>
            <w:shd w:val="clear" w:color="auto" w:fill="auto"/>
            <w:noWrap/>
            <w:vAlign w:val="center"/>
          </w:tcPr>
          <w:p w14:paraId="0F6BCA11">
            <w:pPr>
              <w:widowControl/>
              <w:jc w:val="center"/>
              <w:rPr>
                <w:rFonts w:ascii="宋体" w:hAnsi="宋体" w:cs="宋体"/>
                <w:kern w:val="0"/>
              </w:rPr>
            </w:pPr>
          </w:p>
        </w:tc>
      </w:tr>
      <w:tr w14:paraId="103D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 w:hRule="atLeast"/>
          <w:jc w:val="center"/>
        </w:trPr>
        <w:tc>
          <w:tcPr>
            <w:tcW w:w="439" w:type="pct"/>
            <w:vMerge w:val="restart"/>
            <w:shd w:val="clear" w:color="auto" w:fill="auto"/>
            <w:noWrap/>
            <w:vAlign w:val="center"/>
          </w:tcPr>
          <w:p w14:paraId="66FFFBF9">
            <w:pPr>
              <w:jc w:val="center"/>
              <w:rPr>
                <w:rFonts w:ascii="宋体" w:hAnsi="宋体" w:cs="宋体"/>
                <w:kern w:val="0"/>
              </w:rPr>
            </w:pPr>
            <w:r>
              <w:rPr>
                <w:rFonts w:hint="eastAsia" w:ascii="宋体" w:hAnsi="宋体" w:cs="宋体"/>
                <w:kern w:val="0"/>
              </w:rPr>
              <w:t>16</w:t>
            </w:r>
          </w:p>
        </w:tc>
        <w:tc>
          <w:tcPr>
            <w:tcW w:w="577" w:type="pct"/>
            <w:vMerge w:val="restart"/>
            <w:vAlign w:val="center"/>
          </w:tcPr>
          <w:p w14:paraId="7CAD99F8">
            <w:pPr>
              <w:jc w:val="center"/>
              <w:rPr>
                <w:rFonts w:hint="eastAsia" w:ascii="宋体" w:hAnsi="宋体" w:cs="宋体"/>
                <w:kern w:val="0"/>
              </w:rPr>
            </w:pPr>
            <w:r>
              <w:rPr>
                <w:rFonts w:hint="eastAsia" w:ascii="宋体" w:hAnsi="宋体" w:cs="宋体"/>
                <w:kern w:val="0"/>
              </w:rPr>
              <w:t>16</w:t>
            </w:r>
          </w:p>
          <w:p w14:paraId="780D7088">
            <w:pPr>
              <w:jc w:val="center"/>
              <w:rPr>
                <w:rFonts w:ascii="宋体" w:hAnsi="宋体" w:cs="宋体"/>
                <w:kern w:val="0"/>
              </w:rPr>
            </w:pPr>
            <w:r>
              <w:rPr>
                <w:rFonts w:hint="eastAsia" w:ascii="宋体" w:hAnsi="宋体" w:cs="宋体"/>
                <w:kern w:val="0"/>
              </w:rPr>
              <w:t>防爆性能</w:t>
            </w:r>
          </w:p>
          <w:p w14:paraId="0004C82F">
            <w:pPr>
              <w:jc w:val="center"/>
              <w:rPr>
                <w:rFonts w:ascii="宋体" w:hAnsi="宋体" w:cs="宋体"/>
                <w:kern w:val="0"/>
              </w:rPr>
            </w:pPr>
          </w:p>
          <w:p w14:paraId="489CB5A5">
            <w:pPr>
              <w:jc w:val="center"/>
              <w:rPr>
                <w:rFonts w:ascii="宋体" w:hAnsi="宋体" w:cs="宋体"/>
                <w:kern w:val="0"/>
              </w:rPr>
            </w:pPr>
          </w:p>
        </w:tc>
        <w:tc>
          <w:tcPr>
            <w:tcW w:w="3187" w:type="pct"/>
            <w:shd w:val="clear" w:color="auto" w:fill="auto"/>
            <w:vAlign w:val="center"/>
          </w:tcPr>
          <w:p w14:paraId="3B87EF0D">
            <w:pPr>
              <w:rPr>
                <w:rFonts w:ascii="宋体" w:hAnsi="宋体" w:cs="宋体"/>
                <w:kern w:val="0"/>
              </w:rPr>
            </w:pPr>
            <w:r>
              <w:rPr>
                <w:rFonts w:hint="eastAsia" w:ascii="宋体" w:hAnsi="宋体" w:cs="宋体"/>
                <w:kern w:val="0"/>
              </w:rPr>
              <w:t>（1）电气部件及发动机均应当采用防爆型，且其防爆级别不低于整机的防爆要求。</w:t>
            </w:r>
          </w:p>
        </w:tc>
        <w:tc>
          <w:tcPr>
            <w:tcW w:w="394" w:type="pct"/>
            <w:shd w:val="clear" w:color="auto" w:fill="auto"/>
            <w:noWrap/>
            <w:vAlign w:val="center"/>
          </w:tcPr>
          <w:p w14:paraId="166C96B1">
            <w:pPr>
              <w:widowControl/>
              <w:jc w:val="center"/>
              <w:rPr>
                <w:rFonts w:ascii="宋体" w:hAnsi="宋体" w:cs="宋体"/>
                <w:kern w:val="0"/>
              </w:rPr>
            </w:pPr>
          </w:p>
        </w:tc>
        <w:tc>
          <w:tcPr>
            <w:tcW w:w="400" w:type="pct"/>
            <w:shd w:val="clear" w:color="auto" w:fill="auto"/>
            <w:noWrap/>
            <w:vAlign w:val="center"/>
          </w:tcPr>
          <w:p w14:paraId="3F58FE5F">
            <w:pPr>
              <w:widowControl/>
              <w:jc w:val="center"/>
              <w:rPr>
                <w:rFonts w:ascii="宋体" w:hAnsi="宋体" w:cs="宋体"/>
                <w:kern w:val="0"/>
              </w:rPr>
            </w:pPr>
          </w:p>
        </w:tc>
      </w:tr>
      <w:tr w14:paraId="79A5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jc w:val="center"/>
        </w:trPr>
        <w:tc>
          <w:tcPr>
            <w:tcW w:w="439" w:type="pct"/>
            <w:vMerge w:val="continue"/>
            <w:shd w:val="clear" w:color="auto" w:fill="auto"/>
            <w:noWrap/>
            <w:vAlign w:val="center"/>
          </w:tcPr>
          <w:p w14:paraId="5F596B95">
            <w:pPr>
              <w:jc w:val="center"/>
              <w:rPr>
                <w:rFonts w:ascii="宋体" w:hAnsi="宋体" w:cs="宋体"/>
                <w:kern w:val="0"/>
              </w:rPr>
            </w:pPr>
          </w:p>
        </w:tc>
        <w:tc>
          <w:tcPr>
            <w:tcW w:w="577" w:type="pct"/>
            <w:vMerge w:val="continue"/>
            <w:vAlign w:val="center"/>
          </w:tcPr>
          <w:p w14:paraId="5921E6A8">
            <w:pPr>
              <w:jc w:val="left"/>
              <w:rPr>
                <w:rFonts w:ascii="宋体" w:hAnsi="宋体" w:cs="宋体"/>
                <w:kern w:val="0"/>
              </w:rPr>
            </w:pPr>
          </w:p>
        </w:tc>
        <w:tc>
          <w:tcPr>
            <w:tcW w:w="3187" w:type="pct"/>
            <w:shd w:val="clear" w:color="auto" w:fill="auto"/>
            <w:vAlign w:val="center"/>
          </w:tcPr>
          <w:p w14:paraId="2FE816C7">
            <w:pPr>
              <w:rPr>
                <w:rFonts w:ascii="宋体" w:hAnsi="宋体" w:cs="宋体"/>
                <w:kern w:val="0"/>
              </w:rPr>
            </w:pPr>
            <w:r>
              <w:rPr>
                <w:rFonts w:hint="eastAsia" w:ascii="宋体" w:hAnsi="宋体" w:cs="宋体"/>
                <w:kern w:val="0"/>
              </w:rPr>
              <w:t>（2）防爆电气部件外壳应当无损伤，透明件无裂纹，结合面应当紧固严密，紧固件应当无锈蚀、缺损。</w:t>
            </w:r>
          </w:p>
        </w:tc>
        <w:tc>
          <w:tcPr>
            <w:tcW w:w="394" w:type="pct"/>
            <w:shd w:val="clear" w:color="auto" w:fill="auto"/>
            <w:noWrap/>
            <w:vAlign w:val="center"/>
          </w:tcPr>
          <w:p w14:paraId="1AF0519F">
            <w:pPr>
              <w:widowControl/>
              <w:jc w:val="center"/>
              <w:rPr>
                <w:rFonts w:ascii="宋体" w:hAnsi="宋体" w:cs="宋体"/>
                <w:kern w:val="0"/>
              </w:rPr>
            </w:pPr>
          </w:p>
        </w:tc>
        <w:tc>
          <w:tcPr>
            <w:tcW w:w="400" w:type="pct"/>
            <w:shd w:val="clear" w:color="auto" w:fill="auto"/>
            <w:noWrap/>
            <w:vAlign w:val="center"/>
          </w:tcPr>
          <w:p w14:paraId="6D9D3375">
            <w:pPr>
              <w:widowControl/>
              <w:jc w:val="center"/>
              <w:rPr>
                <w:rFonts w:ascii="宋体" w:hAnsi="宋体" w:cs="宋体"/>
                <w:kern w:val="0"/>
              </w:rPr>
            </w:pPr>
          </w:p>
        </w:tc>
      </w:tr>
      <w:tr w14:paraId="16A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439" w:type="pct"/>
            <w:vMerge w:val="continue"/>
            <w:shd w:val="clear" w:color="auto" w:fill="auto"/>
            <w:noWrap/>
            <w:vAlign w:val="center"/>
          </w:tcPr>
          <w:p w14:paraId="63022EA8">
            <w:pPr>
              <w:jc w:val="center"/>
              <w:rPr>
                <w:rFonts w:ascii="宋体" w:hAnsi="宋体" w:cs="宋体"/>
                <w:kern w:val="0"/>
              </w:rPr>
            </w:pPr>
          </w:p>
        </w:tc>
        <w:tc>
          <w:tcPr>
            <w:tcW w:w="577" w:type="pct"/>
            <w:vMerge w:val="continue"/>
            <w:vAlign w:val="center"/>
          </w:tcPr>
          <w:p w14:paraId="0D6D509D">
            <w:pPr>
              <w:jc w:val="left"/>
              <w:rPr>
                <w:rFonts w:ascii="宋体" w:hAnsi="宋体" w:cs="宋体"/>
                <w:kern w:val="0"/>
              </w:rPr>
            </w:pPr>
          </w:p>
        </w:tc>
        <w:tc>
          <w:tcPr>
            <w:tcW w:w="3187" w:type="pct"/>
            <w:shd w:val="clear" w:color="auto" w:fill="auto"/>
            <w:vAlign w:val="center"/>
          </w:tcPr>
          <w:p w14:paraId="39B94B1B">
            <w:pPr>
              <w:rPr>
                <w:rFonts w:ascii="宋体" w:hAnsi="宋体" w:cs="宋体"/>
                <w:kern w:val="0"/>
              </w:rPr>
            </w:pPr>
            <w:r>
              <w:rPr>
                <w:rFonts w:hint="eastAsia" w:ascii="宋体" w:hAnsi="宋体" w:cs="宋体"/>
                <w:kern w:val="0"/>
              </w:rPr>
              <w:t>（3）车辆上所有大于</w:t>
            </w:r>
            <w:bookmarkStart w:id="86" w:name="OLE_LINK73"/>
            <w:bookmarkStart w:id="87" w:name="OLE_LINK72"/>
            <w:r>
              <w:rPr>
                <w:rFonts w:hint="eastAsia" w:ascii="宋体" w:hAnsi="宋体" w:cs="宋体"/>
                <w:kern w:val="0"/>
              </w:rPr>
              <w:t>100㎝²</w:t>
            </w:r>
            <w:bookmarkEnd w:id="86"/>
            <w:bookmarkEnd w:id="87"/>
            <w:r>
              <w:rPr>
                <w:rFonts w:hint="eastAsia" w:ascii="宋体" w:hAnsi="宋体" w:cs="宋体"/>
                <w:kern w:val="0"/>
              </w:rPr>
              <w:t>的金属部件应当等电位地连接到车架上，并且最终通过非火花导电带、导电轮胎等方式与大地良好导通。</w:t>
            </w:r>
          </w:p>
        </w:tc>
        <w:tc>
          <w:tcPr>
            <w:tcW w:w="394" w:type="pct"/>
            <w:shd w:val="clear" w:color="auto" w:fill="auto"/>
            <w:noWrap/>
            <w:vAlign w:val="center"/>
          </w:tcPr>
          <w:p w14:paraId="003CCF71">
            <w:pPr>
              <w:widowControl/>
              <w:jc w:val="center"/>
              <w:rPr>
                <w:rFonts w:ascii="宋体" w:hAnsi="宋体" w:cs="宋体"/>
                <w:kern w:val="0"/>
              </w:rPr>
            </w:pPr>
          </w:p>
        </w:tc>
        <w:tc>
          <w:tcPr>
            <w:tcW w:w="400" w:type="pct"/>
            <w:shd w:val="clear" w:color="auto" w:fill="auto"/>
            <w:noWrap/>
            <w:vAlign w:val="center"/>
          </w:tcPr>
          <w:p w14:paraId="740C7F25">
            <w:pPr>
              <w:widowControl/>
              <w:jc w:val="center"/>
              <w:rPr>
                <w:rFonts w:ascii="宋体" w:hAnsi="宋体" w:cs="宋体"/>
                <w:kern w:val="0"/>
              </w:rPr>
            </w:pPr>
          </w:p>
        </w:tc>
      </w:tr>
      <w:tr w14:paraId="00B9F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jc w:val="center"/>
        </w:trPr>
        <w:tc>
          <w:tcPr>
            <w:tcW w:w="439" w:type="pct"/>
            <w:vMerge w:val="continue"/>
            <w:shd w:val="clear" w:color="auto" w:fill="auto"/>
            <w:noWrap/>
            <w:vAlign w:val="center"/>
          </w:tcPr>
          <w:p w14:paraId="6474495C">
            <w:pPr>
              <w:jc w:val="center"/>
              <w:rPr>
                <w:rFonts w:ascii="宋体" w:hAnsi="宋体" w:cs="宋体"/>
                <w:kern w:val="0"/>
              </w:rPr>
            </w:pPr>
          </w:p>
        </w:tc>
        <w:tc>
          <w:tcPr>
            <w:tcW w:w="577" w:type="pct"/>
            <w:vMerge w:val="continue"/>
            <w:vAlign w:val="center"/>
          </w:tcPr>
          <w:p w14:paraId="546024B1">
            <w:pPr>
              <w:jc w:val="left"/>
              <w:rPr>
                <w:rFonts w:ascii="宋体" w:hAnsi="宋体" w:cs="宋体"/>
              </w:rPr>
            </w:pPr>
          </w:p>
        </w:tc>
        <w:tc>
          <w:tcPr>
            <w:tcW w:w="3187" w:type="pct"/>
            <w:shd w:val="clear" w:color="auto" w:fill="auto"/>
            <w:vAlign w:val="center"/>
          </w:tcPr>
          <w:p w14:paraId="65F6CD43">
            <w:pPr>
              <w:rPr>
                <w:rFonts w:ascii="宋体" w:hAnsi="宋体" w:cs="宋体"/>
                <w:kern w:val="0"/>
              </w:rPr>
            </w:pPr>
            <w:r>
              <w:rPr>
                <w:rFonts w:hint="eastAsia" w:ascii="宋体" w:hAnsi="宋体" w:cs="宋体"/>
                <w:kern w:val="0"/>
              </w:rPr>
              <w:t>（4）蓄电池箱体上设置的永久性“Ex”标志和“危险场所严禁打开”字样的警告牌文字清晰，箱体和箱盖应当设置用专用工具才能打开的锁紧机构。</w:t>
            </w:r>
          </w:p>
        </w:tc>
        <w:tc>
          <w:tcPr>
            <w:tcW w:w="394" w:type="pct"/>
            <w:shd w:val="clear" w:color="auto" w:fill="auto"/>
            <w:noWrap/>
            <w:vAlign w:val="center"/>
          </w:tcPr>
          <w:p w14:paraId="5ABD3495">
            <w:pPr>
              <w:widowControl/>
              <w:jc w:val="center"/>
              <w:rPr>
                <w:rFonts w:ascii="宋体" w:hAnsi="宋体" w:cs="宋体"/>
                <w:kern w:val="0"/>
              </w:rPr>
            </w:pPr>
          </w:p>
        </w:tc>
        <w:tc>
          <w:tcPr>
            <w:tcW w:w="400" w:type="pct"/>
            <w:shd w:val="clear" w:color="auto" w:fill="auto"/>
            <w:noWrap/>
            <w:vAlign w:val="center"/>
          </w:tcPr>
          <w:p w14:paraId="1F0A7A71">
            <w:pPr>
              <w:widowControl/>
              <w:jc w:val="center"/>
              <w:rPr>
                <w:rFonts w:ascii="宋体" w:hAnsi="宋体" w:cs="宋体"/>
                <w:kern w:val="0"/>
              </w:rPr>
            </w:pPr>
          </w:p>
        </w:tc>
      </w:tr>
      <w:tr w14:paraId="5DD8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439" w:type="pct"/>
            <w:vMerge w:val="continue"/>
            <w:shd w:val="clear" w:color="auto" w:fill="auto"/>
            <w:noWrap/>
            <w:vAlign w:val="center"/>
          </w:tcPr>
          <w:p w14:paraId="09159F66">
            <w:pPr>
              <w:jc w:val="center"/>
              <w:rPr>
                <w:rFonts w:ascii="宋体" w:hAnsi="宋体" w:cs="宋体"/>
                <w:kern w:val="0"/>
              </w:rPr>
            </w:pPr>
          </w:p>
        </w:tc>
        <w:tc>
          <w:tcPr>
            <w:tcW w:w="577" w:type="pct"/>
            <w:vMerge w:val="continue"/>
            <w:vAlign w:val="center"/>
          </w:tcPr>
          <w:p w14:paraId="73912EF9">
            <w:pPr>
              <w:jc w:val="left"/>
              <w:rPr>
                <w:rFonts w:ascii="宋体" w:hAnsi="宋体" w:cs="宋体"/>
              </w:rPr>
            </w:pPr>
          </w:p>
        </w:tc>
        <w:tc>
          <w:tcPr>
            <w:tcW w:w="3187" w:type="pct"/>
            <w:shd w:val="clear" w:color="auto" w:fill="auto"/>
            <w:vAlign w:val="center"/>
          </w:tcPr>
          <w:p w14:paraId="0EEFA0A3">
            <w:pPr>
              <w:rPr>
                <w:rFonts w:ascii="宋体" w:hAnsi="宋体" w:cs="宋体"/>
                <w:kern w:val="0"/>
              </w:rPr>
            </w:pPr>
            <w:r>
              <w:rPr>
                <w:rFonts w:hint="eastAsia" w:ascii="宋体" w:hAnsi="宋体" w:cs="宋体"/>
                <w:kern w:val="0"/>
              </w:rPr>
              <w:t>（5）发动机的进气管设置的阻火器，排气管设置的阻火器和火星熄灭器，进气管道、排气管道无裂纹；进气系统设置进气截止阀，进气截止阀能手动操作，手动操作时，发动机应可靠停机。</w:t>
            </w:r>
          </w:p>
        </w:tc>
        <w:tc>
          <w:tcPr>
            <w:tcW w:w="394" w:type="pct"/>
            <w:shd w:val="clear" w:color="auto" w:fill="auto"/>
            <w:noWrap/>
            <w:vAlign w:val="center"/>
          </w:tcPr>
          <w:p w14:paraId="64E01904">
            <w:pPr>
              <w:widowControl/>
              <w:jc w:val="center"/>
              <w:rPr>
                <w:rFonts w:ascii="宋体" w:hAnsi="宋体" w:cs="宋体"/>
                <w:kern w:val="0"/>
              </w:rPr>
            </w:pPr>
          </w:p>
        </w:tc>
        <w:tc>
          <w:tcPr>
            <w:tcW w:w="400" w:type="pct"/>
            <w:shd w:val="clear" w:color="auto" w:fill="auto"/>
            <w:noWrap/>
            <w:vAlign w:val="center"/>
          </w:tcPr>
          <w:p w14:paraId="7C525F0B">
            <w:pPr>
              <w:widowControl/>
              <w:jc w:val="center"/>
              <w:rPr>
                <w:rFonts w:ascii="宋体" w:hAnsi="宋体" w:cs="宋体"/>
                <w:kern w:val="0"/>
              </w:rPr>
            </w:pPr>
          </w:p>
        </w:tc>
      </w:tr>
      <w:tr w14:paraId="31A5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39" w:type="pct"/>
            <w:vMerge w:val="continue"/>
            <w:shd w:val="clear" w:color="auto" w:fill="auto"/>
            <w:noWrap/>
            <w:vAlign w:val="center"/>
          </w:tcPr>
          <w:p w14:paraId="6FF9E249">
            <w:pPr>
              <w:jc w:val="center"/>
              <w:rPr>
                <w:rFonts w:ascii="宋体" w:hAnsi="宋体" w:cs="宋体"/>
                <w:kern w:val="0"/>
              </w:rPr>
            </w:pPr>
          </w:p>
        </w:tc>
        <w:tc>
          <w:tcPr>
            <w:tcW w:w="577" w:type="pct"/>
            <w:vMerge w:val="continue"/>
            <w:vAlign w:val="center"/>
          </w:tcPr>
          <w:p w14:paraId="01983806">
            <w:pPr>
              <w:jc w:val="left"/>
              <w:rPr>
                <w:rFonts w:ascii="宋体" w:hAnsi="宋体" w:cs="宋体"/>
              </w:rPr>
            </w:pPr>
          </w:p>
        </w:tc>
        <w:tc>
          <w:tcPr>
            <w:tcW w:w="3187" w:type="pct"/>
            <w:shd w:val="clear" w:color="auto" w:fill="auto"/>
            <w:vAlign w:val="center"/>
          </w:tcPr>
          <w:p w14:paraId="14039E2A">
            <w:pPr>
              <w:rPr>
                <w:rFonts w:ascii="宋体" w:hAnsi="宋体" w:cs="宋体"/>
                <w:kern w:val="0"/>
              </w:rPr>
            </w:pPr>
            <w:r>
              <w:rPr>
                <w:rFonts w:hint="eastAsia" w:ascii="宋体" w:hAnsi="宋体" w:cs="宋体"/>
                <w:kern w:val="0"/>
              </w:rPr>
              <w:t>（6）载荷装卸装置接触或者可能接触地面或者载荷的所有表面，应当用铜、铜锌合金、不锈钢或者非金属材料（如橡胶、塑料）包覆。</w:t>
            </w:r>
          </w:p>
        </w:tc>
        <w:tc>
          <w:tcPr>
            <w:tcW w:w="394" w:type="pct"/>
            <w:shd w:val="clear" w:color="auto" w:fill="auto"/>
            <w:noWrap/>
            <w:vAlign w:val="center"/>
          </w:tcPr>
          <w:p w14:paraId="449691DB">
            <w:pPr>
              <w:widowControl/>
              <w:jc w:val="center"/>
              <w:rPr>
                <w:rFonts w:ascii="宋体" w:hAnsi="宋体" w:cs="宋体"/>
                <w:kern w:val="0"/>
              </w:rPr>
            </w:pPr>
          </w:p>
        </w:tc>
        <w:tc>
          <w:tcPr>
            <w:tcW w:w="400" w:type="pct"/>
            <w:shd w:val="clear" w:color="auto" w:fill="auto"/>
            <w:noWrap/>
            <w:vAlign w:val="center"/>
          </w:tcPr>
          <w:p w14:paraId="6127D9BB">
            <w:pPr>
              <w:widowControl/>
              <w:jc w:val="center"/>
              <w:rPr>
                <w:rFonts w:ascii="宋体" w:hAnsi="宋体" w:cs="宋体"/>
                <w:kern w:val="0"/>
              </w:rPr>
            </w:pPr>
          </w:p>
        </w:tc>
      </w:tr>
      <w:tr w14:paraId="7523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9" w:type="pct"/>
            <w:vMerge w:val="restart"/>
            <w:shd w:val="clear" w:color="auto" w:fill="auto"/>
            <w:noWrap/>
            <w:vAlign w:val="center"/>
          </w:tcPr>
          <w:p w14:paraId="12565350">
            <w:pPr>
              <w:widowControl/>
              <w:jc w:val="center"/>
              <w:rPr>
                <w:rFonts w:ascii="宋体" w:hAnsi="宋体" w:cs="宋体"/>
                <w:kern w:val="0"/>
              </w:rPr>
            </w:pPr>
            <w:r>
              <w:rPr>
                <w:rFonts w:hint="eastAsia" w:ascii="宋体" w:hAnsi="宋体" w:cs="宋体"/>
                <w:kern w:val="0"/>
              </w:rPr>
              <w:t>17</w:t>
            </w:r>
          </w:p>
        </w:tc>
        <w:tc>
          <w:tcPr>
            <w:tcW w:w="577" w:type="pct"/>
            <w:vMerge w:val="restart"/>
            <w:shd w:val="clear" w:color="auto" w:fill="auto"/>
            <w:vAlign w:val="center"/>
          </w:tcPr>
          <w:p w14:paraId="4669F321">
            <w:pPr>
              <w:widowControl/>
              <w:jc w:val="center"/>
              <w:rPr>
                <w:rFonts w:ascii="宋体" w:hAnsi="宋体" w:cs="宋体"/>
                <w:kern w:val="0"/>
              </w:rPr>
            </w:pPr>
            <w:r>
              <w:rPr>
                <w:rFonts w:hint="eastAsia" w:ascii="宋体" w:hAnsi="宋体" w:cs="宋体"/>
                <w:kern w:val="0"/>
              </w:rPr>
              <w:t>17</w:t>
            </w:r>
            <w:r>
              <w:rPr>
                <w:rFonts w:hint="eastAsia" w:ascii="宋体" w:hAnsi="宋体" w:cs="宋体"/>
                <w:kern w:val="0"/>
              </w:rPr>
              <w:br w:type="textWrapping"/>
            </w:r>
            <w:r>
              <w:rPr>
                <w:rFonts w:hint="eastAsia" w:ascii="宋体" w:hAnsi="宋体" w:cs="宋体"/>
                <w:kern w:val="0"/>
              </w:rPr>
              <w:t>制动性能</w:t>
            </w:r>
            <w:r>
              <w:rPr>
                <w:rFonts w:hint="eastAsia" w:ascii="宋体" w:hAnsi="宋体" w:cs="宋体"/>
                <w:kern w:val="0"/>
              </w:rPr>
              <w:br w:type="textWrapping"/>
            </w:r>
            <w:r>
              <w:rPr>
                <w:rFonts w:hint="eastAsia" w:ascii="宋体" w:hAnsi="宋体" w:cs="宋体"/>
                <w:kern w:val="0"/>
              </w:rPr>
              <w:t>试验</w:t>
            </w:r>
          </w:p>
        </w:tc>
        <w:tc>
          <w:tcPr>
            <w:tcW w:w="3187" w:type="pct"/>
            <w:shd w:val="clear" w:color="auto" w:fill="auto"/>
            <w:vAlign w:val="center"/>
          </w:tcPr>
          <w:p w14:paraId="2FDED369">
            <w:pPr>
              <w:widowControl/>
              <w:jc w:val="left"/>
              <w:rPr>
                <w:rFonts w:ascii="宋体" w:hAnsi="宋体" w:cs="宋体"/>
                <w:kern w:val="0"/>
              </w:rPr>
            </w:pPr>
            <w:r>
              <w:rPr>
                <w:rFonts w:hint="eastAsia" w:ascii="宋体" w:hAnsi="宋体" w:cs="宋体"/>
                <w:kern w:val="0"/>
                <w:lang w:eastAsia="zh-CN"/>
              </w:rPr>
              <w:t>（</w:t>
            </w:r>
            <w:r>
              <w:rPr>
                <w:rFonts w:hint="eastAsia" w:ascii="宋体" w:hAnsi="宋体" w:cs="宋体"/>
                <w:kern w:val="0"/>
                <w:lang w:val="en-US" w:eastAsia="zh-CN"/>
              </w:rPr>
              <w:t>1</w:t>
            </w:r>
            <w:r>
              <w:rPr>
                <w:rFonts w:hint="eastAsia" w:ascii="宋体" w:hAnsi="宋体" w:cs="宋体"/>
                <w:kern w:val="0"/>
                <w:lang w:eastAsia="zh-CN"/>
              </w:rPr>
              <w:t>）</w:t>
            </w:r>
            <w:r>
              <w:rPr>
                <w:rFonts w:hint="eastAsia" w:ascii="宋体" w:hAnsi="宋体" w:cs="宋体"/>
                <w:kern w:val="0"/>
                <w:lang w:val="en-US" w:eastAsia="zh-CN"/>
              </w:rPr>
              <w:t>坡道</w:t>
            </w:r>
            <w:r>
              <w:rPr>
                <w:rFonts w:hint="eastAsia" w:ascii="宋体" w:hAnsi="宋体" w:cs="宋体"/>
                <w:kern w:val="0"/>
              </w:rPr>
              <w:t>驻车制动性能：以无载状态在作业区域中较大坡道上进行试验，在车辆的前进和后退方向驻车制动（手刹）均能可靠制停。</w:t>
            </w:r>
          </w:p>
        </w:tc>
        <w:tc>
          <w:tcPr>
            <w:tcW w:w="394" w:type="pct"/>
            <w:shd w:val="clear" w:color="auto" w:fill="auto"/>
            <w:noWrap/>
            <w:vAlign w:val="center"/>
          </w:tcPr>
          <w:p w14:paraId="77DA5614">
            <w:pPr>
              <w:widowControl/>
              <w:jc w:val="center"/>
              <w:rPr>
                <w:rFonts w:ascii="宋体" w:hAnsi="宋体" w:cs="宋体"/>
                <w:kern w:val="0"/>
              </w:rPr>
            </w:pPr>
          </w:p>
        </w:tc>
        <w:tc>
          <w:tcPr>
            <w:tcW w:w="400" w:type="pct"/>
            <w:shd w:val="clear" w:color="auto" w:fill="auto"/>
            <w:noWrap/>
            <w:vAlign w:val="center"/>
          </w:tcPr>
          <w:p w14:paraId="47E31842">
            <w:pPr>
              <w:widowControl/>
              <w:jc w:val="center"/>
              <w:rPr>
                <w:rFonts w:ascii="宋体" w:hAnsi="宋体" w:cs="宋体"/>
                <w:kern w:val="0"/>
              </w:rPr>
            </w:pPr>
          </w:p>
        </w:tc>
      </w:tr>
      <w:tr w14:paraId="38B7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2" w:hRule="atLeast"/>
          <w:jc w:val="center"/>
        </w:trPr>
        <w:tc>
          <w:tcPr>
            <w:tcW w:w="439" w:type="pct"/>
            <w:vMerge w:val="continue"/>
            <w:shd w:val="clear" w:color="auto" w:fill="auto"/>
            <w:noWrap/>
            <w:vAlign w:val="center"/>
          </w:tcPr>
          <w:p w14:paraId="1BF5C7C8">
            <w:pPr>
              <w:widowControl/>
              <w:jc w:val="center"/>
              <w:rPr>
                <w:rFonts w:ascii="宋体" w:hAnsi="宋体" w:cs="宋体"/>
                <w:kern w:val="0"/>
              </w:rPr>
            </w:pPr>
          </w:p>
        </w:tc>
        <w:tc>
          <w:tcPr>
            <w:tcW w:w="577" w:type="pct"/>
            <w:vMerge w:val="continue"/>
            <w:vAlign w:val="center"/>
          </w:tcPr>
          <w:p w14:paraId="1D36E16F">
            <w:pPr>
              <w:widowControl/>
              <w:jc w:val="left"/>
              <w:rPr>
                <w:rFonts w:ascii="宋体" w:hAnsi="宋体" w:cs="宋体"/>
                <w:kern w:val="0"/>
              </w:rPr>
            </w:pPr>
          </w:p>
        </w:tc>
        <w:tc>
          <w:tcPr>
            <w:tcW w:w="3187" w:type="pct"/>
            <w:shd w:val="clear" w:color="auto" w:fill="auto"/>
          </w:tcPr>
          <w:p w14:paraId="69BEB123">
            <w:pPr>
              <w:widowControl/>
              <w:rPr>
                <w:rFonts w:ascii="宋体" w:hAnsi="宋体" w:cs="宋体"/>
                <w:kern w:val="0"/>
              </w:rPr>
            </w:pPr>
            <w:r>
              <w:rPr>
                <w:rFonts w:hint="eastAsia" w:ascii="宋体" w:hAnsi="宋体" w:cs="宋体"/>
                <w:kern w:val="0"/>
                <w:lang w:eastAsia="zh-CN"/>
              </w:rPr>
              <w:t>（</w:t>
            </w:r>
            <w:r>
              <w:rPr>
                <w:rFonts w:hint="eastAsia" w:ascii="宋体" w:hAnsi="宋体" w:cs="宋体"/>
                <w:kern w:val="0"/>
                <w:lang w:val="en-US" w:eastAsia="zh-CN"/>
              </w:rPr>
              <w:t>2</w:t>
            </w:r>
            <w:r>
              <w:rPr>
                <w:rFonts w:hint="eastAsia" w:ascii="宋体" w:hAnsi="宋体" w:cs="宋体"/>
                <w:kern w:val="0"/>
                <w:lang w:eastAsia="zh-CN"/>
              </w:rPr>
              <w:t>）</w:t>
            </w:r>
            <w:r>
              <w:rPr>
                <w:rFonts w:hint="eastAsia" w:ascii="宋体" w:hAnsi="宋体" w:cs="宋体"/>
                <w:kern w:val="0"/>
              </w:rPr>
              <w:t>制动距离</w:t>
            </w:r>
            <w:r>
              <w:rPr>
                <w:rFonts w:hint="eastAsia" w:ascii="宋体" w:hAnsi="宋体" w:cs="宋体"/>
                <w:kern w:val="0"/>
                <w:lang w:val="en-US" w:eastAsia="zh-CN"/>
              </w:rPr>
              <w:t>测定：</w:t>
            </w:r>
            <w:r>
              <w:rPr>
                <w:rFonts w:hint="eastAsia" w:ascii="宋体" w:hAnsi="宋体" w:cs="宋体"/>
                <w:kern w:val="0"/>
              </w:rPr>
              <w:t>应当符合下表要求。叉车空载，门架或货叉完全后倾或完全缩回，以现场实际可达</w:t>
            </w:r>
            <w:r>
              <w:rPr>
                <w:rFonts w:hint="eastAsia" w:ascii="宋体" w:hAnsi="宋体" w:cs="宋体"/>
                <w:kern w:val="0"/>
                <w:lang w:val="en-US" w:eastAsia="zh-CN"/>
              </w:rPr>
              <w:t>到</w:t>
            </w:r>
            <w:r>
              <w:rPr>
                <w:rFonts w:hint="eastAsia" w:ascii="宋体" w:hAnsi="宋体" w:cs="宋体"/>
                <w:kern w:val="0"/>
              </w:rPr>
              <w:t>的最大车速进行紧急制动，测量脚开始踩下制动踏板的一瞬间时车辆位置至停车的距离。</w:t>
            </w:r>
          </w:p>
          <w:tbl>
            <w:tblPr>
              <w:tblStyle w:val="26"/>
              <w:tblW w:w="4716" w:type="pct"/>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2007"/>
              <w:gridCol w:w="1051"/>
              <w:gridCol w:w="985"/>
              <w:gridCol w:w="1052"/>
            </w:tblGrid>
            <w:tr w14:paraId="77383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02" w:type="pct"/>
                  <w:vAlign w:val="center"/>
                </w:tcPr>
                <w:p w14:paraId="6FC269D3">
                  <w:pPr>
                    <w:snapToGrid w:val="0"/>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组别</w:t>
                  </w:r>
                </w:p>
              </w:tc>
              <w:tc>
                <w:tcPr>
                  <w:tcW w:w="1811" w:type="pct"/>
                  <w:vAlign w:val="center"/>
                </w:tcPr>
                <w:p w14:paraId="41F25E1E">
                  <w:pPr>
                    <w:adjustRightInd/>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车辆型式</w:t>
                  </w:r>
                </w:p>
              </w:tc>
              <w:tc>
                <w:tcPr>
                  <w:tcW w:w="2787" w:type="pct"/>
                  <w:gridSpan w:val="3"/>
                  <w:vAlign w:val="center"/>
                </w:tcPr>
                <w:p w14:paraId="299142D5">
                  <w:pPr>
                    <w:adjustRightInd/>
                    <w:spacing w:line="240" w:lineRule="auto"/>
                    <w:jc w:val="center"/>
                    <w:rPr>
                      <w:rFonts w:ascii="Times New Roman" w:hAnsi="Times New Roman"/>
                      <w:color w:val="000000"/>
                      <w:sz w:val="18"/>
                      <w:szCs w:val="18"/>
                    </w:rPr>
                  </w:pPr>
                  <w:r>
                    <w:rPr>
                      <w:rFonts w:hint="eastAsia" w:ascii="Times New Roman" w:hAnsi="Times New Roman"/>
                      <w:color w:val="000000"/>
                      <w:sz w:val="18"/>
                      <w:szCs w:val="18"/>
                    </w:rPr>
                    <w:t>制动距离</w:t>
                  </w:r>
                  <w:r>
                    <w:rPr>
                      <w:rFonts w:ascii="Times New Roman" w:hAnsi="Times New Roman"/>
                      <w:color w:val="000000"/>
                      <w:sz w:val="18"/>
                      <w:szCs w:val="18"/>
                    </w:rPr>
                    <w:t>s</w:t>
                  </w:r>
                  <w:r>
                    <w:rPr>
                      <w:rFonts w:ascii="Times New Roman" w:hAnsi="Times New Roman"/>
                      <w:color w:val="000000"/>
                      <w:sz w:val="18"/>
                      <w:szCs w:val="18"/>
                      <w:vertAlign w:val="subscript"/>
                    </w:rPr>
                    <w:t>o</w:t>
                  </w:r>
                  <w:r>
                    <w:rPr>
                      <w:rFonts w:ascii="Times New Roman" w:hAnsi="Times New Roman"/>
                      <w:color w:val="000000"/>
                      <w:sz w:val="18"/>
                      <w:szCs w:val="18"/>
                    </w:rPr>
                    <w:t>/m</w:t>
                  </w:r>
                </w:p>
              </w:tc>
            </w:tr>
            <w:tr w14:paraId="39488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2213" w:type="pct"/>
                  <w:gridSpan w:val="2"/>
                  <w:vAlign w:val="center"/>
                </w:tcPr>
                <w:p w14:paraId="0B23CCC5">
                  <w:pPr>
                    <w:tabs>
                      <w:tab w:val="left" w:pos="425"/>
                    </w:tabs>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a)</w:t>
                  </w:r>
                  <w:r>
                    <w:rPr>
                      <w:rFonts w:hint="eastAsia" w:ascii="Times New Roman" w:hAnsi="Times New Roman"/>
                      <w:color w:val="000000"/>
                      <w:sz w:val="18"/>
                      <w:szCs w:val="18"/>
                    </w:rPr>
                    <w:t>车辆速度</w:t>
                  </w:r>
                  <w:r>
                    <w:rPr>
                      <w:rFonts w:ascii="Times New Roman" w:hAnsi="Times New Roman"/>
                      <w:i/>
                      <w:color w:val="000000"/>
                      <w:sz w:val="18"/>
                      <w:szCs w:val="18"/>
                    </w:rPr>
                    <w:t>v</w:t>
                  </w:r>
                  <w:r>
                    <w:rPr>
                      <w:rFonts w:ascii="Times New Roman" w:hAnsi="Times New Roman"/>
                      <w:color w:val="000000"/>
                      <w:sz w:val="18"/>
                      <w:szCs w:val="18"/>
                    </w:rPr>
                    <w:t>/(km/h)</w:t>
                  </w:r>
                </w:p>
              </w:tc>
              <w:tc>
                <w:tcPr>
                  <w:tcW w:w="949" w:type="pct"/>
                  <w:vAlign w:val="center"/>
                </w:tcPr>
                <w:p w14:paraId="091407F2">
                  <w:pPr>
                    <w:adjustRightInd/>
                    <w:spacing w:line="240" w:lineRule="auto"/>
                    <w:jc w:val="center"/>
                    <w:rPr>
                      <w:rFonts w:ascii="Times New Roman" w:hAnsi="Times New Roman"/>
                      <w:color w:val="000000"/>
                      <w:sz w:val="18"/>
                      <w:szCs w:val="18"/>
                    </w:rPr>
                  </w:pP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5</w:t>
                  </w:r>
                </w:p>
              </w:tc>
              <w:tc>
                <w:tcPr>
                  <w:tcW w:w="889" w:type="pct"/>
                  <w:vAlign w:val="center"/>
                </w:tcPr>
                <w:p w14:paraId="25499F3F">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5</w:t>
                  </w:r>
                  <w:r>
                    <w:rPr>
                      <w:rFonts w:hint="eastAsia" w:ascii="Times New Roman" w:hAnsi="Times New Roman"/>
                      <w:color w:val="000000"/>
                      <w:sz w:val="18"/>
                      <w:szCs w:val="18"/>
                    </w:rPr>
                    <w:t>＜</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13.4</w:t>
                  </w:r>
                </w:p>
              </w:tc>
              <w:tc>
                <w:tcPr>
                  <w:tcW w:w="949" w:type="pct"/>
                  <w:vAlign w:val="center"/>
                </w:tcPr>
                <w:p w14:paraId="77C46034">
                  <w:pPr>
                    <w:adjustRightInd/>
                    <w:spacing w:line="240" w:lineRule="auto"/>
                    <w:jc w:val="center"/>
                    <w:rPr>
                      <w:rFonts w:ascii="Times New Roman" w:hAnsi="Times New Roman"/>
                      <w:color w:val="000000"/>
                      <w:sz w:val="18"/>
                      <w:szCs w:val="18"/>
                    </w:rPr>
                  </w:pP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13.4</w:t>
                  </w:r>
                </w:p>
              </w:tc>
            </w:tr>
            <w:tr w14:paraId="45DB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402" w:type="pct"/>
                  <w:vAlign w:val="center"/>
                </w:tcPr>
                <w:p w14:paraId="35C10DDA">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A</w:t>
                  </w:r>
                </w:p>
              </w:tc>
              <w:tc>
                <w:tcPr>
                  <w:tcW w:w="1811" w:type="pct"/>
                </w:tcPr>
                <w:p w14:paraId="2DC74445">
                  <w:pPr>
                    <w:adjustRightInd/>
                    <w:spacing w:line="320" w:lineRule="exact"/>
                    <w:rPr>
                      <w:rFonts w:ascii="Times New Roman" w:hAnsi="Times New Roman"/>
                      <w:color w:val="000000"/>
                      <w:sz w:val="18"/>
                      <w:szCs w:val="18"/>
                    </w:rPr>
                  </w:pPr>
                  <w:r>
                    <w:rPr>
                      <w:rFonts w:hint="eastAsia" w:ascii="Times New Roman" w:hAnsi="Times New Roman"/>
                      <w:color w:val="000000"/>
                      <w:sz w:val="18"/>
                      <w:szCs w:val="18"/>
                    </w:rPr>
                    <w:t>除</w:t>
                  </w:r>
                  <w:r>
                    <w:rPr>
                      <w:rFonts w:ascii="Times New Roman" w:hAnsi="Times New Roman"/>
                      <w:color w:val="000000"/>
                      <w:sz w:val="18"/>
                      <w:szCs w:val="18"/>
                    </w:rPr>
                    <w:t>B</w:t>
                  </w:r>
                  <w:r>
                    <w:rPr>
                      <w:rFonts w:hint="eastAsia" w:ascii="Times New Roman" w:hAnsi="Times New Roman"/>
                      <w:color w:val="000000"/>
                      <w:sz w:val="18"/>
                      <w:szCs w:val="18"/>
                    </w:rPr>
                    <w:t>和</w:t>
                  </w:r>
                  <w:r>
                    <w:rPr>
                      <w:rFonts w:ascii="Times New Roman" w:hAnsi="Times New Roman"/>
                      <w:color w:val="000000"/>
                      <w:sz w:val="18"/>
                      <w:szCs w:val="18"/>
                    </w:rPr>
                    <w:t>C</w:t>
                  </w:r>
                  <w:r>
                    <w:rPr>
                      <w:rFonts w:hint="eastAsia" w:ascii="Times New Roman" w:hAnsi="Times New Roman"/>
                      <w:color w:val="000000"/>
                      <w:sz w:val="18"/>
                      <w:szCs w:val="18"/>
                    </w:rPr>
                    <w:t>组外的所有车辆，额定起重量</w:t>
                  </w:r>
                  <w:r>
                    <w:rPr>
                      <w:rFonts w:ascii="Times New Roman" w:hAnsi="Times New Roman"/>
                      <w:color w:val="000000"/>
                      <w:sz w:val="18"/>
                      <w:szCs w:val="18"/>
                    </w:rPr>
                    <w:t>&lt;16000kg</w:t>
                  </w:r>
                  <w:r>
                    <w:rPr>
                      <w:rFonts w:hint="eastAsia" w:ascii="Times New Roman" w:hAnsi="Times New Roman"/>
                      <w:color w:val="000000"/>
                      <w:sz w:val="18"/>
                      <w:szCs w:val="18"/>
                    </w:rPr>
                    <w:t>或满载质量</w:t>
                  </w:r>
                  <w:r>
                    <w:rPr>
                      <w:rFonts w:ascii="Times New Roman" w:hAnsi="Times New Roman"/>
                      <w:color w:val="000000"/>
                      <w:sz w:val="18"/>
                      <w:szCs w:val="18"/>
                    </w:rPr>
                    <w:t>&lt;35000kg</w:t>
                  </w:r>
                  <w:r>
                    <w:rPr>
                      <w:rFonts w:hint="eastAsia" w:ascii="Times New Roman" w:hAnsi="Times New Roman"/>
                      <w:color w:val="000000"/>
                      <w:sz w:val="18"/>
                      <w:szCs w:val="18"/>
                    </w:rPr>
                    <w:t>，两者取较大值</w:t>
                  </w:r>
                </w:p>
              </w:tc>
              <w:tc>
                <w:tcPr>
                  <w:tcW w:w="949" w:type="pct"/>
                  <w:vAlign w:val="center"/>
                </w:tcPr>
                <w:p w14:paraId="4B74C9CD">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25" o:spt="75" type="#_x0000_t75" style="height:28.8pt;width:21.9pt;" o:ole="t" filled="f" o:preferrelative="t" stroked="f" coordsize="21600,21600">
                        <v:path/>
                        <v:fill on="f" focussize="0,0"/>
                        <v:stroke on="f" joinstyle="miter"/>
                        <v:imagedata r:id="rId17" o:title=""/>
                        <o:lock v:ext="edit" aspectratio="t"/>
                        <w10:wrap type="none"/>
                        <w10:anchorlock/>
                      </v:shape>
                      <o:OLEObject Type="Embed" ProgID="Equation.3" ShapeID="_x0000_i1025" DrawAspect="Content" ObjectID="_1468075725" r:id="rId16">
                        <o:LockedField>false</o:LockedField>
                      </o:OLEObject>
                    </w:object>
                  </w:r>
                </w:p>
              </w:tc>
              <w:tc>
                <w:tcPr>
                  <w:tcW w:w="889" w:type="pct"/>
                  <w:vAlign w:val="center"/>
                </w:tcPr>
                <w:p w14:paraId="36DAB4CC">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26" o:spt="75" type="#_x0000_t75" style="height:28.8pt;width:18.8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p>
              </w:tc>
              <w:tc>
                <w:tcPr>
                  <w:tcW w:w="949" w:type="pct"/>
                  <w:vAlign w:val="center"/>
                </w:tcPr>
                <w:p w14:paraId="6B5C59B6">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27" o:spt="75" type="#_x0000_t75" style="height:28.8pt;width:21.9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p>
              </w:tc>
            </w:tr>
            <w:tr w14:paraId="1938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402" w:type="pct"/>
                  <w:vAlign w:val="center"/>
                </w:tcPr>
                <w:p w14:paraId="658C796A">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B</w:t>
                  </w:r>
                </w:p>
              </w:tc>
              <w:tc>
                <w:tcPr>
                  <w:tcW w:w="1811" w:type="pct"/>
                </w:tcPr>
                <w:p w14:paraId="6D42E6D5">
                  <w:pPr>
                    <w:adjustRightInd/>
                    <w:spacing w:line="320" w:lineRule="exact"/>
                    <w:rPr>
                      <w:rFonts w:ascii="Times New Roman" w:hAnsi="Times New Roman"/>
                      <w:color w:val="000000"/>
                      <w:sz w:val="18"/>
                      <w:szCs w:val="18"/>
                    </w:rPr>
                  </w:pPr>
                  <w:r>
                    <w:rPr>
                      <w:rFonts w:hint="eastAsia" w:ascii="Times New Roman" w:hAnsi="Times New Roman"/>
                      <w:color w:val="000000"/>
                      <w:sz w:val="18"/>
                      <w:szCs w:val="18"/>
                    </w:rPr>
                    <w:t>除</w:t>
                  </w:r>
                  <w:r>
                    <w:rPr>
                      <w:rFonts w:ascii="Times New Roman" w:hAnsi="Times New Roman"/>
                      <w:color w:val="000000"/>
                      <w:sz w:val="18"/>
                      <w:szCs w:val="18"/>
                    </w:rPr>
                    <w:t>C</w:t>
                  </w:r>
                  <w:r>
                    <w:rPr>
                      <w:rFonts w:hint="eastAsia" w:ascii="Times New Roman" w:hAnsi="Times New Roman"/>
                      <w:color w:val="000000"/>
                      <w:sz w:val="18"/>
                      <w:szCs w:val="18"/>
                    </w:rPr>
                    <w:t>组外的所有车辆，额定起重量≥</w:t>
                  </w:r>
                  <w:r>
                    <w:rPr>
                      <w:rFonts w:ascii="Times New Roman" w:hAnsi="Times New Roman"/>
                      <w:color w:val="000000"/>
                      <w:sz w:val="18"/>
                      <w:szCs w:val="18"/>
                    </w:rPr>
                    <w:t>16000kg</w:t>
                  </w:r>
                  <w:r>
                    <w:rPr>
                      <w:rFonts w:hint="eastAsia" w:ascii="Times New Roman" w:hAnsi="Times New Roman"/>
                      <w:color w:val="000000"/>
                      <w:sz w:val="18"/>
                      <w:szCs w:val="18"/>
                    </w:rPr>
                    <w:t>或满载质量≥</w:t>
                  </w:r>
                  <w:r>
                    <w:rPr>
                      <w:rFonts w:ascii="Times New Roman" w:hAnsi="Times New Roman"/>
                      <w:color w:val="000000"/>
                      <w:sz w:val="18"/>
                      <w:szCs w:val="18"/>
                    </w:rPr>
                    <w:t>35000kg</w:t>
                  </w:r>
                </w:p>
              </w:tc>
              <w:tc>
                <w:tcPr>
                  <w:tcW w:w="949" w:type="pct"/>
                  <w:vAlign w:val="center"/>
                </w:tcPr>
                <w:p w14:paraId="1A32B71F">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28" o:spt="75" type="#_x0000_t75" style="height:28.15pt;width:21.9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p>
              </w:tc>
              <w:tc>
                <w:tcPr>
                  <w:tcW w:w="889" w:type="pct"/>
                  <w:vAlign w:val="center"/>
                </w:tcPr>
                <w:p w14:paraId="583B39D6">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29" o:spt="75" type="#_x0000_t75" style="height:28.8pt;width:18.8pt;" o:ole="t" filled="f" o:preferrelative="t" stroked="f" coordsize="21600,21600">
                        <v:path/>
                        <v:fill on="f" focussize="0,0"/>
                        <v:stroke on="f" joinstyle="miter"/>
                        <v:imagedata r:id="rId25" o:title=""/>
                        <o:lock v:ext="edit" aspectratio="t"/>
                        <w10:wrap type="none"/>
                        <w10:anchorlock/>
                      </v:shape>
                      <o:OLEObject Type="Embed" ProgID="Equation.3" ShapeID="_x0000_i1029" DrawAspect="Content" ObjectID="_1468075729" r:id="rId24">
                        <o:LockedField>false</o:LockedField>
                      </o:OLEObject>
                    </w:object>
                  </w:r>
                </w:p>
              </w:tc>
              <w:tc>
                <w:tcPr>
                  <w:tcW w:w="949" w:type="pct"/>
                  <w:vAlign w:val="center"/>
                </w:tcPr>
                <w:p w14:paraId="55A5EE85">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30" o:spt="75" type="#_x0000_t75" style="height:28.8pt;width:21.9pt;" o:ole="t" filled="f" o:preferrelative="t" stroked="f" coordsize="21600,21600">
                        <v:path/>
                        <v:fill on="f" focussize="0,0"/>
                        <v:stroke on="f" joinstyle="miter"/>
                        <v:imagedata r:id="rId27" o:title=""/>
                        <o:lock v:ext="edit" aspectratio="t"/>
                        <w10:wrap type="none"/>
                        <w10:anchorlock/>
                      </v:shape>
                      <o:OLEObject Type="Embed" ProgID="Equation.3" ShapeID="_x0000_i1030" DrawAspect="Content" ObjectID="_1468075730" r:id="rId26">
                        <o:LockedField>false</o:LockedField>
                      </o:OLEObject>
                    </w:object>
                  </w:r>
                </w:p>
              </w:tc>
            </w:tr>
            <w:tr w14:paraId="7B87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2213" w:type="pct"/>
                  <w:gridSpan w:val="2"/>
                  <w:vAlign w:val="center"/>
                </w:tcPr>
                <w:p w14:paraId="1E7499EB">
                  <w:pPr>
                    <w:tabs>
                      <w:tab w:val="left" w:pos="425"/>
                    </w:tabs>
                    <w:adjustRightInd/>
                    <w:spacing w:line="320" w:lineRule="exact"/>
                    <w:jc w:val="center"/>
                    <w:rPr>
                      <w:rFonts w:ascii="Times New Roman" w:hAnsi="Times New Roman"/>
                      <w:color w:val="000000"/>
                      <w:sz w:val="18"/>
                      <w:szCs w:val="18"/>
                      <w:highlight w:val="yellow"/>
                    </w:rPr>
                  </w:pPr>
                  <w:r>
                    <w:rPr>
                      <w:rFonts w:ascii="Times New Roman" w:hAnsi="Times New Roman"/>
                      <w:color w:val="000000"/>
                      <w:sz w:val="18"/>
                      <w:szCs w:val="18"/>
                    </w:rPr>
                    <w:t xml:space="preserve">b) </w:t>
                  </w:r>
                  <w:r>
                    <w:rPr>
                      <w:rFonts w:hint="eastAsia" w:ascii="Times New Roman" w:hAnsi="Times New Roman"/>
                      <w:color w:val="000000"/>
                      <w:sz w:val="18"/>
                      <w:szCs w:val="18"/>
                    </w:rPr>
                    <w:t>车辆速度</w:t>
                  </w:r>
                  <w:r>
                    <w:rPr>
                      <w:rFonts w:ascii="Times New Roman" w:hAnsi="Times New Roman"/>
                      <w:color w:val="000000"/>
                      <w:sz w:val="18"/>
                      <w:szCs w:val="18"/>
                    </w:rPr>
                    <w:t>v/(km/h)</w:t>
                  </w:r>
                </w:p>
              </w:tc>
              <w:tc>
                <w:tcPr>
                  <w:tcW w:w="949" w:type="pct"/>
                  <w:vAlign w:val="center"/>
                </w:tcPr>
                <w:p w14:paraId="37A7647C">
                  <w:pPr>
                    <w:adjustRightInd/>
                    <w:spacing w:line="240" w:lineRule="auto"/>
                    <w:jc w:val="center"/>
                    <w:rPr>
                      <w:rFonts w:ascii="Times New Roman" w:hAnsi="Times New Roman"/>
                      <w:color w:val="000000"/>
                      <w:sz w:val="18"/>
                      <w:szCs w:val="18"/>
                    </w:rPr>
                  </w:pP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4</w:t>
                  </w:r>
                </w:p>
              </w:tc>
              <w:tc>
                <w:tcPr>
                  <w:tcW w:w="889" w:type="pct"/>
                  <w:vAlign w:val="center"/>
                </w:tcPr>
                <w:p w14:paraId="7ED29811">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4</w:t>
                  </w:r>
                  <w:r>
                    <w:rPr>
                      <w:rFonts w:hint="eastAsia" w:ascii="Times New Roman" w:hAnsi="Times New Roman"/>
                      <w:color w:val="000000"/>
                      <w:sz w:val="18"/>
                      <w:szCs w:val="18"/>
                    </w:rPr>
                    <w:t>＜</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13.4</w:t>
                  </w:r>
                </w:p>
              </w:tc>
              <w:tc>
                <w:tcPr>
                  <w:tcW w:w="949" w:type="pct"/>
                  <w:vAlign w:val="center"/>
                </w:tcPr>
                <w:p w14:paraId="53C98E4E">
                  <w:pPr>
                    <w:adjustRightInd/>
                    <w:spacing w:line="240" w:lineRule="auto"/>
                    <w:jc w:val="center"/>
                    <w:rPr>
                      <w:rFonts w:ascii="Times New Roman" w:hAnsi="Times New Roman"/>
                      <w:color w:val="000000"/>
                      <w:sz w:val="18"/>
                      <w:szCs w:val="18"/>
                    </w:rPr>
                  </w:pP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sz w:val="18"/>
                      <w:szCs w:val="18"/>
                    </w:rPr>
                    <w:t>13.4</w:t>
                  </w:r>
                </w:p>
              </w:tc>
            </w:tr>
            <w:tr w14:paraId="6FB35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402" w:type="pct"/>
                  <w:vAlign w:val="center"/>
                </w:tcPr>
                <w:p w14:paraId="6DBA327C">
                  <w:pPr>
                    <w:adjustRightInd/>
                    <w:spacing w:line="320" w:lineRule="exact"/>
                    <w:jc w:val="center"/>
                    <w:rPr>
                      <w:rFonts w:ascii="Times New Roman" w:hAnsi="Times New Roman"/>
                      <w:color w:val="000000"/>
                      <w:sz w:val="18"/>
                      <w:szCs w:val="18"/>
                    </w:rPr>
                  </w:pPr>
                  <w:r>
                    <w:rPr>
                      <w:rFonts w:ascii="Times New Roman" w:hAnsi="Times New Roman"/>
                      <w:color w:val="000000"/>
                      <w:sz w:val="18"/>
                      <w:szCs w:val="18"/>
                    </w:rPr>
                    <w:t>C</w:t>
                  </w:r>
                </w:p>
              </w:tc>
              <w:tc>
                <w:tcPr>
                  <w:tcW w:w="1811" w:type="pct"/>
                </w:tcPr>
                <w:p w14:paraId="48539CB8">
                  <w:pPr>
                    <w:adjustRightInd/>
                    <w:spacing w:line="320" w:lineRule="exact"/>
                    <w:rPr>
                      <w:rFonts w:ascii="Times New Roman" w:hAnsi="Times New Roman"/>
                      <w:color w:val="000000"/>
                      <w:sz w:val="18"/>
                      <w:szCs w:val="18"/>
                    </w:rPr>
                  </w:pPr>
                  <w:r>
                    <w:rPr>
                      <w:rFonts w:hint="eastAsia" w:ascii="Times New Roman" w:hAnsi="Times New Roman"/>
                      <w:color w:val="000000"/>
                      <w:sz w:val="18"/>
                      <w:szCs w:val="18"/>
                    </w:rPr>
                    <w:t>操作台可升至</w:t>
                  </w:r>
                  <w:r>
                    <w:rPr>
                      <w:rFonts w:ascii="Times New Roman" w:hAnsi="Times New Roman"/>
                      <w:color w:val="000000"/>
                      <w:sz w:val="18"/>
                      <w:szCs w:val="18"/>
                    </w:rPr>
                    <w:t>1200mm</w:t>
                  </w:r>
                  <w:r>
                    <w:rPr>
                      <w:rFonts w:hint="eastAsia" w:ascii="Times New Roman" w:hAnsi="Times New Roman"/>
                      <w:color w:val="000000"/>
                      <w:sz w:val="18"/>
                      <w:szCs w:val="18"/>
                    </w:rPr>
                    <w:t>以上的车辆和专门设计的带起升载荷运行的车辆</w:t>
                  </w:r>
                </w:p>
              </w:tc>
              <w:tc>
                <w:tcPr>
                  <w:tcW w:w="949" w:type="pct"/>
                  <w:vAlign w:val="center"/>
                </w:tcPr>
                <w:p w14:paraId="5CE14675">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31" o:spt="75" type="#_x0000_t75" style="height:28.8pt;width:21.9pt;" o:ole="t" filled="f" o:preferrelative="t" stroked="f" coordsize="21600,21600">
                        <v:path/>
                        <v:fill on="f" focussize="0,0"/>
                        <v:stroke on="f" joinstyle="miter"/>
                        <v:imagedata r:id="rId29" o:title=""/>
                        <o:lock v:ext="edit" aspectratio="t"/>
                        <w10:wrap type="none"/>
                        <w10:anchorlock/>
                      </v:shape>
                      <o:OLEObject Type="Embed" ProgID="Equation.3" ShapeID="_x0000_i1031" DrawAspect="Content" ObjectID="_1468075731" r:id="rId28">
                        <o:LockedField>false</o:LockedField>
                      </o:OLEObject>
                    </w:object>
                  </w:r>
                </w:p>
              </w:tc>
              <w:tc>
                <w:tcPr>
                  <w:tcW w:w="889" w:type="pct"/>
                  <w:vAlign w:val="center"/>
                </w:tcPr>
                <w:p w14:paraId="31C325C0">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eastAsia="MingLiU_HKSCS"/>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32" o:spt="75" type="#_x0000_t75" style="height:28.8pt;width:18.8pt;" o:ole="t" filled="f" o:preferrelative="t" stroked="f" coordsize="21600,21600">
                        <v:path/>
                        <v:fill on="f" focussize="0,0"/>
                        <v:stroke on="f" joinstyle="miter"/>
                        <v:imagedata r:id="rId31" o:title=""/>
                        <o:lock v:ext="edit" aspectratio="t"/>
                        <w10:wrap type="none"/>
                        <w10:anchorlock/>
                      </v:shape>
                      <o:OLEObject Type="Embed" ProgID="Equation.3" ShapeID="_x0000_i1032" DrawAspect="Content" ObjectID="_1468075732" r:id="rId30">
                        <o:LockedField>false</o:LockedField>
                      </o:OLEObject>
                    </w:object>
                  </w:r>
                </w:p>
              </w:tc>
              <w:tc>
                <w:tcPr>
                  <w:tcW w:w="949" w:type="pct"/>
                  <w:vAlign w:val="center"/>
                </w:tcPr>
                <w:p w14:paraId="5A3377F0">
                  <w:pPr>
                    <w:adjustRightInd/>
                    <w:spacing w:line="240" w:lineRule="auto"/>
                    <w:jc w:val="center"/>
                    <w:rPr>
                      <w:rFonts w:ascii="Times New Roman" w:hAnsi="Times New Roman"/>
                      <w:color w:val="000000"/>
                      <w:sz w:val="18"/>
                      <w:szCs w:val="18"/>
                    </w:rPr>
                  </w:pPr>
                  <w:r>
                    <w:rPr>
                      <w:rFonts w:ascii="Times New Roman" w:hAnsi="Times New Roman"/>
                      <w:color w:val="000000"/>
                      <w:sz w:val="18"/>
                      <w:szCs w:val="18"/>
                    </w:rPr>
                    <w:t>s</w:t>
                  </w:r>
                  <w:r>
                    <w:rPr>
                      <w:rFonts w:ascii="Times New Roman" w:hAnsi="Times New Roman"/>
                      <w:color w:val="000000"/>
                      <w:sz w:val="18"/>
                      <w:szCs w:val="18"/>
                      <w:vertAlign w:val="subscript"/>
                    </w:rPr>
                    <w:t>o</w:t>
                  </w:r>
                  <w:r>
                    <w:rPr>
                      <w:rFonts w:hint="eastAsia" w:ascii="Times New Roman" w:hAnsi="Times New Roman"/>
                      <w:color w:val="000000"/>
                      <w:sz w:val="18"/>
                      <w:szCs w:val="18"/>
                    </w:rPr>
                    <w:t>＜</w:t>
                  </w:r>
                  <w:r>
                    <w:rPr>
                      <w:rFonts w:ascii="Times New Roman" w:hAnsi="Times New Roman"/>
                      <w:color w:val="000000"/>
                      <w:sz w:val="18"/>
                      <w:szCs w:val="18"/>
                    </w:rPr>
                    <w:t>0.15</w:t>
                  </w:r>
                  <w:r>
                    <w:rPr>
                      <w:rFonts w:ascii="Times New Roman" w:hAnsi="Times New Roman"/>
                      <w:i/>
                      <w:color w:val="000000"/>
                      <w:sz w:val="18"/>
                      <w:szCs w:val="18"/>
                    </w:rPr>
                    <w:t>v</w:t>
                  </w:r>
                  <w:r>
                    <w:rPr>
                      <w:rFonts w:hint="eastAsia" w:ascii="Times New Roman" w:hAnsi="Times New Roman"/>
                      <w:color w:val="000000"/>
                      <w:sz w:val="18"/>
                      <w:szCs w:val="18"/>
                    </w:rPr>
                    <w:t>﹢</w:t>
                  </w:r>
                  <w:r>
                    <w:rPr>
                      <w:rFonts w:ascii="Times New Roman" w:hAnsi="Times New Roman"/>
                      <w:color w:val="000000"/>
                      <w:position w:val="-24"/>
                      <w:sz w:val="18"/>
                      <w:szCs w:val="18"/>
                    </w:rPr>
                    <w:object>
                      <v:shape id="_x0000_i1033" o:spt="75" type="#_x0000_t75" style="height:28.8pt;width:21.9pt;" o:ole="t" filled="f" o:preferrelative="t" stroked="f" coordsize="21600,21600">
                        <v:path/>
                        <v:fill on="f" focussize="0,0"/>
                        <v:stroke on="f" joinstyle="miter"/>
                        <v:imagedata r:id="rId33" o:title=""/>
                        <o:lock v:ext="edit" aspectratio="t"/>
                        <w10:wrap type="none"/>
                        <w10:anchorlock/>
                      </v:shape>
                      <o:OLEObject Type="Embed" ProgID="Equation.3" ShapeID="_x0000_i1033" DrawAspect="Content" ObjectID="_1468075733" r:id="rId32">
                        <o:LockedField>false</o:LockedField>
                      </o:OLEObject>
                    </w:object>
                  </w:r>
                </w:p>
              </w:tc>
            </w:tr>
          </w:tbl>
          <w:p w14:paraId="584C9441">
            <w:pPr>
              <w:widowControl/>
              <w:rPr>
                <w:rFonts w:ascii="宋体" w:hAnsi="宋体" w:cs="宋体"/>
                <w:kern w:val="0"/>
              </w:rPr>
            </w:pPr>
          </w:p>
        </w:tc>
        <w:tc>
          <w:tcPr>
            <w:tcW w:w="394" w:type="pct"/>
            <w:shd w:val="clear" w:color="auto" w:fill="auto"/>
            <w:noWrap/>
            <w:vAlign w:val="center"/>
          </w:tcPr>
          <w:p w14:paraId="30987FB0">
            <w:pPr>
              <w:widowControl/>
              <w:jc w:val="center"/>
              <w:rPr>
                <w:rFonts w:ascii="宋体" w:hAnsi="宋体" w:cs="宋体"/>
                <w:kern w:val="0"/>
              </w:rPr>
            </w:pPr>
          </w:p>
        </w:tc>
        <w:tc>
          <w:tcPr>
            <w:tcW w:w="400" w:type="pct"/>
            <w:shd w:val="clear" w:color="auto" w:fill="auto"/>
            <w:noWrap/>
            <w:vAlign w:val="center"/>
          </w:tcPr>
          <w:p w14:paraId="04C0D071">
            <w:pPr>
              <w:widowControl/>
              <w:jc w:val="center"/>
              <w:rPr>
                <w:rFonts w:ascii="宋体" w:hAnsi="宋体" w:cs="宋体"/>
                <w:kern w:val="0"/>
              </w:rPr>
            </w:pPr>
          </w:p>
        </w:tc>
      </w:tr>
      <w:tr w14:paraId="50C7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000" w:type="pct"/>
            <w:gridSpan w:val="5"/>
            <w:shd w:val="clear" w:color="auto" w:fill="auto"/>
            <w:noWrap/>
            <w:vAlign w:val="center"/>
          </w:tcPr>
          <w:p w14:paraId="5BE50A4D">
            <w:pPr>
              <w:widowControl/>
              <w:ind w:left="630" w:hanging="630" w:hangingChars="300"/>
              <w:jc w:val="left"/>
              <w:rPr>
                <w:rFonts w:ascii="宋体" w:hAnsi="宋体" w:cs="宋体"/>
                <w:kern w:val="0"/>
              </w:rPr>
            </w:pPr>
            <w:r>
              <w:rPr>
                <w:rFonts w:hint="eastAsia" w:ascii="宋体" w:hAnsi="宋体" w:cs="宋体"/>
                <w:kern w:val="0"/>
              </w:rPr>
              <w:t>注：</w:t>
            </w:r>
            <w:bookmarkStart w:id="88" w:name="OLE_LINK39"/>
            <w:bookmarkStart w:id="89" w:name="OLE_LINK40"/>
            <w:bookmarkStart w:id="90" w:name="OLE_LINK41"/>
            <w:r>
              <w:rPr>
                <w:rFonts w:hint="eastAsia" w:ascii="宋体" w:hAnsi="宋体" w:cs="宋体"/>
                <w:kern w:val="0"/>
              </w:rPr>
              <w:t>1.本</w:t>
            </w:r>
            <w:bookmarkStart w:id="91" w:name="OLE_LINK37"/>
            <w:bookmarkStart w:id="92" w:name="OLE_LINK38"/>
            <w:r>
              <w:rPr>
                <w:rFonts w:hint="eastAsia" w:ascii="宋体" w:hAnsi="宋体" w:cs="宋体"/>
                <w:kern w:val="0"/>
              </w:rPr>
              <w:t>表仅作为示例，使用单位应根据本单位非公路用旅游观光车辆使用情况，合理确定自行检查的周期（日、周、月、季、年）、项目、内容与方法。</w:t>
            </w:r>
            <w:bookmarkEnd w:id="88"/>
            <w:bookmarkEnd w:id="89"/>
            <w:bookmarkEnd w:id="90"/>
            <w:bookmarkEnd w:id="91"/>
            <w:bookmarkEnd w:id="92"/>
          </w:p>
          <w:p w14:paraId="0F9071FF">
            <w:pPr>
              <w:widowControl/>
              <w:tabs>
                <w:tab w:val="left" w:pos="312"/>
              </w:tabs>
              <w:adjustRightInd/>
              <w:spacing w:line="18" w:lineRule="atLeast"/>
              <w:ind w:left="420"/>
              <w:jc w:val="left"/>
              <w:rPr>
                <w:rFonts w:ascii="宋体" w:hAnsi="宋体" w:cs="宋体"/>
                <w:kern w:val="0"/>
              </w:rPr>
            </w:pPr>
            <w:bookmarkStart w:id="93" w:name="OLE_LINK43"/>
            <w:bookmarkStart w:id="94" w:name="OLE_LINK42"/>
            <w:r>
              <w:rPr>
                <w:rFonts w:hint="eastAsia" w:ascii="宋体" w:hAnsi="宋体" w:cs="宋体"/>
                <w:kern w:val="0"/>
              </w:rPr>
              <w:t>2.自检结果的表示方法：符合要求，“√”；不符合要求，“×”；无此项，“/”。</w:t>
            </w:r>
            <w:bookmarkEnd w:id="93"/>
            <w:bookmarkEnd w:id="94"/>
          </w:p>
        </w:tc>
      </w:tr>
    </w:tbl>
    <w:p w14:paraId="2AE9BB27">
      <w:pPr>
        <w:pStyle w:val="56"/>
        <w:ind w:firstLine="420"/>
        <w:sectPr>
          <w:pgSz w:w="11906" w:h="16838"/>
          <w:pgMar w:top="1928" w:right="1134" w:bottom="1134" w:left="1134" w:header="1418" w:footer="1134" w:gutter="284"/>
          <w:cols w:space="425" w:num="1"/>
          <w:formProt w:val="0"/>
          <w:docGrid w:type="lines" w:linePitch="312" w:charSpace="0"/>
        </w:sectPr>
      </w:pPr>
    </w:p>
    <w:p w14:paraId="2C01DED2">
      <w:pPr>
        <w:pStyle w:val="198"/>
      </w:pPr>
    </w:p>
    <w:p w14:paraId="7677EEE1">
      <w:pPr>
        <w:pStyle w:val="199"/>
      </w:pPr>
    </w:p>
    <w:p w14:paraId="1631D947">
      <w:pPr>
        <w:pStyle w:val="76"/>
        <w:spacing w:after="156"/>
      </w:pPr>
      <w:r>
        <w:br w:type="textWrapping"/>
      </w:r>
      <w:bookmarkStart w:id="95" w:name="_Toc193115871"/>
      <w:r>
        <w:rPr>
          <w:rFonts w:hint="eastAsia"/>
        </w:rPr>
        <w:t>（资料性）</w:t>
      </w:r>
      <w:r>
        <w:br w:type="textWrapping"/>
      </w:r>
      <w:r>
        <w:rPr>
          <w:rFonts w:hint="eastAsia"/>
        </w:rPr>
        <w:t>非公路用旅游观光车辆自行检查项目表</w:t>
      </w:r>
      <w:bookmarkEnd w:id="95"/>
    </w:p>
    <w:p w14:paraId="690C9EEC">
      <w:pPr>
        <w:pStyle w:val="56"/>
        <w:ind w:firstLine="420"/>
      </w:pPr>
      <w:r>
        <w:rPr>
          <w:rFonts w:hint="eastAsia"/>
        </w:rPr>
        <w:t>非公路用旅游观光车辆自行检查项目表见表C</w:t>
      </w:r>
      <w:r>
        <w:t>.1</w:t>
      </w:r>
      <w:r>
        <w:rPr>
          <w:rFonts w:hint="eastAsia"/>
        </w:rPr>
        <w:t>。</w:t>
      </w:r>
    </w:p>
    <w:p w14:paraId="716B8E92">
      <w:pPr>
        <w:pStyle w:val="77"/>
        <w:spacing w:before="156" w:after="156"/>
      </w:pPr>
      <w:r>
        <w:rPr>
          <w:rFonts w:hint="eastAsia"/>
        </w:rPr>
        <w:t>非公路用旅游观光车辆自行检查项目表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1241"/>
        <w:gridCol w:w="5952"/>
        <w:gridCol w:w="797"/>
        <w:gridCol w:w="808"/>
      </w:tblGrid>
      <w:tr w14:paraId="3180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tblHeader/>
          <w:jc w:val="center"/>
        </w:trPr>
        <w:tc>
          <w:tcPr>
            <w:tcW w:w="378" w:type="pct"/>
            <w:noWrap/>
            <w:vAlign w:val="center"/>
          </w:tcPr>
          <w:p w14:paraId="56CECCFD">
            <w:pPr>
              <w:widowControl/>
              <w:jc w:val="center"/>
              <w:rPr>
                <w:rFonts w:ascii="宋体" w:hAnsi="宋体" w:cs="宋体"/>
                <w:bCs/>
                <w:kern w:val="0"/>
              </w:rPr>
            </w:pPr>
            <w:r>
              <w:rPr>
                <w:rFonts w:hint="eastAsia" w:ascii="宋体" w:hAnsi="宋体" w:cs="宋体"/>
                <w:bCs/>
                <w:kern w:val="0"/>
              </w:rPr>
              <w:t>序号</w:t>
            </w:r>
          </w:p>
        </w:tc>
        <w:tc>
          <w:tcPr>
            <w:tcW w:w="3834" w:type="pct"/>
            <w:gridSpan w:val="2"/>
            <w:noWrap/>
            <w:vAlign w:val="center"/>
          </w:tcPr>
          <w:p w14:paraId="3B53583A">
            <w:pPr>
              <w:widowControl/>
              <w:jc w:val="center"/>
              <w:rPr>
                <w:rFonts w:ascii="宋体" w:hAnsi="宋体" w:cs="宋体"/>
                <w:bCs/>
                <w:kern w:val="0"/>
              </w:rPr>
            </w:pPr>
            <w:r>
              <w:rPr>
                <w:rFonts w:hint="eastAsia" w:ascii="宋体" w:hAnsi="宋体" w:cs="宋体"/>
                <w:bCs/>
                <w:kern w:val="0"/>
              </w:rPr>
              <w:t>自检项目及其内容、要求</w:t>
            </w:r>
          </w:p>
        </w:tc>
        <w:tc>
          <w:tcPr>
            <w:tcW w:w="391" w:type="pct"/>
            <w:noWrap/>
            <w:vAlign w:val="center"/>
          </w:tcPr>
          <w:p w14:paraId="49F4CC99">
            <w:pPr>
              <w:widowControl/>
              <w:jc w:val="center"/>
              <w:rPr>
                <w:rFonts w:ascii="宋体" w:hAnsi="宋体" w:cs="宋体"/>
                <w:bCs/>
                <w:kern w:val="0"/>
              </w:rPr>
            </w:pPr>
            <w:r>
              <w:rPr>
                <w:rFonts w:hint="eastAsia" w:ascii="宋体" w:hAnsi="宋体" w:cs="宋体"/>
                <w:bCs/>
                <w:kern w:val="0"/>
              </w:rPr>
              <w:t>自检</w:t>
            </w:r>
          </w:p>
          <w:p w14:paraId="0309CD18">
            <w:pPr>
              <w:widowControl/>
              <w:jc w:val="center"/>
              <w:rPr>
                <w:rFonts w:ascii="宋体" w:hAnsi="宋体" w:cs="宋体"/>
                <w:bCs/>
                <w:kern w:val="0"/>
              </w:rPr>
            </w:pPr>
            <w:r>
              <w:rPr>
                <w:rFonts w:hint="eastAsia" w:ascii="宋体" w:hAnsi="宋体" w:cs="宋体"/>
                <w:bCs/>
                <w:kern w:val="0"/>
              </w:rPr>
              <w:t>结果</w:t>
            </w:r>
          </w:p>
        </w:tc>
        <w:tc>
          <w:tcPr>
            <w:tcW w:w="397" w:type="pct"/>
            <w:noWrap/>
            <w:vAlign w:val="center"/>
          </w:tcPr>
          <w:p w14:paraId="2BF2957A">
            <w:pPr>
              <w:widowControl/>
              <w:jc w:val="center"/>
              <w:rPr>
                <w:rFonts w:ascii="宋体" w:hAnsi="宋体" w:cs="宋体"/>
                <w:bCs/>
                <w:kern w:val="0"/>
              </w:rPr>
            </w:pPr>
            <w:r>
              <w:rPr>
                <w:rFonts w:hint="eastAsia" w:ascii="宋体" w:hAnsi="宋体" w:cs="宋体"/>
                <w:bCs/>
                <w:kern w:val="0"/>
              </w:rPr>
              <w:t>自检</w:t>
            </w:r>
          </w:p>
          <w:p w14:paraId="5DDE3AB7">
            <w:pPr>
              <w:widowControl/>
              <w:jc w:val="center"/>
              <w:rPr>
                <w:rFonts w:ascii="宋体" w:hAnsi="宋体" w:cs="宋体"/>
                <w:bCs/>
                <w:kern w:val="0"/>
              </w:rPr>
            </w:pPr>
            <w:r>
              <w:rPr>
                <w:rFonts w:hint="eastAsia" w:ascii="宋体" w:hAnsi="宋体" w:cs="宋体"/>
                <w:bCs/>
                <w:kern w:val="0"/>
              </w:rPr>
              <w:t>周期</w:t>
            </w:r>
          </w:p>
        </w:tc>
      </w:tr>
      <w:tr w14:paraId="1A4B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378" w:type="pct"/>
            <w:vMerge w:val="restart"/>
            <w:noWrap/>
            <w:vAlign w:val="center"/>
          </w:tcPr>
          <w:p w14:paraId="1EB5659D">
            <w:pPr>
              <w:pStyle w:val="230"/>
              <w:widowControl/>
              <w:ind w:left="420" w:hanging="420" w:firstLineChars="0"/>
              <w:jc w:val="center"/>
              <w:rPr>
                <w:rFonts w:ascii="宋体" w:hAnsi="宋体" w:cs="宋体"/>
                <w:kern w:val="0"/>
                <w:szCs w:val="21"/>
              </w:rPr>
            </w:pPr>
            <w:r>
              <w:rPr>
                <w:rFonts w:hint="eastAsia" w:ascii="宋体" w:hAnsi="宋体" w:cs="宋体"/>
                <w:kern w:val="0"/>
                <w:szCs w:val="21"/>
              </w:rPr>
              <w:t>1</w:t>
            </w:r>
          </w:p>
        </w:tc>
        <w:tc>
          <w:tcPr>
            <w:tcW w:w="633" w:type="pct"/>
            <w:vMerge w:val="restart"/>
            <w:vAlign w:val="center"/>
          </w:tcPr>
          <w:p w14:paraId="197943C1">
            <w:pPr>
              <w:widowControl/>
              <w:jc w:val="center"/>
              <w:rPr>
                <w:rFonts w:ascii="宋体" w:hAnsi="宋体" w:cs="宋体"/>
                <w:kern w:val="0"/>
              </w:rPr>
            </w:pPr>
            <w:r>
              <w:rPr>
                <w:rFonts w:hint="eastAsia" w:ascii="宋体" w:hAnsi="宋体" w:cs="宋体"/>
                <w:kern w:val="0"/>
              </w:rPr>
              <w:t>1</w:t>
            </w:r>
            <w:r>
              <w:rPr>
                <w:rFonts w:hint="eastAsia" w:ascii="宋体" w:hAnsi="宋体" w:cs="宋体"/>
                <w:kern w:val="0"/>
              </w:rPr>
              <w:br w:type="textWrapping"/>
            </w:r>
            <w:r>
              <w:rPr>
                <w:rFonts w:hint="eastAsia" w:ascii="宋体" w:hAnsi="宋体" w:cs="宋体"/>
                <w:kern w:val="0"/>
              </w:rPr>
              <w:t>使用资料</w:t>
            </w:r>
          </w:p>
        </w:tc>
        <w:tc>
          <w:tcPr>
            <w:tcW w:w="3201" w:type="pct"/>
            <w:vAlign w:val="center"/>
          </w:tcPr>
          <w:p w14:paraId="239DFF12">
            <w:pPr>
              <w:widowControl/>
              <w:rPr>
                <w:rFonts w:ascii="宋体" w:hAnsi="宋体" w:cs="宋体"/>
                <w:kern w:val="0"/>
              </w:rPr>
            </w:pPr>
            <w:r>
              <w:rPr>
                <w:rFonts w:hint="eastAsia" w:ascii="宋体" w:hAnsi="宋体" w:cs="宋体"/>
                <w:kern w:val="0"/>
              </w:rPr>
              <w:t>（1）观光车或观光列车安全操作规程、事故应急专项预案、应急演练记录。</w:t>
            </w:r>
          </w:p>
        </w:tc>
        <w:tc>
          <w:tcPr>
            <w:tcW w:w="391" w:type="pct"/>
            <w:noWrap/>
            <w:vAlign w:val="center"/>
          </w:tcPr>
          <w:p w14:paraId="403BA6E7">
            <w:pPr>
              <w:widowControl/>
              <w:jc w:val="center"/>
              <w:rPr>
                <w:rFonts w:ascii="宋体" w:hAnsi="宋体" w:cs="宋体"/>
                <w:kern w:val="0"/>
              </w:rPr>
            </w:pPr>
          </w:p>
        </w:tc>
        <w:tc>
          <w:tcPr>
            <w:tcW w:w="397" w:type="pct"/>
            <w:noWrap/>
            <w:vAlign w:val="center"/>
          </w:tcPr>
          <w:p w14:paraId="7EC45442">
            <w:pPr>
              <w:widowControl/>
              <w:jc w:val="center"/>
              <w:rPr>
                <w:rFonts w:ascii="宋体" w:hAnsi="宋体" w:cs="宋体"/>
                <w:kern w:val="0"/>
              </w:rPr>
            </w:pPr>
          </w:p>
        </w:tc>
      </w:tr>
      <w:tr w14:paraId="36F2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378" w:type="pct"/>
            <w:vMerge w:val="continue"/>
            <w:vAlign w:val="center"/>
          </w:tcPr>
          <w:p w14:paraId="1D49DAB5">
            <w:pPr>
              <w:widowControl/>
              <w:jc w:val="left"/>
              <w:rPr>
                <w:rFonts w:ascii="宋体" w:hAnsi="宋体" w:cs="宋体"/>
                <w:kern w:val="0"/>
              </w:rPr>
            </w:pPr>
          </w:p>
        </w:tc>
        <w:tc>
          <w:tcPr>
            <w:tcW w:w="633" w:type="pct"/>
            <w:vMerge w:val="continue"/>
            <w:vAlign w:val="center"/>
          </w:tcPr>
          <w:p w14:paraId="75C3EE68">
            <w:pPr>
              <w:widowControl/>
              <w:jc w:val="left"/>
              <w:rPr>
                <w:rFonts w:ascii="宋体" w:hAnsi="宋体" w:cs="宋体"/>
                <w:kern w:val="0"/>
              </w:rPr>
            </w:pPr>
          </w:p>
        </w:tc>
        <w:tc>
          <w:tcPr>
            <w:tcW w:w="3201" w:type="pct"/>
            <w:vAlign w:val="center"/>
          </w:tcPr>
          <w:p w14:paraId="51DF788E">
            <w:pPr>
              <w:widowControl/>
              <w:rPr>
                <w:rFonts w:ascii="宋体" w:hAnsi="宋体" w:cs="宋体"/>
                <w:kern w:val="0"/>
              </w:rPr>
            </w:pPr>
            <w:r>
              <w:rPr>
                <w:rFonts w:hint="eastAsia" w:ascii="宋体" w:hAnsi="宋体" w:cs="宋体"/>
                <w:kern w:val="0"/>
              </w:rPr>
              <w:t>（2）逐台建立的安全技术档案，包括使用登记证、产品质量合格证明（含合格证（如涉及改造应包括改造后的合格证）及其数据表、质量证明书）、上一周期的检验报告、自行检查记录或者报告、产品使用维护保养说明书、日常使用状态记录、维护保养记录、运行故障和事故记录及事故处理报告等。</w:t>
            </w:r>
          </w:p>
        </w:tc>
        <w:tc>
          <w:tcPr>
            <w:tcW w:w="391" w:type="pct"/>
            <w:noWrap/>
            <w:vAlign w:val="center"/>
          </w:tcPr>
          <w:p w14:paraId="55EEB3CF">
            <w:pPr>
              <w:widowControl/>
              <w:jc w:val="center"/>
              <w:rPr>
                <w:rFonts w:ascii="宋体" w:hAnsi="宋体" w:cs="宋体"/>
                <w:kern w:val="0"/>
              </w:rPr>
            </w:pPr>
          </w:p>
        </w:tc>
        <w:tc>
          <w:tcPr>
            <w:tcW w:w="397" w:type="pct"/>
            <w:noWrap/>
            <w:vAlign w:val="center"/>
          </w:tcPr>
          <w:p w14:paraId="52C1FFCB">
            <w:pPr>
              <w:widowControl/>
              <w:jc w:val="center"/>
              <w:rPr>
                <w:rFonts w:ascii="宋体" w:hAnsi="宋体" w:cs="宋体"/>
                <w:kern w:val="0"/>
              </w:rPr>
            </w:pPr>
          </w:p>
        </w:tc>
      </w:tr>
      <w:tr w14:paraId="7776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noWrap/>
            <w:vAlign w:val="center"/>
          </w:tcPr>
          <w:p w14:paraId="5D07E1D6">
            <w:pPr>
              <w:pStyle w:val="230"/>
              <w:widowControl/>
              <w:ind w:left="420" w:hanging="420" w:firstLineChars="0"/>
              <w:jc w:val="center"/>
              <w:rPr>
                <w:rFonts w:ascii="宋体" w:hAnsi="宋体" w:cs="宋体"/>
                <w:kern w:val="0"/>
                <w:szCs w:val="21"/>
              </w:rPr>
            </w:pPr>
            <w:r>
              <w:rPr>
                <w:rFonts w:hint="eastAsia" w:ascii="宋体" w:hAnsi="宋体" w:cs="宋体"/>
                <w:kern w:val="0"/>
                <w:szCs w:val="21"/>
              </w:rPr>
              <w:t>2</w:t>
            </w:r>
          </w:p>
        </w:tc>
        <w:tc>
          <w:tcPr>
            <w:tcW w:w="633" w:type="pct"/>
            <w:vAlign w:val="center"/>
          </w:tcPr>
          <w:p w14:paraId="7A88269F">
            <w:pPr>
              <w:widowControl/>
              <w:jc w:val="center"/>
              <w:rPr>
                <w:rFonts w:ascii="宋体" w:hAnsi="宋体" w:cs="宋体"/>
                <w:kern w:val="0"/>
              </w:rPr>
            </w:pPr>
            <w:r>
              <w:rPr>
                <w:rFonts w:hint="eastAsia" w:ascii="宋体" w:hAnsi="宋体" w:cs="宋体"/>
                <w:kern w:val="0"/>
              </w:rPr>
              <w:t>2</w:t>
            </w:r>
          </w:p>
          <w:p w14:paraId="4CA2E2D8">
            <w:pPr>
              <w:widowControl/>
              <w:jc w:val="center"/>
              <w:rPr>
                <w:rFonts w:ascii="宋体" w:hAnsi="宋体" w:cs="宋体"/>
                <w:kern w:val="0"/>
              </w:rPr>
            </w:pPr>
            <w:r>
              <w:rPr>
                <w:rFonts w:hint="eastAsia" w:ascii="宋体" w:hAnsi="宋体" w:cs="宋体"/>
                <w:kern w:val="0"/>
              </w:rPr>
              <w:t>结构型式</w:t>
            </w:r>
          </w:p>
        </w:tc>
        <w:tc>
          <w:tcPr>
            <w:tcW w:w="3201" w:type="pct"/>
            <w:vAlign w:val="center"/>
          </w:tcPr>
          <w:p w14:paraId="104C99B6">
            <w:pPr>
              <w:widowControl/>
              <w:rPr>
                <w:rFonts w:ascii="宋体" w:hAnsi="宋体" w:cs="宋体"/>
                <w:kern w:val="0"/>
              </w:rPr>
            </w:pPr>
            <w:r>
              <w:rPr>
                <w:rFonts w:hint="eastAsia" w:ascii="宋体" w:hAnsi="宋体" w:cs="宋体"/>
                <w:kern w:val="0"/>
              </w:rPr>
              <w:t>结构型式、主参数与技术资料一致。</w:t>
            </w:r>
          </w:p>
        </w:tc>
        <w:tc>
          <w:tcPr>
            <w:tcW w:w="391" w:type="pct"/>
            <w:noWrap/>
            <w:vAlign w:val="bottom"/>
          </w:tcPr>
          <w:p w14:paraId="12B3EFD7">
            <w:pPr>
              <w:widowControl/>
              <w:jc w:val="center"/>
              <w:rPr>
                <w:rFonts w:ascii="宋体" w:hAnsi="宋体" w:cs="宋体"/>
                <w:kern w:val="0"/>
              </w:rPr>
            </w:pPr>
          </w:p>
        </w:tc>
        <w:tc>
          <w:tcPr>
            <w:tcW w:w="397" w:type="pct"/>
            <w:noWrap/>
            <w:vAlign w:val="bottom"/>
          </w:tcPr>
          <w:p w14:paraId="40409557">
            <w:pPr>
              <w:widowControl/>
              <w:jc w:val="center"/>
              <w:rPr>
                <w:rFonts w:ascii="宋体" w:hAnsi="宋体" w:cs="宋体"/>
                <w:kern w:val="0"/>
              </w:rPr>
            </w:pPr>
          </w:p>
        </w:tc>
      </w:tr>
      <w:tr w14:paraId="1A38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restart"/>
            <w:noWrap/>
            <w:vAlign w:val="center"/>
          </w:tcPr>
          <w:p w14:paraId="650D2056">
            <w:pPr>
              <w:widowControl/>
              <w:jc w:val="center"/>
              <w:rPr>
                <w:rFonts w:ascii="宋体" w:hAnsi="宋体" w:cs="宋体"/>
                <w:kern w:val="0"/>
              </w:rPr>
            </w:pPr>
            <w:r>
              <w:rPr>
                <w:rFonts w:hint="eastAsia" w:ascii="宋体" w:hAnsi="宋体" w:cs="宋体"/>
                <w:kern w:val="0"/>
              </w:rPr>
              <w:t>3</w:t>
            </w:r>
          </w:p>
          <w:p w14:paraId="7A56538F">
            <w:pPr>
              <w:widowControl/>
              <w:jc w:val="center"/>
              <w:rPr>
                <w:rFonts w:ascii="宋体" w:hAnsi="宋体" w:cs="宋体"/>
                <w:kern w:val="0"/>
              </w:rPr>
            </w:pPr>
          </w:p>
        </w:tc>
        <w:tc>
          <w:tcPr>
            <w:tcW w:w="633" w:type="pct"/>
            <w:vMerge w:val="restart"/>
            <w:noWrap/>
            <w:vAlign w:val="center"/>
          </w:tcPr>
          <w:p w14:paraId="561AE58E">
            <w:pPr>
              <w:widowControl/>
              <w:jc w:val="center"/>
              <w:rPr>
                <w:rFonts w:hint="eastAsia" w:ascii="宋体" w:hAnsi="宋体" w:cs="宋体"/>
                <w:kern w:val="0"/>
              </w:rPr>
            </w:pPr>
            <w:r>
              <w:rPr>
                <w:rFonts w:hint="eastAsia" w:ascii="宋体" w:hAnsi="宋体" w:cs="宋体"/>
                <w:kern w:val="0"/>
              </w:rPr>
              <w:t>3</w:t>
            </w:r>
          </w:p>
          <w:p w14:paraId="2E861F20">
            <w:pPr>
              <w:widowControl/>
              <w:jc w:val="center"/>
              <w:rPr>
                <w:rFonts w:ascii="宋体" w:hAnsi="宋体" w:cs="宋体"/>
                <w:kern w:val="0"/>
              </w:rPr>
            </w:pPr>
            <w:r>
              <w:rPr>
                <w:rFonts w:hint="eastAsia" w:ascii="宋体" w:hAnsi="宋体" w:cs="宋体"/>
                <w:kern w:val="0"/>
              </w:rPr>
              <w:t>整车外观</w:t>
            </w:r>
          </w:p>
        </w:tc>
        <w:tc>
          <w:tcPr>
            <w:tcW w:w="3201" w:type="pct"/>
            <w:vAlign w:val="center"/>
          </w:tcPr>
          <w:p w14:paraId="001A2ECC">
            <w:pPr>
              <w:widowControl/>
              <w:rPr>
                <w:rFonts w:ascii="宋体" w:hAnsi="宋体" w:cs="宋体"/>
                <w:kern w:val="0"/>
              </w:rPr>
            </w:pPr>
            <w:r>
              <w:rPr>
                <w:rFonts w:hint="eastAsia" w:ascii="宋体" w:hAnsi="宋体" w:cs="宋体"/>
                <w:kern w:val="0"/>
              </w:rPr>
              <w:t>（1）车牌应固定在车辆明显部位，车牌编号与使用登记信息一致。</w:t>
            </w:r>
          </w:p>
        </w:tc>
        <w:tc>
          <w:tcPr>
            <w:tcW w:w="391" w:type="pct"/>
            <w:noWrap/>
            <w:vAlign w:val="bottom"/>
          </w:tcPr>
          <w:p w14:paraId="2E3BCCF9">
            <w:pPr>
              <w:widowControl/>
              <w:jc w:val="center"/>
              <w:rPr>
                <w:rFonts w:ascii="宋体" w:hAnsi="宋体" w:cs="宋体"/>
                <w:kern w:val="0"/>
              </w:rPr>
            </w:pPr>
          </w:p>
        </w:tc>
        <w:tc>
          <w:tcPr>
            <w:tcW w:w="397" w:type="pct"/>
            <w:noWrap/>
            <w:vAlign w:val="bottom"/>
          </w:tcPr>
          <w:p w14:paraId="6188E069">
            <w:pPr>
              <w:widowControl/>
              <w:jc w:val="center"/>
              <w:rPr>
                <w:rFonts w:ascii="宋体" w:hAnsi="宋体" w:cs="宋体"/>
                <w:kern w:val="0"/>
              </w:rPr>
            </w:pPr>
          </w:p>
        </w:tc>
      </w:tr>
      <w:tr w14:paraId="2760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18AD25F5">
            <w:pPr>
              <w:widowControl/>
              <w:jc w:val="left"/>
              <w:rPr>
                <w:rFonts w:ascii="宋体" w:hAnsi="宋体" w:cs="宋体"/>
                <w:kern w:val="0"/>
              </w:rPr>
            </w:pPr>
          </w:p>
        </w:tc>
        <w:tc>
          <w:tcPr>
            <w:tcW w:w="633" w:type="pct"/>
            <w:vMerge w:val="continue"/>
            <w:vAlign w:val="center"/>
          </w:tcPr>
          <w:p w14:paraId="473F2959">
            <w:pPr>
              <w:widowControl/>
              <w:jc w:val="left"/>
              <w:rPr>
                <w:rFonts w:ascii="宋体" w:hAnsi="宋体" w:cs="宋体"/>
                <w:kern w:val="0"/>
              </w:rPr>
            </w:pPr>
          </w:p>
        </w:tc>
        <w:tc>
          <w:tcPr>
            <w:tcW w:w="3201" w:type="pct"/>
            <w:vAlign w:val="center"/>
          </w:tcPr>
          <w:p w14:paraId="004BEE14">
            <w:pPr>
              <w:widowControl/>
              <w:rPr>
                <w:rFonts w:ascii="宋体" w:hAnsi="宋体" w:cs="宋体"/>
                <w:kern w:val="0"/>
              </w:rPr>
            </w:pPr>
            <w:r>
              <w:rPr>
                <w:rFonts w:hint="eastAsia" w:ascii="宋体" w:hAnsi="宋体" w:cs="宋体"/>
                <w:kern w:val="0"/>
              </w:rPr>
              <w:t>（2）车架易见部位应当有清晰的永久编号，且与有关资料一致。</w:t>
            </w:r>
          </w:p>
        </w:tc>
        <w:tc>
          <w:tcPr>
            <w:tcW w:w="391" w:type="pct"/>
            <w:noWrap/>
            <w:vAlign w:val="bottom"/>
          </w:tcPr>
          <w:p w14:paraId="10663CCA">
            <w:pPr>
              <w:widowControl/>
              <w:jc w:val="center"/>
              <w:rPr>
                <w:rFonts w:ascii="宋体" w:hAnsi="宋体" w:cs="宋体"/>
                <w:kern w:val="0"/>
              </w:rPr>
            </w:pPr>
          </w:p>
        </w:tc>
        <w:tc>
          <w:tcPr>
            <w:tcW w:w="397" w:type="pct"/>
            <w:noWrap/>
            <w:vAlign w:val="bottom"/>
          </w:tcPr>
          <w:p w14:paraId="04E67948">
            <w:pPr>
              <w:widowControl/>
              <w:jc w:val="center"/>
              <w:rPr>
                <w:rFonts w:ascii="宋体" w:hAnsi="宋体" w:cs="宋体"/>
                <w:kern w:val="0"/>
              </w:rPr>
            </w:pPr>
          </w:p>
        </w:tc>
      </w:tr>
      <w:tr w14:paraId="11F36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667DF35F">
            <w:pPr>
              <w:widowControl/>
              <w:jc w:val="left"/>
              <w:rPr>
                <w:rFonts w:ascii="宋体" w:hAnsi="宋体" w:cs="宋体"/>
                <w:kern w:val="0"/>
              </w:rPr>
            </w:pPr>
          </w:p>
        </w:tc>
        <w:tc>
          <w:tcPr>
            <w:tcW w:w="633" w:type="pct"/>
            <w:vMerge w:val="continue"/>
            <w:vAlign w:val="center"/>
          </w:tcPr>
          <w:p w14:paraId="6FB3A084">
            <w:pPr>
              <w:widowControl/>
              <w:jc w:val="left"/>
              <w:rPr>
                <w:rFonts w:ascii="宋体" w:hAnsi="宋体" w:cs="宋体"/>
                <w:kern w:val="0"/>
              </w:rPr>
            </w:pPr>
          </w:p>
        </w:tc>
        <w:tc>
          <w:tcPr>
            <w:tcW w:w="3201" w:type="pct"/>
            <w:vAlign w:val="center"/>
          </w:tcPr>
          <w:p w14:paraId="6DC3A8C7">
            <w:pPr>
              <w:widowControl/>
              <w:rPr>
                <w:rFonts w:ascii="宋体" w:hAnsi="宋体" w:cs="宋体"/>
                <w:kern w:val="0"/>
              </w:rPr>
            </w:pPr>
            <w:r>
              <w:rPr>
                <w:rFonts w:hint="eastAsia" w:ascii="宋体" w:hAnsi="宋体" w:cs="宋体"/>
                <w:kern w:val="0"/>
              </w:rPr>
              <w:t>（3）每节车厢应当设置存放灭火器的位置，并且该位置应当便于灭火器的取用，灭火器应在有效期</w:t>
            </w:r>
            <w:r>
              <w:rPr>
                <w:rFonts w:hint="eastAsia" w:ascii="宋体" w:hAnsi="宋体" w:cs="宋体"/>
                <w:kern w:val="0"/>
                <w:lang w:val="en-US" w:eastAsia="zh-CN"/>
              </w:rPr>
              <w:t>内</w:t>
            </w:r>
            <w:r>
              <w:rPr>
                <w:rFonts w:hint="eastAsia" w:ascii="宋体" w:hAnsi="宋体" w:cs="宋体"/>
                <w:kern w:val="0"/>
              </w:rPr>
              <w:t>。</w:t>
            </w:r>
          </w:p>
        </w:tc>
        <w:tc>
          <w:tcPr>
            <w:tcW w:w="391" w:type="pct"/>
            <w:noWrap/>
            <w:vAlign w:val="bottom"/>
          </w:tcPr>
          <w:p w14:paraId="6F691D4D">
            <w:pPr>
              <w:widowControl/>
              <w:jc w:val="center"/>
              <w:rPr>
                <w:rFonts w:ascii="宋体" w:hAnsi="宋体" w:cs="宋体"/>
                <w:kern w:val="0"/>
              </w:rPr>
            </w:pPr>
          </w:p>
        </w:tc>
        <w:tc>
          <w:tcPr>
            <w:tcW w:w="397" w:type="pct"/>
            <w:noWrap/>
            <w:vAlign w:val="bottom"/>
          </w:tcPr>
          <w:p w14:paraId="4B6DCF19">
            <w:pPr>
              <w:widowControl/>
              <w:jc w:val="center"/>
              <w:rPr>
                <w:rFonts w:ascii="宋体" w:hAnsi="宋体" w:cs="宋体"/>
                <w:kern w:val="0"/>
              </w:rPr>
            </w:pPr>
          </w:p>
        </w:tc>
      </w:tr>
      <w:tr w14:paraId="4523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jc w:val="center"/>
        </w:trPr>
        <w:tc>
          <w:tcPr>
            <w:tcW w:w="378" w:type="pct"/>
            <w:vMerge w:val="continue"/>
            <w:vAlign w:val="center"/>
          </w:tcPr>
          <w:p w14:paraId="31A353DF">
            <w:pPr>
              <w:widowControl/>
              <w:jc w:val="left"/>
              <w:rPr>
                <w:rFonts w:ascii="宋体" w:hAnsi="宋体" w:cs="宋体"/>
                <w:kern w:val="0"/>
              </w:rPr>
            </w:pPr>
          </w:p>
        </w:tc>
        <w:tc>
          <w:tcPr>
            <w:tcW w:w="633" w:type="pct"/>
            <w:vMerge w:val="continue"/>
            <w:vAlign w:val="center"/>
          </w:tcPr>
          <w:p w14:paraId="5FD309B6">
            <w:pPr>
              <w:widowControl/>
              <w:jc w:val="left"/>
              <w:rPr>
                <w:rFonts w:ascii="宋体" w:hAnsi="宋体" w:cs="宋体"/>
                <w:kern w:val="0"/>
              </w:rPr>
            </w:pPr>
          </w:p>
        </w:tc>
        <w:tc>
          <w:tcPr>
            <w:tcW w:w="3201" w:type="pct"/>
            <w:vAlign w:val="center"/>
          </w:tcPr>
          <w:p w14:paraId="236831A5">
            <w:pPr>
              <w:widowControl/>
              <w:rPr>
                <w:rFonts w:ascii="宋体" w:hAnsi="宋体" w:cs="宋体"/>
                <w:kern w:val="0"/>
              </w:rPr>
            </w:pPr>
            <w:r>
              <w:rPr>
                <w:rFonts w:hint="eastAsia" w:ascii="宋体" w:hAnsi="宋体" w:cs="宋体"/>
                <w:kern w:val="0"/>
              </w:rPr>
              <w:t>（4）内燃车辆应当装备里程表、车速表、发动机水温表或者水温报警灯、机油压力表或者油压报警灯、蓄电池充电（报警）指示灯和燃油表；电动车辆应当装备里程表或者计时表、车速表、电流表或者蓄电池荷电状态指示器，蓄电池的剩余电量低于一定值时，应当通过一个明显的信号装置（如声或者光信号）显示；采用气压制动系统的车辆还应当装有气压表或者报警装置，当制动系统的气压低于起步气压时，车辆应当无法运行或者发出报警信号。</w:t>
            </w:r>
          </w:p>
        </w:tc>
        <w:tc>
          <w:tcPr>
            <w:tcW w:w="391" w:type="pct"/>
            <w:noWrap/>
            <w:vAlign w:val="bottom"/>
          </w:tcPr>
          <w:p w14:paraId="28269117">
            <w:pPr>
              <w:widowControl/>
              <w:jc w:val="center"/>
              <w:rPr>
                <w:rFonts w:ascii="宋体" w:hAnsi="宋体" w:cs="宋体"/>
                <w:kern w:val="0"/>
              </w:rPr>
            </w:pPr>
          </w:p>
        </w:tc>
        <w:tc>
          <w:tcPr>
            <w:tcW w:w="397" w:type="pct"/>
            <w:noWrap/>
            <w:vAlign w:val="bottom"/>
          </w:tcPr>
          <w:p w14:paraId="4F1E0554">
            <w:pPr>
              <w:widowControl/>
              <w:jc w:val="center"/>
              <w:rPr>
                <w:rFonts w:ascii="宋体" w:hAnsi="宋体" w:cs="宋体"/>
                <w:kern w:val="0"/>
              </w:rPr>
            </w:pPr>
          </w:p>
        </w:tc>
      </w:tr>
      <w:tr w14:paraId="491EB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561F7875">
            <w:pPr>
              <w:widowControl/>
              <w:jc w:val="left"/>
              <w:rPr>
                <w:rFonts w:ascii="宋体" w:hAnsi="宋体" w:cs="宋体"/>
                <w:kern w:val="0"/>
              </w:rPr>
            </w:pPr>
          </w:p>
        </w:tc>
        <w:tc>
          <w:tcPr>
            <w:tcW w:w="633" w:type="pct"/>
            <w:vMerge w:val="continue"/>
            <w:vAlign w:val="center"/>
          </w:tcPr>
          <w:p w14:paraId="0C7B3949">
            <w:pPr>
              <w:widowControl/>
              <w:jc w:val="left"/>
              <w:rPr>
                <w:rFonts w:ascii="宋体" w:hAnsi="宋体" w:cs="宋体"/>
                <w:kern w:val="0"/>
              </w:rPr>
            </w:pPr>
          </w:p>
        </w:tc>
        <w:tc>
          <w:tcPr>
            <w:tcW w:w="3201" w:type="pct"/>
            <w:vAlign w:val="center"/>
          </w:tcPr>
          <w:p w14:paraId="1738EB03">
            <w:pPr>
              <w:widowControl/>
              <w:rPr>
                <w:rFonts w:ascii="宋体" w:hAnsi="宋体" w:cs="宋体"/>
                <w:kern w:val="0"/>
              </w:rPr>
            </w:pPr>
            <w:r>
              <w:rPr>
                <w:rFonts w:hint="eastAsia" w:ascii="宋体" w:hAnsi="宋体" w:cs="宋体"/>
                <w:kern w:val="0"/>
              </w:rPr>
              <w:t>（5）车辆应当整洁，车身周正，各部分机件齐全、完整。</w:t>
            </w:r>
          </w:p>
        </w:tc>
        <w:tc>
          <w:tcPr>
            <w:tcW w:w="391" w:type="pct"/>
            <w:noWrap/>
            <w:vAlign w:val="bottom"/>
          </w:tcPr>
          <w:p w14:paraId="3E50F35B">
            <w:pPr>
              <w:widowControl/>
              <w:jc w:val="center"/>
              <w:rPr>
                <w:rFonts w:ascii="宋体" w:hAnsi="宋体" w:cs="宋体"/>
                <w:kern w:val="0"/>
              </w:rPr>
            </w:pPr>
          </w:p>
        </w:tc>
        <w:tc>
          <w:tcPr>
            <w:tcW w:w="397" w:type="pct"/>
            <w:noWrap/>
            <w:vAlign w:val="bottom"/>
          </w:tcPr>
          <w:p w14:paraId="6323D532">
            <w:pPr>
              <w:widowControl/>
              <w:jc w:val="center"/>
              <w:rPr>
                <w:rFonts w:ascii="宋体" w:hAnsi="宋体" w:cs="宋体"/>
                <w:kern w:val="0"/>
              </w:rPr>
            </w:pPr>
          </w:p>
        </w:tc>
      </w:tr>
      <w:tr w14:paraId="61F6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noWrap/>
            <w:vAlign w:val="center"/>
          </w:tcPr>
          <w:p w14:paraId="7D98D366">
            <w:pPr>
              <w:pStyle w:val="230"/>
              <w:widowControl/>
              <w:ind w:left="0" w:firstLine="0" w:firstLineChars="0"/>
              <w:jc w:val="center"/>
              <w:rPr>
                <w:rFonts w:ascii="宋体" w:hAnsi="宋体" w:cs="宋体"/>
                <w:kern w:val="0"/>
                <w:szCs w:val="21"/>
              </w:rPr>
            </w:pPr>
            <w:r>
              <w:rPr>
                <w:rFonts w:hint="eastAsia" w:ascii="宋体" w:hAnsi="宋体" w:cs="宋体"/>
                <w:kern w:val="0"/>
                <w:szCs w:val="21"/>
              </w:rPr>
              <w:t>4</w:t>
            </w:r>
          </w:p>
        </w:tc>
        <w:tc>
          <w:tcPr>
            <w:tcW w:w="633" w:type="pct"/>
            <w:vAlign w:val="center"/>
          </w:tcPr>
          <w:p w14:paraId="05FCD55B">
            <w:pPr>
              <w:widowControl/>
              <w:jc w:val="center"/>
              <w:rPr>
                <w:rFonts w:ascii="宋体" w:hAnsi="宋体" w:cs="宋体"/>
                <w:kern w:val="0"/>
              </w:rPr>
            </w:pPr>
            <w:bookmarkStart w:id="96" w:name="OLE_LINK87"/>
            <w:r>
              <w:rPr>
                <w:rFonts w:hint="eastAsia" w:ascii="宋体" w:hAnsi="宋体" w:cs="宋体"/>
                <w:kern w:val="0"/>
              </w:rPr>
              <w:t>4</w:t>
            </w:r>
          </w:p>
          <w:bookmarkEnd w:id="96"/>
          <w:p w14:paraId="308C57FC">
            <w:pPr>
              <w:widowControl/>
              <w:jc w:val="center"/>
              <w:rPr>
                <w:rFonts w:ascii="宋体" w:hAnsi="宋体" w:cs="宋体"/>
                <w:kern w:val="0"/>
              </w:rPr>
            </w:pPr>
            <w:r>
              <w:rPr>
                <w:rFonts w:hint="eastAsia" w:ascii="宋体" w:hAnsi="宋体" w:cs="宋体"/>
                <w:kern w:val="0"/>
              </w:rPr>
              <w:t>主要受力结构件</w:t>
            </w:r>
          </w:p>
        </w:tc>
        <w:tc>
          <w:tcPr>
            <w:tcW w:w="3201" w:type="pct"/>
            <w:vAlign w:val="center"/>
          </w:tcPr>
          <w:p w14:paraId="24DF1157">
            <w:pPr>
              <w:widowControl/>
              <w:rPr>
                <w:rFonts w:ascii="宋体" w:hAnsi="宋体" w:cs="宋体"/>
                <w:kern w:val="0"/>
              </w:rPr>
            </w:pPr>
            <w:r>
              <w:rPr>
                <w:rFonts w:hint="eastAsia" w:ascii="宋体" w:hAnsi="宋体" w:cs="宋体"/>
                <w:kern w:val="0"/>
              </w:rPr>
              <w:t>（1）车架应当无明显变形、裂纹和锈蚀，螺栓和铆钉等联结件不应当缺少和松动。</w:t>
            </w:r>
          </w:p>
        </w:tc>
        <w:tc>
          <w:tcPr>
            <w:tcW w:w="391" w:type="pct"/>
            <w:noWrap/>
            <w:vAlign w:val="bottom"/>
          </w:tcPr>
          <w:p w14:paraId="3CBCA415">
            <w:pPr>
              <w:widowControl/>
              <w:jc w:val="center"/>
              <w:rPr>
                <w:rFonts w:ascii="宋体" w:hAnsi="宋体" w:cs="宋体"/>
                <w:kern w:val="0"/>
              </w:rPr>
            </w:pPr>
          </w:p>
        </w:tc>
        <w:tc>
          <w:tcPr>
            <w:tcW w:w="397" w:type="pct"/>
            <w:noWrap/>
            <w:vAlign w:val="bottom"/>
          </w:tcPr>
          <w:p w14:paraId="1AB98DEE">
            <w:pPr>
              <w:widowControl/>
              <w:jc w:val="center"/>
              <w:rPr>
                <w:rFonts w:ascii="宋体" w:hAnsi="宋体" w:cs="宋体"/>
                <w:kern w:val="0"/>
              </w:rPr>
            </w:pPr>
          </w:p>
        </w:tc>
      </w:tr>
      <w:tr w14:paraId="471AE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restart"/>
            <w:noWrap/>
            <w:vAlign w:val="center"/>
          </w:tcPr>
          <w:p w14:paraId="1FAA935B">
            <w:pPr>
              <w:pStyle w:val="230"/>
              <w:widowControl/>
              <w:ind w:left="420" w:hanging="420" w:firstLineChars="0"/>
              <w:jc w:val="center"/>
              <w:rPr>
                <w:rFonts w:ascii="宋体" w:hAnsi="宋体" w:cs="宋体"/>
                <w:kern w:val="0"/>
                <w:szCs w:val="21"/>
              </w:rPr>
            </w:pPr>
            <w:r>
              <w:rPr>
                <w:rFonts w:hint="eastAsia" w:ascii="宋体" w:hAnsi="宋体" w:cs="宋体"/>
                <w:kern w:val="0"/>
                <w:szCs w:val="21"/>
              </w:rPr>
              <w:t>5</w:t>
            </w:r>
          </w:p>
        </w:tc>
        <w:tc>
          <w:tcPr>
            <w:tcW w:w="633" w:type="pct"/>
            <w:vMerge w:val="restart"/>
            <w:vAlign w:val="center"/>
          </w:tcPr>
          <w:p w14:paraId="44CDFB1B">
            <w:pPr>
              <w:widowControl/>
              <w:jc w:val="center"/>
              <w:rPr>
                <w:rFonts w:ascii="宋体" w:hAnsi="宋体" w:cs="宋体"/>
                <w:kern w:val="0"/>
              </w:rPr>
            </w:pPr>
            <w:r>
              <w:rPr>
                <w:rFonts w:hint="eastAsia" w:ascii="宋体" w:hAnsi="宋体" w:cs="宋体"/>
                <w:kern w:val="0"/>
              </w:rPr>
              <w:t>5</w:t>
            </w:r>
          </w:p>
          <w:p w14:paraId="11C57A9D">
            <w:pPr>
              <w:widowControl/>
              <w:jc w:val="center"/>
              <w:rPr>
                <w:rFonts w:ascii="宋体" w:hAnsi="宋体" w:cs="宋体"/>
                <w:kern w:val="0"/>
              </w:rPr>
            </w:pPr>
            <w:r>
              <w:rPr>
                <w:rFonts w:hint="eastAsia" w:ascii="宋体" w:hAnsi="宋体" w:cs="宋体"/>
                <w:kern w:val="0"/>
              </w:rPr>
              <w:t>铭牌和安全标志</w:t>
            </w:r>
          </w:p>
        </w:tc>
        <w:tc>
          <w:tcPr>
            <w:tcW w:w="3201" w:type="pct"/>
            <w:vAlign w:val="center"/>
          </w:tcPr>
          <w:p w14:paraId="3C889B51">
            <w:pPr>
              <w:widowControl/>
              <w:rPr>
                <w:rFonts w:ascii="宋体" w:hAnsi="宋体" w:cs="宋体"/>
                <w:kern w:val="0"/>
              </w:rPr>
            </w:pPr>
            <w:r>
              <w:rPr>
                <w:rFonts w:hint="eastAsia" w:ascii="宋体" w:hAnsi="宋体" w:cs="宋体"/>
                <w:kern w:val="0"/>
              </w:rPr>
              <w:t>（1）在观光车辆的明显位置固定清晰且永久的铭牌。观光车辆的铭牌，至少包括制造单位名称、产品名称、型号、主参数（额定载客人数、最大运行速度）、整车整备质量（指重量）、产品编号、车架号（观光列车仅填写牵引车头的车架号）、制造日期、许可证编号、设备代码、制造地址等信息。</w:t>
            </w:r>
          </w:p>
        </w:tc>
        <w:tc>
          <w:tcPr>
            <w:tcW w:w="391" w:type="pct"/>
            <w:noWrap/>
            <w:vAlign w:val="bottom"/>
          </w:tcPr>
          <w:p w14:paraId="47D11915">
            <w:pPr>
              <w:widowControl/>
              <w:jc w:val="center"/>
              <w:rPr>
                <w:rFonts w:ascii="宋体" w:hAnsi="宋体" w:cs="宋体"/>
                <w:kern w:val="0"/>
              </w:rPr>
            </w:pPr>
          </w:p>
        </w:tc>
        <w:tc>
          <w:tcPr>
            <w:tcW w:w="397" w:type="pct"/>
            <w:noWrap/>
            <w:vAlign w:val="bottom"/>
          </w:tcPr>
          <w:p w14:paraId="4D0760D5">
            <w:pPr>
              <w:widowControl/>
              <w:jc w:val="center"/>
              <w:rPr>
                <w:rFonts w:ascii="宋体" w:hAnsi="宋体" w:cs="宋体"/>
                <w:kern w:val="0"/>
              </w:rPr>
            </w:pPr>
          </w:p>
        </w:tc>
      </w:tr>
      <w:tr w14:paraId="47C5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378" w:type="pct"/>
            <w:vMerge w:val="continue"/>
            <w:vAlign w:val="center"/>
          </w:tcPr>
          <w:p w14:paraId="6E44FD25">
            <w:pPr>
              <w:widowControl/>
              <w:jc w:val="left"/>
              <w:rPr>
                <w:rFonts w:ascii="宋体" w:hAnsi="宋体" w:cs="宋体"/>
                <w:kern w:val="0"/>
              </w:rPr>
            </w:pPr>
          </w:p>
        </w:tc>
        <w:tc>
          <w:tcPr>
            <w:tcW w:w="633" w:type="pct"/>
            <w:vMerge w:val="continue"/>
            <w:vAlign w:val="center"/>
          </w:tcPr>
          <w:p w14:paraId="6C9C292D">
            <w:pPr>
              <w:widowControl/>
              <w:jc w:val="left"/>
              <w:rPr>
                <w:rFonts w:ascii="宋体" w:hAnsi="宋体" w:cs="宋体"/>
                <w:kern w:val="0"/>
              </w:rPr>
            </w:pPr>
          </w:p>
        </w:tc>
        <w:tc>
          <w:tcPr>
            <w:tcW w:w="3201" w:type="pct"/>
            <w:vAlign w:val="center"/>
          </w:tcPr>
          <w:p w14:paraId="6A13ACF7">
            <w:pPr>
              <w:widowControl/>
              <w:rPr>
                <w:rFonts w:ascii="宋体" w:hAnsi="宋体" w:cs="宋体"/>
                <w:kern w:val="0"/>
              </w:rPr>
            </w:pPr>
            <w:r>
              <w:rPr>
                <w:rFonts w:hint="eastAsia" w:ascii="宋体" w:hAnsi="宋体" w:cs="宋体"/>
                <w:kern w:val="0"/>
              </w:rPr>
              <w:t>（2）观光车辆应当在醒目的位置以图形或者文字形式设置具有下列含义的安全标志：系好安全带、灭火器、车未停稳前请勿下车。</w:t>
            </w:r>
          </w:p>
        </w:tc>
        <w:tc>
          <w:tcPr>
            <w:tcW w:w="391" w:type="pct"/>
            <w:noWrap/>
            <w:vAlign w:val="bottom"/>
          </w:tcPr>
          <w:p w14:paraId="7EDCA4D3">
            <w:pPr>
              <w:widowControl/>
              <w:jc w:val="center"/>
              <w:rPr>
                <w:rFonts w:ascii="宋体" w:hAnsi="宋体" w:cs="宋体"/>
                <w:kern w:val="0"/>
              </w:rPr>
            </w:pPr>
          </w:p>
        </w:tc>
        <w:tc>
          <w:tcPr>
            <w:tcW w:w="397" w:type="pct"/>
            <w:noWrap/>
            <w:vAlign w:val="bottom"/>
          </w:tcPr>
          <w:p w14:paraId="6EE31F36">
            <w:pPr>
              <w:widowControl/>
              <w:jc w:val="center"/>
              <w:rPr>
                <w:rFonts w:ascii="宋体" w:hAnsi="宋体" w:cs="宋体"/>
                <w:kern w:val="0"/>
              </w:rPr>
            </w:pPr>
          </w:p>
        </w:tc>
      </w:tr>
      <w:tr w14:paraId="750D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539E4BB7">
            <w:pPr>
              <w:widowControl/>
              <w:jc w:val="left"/>
              <w:rPr>
                <w:rFonts w:ascii="宋体" w:hAnsi="宋体" w:cs="宋体"/>
                <w:kern w:val="0"/>
              </w:rPr>
            </w:pPr>
          </w:p>
        </w:tc>
        <w:tc>
          <w:tcPr>
            <w:tcW w:w="633" w:type="pct"/>
            <w:vMerge w:val="continue"/>
            <w:vAlign w:val="center"/>
          </w:tcPr>
          <w:p w14:paraId="5028F273">
            <w:pPr>
              <w:widowControl/>
              <w:jc w:val="left"/>
              <w:rPr>
                <w:rFonts w:ascii="宋体" w:hAnsi="宋体" w:cs="宋体"/>
                <w:kern w:val="0"/>
              </w:rPr>
            </w:pPr>
          </w:p>
        </w:tc>
        <w:tc>
          <w:tcPr>
            <w:tcW w:w="3201" w:type="pct"/>
            <w:vAlign w:val="center"/>
          </w:tcPr>
          <w:p w14:paraId="57090EFB">
            <w:pPr>
              <w:widowControl/>
              <w:rPr>
                <w:rFonts w:ascii="宋体" w:hAnsi="宋体" w:cs="宋体"/>
                <w:kern w:val="0"/>
              </w:rPr>
            </w:pPr>
            <w:r>
              <w:rPr>
                <w:rFonts w:hint="eastAsia" w:ascii="宋体" w:hAnsi="宋体" w:cs="宋体"/>
                <w:kern w:val="0"/>
              </w:rPr>
              <w:t>（3）铭牌、安全标志应当置于车辆的显著位置，并且保持清晰。</w:t>
            </w:r>
          </w:p>
        </w:tc>
        <w:tc>
          <w:tcPr>
            <w:tcW w:w="391" w:type="pct"/>
            <w:noWrap/>
            <w:vAlign w:val="bottom"/>
          </w:tcPr>
          <w:p w14:paraId="6E83E3E8">
            <w:pPr>
              <w:widowControl/>
              <w:jc w:val="center"/>
              <w:rPr>
                <w:rFonts w:ascii="宋体" w:hAnsi="宋体" w:cs="宋体"/>
                <w:kern w:val="0"/>
              </w:rPr>
            </w:pPr>
          </w:p>
        </w:tc>
        <w:tc>
          <w:tcPr>
            <w:tcW w:w="397" w:type="pct"/>
            <w:noWrap/>
            <w:vAlign w:val="bottom"/>
          </w:tcPr>
          <w:p w14:paraId="3259CA41">
            <w:pPr>
              <w:widowControl/>
              <w:jc w:val="center"/>
              <w:rPr>
                <w:rFonts w:ascii="宋体" w:hAnsi="宋体" w:cs="宋体"/>
                <w:kern w:val="0"/>
              </w:rPr>
            </w:pPr>
          </w:p>
        </w:tc>
      </w:tr>
      <w:tr w14:paraId="6A96E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78" w:type="pct"/>
            <w:vMerge w:val="restart"/>
            <w:noWrap/>
            <w:vAlign w:val="center"/>
          </w:tcPr>
          <w:p w14:paraId="41EAEA4A">
            <w:pPr>
              <w:pStyle w:val="230"/>
              <w:widowControl/>
              <w:ind w:left="420" w:hanging="420" w:firstLineChars="0"/>
              <w:jc w:val="center"/>
              <w:rPr>
                <w:rFonts w:ascii="宋体" w:hAnsi="宋体" w:cs="宋体"/>
                <w:kern w:val="0"/>
                <w:szCs w:val="21"/>
              </w:rPr>
            </w:pPr>
            <w:r>
              <w:rPr>
                <w:rFonts w:hint="eastAsia" w:ascii="宋体" w:hAnsi="宋体" w:cs="宋体"/>
                <w:kern w:val="0"/>
                <w:szCs w:val="21"/>
              </w:rPr>
              <w:t>6</w:t>
            </w:r>
          </w:p>
        </w:tc>
        <w:tc>
          <w:tcPr>
            <w:tcW w:w="633" w:type="pct"/>
            <w:vMerge w:val="restart"/>
            <w:vAlign w:val="center"/>
          </w:tcPr>
          <w:p w14:paraId="3C2EB4A3">
            <w:pPr>
              <w:widowControl/>
              <w:jc w:val="center"/>
              <w:rPr>
                <w:rFonts w:ascii="宋体" w:hAnsi="宋体" w:cs="宋体"/>
                <w:kern w:val="0"/>
              </w:rPr>
            </w:pPr>
            <w:r>
              <w:rPr>
                <w:rFonts w:hint="eastAsia" w:ascii="宋体" w:hAnsi="宋体" w:cs="宋体"/>
                <w:kern w:val="0"/>
              </w:rPr>
              <w:t>6</w:t>
            </w:r>
          </w:p>
          <w:p w14:paraId="3E24EBFA">
            <w:pPr>
              <w:widowControl/>
              <w:jc w:val="center"/>
              <w:rPr>
                <w:rFonts w:ascii="宋体" w:hAnsi="宋体" w:cs="宋体"/>
                <w:kern w:val="0"/>
              </w:rPr>
            </w:pPr>
            <w:r>
              <w:rPr>
                <w:rFonts w:hint="eastAsia" w:ascii="宋体" w:hAnsi="宋体" w:cs="宋体"/>
                <w:kern w:val="0"/>
              </w:rPr>
              <w:t>牵引连接装置及二次保护装置（适用于观光列车）</w:t>
            </w:r>
          </w:p>
        </w:tc>
        <w:tc>
          <w:tcPr>
            <w:tcW w:w="3201" w:type="pct"/>
            <w:vAlign w:val="center"/>
          </w:tcPr>
          <w:p w14:paraId="1A6CDD29">
            <w:pPr>
              <w:widowControl/>
              <w:rPr>
                <w:rFonts w:ascii="宋体" w:hAnsi="宋体" w:cs="宋体"/>
                <w:kern w:val="0"/>
              </w:rPr>
            </w:pPr>
            <w:r>
              <w:rPr>
                <w:rFonts w:hint="eastAsia" w:ascii="宋体" w:hAnsi="宋体" w:cs="宋体"/>
                <w:kern w:val="0"/>
              </w:rPr>
              <w:t>（1）牵引连接装置的止退装置完好，在无人力操作时牵引销不能退出，应当设置防止观光列车在行驶中因振动和撞击而使连接脱开的安全装置。</w:t>
            </w:r>
          </w:p>
        </w:tc>
        <w:tc>
          <w:tcPr>
            <w:tcW w:w="391" w:type="pct"/>
            <w:noWrap/>
            <w:vAlign w:val="bottom"/>
          </w:tcPr>
          <w:p w14:paraId="6A5B48BC">
            <w:pPr>
              <w:widowControl/>
              <w:jc w:val="center"/>
              <w:rPr>
                <w:rFonts w:ascii="宋体" w:hAnsi="宋体" w:cs="宋体"/>
                <w:kern w:val="0"/>
              </w:rPr>
            </w:pPr>
          </w:p>
        </w:tc>
        <w:tc>
          <w:tcPr>
            <w:tcW w:w="397" w:type="pct"/>
            <w:noWrap/>
            <w:vAlign w:val="bottom"/>
          </w:tcPr>
          <w:p w14:paraId="4FC4412E">
            <w:pPr>
              <w:widowControl/>
              <w:jc w:val="center"/>
              <w:rPr>
                <w:rFonts w:ascii="宋体" w:hAnsi="宋体" w:cs="宋体"/>
                <w:kern w:val="0"/>
              </w:rPr>
            </w:pPr>
          </w:p>
        </w:tc>
      </w:tr>
      <w:tr w14:paraId="34307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378" w:type="pct"/>
            <w:vMerge w:val="continue"/>
            <w:vAlign w:val="center"/>
          </w:tcPr>
          <w:p w14:paraId="2F477FB6">
            <w:pPr>
              <w:widowControl/>
              <w:jc w:val="left"/>
              <w:rPr>
                <w:rFonts w:ascii="宋体" w:hAnsi="宋体" w:cs="宋体"/>
                <w:kern w:val="0"/>
              </w:rPr>
            </w:pPr>
          </w:p>
        </w:tc>
        <w:tc>
          <w:tcPr>
            <w:tcW w:w="633" w:type="pct"/>
            <w:vMerge w:val="continue"/>
            <w:vAlign w:val="center"/>
          </w:tcPr>
          <w:p w14:paraId="6C500B43">
            <w:pPr>
              <w:widowControl/>
              <w:jc w:val="left"/>
              <w:rPr>
                <w:rFonts w:ascii="宋体" w:hAnsi="宋体" w:cs="宋体"/>
                <w:kern w:val="0"/>
              </w:rPr>
            </w:pPr>
          </w:p>
        </w:tc>
        <w:tc>
          <w:tcPr>
            <w:tcW w:w="3201" w:type="pct"/>
            <w:vAlign w:val="center"/>
          </w:tcPr>
          <w:p w14:paraId="7418C09C">
            <w:pPr>
              <w:widowControl/>
              <w:rPr>
                <w:rFonts w:ascii="宋体" w:hAnsi="宋体" w:cs="宋体"/>
                <w:kern w:val="0"/>
              </w:rPr>
            </w:pPr>
            <w:r>
              <w:rPr>
                <w:rFonts w:hint="eastAsia" w:ascii="宋体" w:hAnsi="宋体" w:cs="宋体"/>
                <w:kern w:val="0"/>
              </w:rPr>
              <w:t>（2）观光列车的牵引车头、车厢的所有连接部位，设置的牵引连接装置二次保护装置完好。</w:t>
            </w:r>
          </w:p>
        </w:tc>
        <w:tc>
          <w:tcPr>
            <w:tcW w:w="391" w:type="pct"/>
            <w:noWrap/>
            <w:vAlign w:val="bottom"/>
          </w:tcPr>
          <w:p w14:paraId="4A9B7E90">
            <w:pPr>
              <w:widowControl/>
              <w:jc w:val="center"/>
              <w:rPr>
                <w:rFonts w:ascii="宋体" w:hAnsi="宋体" w:cs="宋体"/>
                <w:kern w:val="0"/>
              </w:rPr>
            </w:pPr>
          </w:p>
        </w:tc>
        <w:tc>
          <w:tcPr>
            <w:tcW w:w="397" w:type="pct"/>
            <w:noWrap/>
            <w:vAlign w:val="bottom"/>
          </w:tcPr>
          <w:p w14:paraId="71583689">
            <w:pPr>
              <w:widowControl/>
              <w:jc w:val="center"/>
              <w:rPr>
                <w:rFonts w:ascii="宋体" w:hAnsi="宋体" w:cs="宋体"/>
                <w:kern w:val="0"/>
              </w:rPr>
            </w:pPr>
          </w:p>
        </w:tc>
      </w:tr>
      <w:tr w14:paraId="0B19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78" w:type="pct"/>
            <w:vMerge w:val="continue"/>
            <w:vAlign w:val="center"/>
          </w:tcPr>
          <w:p w14:paraId="1617CF6E">
            <w:pPr>
              <w:widowControl/>
              <w:jc w:val="left"/>
              <w:rPr>
                <w:rFonts w:ascii="宋体" w:hAnsi="宋体" w:cs="宋体"/>
                <w:kern w:val="0"/>
              </w:rPr>
            </w:pPr>
          </w:p>
        </w:tc>
        <w:tc>
          <w:tcPr>
            <w:tcW w:w="633" w:type="pct"/>
            <w:vMerge w:val="continue"/>
            <w:vAlign w:val="center"/>
          </w:tcPr>
          <w:p w14:paraId="0753E922">
            <w:pPr>
              <w:widowControl/>
              <w:jc w:val="left"/>
              <w:rPr>
                <w:rFonts w:ascii="宋体" w:hAnsi="宋体" w:cs="宋体"/>
                <w:kern w:val="0"/>
              </w:rPr>
            </w:pPr>
          </w:p>
        </w:tc>
        <w:tc>
          <w:tcPr>
            <w:tcW w:w="3201" w:type="pct"/>
            <w:vAlign w:val="center"/>
          </w:tcPr>
          <w:p w14:paraId="1C733C77">
            <w:pPr>
              <w:widowControl/>
              <w:rPr>
                <w:rFonts w:ascii="宋体" w:hAnsi="宋体" w:cs="宋体"/>
                <w:kern w:val="0"/>
              </w:rPr>
            </w:pPr>
            <w:r>
              <w:rPr>
                <w:rFonts w:hint="eastAsia" w:ascii="宋体" w:hAnsi="宋体" w:cs="宋体"/>
                <w:kern w:val="0"/>
              </w:rPr>
              <w:t>（3）牵引连接装置的机械连接件应当无明显变形、裂纹和锈蚀。</w:t>
            </w:r>
          </w:p>
        </w:tc>
        <w:tc>
          <w:tcPr>
            <w:tcW w:w="391" w:type="pct"/>
            <w:noWrap/>
            <w:vAlign w:val="bottom"/>
          </w:tcPr>
          <w:p w14:paraId="1E75C852">
            <w:pPr>
              <w:widowControl/>
              <w:jc w:val="center"/>
              <w:rPr>
                <w:rFonts w:ascii="宋体" w:hAnsi="宋体" w:cs="宋体"/>
                <w:kern w:val="0"/>
              </w:rPr>
            </w:pPr>
          </w:p>
        </w:tc>
        <w:tc>
          <w:tcPr>
            <w:tcW w:w="397" w:type="pct"/>
            <w:noWrap/>
            <w:vAlign w:val="bottom"/>
          </w:tcPr>
          <w:p w14:paraId="2CA0A9C4">
            <w:pPr>
              <w:widowControl/>
              <w:jc w:val="center"/>
              <w:rPr>
                <w:rFonts w:ascii="宋体" w:hAnsi="宋体" w:cs="宋体"/>
                <w:kern w:val="0"/>
              </w:rPr>
            </w:pPr>
          </w:p>
        </w:tc>
      </w:tr>
      <w:tr w14:paraId="082F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378" w:type="pct"/>
            <w:vMerge w:val="restart"/>
            <w:noWrap/>
            <w:vAlign w:val="center"/>
          </w:tcPr>
          <w:p w14:paraId="7537036A">
            <w:pPr>
              <w:pStyle w:val="230"/>
              <w:widowControl/>
              <w:ind w:left="420" w:hanging="420" w:firstLineChars="0"/>
              <w:jc w:val="center"/>
              <w:rPr>
                <w:rFonts w:ascii="宋体" w:hAnsi="宋体" w:cs="宋体"/>
                <w:kern w:val="0"/>
                <w:szCs w:val="21"/>
              </w:rPr>
            </w:pPr>
            <w:r>
              <w:rPr>
                <w:rFonts w:hint="eastAsia" w:ascii="宋体" w:hAnsi="宋体" w:cs="宋体"/>
                <w:kern w:val="0"/>
                <w:szCs w:val="21"/>
              </w:rPr>
              <w:t>7</w:t>
            </w:r>
          </w:p>
        </w:tc>
        <w:tc>
          <w:tcPr>
            <w:tcW w:w="633" w:type="pct"/>
            <w:vMerge w:val="restart"/>
            <w:noWrap/>
            <w:vAlign w:val="center"/>
          </w:tcPr>
          <w:p w14:paraId="7143E3FC">
            <w:pPr>
              <w:widowControl/>
              <w:jc w:val="center"/>
              <w:rPr>
                <w:rFonts w:ascii="宋体" w:hAnsi="宋体" w:cs="宋体"/>
                <w:kern w:val="0"/>
              </w:rPr>
            </w:pPr>
            <w:r>
              <w:rPr>
                <w:rFonts w:hint="eastAsia" w:ascii="宋体" w:hAnsi="宋体" w:cs="宋体"/>
                <w:kern w:val="0"/>
              </w:rPr>
              <w:t>7</w:t>
            </w:r>
          </w:p>
          <w:p w14:paraId="166C5552">
            <w:pPr>
              <w:widowControl/>
              <w:jc w:val="center"/>
              <w:rPr>
                <w:rFonts w:ascii="宋体" w:hAnsi="宋体" w:cs="宋体"/>
                <w:kern w:val="0"/>
              </w:rPr>
            </w:pPr>
            <w:r>
              <w:rPr>
                <w:rFonts w:hint="eastAsia" w:ascii="宋体" w:hAnsi="宋体" w:cs="宋体"/>
                <w:kern w:val="0"/>
              </w:rPr>
              <w:t>主要参数</w:t>
            </w:r>
          </w:p>
        </w:tc>
        <w:tc>
          <w:tcPr>
            <w:tcW w:w="3201" w:type="pct"/>
            <w:vAlign w:val="center"/>
          </w:tcPr>
          <w:p w14:paraId="1B215E22">
            <w:pPr>
              <w:widowControl/>
              <w:rPr>
                <w:rFonts w:ascii="宋体" w:hAnsi="宋体" w:cs="宋体"/>
                <w:kern w:val="0"/>
              </w:rPr>
            </w:pPr>
            <w:r>
              <w:rPr>
                <w:rFonts w:hint="eastAsia" w:ascii="宋体" w:hAnsi="宋体" w:cs="宋体"/>
                <w:kern w:val="0"/>
              </w:rPr>
              <w:t>（1）额定载客人数应当符合TSG 81-2022中相关条款要求，且与出厂技术资料和上次检验报告中的一致。</w:t>
            </w:r>
          </w:p>
        </w:tc>
        <w:tc>
          <w:tcPr>
            <w:tcW w:w="391" w:type="pct"/>
            <w:noWrap/>
            <w:vAlign w:val="bottom"/>
          </w:tcPr>
          <w:p w14:paraId="42475CED">
            <w:pPr>
              <w:widowControl/>
              <w:jc w:val="center"/>
              <w:rPr>
                <w:rFonts w:ascii="宋体" w:hAnsi="宋体" w:cs="宋体"/>
                <w:kern w:val="0"/>
              </w:rPr>
            </w:pPr>
          </w:p>
        </w:tc>
        <w:tc>
          <w:tcPr>
            <w:tcW w:w="397" w:type="pct"/>
            <w:noWrap/>
            <w:vAlign w:val="bottom"/>
          </w:tcPr>
          <w:p w14:paraId="5AFA09DA">
            <w:pPr>
              <w:widowControl/>
              <w:jc w:val="center"/>
              <w:rPr>
                <w:rFonts w:ascii="宋体" w:hAnsi="宋体" w:cs="宋体"/>
                <w:kern w:val="0"/>
              </w:rPr>
            </w:pPr>
          </w:p>
        </w:tc>
      </w:tr>
      <w:tr w14:paraId="0890A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378" w:type="pct"/>
            <w:vMerge w:val="continue"/>
            <w:vAlign w:val="center"/>
          </w:tcPr>
          <w:p w14:paraId="6CED9F06">
            <w:pPr>
              <w:widowControl/>
              <w:jc w:val="left"/>
              <w:rPr>
                <w:rFonts w:ascii="宋体" w:hAnsi="宋体" w:cs="宋体"/>
                <w:kern w:val="0"/>
              </w:rPr>
            </w:pPr>
          </w:p>
        </w:tc>
        <w:tc>
          <w:tcPr>
            <w:tcW w:w="633" w:type="pct"/>
            <w:vMerge w:val="continue"/>
            <w:vAlign w:val="center"/>
          </w:tcPr>
          <w:p w14:paraId="6347B69D">
            <w:pPr>
              <w:widowControl/>
              <w:jc w:val="left"/>
              <w:rPr>
                <w:rFonts w:ascii="宋体" w:hAnsi="宋体" w:cs="宋体"/>
                <w:kern w:val="0"/>
              </w:rPr>
            </w:pPr>
          </w:p>
        </w:tc>
        <w:tc>
          <w:tcPr>
            <w:tcW w:w="3201" w:type="pct"/>
            <w:vAlign w:val="center"/>
          </w:tcPr>
          <w:p w14:paraId="20F95F2F">
            <w:pPr>
              <w:widowControl/>
              <w:rPr>
                <w:rFonts w:ascii="宋体" w:hAnsi="宋体" w:cs="宋体"/>
                <w:kern w:val="0"/>
              </w:rPr>
            </w:pPr>
            <w:r>
              <w:rPr>
                <w:rFonts w:hint="eastAsia" w:ascii="宋体" w:hAnsi="宋体" w:cs="宋体"/>
                <w:kern w:val="0"/>
              </w:rPr>
              <w:t>（2）观光列车牵引车头的座位数、车厢数、每节车厢的座位数、牵引车头及每节车厢的车轮数应当符合 TSG81-2022 中相关条款要求，且与出厂技术资料和上次检验报告中的一致。</w:t>
            </w:r>
          </w:p>
        </w:tc>
        <w:tc>
          <w:tcPr>
            <w:tcW w:w="391" w:type="pct"/>
            <w:noWrap/>
            <w:vAlign w:val="bottom"/>
          </w:tcPr>
          <w:p w14:paraId="564CE3F5">
            <w:pPr>
              <w:widowControl/>
              <w:jc w:val="center"/>
              <w:rPr>
                <w:rFonts w:ascii="宋体" w:hAnsi="宋体" w:cs="宋体"/>
                <w:kern w:val="0"/>
              </w:rPr>
            </w:pPr>
          </w:p>
        </w:tc>
        <w:tc>
          <w:tcPr>
            <w:tcW w:w="397" w:type="pct"/>
            <w:noWrap/>
            <w:vAlign w:val="bottom"/>
          </w:tcPr>
          <w:p w14:paraId="0A62134E">
            <w:pPr>
              <w:widowControl/>
              <w:jc w:val="center"/>
              <w:rPr>
                <w:rFonts w:ascii="宋体" w:hAnsi="宋体" w:cs="宋体"/>
                <w:kern w:val="0"/>
              </w:rPr>
            </w:pPr>
          </w:p>
        </w:tc>
      </w:tr>
      <w:tr w14:paraId="1A40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78" w:type="pct"/>
            <w:vMerge w:val="restart"/>
            <w:noWrap/>
            <w:vAlign w:val="center"/>
          </w:tcPr>
          <w:p w14:paraId="66098160">
            <w:pPr>
              <w:pStyle w:val="230"/>
              <w:widowControl/>
              <w:ind w:left="420" w:hanging="420" w:firstLineChars="0"/>
              <w:jc w:val="center"/>
              <w:rPr>
                <w:rFonts w:ascii="宋体" w:hAnsi="宋体" w:cs="宋体"/>
                <w:kern w:val="0"/>
                <w:szCs w:val="21"/>
              </w:rPr>
            </w:pPr>
            <w:r>
              <w:rPr>
                <w:rFonts w:hint="eastAsia" w:ascii="宋体" w:hAnsi="宋体" w:cs="宋体"/>
                <w:kern w:val="0"/>
                <w:szCs w:val="21"/>
              </w:rPr>
              <w:t>8</w:t>
            </w:r>
          </w:p>
        </w:tc>
        <w:tc>
          <w:tcPr>
            <w:tcW w:w="633" w:type="pct"/>
            <w:vMerge w:val="restart"/>
            <w:vAlign w:val="center"/>
          </w:tcPr>
          <w:p w14:paraId="305D4C34">
            <w:pPr>
              <w:widowControl/>
              <w:jc w:val="center"/>
              <w:rPr>
                <w:rFonts w:ascii="宋体" w:hAnsi="宋体" w:cs="宋体"/>
                <w:kern w:val="0"/>
              </w:rPr>
            </w:pPr>
            <w:r>
              <w:rPr>
                <w:rFonts w:hint="eastAsia" w:ascii="宋体" w:hAnsi="宋体" w:cs="宋体"/>
                <w:kern w:val="0"/>
              </w:rPr>
              <w:t>8</w:t>
            </w:r>
          </w:p>
          <w:p w14:paraId="4D2229F9">
            <w:pPr>
              <w:widowControl/>
              <w:jc w:val="center"/>
              <w:rPr>
                <w:rFonts w:ascii="宋体" w:hAnsi="宋体" w:cs="宋体"/>
                <w:kern w:val="0"/>
              </w:rPr>
            </w:pPr>
            <w:r>
              <w:rPr>
                <w:rFonts w:hint="eastAsia" w:ascii="宋体" w:hAnsi="宋体" w:cs="宋体"/>
                <w:kern w:val="0"/>
              </w:rPr>
              <w:t>动力系统</w:t>
            </w:r>
          </w:p>
        </w:tc>
        <w:tc>
          <w:tcPr>
            <w:tcW w:w="3201" w:type="pct"/>
            <w:vAlign w:val="center"/>
          </w:tcPr>
          <w:p w14:paraId="57ABA0AC">
            <w:pPr>
              <w:widowControl/>
              <w:rPr>
                <w:rFonts w:ascii="宋体" w:hAnsi="宋体" w:cs="宋体"/>
                <w:kern w:val="0"/>
              </w:rPr>
            </w:pPr>
            <w:r>
              <w:rPr>
                <w:rFonts w:hint="eastAsia" w:ascii="宋体" w:hAnsi="宋体" w:cs="宋体"/>
                <w:kern w:val="0"/>
              </w:rPr>
              <w:t>（1）发动机（行走电机）运转平稳，无异常，能正常启动、熄火（关闭）。</w:t>
            </w:r>
          </w:p>
        </w:tc>
        <w:tc>
          <w:tcPr>
            <w:tcW w:w="391" w:type="pct"/>
            <w:noWrap/>
            <w:vAlign w:val="bottom"/>
          </w:tcPr>
          <w:p w14:paraId="44A3E427">
            <w:pPr>
              <w:widowControl/>
              <w:jc w:val="center"/>
              <w:rPr>
                <w:rFonts w:ascii="宋体" w:hAnsi="宋体" w:cs="宋体"/>
                <w:kern w:val="0"/>
              </w:rPr>
            </w:pPr>
          </w:p>
        </w:tc>
        <w:tc>
          <w:tcPr>
            <w:tcW w:w="397" w:type="pct"/>
            <w:noWrap/>
            <w:vAlign w:val="bottom"/>
          </w:tcPr>
          <w:p w14:paraId="7EBE883F">
            <w:pPr>
              <w:widowControl/>
              <w:jc w:val="center"/>
              <w:rPr>
                <w:rFonts w:ascii="宋体" w:hAnsi="宋体" w:cs="宋体"/>
                <w:kern w:val="0"/>
              </w:rPr>
            </w:pPr>
          </w:p>
        </w:tc>
      </w:tr>
      <w:tr w14:paraId="32941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53C17F63">
            <w:pPr>
              <w:widowControl/>
              <w:jc w:val="left"/>
              <w:rPr>
                <w:rFonts w:ascii="宋体" w:hAnsi="宋体" w:cs="宋体"/>
                <w:kern w:val="0"/>
              </w:rPr>
            </w:pPr>
          </w:p>
        </w:tc>
        <w:tc>
          <w:tcPr>
            <w:tcW w:w="633" w:type="pct"/>
            <w:vMerge w:val="continue"/>
            <w:vAlign w:val="center"/>
          </w:tcPr>
          <w:p w14:paraId="643F4336">
            <w:pPr>
              <w:widowControl/>
              <w:jc w:val="left"/>
              <w:rPr>
                <w:rFonts w:ascii="宋体" w:hAnsi="宋体" w:cs="宋体"/>
                <w:kern w:val="0"/>
              </w:rPr>
            </w:pPr>
          </w:p>
        </w:tc>
        <w:tc>
          <w:tcPr>
            <w:tcW w:w="3201" w:type="pct"/>
            <w:vAlign w:val="center"/>
          </w:tcPr>
          <w:p w14:paraId="26E018A1">
            <w:pPr>
              <w:widowControl/>
              <w:rPr>
                <w:rFonts w:ascii="宋体" w:hAnsi="宋体" w:cs="宋体"/>
                <w:kern w:val="0"/>
              </w:rPr>
            </w:pPr>
            <w:r>
              <w:rPr>
                <w:rFonts w:hint="eastAsia" w:ascii="宋体" w:hAnsi="宋体" w:cs="宋体"/>
                <w:kern w:val="0"/>
              </w:rPr>
              <w:t>（2）动力系统线路无漏电现象，管路应当无漏水、漏油现象。</w:t>
            </w:r>
          </w:p>
        </w:tc>
        <w:tc>
          <w:tcPr>
            <w:tcW w:w="391" w:type="pct"/>
            <w:noWrap/>
            <w:vAlign w:val="bottom"/>
          </w:tcPr>
          <w:p w14:paraId="373B8E98">
            <w:pPr>
              <w:widowControl/>
              <w:jc w:val="center"/>
              <w:rPr>
                <w:rFonts w:ascii="宋体" w:hAnsi="宋体" w:cs="宋体"/>
                <w:kern w:val="0"/>
              </w:rPr>
            </w:pPr>
          </w:p>
        </w:tc>
        <w:tc>
          <w:tcPr>
            <w:tcW w:w="397" w:type="pct"/>
            <w:noWrap/>
            <w:vAlign w:val="bottom"/>
          </w:tcPr>
          <w:p w14:paraId="31FF76C1">
            <w:pPr>
              <w:widowControl/>
              <w:jc w:val="center"/>
              <w:rPr>
                <w:rFonts w:ascii="宋体" w:hAnsi="宋体" w:cs="宋体"/>
                <w:kern w:val="0"/>
              </w:rPr>
            </w:pPr>
          </w:p>
        </w:tc>
      </w:tr>
      <w:tr w14:paraId="6E271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378" w:type="pct"/>
            <w:vMerge w:val="continue"/>
            <w:vAlign w:val="center"/>
          </w:tcPr>
          <w:p w14:paraId="639A497D">
            <w:pPr>
              <w:widowControl/>
              <w:jc w:val="left"/>
              <w:rPr>
                <w:rFonts w:ascii="宋体" w:hAnsi="宋体" w:cs="宋体"/>
                <w:kern w:val="0"/>
              </w:rPr>
            </w:pPr>
          </w:p>
        </w:tc>
        <w:tc>
          <w:tcPr>
            <w:tcW w:w="633" w:type="pct"/>
            <w:vMerge w:val="continue"/>
            <w:vAlign w:val="center"/>
          </w:tcPr>
          <w:p w14:paraId="6CF4D5B9">
            <w:pPr>
              <w:widowControl/>
              <w:jc w:val="left"/>
              <w:rPr>
                <w:rFonts w:ascii="宋体" w:hAnsi="宋体" w:cs="宋体"/>
                <w:kern w:val="0"/>
              </w:rPr>
            </w:pPr>
          </w:p>
        </w:tc>
        <w:tc>
          <w:tcPr>
            <w:tcW w:w="3201" w:type="pct"/>
            <w:vAlign w:val="center"/>
          </w:tcPr>
          <w:p w14:paraId="50895A33">
            <w:pPr>
              <w:widowControl/>
              <w:rPr>
                <w:rFonts w:ascii="宋体" w:hAnsi="宋体" w:cs="宋体"/>
                <w:kern w:val="0"/>
              </w:rPr>
            </w:pPr>
            <w:r>
              <w:rPr>
                <w:rFonts w:hint="eastAsia" w:ascii="宋体" w:hAnsi="宋体" w:cs="宋体"/>
                <w:kern w:val="0"/>
              </w:rPr>
              <w:t>（3）发动机（行走电机）的安装牢固可靠，连接部分无松动、脱落、损坏。</w:t>
            </w:r>
          </w:p>
        </w:tc>
        <w:tc>
          <w:tcPr>
            <w:tcW w:w="391" w:type="pct"/>
            <w:noWrap/>
            <w:vAlign w:val="bottom"/>
          </w:tcPr>
          <w:p w14:paraId="3335F0CB">
            <w:pPr>
              <w:widowControl/>
              <w:jc w:val="center"/>
              <w:rPr>
                <w:rFonts w:ascii="宋体" w:hAnsi="宋体" w:cs="宋体"/>
                <w:kern w:val="0"/>
              </w:rPr>
            </w:pPr>
          </w:p>
        </w:tc>
        <w:tc>
          <w:tcPr>
            <w:tcW w:w="397" w:type="pct"/>
            <w:noWrap/>
            <w:vAlign w:val="bottom"/>
          </w:tcPr>
          <w:p w14:paraId="5609F401">
            <w:pPr>
              <w:widowControl/>
              <w:jc w:val="center"/>
              <w:rPr>
                <w:rFonts w:ascii="宋体" w:hAnsi="宋体" w:cs="宋体"/>
                <w:kern w:val="0"/>
              </w:rPr>
            </w:pPr>
          </w:p>
        </w:tc>
      </w:tr>
      <w:tr w14:paraId="6E3C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378" w:type="pct"/>
            <w:vMerge w:val="continue"/>
            <w:vAlign w:val="center"/>
          </w:tcPr>
          <w:p w14:paraId="4954B6ED">
            <w:pPr>
              <w:widowControl/>
              <w:jc w:val="left"/>
              <w:rPr>
                <w:rFonts w:ascii="宋体" w:hAnsi="宋体" w:cs="宋体"/>
                <w:kern w:val="0"/>
              </w:rPr>
            </w:pPr>
          </w:p>
        </w:tc>
        <w:tc>
          <w:tcPr>
            <w:tcW w:w="633" w:type="pct"/>
            <w:vMerge w:val="continue"/>
            <w:vAlign w:val="center"/>
          </w:tcPr>
          <w:p w14:paraId="09588111">
            <w:pPr>
              <w:widowControl/>
              <w:jc w:val="left"/>
              <w:rPr>
                <w:rFonts w:ascii="宋体" w:hAnsi="宋体" w:cs="宋体"/>
                <w:kern w:val="0"/>
              </w:rPr>
            </w:pPr>
          </w:p>
        </w:tc>
        <w:tc>
          <w:tcPr>
            <w:tcW w:w="3201" w:type="pct"/>
            <w:vAlign w:val="center"/>
          </w:tcPr>
          <w:p w14:paraId="1635D03C">
            <w:pPr>
              <w:widowControl/>
              <w:rPr>
                <w:rFonts w:ascii="宋体" w:hAnsi="宋体" w:cs="宋体"/>
                <w:kern w:val="0"/>
              </w:rPr>
            </w:pPr>
            <w:r>
              <w:rPr>
                <w:rFonts w:hint="eastAsia" w:ascii="宋体" w:hAnsi="宋体" w:cs="宋体"/>
                <w:kern w:val="0"/>
              </w:rPr>
              <w:t>（4）动力源为蓄电池的车辆，蓄电池金属盖或者非金属盖的金属部件与蓄电池带电部分之间有 30mm 以上的间隙；若盖板和带电部分被有效绝缘，则其间隙至少有 10mm。</w:t>
            </w:r>
          </w:p>
        </w:tc>
        <w:tc>
          <w:tcPr>
            <w:tcW w:w="391" w:type="pct"/>
            <w:noWrap/>
            <w:vAlign w:val="bottom"/>
          </w:tcPr>
          <w:p w14:paraId="40333E9C">
            <w:pPr>
              <w:widowControl/>
              <w:jc w:val="center"/>
              <w:rPr>
                <w:rFonts w:ascii="宋体" w:hAnsi="宋体" w:cs="宋体"/>
                <w:kern w:val="0"/>
              </w:rPr>
            </w:pPr>
          </w:p>
        </w:tc>
        <w:tc>
          <w:tcPr>
            <w:tcW w:w="397" w:type="pct"/>
            <w:noWrap/>
            <w:vAlign w:val="bottom"/>
          </w:tcPr>
          <w:p w14:paraId="22668B21">
            <w:pPr>
              <w:widowControl/>
              <w:jc w:val="center"/>
              <w:rPr>
                <w:rFonts w:ascii="宋体" w:hAnsi="宋体" w:cs="宋体"/>
                <w:kern w:val="0"/>
              </w:rPr>
            </w:pPr>
          </w:p>
        </w:tc>
      </w:tr>
      <w:tr w14:paraId="3B5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378" w:type="pct"/>
            <w:vMerge w:val="continue"/>
            <w:vAlign w:val="center"/>
          </w:tcPr>
          <w:p w14:paraId="6C01CC08">
            <w:pPr>
              <w:widowControl/>
              <w:jc w:val="left"/>
              <w:rPr>
                <w:rFonts w:ascii="宋体" w:hAnsi="宋体" w:cs="宋体"/>
                <w:kern w:val="0"/>
              </w:rPr>
            </w:pPr>
          </w:p>
        </w:tc>
        <w:tc>
          <w:tcPr>
            <w:tcW w:w="633" w:type="pct"/>
            <w:vMerge w:val="continue"/>
            <w:vAlign w:val="center"/>
          </w:tcPr>
          <w:p w14:paraId="5244601E">
            <w:pPr>
              <w:widowControl/>
              <w:jc w:val="left"/>
              <w:rPr>
                <w:rFonts w:ascii="宋体" w:hAnsi="宋体" w:cs="宋体"/>
                <w:kern w:val="0"/>
              </w:rPr>
            </w:pPr>
          </w:p>
        </w:tc>
        <w:tc>
          <w:tcPr>
            <w:tcW w:w="3201" w:type="pct"/>
            <w:vAlign w:val="center"/>
          </w:tcPr>
          <w:p w14:paraId="74570C63">
            <w:pPr>
              <w:widowControl/>
              <w:rPr>
                <w:rFonts w:ascii="宋体" w:hAnsi="宋体" w:cs="宋体"/>
                <w:kern w:val="0"/>
              </w:rPr>
            </w:pPr>
            <w:r>
              <w:rPr>
                <w:rFonts w:hint="eastAsia" w:ascii="宋体" w:hAnsi="宋体" w:cs="宋体"/>
                <w:kern w:val="0"/>
              </w:rPr>
              <w:t>（5）车辆配置车用气瓶时，气瓶应在检验有效期内。</w:t>
            </w:r>
          </w:p>
        </w:tc>
        <w:tc>
          <w:tcPr>
            <w:tcW w:w="391" w:type="pct"/>
            <w:noWrap/>
            <w:vAlign w:val="bottom"/>
          </w:tcPr>
          <w:p w14:paraId="5A7CD8AC">
            <w:pPr>
              <w:widowControl/>
              <w:jc w:val="center"/>
              <w:rPr>
                <w:rFonts w:ascii="宋体" w:hAnsi="宋体" w:cs="宋体"/>
                <w:kern w:val="0"/>
              </w:rPr>
            </w:pPr>
          </w:p>
        </w:tc>
        <w:tc>
          <w:tcPr>
            <w:tcW w:w="397" w:type="pct"/>
            <w:noWrap/>
            <w:vAlign w:val="bottom"/>
          </w:tcPr>
          <w:p w14:paraId="623C5A1F">
            <w:pPr>
              <w:widowControl/>
              <w:jc w:val="center"/>
              <w:rPr>
                <w:rFonts w:ascii="宋体" w:hAnsi="宋体" w:cs="宋体"/>
                <w:kern w:val="0"/>
              </w:rPr>
            </w:pPr>
          </w:p>
        </w:tc>
      </w:tr>
      <w:tr w14:paraId="6A778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378" w:type="pct"/>
            <w:vMerge w:val="restart"/>
            <w:noWrap/>
            <w:vAlign w:val="center"/>
          </w:tcPr>
          <w:p w14:paraId="156A40CB">
            <w:pPr>
              <w:pStyle w:val="230"/>
              <w:widowControl/>
              <w:ind w:left="420" w:hanging="420" w:firstLineChars="0"/>
              <w:jc w:val="center"/>
              <w:rPr>
                <w:rFonts w:ascii="宋体" w:hAnsi="宋体" w:cs="宋体"/>
                <w:kern w:val="0"/>
                <w:szCs w:val="21"/>
              </w:rPr>
            </w:pPr>
            <w:r>
              <w:rPr>
                <w:rFonts w:hint="eastAsia" w:ascii="宋体" w:hAnsi="宋体" w:cs="宋体"/>
                <w:kern w:val="0"/>
                <w:szCs w:val="21"/>
              </w:rPr>
              <w:t>9</w:t>
            </w:r>
          </w:p>
        </w:tc>
        <w:tc>
          <w:tcPr>
            <w:tcW w:w="633" w:type="pct"/>
            <w:vMerge w:val="restart"/>
            <w:vAlign w:val="center"/>
          </w:tcPr>
          <w:p w14:paraId="09A8B4DF">
            <w:pPr>
              <w:widowControl/>
              <w:jc w:val="center"/>
              <w:rPr>
                <w:rFonts w:hint="eastAsia" w:ascii="宋体" w:hAnsi="宋体" w:cs="宋体"/>
                <w:kern w:val="0"/>
              </w:rPr>
            </w:pPr>
          </w:p>
          <w:p w14:paraId="6B1D3B1C">
            <w:pPr>
              <w:widowControl/>
              <w:jc w:val="center"/>
              <w:rPr>
                <w:rFonts w:ascii="宋体" w:hAnsi="宋体" w:cs="宋体"/>
                <w:kern w:val="0"/>
              </w:rPr>
            </w:pPr>
            <w:r>
              <w:rPr>
                <w:rFonts w:hint="eastAsia" w:ascii="宋体" w:hAnsi="宋体" w:cs="宋体"/>
                <w:kern w:val="0"/>
              </w:rPr>
              <w:t>9</w:t>
            </w:r>
          </w:p>
          <w:p w14:paraId="5318B5D1">
            <w:pPr>
              <w:widowControl/>
              <w:jc w:val="center"/>
              <w:rPr>
                <w:rFonts w:ascii="宋体" w:hAnsi="宋体" w:cs="宋体"/>
                <w:kern w:val="0"/>
              </w:rPr>
            </w:pPr>
            <w:r>
              <w:rPr>
                <w:rFonts w:hint="eastAsia" w:ascii="宋体" w:hAnsi="宋体" w:cs="宋体"/>
                <w:kern w:val="0"/>
              </w:rPr>
              <w:t>传动系统</w:t>
            </w:r>
          </w:p>
        </w:tc>
        <w:tc>
          <w:tcPr>
            <w:tcW w:w="3201" w:type="pct"/>
            <w:vAlign w:val="center"/>
          </w:tcPr>
          <w:p w14:paraId="06CE361E">
            <w:pPr>
              <w:widowControl/>
              <w:rPr>
                <w:rFonts w:ascii="宋体" w:hAnsi="宋体" w:cs="宋体"/>
                <w:kern w:val="0"/>
              </w:rPr>
            </w:pPr>
            <w:r>
              <w:rPr>
                <w:rFonts w:hint="eastAsia" w:ascii="宋体" w:hAnsi="宋体" w:cs="宋体"/>
                <w:kern w:val="0"/>
              </w:rPr>
              <w:t>（1）传动系统及其零部件运转平稳，运行中无振抖、无异响。</w:t>
            </w:r>
          </w:p>
        </w:tc>
        <w:tc>
          <w:tcPr>
            <w:tcW w:w="391" w:type="pct"/>
            <w:noWrap/>
            <w:vAlign w:val="bottom"/>
          </w:tcPr>
          <w:p w14:paraId="05FA6469">
            <w:pPr>
              <w:widowControl/>
              <w:jc w:val="center"/>
              <w:rPr>
                <w:rFonts w:ascii="宋体" w:hAnsi="宋体" w:cs="宋体"/>
                <w:kern w:val="0"/>
              </w:rPr>
            </w:pPr>
          </w:p>
        </w:tc>
        <w:tc>
          <w:tcPr>
            <w:tcW w:w="397" w:type="pct"/>
            <w:noWrap/>
            <w:vAlign w:val="bottom"/>
          </w:tcPr>
          <w:p w14:paraId="075C729D">
            <w:pPr>
              <w:widowControl/>
              <w:jc w:val="center"/>
              <w:rPr>
                <w:rFonts w:ascii="宋体" w:hAnsi="宋体" w:cs="宋体"/>
                <w:kern w:val="0"/>
              </w:rPr>
            </w:pPr>
          </w:p>
        </w:tc>
      </w:tr>
      <w:tr w14:paraId="2538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78" w:type="pct"/>
            <w:vMerge w:val="continue"/>
            <w:vAlign w:val="center"/>
          </w:tcPr>
          <w:p w14:paraId="7DFFBCA4">
            <w:pPr>
              <w:widowControl/>
              <w:jc w:val="left"/>
              <w:rPr>
                <w:rFonts w:ascii="宋体" w:hAnsi="宋体" w:cs="宋体"/>
                <w:kern w:val="0"/>
              </w:rPr>
            </w:pPr>
          </w:p>
        </w:tc>
        <w:tc>
          <w:tcPr>
            <w:tcW w:w="633" w:type="pct"/>
            <w:vMerge w:val="continue"/>
            <w:vAlign w:val="center"/>
          </w:tcPr>
          <w:p w14:paraId="446D2332">
            <w:pPr>
              <w:widowControl/>
              <w:jc w:val="left"/>
              <w:rPr>
                <w:rFonts w:ascii="宋体" w:hAnsi="宋体" w:cs="宋体"/>
                <w:kern w:val="0"/>
              </w:rPr>
            </w:pPr>
          </w:p>
        </w:tc>
        <w:tc>
          <w:tcPr>
            <w:tcW w:w="3201" w:type="pct"/>
            <w:vAlign w:val="center"/>
          </w:tcPr>
          <w:p w14:paraId="121600A7">
            <w:pPr>
              <w:widowControl/>
              <w:rPr>
                <w:rFonts w:ascii="宋体" w:hAnsi="宋体" w:cs="宋体"/>
                <w:kern w:val="0"/>
              </w:rPr>
            </w:pPr>
            <w:r>
              <w:rPr>
                <w:rFonts w:hint="eastAsia" w:ascii="宋体" w:hAnsi="宋体" w:cs="宋体"/>
                <w:kern w:val="0"/>
              </w:rPr>
              <w:t>（2）变速箱无自动脱挡、串挡现象，运行正常，倒挡可靠。</w:t>
            </w:r>
          </w:p>
        </w:tc>
        <w:tc>
          <w:tcPr>
            <w:tcW w:w="391" w:type="pct"/>
            <w:noWrap/>
            <w:vAlign w:val="bottom"/>
          </w:tcPr>
          <w:p w14:paraId="6CAC91B4">
            <w:pPr>
              <w:widowControl/>
              <w:jc w:val="center"/>
              <w:rPr>
                <w:rFonts w:ascii="宋体" w:hAnsi="宋体" w:cs="宋体"/>
                <w:kern w:val="0"/>
              </w:rPr>
            </w:pPr>
          </w:p>
        </w:tc>
        <w:tc>
          <w:tcPr>
            <w:tcW w:w="397" w:type="pct"/>
            <w:noWrap/>
            <w:vAlign w:val="bottom"/>
          </w:tcPr>
          <w:p w14:paraId="7CF7A924">
            <w:pPr>
              <w:widowControl/>
              <w:jc w:val="center"/>
              <w:rPr>
                <w:rFonts w:ascii="宋体" w:hAnsi="宋体" w:cs="宋体"/>
                <w:kern w:val="0"/>
              </w:rPr>
            </w:pPr>
          </w:p>
        </w:tc>
      </w:tr>
      <w:tr w14:paraId="18B4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78" w:type="pct"/>
            <w:vMerge w:val="continue"/>
            <w:vAlign w:val="center"/>
          </w:tcPr>
          <w:p w14:paraId="22573963">
            <w:pPr>
              <w:widowControl/>
              <w:jc w:val="left"/>
              <w:rPr>
                <w:rFonts w:ascii="宋体" w:hAnsi="宋体" w:cs="宋体"/>
                <w:kern w:val="0"/>
              </w:rPr>
            </w:pPr>
          </w:p>
        </w:tc>
        <w:tc>
          <w:tcPr>
            <w:tcW w:w="633" w:type="pct"/>
            <w:vMerge w:val="continue"/>
            <w:vAlign w:val="center"/>
          </w:tcPr>
          <w:p w14:paraId="6D29167E">
            <w:pPr>
              <w:widowControl/>
              <w:jc w:val="left"/>
              <w:rPr>
                <w:rFonts w:ascii="宋体" w:hAnsi="宋体" w:cs="宋体"/>
                <w:kern w:val="0"/>
              </w:rPr>
            </w:pPr>
          </w:p>
        </w:tc>
        <w:tc>
          <w:tcPr>
            <w:tcW w:w="3201" w:type="pct"/>
            <w:vAlign w:val="center"/>
          </w:tcPr>
          <w:p w14:paraId="65E4DB93">
            <w:pPr>
              <w:widowControl/>
              <w:rPr>
                <w:rFonts w:ascii="宋体" w:hAnsi="宋体" w:cs="宋体"/>
                <w:kern w:val="0"/>
              </w:rPr>
            </w:pPr>
            <w:r>
              <w:rPr>
                <w:rFonts w:hint="eastAsia" w:ascii="宋体" w:hAnsi="宋体" w:cs="宋体"/>
                <w:kern w:val="0"/>
              </w:rPr>
              <w:t>（3）离合器分离彻底，接合平稳，工作时无异响、抖动和不正常打滑。</w:t>
            </w:r>
          </w:p>
        </w:tc>
        <w:tc>
          <w:tcPr>
            <w:tcW w:w="391" w:type="pct"/>
            <w:noWrap/>
            <w:vAlign w:val="bottom"/>
          </w:tcPr>
          <w:p w14:paraId="15702495">
            <w:pPr>
              <w:widowControl/>
              <w:jc w:val="center"/>
              <w:rPr>
                <w:rFonts w:ascii="宋体" w:hAnsi="宋体" w:cs="宋体"/>
                <w:kern w:val="0"/>
              </w:rPr>
            </w:pPr>
          </w:p>
        </w:tc>
        <w:tc>
          <w:tcPr>
            <w:tcW w:w="397" w:type="pct"/>
            <w:noWrap/>
            <w:vAlign w:val="bottom"/>
          </w:tcPr>
          <w:p w14:paraId="3B2616CE">
            <w:pPr>
              <w:widowControl/>
              <w:jc w:val="center"/>
              <w:rPr>
                <w:rFonts w:ascii="宋体" w:hAnsi="宋体" w:cs="宋体"/>
                <w:kern w:val="0"/>
              </w:rPr>
            </w:pPr>
          </w:p>
        </w:tc>
      </w:tr>
      <w:tr w14:paraId="6C0D0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378" w:type="pct"/>
            <w:vMerge w:val="continue"/>
            <w:vAlign w:val="center"/>
          </w:tcPr>
          <w:p w14:paraId="4B65017A">
            <w:pPr>
              <w:widowControl/>
              <w:jc w:val="left"/>
              <w:rPr>
                <w:rFonts w:ascii="宋体" w:hAnsi="宋体" w:cs="宋体"/>
                <w:kern w:val="0"/>
              </w:rPr>
            </w:pPr>
          </w:p>
        </w:tc>
        <w:tc>
          <w:tcPr>
            <w:tcW w:w="633" w:type="pct"/>
            <w:vMerge w:val="continue"/>
            <w:vAlign w:val="center"/>
          </w:tcPr>
          <w:p w14:paraId="4EAE1C24">
            <w:pPr>
              <w:widowControl/>
              <w:jc w:val="left"/>
              <w:rPr>
                <w:rFonts w:ascii="宋体" w:hAnsi="宋体" w:cs="宋体"/>
                <w:kern w:val="0"/>
              </w:rPr>
            </w:pPr>
          </w:p>
        </w:tc>
        <w:tc>
          <w:tcPr>
            <w:tcW w:w="3201" w:type="pct"/>
            <w:vAlign w:val="center"/>
          </w:tcPr>
          <w:p w14:paraId="7DAD2E68">
            <w:pPr>
              <w:widowControl/>
              <w:rPr>
                <w:rFonts w:ascii="宋体" w:hAnsi="宋体" w:cs="宋体"/>
                <w:kern w:val="0"/>
              </w:rPr>
            </w:pPr>
            <w:r>
              <w:rPr>
                <w:rFonts w:hint="eastAsia" w:ascii="宋体" w:hAnsi="宋体" w:cs="宋体"/>
                <w:kern w:val="0"/>
              </w:rPr>
              <w:t>（4）采用自动变速箱的内燃观光车辆，只有当变速箱换挡装置处于停车挡（“P”挡）或空挡（“N”挡）时方可启动发动机（具有自动启停功能的车辆除外）。</w:t>
            </w:r>
          </w:p>
        </w:tc>
        <w:tc>
          <w:tcPr>
            <w:tcW w:w="391" w:type="pct"/>
            <w:noWrap/>
            <w:vAlign w:val="bottom"/>
          </w:tcPr>
          <w:p w14:paraId="2934CC0B">
            <w:pPr>
              <w:widowControl/>
              <w:jc w:val="center"/>
              <w:rPr>
                <w:rFonts w:ascii="宋体" w:hAnsi="宋体" w:cs="宋体"/>
                <w:kern w:val="0"/>
              </w:rPr>
            </w:pPr>
          </w:p>
        </w:tc>
        <w:tc>
          <w:tcPr>
            <w:tcW w:w="397" w:type="pct"/>
            <w:noWrap/>
            <w:vAlign w:val="bottom"/>
          </w:tcPr>
          <w:p w14:paraId="0D59D38C">
            <w:pPr>
              <w:widowControl/>
              <w:jc w:val="center"/>
              <w:rPr>
                <w:rFonts w:ascii="宋体" w:hAnsi="宋体" w:cs="宋体"/>
                <w:kern w:val="0"/>
              </w:rPr>
            </w:pPr>
          </w:p>
        </w:tc>
      </w:tr>
      <w:tr w14:paraId="3905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restart"/>
            <w:noWrap/>
            <w:vAlign w:val="center"/>
          </w:tcPr>
          <w:p w14:paraId="36E6FDF7">
            <w:pPr>
              <w:pStyle w:val="230"/>
              <w:widowControl/>
              <w:ind w:left="420" w:hanging="420" w:firstLineChars="0"/>
              <w:jc w:val="center"/>
              <w:rPr>
                <w:rFonts w:ascii="宋体" w:hAnsi="宋体" w:cs="宋体"/>
                <w:kern w:val="0"/>
                <w:szCs w:val="21"/>
              </w:rPr>
            </w:pPr>
            <w:r>
              <w:rPr>
                <w:rFonts w:hint="eastAsia" w:ascii="宋体" w:hAnsi="宋体" w:cs="宋体"/>
                <w:kern w:val="0"/>
                <w:szCs w:val="21"/>
              </w:rPr>
              <w:t>10</w:t>
            </w:r>
          </w:p>
        </w:tc>
        <w:tc>
          <w:tcPr>
            <w:tcW w:w="633" w:type="pct"/>
            <w:vMerge w:val="restart"/>
            <w:vAlign w:val="center"/>
          </w:tcPr>
          <w:p w14:paraId="3BB47006">
            <w:pPr>
              <w:widowControl/>
              <w:jc w:val="center"/>
              <w:rPr>
                <w:rFonts w:ascii="宋体" w:hAnsi="宋体" w:cs="宋体"/>
                <w:kern w:val="0"/>
              </w:rPr>
            </w:pPr>
            <w:r>
              <w:rPr>
                <w:rFonts w:hint="eastAsia" w:ascii="宋体" w:hAnsi="宋体" w:cs="宋体"/>
                <w:kern w:val="0"/>
              </w:rPr>
              <w:t>10</w:t>
            </w:r>
            <w:r>
              <w:rPr>
                <w:rFonts w:hint="eastAsia" w:ascii="宋体" w:hAnsi="宋体" w:cs="宋体"/>
                <w:kern w:val="0"/>
              </w:rPr>
              <w:br w:type="textWrapping"/>
            </w:r>
            <w:r>
              <w:rPr>
                <w:rFonts w:hint="eastAsia" w:ascii="宋体" w:hAnsi="宋体" w:cs="宋体"/>
                <w:kern w:val="0"/>
              </w:rPr>
              <w:t>行驶系统</w:t>
            </w:r>
          </w:p>
        </w:tc>
        <w:tc>
          <w:tcPr>
            <w:tcW w:w="3201" w:type="pct"/>
            <w:vAlign w:val="center"/>
          </w:tcPr>
          <w:p w14:paraId="47B6EB8E">
            <w:pPr>
              <w:widowControl/>
              <w:rPr>
                <w:rFonts w:ascii="宋体" w:hAnsi="宋体" w:cs="宋体"/>
                <w:kern w:val="0"/>
              </w:rPr>
            </w:pPr>
            <w:r>
              <w:rPr>
                <w:rFonts w:hint="eastAsia" w:ascii="宋体" w:hAnsi="宋体" w:cs="宋体"/>
                <w:kern w:val="0"/>
              </w:rPr>
              <w:t>（1）同一轴上的轮胎规格和花纹相同。</w:t>
            </w:r>
          </w:p>
        </w:tc>
        <w:tc>
          <w:tcPr>
            <w:tcW w:w="391" w:type="pct"/>
            <w:noWrap/>
            <w:vAlign w:val="bottom"/>
          </w:tcPr>
          <w:p w14:paraId="39CABD2E">
            <w:pPr>
              <w:widowControl/>
              <w:jc w:val="center"/>
              <w:rPr>
                <w:rFonts w:ascii="宋体" w:hAnsi="宋体" w:cs="宋体"/>
                <w:kern w:val="0"/>
              </w:rPr>
            </w:pPr>
          </w:p>
        </w:tc>
        <w:tc>
          <w:tcPr>
            <w:tcW w:w="397" w:type="pct"/>
            <w:noWrap/>
            <w:vAlign w:val="bottom"/>
          </w:tcPr>
          <w:p w14:paraId="213362C8">
            <w:pPr>
              <w:widowControl/>
              <w:jc w:val="center"/>
              <w:rPr>
                <w:rFonts w:ascii="宋体" w:hAnsi="宋体" w:cs="宋体"/>
                <w:kern w:val="0"/>
              </w:rPr>
            </w:pPr>
          </w:p>
        </w:tc>
      </w:tr>
      <w:tr w14:paraId="6985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2C351334">
            <w:pPr>
              <w:widowControl/>
              <w:jc w:val="left"/>
              <w:rPr>
                <w:rFonts w:ascii="宋体" w:hAnsi="宋体" w:cs="宋体"/>
                <w:kern w:val="0"/>
              </w:rPr>
            </w:pPr>
          </w:p>
        </w:tc>
        <w:tc>
          <w:tcPr>
            <w:tcW w:w="633" w:type="pct"/>
            <w:vMerge w:val="continue"/>
            <w:vAlign w:val="center"/>
          </w:tcPr>
          <w:p w14:paraId="7242CEB7">
            <w:pPr>
              <w:widowControl/>
              <w:jc w:val="left"/>
              <w:rPr>
                <w:rFonts w:ascii="宋体" w:hAnsi="宋体" w:cs="宋体"/>
                <w:kern w:val="0"/>
              </w:rPr>
            </w:pPr>
          </w:p>
        </w:tc>
        <w:tc>
          <w:tcPr>
            <w:tcW w:w="3201" w:type="pct"/>
            <w:vAlign w:val="center"/>
          </w:tcPr>
          <w:p w14:paraId="107F6231">
            <w:pPr>
              <w:widowControl/>
              <w:rPr>
                <w:rFonts w:ascii="宋体" w:hAnsi="宋体" w:cs="宋体"/>
                <w:kern w:val="0"/>
              </w:rPr>
            </w:pPr>
            <w:r>
              <w:rPr>
                <w:rFonts w:hint="eastAsia" w:ascii="宋体" w:hAnsi="宋体" w:cs="宋体"/>
                <w:kern w:val="0"/>
              </w:rPr>
              <w:t>（2）轮辋完整无损，螺栓、螺母齐全紧固。</w:t>
            </w:r>
          </w:p>
        </w:tc>
        <w:tc>
          <w:tcPr>
            <w:tcW w:w="391" w:type="pct"/>
            <w:noWrap/>
            <w:vAlign w:val="bottom"/>
          </w:tcPr>
          <w:p w14:paraId="31090435">
            <w:pPr>
              <w:widowControl/>
              <w:jc w:val="center"/>
              <w:rPr>
                <w:rFonts w:ascii="宋体" w:hAnsi="宋体" w:cs="宋体"/>
                <w:kern w:val="0"/>
              </w:rPr>
            </w:pPr>
          </w:p>
        </w:tc>
        <w:tc>
          <w:tcPr>
            <w:tcW w:w="397" w:type="pct"/>
            <w:noWrap/>
            <w:vAlign w:val="bottom"/>
          </w:tcPr>
          <w:p w14:paraId="2C67B606">
            <w:pPr>
              <w:widowControl/>
              <w:jc w:val="center"/>
              <w:rPr>
                <w:rFonts w:ascii="宋体" w:hAnsi="宋体" w:cs="宋体"/>
                <w:kern w:val="0"/>
              </w:rPr>
            </w:pPr>
          </w:p>
        </w:tc>
      </w:tr>
      <w:tr w14:paraId="2583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378" w:type="pct"/>
            <w:vMerge w:val="continue"/>
            <w:vAlign w:val="center"/>
          </w:tcPr>
          <w:p w14:paraId="13F6EA2E">
            <w:pPr>
              <w:widowControl/>
              <w:jc w:val="left"/>
              <w:rPr>
                <w:rFonts w:ascii="宋体" w:hAnsi="宋体" w:cs="宋体"/>
                <w:kern w:val="0"/>
              </w:rPr>
            </w:pPr>
          </w:p>
        </w:tc>
        <w:tc>
          <w:tcPr>
            <w:tcW w:w="633" w:type="pct"/>
            <w:vMerge w:val="continue"/>
            <w:vAlign w:val="center"/>
          </w:tcPr>
          <w:p w14:paraId="27DA2F48">
            <w:pPr>
              <w:widowControl/>
              <w:jc w:val="left"/>
              <w:rPr>
                <w:rFonts w:ascii="宋体" w:hAnsi="宋体" w:cs="宋体"/>
                <w:kern w:val="0"/>
              </w:rPr>
            </w:pPr>
          </w:p>
        </w:tc>
        <w:tc>
          <w:tcPr>
            <w:tcW w:w="3201" w:type="pct"/>
            <w:vAlign w:val="center"/>
          </w:tcPr>
          <w:p w14:paraId="51357B76">
            <w:pPr>
              <w:widowControl/>
              <w:rPr>
                <w:rFonts w:ascii="宋体" w:hAnsi="宋体" w:cs="宋体"/>
                <w:kern w:val="0"/>
              </w:rPr>
            </w:pPr>
            <w:r>
              <w:rPr>
                <w:rFonts w:hint="eastAsia" w:ascii="宋体" w:hAnsi="宋体" w:cs="宋体"/>
                <w:kern w:val="0"/>
              </w:rPr>
              <w:t>（3）充气轮胎胎面和胎壁无长度超过25mm或者深度足以暴露出轮胎帘布层的破裂和割伤。</w:t>
            </w:r>
          </w:p>
        </w:tc>
        <w:tc>
          <w:tcPr>
            <w:tcW w:w="391" w:type="pct"/>
            <w:noWrap/>
            <w:vAlign w:val="bottom"/>
          </w:tcPr>
          <w:p w14:paraId="023D787C">
            <w:pPr>
              <w:widowControl/>
              <w:jc w:val="center"/>
              <w:rPr>
                <w:rFonts w:ascii="宋体" w:hAnsi="宋体" w:cs="宋体"/>
                <w:kern w:val="0"/>
              </w:rPr>
            </w:pPr>
          </w:p>
        </w:tc>
        <w:tc>
          <w:tcPr>
            <w:tcW w:w="397" w:type="pct"/>
            <w:noWrap/>
            <w:vAlign w:val="bottom"/>
          </w:tcPr>
          <w:p w14:paraId="710DBD06">
            <w:pPr>
              <w:widowControl/>
              <w:jc w:val="center"/>
              <w:rPr>
                <w:rFonts w:ascii="宋体" w:hAnsi="宋体" w:cs="宋体"/>
                <w:kern w:val="0"/>
              </w:rPr>
            </w:pPr>
          </w:p>
        </w:tc>
      </w:tr>
      <w:tr w14:paraId="6E71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78" w:type="pct"/>
            <w:vMerge w:val="continue"/>
            <w:vAlign w:val="center"/>
          </w:tcPr>
          <w:p w14:paraId="1274E795">
            <w:pPr>
              <w:widowControl/>
              <w:jc w:val="left"/>
              <w:rPr>
                <w:rFonts w:ascii="宋体" w:hAnsi="宋体" w:cs="宋体"/>
                <w:kern w:val="0"/>
              </w:rPr>
            </w:pPr>
          </w:p>
        </w:tc>
        <w:tc>
          <w:tcPr>
            <w:tcW w:w="633" w:type="pct"/>
            <w:vMerge w:val="continue"/>
            <w:vAlign w:val="center"/>
          </w:tcPr>
          <w:p w14:paraId="3B60E1A9">
            <w:pPr>
              <w:widowControl/>
              <w:jc w:val="left"/>
              <w:rPr>
                <w:rFonts w:ascii="宋体" w:hAnsi="宋体" w:cs="宋体"/>
                <w:kern w:val="0"/>
              </w:rPr>
            </w:pPr>
          </w:p>
        </w:tc>
        <w:tc>
          <w:tcPr>
            <w:tcW w:w="3201" w:type="pct"/>
            <w:vAlign w:val="center"/>
          </w:tcPr>
          <w:p w14:paraId="41F7F7D0">
            <w:pPr>
              <w:widowControl/>
              <w:rPr>
                <w:rFonts w:ascii="宋体" w:hAnsi="宋体" w:cs="宋体"/>
                <w:kern w:val="0"/>
              </w:rPr>
            </w:pPr>
            <w:r>
              <w:rPr>
                <w:rFonts w:hint="eastAsia" w:ascii="宋体" w:hAnsi="宋体" w:cs="宋体"/>
                <w:kern w:val="0"/>
              </w:rPr>
              <w:t>（4）轮胎无影响使用的缺损、异常磨损和变形，且设有胎面磨耗标志，磨耗量不得超出标志要求。</w:t>
            </w:r>
          </w:p>
        </w:tc>
        <w:tc>
          <w:tcPr>
            <w:tcW w:w="391" w:type="pct"/>
            <w:noWrap/>
            <w:vAlign w:val="bottom"/>
          </w:tcPr>
          <w:p w14:paraId="7593A375">
            <w:pPr>
              <w:widowControl/>
              <w:jc w:val="center"/>
              <w:rPr>
                <w:rFonts w:ascii="宋体" w:hAnsi="宋体" w:cs="宋体"/>
                <w:kern w:val="0"/>
              </w:rPr>
            </w:pPr>
          </w:p>
        </w:tc>
        <w:tc>
          <w:tcPr>
            <w:tcW w:w="397" w:type="pct"/>
            <w:noWrap/>
            <w:vAlign w:val="bottom"/>
          </w:tcPr>
          <w:p w14:paraId="7D694889">
            <w:pPr>
              <w:widowControl/>
              <w:jc w:val="center"/>
              <w:rPr>
                <w:rFonts w:ascii="宋体" w:hAnsi="宋体" w:cs="宋体"/>
                <w:kern w:val="0"/>
              </w:rPr>
            </w:pPr>
          </w:p>
        </w:tc>
      </w:tr>
      <w:tr w14:paraId="5469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770A9C20">
            <w:pPr>
              <w:widowControl/>
              <w:jc w:val="left"/>
              <w:rPr>
                <w:rFonts w:ascii="宋体" w:hAnsi="宋体" w:cs="宋体"/>
                <w:kern w:val="0"/>
              </w:rPr>
            </w:pPr>
          </w:p>
        </w:tc>
        <w:tc>
          <w:tcPr>
            <w:tcW w:w="633" w:type="pct"/>
            <w:vMerge w:val="continue"/>
            <w:vAlign w:val="center"/>
          </w:tcPr>
          <w:p w14:paraId="5316C0BF">
            <w:pPr>
              <w:widowControl/>
              <w:jc w:val="left"/>
              <w:rPr>
                <w:rFonts w:ascii="宋体" w:hAnsi="宋体" w:cs="宋体"/>
                <w:kern w:val="0"/>
              </w:rPr>
            </w:pPr>
          </w:p>
        </w:tc>
        <w:tc>
          <w:tcPr>
            <w:tcW w:w="3201" w:type="pct"/>
            <w:vAlign w:val="center"/>
          </w:tcPr>
          <w:p w14:paraId="4E121A08">
            <w:pPr>
              <w:widowControl/>
              <w:rPr>
                <w:rFonts w:ascii="宋体" w:hAnsi="宋体" w:cs="宋体"/>
                <w:kern w:val="0"/>
              </w:rPr>
            </w:pPr>
            <w:r>
              <w:rPr>
                <w:rFonts w:hint="eastAsia" w:ascii="宋体" w:hAnsi="宋体" w:cs="宋体"/>
                <w:kern w:val="0"/>
              </w:rPr>
              <w:t>（5）前后桥与车架的连接紧固。</w:t>
            </w:r>
          </w:p>
        </w:tc>
        <w:tc>
          <w:tcPr>
            <w:tcW w:w="391" w:type="pct"/>
            <w:noWrap/>
            <w:vAlign w:val="bottom"/>
          </w:tcPr>
          <w:p w14:paraId="2BCA395C">
            <w:pPr>
              <w:widowControl/>
              <w:jc w:val="center"/>
              <w:rPr>
                <w:rFonts w:ascii="宋体" w:hAnsi="宋体" w:cs="宋体"/>
                <w:kern w:val="0"/>
              </w:rPr>
            </w:pPr>
          </w:p>
        </w:tc>
        <w:tc>
          <w:tcPr>
            <w:tcW w:w="397" w:type="pct"/>
            <w:noWrap/>
            <w:vAlign w:val="bottom"/>
          </w:tcPr>
          <w:p w14:paraId="02B6AA94">
            <w:pPr>
              <w:widowControl/>
              <w:jc w:val="center"/>
              <w:rPr>
                <w:rFonts w:ascii="宋体" w:hAnsi="宋体" w:cs="宋体"/>
                <w:kern w:val="0"/>
              </w:rPr>
            </w:pPr>
          </w:p>
        </w:tc>
      </w:tr>
      <w:tr w14:paraId="07116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378" w:type="pct"/>
            <w:vMerge w:val="continue"/>
            <w:vAlign w:val="center"/>
          </w:tcPr>
          <w:p w14:paraId="57777CEC">
            <w:pPr>
              <w:widowControl/>
              <w:jc w:val="left"/>
              <w:rPr>
                <w:rFonts w:ascii="宋体" w:hAnsi="宋体" w:cs="宋体"/>
                <w:kern w:val="0"/>
              </w:rPr>
            </w:pPr>
          </w:p>
        </w:tc>
        <w:tc>
          <w:tcPr>
            <w:tcW w:w="633" w:type="pct"/>
            <w:vMerge w:val="continue"/>
            <w:vAlign w:val="center"/>
          </w:tcPr>
          <w:p w14:paraId="546B8F61">
            <w:pPr>
              <w:widowControl/>
              <w:jc w:val="left"/>
              <w:rPr>
                <w:rFonts w:ascii="宋体" w:hAnsi="宋体" w:cs="宋体"/>
                <w:kern w:val="0"/>
              </w:rPr>
            </w:pPr>
          </w:p>
        </w:tc>
        <w:tc>
          <w:tcPr>
            <w:tcW w:w="3201" w:type="pct"/>
            <w:vAlign w:val="center"/>
          </w:tcPr>
          <w:p w14:paraId="14782E8B">
            <w:pPr>
              <w:widowControl/>
              <w:rPr>
                <w:rFonts w:ascii="宋体" w:hAnsi="宋体" w:cs="宋体"/>
                <w:kern w:val="0"/>
              </w:rPr>
            </w:pPr>
            <w:r>
              <w:rPr>
                <w:rFonts w:hint="eastAsia" w:ascii="宋体" w:hAnsi="宋体" w:cs="宋体"/>
                <w:kern w:val="0"/>
              </w:rPr>
              <w:t>（6）钢板弹簧簧片整齐，卡子齐全，螺栓紧固，与车桥、车架的连接紧固。</w:t>
            </w:r>
          </w:p>
        </w:tc>
        <w:tc>
          <w:tcPr>
            <w:tcW w:w="391" w:type="pct"/>
            <w:noWrap/>
            <w:vAlign w:val="bottom"/>
          </w:tcPr>
          <w:p w14:paraId="014A5E69">
            <w:pPr>
              <w:widowControl/>
              <w:jc w:val="center"/>
              <w:rPr>
                <w:rFonts w:ascii="宋体" w:hAnsi="宋体" w:cs="宋体"/>
                <w:kern w:val="0"/>
              </w:rPr>
            </w:pPr>
          </w:p>
        </w:tc>
        <w:tc>
          <w:tcPr>
            <w:tcW w:w="397" w:type="pct"/>
            <w:noWrap/>
            <w:vAlign w:val="bottom"/>
          </w:tcPr>
          <w:p w14:paraId="64D990AE">
            <w:pPr>
              <w:widowControl/>
              <w:jc w:val="center"/>
              <w:rPr>
                <w:rFonts w:ascii="宋体" w:hAnsi="宋体" w:cs="宋体"/>
                <w:kern w:val="0"/>
              </w:rPr>
            </w:pPr>
          </w:p>
        </w:tc>
      </w:tr>
      <w:tr w14:paraId="0D74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27C3DEFF">
            <w:pPr>
              <w:widowControl/>
              <w:jc w:val="left"/>
              <w:rPr>
                <w:rFonts w:ascii="宋体" w:hAnsi="宋体" w:cs="宋体"/>
                <w:kern w:val="0"/>
              </w:rPr>
            </w:pPr>
          </w:p>
        </w:tc>
        <w:tc>
          <w:tcPr>
            <w:tcW w:w="633" w:type="pct"/>
            <w:vMerge w:val="continue"/>
            <w:vAlign w:val="center"/>
          </w:tcPr>
          <w:p w14:paraId="47E712E5">
            <w:pPr>
              <w:widowControl/>
              <w:jc w:val="left"/>
              <w:rPr>
                <w:rFonts w:ascii="宋体" w:hAnsi="宋体" w:cs="宋体"/>
                <w:kern w:val="0"/>
              </w:rPr>
            </w:pPr>
          </w:p>
        </w:tc>
        <w:tc>
          <w:tcPr>
            <w:tcW w:w="3201" w:type="pct"/>
            <w:vAlign w:val="center"/>
          </w:tcPr>
          <w:p w14:paraId="00D8FBF4">
            <w:pPr>
              <w:widowControl/>
              <w:rPr>
                <w:rFonts w:ascii="宋体" w:hAnsi="宋体" w:cs="宋体"/>
                <w:kern w:val="0"/>
              </w:rPr>
            </w:pPr>
            <w:r>
              <w:rPr>
                <w:rFonts w:hint="eastAsia" w:ascii="宋体" w:hAnsi="宋体" w:cs="宋体"/>
                <w:kern w:val="0"/>
              </w:rPr>
              <w:t>（7）减震器连接紧固，无渗漏油现象。</w:t>
            </w:r>
          </w:p>
        </w:tc>
        <w:tc>
          <w:tcPr>
            <w:tcW w:w="391" w:type="pct"/>
            <w:noWrap/>
            <w:vAlign w:val="bottom"/>
          </w:tcPr>
          <w:p w14:paraId="385104DC">
            <w:pPr>
              <w:widowControl/>
              <w:jc w:val="center"/>
              <w:rPr>
                <w:rFonts w:ascii="宋体" w:hAnsi="宋体" w:cs="宋体"/>
                <w:kern w:val="0"/>
              </w:rPr>
            </w:pPr>
          </w:p>
        </w:tc>
        <w:tc>
          <w:tcPr>
            <w:tcW w:w="397" w:type="pct"/>
            <w:noWrap/>
            <w:vAlign w:val="bottom"/>
          </w:tcPr>
          <w:p w14:paraId="7BDC5253">
            <w:pPr>
              <w:widowControl/>
              <w:jc w:val="center"/>
              <w:rPr>
                <w:rFonts w:ascii="宋体" w:hAnsi="宋体" w:cs="宋体"/>
                <w:kern w:val="0"/>
              </w:rPr>
            </w:pPr>
          </w:p>
        </w:tc>
      </w:tr>
      <w:tr w14:paraId="0CB69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restart"/>
            <w:noWrap/>
            <w:vAlign w:val="center"/>
          </w:tcPr>
          <w:p w14:paraId="4C7DF4C7">
            <w:pPr>
              <w:pStyle w:val="230"/>
              <w:widowControl/>
              <w:ind w:left="420" w:hanging="420" w:firstLineChars="0"/>
              <w:jc w:val="center"/>
              <w:rPr>
                <w:rFonts w:ascii="宋体" w:hAnsi="宋体" w:cs="宋体"/>
                <w:kern w:val="0"/>
                <w:szCs w:val="21"/>
              </w:rPr>
            </w:pPr>
            <w:r>
              <w:rPr>
                <w:rFonts w:hint="eastAsia" w:ascii="宋体" w:hAnsi="宋体" w:cs="宋体"/>
                <w:kern w:val="0"/>
                <w:szCs w:val="21"/>
              </w:rPr>
              <w:t>11</w:t>
            </w:r>
          </w:p>
        </w:tc>
        <w:tc>
          <w:tcPr>
            <w:tcW w:w="633" w:type="pct"/>
            <w:vMerge w:val="restart"/>
            <w:vAlign w:val="center"/>
          </w:tcPr>
          <w:p w14:paraId="411D2D65">
            <w:pPr>
              <w:widowControl/>
              <w:jc w:val="center"/>
              <w:rPr>
                <w:rFonts w:ascii="宋体" w:hAnsi="宋体" w:cs="宋体"/>
                <w:kern w:val="0"/>
              </w:rPr>
            </w:pPr>
            <w:r>
              <w:rPr>
                <w:rFonts w:hint="eastAsia" w:ascii="宋体" w:hAnsi="宋体" w:cs="宋体"/>
                <w:kern w:val="0"/>
              </w:rPr>
              <w:t>11</w:t>
            </w:r>
          </w:p>
          <w:p w14:paraId="7439F8E0">
            <w:pPr>
              <w:widowControl/>
              <w:jc w:val="center"/>
              <w:rPr>
                <w:rFonts w:ascii="宋体" w:hAnsi="宋体" w:cs="宋体"/>
                <w:kern w:val="0"/>
              </w:rPr>
            </w:pPr>
            <w:r>
              <w:rPr>
                <w:rFonts w:hint="eastAsia" w:ascii="宋体" w:hAnsi="宋体" w:cs="宋体"/>
                <w:kern w:val="0"/>
              </w:rPr>
              <w:t>转向系统</w:t>
            </w:r>
          </w:p>
        </w:tc>
        <w:tc>
          <w:tcPr>
            <w:tcW w:w="3201" w:type="pct"/>
            <w:vAlign w:val="center"/>
          </w:tcPr>
          <w:p w14:paraId="1F188A45">
            <w:pPr>
              <w:widowControl/>
              <w:rPr>
                <w:rFonts w:ascii="宋体" w:hAnsi="宋体" w:cs="宋体"/>
                <w:kern w:val="0"/>
              </w:rPr>
            </w:pPr>
            <w:r>
              <w:rPr>
                <w:rFonts w:hint="eastAsia" w:ascii="宋体" w:hAnsi="宋体" w:cs="宋体"/>
                <w:kern w:val="0"/>
              </w:rPr>
              <w:t>（1）车辆应设置转向限位装置。</w:t>
            </w:r>
          </w:p>
        </w:tc>
        <w:tc>
          <w:tcPr>
            <w:tcW w:w="391" w:type="pct"/>
            <w:noWrap/>
            <w:vAlign w:val="bottom"/>
          </w:tcPr>
          <w:p w14:paraId="04F97D44">
            <w:pPr>
              <w:widowControl/>
              <w:jc w:val="center"/>
              <w:rPr>
                <w:rFonts w:ascii="宋体" w:hAnsi="宋体" w:cs="宋体"/>
                <w:kern w:val="0"/>
              </w:rPr>
            </w:pPr>
          </w:p>
        </w:tc>
        <w:tc>
          <w:tcPr>
            <w:tcW w:w="397" w:type="pct"/>
            <w:noWrap/>
            <w:vAlign w:val="bottom"/>
          </w:tcPr>
          <w:p w14:paraId="70CD479A">
            <w:pPr>
              <w:widowControl/>
              <w:jc w:val="center"/>
              <w:rPr>
                <w:rFonts w:ascii="宋体" w:hAnsi="宋体" w:cs="宋体"/>
                <w:kern w:val="0"/>
              </w:rPr>
            </w:pPr>
          </w:p>
        </w:tc>
      </w:tr>
      <w:tr w14:paraId="6400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378" w:type="pct"/>
            <w:vMerge w:val="continue"/>
            <w:vAlign w:val="center"/>
          </w:tcPr>
          <w:p w14:paraId="0D6B488D">
            <w:pPr>
              <w:widowControl/>
              <w:jc w:val="left"/>
              <w:rPr>
                <w:rFonts w:ascii="宋体" w:hAnsi="宋体" w:cs="宋体"/>
                <w:kern w:val="0"/>
              </w:rPr>
            </w:pPr>
          </w:p>
        </w:tc>
        <w:tc>
          <w:tcPr>
            <w:tcW w:w="633" w:type="pct"/>
            <w:vMerge w:val="continue"/>
            <w:vAlign w:val="center"/>
          </w:tcPr>
          <w:p w14:paraId="2E6D33A4">
            <w:pPr>
              <w:widowControl/>
              <w:jc w:val="left"/>
              <w:rPr>
                <w:rFonts w:ascii="宋体" w:hAnsi="宋体" w:cs="宋体"/>
                <w:kern w:val="0"/>
              </w:rPr>
            </w:pPr>
          </w:p>
        </w:tc>
        <w:tc>
          <w:tcPr>
            <w:tcW w:w="3201" w:type="pct"/>
            <w:vAlign w:val="center"/>
          </w:tcPr>
          <w:p w14:paraId="3C3F1CF8">
            <w:pPr>
              <w:widowControl/>
              <w:rPr>
                <w:rFonts w:ascii="宋体" w:hAnsi="宋体" w:cs="宋体"/>
                <w:kern w:val="0"/>
              </w:rPr>
            </w:pPr>
            <w:r>
              <w:rPr>
                <w:rFonts w:hint="eastAsia" w:ascii="宋体" w:hAnsi="宋体" w:cs="宋体"/>
                <w:kern w:val="0"/>
              </w:rPr>
              <w:t>（2）转向系统转动灵活、操作方便、无卡滞，在任意转向操作时不得与其他部件有干涉。</w:t>
            </w:r>
          </w:p>
        </w:tc>
        <w:tc>
          <w:tcPr>
            <w:tcW w:w="391" w:type="pct"/>
            <w:noWrap/>
            <w:vAlign w:val="bottom"/>
          </w:tcPr>
          <w:p w14:paraId="27A36965">
            <w:pPr>
              <w:widowControl/>
              <w:jc w:val="center"/>
              <w:rPr>
                <w:rFonts w:ascii="宋体" w:hAnsi="宋体" w:cs="宋体"/>
                <w:kern w:val="0"/>
              </w:rPr>
            </w:pPr>
          </w:p>
        </w:tc>
        <w:tc>
          <w:tcPr>
            <w:tcW w:w="397" w:type="pct"/>
            <w:noWrap/>
            <w:vAlign w:val="bottom"/>
          </w:tcPr>
          <w:p w14:paraId="4E3FB85A">
            <w:pPr>
              <w:widowControl/>
              <w:jc w:val="center"/>
              <w:rPr>
                <w:rFonts w:ascii="宋体" w:hAnsi="宋体" w:cs="宋体"/>
                <w:kern w:val="0"/>
              </w:rPr>
            </w:pPr>
          </w:p>
        </w:tc>
      </w:tr>
      <w:tr w14:paraId="39C1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378" w:type="pct"/>
            <w:vMerge w:val="continue"/>
            <w:vAlign w:val="center"/>
          </w:tcPr>
          <w:p w14:paraId="25E103F3">
            <w:pPr>
              <w:widowControl/>
              <w:jc w:val="left"/>
              <w:rPr>
                <w:rFonts w:ascii="宋体" w:hAnsi="宋体" w:cs="宋体"/>
                <w:kern w:val="0"/>
              </w:rPr>
            </w:pPr>
          </w:p>
        </w:tc>
        <w:tc>
          <w:tcPr>
            <w:tcW w:w="633" w:type="pct"/>
            <w:vMerge w:val="continue"/>
            <w:vAlign w:val="center"/>
          </w:tcPr>
          <w:p w14:paraId="395229EF">
            <w:pPr>
              <w:widowControl/>
              <w:jc w:val="left"/>
              <w:rPr>
                <w:rFonts w:ascii="宋体" w:hAnsi="宋体" w:cs="宋体"/>
                <w:kern w:val="0"/>
              </w:rPr>
            </w:pPr>
          </w:p>
        </w:tc>
        <w:tc>
          <w:tcPr>
            <w:tcW w:w="3201" w:type="pct"/>
            <w:vAlign w:val="center"/>
          </w:tcPr>
          <w:p w14:paraId="00BE2474">
            <w:pPr>
              <w:widowControl/>
              <w:rPr>
                <w:rFonts w:ascii="宋体" w:hAnsi="宋体" w:cs="宋体"/>
                <w:kern w:val="0"/>
              </w:rPr>
            </w:pPr>
            <w:r>
              <w:rPr>
                <w:rFonts w:hint="eastAsia" w:ascii="宋体" w:hAnsi="宋体" w:cs="宋体"/>
                <w:kern w:val="0"/>
              </w:rPr>
              <w:t>（3）转向装置中的转向节及臂，转向横、直拉杆应当无裂纹、损伤，球销不应当松旷，转向油缸不应当有泄漏油现象。</w:t>
            </w:r>
          </w:p>
        </w:tc>
        <w:tc>
          <w:tcPr>
            <w:tcW w:w="391" w:type="pct"/>
            <w:noWrap/>
            <w:vAlign w:val="bottom"/>
          </w:tcPr>
          <w:p w14:paraId="3ECCBDDA">
            <w:pPr>
              <w:widowControl/>
              <w:jc w:val="center"/>
              <w:rPr>
                <w:rFonts w:ascii="宋体" w:hAnsi="宋体" w:cs="宋体"/>
                <w:kern w:val="0"/>
              </w:rPr>
            </w:pPr>
          </w:p>
        </w:tc>
        <w:tc>
          <w:tcPr>
            <w:tcW w:w="397" w:type="pct"/>
            <w:noWrap/>
            <w:vAlign w:val="bottom"/>
          </w:tcPr>
          <w:p w14:paraId="2E630E5D">
            <w:pPr>
              <w:widowControl/>
              <w:jc w:val="center"/>
              <w:rPr>
                <w:rFonts w:ascii="宋体" w:hAnsi="宋体" w:cs="宋体"/>
                <w:kern w:val="0"/>
              </w:rPr>
            </w:pPr>
          </w:p>
        </w:tc>
      </w:tr>
      <w:tr w14:paraId="41A4D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3A829A15">
            <w:pPr>
              <w:widowControl/>
              <w:jc w:val="left"/>
              <w:rPr>
                <w:rFonts w:ascii="宋体" w:hAnsi="宋体" w:cs="宋体"/>
                <w:kern w:val="0"/>
              </w:rPr>
            </w:pPr>
          </w:p>
        </w:tc>
        <w:tc>
          <w:tcPr>
            <w:tcW w:w="633" w:type="pct"/>
            <w:vMerge w:val="continue"/>
            <w:vAlign w:val="center"/>
          </w:tcPr>
          <w:p w14:paraId="7EA30548">
            <w:pPr>
              <w:widowControl/>
              <w:jc w:val="left"/>
              <w:rPr>
                <w:rFonts w:ascii="宋体" w:hAnsi="宋体" w:cs="宋体"/>
                <w:kern w:val="0"/>
              </w:rPr>
            </w:pPr>
          </w:p>
        </w:tc>
        <w:tc>
          <w:tcPr>
            <w:tcW w:w="3201" w:type="pct"/>
            <w:vAlign w:val="center"/>
          </w:tcPr>
          <w:p w14:paraId="1B1E5D7E">
            <w:pPr>
              <w:widowControl/>
              <w:rPr>
                <w:rFonts w:ascii="宋体" w:hAnsi="宋体" w:cs="宋体"/>
                <w:kern w:val="0"/>
              </w:rPr>
            </w:pPr>
            <w:r>
              <w:rPr>
                <w:rFonts w:hint="eastAsia" w:ascii="宋体" w:hAnsi="宋体" w:cs="宋体"/>
                <w:kern w:val="0"/>
              </w:rPr>
              <w:t>（4）方向盘不得右置。</w:t>
            </w:r>
          </w:p>
        </w:tc>
        <w:tc>
          <w:tcPr>
            <w:tcW w:w="391" w:type="pct"/>
            <w:noWrap/>
            <w:vAlign w:val="bottom"/>
          </w:tcPr>
          <w:p w14:paraId="65AC4754">
            <w:pPr>
              <w:widowControl/>
              <w:jc w:val="center"/>
              <w:rPr>
                <w:rFonts w:ascii="宋体" w:hAnsi="宋体" w:cs="宋体"/>
                <w:kern w:val="0"/>
              </w:rPr>
            </w:pPr>
          </w:p>
        </w:tc>
        <w:tc>
          <w:tcPr>
            <w:tcW w:w="397" w:type="pct"/>
            <w:noWrap/>
            <w:vAlign w:val="bottom"/>
          </w:tcPr>
          <w:p w14:paraId="2AE3C21B">
            <w:pPr>
              <w:widowControl/>
              <w:jc w:val="center"/>
              <w:rPr>
                <w:rFonts w:ascii="宋体" w:hAnsi="宋体" w:cs="宋体"/>
                <w:kern w:val="0"/>
              </w:rPr>
            </w:pPr>
          </w:p>
        </w:tc>
      </w:tr>
      <w:tr w14:paraId="6AAD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2298F5BA">
            <w:pPr>
              <w:widowControl/>
              <w:jc w:val="left"/>
              <w:rPr>
                <w:rFonts w:ascii="宋体" w:hAnsi="宋体" w:cs="宋体"/>
                <w:kern w:val="0"/>
              </w:rPr>
            </w:pPr>
          </w:p>
        </w:tc>
        <w:tc>
          <w:tcPr>
            <w:tcW w:w="633" w:type="pct"/>
            <w:vMerge w:val="continue"/>
            <w:vAlign w:val="center"/>
          </w:tcPr>
          <w:p w14:paraId="6950E58E">
            <w:pPr>
              <w:widowControl/>
              <w:jc w:val="left"/>
              <w:rPr>
                <w:rFonts w:ascii="宋体" w:hAnsi="宋体" w:cs="宋体"/>
                <w:kern w:val="0"/>
              </w:rPr>
            </w:pPr>
          </w:p>
        </w:tc>
        <w:tc>
          <w:tcPr>
            <w:tcW w:w="3201" w:type="pct"/>
          </w:tcPr>
          <w:p w14:paraId="4E89EC37">
            <w:pPr>
              <w:widowControl/>
              <w:rPr>
                <w:rFonts w:ascii="宋体" w:hAnsi="宋体" w:cs="宋体"/>
                <w:kern w:val="0"/>
              </w:rPr>
            </w:pPr>
            <w:r>
              <w:rPr>
                <w:rFonts w:hint="eastAsia" w:ascii="宋体" w:hAnsi="宋体" w:cs="宋体"/>
                <w:kern w:val="0"/>
              </w:rPr>
              <w:t>（1）车辆采用气压制动系统时，应当符合GB 7258-2017中7.8.2和7.9.3的规定。</w:t>
            </w:r>
          </w:p>
        </w:tc>
        <w:tc>
          <w:tcPr>
            <w:tcW w:w="391" w:type="pct"/>
            <w:noWrap/>
            <w:vAlign w:val="bottom"/>
          </w:tcPr>
          <w:p w14:paraId="541BD688">
            <w:pPr>
              <w:widowControl/>
              <w:jc w:val="center"/>
              <w:rPr>
                <w:rFonts w:ascii="宋体" w:hAnsi="宋体" w:cs="宋体"/>
                <w:kern w:val="0"/>
              </w:rPr>
            </w:pPr>
          </w:p>
        </w:tc>
        <w:tc>
          <w:tcPr>
            <w:tcW w:w="397" w:type="pct"/>
            <w:noWrap/>
            <w:vAlign w:val="bottom"/>
          </w:tcPr>
          <w:p w14:paraId="40135A9B">
            <w:pPr>
              <w:widowControl/>
              <w:jc w:val="center"/>
              <w:rPr>
                <w:rFonts w:ascii="宋体" w:hAnsi="宋体" w:cs="宋体"/>
                <w:kern w:val="0"/>
              </w:rPr>
            </w:pPr>
          </w:p>
        </w:tc>
      </w:tr>
      <w:tr w14:paraId="546CA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378" w:type="pct"/>
            <w:vMerge w:val="continue"/>
            <w:vAlign w:val="center"/>
          </w:tcPr>
          <w:p w14:paraId="75E370BA">
            <w:pPr>
              <w:widowControl/>
              <w:jc w:val="left"/>
              <w:rPr>
                <w:rFonts w:ascii="宋体" w:hAnsi="宋体" w:cs="宋体"/>
                <w:kern w:val="0"/>
              </w:rPr>
            </w:pPr>
          </w:p>
        </w:tc>
        <w:tc>
          <w:tcPr>
            <w:tcW w:w="633" w:type="pct"/>
            <w:vMerge w:val="continue"/>
            <w:vAlign w:val="center"/>
          </w:tcPr>
          <w:p w14:paraId="2CA22053">
            <w:pPr>
              <w:widowControl/>
              <w:jc w:val="left"/>
              <w:rPr>
                <w:rFonts w:ascii="宋体" w:hAnsi="宋体" w:cs="宋体"/>
                <w:kern w:val="0"/>
              </w:rPr>
            </w:pPr>
          </w:p>
        </w:tc>
        <w:tc>
          <w:tcPr>
            <w:tcW w:w="3201" w:type="pct"/>
            <w:vAlign w:val="center"/>
          </w:tcPr>
          <w:p w14:paraId="1C0569B0">
            <w:pPr>
              <w:widowControl/>
              <w:rPr>
                <w:rFonts w:ascii="宋体" w:hAnsi="宋体" w:cs="宋体"/>
                <w:kern w:val="0"/>
              </w:rPr>
            </w:pPr>
            <w:r>
              <w:rPr>
                <w:rFonts w:hint="eastAsia" w:ascii="宋体" w:hAnsi="宋体" w:cs="宋体"/>
                <w:kern w:val="0"/>
              </w:rPr>
              <w:t>（2）车辆设置行车、驻车制动系统，并且设置相应的制动装置。</w:t>
            </w:r>
          </w:p>
        </w:tc>
        <w:tc>
          <w:tcPr>
            <w:tcW w:w="391" w:type="pct"/>
            <w:noWrap/>
            <w:vAlign w:val="bottom"/>
          </w:tcPr>
          <w:p w14:paraId="61F0DEC4">
            <w:pPr>
              <w:widowControl/>
              <w:jc w:val="center"/>
              <w:rPr>
                <w:rFonts w:ascii="宋体" w:hAnsi="宋体" w:cs="宋体"/>
                <w:kern w:val="0"/>
              </w:rPr>
            </w:pPr>
          </w:p>
        </w:tc>
        <w:tc>
          <w:tcPr>
            <w:tcW w:w="397" w:type="pct"/>
            <w:noWrap/>
            <w:vAlign w:val="bottom"/>
          </w:tcPr>
          <w:p w14:paraId="699B7067">
            <w:pPr>
              <w:widowControl/>
              <w:jc w:val="center"/>
              <w:rPr>
                <w:rFonts w:ascii="宋体" w:hAnsi="宋体" w:cs="宋体"/>
                <w:kern w:val="0"/>
              </w:rPr>
            </w:pPr>
          </w:p>
        </w:tc>
      </w:tr>
      <w:tr w14:paraId="1BF3E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772B2A56">
            <w:pPr>
              <w:widowControl/>
              <w:jc w:val="left"/>
              <w:rPr>
                <w:rFonts w:ascii="宋体" w:hAnsi="宋体" w:cs="宋体"/>
                <w:kern w:val="0"/>
              </w:rPr>
            </w:pPr>
          </w:p>
        </w:tc>
        <w:tc>
          <w:tcPr>
            <w:tcW w:w="633" w:type="pct"/>
            <w:vMerge w:val="continue"/>
            <w:vAlign w:val="center"/>
          </w:tcPr>
          <w:p w14:paraId="74853D9C">
            <w:pPr>
              <w:widowControl/>
              <w:jc w:val="left"/>
              <w:rPr>
                <w:rFonts w:ascii="宋体" w:hAnsi="宋体" w:cs="宋体"/>
                <w:kern w:val="0"/>
              </w:rPr>
            </w:pPr>
          </w:p>
        </w:tc>
        <w:tc>
          <w:tcPr>
            <w:tcW w:w="3201" w:type="pct"/>
            <w:vAlign w:val="center"/>
          </w:tcPr>
          <w:p w14:paraId="35C10D4C">
            <w:pPr>
              <w:widowControl/>
              <w:rPr>
                <w:rFonts w:ascii="宋体" w:hAnsi="宋体" w:cs="宋体"/>
                <w:kern w:val="0"/>
              </w:rPr>
            </w:pPr>
            <w:r>
              <w:rPr>
                <w:rFonts w:hint="eastAsia" w:ascii="宋体" w:hAnsi="宋体" w:cs="宋体"/>
                <w:kern w:val="0"/>
              </w:rPr>
              <w:t>（3）行车制动与驻车制动的控制装置相互独立。</w:t>
            </w:r>
          </w:p>
        </w:tc>
        <w:tc>
          <w:tcPr>
            <w:tcW w:w="391" w:type="pct"/>
            <w:noWrap/>
            <w:vAlign w:val="bottom"/>
          </w:tcPr>
          <w:p w14:paraId="7EB17214">
            <w:pPr>
              <w:widowControl/>
              <w:jc w:val="center"/>
              <w:rPr>
                <w:rFonts w:ascii="宋体" w:hAnsi="宋体" w:cs="宋体"/>
                <w:kern w:val="0"/>
              </w:rPr>
            </w:pPr>
          </w:p>
        </w:tc>
        <w:tc>
          <w:tcPr>
            <w:tcW w:w="397" w:type="pct"/>
            <w:noWrap/>
            <w:vAlign w:val="bottom"/>
          </w:tcPr>
          <w:p w14:paraId="02301B49">
            <w:pPr>
              <w:widowControl/>
              <w:jc w:val="center"/>
              <w:rPr>
                <w:rFonts w:ascii="宋体" w:hAnsi="宋体" w:cs="宋体"/>
                <w:kern w:val="0"/>
              </w:rPr>
            </w:pPr>
          </w:p>
        </w:tc>
      </w:tr>
      <w:tr w14:paraId="7487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6E244EEB">
            <w:pPr>
              <w:widowControl/>
              <w:jc w:val="left"/>
              <w:rPr>
                <w:rFonts w:ascii="宋体" w:hAnsi="宋体" w:cs="宋体"/>
                <w:kern w:val="0"/>
              </w:rPr>
            </w:pPr>
          </w:p>
        </w:tc>
        <w:tc>
          <w:tcPr>
            <w:tcW w:w="633" w:type="pct"/>
            <w:vMerge w:val="continue"/>
            <w:vAlign w:val="center"/>
          </w:tcPr>
          <w:p w14:paraId="2542352F">
            <w:pPr>
              <w:widowControl/>
              <w:jc w:val="left"/>
              <w:rPr>
                <w:rFonts w:ascii="宋体" w:hAnsi="宋体" w:cs="宋体"/>
                <w:kern w:val="0"/>
              </w:rPr>
            </w:pPr>
          </w:p>
        </w:tc>
        <w:tc>
          <w:tcPr>
            <w:tcW w:w="3201" w:type="pct"/>
            <w:vAlign w:val="center"/>
          </w:tcPr>
          <w:p w14:paraId="58F84034">
            <w:pPr>
              <w:widowControl/>
              <w:rPr>
                <w:rFonts w:ascii="宋体" w:hAnsi="宋体" w:cs="宋体"/>
                <w:kern w:val="0"/>
              </w:rPr>
            </w:pPr>
            <w:r>
              <w:rPr>
                <w:rFonts w:hint="eastAsia" w:ascii="宋体" w:hAnsi="宋体" w:cs="宋体"/>
                <w:kern w:val="0"/>
              </w:rPr>
              <w:t>（4）行车制动系统应当采用双管路或者多管路。</w:t>
            </w:r>
          </w:p>
        </w:tc>
        <w:tc>
          <w:tcPr>
            <w:tcW w:w="391" w:type="pct"/>
            <w:noWrap/>
            <w:vAlign w:val="bottom"/>
          </w:tcPr>
          <w:p w14:paraId="3595F33C">
            <w:pPr>
              <w:widowControl/>
              <w:jc w:val="center"/>
              <w:rPr>
                <w:rFonts w:ascii="宋体" w:hAnsi="宋体" w:cs="宋体"/>
                <w:kern w:val="0"/>
              </w:rPr>
            </w:pPr>
          </w:p>
        </w:tc>
        <w:tc>
          <w:tcPr>
            <w:tcW w:w="397" w:type="pct"/>
            <w:noWrap/>
            <w:vAlign w:val="bottom"/>
          </w:tcPr>
          <w:p w14:paraId="641DB6A2">
            <w:pPr>
              <w:widowControl/>
              <w:jc w:val="center"/>
              <w:rPr>
                <w:rFonts w:ascii="宋体" w:hAnsi="宋体" w:cs="宋体"/>
                <w:kern w:val="0"/>
              </w:rPr>
            </w:pPr>
          </w:p>
        </w:tc>
      </w:tr>
      <w:tr w14:paraId="6EB2A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78" w:type="pct"/>
            <w:vMerge w:val="continue"/>
            <w:vAlign w:val="center"/>
          </w:tcPr>
          <w:p w14:paraId="47E6A100">
            <w:pPr>
              <w:widowControl/>
              <w:jc w:val="left"/>
              <w:rPr>
                <w:rFonts w:ascii="宋体" w:hAnsi="宋体" w:cs="宋体"/>
                <w:kern w:val="0"/>
              </w:rPr>
            </w:pPr>
          </w:p>
        </w:tc>
        <w:tc>
          <w:tcPr>
            <w:tcW w:w="633" w:type="pct"/>
            <w:vMerge w:val="continue"/>
            <w:vAlign w:val="center"/>
          </w:tcPr>
          <w:p w14:paraId="4A42FEF6">
            <w:pPr>
              <w:widowControl/>
              <w:jc w:val="left"/>
              <w:rPr>
                <w:rFonts w:ascii="宋体" w:hAnsi="宋体" w:cs="宋体"/>
                <w:kern w:val="0"/>
              </w:rPr>
            </w:pPr>
          </w:p>
        </w:tc>
        <w:tc>
          <w:tcPr>
            <w:tcW w:w="3201" w:type="pct"/>
            <w:vAlign w:val="center"/>
          </w:tcPr>
          <w:p w14:paraId="72AB8467">
            <w:pPr>
              <w:widowControl/>
              <w:rPr>
                <w:rFonts w:ascii="宋体" w:hAnsi="宋体" w:cs="宋体"/>
                <w:kern w:val="0"/>
              </w:rPr>
            </w:pPr>
            <w:r>
              <w:rPr>
                <w:rFonts w:hint="eastAsia" w:ascii="宋体" w:hAnsi="宋体" w:cs="宋体"/>
                <w:kern w:val="0"/>
              </w:rPr>
              <w:t>（5）所有车轮上均应设置行车制动装置，并且由司机直接操控。</w:t>
            </w:r>
          </w:p>
        </w:tc>
        <w:tc>
          <w:tcPr>
            <w:tcW w:w="391" w:type="pct"/>
            <w:noWrap/>
            <w:vAlign w:val="bottom"/>
          </w:tcPr>
          <w:p w14:paraId="77BF7D2C">
            <w:pPr>
              <w:widowControl/>
              <w:jc w:val="center"/>
              <w:rPr>
                <w:rFonts w:ascii="宋体" w:hAnsi="宋体" w:cs="宋体"/>
                <w:kern w:val="0"/>
              </w:rPr>
            </w:pPr>
          </w:p>
        </w:tc>
        <w:tc>
          <w:tcPr>
            <w:tcW w:w="397" w:type="pct"/>
            <w:noWrap/>
            <w:vAlign w:val="bottom"/>
          </w:tcPr>
          <w:p w14:paraId="167EEDF2">
            <w:pPr>
              <w:widowControl/>
              <w:jc w:val="center"/>
              <w:rPr>
                <w:rFonts w:ascii="宋体" w:hAnsi="宋体" w:cs="宋体"/>
                <w:kern w:val="0"/>
              </w:rPr>
            </w:pPr>
          </w:p>
        </w:tc>
      </w:tr>
      <w:tr w14:paraId="22A4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8" w:type="pct"/>
            <w:vMerge w:val="continue"/>
            <w:vAlign w:val="center"/>
          </w:tcPr>
          <w:p w14:paraId="702AC073">
            <w:pPr>
              <w:widowControl/>
              <w:jc w:val="left"/>
              <w:rPr>
                <w:rFonts w:ascii="宋体" w:hAnsi="宋体" w:cs="宋体"/>
                <w:kern w:val="0"/>
              </w:rPr>
            </w:pPr>
          </w:p>
        </w:tc>
        <w:tc>
          <w:tcPr>
            <w:tcW w:w="633" w:type="pct"/>
            <w:vMerge w:val="continue"/>
            <w:vAlign w:val="center"/>
          </w:tcPr>
          <w:p w14:paraId="5BCCA50A">
            <w:pPr>
              <w:widowControl/>
              <w:jc w:val="left"/>
              <w:rPr>
                <w:rFonts w:ascii="宋体" w:hAnsi="宋体" w:cs="宋体"/>
                <w:kern w:val="0"/>
              </w:rPr>
            </w:pPr>
          </w:p>
        </w:tc>
        <w:tc>
          <w:tcPr>
            <w:tcW w:w="3201" w:type="pct"/>
            <w:vAlign w:val="center"/>
          </w:tcPr>
          <w:p w14:paraId="382B4DA2">
            <w:pPr>
              <w:widowControl/>
              <w:rPr>
                <w:rFonts w:ascii="宋体" w:hAnsi="宋体" w:cs="宋体"/>
                <w:kern w:val="0"/>
              </w:rPr>
            </w:pPr>
            <w:r>
              <w:rPr>
                <w:rFonts w:hint="eastAsia" w:ascii="宋体" w:hAnsi="宋体" w:cs="宋体"/>
                <w:kern w:val="0"/>
              </w:rPr>
              <w:t>（6）驻车制动通过纯机械装置把工作部件锁止，司机在座位上就可以实现驻车制动。</w:t>
            </w:r>
          </w:p>
        </w:tc>
        <w:tc>
          <w:tcPr>
            <w:tcW w:w="391" w:type="pct"/>
            <w:noWrap/>
            <w:vAlign w:val="bottom"/>
          </w:tcPr>
          <w:p w14:paraId="56085A7B">
            <w:pPr>
              <w:widowControl/>
              <w:jc w:val="center"/>
              <w:rPr>
                <w:rFonts w:ascii="宋体" w:hAnsi="宋体" w:cs="宋体"/>
                <w:kern w:val="0"/>
              </w:rPr>
            </w:pPr>
          </w:p>
        </w:tc>
        <w:tc>
          <w:tcPr>
            <w:tcW w:w="397" w:type="pct"/>
            <w:noWrap/>
            <w:vAlign w:val="bottom"/>
          </w:tcPr>
          <w:p w14:paraId="0B41681D">
            <w:pPr>
              <w:widowControl/>
              <w:jc w:val="center"/>
              <w:rPr>
                <w:rFonts w:ascii="宋体" w:hAnsi="宋体" w:cs="宋体"/>
                <w:kern w:val="0"/>
              </w:rPr>
            </w:pPr>
          </w:p>
        </w:tc>
      </w:tr>
      <w:tr w14:paraId="09C4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378" w:type="pct"/>
            <w:vMerge w:val="continue"/>
            <w:vAlign w:val="center"/>
          </w:tcPr>
          <w:p w14:paraId="3D4D7E8F">
            <w:pPr>
              <w:widowControl/>
              <w:jc w:val="left"/>
              <w:rPr>
                <w:rFonts w:ascii="宋体" w:hAnsi="宋体" w:cs="宋体"/>
                <w:kern w:val="0"/>
              </w:rPr>
            </w:pPr>
          </w:p>
        </w:tc>
        <w:tc>
          <w:tcPr>
            <w:tcW w:w="633" w:type="pct"/>
            <w:vMerge w:val="continue"/>
            <w:vAlign w:val="center"/>
          </w:tcPr>
          <w:p w14:paraId="00724DEA">
            <w:pPr>
              <w:widowControl/>
              <w:jc w:val="left"/>
              <w:rPr>
                <w:rFonts w:ascii="宋体" w:hAnsi="宋体" w:cs="宋体"/>
                <w:kern w:val="0"/>
              </w:rPr>
            </w:pPr>
          </w:p>
        </w:tc>
        <w:tc>
          <w:tcPr>
            <w:tcW w:w="3201" w:type="pct"/>
            <w:vAlign w:val="center"/>
          </w:tcPr>
          <w:p w14:paraId="50FACDE6">
            <w:pPr>
              <w:widowControl/>
              <w:rPr>
                <w:rFonts w:ascii="宋体" w:hAnsi="宋体" w:cs="宋体"/>
                <w:kern w:val="0"/>
              </w:rPr>
            </w:pPr>
            <w:r>
              <w:rPr>
                <w:rFonts w:hint="eastAsia" w:ascii="宋体" w:hAnsi="宋体" w:cs="宋体"/>
                <w:kern w:val="0"/>
              </w:rPr>
              <w:t>（7）观光列车车厢与牵引车头意外脱离后，车厢应能自行制动，牵引车头的制动仍应有效。</w:t>
            </w:r>
          </w:p>
        </w:tc>
        <w:tc>
          <w:tcPr>
            <w:tcW w:w="391" w:type="pct"/>
            <w:noWrap/>
            <w:vAlign w:val="bottom"/>
          </w:tcPr>
          <w:p w14:paraId="158717CB">
            <w:pPr>
              <w:widowControl/>
              <w:jc w:val="center"/>
              <w:rPr>
                <w:rFonts w:ascii="宋体" w:hAnsi="宋体" w:cs="宋体"/>
                <w:kern w:val="0"/>
              </w:rPr>
            </w:pPr>
          </w:p>
        </w:tc>
        <w:tc>
          <w:tcPr>
            <w:tcW w:w="397" w:type="pct"/>
            <w:noWrap/>
            <w:vAlign w:val="bottom"/>
          </w:tcPr>
          <w:p w14:paraId="44001B4D">
            <w:pPr>
              <w:widowControl/>
              <w:jc w:val="center"/>
              <w:rPr>
                <w:rFonts w:ascii="宋体" w:hAnsi="宋体" w:cs="宋体"/>
                <w:kern w:val="0"/>
              </w:rPr>
            </w:pPr>
          </w:p>
        </w:tc>
      </w:tr>
      <w:tr w14:paraId="5389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378" w:type="pct"/>
            <w:vMerge w:val="continue"/>
            <w:vAlign w:val="center"/>
          </w:tcPr>
          <w:p w14:paraId="1F490F74">
            <w:pPr>
              <w:widowControl/>
              <w:jc w:val="left"/>
              <w:rPr>
                <w:rFonts w:ascii="宋体" w:hAnsi="宋体" w:cs="宋体"/>
                <w:kern w:val="0"/>
              </w:rPr>
            </w:pPr>
          </w:p>
        </w:tc>
        <w:tc>
          <w:tcPr>
            <w:tcW w:w="633" w:type="pct"/>
            <w:vMerge w:val="continue"/>
            <w:vAlign w:val="center"/>
          </w:tcPr>
          <w:p w14:paraId="24D4E619">
            <w:pPr>
              <w:widowControl/>
              <w:jc w:val="left"/>
              <w:rPr>
                <w:rFonts w:ascii="宋体" w:hAnsi="宋体" w:cs="宋体"/>
                <w:kern w:val="0"/>
              </w:rPr>
            </w:pPr>
          </w:p>
        </w:tc>
        <w:tc>
          <w:tcPr>
            <w:tcW w:w="3201" w:type="pct"/>
            <w:vAlign w:val="center"/>
          </w:tcPr>
          <w:p w14:paraId="433A288D">
            <w:pPr>
              <w:widowControl/>
              <w:rPr>
                <w:rFonts w:ascii="宋体" w:hAnsi="宋体" w:cs="宋体"/>
                <w:kern w:val="0"/>
              </w:rPr>
            </w:pPr>
            <w:r>
              <w:rPr>
                <w:rFonts w:hint="eastAsia" w:ascii="宋体" w:hAnsi="宋体" w:cs="宋体"/>
                <w:kern w:val="0"/>
              </w:rPr>
              <w:t>（8）液压式制动器的制动系统无漏油或者进入空气，气液综合式制动器的制动系统无漏油或者漏气。</w:t>
            </w:r>
          </w:p>
        </w:tc>
        <w:tc>
          <w:tcPr>
            <w:tcW w:w="391" w:type="pct"/>
            <w:noWrap/>
            <w:vAlign w:val="bottom"/>
          </w:tcPr>
          <w:p w14:paraId="41ACF663">
            <w:pPr>
              <w:widowControl/>
              <w:jc w:val="center"/>
              <w:rPr>
                <w:rFonts w:ascii="宋体" w:hAnsi="宋体" w:cs="宋体"/>
                <w:kern w:val="0"/>
              </w:rPr>
            </w:pPr>
          </w:p>
        </w:tc>
        <w:tc>
          <w:tcPr>
            <w:tcW w:w="397" w:type="pct"/>
            <w:noWrap/>
            <w:vAlign w:val="bottom"/>
          </w:tcPr>
          <w:p w14:paraId="0D18CB15">
            <w:pPr>
              <w:widowControl/>
              <w:jc w:val="center"/>
              <w:rPr>
                <w:rFonts w:ascii="宋体" w:hAnsi="宋体" w:cs="宋体"/>
                <w:kern w:val="0"/>
              </w:rPr>
            </w:pPr>
          </w:p>
        </w:tc>
      </w:tr>
      <w:tr w14:paraId="2D08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78" w:type="pct"/>
            <w:vMerge w:val="restart"/>
            <w:noWrap/>
            <w:vAlign w:val="center"/>
          </w:tcPr>
          <w:p w14:paraId="37DD03F0">
            <w:pPr>
              <w:pStyle w:val="230"/>
              <w:widowControl/>
              <w:ind w:left="420" w:hanging="420" w:firstLineChars="0"/>
              <w:jc w:val="center"/>
              <w:rPr>
                <w:rFonts w:ascii="宋体" w:hAnsi="宋体" w:cs="宋体"/>
                <w:kern w:val="0"/>
                <w:szCs w:val="21"/>
              </w:rPr>
            </w:pPr>
            <w:r>
              <w:rPr>
                <w:rFonts w:hint="eastAsia" w:ascii="宋体" w:hAnsi="宋体" w:cs="宋体"/>
                <w:kern w:val="0"/>
                <w:szCs w:val="21"/>
              </w:rPr>
              <w:t>13</w:t>
            </w:r>
          </w:p>
        </w:tc>
        <w:tc>
          <w:tcPr>
            <w:tcW w:w="633" w:type="pct"/>
            <w:vMerge w:val="restart"/>
            <w:vAlign w:val="center"/>
          </w:tcPr>
          <w:p w14:paraId="3DF3E537">
            <w:pPr>
              <w:widowControl/>
              <w:jc w:val="center"/>
              <w:rPr>
                <w:rFonts w:ascii="宋体" w:hAnsi="宋体" w:cs="宋体"/>
                <w:kern w:val="0"/>
              </w:rPr>
            </w:pPr>
            <w:r>
              <w:rPr>
                <w:rFonts w:hint="eastAsia" w:ascii="宋体" w:hAnsi="宋体" w:cs="宋体"/>
                <w:kern w:val="0"/>
              </w:rPr>
              <w:t>13</w:t>
            </w:r>
          </w:p>
          <w:p w14:paraId="05E08221">
            <w:pPr>
              <w:widowControl/>
              <w:jc w:val="center"/>
              <w:rPr>
                <w:rFonts w:ascii="宋体" w:hAnsi="宋体" w:cs="宋体"/>
                <w:kern w:val="0"/>
              </w:rPr>
            </w:pPr>
            <w:r>
              <w:rPr>
                <w:rFonts w:hint="eastAsia" w:ascii="宋体" w:hAnsi="宋体" w:cs="宋体"/>
                <w:kern w:val="0"/>
              </w:rPr>
              <w:t>电气与控制系统</w:t>
            </w:r>
          </w:p>
        </w:tc>
        <w:tc>
          <w:tcPr>
            <w:tcW w:w="3201" w:type="pct"/>
            <w:vAlign w:val="center"/>
          </w:tcPr>
          <w:p w14:paraId="4EDB3531">
            <w:pPr>
              <w:widowControl/>
              <w:rPr>
                <w:rFonts w:ascii="宋体" w:hAnsi="宋体" w:cs="宋体"/>
                <w:kern w:val="0"/>
              </w:rPr>
            </w:pPr>
            <w:r>
              <w:rPr>
                <w:rFonts w:hint="eastAsia" w:ascii="宋体" w:hAnsi="宋体" w:cs="宋体"/>
                <w:kern w:val="0"/>
              </w:rPr>
              <w:t>（1）电动车辆应设有非自动复位的紧急断电装置，且功能有效，该装置能使司机在电路失控时方便地切断所有驱动部件的电源。</w:t>
            </w:r>
          </w:p>
        </w:tc>
        <w:tc>
          <w:tcPr>
            <w:tcW w:w="391" w:type="pct"/>
            <w:noWrap/>
            <w:vAlign w:val="bottom"/>
          </w:tcPr>
          <w:p w14:paraId="4E32E38B">
            <w:pPr>
              <w:widowControl/>
              <w:jc w:val="center"/>
              <w:rPr>
                <w:rFonts w:ascii="宋体" w:hAnsi="宋体" w:cs="宋体"/>
                <w:kern w:val="0"/>
              </w:rPr>
            </w:pPr>
          </w:p>
        </w:tc>
        <w:tc>
          <w:tcPr>
            <w:tcW w:w="397" w:type="pct"/>
            <w:noWrap/>
            <w:vAlign w:val="bottom"/>
          </w:tcPr>
          <w:p w14:paraId="068522B0">
            <w:pPr>
              <w:widowControl/>
              <w:jc w:val="center"/>
              <w:rPr>
                <w:rFonts w:ascii="宋体" w:hAnsi="宋体" w:cs="宋体"/>
                <w:kern w:val="0"/>
              </w:rPr>
            </w:pPr>
          </w:p>
        </w:tc>
      </w:tr>
      <w:tr w14:paraId="30F7E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13F71C8A">
            <w:pPr>
              <w:widowControl/>
              <w:jc w:val="left"/>
              <w:rPr>
                <w:rFonts w:ascii="宋体" w:hAnsi="宋体" w:cs="宋体"/>
                <w:kern w:val="0"/>
              </w:rPr>
            </w:pPr>
          </w:p>
        </w:tc>
        <w:tc>
          <w:tcPr>
            <w:tcW w:w="633" w:type="pct"/>
            <w:vMerge w:val="continue"/>
            <w:vAlign w:val="center"/>
          </w:tcPr>
          <w:p w14:paraId="46BDB94B">
            <w:pPr>
              <w:widowControl/>
              <w:jc w:val="left"/>
              <w:rPr>
                <w:rFonts w:ascii="宋体" w:hAnsi="宋体" w:cs="宋体"/>
                <w:kern w:val="0"/>
              </w:rPr>
            </w:pPr>
          </w:p>
        </w:tc>
        <w:tc>
          <w:tcPr>
            <w:tcW w:w="3201" w:type="pct"/>
            <w:vAlign w:val="center"/>
          </w:tcPr>
          <w:p w14:paraId="5B03A4FB">
            <w:pPr>
              <w:widowControl/>
              <w:rPr>
                <w:rFonts w:ascii="宋体" w:hAnsi="宋体" w:cs="宋体"/>
                <w:kern w:val="0"/>
              </w:rPr>
            </w:pPr>
            <w:r>
              <w:rPr>
                <w:rFonts w:hint="eastAsia" w:ascii="宋体" w:hAnsi="宋体" w:cs="宋体"/>
                <w:kern w:val="0"/>
              </w:rPr>
              <w:t>（2）设置前照灯、制动灯和转向灯，且功能完好。</w:t>
            </w:r>
          </w:p>
        </w:tc>
        <w:tc>
          <w:tcPr>
            <w:tcW w:w="391" w:type="pct"/>
            <w:noWrap/>
            <w:vAlign w:val="bottom"/>
          </w:tcPr>
          <w:p w14:paraId="06723ADD">
            <w:pPr>
              <w:widowControl/>
              <w:jc w:val="center"/>
              <w:rPr>
                <w:rFonts w:ascii="宋体" w:hAnsi="宋体" w:cs="宋体"/>
                <w:kern w:val="0"/>
              </w:rPr>
            </w:pPr>
          </w:p>
        </w:tc>
        <w:tc>
          <w:tcPr>
            <w:tcW w:w="397" w:type="pct"/>
            <w:noWrap/>
            <w:vAlign w:val="bottom"/>
          </w:tcPr>
          <w:p w14:paraId="4C82B158">
            <w:pPr>
              <w:widowControl/>
              <w:jc w:val="center"/>
              <w:rPr>
                <w:rFonts w:ascii="宋体" w:hAnsi="宋体" w:cs="宋体"/>
                <w:kern w:val="0"/>
              </w:rPr>
            </w:pPr>
          </w:p>
        </w:tc>
      </w:tr>
      <w:tr w14:paraId="42673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378" w:type="pct"/>
            <w:vMerge w:val="continue"/>
            <w:vAlign w:val="center"/>
          </w:tcPr>
          <w:p w14:paraId="47E82057">
            <w:pPr>
              <w:widowControl/>
              <w:jc w:val="left"/>
              <w:rPr>
                <w:rFonts w:ascii="宋体" w:hAnsi="宋体" w:cs="宋体"/>
                <w:kern w:val="0"/>
              </w:rPr>
            </w:pPr>
          </w:p>
        </w:tc>
        <w:tc>
          <w:tcPr>
            <w:tcW w:w="633" w:type="pct"/>
            <w:vMerge w:val="continue"/>
            <w:vAlign w:val="center"/>
          </w:tcPr>
          <w:p w14:paraId="509F177F">
            <w:pPr>
              <w:widowControl/>
              <w:jc w:val="left"/>
              <w:rPr>
                <w:rFonts w:ascii="宋体" w:hAnsi="宋体" w:cs="宋体"/>
                <w:kern w:val="0"/>
              </w:rPr>
            </w:pPr>
          </w:p>
        </w:tc>
        <w:tc>
          <w:tcPr>
            <w:tcW w:w="3201" w:type="pct"/>
            <w:vAlign w:val="center"/>
          </w:tcPr>
          <w:p w14:paraId="5B0DFA27">
            <w:pPr>
              <w:widowControl/>
              <w:rPr>
                <w:rFonts w:ascii="宋体" w:hAnsi="宋体" w:cs="宋体"/>
                <w:kern w:val="0"/>
              </w:rPr>
            </w:pPr>
            <w:r>
              <w:rPr>
                <w:rFonts w:hint="eastAsia" w:ascii="宋体" w:hAnsi="宋体" w:cs="宋体"/>
                <w:kern w:val="0"/>
              </w:rPr>
              <w:t>（3）设置开关装置，需要由钥匙、密码或者磁卡等才能启动。</w:t>
            </w:r>
          </w:p>
        </w:tc>
        <w:tc>
          <w:tcPr>
            <w:tcW w:w="391" w:type="pct"/>
            <w:noWrap/>
            <w:vAlign w:val="bottom"/>
          </w:tcPr>
          <w:p w14:paraId="51D677FD">
            <w:pPr>
              <w:widowControl/>
              <w:jc w:val="center"/>
              <w:rPr>
                <w:rFonts w:ascii="宋体" w:hAnsi="宋体" w:cs="宋体"/>
                <w:kern w:val="0"/>
              </w:rPr>
            </w:pPr>
          </w:p>
        </w:tc>
        <w:tc>
          <w:tcPr>
            <w:tcW w:w="397" w:type="pct"/>
            <w:noWrap/>
            <w:vAlign w:val="bottom"/>
          </w:tcPr>
          <w:p w14:paraId="562A1E3B">
            <w:pPr>
              <w:widowControl/>
              <w:jc w:val="center"/>
              <w:rPr>
                <w:rFonts w:ascii="宋体" w:hAnsi="宋体" w:cs="宋体"/>
                <w:kern w:val="0"/>
              </w:rPr>
            </w:pPr>
          </w:p>
        </w:tc>
      </w:tr>
      <w:tr w14:paraId="7854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7CAE711D">
            <w:pPr>
              <w:widowControl/>
              <w:jc w:val="left"/>
              <w:rPr>
                <w:rFonts w:ascii="宋体" w:hAnsi="宋体" w:cs="宋体"/>
                <w:kern w:val="0"/>
              </w:rPr>
            </w:pPr>
          </w:p>
        </w:tc>
        <w:tc>
          <w:tcPr>
            <w:tcW w:w="633" w:type="pct"/>
            <w:vMerge w:val="continue"/>
            <w:vAlign w:val="center"/>
          </w:tcPr>
          <w:p w14:paraId="2F05AD3E">
            <w:pPr>
              <w:widowControl/>
              <w:jc w:val="left"/>
              <w:rPr>
                <w:rFonts w:ascii="宋体" w:hAnsi="宋体" w:cs="宋体"/>
                <w:kern w:val="0"/>
              </w:rPr>
            </w:pPr>
          </w:p>
        </w:tc>
        <w:tc>
          <w:tcPr>
            <w:tcW w:w="3201" w:type="pct"/>
            <w:vAlign w:val="center"/>
          </w:tcPr>
          <w:p w14:paraId="1A7FDA10">
            <w:pPr>
              <w:widowControl/>
              <w:rPr>
                <w:rFonts w:ascii="宋体" w:hAnsi="宋体" w:cs="宋体"/>
                <w:kern w:val="0"/>
              </w:rPr>
            </w:pPr>
            <w:r>
              <w:rPr>
                <w:rFonts w:hint="eastAsia" w:ascii="宋体" w:hAnsi="宋体" w:cs="宋体"/>
                <w:kern w:val="0"/>
              </w:rPr>
              <w:t>（4）电动车辆的电气系统采用双线制。</w:t>
            </w:r>
          </w:p>
        </w:tc>
        <w:tc>
          <w:tcPr>
            <w:tcW w:w="391" w:type="pct"/>
            <w:noWrap/>
            <w:vAlign w:val="bottom"/>
          </w:tcPr>
          <w:p w14:paraId="03B9FBAD">
            <w:pPr>
              <w:widowControl/>
              <w:jc w:val="center"/>
              <w:rPr>
                <w:rFonts w:ascii="宋体" w:hAnsi="宋体" w:cs="宋体"/>
                <w:kern w:val="0"/>
              </w:rPr>
            </w:pPr>
          </w:p>
        </w:tc>
        <w:tc>
          <w:tcPr>
            <w:tcW w:w="397" w:type="pct"/>
            <w:noWrap/>
            <w:vAlign w:val="bottom"/>
          </w:tcPr>
          <w:p w14:paraId="07D6E0A6">
            <w:pPr>
              <w:widowControl/>
              <w:jc w:val="center"/>
              <w:rPr>
                <w:rFonts w:ascii="宋体" w:hAnsi="宋体" w:cs="宋体"/>
                <w:kern w:val="0"/>
              </w:rPr>
            </w:pPr>
          </w:p>
        </w:tc>
      </w:tr>
      <w:tr w14:paraId="130D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78" w:type="pct"/>
            <w:vMerge w:val="continue"/>
            <w:vAlign w:val="center"/>
          </w:tcPr>
          <w:p w14:paraId="6B9337B4">
            <w:pPr>
              <w:widowControl/>
              <w:jc w:val="left"/>
              <w:rPr>
                <w:rFonts w:ascii="宋体" w:hAnsi="宋体" w:cs="宋体"/>
                <w:kern w:val="0"/>
              </w:rPr>
            </w:pPr>
          </w:p>
        </w:tc>
        <w:tc>
          <w:tcPr>
            <w:tcW w:w="633" w:type="pct"/>
            <w:vMerge w:val="continue"/>
            <w:vAlign w:val="center"/>
          </w:tcPr>
          <w:p w14:paraId="69C0AE60">
            <w:pPr>
              <w:widowControl/>
              <w:jc w:val="left"/>
              <w:rPr>
                <w:rFonts w:ascii="宋体" w:hAnsi="宋体" w:cs="宋体"/>
                <w:kern w:val="0"/>
              </w:rPr>
            </w:pPr>
          </w:p>
        </w:tc>
        <w:tc>
          <w:tcPr>
            <w:tcW w:w="3201" w:type="pct"/>
            <w:vAlign w:val="center"/>
          </w:tcPr>
          <w:p w14:paraId="7FB55AEB">
            <w:pPr>
              <w:widowControl/>
              <w:rPr>
                <w:rFonts w:ascii="宋体" w:hAnsi="宋体" w:cs="宋体"/>
                <w:kern w:val="0"/>
              </w:rPr>
            </w:pPr>
            <w:r>
              <w:rPr>
                <w:rFonts w:hint="eastAsia" w:ascii="宋体" w:hAnsi="宋体" w:cs="宋体"/>
                <w:kern w:val="0"/>
              </w:rPr>
              <w:t>（5）动力源为蓄电池的车辆充电时，电源与主电路应分离，车辆不能通过自身的驱动系统行驶；插接器应当有定向防护，防止插接器接反。</w:t>
            </w:r>
          </w:p>
        </w:tc>
        <w:tc>
          <w:tcPr>
            <w:tcW w:w="391" w:type="pct"/>
            <w:noWrap/>
            <w:vAlign w:val="bottom"/>
          </w:tcPr>
          <w:p w14:paraId="0EED3DF4">
            <w:pPr>
              <w:widowControl/>
              <w:jc w:val="center"/>
              <w:rPr>
                <w:rFonts w:ascii="宋体" w:hAnsi="宋体" w:cs="宋体"/>
                <w:kern w:val="0"/>
              </w:rPr>
            </w:pPr>
          </w:p>
        </w:tc>
        <w:tc>
          <w:tcPr>
            <w:tcW w:w="397" w:type="pct"/>
            <w:noWrap/>
            <w:vAlign w:val="bottom"/>
          </w:tcPr>
          <w:p w14:paraId="2803DCD7">
            <w:pPr>
              <w:widowControl/>
              <w:jc w:val="center"/>
              <w:rPr>
                <w:rFonts w:ascii="宋体" w:hAnsi="宋体" w:cs="宋体"/>
                <w:kern w:val="0"/>
              </w:rPr>
            </w:pPr>
          </w:p>
        </w:tc>
      </w:tr>
      <w:tr w14:paraId="4C21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378" w:type="pct"/>
            <w:vMerge w:val="restart"/>
            <w:noWrap/>
            <w:vAlign w:val="center"/>
          </w:tcPr>
          <w:p w14:paraId="44AA0843">
            <w:pPr>
              <w:pStyle w:val="230"/>
              <w:widowControl/>
              <w:ind w:left="420" w:hanging="420" w:firstLineChars="0"/>
              <w:jc w:val="center"/>
              <w:rPr>
                <w:rFonts w:ascii="宋体" w:hAnsi="宋体" w:cs="宋体"/>
                <w:kern w:val="0"/>
                <w:szCs w:val="21"/>
              </w:rPr>
            </w:pPr>
            <w:r>
              <w:rPr>
                <w:rFonts w:hint="eastAsia" w:ascii="宋体" w:hAnsi="宋体" w:cs="宋体"/>
                <w:kern w:val="0"/>
                <w:szCs w:val="21"/>
              </w:rPr>
              <w:t>14</w:t>
            </w:r>
          </w:p>
        </w:tc>
        <w:tc>
          <w:tcPr>
            <w:tcW w:w="633" w:type="pct"/>
            <w:vMerge w:val="restart"/>
            <w:vAlign w:val="center"/>
          </w:tcPr>
          <w:p w14:paraId="531605B6">
            <w:pPr>
              <w:widowControl/>
              <w:jc w:val="center"/>
              <w:rPr>
                <w:rFonts w:ascii="宋体" w:hAnsi="宋体" w:cs="宋体"/>
                <w:kern w:val="0"/>
              </w:rPr>
            </w:pPr>
            <w:r>
              <w:rPr>
                <w:rFonts w:hint="eastAsia" w:ascii="宋体" w:hAnsi="宋体" w:cs="宋体"/>
                <w:kern w:val="0"/>
              </w:rPr>
              <w:t>14</w:t>
            </w:r>
            <w:r>
              <w:rPr>
                <w:rFonts w:hint="eastAsia" w:ascii="宋体" w:hAnsi="宋体" w:cs="宋体"/>
                <w:kern w:val="0"/>
              </w:rPr>
              <w:br w:type="textWrapping"/>
            </w:r>
            <w:r>
              <w:rPr>
                <w:rFonts w:hint="eastAsia" w:ascii="宋体" w:hAnsi="宋体" w:cs="宋体"/>
                <w:kern w:val="0"/>
              </w:rPr>
              <w:t>安全保护</w:t>
            </w:r>
            <w:r>
              <w:rPr>
                <w:rFonts w:hint="eastAsia" w:ascii="宋体" w:hAnsi="宋体" w:cs="宋体"/>
                <w:kern w:val="0"/>
              </w:rPr>
              <w:br w:type="textWrapping"/>
            </w:r>
            <w:r>
              <w:rPr>
                <w:rFonts w:hint="eastAsia" w:ascii="宋体" w:hAnsi="宋体" w:cs="宋体"/>
                <w:kern w:val="0"/>
              </w:rPr>
              <w:t>与防护装</w:t>
            </w:r>
            <w:r>
              <w:rPr>
                <w:rFonts w:hint="eastAsia" w:ascii="宋体" w:hAnsi="宋体" w:cs="宋体"/>
                <w:kern w:val="0"/>
              </w:rPr>
              <w:br w:type="textWrapping"/>
            </w:r>
            <w:r>
              <w:rPr>
                <w:rFonts w:hint="eastAsia" w:ascii="宋体" w:hAnsi="宋体" w:cs="宋体"/>
                <w:kern w:val="0"/>
              </w:rPr>
              <w:t>置</w:t>
            </w:r>
          </w:p>
        </w:tc>
        <w:tc>
          <w:tcPr>
            <w:tcW w:w="3201" w:type="pct"/>
            <w:vAlign w:val="center"/>
          </w:tcPr>
          <w:p w14:paraId="0C54F19C">
            <w:pPr>
              <w:widowControl/>
              <w:rPr>
                <w:rFonts w:ascii="宋体" w:hAnsi="宋体" w:cs="宋体"/>
                <w:kern w:val="0"/>
              </w:rPr>
            </w:pPr>
            <w:r>
              <w:rPr>
                <w:rFonts w:hint="eastAsia" w:ascii="宋体" w:hAnsi="宋体" w:cs="宋体"/>
                <w:kern w:val="0"/>
              </w:rPr>
              <w:t>（1）设置的具有连续发声功能的音响装置（如喇叭）和倒车声音警告装置有效。</w:t>
            </w:r>
          </w:p>
        </w:tc>
        <w:tc>
          <w:tcPr>
            <w:tcW w:w="391" w:type="pct"/>
            <w:noWrap/>
            <w:vAlign w:val="bottom"/>
          </w:tcPr>
          <w:p w14:paraId="06825BFC">
            <w:pPr>
              <w:widowControl/>
              <w:jc w:val="center"/>
              <w:rPr>
                <w:rFonts w:ascii="宋体" w:hAnsi="宋体" w:cs="宋体"/>
                <w:kern w:val="0"/>
              </w:rPr>
            </w:pPr>
          </w:p>
        </w:tc>
        <w:tc>
          <w:tcPr>
            <w:tcW w:w="397" w:type="pct"/>
            <w:noWrap/>
            <w:vAlign w:val="bottom"/>
          </w:tcPr>
          <w:p w14:paraId="70ECEF7F">
            <w:pPr>
              <w:widowControl/>
              <w:jc w:val="center"/>
              <w:rPr>
                <w:rFonts w:ascii="宋体" w:hAnsi="宋体" w:cs="宋体"/>
                <w:kern w:val="0"/>
              </w:rPr>
            </w:pPr>
          </w:p>
        </w:tc>
      </w:tr>
      <w:tr w14:paraId="66F0A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013F6D90">
            <w:pPr>
              <w:widowControl/>
              <w:jc w:val="left"/>
              <w:rPr>
                <w:rFonts w:ascii="宋体" w:hAnsi="宋体" w:cs="宋体"/>
                <w:kern w:val="0"/>
              </w:rPr>
            </w:pPr>
          </w:p>
        </w:tc>
        <w:tc>
          <w:tcPr>
            <w:tcW w:w="633" w:type="pct"/>
            <w:vMerge w:val="continue"/>
            <w:vAlign w:val="center"/>
          </w:tcPr>
          <w:p w14:paraId="3BB9A983">
            <w:pPr>
              <w:widowControl/>
              <w:jc w:val="left"/>
              <w:rPr>
                <w:rFonts w:ascii="宋体" w:hAnsi="宋体" w:cs="宋体"/>
                <w:kern w:val="0"/>
              </w:rPr>
            </w:pPr>
          </w:p>
        </w:tc>
        <w:tc>
          <w:tcPr>
            <w:tcW w:w="3201" w:type="pct"/>
            <w:vAlign w:val="center"/>
          </w:tcPr>
          <w:p w14:paraId="23EAA761">
            <w:pPr>
              <w:widowControl/>
              <w:rPr>
                <w:rFonts w:ascii="宋体" w:hAnsi="宋体" w:cs="宋体"/>
                <w:kern w:val="0"/>
              </w:rPr>
            </w:pPr>
            <w:r>
              <w:rPr>
                <w:rFonts w:hint="eastAsia" w:ascii="宋体" w:hAnsi="宋体" w:cs="宋体"/>
                <w:kern w:val="0"/>
              </w:rPr>
              <w:t>（2）每位乘客配备防护约束装置（如安全带）有效。</w:t>
            </w:r>
          </w:p>
        </w:tc>
        <w:tc>
          <w:tcPr>
            <w:tcW w:w="391" w:type="pct"/>
            <w:noWrap/>
            <w:vAlign w:val="bottom"/>
          </w:tcPr>
          <w:p w14:paraId="5FCE4A06">
            <w:pPr>
              <w:widowControl/>
              <w:jc w:val="center"/>
              <w:rPr>
                <w:rFonts w:ascii="宋体" w:hAnsi="宋体" w:cs="宋体"/>
                <w:kern w:val="0"/>
              </w:rPr>
            </w:pPr>
          </w:p>
        </w:tc>
        <w:tc>
          <w:tcPr>
            <w:tcW w:w="397" w:type="pct"/>
            <w:noWrap/>
            <w:vAlign w:val="bottom"/>
          </w:tcPr>
          <w:p w14:paraId="697A1EC7">
            <w:pPr>
              <w:widowControl/>
              <w:jc w:val="center"/>
              <w:rPr>
                <w:rFonts w:ascii="宋体" w:hAnsi="宋体" w:cs="宋体"/>
                <w:kern w:val="0"/>
              </w:rPr>
            </w:pPr>
          </w:p>
        </w:tc>
      </w:tr>
      <w:tr w14:paraId="4352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378" w:type="pct"/>
            <w:vMerge w:val="continue"/>
            <w:vAlign w:val="center"/>
          </w:tcPr>
          <w:p w14:paraId="1EF53C54">
            <w:pPr>
              <w:widowControl/>
              <w:jc w:val="left"/>
              <w:rPr>
                <w:rFonts w:ascii="宋体" w:hAnsi="宋体" w:cs="宋体"/>
                <w:kern w:val="0"/>
              </w:rPr>
            </w:pPr>
          </w:p>
        </w:tc>
        <w:tc>
          <w:tcPr>
            <w:tcW w:w="633" w:type="pct"/>
            <w:vMerge w:val="continue"/>
            <w:vAlign w:val="center"/>
          </w:tcPr>
          <w:p w14:paraId="66E62866">
            <w:pPr>
              <w:widowControl/>
              <w:jc w:val="left"/>
              <w:rPr>
                <w:rFonts w:ascii="宋体" w:hAnsi="宋体" w:cs="宋体"/>
                <w:kern w:val="0"/>
              </w:rPr>
            </w:pPr>
          </w:p>
        </w:tc>
        <w:tc>
          <w:tcPr>
            <w:tcW w:w="3201" w:type="pct"/>
            <w:vAlign w:val="center"/>
          </w:tcPr>
          <w:p w14:paraId="184B4555">
            <w:pPr>
              <w:widowControl/>
              <w:rPr>
                <w:rFonts w:ascii="宋体" w:hAnsi="宋体" w:cs="宋体"/>
                <w:kern w:val="0"/>
              </w:rPr>
            </w:pPr>
            <w:r>
              <w:rPr>
                <w:rFonts w:hint="eastAsia" w:ascii="宋体" w:hAnsi="宋体" w:cs="宋体"/>
                <w:kern w:val="0"/>
              </w:rPr>
              <w:t>（3）每位乘客设有安全拉手，靠近车体边缘的乘客有安全实用的扶手，扶手距离座椅上表面高度不低于180mm。</w:t>
            </w:r>
          </w:p>
        </w:tc>
        <w:tc>
          <w:tcPr>
            <w:tcW w:w="391" w:type="pct"/>
            <w:noWrap/>
            <w:vAlign w:val="bottom"/>
          </w:tcPr>
          <w:p w14:paraId="547FF79C">
            <w:pPr>
              <w:widowControl/>
              <w:jc w:val="center"/>
              <w:rPr>
                <w:rFonts w:ascii="宋体" w:hAnsi="宋体" w:cs="宋体"/>
                <w:kern w:val="0"/>
              </w:rPr>
            </w:pPr>
          </w:p>
        </w:tc>
        <w:tc>
          <w:tcPr>
            <w:tcW w:w="397" w:type="pct"/>
            <w:noWrap/>
            <w:vAlign w:val="bottom"/>
          </w:tcPr>
          <w:p w14:paraId="22B6B7EE">
            <w:pPr>
              <w:widowControl/>
              <w:jc w:val="center"/>
              <w:rPr>
                <w:rFonts w:ascii="宋体" w:hAnsi="宋体" w:cs="宋体"/>
                <w:kern w:val="0"/>
              </w:rPr>
            </w:pPr>
          </w:p>
        </w:tc>
      </w:tr>
      <w:tr w14:paraId="4AC9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78" w:type="pct"/>
            <w:vMerge w:val="continue"/>
            <w:vAlign w:val="center"/>
          </w:tcPr>
          <w:p w14:paraId="72CDF87D">
            <w:pPr>
              <w:widowControl/>
              <w:jc w:val="left"/>
              <w:rPr>
                <w:rFonts w:ascii="宋体" w:hAnsi="宋体" w:cs="宋体"/>
                <w:kern w:val="0"/>
              </w:rPr>
            </w:pPr>
          </w:p>
        </w:tc>
        <w:tc>
          <w:tcPr>
            <w:tcW w:w="633" w:type="pct"/>
            <w:vMerge w:val="continue"/>
            <w:vAlign w:val="center"/>
          </w:tcPr>
          <w:p w14:paraId="6E760FB9">
            <w:pPr>
              <w:widowControl/>
              <w:jc w:val="left"/>
              <w:rPr>
                <w:rFonts w:ascii="宋体" w:hAnsi="宋体" w:cs="宋体"/>
                <w:kern w:val="0"/>
              </w:rPr>
            </w:pPr>
          </w:p>
        </w:tc>
        <w:tc>
          <w:tcPr>
            <w:tcW w:w="3201" w:type="pct"/>
            <w:vAlign w:val="center"/>
          </w:tcPr>
          <w:p w14:paraId="191DCDD5">
            <w:pPr>
              <w:widowControl/>
              <w:rPr>
                <w:rFonts w:ascii="宋体" w:hAnsi="宋体" w:cs="宋体"/>
                <w:kern w:val="0"/>
              </w:rPr>
            </w:pPr>
            <w:r>
              <w:rPr>
                <w:rFonts w:hint="eastAsia" w:ascii="宋体" w:hAnsi="宋体" w:cs="宋体"/>
                <w:kern w:val="0"/>
              </w:rPr>
              <w:t>（4）车辆侧面的乘客上下车出入口处设置护栏、侧围或者护链等安全防护装置。</w:t>
            </w:r>
          </w:p>
        </w:tc>
        <w:tc>
          <w:tcPr>
            <w:tcW w:w="391" w:type="pct"/>
            <w:noWrap/>
            <w:vAlign w:val="bottom"/>
          </w:tcPr>
          <w:p w14:paraId="10D6A8E6">
            <w:pPr>
              <w:widowControl/>
              <w:jc w:val="center"/>
              <w:rPr>
                <w:rFonts w:ascii="宋体" w:hAnsi="宋体" w:cs="宋体"/>
                <w:kern w:val="0"/>
              </w:rPr>
            </w:pPr>
          </w:p>
        </w:tc>
        <w:tc>
          <w:tcPr>
            <w:tcW w:w="397" w:type="pct"/>
            <w:noWrap/>
            <w:vAlign w:val="bottom"/>
          </w:tcPr>
          <w:p w14:paraId="7260C8C6">
            <w:pPr>
              <w:widowControl/>
              <w:jc w:val="center"/>
              <w:rPr>
                <w:rFonts w:ascii="宋体" w:hAnsi="宋体" w:cs="宋体"/>
                <w:kern w:val="0"/>
              </w:rPr>
            </w:pPr>
          </w:p>
        </w:tc>
      </w:tr>
      <w:tr w14:paraId="530E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317B7F9F">
            <w:pPr>
              <w:widowControl/>
              <w:jc w:val="left"/>
              <w:rPr>
                <w:rFonts w:ascii="宋体" w:hAnsi="宋体" w:cs="宋体"/>
                <w:kern w:val="0"/>
              </w:rPr>
            </w:pPr>
          </w:p>
        </w:tc>
        <w:tc>
          <w:tcPr>
            <w:tcW w:w="633" w:type="pct"/>
            <w:vMerge w:val="continue"/>
            <w:vAlign w:val="center"/>
          </w:tcPr>
          <w:p w14:paraId="029E5BEA">
            <w:pPr>
              <w:widowControl/>
              <w:jc w:val="left"/>
              <w:rPr>
                <w:rFonts w:ascii="宋体" w:hAnsi="宋体" w:cs="宋体"/>
                <w:kern w:val="0"/>
              </w:rPr>
            </w:pPr>
          </w:p>
        </w:tc>
        <w:tc>
          <w:tcPr>
            <w:tcW w:w="3201" w:type="pct"/>
            <w:vAlign w:val="center"/>
          </w:tcPr>
          <w:p w14:paraId="5B8E2356">
            <w:pPr>
              <w:widowControl/>
              <w:rPr>
                <w:rFonts w:ascii="宋体" w:hAnsi="宋体" w:cs="宋体"/>
                <w:kern w:val="0"/>
              </w:rPr>
            </w:pPr>
            <w:r>
              <w:rPr>
                <w:rFonts w:hint="eastAsia" w:ascii="宋体" w:hAnsi="宋体" w:cs="宋体"/>
                <w:kern w:val="0"/>
              </w:rPr>
              <w:t>（5）与运行方向相反布置、位于车辆最后部的乘客座位装设保护围栏等安全防护装置。</w:t>
            </w:r>
          </w:p>
        </w:tc>
        <w:tc>
          <w:tcPr>
            <w:tcW w:w="391" w:type="pct"/>
            <w:noWrap/>
            <w:vAlign w:val="bottom"/>
          </w:tcPr>
          <w:p w14:paraId="7D8693B6">
            <w:pPr>
              <w:widowControl/>
              <w:jc w:val="center"/>
              <w:rPr>
                <w:rFonts w:ascii="宋体" w:hAnsi="宋体" w:cs="宋体"/>
                <w:kern w:val="0"/>
              </w:rPr>
            </w:pPr>
          </w:p>
        </w:tc>
        <w:tc>
          <w:tcPr>
            <w:tcW w:w="397" w:type="pct"/>
            <w:noWrap/>
            <w:vAlign w:val="bottom"/>
          </w:tcPr>
          <w:p w14:paraId="58F2232E">
            <w:pPr>
              <w:widowControl/>
              <w:jc w:val="center"/>
              <w:rPr>
                <w:rFonts w:ascii="宋体" w:hAnsi="宋体" w:cs="宋体"/>
                <w:kern w:val="0"/>
              </w:rPr>
            </w:pPr>
          </w:p>
        </w:tc>
      </w:tr>
      <w:tr w14:paraId="69EB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6BF52366">
            <w:pPr>
              <w:widowControl/>
              <w:jc w:val="left"/>
              <w:rPr>
                <w:rFonts w:ascii="宋体" w:hAnsi="宋体" w:cs="宋体"/>
                <w:kern w:val="0"/>
              </w:rPr>
            </w:pPr>
          </w:p>
        </w:tc>
        <w:tc>
          <w:tcPr>
            <w:tcW w:w="633" w:type="pct"/>
            <w:vMerge w:val="continue"/>
            <w:vAlign w:val="center"/>
          </w:tcPr>
          <w:p w14:paraId="76F5B428">
            <w:pPr>
              <w:widowControl/>
              <w:jc w:val="left"/>
              <w:rPr>
                <w:rFonts w:ascii="宋体" w:hAnsi="宋体" w:cs="宋体"/>
                <w:kern w:val="0"/>
              </w:rPr>
            </w:pPr>
          </w:p>
        </w:tc>
        <w:tc>
          <w:tcPr>
            <w:tcW w:w="3201" w:type="pct"/>
            <w:vAlign w:val="center"/>
          </w:tcPr>
          <w:p w14:paraId="27DA02E9">
            <w:pPr>
              <w:widowControl/>
              <w:rPr>
                <w:rFonts w:ascii="宋体" w:hAnsi="宋体" w:cs="宋体"/>
                <w:kern w:val="0"/>
              </w:rPr>
            </w:pPr>
            <w:r>
              <w:rPr>
                <w:rFonts w:hint="eastAsia" w:ascii="宋体" w:hAnsi="宋体" w:cs="宋体"/>
                <w:kern w:val="0"/>
              </w:rPr>
              <w:t>（6）车辆在左右各设置一面后视镜，后视镜应当固定牢靠，完整无损。</w:t>
            </w:r>
          </w:p>
        </w:tc>
        <w:tc>
          <w:tcPr>
            <w:tcW w:w="391" w:type="pct"/>
            <w:vAlign w:val="bottom"/>
          </w:tcPr>
          <w:p w14:paraId="1F5B6805">
            <w:pPr>
              <w:widowControl/>
              <w:jc w:val="center"/>
              <w:rPr>
                <w:rFonts w:ascii="宋体" w:hAnsi="宋体" w:cs="宋体"/>
                <w:kern w:val="0"/>
              </w:rPr>
            </w:pPr>
          </w:p>
        </w:tc>
        <w:tc>
          <w:tcPr>
            <w:tcW w:w="397" w:type="pct"/>
            <w:vAlign w:val="bottom"/>
          </w:tcPr>
          <w:p w14:paraId="4A40B534">
            <w:pPr>
              <w:widowControl/>
              <w:jc w:val="center"/>
              <w:rPr>
                <w:rFonts w:ascii="宋体" w:hAnsi="宋体" w:cs="宋体"/>
                <w:kern w:val="0"/>
              </w:rPr>
            </w:pPr>
          </w:p>
        </w:tc>
      </w:tr>
      <w:tr w14:paraId="6AA0C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48658A8B">
            <w:pPr>
              <w:widowControl/>
              <w:jc w:val="left"/>
              <w:rPr>
                <w:rFonts w:ascii="宋体" w:hAnsi="宋体" w:cs="宋体"/>
                <w:kern w:val="0"/>
              </w:rPr>
            </w:pPr>
          </w:p>
        </w:tc>
        <w:tc>
          <w:tcPr>
            <w:tcW w:w="633" w:type="pct"/>
            <w:vMerge w:val="continue"/>
            <w:vAlign w:val="center"/>
          </w:tcPr>
          <w:p w14:paraId="29797AFA">
            <w:pPr>
              <w:widowControl/>
              <w:jc w:val="left"/>
              <w:rPr>
                <w:rFonts w:ascii="宋体" w:hAnsi="宋体" w:cs="宋体"/>
                <w:kern w:val="0"/>
              </w:rPr>
            </w:pPr>
          </w:p>
        </w:tc>
        <w:tc>
          <w:tcPr>
            <w:tcW w:w="3201" w:type="pct"/>
            <w:vAlign w:val="center"/>
          </w:tcPr>
          <w:p w14:paraId="06603C94">
            <w:pPr>
              <w:widowControl/>
              <w:rPr>
                <w:rFonts w:ascii="宋体" w:hAnsi="宋体" w:cs="宋体"/>
                <w:kern w:val="0"/>
              </w:rPr>
            </w:pPr>
            <w:r>
              <w:rPr>
                <w:rFonts w:hint="eastAsia" w:ascii="宋体" w:hAnsi="宋体" w:cs="宋体"/>
                <w:kern w:val="0"/>
              </w:rPr>
              <w:t>（7）前风窗玻璃设置刮水器，刮水器应当能正常工作，且关闭时刮片应当能自动返回至初始位置。</w:t>
            </w:r>
          </w:p>
        </w:tc>
        <w:tc>
          <w:tcPr>
            <w:tcW w:w="391" w:type="pct"/>
            <w:vAlign w:val="bottom"/>
          </w:tcPr>
          <w:p w14:paraId="4DD8561D">
            <w:pPr>
              <w:widowControl/>
              <w:jc w:val="center"/>
              <w:rPr>
                <w:rFonts w:ascii="宋体" w:hAnsi="宋体" w:cs="宋体"/>
                <w:kern w:val="0"/>
              </w:rPr>
            </w:pPr>
          </w:p>
        </w:tc>
        <w:tc>
          <w:tcPr>
            <w:tcW w:w="397" w:type="pct"/>
            <w:vAlign w:val="bottom"/>
          </w:tcPr>
          <w:p w14:paraId="6AA7908D">
            <w:pPr>
              <w:widowControl/>
              <w:jc w:val="center"/>
              <w:rPr>
                <w:rFonts w:ascii="宋体" w:hAnsi="宋体" w:cs="宋体"/>
                <w:kern w:val="0"/>
              </w:rPr>
            </w:pPr>
          </w:p>
        </w:tc>
      </w:tr>
      <w:tr w14:paraId="13FE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5819FDD2">
            <w:pPr>
              <w:widowControl/>
              <w:jc w:val="left"/>
              <w:rPr>
                <w:rFonts w:ascii="宋体" w:hAnsi="宋体" w:cs="宋体"/>
                <w:kern w:val="0"/>
              </w:rPr>
            </w:pPr>
          </w:p>
        </w:tc>
        <w:tc>
          <w:tcPr>
            <w:tcW w:w="633" w:type="pct"/>
            <w:vMerge w:val="continue"/>
            <w:vAlign w:val="center"/>
          </w:tcPr>
          <w:p w14:paraId="1854C7EF">
            <w:pPr>
              <w:widowControl/>
              <w:jc w:val="left"/>
              <w:rPr>
                <w:rFonts w:ascii="宋体" w:hAnsi="宋体" w:cs="宋体"/>
                <w:kern w:val="0"/>
              </w:rPr>
            </w:pPr>
          </w:p>
        </w:tc>
        <w:tc>
          <w:tcPr>
            <w:tcW w:w="3201" w:type="pct"/>
            <w:vAlign w:val="center"/>
          </w:tcPr>
          <w:p w14:paraId="051452AF">
            <w:pPr>
              <w:widowControl/>
              <w:rPr>
                <w:rFonts w:ascii="宋体" w:hAnsi="宋体" w:cs="宋体"/>
                <w:kern w:val="0"/>
              </w:rPr>
            </w:pPr>
            <w:r>
              <w:rPr>
                <w:rFonts w:hint="eastAsia" w:ascii="宋体" w:hAnsi="宋体" w:cs="宋体"/>
                <w:kern w:val="0"/>
              </w:rPr>
              <w:t>（8）观光列车的最后一节车厢内，设置安全员专用座椅，并且设置安全员与司机双向沟通的装置。</w:t>
            </w:r>
          </w:p>
        </w:tc>
        <w:tc>
          <w:tcPr>
            <w:tcW w:w="391" w:type="pct"/>
            <w:vAlign w:val="bottom"/>
          </w:tcPr>
          <w:p w14:paraId="632A3796">
            <w:pPr>
              <w:widowControl/>
              <w:jc w:val="center"/>
              <w:rPr>
                <w:rFonts w:ascii="宋体" w:hAnsi="宋体" w:cs="宋体"/>
                <w:kern w:val="0"/>
              </w:rPr>
            </w:pPr>
          </w:p>
        </w:tc>
        <w:tc>
          <w:tcPr>
            <w:tcW w:w="397" w:type="pct"/>
            <w:vAlign w:val="bottom"/>
          </w:tcPr>
          <w:p w14:paraId="55C7D866">
            <w:pPr>
              <w:widowControl/>
              <w:jc w:val="center"/>
              <w:rPr>
                <w:rFonts w:ascii="宋体" w:hAnsi="宋体" w:cs="宋体"/>
                <w:kern w:val="0"/>
              </w:rPr>
            </w:pPr>
          </w:p>
        </w:tc>
      </w:tr>
      <w:tr w14:paraId="7EAD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378" w:type="pct"/>
            <w:noWrap/>
            <w:vAlign w:val="center"/>
          </w:tcPr>
          <w:p w14:paraId="62758342">
            <w:pPr>
              <w:pStyle w:val="230"/>
              <w:widowControl/>
              <w:ind w:left="420" w:hanging="420" w:firstLineChars="0"/>
              <w:jc w:val="center"/>
              <w:rPr>
                <w:rFonts w:ascii="宋体" w:hAnsi="宋体" w:cs="宋体"/>
                <w:kern w:val="0"/>
                <w:szCs w:val="21"/>
              </w:rPr>
            </w:pPr>
            <w:r>
              <w:rPr>
                <w:rFonts w:hint="eastAsia" w:ascii="宋体" w:hAnsi="宋体" w:cs="宋体"/>
                <w:kern w:val="0"/>
                <w:szCs w:val="21"/>
              </w:rPr>
              <w:t>15</w:t>
            </w:r>
          </w:p>
        </w:tc>
        <w:tc>
          <w:tcPr>
            <w:tcW w:w="633" w:type="pct"/>
            <w:vAlign w:val="center"/>
          </w:tcPr>
          <w:p w14:paraId="052EEED0">
            <w:pPr>
              <w:widowControl/>
              <w:jc w:val="center"/>
              <w:rPr>
                <w:rFonts w:ascii="宋体" w:hAnsi="宋体" w:cs="宋体"/>
                <w:kern w:val="0"/>
              </w:rPr>
            </w:pPr>
            <w:r>
              <w:rPr>
                <w:rFonts w:hint="eastAsia" w:ascii="宋体" w:hAnsi="宋体" w:cs="宋体"/>
                <w:kern w:val="0"/>
              </w:rPr>
              <w:t>15</w:t>
            </w:r>
          </w:p>
          <w:p w14:paraId="05C25B89">
            <w:pPr>
              <w:widowControl/>
              <w:jc w:val="center"/>
              <w:rPr>
                <w:rFonts w:ascii="宋体" w:hAnsi="宋体" w:cs="宋体"/>
                <w:kern w:val="0"/>
              </w:rPr>
            </w:pPr>
            <w:r>
              <w:rPr>
                <w:rFonts w:hint="eastAsia" w:ascii="宋体" w:hAnsi="宋体" w:cs="宋体"/>
                <w:kern w:val="0"/>
              </w:rPr>
              <w:t>视频监控装置</w:t>
            </w:r>
          </w:p>
        </w:tc>
        <w:tc>
          <w:tcPr>
            <w:tcW w:w="3201" w:type="pct"/>
            <w:vAlign w:val="center"/>
          </w:tcPr>
          <w:p w14:paraId="0B597F7D">
            <w:pPr>
              <w:widowControl/>
              <w:rPr>
                <w:rFonts w:ascii="宋体" w:hAnsi="宋体" w:cs="宋体"/>
                <w:kern w:val="0"/>
              </w:rPr>
            </w:pPr>
            <w:r>
              <w:rPr>
                <w:rFonts w:hint="eastAsia" w:ascii="宋体" w:hAnsi="宋体" w:cs="宋体"/>
                <w:kern w:val="0"/>
              </w:rPr>
              <w:t>观光列车上设置的视频监控装置，能清晰监测到车内乘客、道路及周边环境，视频存储时间应当不应少于72h（适用于观光列车）。</w:t>
            </w:r>
          </w:p>
        </w:tc>
        <w:tc>
          <w:tcPr>
            <w:tcW w:w="391" w:type="pct"/>
            <w:vAlign w:val="bottom"/>
          </w:tcPr>
          <w:p w14:paraId="43E40EA0">
            <w:pPr>
              <w:widowControl/>
              <w:jc w:val="center"/>
              <w:rPr>
                <w:rFonts w:ascii="宋体" w:hAnsi="宋体" w:cs="宋体"/>
                <w:kern w:val="0"/>
              </w:rPr>
            </w:pPr>
          </w:p>
        </w:tc>
        <w:tc>
          <w:tcPr>
            <w:tcW w:w="397" w:type="pct"/>
            <w:vAlign w:val="bottom"/>
          </w:tcPr>
          <w:p w14:paraId="50C0E842">
            <w:pPr>
              <w:widowControl/>
              <w:jc w:val="center"/>
              <w:rPr>
                <w:rFonts w:ascii="宋体" w:hAnsi="宋体" w:cs="宋体"/>
                <w:kern w:val="0"/>
              </w:rPr>
            </w:pPr>
          </w:p>
        </w:tc>
      </w:tr>
      <w:tr w14:paraId="63DB2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restart"/>
            <w:noWrap/>
            <w:vAlign w:val="center"/>
          </w:tcPr>
          <w:p w14:paraId="19F1C50E">
            <w:pPr>
              <w:pStyle w:val="230"/>
              <w:widowControl/>
              <w:ind w:left="420" w:hanging="420" w:firstLineChars="0"/>
              <w:jc w:val="center"/>
              <w:rPr>
                <w:rFonts w:ascii="宋体" w:hAnsi="宋体" w:cs="宋体"/>
                <w:kern w:val="0"/>
                <w:szCs w:val="21"/>
              </w:rPr>
            </w:pPr>
            <w:r>
              <w:rPr>
                <w:rFonts w:hint="eastAsia" w:ascii="宋体" w:hAnsi="宋体" w:cs="宋体"/>
                <w:kern w:val="0"/>
                <w:szCs w:val="21"/>
              </w:rPr>
              <w:t>16</w:t>
            </w:r>
          </w:p>
        </w:tc>
        <w:tc>
          <w:tcPr>
            <w:tcW w:w="633" w:type="pct"/>
            <w:vMerge w:val="restart"/>
            <w:vAlign w:val="center"/>
          </w:tcPr>
          <w:p w14:paraId="75239DFA">
            <w:pPr>
              <w:widowControl/>
              <w:jc w:val="center"/>
              <w:rPr>
                <w:rFonts w:ascii="宋体" w:hAnsi="宋体" w:cs="宋体"/>
                <w:kern w:val="0"/>
              </w:rPr>
            </w:pPr>
            <w:r>
              <w:rPr>
                <w:rFonts w:hint="eastAsia" w:ascii="宋体" w:hAnsi="宋体" w:cs="宋体"/>
                <w:kern w:val="0"/>
              </w:rPr>
              <w:t>16</w:t>
            </w:r>
          </w:p>
          <w:p w14:paraId="0E60F79E">
            <w:pPr>
              <w:widowControl/>
              <w:jc w:val="center"/>
              <w:rPr>
                <w:rFonts w:ascii="宋体" w:hAnsi="宋体" w:cs="宋体"/>
                <w:kern w:val="0"/>
              </w:rPr>
            </w:pPr>
            <w:r>
              <w:rPr>
                <w:rFonts w:hint="eastAsia" w:ascii="宋体" w:hAnsi="宋体" w:cs="宋体"/>
                <w:kern w:val="0"/>
              </w:rPr>
              <w:t>作业环境</w:t>
            </w:r>
          </w:p>
        </w:tc>
        <w:tc>
          <w:tcPr>
            <w:tcW w:w="3201" w:type="pct"/>
            <w:vAlign w:val="center"/>
          </w:tcPr>
          <w:p w14:paraId="7A80069D">
            <w:pPr>
              <w:widowControl/>
              <w:rPr>
                <w:rFonts w:ascii="宋体" w:hAnsi="宋体" w:cs="宋体"/>
                <w:kern w:val="0"/>
              </w:rPr>
            </w:pPr>
            <w:r>
              <w:rPr>
                <w:rFonts w:hint="eastAsia" w:ascii="宋体" w:hAnsi="宋体" w:cs="宋体"/>
                <w:kern w:val="0"/>
              </w:rPr>
              <w:t>（1）车辆的行驶路线中，任意连续20</w:t>
            </w:r>
            <w:bookmarkStart w:id="97" w:name="OLE_LINK84"/>
            <w:bookmarkStart w:id="98" w:name="OLE_LINK83"/>
            <w:r>
              <w:rPr>
                <w:rFonts w:hint="eastAsia" w:ascii="宋体" w:hAnsi="宋体" w:cs="宋体"/>
                <w:kern w:val="0"/>
              </w:rPr>
              <w:t>m</w:t>
            </w:r>
            <w:bookmarkEnd w:id="97"/>
            <w:bookmarkEnd w:id="98"/>
            <w:r>
              <w:rPr>
                <w:rFonts w:hint="eastAsia" w:ascii="宋体" w:hAnsi="宋体" w:cs="宋体"/>
                <w:kern w:val="0"/>
              </w:rPr>
              <w:t>路段的平均坡度不超过最大行驶坡度。</w:t>
            </w:r>
          </w:p>
        </w:tc>
        <w:tc>
          <w:tcPr>
            <w:tcW w:w="391" w:type="pct"/>
            <w:vAlign w:val="bottom"/>
          </w:tcPr>
          <w:p w14:paraId="0463B2CE">
            <w:pPr>
              <w:widowControl/>
              <w:jc w:val="center"/>
              <w:rPr>
                <w:rFonts w:ascii="宋体" w:hAnsi="宋体" w:cs="宋体"/>
                <w:kern w:val="0"/>
              </w:rPr>
            </w:pPr>
          </w:p>
        </w:tc>
        <w:tc>
          <w:tcPr>
            <w:tcW w:w="397" w:type="pct"/>
            <w:vAlign w:val="bottom"/>
          </w:tcPr>
          <w:p w14:paraId="6BB29BB6">
            <w:pPr>
              <w:widowControl/>
              <w:jc w:val="center"/>
              <w:rPr>
                <w:rFonts w:ascii="宋体" w:hAnsi="宋体" w:cs="宋体"/>
                <w:kern w:val="0"/>
              </w:rPr>
            </w:pPr>
          </w:p>
        </w:tc>
      </w:tr>
      <w:tr w14:paraId="3E8C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8" w:type="pct"/>
            <w:vMerge w:val="continue"/>
            <w:vAlign w:val="center"/>
          </w:tcPr>
          <w:p w14:paraId="38964E53">
            <w:pPr>
              <w:widowControl/>
              <w:jc w:val="left"/>
              <w:rPr>
                <w:rFonts w:ascii="宋体" w:hAnsi="宋体" w:cs="宋体"/>
                <w:kern w:val="0"/>
              </w:rPr>
            </w:pPr>
          </w:p>
        </w:tc>
        <w:tc>
          <w:tcPr>
            <w:tcW w:w="633" w:type="pct"/>
            <w:vMerge w:val="continue"/>
            <w:vAlign w:val="center"/>
          </w:tcPr>
          <w:p w14:paraId="195A2FCA">
            <w:pPr>
              <w:widowControl/>
              <w:jc w:val="left"/>
              <w:rPr>
                <w:rFonts w:ascii="宋体" w:hAnsi="宋体" w:cs="宋体"/>
                <w:kern w:val="0"/>
              </w:rPr>
            </w:pPr>
          </w:p>
        </w:tc>
        <w:tc>
          <w:tcPr>
            <w:tcW w:w="3201" w:type="pct"/>
            <w:vAlign w:val="center"/>
          </w:tcPr>
          <w:p w14:paraId="11F42CF6">
            <w:pPr>
              <w:widowControl/>
              <w:rPr>
                <w:rFonts w:ascii="宋体" w:hAnsi="宋体" w:cs="宋体"/>
                <w:kern w:val="0"/>
              </w:rPr>
            </w:pPr>
            <w:r>
              <w:rPr>
                <w:rFonts w:hint="eastAsia" w:ascii="宋体" w:hAnsi="宋体" w:cs="宋体"/>
                <w:kern w:val="0"/>
              </w:rPr>
              <w:t>（2）车辆的行驶路线中无爆炸性环境，路面边沿3m（弯道处为4.5m）内有悬崖、深谷、深沟或水域的路段，设置了路侧护栏。</w:t>
            </w:r>
          </w:p>
        </w:tc>
        <w:tc>
          <w:tcPr>
            <w:tcW w:w="391" w:type="pct"/>
            <w:vAlign w:val="bottom"/>
          </w:tcPr>
          <w:p w14:paraId="67716A48">
            <w:pPr>
              <w:widowControl/>
              <w:jc w:val="center"/>
              <w:rPr>
                <w:rFonts w:ascii="宋体" w:hAnsi="宋体" w:cs="宋体"/>
                <w:kern w:val="0"/>
              </w:rPr>
            </w:pPr>
          </w:p>
        </w:tc>
        <w:tc>
          <w:tcPr>
            <w:tcW w:w="397" w:type="pct"/>
            <w:vAlign w:val="bottom"/>
          </w:tcPr>
          <w:p w14:paraId="22502330">
            <w:pPr>
              <w:widowControl/>
              <w:jc w:val="center"/>
              <w:rPr>
                <w:rFonts w:ascii="宋体" w:hAnsi="宋体" w:cs="宋体"/>
                <w:kern w:val="0"/>
              </w:rPr>
            </w:pPr>
          </w:p>
        </w:tc>
      </w:tr>
      <w:tr w14:paraId="4D56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378" w:type="pct"/>
            <w:noWrap/>
            <w:vAlign w:val="center"/>
          </w:tcPr>
          <w:p w14:paraId="1B39012B">
            <w:pPr>
              <w:pStyle w:val="230"/>
              <w:widowControl/>
              <w:ind w:left="420" w:hanging="420" w:firstLineChars="0"/>
              <w:jc w:val="center"/>
              <w:rPr>
                <w:rFonts w:ascii="宋体" w:hAnsi="宋体" w:cs="宋体"/>
                <w:kern w:val="0"/>
                <w:szCs w:val="21"/>
              </w:rPr>
            </w:pPr>
            <w:r>
              <w:rPr>
                <w:rFonts w:hint="eastAsia" w:ascii="宋体" w:hAnsi="宋体" w:cs="宋体"/>
                <w:kern w:val="0"/>
                <w:szCs w:val="21"/>
              </w:rPr>
              <w:t>17</w:t>
            </w:r>
          </w:p>
        </w:tc>
        <w:tc>
          <w:tcPr>
            <w:tcW w:w="633" w:type="pct"/>
            <w:vAlign w:val="center"/>
          </w:tcPr>
          <w:p w14:paraId="689C7188">
            <w:pPr>
              <w:widowControl/>
              <w:jc w:val="center"/>
              <w:rPr>
                <w:rFonts w:ascii="宋体" w:hAnsi="宋体" w:cs="宋体"/>
                <w:kern w:val="0"/>
              </w:rPr>
            </w:pPr>
            <w:r>
              <w:rPr>
                <w:rFonts w:hint="eastAsia" w:ascii="宋体" w:hAnsi="宋体" w:cs="宋体"/>
                <w:kern w:val="0"/>
              </w:rPr>
              <w:t>17</w:t>
            </w:r>
          </w:p>
          <w:p w14:paraId="54A88514">
            <w:pPr>
              <w:widowControl/>
              <w:jc w:val="center"/>
              <w:rPr>
                <w:rFonts w:ascii="宋体" w:hAnsi="宋体" w:cs="宋体"/>
                <w:kern w:val="0"/>
              </w:rPr>
            </w:pPr>
            <w:r>
              <w:rPr>
                <w:rFonts w:hint="eastAsia" w:ascii="宋体" w:hAnsi="宋体" w:cs="宋体"/>
                <w:kern w:val="0"/>
              </w:rPr>
              <w:t>最大行驶速度测定</w:t>
            </w:r>
          </w:p>
        </w:tc>
        <w:tc>
          <w:tcPr>
            <w:tcW w:w="3201" w:type="pct"/>
            <w:vAlign w:val="center"/>
          </w:tcPr>
          <w:p w14:paraId="538DB233">
            <w:pPr>
              <w:widowControl/>
              <w:rPr>
                <w:rFonts w:ascii="宋体" w:hAnsi="宋体" w:cs="宋体"/>
                <w:kern w:val="0"/>
              </w:rPr>
            </w:pPr>
            <w:r>
              <w:rPr>
                <w:rFonts w:hint="eastAsia" w:ascii="宋体" w:hAnsi="宋体" w:cs="宋体"/>
                <w:kern w:val="0"/>
              </w:rPr>
              <w:t>以最高挡位在无载状态下进行试验，最大行驶速度应当符合TSG 81-2022、GB/T 21268-2014相关条款的要求。</w:t>
            </w:r>
          </w:p>
        </w:tc>
        <w:tc>
          <w:tcPr>
            <w:tcW w:w="391" w:type="pct"/>
            <w:vAlign w:val="bottom"/>
          </w:tcPr>
          <w:p w14:paraId="5F4A9659">
            <w:pPr>
              <w:widowControl/>
              <w:jc w:val="center"/>
              <w:rPr>
                <w:rFonts w:ascii="宋体" w:hAnsi="宋体" w:cs="宋体"/>
                <w:kern w:val="0"/>
              </w:rPr>
            </w:pPr>
          </w:p>
        </w:tc>
        <w:tc>
          <w:tcPr>
            <w:tcW w:w="397" w:type="pct"/>
            <w:vAlign w:val="bottom"/>
          </w:tcPr>
          <w:p w14:paraId="6E4D7E69">
            <w:pPr>
              <w:widowControl/>
              <w:jc w:val="center"/>
              <w:rPr>
                <w:rFonts w:ascii="宋体" w:hAnsi="宋体" w:cs="宋体"/>
                <w:kern w:val="0"/>
              </w:rPr>
            </w:pPr>
          </w:p>
        </w:tc>
      </w:tr>
      <w:tr w14:paraId="5FD9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378" w:type="pct"/>
            <w:vMerge w:val="restart"/>
            <w:noWrap/>
            <w:vAlign w:val="center"/>
          </w:tcPr>
          <w:p w14:paraId="784CE044">
            <w:pPr>
              <w:pStyle w:val="230"/>
              <w:widowControl/>
              <w:ind w:left="420" w:hanging="420" w:firstLineChars="0"/>
              <w:jc w:val="center"/>
              <w:rPr>
                <w:rFonts w:ascii="宋体" w:hAnsi="宋体" w:cs="宋体"/>
                <w:kern w:val="0"/>
                <w:szCs w:val="21"/>
              </w:rPr>
            </w:pPr>
            <w:r>
              <w:rPr>
                <w:rFonts w:hint="eastAsia" w:ascii="宋体" w:hAnsi="宋体" w:cs="宋体"/>
                <w:kern w:val="0"/>
                <w:szCs w:val="21"/>
              </w:rPr>
              <w:t>18</w:t>
            </w:r>
          </w:p>
        </w:tc>
        <w:tc>
          <w:tcPr>
            <w:tcW w:w="633" w:type="pct"/>
            <w:vMerge w:val="restart"/>
            <w:vAlign w:val="center"/>
          </w:tcPr>
          <w:p w14:paraId="069EC6C4">
            <w:pPr>
              <w:widowControl/>
              <w:jc w:val="center"/>
              <w:rPr>
                <w:rFonts w:ascii="宋体" w:hAnsi="宋体" w:cs="宋体"/>
                <w:kern w:val="0"/>
              </w:rPr>
            </w:pPr>
            <w:r>
              <w:rPr>
                <w:rFonts w:hint="eastAsia" w:ascii="宋体" w:hAnsi="宋体" w:cs="宋体"/>
                <w:kern w:val="0"/>
              </w:rPr>
              <w:t>18</w:t>
            </w:r>
          </w:p>
          <w:p w14:paraId="294D5688">
            <w:pPr>
              <w:widowControl/>
              <w:jc w:val="center"/>
              <w:rPr>
                <w:rFonts w:ascii="宋体" w:hAnsi="宋体" w:cs="宋体"/>
                <w:kern w:val="0"/>
              </w:rPr>
            </w:pPr>
            <w:r>
              <w:rPr>
                <w:rFonts w:hint="eastAsia" w:ascii="宋体" w:hAnsi="宋体" w:cs="宋体"/>
                <w:kern w:val="0"/>
              </w:rPr>
              <w:t>制动性能试验</w:t>
            </w:r>
          </w:p>
        </w:tc>
        <w:tc>
          <w:tcPr>
            <w:tcW w:w="3201" w:type="pct"/>
            <w:vAlign w:val="center"/>
          </w:tcPr>
          <w:p w14:paraId="3B5FF54E">
            <w:pPr>
              <w:widowControl/>
              <w:rPr>
                <w:rFonts w:ascii="宋体" w:hAnsi="宋体" w:cs="宋体"/>
                <w:kern w:val="0"/>
              </w:rPr>
            </w:pPr>
            <w:r>
              <w:rPr>
                <w:rFonts w:hint="eastAsia" w:ascii="宋体" w:hAnsi="宋体" w:cs="宋体"/>
                <w:kern w:val="0"/>
              </w:rPr>
              <w:t>（1）驻车制动性能：以无载状态在行驶路线中较大坡道上进行试验，在车辆的前进和后退方向驻车制动（手刹）均能可靠制停，手操作时不大于400N，脚操纵时不大于500N。</w:t>
            </w:r>
          </w:p>
        </w:tc>
        <w:tc>
          <w:tcPr>
            <w:tcW w:w="391" w:type="pct"/>
            <w:vAlign w:val="bottom"/>
          </w:tcPr>
          <w:p w14:paraId="2776E61A">
            <w:pPr>
              <w:widowControl/>
              <w:jc w:val="center"/>
              <w:rPr>
                <w:rFonts w:ascii="宋体" w:hAnsi="宋体" w:cs="宋体"/>
                <w:kern w:val="0"/>
              </w:rPr>
            </w:pPr>
          </w:p>
        </w:tc>
        <w:tc>
          <w:tcPr>
            <w:tcW w:w="397" w:type="pct"/>
            <w:vAlign w:val="bottom"/>
          </w:tcPr>
          <w:p w14:paraId="7F4B788B">
            <w:pPr>
              <w:widowControl/>
              <w:jc w:val="center"/>
              <w:rPr>
                <w:rFonts w:ascii="宋体" w:hAnsi="宋体" w:cs="宋体"/>
                <w:kern w:val="0"/>
              </w:rPr>
            </w:pPr>
          </w:p>
        </w:tc>
      </w:tr>
      <w:tr w14:paraId="2C9F6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3" w:hRule="atLeast"/>
          <w:jc w:val="center"/>
        </w:trPr>
        <w:tc>
          <w:tcPr>
            <w:tcW w:w="378" w:type="pct"/>
            <w:vMerge w:val="continue"/>
            <w:vAlign w:val="center"/>
          </w:tcPr>
          <w:p w14:paraId="5C959B1B">
            <w:pPr>
              <w:widowControl/>
              <w:jc w:val="left"/>
              <w:rPr>
                <w:rFonts w:ascii="宋体" w:hAnsi="宋体" w:cs="宋体"/>
                <w:kern w:val="0"/>
              </w:rPr>
            </w:pPr>
          </w:p>
        </w:tc>
        <w:tc>
          <w:tcPr>
            <w:tcW w:w="633" w:type="pct"/>
            <w:vMerge w:val="continue"/>
            <w:vAlign w:val="center"/>
          </w:tcPr>
          <w:p w14:paraId="6C04E1C1">
            <w:pPr>
              <w:widowControl/>
              <w:jc w:val="left"/>
              <w:rPr>
                <w:rFonts w:ascii="宋体" w:hAnsi="宋体" w:cs="宋体"/>
                <w:kern w:val="0"/>
              </w:rPr>
            </w:pPr>
          </w:p>
        </w:tc>
        <w:tc>
          <w:tcPr>
            <w:tcW w:w="3201" w:type="pct"/>
            <w:vAlign w:val="top"/>
          </w:tcPr>
          <w:p w14:paraId="22609DD5">
            <w:pPr>
              <w:widowControl/>
              <w:jc w:val="left"/>
              <w:rPr>
                <w:rFonts w:ascii="宋体" w:hAnsi="宋体" w:cs="宋体"/>
                <w:kern w:val="0"/>
              </w:rPr>
            </w:pPr>
            <w:r>
              <w:rPr>
                <w:rFonts w:hint="eastAsia" w:ascii="宋体" w:hAnsi="宋体" w:cs="宋体"/>
                <w:kern w:val="0"/>
              </w:rPr>
              <w:t>（2）行车制动性能：以无载状态，观光车</w:t>
            </w:r>
            <w:r>
              <w:rPr>
                <w:rFonts w:hint="eastAsia" w:ascii="宋体" w:hAnsi="宋体" w:cs="宋体"/>
                <w:kern w:val="0"/>
                <w:lang w:val="en-US" w:eastAsia="zh-CN"/>
              </w:rPr>
              <w:t>辆</w:t>
            </w:r>
            <w:r>
              <w:rPr>
                <w:rFonts w:hint="eastAsia" w:ascii="宋体" w:hAnsi="宋体" w:cs="宋体"/>
                <w:kern w:val="0"/>
              </w:rPr>
              <w:t>的制动距离测量应符合下表要求：</w:t>
            </w:r>
          </w:p>
          <w:tbl>
            <w:tblPr>
              <w:tblStyle w:val="26"/>
              <w:tblW w:w="4979"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056"/>
              <w:gridCol w:w="1056"/>
              <w:gridCol w:w="963"/>
              <w:gridCol w:w="963"/>
              <w:gridCol w:w="941"/>
            </w:tblGrid>
            <w:tr w14:paraId="1385C53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0" w:hRule="atLeast"/>
                <w:jc w:val="center"/>
              </w:trPr>
              <w:tc>
                <w:tcPr>
                  <w:tcW w:w="1056" w:type="dxa"/>
                  <w:tcBorders>
                    <w:bottom w:val="single" w:color="auto" w:sz="4" w:space="0"/>
                    <w:right w:val="single" w:color="auto" w:sz="4" w:space="0"/>
                  </w:tcBorders>
                  <w:vAlign w:val="center"/>
                </w:tcPr>
                <w:p w14:paraId="21C48FF5">
                  <w:pPr>
                    <w:widowControl/>
                    <w:jc w:val="center"/>
                    <w:rPr>
                      <w:rFonts w:ascii="宋体" w:hAnsi="宋体" w:cs="宋体"/>
                      <w:kern w:val="0"/>
                    </w:rPr>
                  </w:pPr>
                  <w:r>
                    <w:rPr>
                      <w:rFonts w:hint="eastAsia" w:ascii="宋体" w:hAnsi="宋体" w:cs="宋体"/>
                      <w:kern w:val="0"/>
                    </w:rPr>
                    <w:t>观光车类型（km/h）</w:t>
                  </w:r>
                </w:p>
              </w:tc>
              <w:tc>
                <w:tcPr>
                  <w:tcW w:w="1056" w:type="dxa"/>
                  <w:tcBorders>
                    <w:left w:val="nil"/>
                    <w:bottom w:val="single" w:color="auto" w:sz="4" w:space="0"/>
                    <w:right w:val="single" w:color="auto" w:sz="4" w:space="0"/>
                  </w:tcBorders>
                  <w:vAlign w:val="center"/>
                </w:tcPr>
                <w:p w14:paraId="217A6B55">
                  <w:pPr>
                    <w:widowControl/>
                    <w:jc w:val="center"/>
                    <w:rPr>
                      <w:rFonts w:ascii="宋体" w:hAnsi="宋体" w:cs="宋体"/>
                      <w:kern w:val="0"/>
                    </w:rPr>
                  </w:pPr>
                  <w:r>
                    <w:rPr>
                      <w:rFonts w:hint="eastAsia" w:ascii="宋体" w:hAnsi="宋体" w:cs="宋体"/>
                      <w:kern w:val="0"/>
                    </w:rPr>
                    <w:t>制动初速</w:t>
                  </w:r>
                  <w:r>
                    <w:rPr>
                      <w:rFonts w:hint="eastAsia" w:ascii="宋体" w:hAnsi="宋体" w:cs="宋体"/>
                      <w:kern w:val="0"/>
                    </w:rPr>
                    <w:br w:type="textWrapping"/>
                  </w:r>
                  <w:r>
                    <w:rPr>
                      <w:rFonts w:hint="eastAsia" w:ascii="宋体" w:hAnsi="宋体" w:cs="宋体"/>
                      <w:kern w:val="0"/>
                    </w:rPr>
                    <w:t>度（km/h）</w:t>
                  </w:r>
                </w:p>
              </w:tc>
              <w:tc>
                <w:tcPr>
                  <w:tcW w:w="963" w:type="dxa"/>
                  <w:tcBorders>
                    <w:left w:val="nil"/>
                    <w:bottom w:val="single" w:color="auto" w:sz="4" w:space="0"/>
                    <w:right w:val="single" w:color="auto" w:sz="4" w:space="0"/>
                  </w:tcBorders>
                  <w:vAlign w:val="center"/>
                </w:tcPr>
                <w:p w14:paraId="16AA2C4A">
                  <w:pPr>
                    <w:widowControl/>
                    <w:jc w:val="center"/>
                    <w:rPr>
                      <w:rFonts w:ascii="宋体" w:hAnsi="宋体" w:cs="宋体"/>
                      <w:kern w:val="0"/>
                    </w:rPr>
                  </w:pPr>
                  <w:r>
                    <w:rPr>
                      <w:rFonts w:hint="eastAsia" w:ascii="宋体" w:hAnsi="宋体" w:cs="宋体"/>
                      <w:kern w:val="0"/>
                    </w:rPr>
                    <w:t>满载制动距离（m）</w:t>
                  </w:r>
                </w:p>
              </w:tc>
              <w:tc>
                <w:tcPr>
                  <w:tcW w:w="963" w:type="dxa"/>
                  <w:tcBorders>
                    <w:left w:val="nil"/>
                    <w:bottom w:val="single" w:color="auto" w:sz="4" w:space="0"/>
                    <w:right w:val="single" w:color="auto" w:sz="4" w:space="0"/>
                  </w:tcBorders>
                  <w:vAlign w:val="center"/>
                </w:tcPr>
                <w:p w14:paraId="0932B3E1">
                  <w:pPr>
                    <w:widowControl/>
                    <w:jc w:val="center"/>
                    <w:rPr>
                      <w:rFonts w:ascii="宋体" w:hAnsi="宋体" w:cs="宋体"/>
                      <w:kern w:val="0"/>
                    </w:rPr>
                  </w:pPr>
                  <w:r>
                    <w:rPr>
                      <w:rFonts w:hint="eastAsia" w:ascii="宋体" w:hAnsi="宋体" w:cs="宋体"/>
                      <w:kern w:val="0"/>
                    </w:rPr>
                    <w:t>空载制动距离（m）</w:t>
                  </w:r>
                </w:p>
              </w:tc>
              <w:tc>
                <w:tcPr>
                  <w:tcW w:w="941" w:type="dxa"/>
                  <w:tcBorders>
                    <w:left w:val="nil"/>
                    <w:bottom w:val="single" w:color="auto" w:sz="4" w:space="0"/>
                  </w:tcBorders>
                  <w:vAlign w:val="center"/>
                </w:tcPr>
                <w:p w14:paraId="72C42B58">
                  <w:pPr>
                    <w:widowControl/>
                    <w:jc w:val="center"/>
                    <w:rPr>
                      <w:rFonts w:ascii="宋体" w:hAnsi="宋体" w:cs="宋体"/>
                      <w:kern w:val="0"/>
                    </w:rPr>
                  </w:pPr>
                  <w:r>
                    <w:rPr>
                      <w:rFonts w:hint="eastAsia" w:ascii="宋体" w:hAnsi="宋体" w:cs="宋体"/>
                      <w:kern w:val="0"/>
                    </w:rPr>
                    <w:t>试验通道宽度（m）</w:t>
                  </w:r>
                </w:p>
              </w:tc>
            </w:tr>
            <w:tr w14:paraId="46FAD59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74" w:hRule="atLeast"/>
                <w:jc w:val="center"/>
              </w:trPr>
              <w:tc>
                <w:tcPr>
                  <w:tcW w:w="1056" w:type="dxa"/>
                  <w:tcBorders>
                    <w:top w:val="nil"/>
                    <w:bottom w:val="single" w:color="auto" w:sz="4" w:space="0"/>
                    <w:right w:val="single" w:color="auto" w:sz="4" w:space="0"/>
                  </w:tcBorders>
                  <w:vAlign w:val="center"/>
                </w:tcPr>
                <w:p w14:paraId="38F72C32">
                  <w:pPr>
                    <w:widowControl/>
                    <w:jc w:val="center"/>
                    <w:rPr>
                      <w:rFonts w:ascii="宋体" w:hAnsi="宋体" w:cs="宋体"/>
                      <w:kern w:val="0"/>
                    </w:rPr>
                  </w:pPr>
                  <w:r>
                    <w:rPr>
                      <w:rFonts w:hint="eastAsia" w:ascii="宋体" w:hAnsi="宋体" w:cs="宋体"/>
                      <w:kern w:val="0"/>
                    </w:rPr>
                    <w:t>18≤最大设计车速≤30</w:t>
                  </w:r>
                </w:p>
              </w:tc>
              <w:tc>
                <w:tcPr>
                  <w:tcW w:w="1056" w:type="dxa"/>
                  <w:tcBorders>
                    <w:top w:val="nil"/>
                    <w:left w:val="nil"/>
                    <w:bottom w:val="single" w:color="auto" w:sz="4" w:space="0"/>
                    <w:right w:val="single" w:color="auto" w:sz="4" w:space="0"/>
                  </w:tcBorders>
                  <w:noWrap/>
                  <w:vAlign w:val="center"/>
                </w:tcPr>
                <w:p w14:paraId="4681430C">
                  <w:pPr>
                    <w:widowControl/>
                    <w:jc w:val="center"/>
                    <w:rPr>
                      <w:rFonts w:hint="default" w:ascii="宋体" w:hAnsi="宋体" w:eastAsia="宋体" w:cs="宋体"/>
                      <w:kern w:val="0"/>
                      <w:lang w:val="en-US" w:eastAsia="zh-CN"/>
                    </w:rPr>
                  </w:pPr>
                  <w:r>
                    <w:rPr>
                      <w:rFonts w:hint="eastAsia" w:ascii="宋体" w:hAnsi="宋体" w:cs="宋体"/>
                      <w:kern w:val="0"/>
                    </w:rPr>
                    <w:t>20±2</w:t>
                  </w:r>
                </w:p>
              </w:tc>
              <w:tc>
                <w:tcPr>
                  <w:tcW w:w="963" w:type="dxa"/>
                  <w:tcBorders>
                    <w:top w:val="nil"/>
                    <w:left w:val="nil"/>
                    <w:bottom w:val="single" w:color="auto" w:sz="4" w:space="0"/>
                    <w:right w:val="single" w:color="auto" w:sz="4" w:space="0"/>
                  </w:tcBorders>
                  <w:noWrap/>
                  <w:vAlign w:val="center"/>
                </w:tcPr>
                <w:p w14:paraId="37BC689A">
                  <w:pPr>
                    <w:widowControl/>
                    <w:jc w:val="center"/>
                    <w:rPr>
                      <w:rFonts w:ascii="宋体" w:hAnsi="宋体" w:cs="宋体"/>
                      <w:kern w:val="0"/>
                    </w:rPr>
                  </w:pPr>
                  <w:r>
                    <w:rPr>
                      <w:rFonts w:hint="eastAsia" w:ascii="宋体" w:hAnsi="宋体" w:cs="宋体"/>
                      <w:kern w:val="0"/>
                    </w:rPr>
                    <w:t>≤6.0</w:t>
                  </w:r>
                </w:p>
              </w:tc>
              <w:tc>
                <w:tcPr>
                  <w:tcW w:w="963" w:type="dxa"/>
                  <w:tcBorders>
                    <w:top w:val="nil"/>
                    <w:left w:val="nil"/>
                    <w:bottom w:val="single" w:color="auto" w:sz="4" w:space="0"/>
                    <w:right w:val="single" w:color="auto" w:sz="4" w:space="0"/>
                  </w:tcBorders>
                  <w:noWrap/>
                  <w:vAlign w:val="center"/>
                </w:tcPr>
                <w:p w14:paraId="26E6F946">
                  <w:pPr>
                    <w:widowControl/>
                    <w:jc w:val="center"/>
                    <w:rPr>
                      <w:rFonts w:ascii="宋体" w:hAnsi="宋体" w:cs="宋体"/>
                      <w:kern w:val="0"/>
                    </w:rPr>
                  </w:pPr>
                  <w:r>
                    <w:rPr>
                      <w:rFonts w:hint="eastAsia" w:ascii="宋体" w:hAnsi="宋体" w:cs="宋体"/>
                      <w:kern w:val="0"/>
                    </w:rPr>
                    <w:t>≤5.0</w:t>
                  </w:r>
                </w:p>
              </w:tc>
              <w:tc>
                <w:tcPr>
                  <w:tcW w:w="941" w:type="dxa"/>
                  <w:vMerge w:val="restart"/>
                  <w:tcBorders>
                    <w:top w:val="nil"/>
                    <w:left w:val="single" w:color="auto" w:sz="4" w:space="0"/>
                    <w:bottom w:val="single" w:color="auto" w:sz="4" w:space="0"/>
                  </w:tcBorders>
                  <w:vAlign w:val="center"/>
                </w:tcPr>
                <w:p w14:paraId="6D4CF820">
                  <w:pPr>
                    <w:widowControl/>
                    <w:jc w:val="center"/>
                    <w:rPr>
                      <w:rFonts w:ascii="宋体" w:hAnsi="宋体" w:cs="宋体"/>
                      <w:kern w:val="0"/>
                    </w:rPr>
                  </w:pPr>
                  <w:r>
                    <w:rPr>
                      <w:rFonts w:hint="eastAsia" w:ascii="宋体" w:hAnsi="宋体" w:cs="宋体"/>
                      <w:kern w:val="0"/>
                    </w:rPr>
                    <w:t>车体设计宽度+0.4</w:t>
                  </w:r>
                </w:p>
              </w:tc>
            </w:tr>
            <w:tr w14:paraId="2B70DF2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1056" w:type="dxa"/>
                  <w:tcBorders>
                    <w:top w:val="nil"/>
                    <w:bottom w:val="single" w:color="auto" w:sz="4" w:space="0"/>
                    <w:right w:val="single" w:color="auto" w:sz="4" w:space="0"/>
                  </w:tcBorders>
                  <w:vAlign w:val="center"/>
                </w:tcPr>
                <w:p w14:paraId="508A2D43">
                  <w:pPr>
                    <w:widowControl/>
                    <w:jc w:val="center"/>
                    <w:rPr>
                      <w:rFonts w:ascii="宋体" w:hAnsi="宋体" w:cs="宋体"/>
                      <w:kern w:val="0"/>
                    </w:rPr>
                  </w:pPr>
                  <w:r>
                    <w:rPr>
                      <w:rFonts w:hint="eastAsia" w:ascii="宋体" w:hAnsi="宋体" w:cs="宋体"/>
                      <w:kern w:val="0"/>
                    </w:rPr>
                    <w:t>最大设计车速＜18</w:t>
                  </w:r>
                </w:p>
              </w:tc>
              <w:tc>
                <w:tcPr>
                  <w:tcW w:w="1056" w:type="dxa"/>
                  <w:tcBorders>
                    <w:top w:val="nil"/>
                    <w:left w:val="nil"/>
                    <w:bottom w:val="single" w:color="auto" w:sz="4" w:space="0"/>
                    <w:right w:val="single" w:color="auto" w:sz="4" w:space="0"/>
                  </w:tcBorders>
                  <w:noWrap/>
                  <w:vAlign w:val="center"/>
                </w:tcPr>
                <w:p w14:paraId="6BDF02F2">
                  <w:pPr>
                    <w:widowControl/>
                    <w:jc w:val="center"/>
                    <w:rPr>
                      <w:rFonts w:hint="eastAsia" w:ascii="宋体" w:hAnsi="宋体" w:eastAsia="宋体" w:cs="宋体"/>
                      <w:kern w:val="0"/>
                      <w:lang w:val="en-US" w:eastAsia="zh-CN"/>
                    </w:rPr>
                  </w:pPr>
                  <w:r>
                    <w:rPr>
                      <w:rFonts w:hint="eastAsia" w:ascii="宋体" w:hAnsi="宋体" w:cs="宋体"/>
                      <w:kern w:val="0"/>
                    </w:rPr>
                    <w:t>10±</w:t>
                  </w:r>
                  <w:r>
                    <w:rPr>
                      <w:rFonts w:hint="eastAsia" w:ascii="宋体" w:hAnsi="宋体" w:cs="宋体"/>
                      <w:kern w:val="0"/>
                      <w:lang w:val="en-US" w:eastAsia="zh-CN"/>
                    </w:rPr>
                    <w:t>1</w:t>
                  </w:r>
                </w:p>
              </w:tc>
              <w:tc>
                <w:tcPr>
                  <w:tcW w:w="963" w:type="dxa"/>
                  <w:tcBorders>
                    <w:top w:val="nil"/>
                    <w:left w:val="nil"/>
                    <w:bottom w:val="single" w:color="auto" w:sz="4" w:space="0"/>
                    <w:right w:val="single" w:color="auto" w:sz="4" w:space="0"/>
                  </w:tcBorders>
                  <w:noWrap/>
                  <w:vAlign w:val="center"/>
                </w:tcPr>
                <w:p w14:paraId="7BA0FF33">
                  <w:pPr>
                    <w:widowControl/>
                    <w:jc w:val="center"/>
                    <w:rPr>
                      <w:rFonts w:ascii="宋体" w:hAnsi="宋体" w:cs="宋体"/>
                      <w:kern w:val="0"/>
                    </w:rPr>
                  </w:pPr>
                  <w:r>
                    <w:rPr>
                      <w:rFonts w:hint="eastAsia" w:ascii="宋体" w:hAnsi="宋体" w:cs="宋体"/>
                      <w:kern w:val="0"/>
                    </w:rPr>
                    <w:t>≤3.5</w:t>
                  </w:r>
                </w:p>
              </w:tc>
              <w:tc>
                <w:tcPr>
                  <w:tcW w:w="963" w:type="dxa"/>
                  <w:tcBorders>
                    <w:top w:val="nil"/>
                    <w:left w:val="nil"/>
                    <w:bottom w:val="single" w:color="auto" w:sz="4" w:space="0"/>
                    <w:right w:val="single" w:color="auto" w:sz="4" w:space="0"/>
                  </w:tcBorders>
                  <w:noWrap/>
                  <w:vAlign w:val="center"/>
                </w:tcPr>
                <w:p w14:paraId="21DCF41A">
                  <w:pPr>
                    <w:widowControl/>
                    <w:jc w:val="center"/>
                    <w:rPr>
                      <w:rFonts w:ascii="宋体" w:hAnsi="宋体" w:cs="宋体"/>
                      <w:kern w:val="0"/>
                    </w:rPr>
                  </w:pPr>
                  <w:r>
                    <w:rPr>
                      <w:rFonts w:hint="eastAsia" w:ascii="宋体" w:hAnsi="宋体" w:cs="宋体"/>
                      <w:kern w:val="0"/>
                    </w:rPr>
                    <w:t>≤2.5</w:t>
                  </w:r>
                </w:p>
              </w:tc>
              <w:tc>
                <w:tcPr>
                  <w:tcW w:w="0" w:type="auto"/>
                  <w:vMerge w:val="continue"/>
                  <w:tcBorders>
                    <w:top w:val="nil"/>
                    <w:left w:val="single" w:color="auto" w:sz="4" w:space="0"/>
                    <w:bottom w:val="single" w:color="auto" w:sz="4" w:space="0"/>
                  </w:tcBorders>
                  <w:vAlign w:val="center"/>
                </w:tcPr>
                <w:p w14:paraId="52A1B61B">
                  <w:pPr>
                    <w:widowControl/>
                    <w:jc w:val="center"/>
                    <w:rPr>
                      <w:rFonts w:ascii="宋体" w:hAnsi="宋体" w:cs="宋体"/>
                      <w:kern w:val="0"/>
                    </w:rPr>
                  </w:pPr>
                </w:p>
              </w:tc>
            </w:tr>
            <w:tr w14:paraId="62E4717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245" w:hRule="atLeast"/>
                <w:jc w:val="center"/>
              </w:trPr>
              <w:tc>
                <w:tcPr>
                  <w:tcW w:w="1056" w:type="dxa"/>
                  <w:tcBorders>
                    <w:top w:val="nil"/>
                    <w:right w:val="single" w:color="auto" w:sz="4" w:space="0"/>
                  </w:tcBorders>
                  <w:noWrap/>
                  <w:vAlign w:val="center"/>
                </w:tcPr>
                <w:p w14:paraId="7F88D582">
                  <w:pPr>
                    <w:widowControl/>
                    <w:jc w:val="center"/>
                    <w:rPr>
                      <w:rFonts w:ascii="宋体" w:hAnsi="宋体" w:cs="宋体"/>
                      <w:kern w:val="0"/>
                    </w:rPr>
                  </w:pPr>
                  <w:r>
                    <w:rPr>
                      <w:rFonts w:hint="eastAsia" w:ascii="宋体" w:hAnsi="宋体" w:cs="宋体"/>
                      <w:kern w:val="0"/>
                    </w:rPr>
                    <w:t>观光列车</w:t>
                  </w:r>
                </w:p>
              </w:tc>
              <w:tc>
                <w:tcPr>
                  <w:tcW w:w="1056" w:type="dxa"/>
                  <w:tcBorders>
                    <w:top w:val="nil"/>
                    <w:left w:val="nil"/>
                    <w:right w:val="single" w:color="auto" w:sz="4" w:space="0"/>
                  </w:tcBorders>
                  <w:noWrap/>
                  <w:vAlign w:val="center"/>
                </w:tcPr>
                <w:p w14:paraId="6BB89210">
                  <w:pPr>
                    <w:widowControl/>
                    <w:jc w:val="center"/>
                    <w:rPr>
                      <w:rFonts w:hint="eastAsia" w:ascii="宋体" w:hAnsi="宋体" w:eastAsia="宋体" w:cs="宋体"/>
                      <w:kern w:val="0"/>
                      <w:lang w:val="en-US" w:eastAsia="zh-CN"/>
                    </w:rPr>
                  </w:pPr>
                  <w:r>
                    <w:rPr>
                      <w:rFonts w:hint="eastAsia" w:ascii="宋体" w:hAnsi="宋体" w:cs="宋体"/>
                      <w:kern w:val="0"/>
                    </w:rPr>
                    <w:t>10±</w:t>
                  </w:r>
                  <w:r>
                    <w:rPr>
                      <w:rFonts w:hint="eastAsia" w:ascii="宋体" w:hAnsi="宋体" w:cs="宋体"/>
                      <w:kern w:val="0"/>
                      <w:lang w:val="en-US" w:eastAsia="zh-CN"/>
                    </w:rPr>
                    <w:t>1</w:t>
                  </w:r>
                </w:p>
              </w:tc>
              <w:tc>
                <w:tcPr>
                  <w:tcW w:w="963" w:type="dxa"/>
                  <w:tcBorders>
                    <w:top w:val="nil"/>
                    <w:left w:val="nil"/>
                    <w:right w:val="single" w:color="auto" w:sz="4" w:space="0"/>
                  </w:tcBorders>
                  <w:noWrap/>
                  <w:vAlign w:val="center"/>
                </w:tcPr>
                <w:p w14:paraId="3E1165A6">
                  <w:pPr>
                    <w:widowControl/>
                    <w:jc w:val="center"/>
                    <w:rPr>
                      <w:rFonts w:ascii="宋体" w:hAnsi="宋体" w:cs="宋体"/>
                      <w:kern w:val="0"/>
                    </w:rPr>
                  </w:pPr>
                  <w:r>
                    <w:rPr>
                      <w:rFonts w:hint="eastAsia" w:ascii="宋体" w:hAnsi="宋体" w:cs="宋体"/>
                      <w:kern w:val="0"/>
                    </w:rPr>
                    <w:t>≤4.5</w:t>
                  </w:r>
                </w:p>
              </w:tc>
              <w:tc>
                <w:tcPr>
                  <w:tcW w:w="963" w:type="dxa"/>
                  <w:tcBorders>
                    <w:top w:val="nil"/>
                    <w:left w:val="nil"/>
                    <w:right w:val="single" w:color="auto" w:sz="4" w:space="0"/>
                  </w:tcBorders>
                  <w:noWrap/>
                  <w:vAlign w:val="center"/>
                </w:tcPr>
                <w:p w14:paraId="7A06AFE0">
                  <w:pPr>
                    <w:widowControl/>
                    <w:jc w:val="center"/>
                    <w:rPr>
                      <w:rFonts w:ascii="宋体" w:hAnsi="宋体" w:cs="宋体"/>
                      <w:kern w:val="0"/>
                    </w:rPr>
                  </w:pPr>
                  <w:r>
                    <w:rPr>
                      <w:rFonts w:hint="eastAsia" w:ascii="宋体" w:hAnsi="宋体" w:cs="宋体"/>
                      <w:kern w:val="0"/>
                    </w:rPr>
                    <w:t>≤3.5</w:t>
                  </w:r>
                </w:p>
              </w:tc>
              <w:tc>
                <w:tcPr>
                  <w:tcW w:w="0" w:type="auto"/>
                  <w:vMerge w:val="continue"/>
                  <w:tcBorders>
                    <w:top w:val="nil"/>
                    <w:left w:val="single" w:color="auto" w:sz="4" w:space="0"/>
                  </w:tcBorders>
                  <w:vAlign w:val="center"/>
                </w:tcPr>
                <w:p w14:paraId="673B7EC6">
                  <w:pPr>
                    <w:widowControl/>
                    <w:jc w:val="center"/>
                    <w:rPr>
                      <w:rFonts w:ascii="宋体" w:hAnsi="宋体" w:cs="宋体"/>
                      <w:kern w:val="0"/>
                    </w:rPr>
                  </w:pPr>
                </w:p>
              </w:tc>
            </w:tr>
          </w:tbl>
          <w:p w14:paraId="25B3C3EB">
            <w:pPr>
              <w:widowControl/>
              <w:jc w:val="center"/>
              <w:rPr>
                <w:rFonts w:ascii="宋体" w:hAnsi="宋体" w:cs="宋体"/>
                <w:kern w:val="0"/>
              </w:rPr>
            </w:pPr>
          </w:p>
        </w:tc>
        <w:tc>
          <w:tcPr>
            <w:tcW w:w="391" w:type="pct"/>
            <w:vAlign w:val="bottom"/>
          </w:tcPr>
          <w:p w14:paraId="5B876E0B">
            <w:pPr>
              <w:widowControl/>
              <w:jc w:val="center"/>
              <w:rPr>
                <w:rFonts w:ascii="宋体" w:hAnsi="宋体" w:cs="宋体"/>
                <w:kern w:val="0"/>
              </w:rPr>
            </w:pPr>
          </w:p>
        </w:tc>
        <w:tc>
          <w:tcPr>
            <w:tcW w:w="397" w:type="pct"/>
            <w:vAlign w:val="bottom"/>
          </w:tcPr>
          <w:p w14:paraId="68B02244">
            <w:pPr>
              <w:widowControl/>
              <w:jc w:val="center"/>
              <w:rPr>
                <w:rFonts w:ascii="宋体" w:hAnsi="宋体" w:cs="宋体"/>
                <w:kern w:val="0"/>
              </w:rPr>
            </w:pPr>
          </w:p>
        </w:tc>
      </w:tr>
      <w:tr w14:paraId="2013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378" w:type="pct"/>
            <w:noWrap/>
            <w:vAlign w:val="center"/>
          </w:tcPr>
          <w:p w14:paraId="4237BD8F">
            <w:pPr>
              <w:pStyle w:val="230"/>
              <w:widowControl/>
              <w:ind w:left="0" w:firstLine="0" w:firstLineChars="0"/>
              <w:jc w:val="center"/>
              <w:rPr>
                <w:rFonts w:ascii="宋体" w:hAnsi="宋体" w:cs="宋体"/>
                <w:kern w:val="0"/>
                <w:szCs w:val="21"/>
              </w:rPr>
            </w:pPr>
            <w:r>
              <w:rPr>
                <w:rFonts w:hint="eastAsia" w:ascii="宋体" w:hAnsi="宋体" w:cs="宋体"/>
                <w:kern w:val="0"/>
                <w:szCs w:val="21"/>
              </w:rPr>
              <w:t>19</w:t>
            </w:r>
          </w:p>
        </w:tc>
        <w:tc>
          <w:tcPr>
            <w:tcW w:w="633" w:type="pct"/>
            <w:vAlign w:val="center"/>
          </w:tcPr>
          <w:p w14:paraId="0E8E3F1F">
            <w:pPr>
              <w:widowControl/>
              <w:jc w:val="center"/>
              <w:rPr>
                <w:rFonts w:ascii="宋体" w:hAnsi="宋体" w:cs="宋体"/>
                <w:kern w:val="0"/>
              </w:rPr>
            </w:pPr>
            <w:r>
              <w:rPr>
                <w:rFonts w:hint="eastAsia" w:ascii="宋体" w:hAnsi="宋体" w:cs="宋体"/>
                <w:kern w:val="0"/>
              </w:rPr>
              <w:t>19</w:t>
            </w:r>
          </w:p>
          <w:p w14:paraId="0F1D13CE">
            <w:pPr>
              <w:widowControl/>
              <w:jc w:val="center"/>
              <w:rPr>
                <w:rFonts w:ascii="宋体" w:hAnsi="宋体" w:cs="宋体"/>
                <w:kern w:val="0"/>
              </w:rPr>
            </w:pPr>
            <w:r>
              <w:rPr>
                <w:rFonts w:hint="eastAsia" w:ascii="宋体" w:hAnsi="宋体" w:cs="宋体"/>
                <w:kern w:val="0"/>
              </w:rPr>
              <w:t>电气安全</w:t>
            </w:r>
            <w:r>
              <w:rPr>
                <w:rFonts w:hint="eastAsia" w:ascii="宋体" w:hAnsi="宋体" w:cs="宋体"/>
                <w:kern w:val="0"/>
              </w:rPr>
              <w:br w:type="textWrapping"/>
            </w:r>
            <w:r>
              <w:rPr>
                <w:rFonts w:hint="eastAsia" w:ascii="宋体" w:hAnsi="宋体" w:cs="宋体"/>
                <w:kern w:val="0"/>
              </w:rPr>
              <w:t>试验</w:t>
            </w:r>
          </w:p>
        </w:tc>
        <w:tc>
          <w:tcPr>
            <w:tcW w:w="3201" w:type="pct"/>
            <w:vAlign w:val="center"/>
          </w:tcPr>
          <w:p w14:paraId="56C0B114">
            <w:pPr>
              <w:widowControl/>
              <w:jc w:val="left"/>
              <w:rPr>
                <w:rFonts w:ascii="宋体" w:hAnsi="宋体" w:cs="宋体"/>
                <w:kern w:val="0"/>
              </w:rPr>
            </w:pPr>
            <w:r>
              <w:rPr>
                <w:rFonts w:hint="eastAsia" w:ascii="宋体" w:hAnsi="宋体" w:cs="宋体"/>
                <w:kern w:val="0"/>
              </w:rPr>
              <w:t>电器设备载流部分的冷态绝缘电阻，在正常使用温度下绝缘电阻不小于0.5MΩ；铅酸电池其冷态绝缘电阻不低于50K</w:t>
            </w:r>
            <w:bookmarkStart w:id="99" w:name="OLE_LINK86"/>
            <w:r>
              <w:rPr>
                <w:rFonts w:hint="eastAsia" w:ascii="宋体" w:hAnsi="宋体" w:cs="宋体"/>
                <w:kern w:val="0"/>
              </w:rPr>
              <w:t>Ω</w:t>
            </w:r>
            <w:bookmarkEnd w:id="99"/>
            <w:r>
              <w:rPr>
                <w:rFonts w:hint="eastAsia" w:ascii="宋体" w:hAnsi="宋体" w:cs="宋体"/>
                <w:kern w:val="0"/>
              </w:rPr>
              <w:t>。（适用于电动车辆）</w:t>
            </w:r>
          </w:p>
        </w:tc>
        <w:tc>
          <w:tcPr>
            <w:tcW w:w="391" w:type="pct"/>
            <w:vAlign w:val="bottom"/>
          </w:tcPr>
          <w:p w14:paraId="40F0A64E">
            <w:pPr>
              <w:widowControl/>
              <w:jc w:val="center"/>
              <w:rPr>
                <w:rFonts w:ascii="宋体" w:hAnsi="宋体" w:cs="宋体"/>
                <w:kern w:val="0"/>
              </w:rPr>
            </w:pPr>
          </w:p>
        </w:tc>
        <w:tc>
          <w:tcPr>
            <w:tcW w:w="397" w:type="pct"/>
            <w:vAlign w:val="bottom"/>
          </w:tcPr>
          <w:p w14:paraId="486EC898">
            <w:pPr>
              <w:widowControl/>
              <w:jc w:val="center"/>
              <w:rPr>
                <w:rFonts w:ascii="宋体" w:hAnsi="宋体" w:cs="宋体"/>
                <w:kern w:val="0"/>
              </w:rPr>
            </w:pPr>
          </w:p>
        </w:tc>
      </w:tr>
      <w:tr w14:paraId="45E1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5000" w:type="pct"/>
            <w:gridSpan w:val="5"/>
            <w:noWrap/>
            <w:vAlign w:val="center"/>
          </w:tcPr>
          <w:p w14:paraId="20BC86D6">
            <w:pPr>
              <w:widowControl/>
              <w:ind w:left="630" w:hanging="630" w:hangingChars="300"/>
              <w:jc w:val="left"/>
              <w:rPr>
                <w:rFonts w:ascii="宋体" w:hAnsi="宋体" w:cs="宋体"/>
                <w:kern w:val="0"/>
              </w:rPr>
            </w:pPr>
            <w:bookmarkStart w:id="100" w:name="OLE_LINK9"/>
            <w:bookmarkStart w:id="101" w:name="OLE_LINK10"/>
            <w:r>
              <w:rPr>
                <w:rFonts w:hint="eastAsia" w:ascii="宋体" w:hAnsi="宋体" w:cs="宋体"/>
                <w:kern w:val="0"/>
              </w:rPr>
              <w:t>注：1.本表仅作为示例，使用单位应根据本单位非公路用旅游观光车辆使用情况，合理确定自行检查的周期（日、周、月、季、年）、项目、内容与方法。</w:t>
            </w:r>
          </w:p>
          <w:p w14:paraId="56FD7883">
            <w:pPr>
              <w:widowControl/>
              <w:adjustRightInd/>
              <w:spacing w:line="18" w:lineRule="atLeast"/>
              <w:ind w:left="420"/>
              <w:jc w:val="left"/>
              <w:rPr>
                <w:rFonts w:ascii="宋体" w:hAnsi="宋体" w:cs="宋体"/>
                <w:kern w:val="0"/>
              </w:rPr>
            </w:pPr>
            <w:r>
              <w:rPr>
                <w:rFonts w:hint="eastAsia" w:ascii="宋体" w:hAnsi="宋体" w:cs="宋体"/>
                <w:kern w:val="0"/>
              </w:rPr>
              <w:t>2.自检结果的表示方法：符合要求，“√”；不符合要求，“×”；无此项，“/”。</w:t>
            </w:r>
            <w:bookmarkEnd w:id="100"/>
            <w:bookmarkEnd w:id="101"/>
          </w:p>
        </w:tc>
      </w:tr>
    </w:tbl>
    <w:p w14:paraId="75E9EBAF">
      <w:pPr>
        <w:pStyle w:val="56"/>
        <w:ind w:firstLine="420"/>
      </w:pPr>
    </w:p>
    <w:p w14:paraId="7E7508BF">
      <w:pPr>
        <w:pStyle w:val="56"/>
        <w:ind w:firstLine="420"/>
        <w:sectPr>
          <w:pgSz w:w="11906" w:h="16838"/>
          <w:pgMar w:top="1928" w:right="1134" w:bottom="1134" w:left="1134" w:header="1418" w:footer="1134" w:gutter="284"/>
          <w:cols w:space="425" w:num="1"/>
          <w:formProt w:val="0"/>
          <w:docGrid w:type="lines" w:linePitch="312" w:charSpace="0"/>
        </w:sectPr>
      </w:pPr>
    </w:p>
    <w:p w14:paraId="6737C76C">
      <w:pPr>
        <w:pStyle w:val="198"/>
      </w:pPr>
    </w:p>
    <w:p w14:paraId="3D8B59F4">
      <w:pPr>
        <w:pStyle w:val="199"/>
      </w:pPr>
    </w:p>
    <w:p w14:paraId="4310D2B1">
      <w:pPr>
        <w:pStyle w:val="76"/>
        <w:spacing w:after="156"/>
      </w:pPr>
      <w:r>
        <w:br w:type="textWrapping"/>
      </w:r>
      <w:bookmarkStart w:id="102" w:name="_Toc193115872"/>
      <w:r>
        <w:rPr>
          <w:rFonts w:hint="eastAsia"/>
        </w:rPr>
        <w:t>（资料性）</w:t>
      </w:r>
      <w:r>
        <w:br w:type="textWrapping"/>
      </w:r>
      <w:r>
        <w:rPr>
          <w:rFonts w:hint="eastAsia"/>
        </w:rPr>
        <w:t>场车使用合规管理检查表</w:t>
      </w:r>
      <w:bookmarkEnd w:id="102"/>
    </w:p>
    <w:p w14:paraId="39588434">
      <w:pPr>
        <w:pStyle w:val="56"/>
        <w:ind w:firstLine="420"/>
      </w:pPr>
      <w:r>
        <w:rPr>
          <w:rFonts w:hint="eastAsia"/>
        </w:rPr>
        <w:t>场车使用合规管理检查表见表D</w:t>
      </w:r>
      <w:r>
        <w:t>.1</w:t>
      </w:r>
      <w:r>
        <w:rPr>
          <w:rFonts w:hint="eastAsia"/>
        </w:rPr>
        <w:t>。</w:t>
      </w:r>
    </w:p>
    <w:p w14:paraId="68120586">
      <w:pPr>
        <w:pStyle w:val="77"/>
        <w:spacing w:before="156" w:after="156"/>
      </w:pPr>
      <w:r>
        <w:rPr>
          <w:rFonts w:hint="eastAsia"/>
        </w:rPr>
        <w:t>场车使用合规管理检查表</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198"/>
        <w:gridCol w:w="5746"/>
        <w:gridCol w:w="1156"/>
        <w:gridCol w:w="794"/>
      </w:tblGrid>
      <w:tr w14:paraId="70BFB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tblHeader/>
          <w:jc w:val="center"/>
        </w:trPr>
        <w:tc>
          <w:tcPr>
            <w:tcW w:w="353" w:type="pct"/>
            <w:shd w:val="clear" w:color="auto" w:fill="auto"/>
            <w:noWrap/>
            <w:vAlign w:val="center"/>
          </w:tcPr>
          <w:p w14:paraId="30649ED0">
            <w:pPr>
              <w:widowControl/>
              <w:spacing w:line="18" w:lineRule="atLeast"/>
              <w:jc w:val="center"/>
              <w:rPr>
                <w:rFonts w:ascii="宋体" w:hAnsi="宋体" w:cs="宋体"/>
                <w:bCs/>
                <w:kern w:val="0"/>
              </w:rPr>
            </w:pPr>
            <w:r>
              <w:rPr>
                <w:rFonts w:hint="eastAsia" w:ascii="宋体" w:hAnsi="宋体" w:cs="宋体"/>
                <w:bCs/>
                <w:kern w:val="0"/>
              </w:rPr>
              <w:t>序号</w:t>
            </w:r>
          </w:p>
        </w:tc>
        <w:tc>
          <w:tcPr>
            <w:tcW w:w="625" w:type="pct"/>
            <w:shd w:val="clear" w:color="auto" w:fill="auto"/>
            <w:noWrap/>
            <w:vAlign w:val="center"/>
          </w:tcPr>
          <w:p w14:paraId="6C980120">
            <w:pPr>
              <w:widowControl/>
              <w:spacing w:line="18" w:lineRule="atLeast"/>
              <w:jc w:val="center"/>
              <w:rPr>
                <w:rFonts w:ascii="宋体" w:hAnsi="宋体" w:cs="宋体"/>
                <w:bCs/>
                <w:kern w:val="0"/>
              </w:rPr>
            </w:pPr>
            <w:r>
              <w:rPr>
                <w:rFonts w:hint="eastAsia" w:ascii="宋体" w:hAnsi="宋体" w:cs="宋体"/>
                <w:bCs/>
                <w:kern w:val="0"/>
              </w:rPr>
              <w:t>项目</w:t>
            </w:r>
          </w:p>
        </w:tc>
        <w:tc>
          <w:tcPr>
            <w:tcW w:w="3002" w:type="pct"/>
            <w:shd w:val="clear" w:color="auto" w:fill="auto"/>
            <w:noWrap/>
            <w:vAlign w:val="center"/>
          </w:tcPr>
          <w:p w14:paraId="6FD41E26">
            <w:pPr>
              <w:widowControl/>
              <w:spacing w:line="18" w:lineRule="atLeast"/>
              <w:jc w:val="center"/>
              <w:rPr>
                <w:rFonts w:ascii="宋体" w:hAnsi="宋体" w:cs="宋体"/>
                <w:bCs/>
                <w:kern w:val="0"/>
              </w:rPr>
            </w:pPr>
            <w:r>
              <w:rPr>
                <w:rFonts w:hint="eastAsia" w:ascii="宋体" w:hAnsi="宋体" w:cs="宋体"/>
                <w:bCs/>
                <w:kern w:val="0"/>
              </w:rPr>
              <w:t>子项目</w:t>
            </w:r>
          </w:p>
        </w:tc>
        <w:tc>
          <w:tcPr>
            <w:tcW w:w="603" w:type="pct"/>
            <w:shd w:val="clear" w:color="auto" w:fill="auto"/>
            <w:noWrap/>
            <w:vAlign w:val="center"/>
          </w:tcPr>
          <w:p w14:paraId="16F98648">
            <w:pPr>
              <w:widowControl/>
              <w:spacing w:line="18" w:lineRule="atLeast"/>
              <w:jc w:val="center"/>
              <w:rPr>
                <w:rFonts w:ascii="宋体" w:hAnsi="宋体" w:cs="宋体"/>
                <w:bCs/>
                <w:kern w:val="0"/>
              </w:rPr>
            </w:pPr>
            <w:r>
              <w:rPr>
                <w:rFonts w:hint="eastAsia" w:ascii="宋体" w:hAnsi="宋体" w:cs="宋体"/>
                <w:bCs/>
                <w:kern w:val="0"/>
              </w:rPr>
              <w:t>检查结果</w:t>
            </w:r>
          </w:p>
        </w:tc>
        <w:tc>
          <w:tcPr>
            <w:tcW w:w="414" w:type="pct"/>
            <w:shd w:val="clear" w:color="auto" w:fill="auto"/>
            <w:noWrap/>
            <w:vAlign w:val="center"/>
          </w:tcPr>
          <w:p w14:paraId="67A237EA">
            <w:pPr>
              <w:widowControl/>
              <w:spacing w:line="18" w:lineRule="atLeast"/>
              <w:jc w:val="center"/>
              <w:rPr>
                <w:rFonts w:ascii="宋体" w:hAnsi="宋体" w:cs="宋体"/>
                <w:bCs/>
                <w:kern w:val="0"/>
              </w:rPr>
            </w:pPr>
            <w:r>
              <w:rPr>
                <w:rFonts w:hint="eastAsia" w:ascii="宋体" w:hAnsi="宋体" w:cs="宋体"/>
                <w:bCs/>
                <w:kern w:val="0"/>
              </w:rPr>
              <w:t>备注</w:t>
            </w:r>
          </w:p>
        </w:tc>
      </w:tr>
      <w:tr w14:paraId="6BCF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353" w:type="pct"/>
            <w:vMerge w:val="restart"/>
            <w:shd w:val="clear" w:color="auto" w:fill="auto"/>
            <w:noWrap/>
            <w:vAlign w:val="center"/>
          </w:tcPr>
          <w:p w14:paraId="4D67993A">
            <w:pPr>
              <w:widowControl/>
              <w:spacing w:line="18" w:lineRule="atLeast"/>
              <w:jc w:val="center"/>
              <w:rPr>
                <w:rFonts w:ascii="宋体" w:hAnsi="宋体" w:cs="宋体"/>
                <w:kern w:val="0"/>
              </w:rPr>
            </w:pPr>
            <w:bookmarkStart w:id="103" w:name="OLE_LINK18"/>
            <w:bookmarkStart w:id="104" w:name="OLE_LINK23"/>
            <w:r>
              <w:rPr>
                <w:rFonts w:hint="eastAsia" w:ascii="宋体" w:hAnsi="宋体" w:cs="宋体"/>
                <w:kern w:val="0"/>
              </w:rPr>
              <w:t>1</w:t>
            </w:r>
          </w:p>
        </w:tc>
        <w:tc>
          <w:tcPr>
            <w:tcW w:w="625" w:type="pct"/>
            <w:vMerge w:val="restart"/>
            <w:shd w:val="clear" w:color="auto" w:fill="auto"/>
            <w:noWrap/>
            <w:vAlign w:val="center"/>
          </w:tcPr>
          <w:p w14:paraId="61B52C07">
            <w:pPr>
              <w:widowControl/>
              <w:spacing w:line="18" w:lineRule="atLeast"/>
              <w:jc w:val="center"/>
              <w:rPr>
                <w:rFonts w:ascii="宋体" w:hAnsi="宋体" w:cs="宋体"/>
                <w:kern w:val="0"/>
              </w:rPr>
            </w:pPr>
            <w:r>
              <w:rPr>
                <w:rFonts w:hint="eastAsia" w:ascii="宋体" w:hAnsi="宋体" w:cs="宋体"/>
                <w:kern w:val="0"/>
              </w:rPr>
              <w:t>总体要求</w:t>
            </w:r>
          </w:p>
        </w:tc>
        <w:tc>
          <w:tcPr>
            <w:tcW w:w="3002" w:type="pct"/>
            <w:shd w:val="clear" w:color="auto" w:fill="auto"/>
            <w:noWrap/>
            <w:vAlign w:val="center"/>
          </w:tcPr>
          <w:p w14:paraId="164C2991">
            <w:pPr>
              <w:widowControl/>
              <w:spacing w:line="18" w:lineRule="atLeast"/>
              <w:jc w:val="left"/>
              <w:rPr>
                <w:rFonts w:ascii="宋体" w:hAnsi="宋体" w:cs="宋体"/>
                <w:kern w:val="0"/>
              </w:rPr>
            </w:pPr>
            <w:r>
              <w:rPr>
                <w:rFonts w:hint="eastAsia" w:ascii="宋体" w:hAnsi="宋体" w:cs="宋体"/>
                <w:kern w:val="0"/>
              </w:rPr>
              <w:t>设置特种设备安全管理机构</w:t>
            </w:r>
          </w:p>
        </w:tc>
        <w:tc>
          <w:tcPr>
            <w:tcW w:w="603" w:type="pct"/>
            <w:shd w:val="clear" w:color="auto" w:fill="auto"/>
            <w:noWrap/>
            <w:vAlign w:val="center"/>
          </w:tcPr>
          <w:p w14:paraId="23D348EA">
            <w:pPr>
              <w:widowControl/>
              <w:spacing w:line="18" w:lineRule="atLeast"/>
              <w:jc w:val="center"/>
              <w:rPr>
                <w:rFonts w:ascii="宋体" w:hAnsi="宋体" w:cs="宋体"/>
                <w:kern w:val="0"/>
              </w:rPr>
            </w:pPr>
          </w:p>
        </w:tc>
        <w:tc>
          <w:tcPr>
            <w:tcW w:w="414" w:type="pct"/>
            <w:shd w:val="clear" w:color="auto" w:fill="auto"/>
            <w:noWrap/>
            <w:vAlign w:val="center"/>
          </w:tcPr>
          <w:p w14:paraId="5FE29EA0">
            <w:pPr>
              <w:widowControl/>
              <w:spacing w:line="18" w:lineRule="atLeast"/>
              <w:jc w:val="center"/>
              <w:rPr>
                <w:rFonts w:ascii="宋体" w:hAnsi="宋体" w:cs="宋体"/>
                <w:kern w:val="0"/>
              </w:rPr>
            </w:pPr>
          </w:p>
        </w:tc>
      </w:tr>
      <w:tr w14:paraId="5F51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353" w:type="pct"/>
            <w:vMerge w:val="continue"/>
            <w:shd w:val="clear" w:color="auto" w:fill="auto"/>
            <w:noWrap/>
            <w:vAlign w:val="center"/>
          </w:tcPr>
          <w:p w14:paraId="37E148AD">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399D2348">
            <w:pPr>
              <w:widowControl/>
              <w:spacing w:line="18" w:lineRule="atLeast"/>
              <w:jc w:val="center"/>
              <w:rPr>
                <w:rFonts w:ascii="宋体" w:hAnsi="宋体" w:cs="宋体"/>
                <w:kern w:val="0"/>
              </w:rPr>
            </w:pPr>
          </w:p>
        </w:tc>
        <w:tc>
          <w:tcPr>
            <w:tcW w:w="3002" w:type="pct"/>
            <w:shd w:val="clear" w:color="auto" w:fill="auto"/>
            <w:noWrap/>
            <w:vAlign w:val="center"/>
          </w:tcPr>
          <w:p w14:paraId="03791B82">
            <w:pPr>
              <w:widowControl/>
              <w:spacing w:line="18" w:lineRule="atLeast"/>
              <w:jc w:val="left"/>
              <w:rPr>
                <w:rFonts w:ascii="宋体" w:hAnsi="宋体" w:cs="宋体"/>
                <w:kern w:val="0"/>
              </w:rPr>
            </w:pPr>
            <w:r>
              <w:rPr>
                <w:rFonts w:hint="eastAsia" w:ascii="宋体" w:hAnsi="宋体" w:cs="宋体"/>
                <w:kern w:val="0"/>
              </w:rPr>
              <w:t>配备场车安全总监、安全员和司机</w:t>
            </w:r>
          </w:p>
        </w:tc>
        <w:tc>
          <w:tcPr>
            <w:tcW w:w="603" w:type="pct"/>
            <w:shd w:val="clear" w:color="auto" w:fill="auto"/>
            <w:noWrap/>
            <w:vAlign w:val="center"/>
          </w:tcPr>
          <w:p w14:paraId="3FEC068E">
            <w:pPr>
              <w:widowControl/>
              <w:spacing w:line="18" w:lineRule="atLeast"/>
              <w:jc w:val="center"/>
              <w:rPr>
                <w:rFonts w:ascii="宋体" w:hAnsi="宋体" w:cs="宋体"/>
                <w:kern w:val="0"/>
              </w:rPr>
            </w:pPr>
          </w:p>
        </w:tc>
        <w:tc>
          <w:tcPr>
            <w:tcW w:w="414" w:type="pct"/>
            <w:shd w:val="clear" w:color="auto" w:fill="auto"/>
            <w:noWrap/>
            <w:vAlign w:val="center"/>
          </w:tcPr>
          <w:p w14:paraId="68716291">
            <w:pPr>
              <w:widowControl/>
              <w:spacing w:line="18" w:lineRule="atLeast"/>
              <w:jc w:val="center"/>
              <w:rPr>
                <w:rFonts w:ascii="宋体" w:hAnsi="宋体" w:cs="宋体"/>
                <w:kern w:val="0"/>
              </w:rPr>
            </w:pPr>
          </w:p>
        </w:tc>
      </w:tr>
      <w:tr w14:paraId="2A14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353" w:type="pct"/>
            <w:vMerge w:val="continue"/>
            <w:shd w:val="clear" w:color="auto" w:fill="auto"/>
            <w:noWrap/>
            <w:vAlign w:val="center"/>
          </w:tcPr>
          <w:p w14:paraId="4E454E04">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20D3EC04">
            <w:pPr>
              <w:widowControl/>
              <w:spacing w:line="18" w:lineRule="atLeast"/>
              <w:jc w:val="center"/>
              <w:rPr>
                <w:rFonts w:ascii="宋体" w:hAnsi="宋体" w:cs="宋体"/>
                <w:kern w:val="0"/>
              </w:rPr>
            </w:pPr>
          </w:p>
        </w:tc>
        <w:tc>
          <w:tcPr>
            <w:tcW w:w="3002" w:type="pct"/>
            <w:shd w:val="clear" w:color="auto" w:fill="auto"/>
            <w:noWrap/>
            <w:vAlign w:val="center"/>
          </w:tcPr>
          <w:p w14:paraId="04E2EFAB">
            <w:pPr>
              <w:widowControl/>
              <w:spacing w:line="18" w:lineRule="atLeast"/>
              <w:jc w:val="left"/>
              <w:rPr>
                <w:rFonts w:ascii="宋体" w:hAnsi="宋体" w:cs="宋体"/>
                <w:kern w:val="0"/>
              </w:rPr>
            </w:pPr>
            <w:r>
              <w:rPr>
                <w:rFonts w:hint="eastAsia" w:ascii="宋体" w:hAnsi="宋体" w:cs="宋体"/>
                <w:kern w:val="0"/>
              </w:rPr>
              <w:t>编制合规义务清单并持续更新</w:t>
            </w:r>
          </w:p>
        </w:tc>
        <w:tc>
          <w:tcPr>
            <w:tcW w:w="603" w:type="pct"/>
            <w:shd w:val="clear" w:color="auto" w:fill="auto"/>
            <w:noWrap/>
            <w:vAlign w:val="center"/>
          </w:tcPr>
          <w:p w14:paraId="6BD78C79">
            <w:pPr>
              <w:widowControl/>
              <w:spacing w:line="18" w:lineRule="atLeast"/>
              <w:jc w:val="center"/>
              <w:rPr>
                <w:rFonts w:ascii="宋体" w:hAnsi="宋体" w:cs="宋体"/>
                <w:kern w:val="0"/>
              </w:rPr>
            </w:pPr>
          </w:p>
        </w:tc>
        <w:tc>
          <w:tcPr>
            <w:tcW w:w="414" w:type="pct"/>
            <w:shd w:val="clear" w:color="auto" w:fill="auto"/>
            <w:noWrap/>
            <w:vAlign w:val="center"/>
          </w:tcPr>
          <w:p w14:paraId="0BAD5BCB">
            <w:pPr>
              <w:widowControl/>
              <w:spacing w:line="18" w:lineRule="atLeast"/>
              <w:jc w:val="center"/>
              <w:rPr>
                <w:rFonts w:ascii="宋体" w:hAnsi="宋体" w:cs="宋体"/>
                <w:kern w:val="0"/>
              </w:rPr>
            </w:pPr>
          </w:p>
        </w:tc>
      </w:tr>
      <w:tr w14:paraId="7D43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3" w:type="pct"/>
            <w:vMerge w:val="continue"/>
            <w:shd w:val="clear" w:color="auto" w:fill="auto"/>
            <w:noWrap/>
            <w:vAlign w:val="center"/>
          </w:tcPr>
          <w:p w14:paraId="620F7821">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2899ED1">
            <w:pPr>
              <w:widowControl/>
              <w:spacing w:line="18" w:lineRule="atLeast"/>
              <w:jc w:val="left"/>
              <w:rPr>
                <w:rFonts w:ascii="宋体" w:hAnsi="宋体" w:cs="宋体"/>
                <w:kern w:val="0"/>
              </w:rPr>
            </w:pPr>
          </w:p>
        </w:tc>
        <w:tc>
          <w:tcPr>
            <w:tcW w:w="3002" w:type="pct"/>
            <w:shd w:val="clear" w:color="auto" w:fill="auto"/>
            <w:noWrap/>
            <w:vAlign w:val="center"/>
          </w:tcPr>
          <w:p w14:paraId="098DC43A">
            <w:pPr>
              <w:widowControl/>
              <w:spacing w:line="18" w:lineRule="atLeast"/>
              <w:jc w:val="left"/>
              <w:rPr>
                <w:rFonts w:ascii="宋体" w:hAnsi="宋体" w:cs="宋体"/>
                <w:kern w:val="0"/>
              </w:rPr>
            </w:pPr>
            <w:r>
              <w:rPr>
                <w:rFonts w:hint="eastAsia" w:ascii="宋体" w:hAnsi="宋体" w:cs="宋体"/>
                <w:kern w:val="0"/>
              </w:rPr>
              <w:t>建立场车安全管理制度</w:t>
            </w:r>
          </w:p>
        </w:tc>
        <w:tc>
          <w:tcPr>
            <w:tcW w:w="603" w:type="pct"/>
            <w:shd w:val="clear" w:color="auto" w:fill="auto"/>
            <w:noWrap/>
            <w:vAlign w:val="center"/>
          </w:tcPr>
          <w:p w14:paraId="58D44860">
            <w:pPr>
              <w:widowControl/>
              <w:spacing w:line="18" w:lineRule="atLeast"/>
              <w:jc w:val="center"/>
              <w:rPr>
                <w:rFonts w:ascii="宋体" w:hAnsi="宋体" w:cs="宋体"/>
                <w:kern w:val="0"/>
              </w:rPr>
            </w:pPr>
          </w:p>
        </w:tc>
        <w:tc>
          <w:tcPr>
            <w:tcW w:w="414" w:type="pct"/>
            <w:shd w:val="clear" w:color="auto" w:fill="auto"/>
            <w:noWrap/>
            <w:vAlign w:val="center"/>
          </w:tcPr>
          <w:p w14:paraId="2C49FB59">
            <w:pPr>
              <w:widowControl/>
              <w:spacing w:line="18" w:lineRule="atLeast"/>
              <w:jc w:val="center"/>
              <w:rPr>
                <w:rFonts w:ascii="宋体" w:hAnsi="宋体" w:cs="宋体"/>
                <w:kern w:val="0"/>
              </w:rPr>
            </w:pPr>
          </w:p>
        </w:tc>
      </w:tr>
      <w:tr w14:paraId="6A39D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53" w:type="pct"/>
            <w:vMerge w:val="continue"/>
            <w:shd w:val="clear" w:color="auto" w:fill="auto"/>
            <w:noWrap/>
            <w:vAlign w:val="center"/>
          </w:tcPr>
          <w:p w14:paraId="19977D9F">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364FD833">
            <w:pPr>
              <w:widowControl/>
              <w:spacing w:line="18" w:lineRule="atLeast"/>
              <w:jc w:val="left"/>
              <w:rPr>
                <w:rFonts w:ascii="宋体" w:hAnsi="宋体" w:cs="宋体"/>
                <w:kern w:val="0"/>
              </w:rPr>
            </w:pPr>
          </w:p>
        </w:tc>
        <w:tc>
          <w:tcPr>
            <w:tcW w:w="3002" w:type="pct"/>
            <w:shd w:val="clear" w:color="auto" w:fill="auto"/>
            <w:noWrap/>
            <w:vAlign w:val="center"/>
          </w:tcPr>
          <w:p w14:paraId="47E8A346">
            <w:pPr>
              <w:widowControl/>
              <w:spacing w:line="18" w:lineRule="atLeast"/>
              <w:jc w:val="left"/>
              <w:rPr>
                <w:rFonts w:ascii="宋体" w:hAnsi="宋体" w:cs="宋体"/>
                <w:kern w:val="0"/>
              </w:rPr>
            </w:pPr>
            <w:r>
              <w:rPr>
                <w:rFonts w:hint="eastAsia" w:ascii="宋体" w:hAnsi="宋体" w:cs="宋体"/>
                <w:kern w:val="0"/>
              </w:rPr>
              <w:t>定期召开安全例会</w:t>
            </w:r>
          </w:p>
        </w:tc>
        <w:tc>
          <w:tcPr>
            <w:tcW w:w="603" w:type="pct"/>
            <w:shd w:val="clear" w:color="auto" w:fill="auto"/>
            <w:noWrap/>
            <w:vAlign w:val="center"/>
          </w:tcPr>
          <w:p w14:paraId="3CFE35FA">
            <w:pPr>
              <w:widowControl/>
              <w:spacing w:line="18" w:lineRule="atLeast"/>
              <w:jc w:val="center"/>
              <w:rPr>
                <w:rFonts w:ascii="宋体" w:hAnsi="宋体" w:cs="宋体"/>
                <w:kern w:val="0"/>
              </w:rPr>
            </w:pPr>
          </w:p>
        </w:tc>
        <w:tc>
          <w:tcPr>
            <w:tcW w:w="414" w:type="pct"/>
            <w:shd w:val="clear" w:color="auto" w:fill="auto"/>
            <w:noWrap/>
            <w:vAlign w:val="center"/>
          </w:tcPr>
          <w:p w14:paraId="48CDA73C">
            <w:pPr>
              <w:widowControl/>
              <w:spacing w:line="18" w:lineRule="atLeast"/>
              <w:jc w:val="center"/>
              <w:rPr>
                <w:rFonts w:ascii="宋体" w:hAnsi="宋体" w:cs="宋体"/>
                <w:kern w:val="0"/>
              </w:rPr>
            </w:pPr>
          </w:p>
        </w:tc>
      </w:tr>
      <w:tr w14:paraId="4BB0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6E666B55">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7C04376F">
            <w:pPr>
              <w:widowControl/>
              <w:spacing w:line="18" w:lineRule="atLeast"/>
              <w:jc w:val="left"/>
              <w:rPr>
                <w:rFonts w:ascii="宋体" w:hAnsi="宋体" w:cs="宋体"/>
                <w:kern w:val="0"/>
              </w:rPr>
            </w:pPr>
          </w:p>
        </w:tc>
        <w:tc>
          <w:tcPr>
            <w:tcW w:w="3002" w:type="pct"/>
            <w:shd w:val="clear" w:color="auto" w:fill="auto"/>
            <w:noWrap/>
            <w:vAlign w:val="center"/>
          </w:tcPr>
          <w:p w14:paraId="3F28A017">
            <w:pPr>
              <w:widowControl/>
              <w:spacing w:line="18" w:lineRule="atLeast"/>
              <w:jc w:val="left"/>
              <w:rPr>
                <w:rFonts w:ascii="宋体" w:hAnsi="宋体" w:cs="宋体"/>
                <w:kern w:val="0"/>
              </w:rPr>
            </w:pPr>
            <w:r>
              <w:rPr>
                <w:rFonts w:hint="eastAsia" w:ascii="宋体" w:hAnsi="宋体" w:cs="宋体"/>
                <w:kern w:val="0"/>
              </w:rPr>
              <w:t>从业人员安全教育培训及考核</w:t>
            </w:r>
          </w:p>
        </w:tc>
        <w:tc>
          <w:tcPr>
            <w:tcW w:w="603" w:type="pct"/>
            <w:shd w:val="clear" w:color="auto" w:fill="auto"/>
            <w:noWrap/>
            <w:vAlign w:val="center"/>
          </w:tcPr>
          <w:p w14:paraId="0ACD1676">
            <w:pPr>
              <w:widowControl/>
              <w:spacing w:line="18" w:lineRule="atLeast"/>
              <w:jc w:val="center"/>
              <w:rPr>
                <w:rFonts w:ascii="宋体" w:hAnsi="宋体" w:cs="宋体"/>
                <w:kern w:val="0"/>
              </w:rPr>
            </w:pPr>
          </w:p>
        </w:tc>
        <w:tc>
          <w:tcPr>
            <w:tcW w:w="414" w:type="pct"/>
            <w:shd w:val="clear" w:color="auto" w:fill="auto"/>
            <w:noWrap/>
            <w:vAlign w:val="center"/>
          </w:tcPr>
          <w:p w14:paraId="30F0F7A6">
            <w:pPr>
              <w:widowControl/>
              <w:spacing w:line="18" w:lineRule="atLeast"/>
              <w:jc w:val="center"/>
              <w:rPr>
                <w:rFonts w:ascii="宋体" w:hAnsi="宋体" w:cs="宋体"/>
                <w:kern w:val="0"/>
              </w:rPr>
            </w:pPr>
          </w:p>
        </w:tc>
      </w:tr>
      <w:tr w14:paraId="27ABB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1BA4A7D9">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36F16B95">
            <w:pPr>
              <w:widowControl/>
              <w:spacing w:line="18" w:lineRule="atLeast"/>
              <w:jc w:val="left"/>
              <w:rPr>
                <w:rFonts w:ascii="宋体" w:hAnsi="宋体" w:cs="宋体"/>
                <w:kern w:val="0"/>
              </w:rPr>
            </w:pPr>
          </w:p>
        </w:tc>
        <w:tc>
          <w:tcPr>
            <w:tcW w:w="3002" w:type="pct"/>
            <w:shd w:val="clear" w:color="auto" w:fill="auto"/>
            <w:noWrap/>
            <w:vAlign w:val="center"/>
          </w:tcPr>
          <w:p w14:paraId="1780C026">
            <w:pPr>
              <w:widowControl/>
              <w:spacing w:line="18" w:lineRule="atLeast"/>
              <w:jc w:val="left"/>
              <w:rPr>
                <w:rFonts w:ascii="宋体" w:hAnsi="宋体" w:cs="宋体"/>
                <w:kern w:val="0"/>
              </w:rPr>
            </w:pPr>
            <w:r>
              <w:rPr>
                <w:rFonts w:hint="eastAsia" w:ascii="宋体" w:hAnsi="宋体" w:cs="宋体"/>
                <w:kern w:val="0"/>
              </w:rPr>
              <w:t>合规情况反馈接收与处理</w:t>
            </w:r>
          </w:p>
        </w:tc>
        <w:tc>
          <w:tcPr>
            <w:tcW w:w="603" w:type="pct"/>
            <w:shd w:val="clear" w:color="auto" w:fill="auto"/>
            <w:noWrap/>
            <w:vAlign w:val="center"/>
          </w:tcPr>
          <w:p w14:paraId="7C5E72D6">
            <w:pPr>
              <w:widowControl/>
              <w:spacing w:line="18" w:lineRule="atLeast"/>
              <w:jc w:val="center"/>
              <w:rPr>
                <w:rFonts w:ascii="宋体" w:hAnsi="宋体" w:cs="宋体"/>
                <w:kern w:val="0"/>
              </w:rPr>
            </w:pPr>
          </w:p>
        </w:tc>
        <w:tc>
          <w:tcPr>
            <w:tcW w:w="414" w:type="pct"/>
            <w:shd w:val="clear" w:color="auto" w:fill="auto"/>
            <w:noWrap/>
            <w:vAlign w:val="center"/>
          </w:tcPr>
          <w:p w14:paraId="5A06A433">
            <w:pPr>
              <w:widowControl/>
              <w:spacing w:line="18" w:lineRule="atLeast"/>
              <w:jc w:val="center"/>
              <w:rPr>
                <w:rFonts w:ascii="宋体" w:hAnsi="宋体" w:cs="宋体"/>
                <w:kern w:val="0"/>
              </w:rPr>
            </w:pPr>
          </w:p>
        </w:tc>
      </w:tr>
      <w:tr w14:paraId="4791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353" w:type="pct"/>
            <w:vMerge w:val="continue"/>
            <w:shd w:val="clear" w:color="auto" w:fill="auto"/>
            <w:noWrap/>
            <w:vAlign w:val="center"/>
          </w:tcPr>
          <w:p w14:paraId="34BDF285">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F343FAB">
            <w:pPr>
              <w:widowControl/>
              <w:spacing w:line="18" w:lineRule="atLeast"/>
              <w:jc w:val="left"/>
              <w:rPr>
                <w:rFonts w:ascii="宋体" w:hAnsi="宋体" w:cs="宋体"/>
                <w:kern w:val="0"/>
              </w:rPr>
            </w:pPr>
          </w:p>
        </w:tc>
        <w:tc>
          <w:tcPr>
            <w:tcW w:w="3002" w:type="pct"/>
            <w:shd w:val="clear" w:color="auto" w:fill="auto"/>
            <w:noWrap/>
            <w:vAlign w:val="center"/>
          </w:tcPr>
          <w:p w14:paraId="198C1E35">
            <w:pPr>
              <w:widowControl/>
              <w:spacing w:line="18" w:lineRule="atLeast"/>
              <w:jc w:val="left"/>
              <w:rPr>
                <w:rFonts w:ascii="宋体" w:hAnsi="宋体" w:cs="宋体"/>
                <w:kern w:val="0"/>
              </w:rPr>
            </w:pPr>
            <w:r>
              <w:rPr>
                <w:rFonts w:hint="eastAsia" w:ascii="宋体" w:hAnsi="宋体" w:cs="宋体"/>
                <w:kern w:val="0"/>
              </w:rPr>
              <w:t>开展场车安全风险合规管理检查工作</w:t>
            </w:r>
          </w:p>
        </w:tc>
        <w:tc>
          <w:tcPr>
            <w:tcW w:w="603" w:type="pct"/>
            <w:shd w:val="clear" w:color="auto" w:fill="auto"/>
            <w:noWrap/>
            <w:vAlign w:val="center"/>
          </w:tcPr>
          <w:p w14:paraId="12183604">
            <w:pPr>
              <w:widowControl/>
              <w:spacing w:line="18" w:lineRule="atLeast"/>
              <w:jc w:val="center"/>
              <w:rPr>
                <w:rFonts w:ascii="宋体" w:hAnsi="宋体" w:cs="宋体"/>
                <w:kern w:val="0"/>
              </w:rPr>
            </w:pPr>
          </w:p>
        </w:tc>
        <w:tc>
          <w:tcPr>
            <w:tcW w:w="414" w:type="pct"/>
            <w:shd w:val="clear" w:color="auto" w:fill="auto"/>
            <w:noWrap/>
            <w:vAlign w:val="center"/>
          </w:tcPr>
          <w:p w14:paraId="2717B283">
            <w:pPr>
              <w:widowControl/>
              <w:spacing w:line="18" w:lineRule="atLeast"/>
              <w:jc w:val="center"/>
              <w:rPr>
                <w:rFonts w:ascii="宋体" w:hAnsi="宋体" w:cs="宋体"/>
                <w:kern w:val="0"/>
              </w:rPr>
            </w:pPr>
          </w:p>
        </w:tc>
      </w:tr>
      <w:tr w14:paraId="787C1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53" w:type="pct"/>
            <w:vMerge w:val="restart"/>
            <w:shd w:val="clear" w:color="auto" w:fill="auto"/>
            <w:noWrap/>
            <w:vAlign w:val="center"/>
          </w:tcPr>
          <w:p w14:paraId="1C706F39">
            <w:pPr>
              <w:widowControl/>
              <w:spacing w:line="18" w:lineRule="atLeast"/>
              <w:jc w:val="center"/>
              <w:rPr>
                <w:rFonts w:ascii="宋体" w:hAnsi="宋体" w:cs="宋体"/>
                <w:kern w:val="0"/>
              </w:rPr>
            </w:pPr>
            <w:bookmarkStart w:id="105" w:name="OLE_LINK15"/>
            <w:r>
              <w:rPr>
                <w:rFonts w:hint="eastAsia" w:ascii="宋体" w:hAnsi="宋体" w:cs="宋体"/>
                <w:kern w:val="0"/>
              </w:rPr>
              <w:t>2</w:t>
            </w:r>
          </w:p>
        </w:tc>
        <w:tc>
          <w:tcPr>
            <w:tcW w:w="625" w:type="pct"/>
            <w:vMerge w:val="restart"/>
            <w:shd w:val="clear" w:color="auto" w:fill="auto"/>
            <w:noWrap/>
            <w:vAlign w:val="center"/>
          </w:tcPr>
          <w:p w14:paraId="6D56C75C">
            <w:pPr>
              <w:widowControl/>
              <w:spacing w:line="18" w:lineRule="atLeast"/>
              <w:jc w:val="center"/>
              <w:rPr>
                <w:rFonts w:ascii="宋体" w:hAnsi="宋体" w:cs="宋体"/>
                <w:kern w:val="0"/>
              </w:rPr>
            </w:pPr>
            <w:r>
              <w:rPr>
                <w:rFonts w:hint="eastAsia" w:ascii="宋体" w:hAnsi="宋体" w:cs="宋体"/>
                <w:kern w:val="0"/>
              </w:rPr>
              <w:t>投用前管理</w:t>
            </w:r>
          </w:p>
        </w:tc>
        <w:tc>
          <w:tcPr>
            <w:tcW w:w="3002" w:type="pct"/>
            <w:shd w:val="clear" w:color="auto" w:fill="auto"/>
            <w:noWrap/>
            <w:vAlign w:val="center"/>
          </w:tcPr>
          <w:p w14:paraId="22C73709">
            <w:pPr>
              <w:widowControl/>
              <w:spacing w:line="18" w:lineRule="atLeast"/>
              <w:jc w:val="left"/>
              <w:rPr>
                <w:rFonts w:ascii="宋体" w:hAnsi="宋体" w:cs="宋体"/>
                <w:kern w:val="0"/>
              </w:rPr>
            </w:pPr>
            <w:r>
              <w:rPr>
                <w:rFonts w:hint="eastAsia" w:ascii="宋体" w:hAnsi="宋体" w:cs="宋体"/>
                <w:kern w:val="0"/>
              </w:rPr>
              <w:t>购置具有生产许可资质并经检验合格的场车</w:t>
            </w:r>
          </w:p>
        </w:tc>
        <w:tc>
          <w:tcPr>
            <w:tcW w:w="603" w:type="pct"/>
            <w:shd w:val="clear" w:color="auto" w:fill="auto"/>
            <w:noWrap/>
            <w:vAlign w:val="center"/>
          </w:tcPr>
          <w:p w14:paraId="263D2A4A">
            <w:pPr>
              <w:widowControl/>
              <w:spacing w:line="18" w:lineRule="atLeast"/>
              <w:jc w:val="center"/>
              <w:rPr>
                <w:rFonts w:ascii="宋体" w:hAnsi="宋体" w:cs="宋体"/>
                <w:kern w:val="0"/>
              </w:rPr>
            </w:pPr>
          </w:p>
        </w:tc>
        <w:tc>
          <w:tcPr>
            <w:tcW w:w="414" w:type="pct"/>
            <w:shd w:val="clear" w:color="auto" w:fill="auto"/>
            <w:noWrap/>
            <w:vAlign w:val="center"/>
          </w:tcPr>
          <w:p w14:paraId="4EF3E821">
            <w:pPr>
              <w:widowControl/>
              <w:spacing w:line="18" w:lineRule="atLeast"/>
              <w:jc w:val="center"/>
              <w:rPr>
                <w:rFonts w:ascii="宋体" w:hAnsi="宋体" w:cs="宋体"/>
                <w:kern w:val="0"/>
              </w:rPr>
            </w:pPr>
          </w:p>
        </w:tc>
      </w:tr>
      <w:tr w14:paraId="5A4B2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269C16D0">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3188C78F">
            <w:pPr>
              <w:widowControl/>
              <w:spacing w:line="18" w:lineRule="atLeast"/>
              <w:jc w:val="center"/>
              <w:rPr>
                <w:rFonts w:ascii="宋体" w:hAnsi="宋体" w:cs="宋体"/>
                <w:kern w:val="0"/>
              </w:rPr>
            </w:pPr>
          </w:p>
        </w:tc>
        <w:tc>
          <w:tcPr>
            <w:tcW w:w="3002" w:type="pct"/>
            <w:shd w:val="clear" w:color="auto" w:fill="auto"/>
            <w:noWrap/>
            <w:vAlign w:val="center"/>
          </w:tcPr>
          <w:p w14:paraId="52C974D7">
            <w:pPr>
              <w:widowControl/>
              <w:spacing w:line="18" w:lineRule="atLeast"/>
              <w:jc w:val="left"/>
              <w:rPr>
                <w:rFonts w:ascii="宋体" w:hAnsi="宋体" w:cs="宋体"/>
                <w:kern w:val="0"/>
              </w:rPr>
            </w:pPr>
            <w:r>
              <w:rPr>
                <w:rFonts w:hint="eastAsia" w:ascii="宋体" w:hAnsi="宋体" w:cs="宋体"/>
                <w:kern w:val="0"/>
              </w:rPr>
              <w:t>首次检验</w:t>
            </w:r>
          </w:p>
        </w:tc>
        <w:tc>
          <w:tcPr>
            <w:tcW w:w="603" w:type="pct"/>
            <w:shd w:val="clear" w:color="auto" w:fill="auto"/>
            <w:noWrap/>
            <w:vAlign w:val="center"/>
          </w:tcPr>
          <w:p w14:paraId="7F0A5E8E">
            <w:pPr>
              <w:widowControl/>
              <w:spacing w:line="18" w:lineRule="atLeast"/>
              <w:jc w:val="center"/>
              <w:rPr>
                <w:rFonts w:ascii="宋体" w:hAnsi="宋体" w:cs="宋体"/>
                <w:kern w:val="0"/>
              </w:rPr>
            </w:pPr>
          </w:p>
        </w:tc>
        <w:tc>
          <w:tcPr>
            <w:tcW w:w="414" w:type="pct"/>
            <w:shd w:val="clear" w:color="auto" w:fill="auto"/>
            <w:noWrap/>
            <w:vAlign w:val="center"/>
          </w:tcPr>
          <w:p w14:paraId="593D96A0">
            <w:pPr>
              <w:widowControl/>
              <w:spacing w:line="18" w:lineRule="atLeast"/>
              <w:jc w:val="center"/>
              <w:rPr>
                <w:rFonts w:ascii="宋体" w:hAnsi="宋体" w:cs="宋体"/>
                <w:kern w:val="0"/>
              </w:rPr>
            </w:pPr>
          </w:p>
        </w:tc>
      </w:tr>
      <w:tr w14:paraId="461D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353" w:type="pct"/>
            <w:vMerge w:val="continue"/>
            <w:shd w:val="clear" w:color="auto" w:fill="auto"/>
            <w:noWrap/>
            <w:vAlign w:val="center"/>
          </w:tcPr>
          <w:p w14:paraId="12F75914">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11D6831E">
            <w:pPr>
              <w:widowControl/>
              <w:spacing w:line="18" w:lineRule="atLeast"/>
              <w:jc w:val="left"/>
              <w:rPr>
                <w:rFonts w:ascii="宋体" w:hAnsi="宋体" w:cs="宋体"/>
                <w:kern w:val="0"/>
              </w:rPr>
            </w:pPr>
          </w:p>
        </w:tc>
        <w:tc>
          <w:tcPr>
            <w:tcW w:w="3002" w:type="pct"/>
            <w:shd w:val="clear" w:color="auto" w:fill="auto"/>
            <w:noWrap/>
            <w:vAlign w:val="center"/>
          </w:tcPr>
          <w:p w14:paraId="3130DEE0">
            <w:pPr>
              <w:widowControl/>
              <w:spacing w:line="18" w:lineRule="atLeast"/>
              <w:jc w:val="left"/>
              <w:rPr>
                <w:rFonts w:ascii="宋体" w:hAnsi="宋体" w:cs="宋体"/>
                <w:kern w:val="0"/>
              </w:rPr>
            </w:pPr>
            <w:r>
              <w:rPr>
                <w:rFonts w:hint="eastAsia" w:ascii="宋体" w:hAnsi="宋体" w:cs="宋体"/>
                <w:kern w:val="0"/>
              </w:rPr>
              <w:t>办理使用登记</w:t>
            </w:r>
          </w:p>
        </w:tc>
        <w:tc>
          <w:tcPr>
            <w:tcW w:w="603" w:type="pct"/>
            <w:shd w:val="clear" w:color="auto" w:fill="auto"/>
            <w:noWrap/>
            <w:vAlign w:val="center"/>
          </w:tcPr>
          <w:p w14:paraId="057052AA">
            <w:pPr>
              <w:widowControl/>
              <w:spacing w:line="18" w:lineRule="atLeast"/>
              <w:jc w:val="center"/>
              <w:rPr>
                <w:rFonts w:ascii="宋体" w:hAnsi="宋体" w:cs="宋体"/>
                <w:kern w:val="0"/>
              </w:rPr>
            </w:pPr>
          </w:p>
        </w:tc>
        <w:tc>
          <w:tcPr>
            <w:tcW w:w="414" w:type="pct"/>
            <w:shd w:val="clear" w:color="auto" w:fill="auto"/>
            <w:noWrap/>
            <w:vAlign w:val="center"/>
          </w:tcPr>
          <w:p w14:paraId="18423E10">
            <w:pPr>
              <w:widowControl/>
              <w:spacing w:line="18" w:lineRule="atLeast"/>
              <w:jc w:val="center"/>
              <w:rPr>
                <w:rFonts w:ascii="宋体" w:hAnsi="宋体" w:cs="宋体"/>
                <w:kern w:val="0"/>
              </w:rPr>
            </w:pPr>
          </w:p>
        </w:tc>
      </w:tr>
      <w:tr w14:paraId="0354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353" w:type="pct"/>
            <w:vMerge w:val="restart"/>
            <w:shd w:val="clear" w:color="auto" w:fill="auto"/>
            <w:noWrap/>
            <w:vAlign w:val="center"/>
          </w:tcPr>
          <w:p w14:paraId="566F2252">
            <w:pPr>
              <w:widowControl/>
              <w:spacing w:line="18" w:lineRule="atLeast"/>
              <w:jc w:val="center"/>
              <w:rPr>
                <w:rFonts w:ascii="宋体" w:hAnsi="宋体" w:cs="宋体"/>
                <w:kern w:val="0"/>
              </w:rPr>
            </w:pPr>
            <w:r>
              <w:rPr>
                <w:rFonts w:hint="eastAsia" w:ascii="宋体" w:hAnsi="宋体" w:cs="宋体"/>
                <w:kern w:val="0"/>
              </w:rPr>
              <w:t>3</w:t>
            </w:r>
          </w:p>
        </w:tc>
        <w:tc>
          <w:tcPr>
            <w:tcW w:w="625" w:type="pct"/>
            <w:vMerge w:val="restart"/>
            <w:shd w:val="clear" w:color="auto" w:fill="auto"/>
            <w:noWrap/>
            <w:vAlign w:val="center"/>
          </w:tcPr>
          <w:p w14:paraId="4E40072E">
            <w:pPr>
              <w:widowControl/>
              <w:spacing w:line="18" w:lineRule="atLeast"/>
              <w:jc w:val="center"/>
              <w:rPr>
                <w:rFonts w:ascii="宋体" w:hAnsi="宋体" w:cs="宋体"/>
                <w:kern w:val="0"/>
              </w:rPr>
            </w:pPr>
            <w:r>
              <w:rPr>
                <w:rFonts w:hint="eastAsia" w:ascii="宋体" w:hAnsi="宋体" w:cs="宋体"/>
                <w:kern w:val="0"/>
              </w:rPr>
              <w:t>人员管理</w:t>
            </w:r>
          </w:p>
        </w:tc>
        <w:tc>
          <w:tcPr>
            <w:tcW w:w="3002" w:type="pct"/>
            <w:shd w:val="clear" w:color="auto" w:fill="auto"/>
            <w:noWrap/>
            <w:vAlign w:val="center"/>
          </w:tcPr>
          <w:p w14:paraId="3EF7911C">
            <w:pPr>
              <w:widowControl/>
              <w:spacing w:line="18" w:lineRule="atLeast"/>
              <w:jc w:val="left"/>
              <w:rPr>
                <w:rFonts w:ascii="宋体" w:hAnsi="宋体" w:cs="宋体"/>
                <w:kern w:val="0"/>
              </w:rPr>
            </w:pPr>
            <w:r>
              <w:rPr>
                <w:rFonts w:hint="eastAsia" w:ascii="宋体" w:hAnsi="宋体" w:cs="宋体"/>
                <w:kern w:val="0"/>
              </w:rPr>
              <w:t>主要负责人</w:t>
            </w:r>
          </w:p>
        </w:tc>
        <w:tc>
          <w:tcPr>
            <w:tcW w:w="603" w:type="pct"/>
            <w:shd w:val="clear" w:color="auto" w:fill="auto"/>
            <w:noWrap/>
            <w:vAlign w:val="center"/>
          </w:tcPr>
          <w:p w14:paraId="246141E3">
            <w:pPr>
              <w:widowControl/>
              <w:spacing w:line="18" w:lineRule="atLeast"/>
              <w:jc w:val="center"/>
              <w:rPr>
                <w:rFonts w:ascii="宋体" w:hAnsi="宋体" w:cs="宋体"/>
                <w:kern w:val="0"/>
              </w:rPr>
            </w:pPr>
          </w:p>
        </w:tc>
        <w:tc>
          <w:tcPr>
            <w:tcW w:w="414" w:type="pct"/>
            <w:shd w:val="clear" w:color="auto" w:fill="auto"/>
            <w:noWrap/>
            <w:vAlign w:val="center"/>
          </w:tcPr>
          <w:p w14:paraId="5BDEE10A">
            <w:pPr>
              <w:widowControl/>
              <w:spacing w:line="18" w:lineRule="atLeast"/>
              <w:jc w:val="center"/>
              <w:rPr>
                <w:rFonts w:ascii="宋体" w:hAnsi="宋体" w:cs="宋体"/>
                <w:kern w:val="0"/>
              </w:rPr>
            </w:pPr>
          </w:p>
        </w:tc>
      </w:tr>
      <w:tr w14:paraId="441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2DB6ABD9">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32A1E718">
            <w:pPr>
              <w:widowControl/>
              <w:spacing w:line="18" w:lineRule="atLeast"/>
              <w:jc w:val="left"/>
              <w:rPr>
                <w:rFonts w:ascii="宋体" w:hAnsi="宋体" w:cs="宋体"/>
                <w:kern w:val="0"/>
              </w:rPr>
            </w:pPr>
          </w:p>
        </w:tc>
        <w:tc>
          <w:tcPr>
            <w:tcW w:w="3002" w:type="pct"/>
            <w:shd w:val="clear" w:color="auto" w:fill="auto"/>
            <w:noWrap/>
            <w:vAlign w:val="center"/>
          </w:tcPr>
          <w:p w14:paraId="15249FA1">
            <w:pPr>
              <w:widowControl/>
              <w:spacing w:line="18" w:lineRule="atLeast"/>
              <w:jc w:val="left"/>
              <w:rPr>
                <w:rFonts w:ascii="宋体" w:hAnsi="宋体" w:cs="宋体"/>
                <w:kern w:val="0"/>
              </w:rPr>
            </w:pPr>
            <w:r>
              <w:rPr>
                <w:rFonts w:hint="eastAsia" w:ascii="宋体" w:hAnsi="宋体" w:cs="宋体"/>
                <w:kern w:val="0"/>
              </w:rPr>
              <w:t>任命安全总监</w:t>
            </w:r>
          </w:p>
        </w:tc>
        <w:tc>
          <w:tcPr>
            <w:tcW w:w="603" w:type="pct"/>
            <w:shd w:val="clear" w:color="auto" w:fill="auto"/>
            <w:noWrap/>
            <w:vAlign w:val="center"/>
          </w:tcPr>
          <w:p w14:paraId="60B473A9">
            <w:pPr>
              <w:widowControl/>
              <w:spacing w:line="18" w:lineRule="atLeast"/>
              <w:jc w:val="center"/>
              <w:rPr>
                <w:rFonts w:ascii="宋体" w:hAnsi="宋体" w:cs="宋体"/>
                <w:kern w:val="0"/>
              </w:rPr>
            </w:pPr>
          </w:p>
        </w:tc>
        <w:tc>
          <w:tcPr>
            <w:tcW w:w="414" w:type="pct"/>
            <w:shd w:val="clear" w:color="auto" w:fill="auto"/>
            <w:noWrap/>
            <w:vAlign w:val="center"/>
          </w:tcPr>
          <w:p w14:paraId="7F57F1DF">
            <w:pPr>
              <w:widowControl/>
              <w:spacing w:line="18" w:lineRule="atLeast"/>
              <w:jc w:val="center"/>
              <w:rPr>
                <w:rFonts w:ascii="宋体" w:hAnsi="宋体" w:cs="宋体"/>
                <w:kern w:val="0"/>
              </w:rPr>
            </w:pPr>
          </w:p>
        </w:tc>
      </w:tr>
      <w:tr w14:paraId="0D63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63D609CE">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63CBE0BC">
            <w:pPr>
              <w:widowControl/>
              <w:spacing w:line="18" w:lineRule="atLeast"/>
              <w:jc w:val="left"/>
              <w:rPr>
                <w:rFonts w:ascii="宋体" w:hAnsi="宋体" w:cs="宋体"/>
                <w:kern w:val="0"/>
              </w:rPr>
            </w:pPr>
          </w:p>
        </w:tc>
        <w:tc>
          <w:tcPr>
            <w:tcW w:w="3002" w:type="pct"/>
            <w:shd w:val="clear" w:color="auto" w:fill="auto"/>
            <w:noWrap/>
            <w:vAlign w:val="center"/>
          </w:tcPr>
          <w:p w14:paraId="3790F25E">
            <w:pPr>
              <w:widowControl/>
              <w:spacing w:line="18" w:lineRule="atLeast"/>
              <w:jc w:val="left"/>
              <w:rPr>
                <w:rFonts w:ascii="宋体" w:hAnsi="宋体" w:cs="宋体"/>
                <w:kern w:val="0"/>
              </w:rPr>
            </w:pPr>
            <w:r>
              <w:rPr>
                <w:rFonts w:hint="eastAsia" w:ascii="宋体" w:hAnsi="宋体" w:cs="宋体"/>
                <w:kern w:val="0"/>
              </w:rPr>
              <w:t>任命安全员</w:t>
            </w:r>
          </w:p>
        </w:tc>
        <w:tc>
          <w:tcPr>
            <w:tcW w:w="603" w:type="pct"/>
            <w:shd w:val="clear" w:color="auto" w:fill="auto"/>
            <w:noWrap/>
            <w:vAlign w:val="center"/>
          </w:tcPr>
          <w:p w14:paraId="58E429A6">
            <w:pPr>
              <w:widowControl/>
              <w:spacing w:line="18" w:lineRule="atLeast"/>
              <w:jc w:val="center"/>
              <w:rPr>
                <w:rFonts w:ascii="宋体" w:hAnsi="宋体" w:cs="宋体"/>
                <w:kern w:val="0"/>
              </w:rPr>
            </w:pPr>
          </w:p>
        </w:tc>
        <w:tc>
          <w:tcPr>
            <w:tcW w:w="414" w:type="pct"/>
            <w:shd w:val="clear" w:color="auto" w:fill="auto"/>
            <w:noWrap/>
            <w:vAlign w:val="center"/>
          </w:tcPr>
          <w:p w14:paraId="291691B2">
            <w:pPr>
              <w:widowControl/>
              <w:spacing w:line="18" w:lineRule="atLeast"/>
              <w:jc w:val="center"/>
              <w:rPr>
                <w:rFonts w:ascii="宋体" w:hAnsi="宋体" w:cs="宋体"/>
                <w:kern w:val="0"/>
              </w:rPr>
            </w:pPr>
          </w:p>
        </w:tc>
      </w:tr>
      <w:tr w14:paraId="77BD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3D5CEE02">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D6EE444">
            <w:pPr>
              <w:widowControl/>
              <w:spacing w:line="18" w:lineRule="atLeast"/>
              <w:jc w:val="left"/>
              <w:rPr>
                <w:rFonts w:ascii="宋体" w:hAnsi="宋体" w:cs="宋体"/>
                <w:kern w:val="0"/>
              </w:rPr>
            </w:pPr>
          </w:p>
        </w:tc>
        <w:tc>
          <w:tcPr>
            <w:tcW w:w="3002" w:type="pct"/>
            <w:shd w:val="clear" w:color="auto" w:fill="auto"/>
            <w:noWrap/>
            <w:vAlign w:val="center"/>
          </w:tcPr>
          <w:p w14:paraId="45F59AE4">
            <w:pPr>
              <w:widowControl/>
              <w:spacing w:line="18" w:lineRule="atLeast"/>
              <w:jc w:val="left"/>
              <w:rPr>
                <w:rFonts w:ascii="宋体" w:hAnsi="宋体" w:cs="宋体"/>
                <w:kern w:val="0"/>
              </w:rPr>
            </w:pPr>
            <w:r>
              <w:rPr>
                <w:rFonts w:hint="eastAsia" w:ascii="宋体" w:hAnsi="宋体" w:cs="宋体"/>
                <w:kern w:val="0"/>
              </w:rPr>
              <w:t>作业人员取得相应《特种设备安全制度管理和作业人员证》</w:t>
            </w:r>
          </w:p>
        </w:tc>
        <w:tc>
          <w:tcPr>
            <w:tcW w:w="603" w:type="pct"/>
            <w:shd w:val="clear" w:color="auto" w:fill="auto"/>
            <w:noWrap/>
            <w:vAlign w:val="center"/>
          </w:tcPr>
          <w:p w14:paraId="386FB44E">
            <w:pPr>
              <w:widowControl/>
              <w:spacing w:line="18" w:lineRule="atLeast"/>
              <w:jc w:val="center"/>
              <w:rPr>
                <w:rFonts w:ascii="宋体" w:hAnsi="宋体" w:cs="宋体"/>
                <w:kern w:val="0"/>
              </w:rPr>
            </w:pPr>
          </w:p>
        </w:tc>
        <w:tc>
          <w:tcPr>
            <w:tcW w:w="414" w:type="pct"/>
            <w:shd w:val="clear" w:color="auto" w:fill="auto"/>
            <w:noWrap/>
            <w:vAlign w:val="center"/>
          </w:tcPr>
          <w:p w14:paraId="1E4082A1">
            <w:pPr>
              <w:widowControl/>
              <w:spacing w:line="18" w:lineRule="atLeast"/>
              <w:jc w:val="center"/>
              <w:rPr>
                <w:rFonts w:ascii="宋体" w:hAnsi="宋体" w:cs="宋体"/>
                <w:kern w:val="0"/>
              </w:rPr>
            </w:pPr>
          </w:p>
        </w:tc>
      </w:tr>
      <w:tr w14:paraId="4727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53" w:type="pct"/>
            <w:vMerge w:val="restart"/>
            <w:shd w:val="clear" w:color="auto" w:fill="auto"/>
            <w:noWrap/>
            <w:vAlign w:val="center"/>
          </w:tcPr>
          <w:p w14:paraId="07D08BEF">
            <w:pPr>
              <w:widowControl/>
              <w:spacing w:line="18" w:lineRule="atLeast"/>
              <w:jc w:val="center"/>
              <w:rPr>
                <w:rFonts w:ascii="宋体" w:hAnsi="宋体" w:cs="宋体"/>
                <w:kern w:val="0"/>
              </w:rPr>
            </w:pPr>
            <w:r>
              <w:rPr>
                <w:rFonts w:hint="eastAsia" w:ascii="宋体" w:hAnsi="宋体" w:cs="宋体"/>
                <w:kern w:val="0"/>
              </w:rPr>
              <w:t>4</w:t>
            </w:r>
          </w:p>
        </w:tc>
        <w:tc>
          <w:tcPr>
            <w:tcW w:w="625" w:type="pct"/>
            <w:vMerge w:val="restart"/>
            <w:shd w:val="clear" w:color="auto" w:fill="auto"/>
            <w:noWrap/>
            <w:vAlign w:val="center"/>
          </w:tcPr>
          <w:p w14:paraId="532F657C">
            <w:pPr>
              <w:widowControl/>
              <w:spacing w:line="18" w:lineRule="atLeast"/>
              <w:jc w:val="center"/>
              <w:rPr>
                <w:rFonts w:ascii="宋体" w:hAnsi="宋体" w:cs="宋体"/>
                <w:kern w:val="0"/>
              </w:rPr>
            </w:pPr>
            <w:r>
              <w:rPr>
                <w:rFonts w:hint="eastAsia" w:ascii="宋体" w:hAnsi="宋体" w:cs="宋体"/>
                <w:kern w:val="0"/>
              </w:rPr>
              <w:t>车辆管理</w:t>
            </w:r>
          </w:p>
        </w:tc>
        <w:tc>
          <w:tcPr>
            <w:tcW w:w="3002" w:type="pct"/>
            <w:shd w:val="clear" w:color="auto" w:fill="auto"/>
            <w:noWrap/>
            <w:vAlign w:val="center"/>
          </w:tcPr>
          <w:p w14:paraId="483660D3">
            <w:pPr>
              <w:widowControl/>
              <w:spacing w:line="18" w:lineRule="atLeast"/>
              <w:jc w:val="left"/>
              <w:rPr>
                <w:rFonts w:ascii="宋体" w:hAnsi="宋体" w:cs="宋体"/>
                <w:kern w:val="0"/>
              </w:rPr>
            </w:pPr>
            <w:r>
              <w:rPr>
                <w:rFonts w:hint="eastAsia" w:ascii="宋体" w:hAnsi="宋体" w:cs="宋体"/>
                <w:kern w:val="0"/>
              </w:rPr>
              <w:t>场车在检验合格有效期内</w:t>
            </w:r>
          </w:p>
        </w:tc>
        <w:tc>
          <w:tcPr>
            <w:tcW w:w="603" w:type="pct"/>
            <w:shd w:val="clear" w:color="auto" w:fill="auto"/>
            <w:noWrap/>
            <w:vAlign w:val="center"/>
          </w:tcPr>
          <w:p w14:paraId="6216AA1C">
            <w:pPr>
              <w:widowControl/>
              <w:spacing w:line="18" w:lineRule="atLeast"/>
              <w:jc w:val="center"/>
              <w:rPr>
                <w:rFonts w:ascii="宋体" w:hAnsi="宋体" w:cs="宋体"/>
                <w:kern w:val="0"/>
              </w:rPr>
            </w:pPr>
          </w:p>
        </w:tc>
        <w:tc>
          <w:tcPr>
            <w:tcW w:w="414" w:type="pct"/>
            <w:shd w:val="clear" w:color="auto" w:fill="auto"/>
            <w:noWrap/>
            <w:vAlign w:val="center"/>
          </w:tcPr>
          <w:p w14:paraId="1393B9BC">
            <w:pPr>
              <w:widowControl/>
              <w:spacing w:line="18" w:lineRule="atLeast"/>
              <w:jc w:val="center"/>
              <w:rPr>
                <w:rFonts w:ascii="宋体" w:hAnsi="宋体" w:cs="宋体"/>
                <w:kern w:val="0"/>
              </w:rPr>
            </w:pPr>
          </w:p>
        </w:tc>
      </w:tr>
      <w:tr w14:paraId="3171F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353" w:type="pct"/>
            <w:vMerge w:val="continue"/>
            <w:shd w:val="clear" w:color="auto" w:fill="auto"/>
            <w:noWrap/>
            <w:vAlign w:val="center"/>
          </w:tcPr>
          <w:p w14:paraId="34AB37B9">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466FF70C">
            <w:pPr>
              <w:widowControl/>
              <w:spacing w:line="18" w:lineRule="atLeast"/>
              <w:jc w:val="center"/>
              <w:rPr>
                <w:rFonts w:ascii="宋体" w:hAnsi="宋体" w:cs="宋体"/>
                <w:kern w:val="0"/>
              </w:rPr>
            </w:pPr>
          </w:p>
        </w:tc>
        <w:tc>
          <w:tcPr>
            <w:tcW w:w="3002" w:type="pct"/>
            <w:shd w:val="clear" w:color="auto" w:fill="auto"/>
            <w:noWrap/>
            <w:vAlign w:val="center"/>
          </w:tcPr>
          <w:p w14:paraId="45A3CF47">
            <w:pPr>
              <w:widowControl/>
              <w:spacing w:line="18" w:lineRule="atLeast"/>
              <w:jc w:val="left"/>
              <w:rPr>
                <w:rFonts w:ascii="宋体" w:hAnsi="宋体" w:cs="宋体"/>
                <w:kern w:val="0"/>
              </w:rPr>
            </w:pPr>
            <w:r>
              <w:rPr>
                <w:rFonts w:hint="eastAsia" w:ascii="宋体" w:hAnsi="宋体" w:cs="宋体"/>
                <w:kern w:val="0"/>
              </w:rPr>
              <w:t>场车不应“带病”作业</w:t>
            </w:r>
          </w:p>
        </w:tc>
        <w:tc>
          <w:tcPr>
            <w:tcW w:w="603" w:type="pct"/>
            <w:shd w:val="clear" w:color="auto" w:fill="auto"/>
            <w:noWrap/>
            <w:vAlign w:val="center"/>
          </w:tcPr>
          <w:p w14:paraId="4A5B45AA">
            <w:pPr>
              <w:widowControl/>
              <w:spacing w:line="18" w:lineRule="atLeast"/>
              <w:jc w:val="center"/>
              <w:rPr>
                <w:rFonts w:ascii="宋体" w:hAnsi="宋体" w:cs="宋体"/>
                <w:kern w:val="0"/>
              </w:rPr>
            </w:pPr>
          </w:p>
        </w:tc>
        <w:tc>
          <w:tcPr>
            <w:tcW w:w="414" w:type="pct"/>
            <w:shd w:val="clear" w:color="auto" w:fill="auto"/>
            <w:noWrap/>
            <w:vAlign w:val="center"/>
          </w:tcPr>
          <w:p w14:paraId="3F613452">
            <w:pPr>
              <w:widowControl/>
              <w:spacing w:line="18" w:lineRule="atLeast"/>
              <w:jc w:val="center"/>
              <w:rPr>
                <w:rFonts w:ascii="宋体" w:hAnsi="宋体" w:cs="宋体"/>
                <w:kern w:val="0"/>
              </w:rPr>
            </w:pPr>
          </w:p>
        </w:tc>
      </w:tr>
      <w:tr w14:paraId="73647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353" w:type="pct"/>
            <w:vMerge w:val="continue"/>
            <w:shd w:val="clear" w:color="auto" w:fill="auto"/>
            <w:noWrap/>
            <w:vAlign w:val="center"/>
          </w:tcPr>
          <w:p w14:paraId="09199B6A">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3674AA9C">
            <w:pPr>
              <w:widowControl/>
              <w:spacing w:line="18" w:lineRule="atLeast"/>
              <w:jc w:val="center"/>
              <w:rPr>
                <w:rFonts w:ascii="宋体" w:hAnsi="宋体" w:cs="宋体"/>
                <w:kern w:val="0"/>
              </w:rPr>
            </w:pPr>
          </w:p>
        </w:tc>
        <w:tc>
          <w:tcPr>
            <w:tcW w:w="3002" w:type="pct"/>
            <w:shd w:val="clear" w:color="auto" w:fill="auto"/>
            <w:noWrap/>
            <w:vAlign w:val="center"/>
          </w:tcPr>
          <w:p w14:paraId="1377B67F">
            <w:pPr>
              <w:widowControl/>
              <w:spacing w:line="18" w:lineRule="atLeast"/>
              <w:jc w:val="left"/>
              <w:rPr>
                <w:rFonts w:ascii="宋体" w:hAnsi="宋体" w:cs="宋体"/>
                <w:kern w:val="0"/>
              </w:rPr>
            </w:pPr>
            <w:r>
              <w:rPr>
                <w:rFonts w:hint="eastAsia" w:ascii="宋体" w:hAnsi="宋体" w:cs="宋体"/>
                <w:kern w:val="0"/>
              </w:rPr>
              <w:t>定期自行检查</w:t>
            </w:r>
          </w:p>
        </w:tc>
        <w:tc>
          <w:tcPr>
            <w:tcW w:w="603" w:type="pct"/>
            <w:shd w:val="clear" w:color="auto" w:fill="auto"/>
            <w:noWrap/>
            <w:vAlign w:val="center"/>
          </w:tcPr>
          <w:p w14:paraId="6C6B47B9">
            <w:pPr>
              <w:widowControl/>
              <w:spacing w:line="18" w:lineRule="atLeast"/>
              <w:jc w:val="center"/>
              <w:rPr>
                <w:rFonts w:ascii="宋体" w:hAnsi="宋体" w:cs="宋体"/>
                <w:kern w:val="0"/>
              </w:rPr>
            </w:pPr>
          </w:p>
        </w:tc>
        <w:tc>
          <w:tcPr>
            <w:tcW w:w="414" w:type="pct"/>
            <w:shd w:val="clear" w:color="auto" w:fill="auto"/>
            <w:noWrap/>
            <w:vAlign w:val="center"/>
          </w:tcPr>
          <w:p w14:paraId="30ADFFD1">
            <w:pPr>
              <w:widowControl/>
              <w:spacing w:line="18" w:lineRule="atLeast"/>
              <w:jc w:val="center"/>
              <w:rPr>
                <w:rFonts w:ascii="宋体" w:hAnsi="宋体" w:cs="宋体"/>
                <w:kern w:val="0"/>
              </w:rPr>
            </w:pPr>
          </w:p>
        </w:tc>
      </w:tr>
      <w:tr w14:paraId="1CCB2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5820BEE6">
            <w:pPr>
              <w:pStyle w:val="230"/>
              <w:widowControl/>
              <w:spacing w:line="18" w:lineRule="atLeast"/>
              <w:ind w:left="420" w:hanging="420" w:firstLineChars="0"/>
              <w:jc w:val="center"/>
              <w:rPr>
                <w:rFonts w:ascii="宋体" w:hAnsi="宋体" w:cs="宋体"/>
                <w:kern w:val="0"/>
                <w:szCs w:val="21"/>
              </w:rPr>
            </w:pPr>
          </w:p>
        </w:tc>
        <w:tc>
          <w:tcPr>
            <w:tcW w:w="625" w:type="pct"/>
            <w:vMerge w:val="continue"/>
            <w:shd w:val="clear" w:color="auto" w:fill="auto"/>
            <w:noWrap/>
            <w:vAlign w:val="center"/>
          </w:tcPr>
          <w:p w14:paraId="0F887324">
            <w:pPr>
              <w:widowControl/>
              <w:spacing w:line="18" w:lineRule="atLeast"/>
              <w:jc w:val="center"/>
              <w:rPr>
                <w:rFonts w:ascii="宋体" w:hAnsi="宋体" w:cs="宋体"/>
                <w:kern w:val="0"/>
              </w:rPr>
            </w:pPr>
          </w:p>
        </w:tc>
        <w:tc>
          <w:tcPr>
            <w:tcW w:w="3002" w:type="pct"/>
            <w:shd w:val="clear" w:color="auto" w:fill="auto"/>
            <w:noWrap/>
            <w:vAlign w:val="center"/>
          </w:tcPr>
          <w:p w14:paraId="63861563">
            <w:pPr>
              <w:widowControl/>
              <w:spacing w:line="18" w:lineRule="atLeast"/>
              <w:jc w:val="left"/>
              <w:rPr>
                <w:rFonts w:ascii="宋体" w:hAnsi="宋体" w:cs="宋体"/>
                <w:kern w:val="0"/>
              </w:rPr>
            </w:pPr>
            <w:r>
              <w:rPr>
                <w:rFonts w:hint="eastAsia" w:ascii="宋体" w:hAnsi="宋体" w:cs="宋体"/>
                <w:kern w:val="0"/>
              </w:rPr>
              <w:t>司机权限信息采集功能有效</w:t>
            </w:r>
          </w:p>
        </w:tc>
        <w:tc>
          <w:tcPr>
            <w:tcW w:w="603" w:type="pct"/>
            <w:shd w:val="clear" w:color="auto" w:fill="auto"/>
            <w:noWrap/>
            <w:vAlign w:val="center"/>
          </w:tcPr>
          <w:p w14:paraId="165EDC63">
            <w:pPr>
              <w:widowControl/>
              <w:spacing w:line="18" w:lineRule="atLeast"/>
              <w:jc w:val="center"/>
              <w:rPr>
                <w:rFonts w:ascii="宋体" w:hAnsi="宋体" w:cs="宋体"/>
                <w:kern w:val="0"/>
              </w:rPr>
            </w:pPr>
          </w:p>
        </w:tc>
        <w:tc>
          <w:tcPr>
            <w:tcW w:w="414" w:type="pct"/>
            <w:shd w:val="clear" w:color="auto" w:fill="auto"/>
            <w:noWrap/>
            <w:vAlign w:val="center"/>
          </w:tcPr>
          <w:p w14:paraId="51684F2B">
            <w:pPr>
              <w:widowControl/>
              <w:spacing w:line="18" w:lineRule="atLeast"/>
              <w:jc w:val="center"/>
              <w:rPr>
                <w:rFonts w:ascii="宋体" w:hAnsi="宋体" w:cs="宋体"/>
                <w:kern w:val="0"/>
              </w:rPr>
            </w:pPr>
          </w:p>
        </w:tc>
      </w:tr>
      <w:tr w14:paraId="1CA8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30E6FA30">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AA7638A">
            <w:pPr>
              <w:widowControl/>
              <w:spacing w:line="18" w:lineRule="atLeast"/>
              <w:jc w:val="left"/>
              <w:rPr>
                <w:rFonts w:ascii="宋体" w:hAnsi="宋体" w:cs="宋体"/>
                <w:kern w:val="0"/>
              </w:rPr>
            </w:pPr>
          </w:p>
        </w:tc>
        <w:tc>
          <w:tcPr>
            <w:tcW w:w="3002" w:type="pct"/>
            <w:shd w:val="clear" w:color="auto" w:fill="auto"/>
            <w:noWrap/>
            <w:vAlign w:val="center"/>
          </w:tcPr>
          <w:p w14:paraId="34390174">
            <w:pPr>
              <w:widowControl/>
              <w:spacing w:line="18" w:lineRule="atLeast"/>
              <w:jc w:val="left"/>
              <w:rPr>
                <w:rFonts w:ascii="宋体" w:hAnsi="宋体" w:cs="宋体"/>
                <w:kern w:val="0"/>
              </w:rPr>
            </w:pPr>
            <w:r>
              <w:rPr>
                <w:rFonts w:hint="eastAsia" w:ascii="宋体" w:hAnsi="宋体" w:cs="宋体"/>
              </w:rPr>
              <w:t>司机坐（站）姿状态感知系统有效</w:t>
            </w:r>
          </w:p>
        </w:tc>
        <w:tc>
          <w:tcPr>
            <w:tcW w:w="603" w:type="pct"/>
            <w:shd w:val="clear" w:color="auto" w:fill="auto"/>
            <w:noWrap/>
            <w:vAlign w:val="center"/>
          </w:tcPr>
          <w:p w14:paraId="1E635928">
            <w:pPr>
              <w:widowControl/>
              <w:spacing w:line="18" w:lineRule="atLeast"/>
              <w:jc w:val="center"/>
              <w:rPr>
                <w:rFonts w:ascii="宋体" w:hAnsi="宋体" w:cs="宋体"/>
                <w:kern w:val="0"/>
              </w:rPr>
            </w:pPr>
          </w:p>
        </w:tc>
        <w:tc>
          <w:tcPr>
            <w:tcW w:w="414" w:type="pct"/>
            <w:shd w:val="clear" w:color="auto" w:fill="auto"/>
            <w:noWrap/>
            <w:vAlign w:val="center"/>
          </w:tcPr>
          <w:p w14:paraId="5E0FFE5F">
            <w:pPr>
              <w:widowControl/>
              <w:spacing w:line="18" w:lineRule="atLeast"/>
              <w:jc w:val="center"/>
              <w:rPr>
                <w:rFonts w:ascii="宋体" w:hAnsi="宋体" w:cs="宋体"/>
                <w:kern w:val="0"/>
              </w:rPr>
            </w:pPr>
          </w:p>
        </w:tc>
      </w:tr>
      <w:tr w14:paraId="6A9D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77B73592">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76E7060E">
            <w:pPr>
              <w:widowControl/>
              <w:spacing w:line="18" w:lineRule="atLeast"/>
              <w:jc w:val="left"/>
              <w:rPr>
                <w:rFonts w:ascii="宋体" w:hAnsi="宋体" w:cs="宋体"/>
                <w:kern w:val="0"/>
              </w:rPr>
            </w:pPr>
          </w:p>
        </w:tc>
        <w:tc>
          <w:tcPr>
            <w:tcW w:w="3002" w:type="pct"/>
            <w:shd w:val="clear" w:color="auto" w:fill="auto"/>
            <w:noWrap/>
            <w:vAlign w:val="center"/>
          </w:tcPr>
          <w:p w14:paraId="31063F4C">
            <w:pPr>
              <w:widowControl/>
              <w:spacing w:line="18" w:lineRule="atLeast"/>
              <w:jc w:val="left"/>
              <w:rPr>
                <w:rFonts w:ascii="宋体" w:hAnsi="宋体" w:cs="宋体"/>
              </w:rPr>
            </w:pPr>
            <w:r>
              <w:rPr>
                <w:rFonts w:hint="eastAsia" w:ascii="宋体" w:hAnsi="宋体" w:cs="宋体"/>
              </w:rPr>
              <w:t>是否办理改造手续</w:t>
            </w:r>
          </w:p>
        </w:tc>
        <w:tc>
          <w:tcPr>
            <w:tcW w:w="603" w:type="pct"/>
            <w:shd w:val="clear" w:color="auto" w:fill="auto"/>
            <w:noWrap/>
            <w:vAlign w:val="center"/>
          </w:tcPr>
          <w:p w14:paraId="5525682E">
            <w:pPr>
              <w:widowControl/>
              <w:spacing w:line="18" w:lineRule="atLeast"/>
              <w:jc w:val="center"/>
              <w:rPr>
                <w:rFonts w:ascii="宋体" w:hAnsi="宋体" w:cs="宋体"/>
                <w:kern w:val="0"/>
              </w:rPr>
            </w:pPr>
          </w:p>
        </w:tc>
        <w:tc>
          <w:tcPr>
            <w:tcW w:w="414" w:type="pct"/>
            <w:shd w:val="clear" w:color="auto" w:fill="auto"/>
            <w:noWrap/>
            <w:vAlign w:val="center"/>
          </w:tcPr>
          <w:p w14:paraId="0364ECD4">
            <w:pPr>
              <w:widowControl/>
              <w:spacing w:line="18" w:lineRule="atLeast"/>
              <w:jc w:val="center"/>
              <w:rPr>
                <w:rFonts w:ascii="宋体" w:hAnsi="宋体" w:cs="宋体"/>
                <w:kern w:val="0"/>
              </w:rPr>
            </w:pPr>
          </w:p>
        </w:tc>
      </w:tr>
      <w:tr w14:paraId="23FD5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4C97A74A">
            <w:pPr>
              <w:widowControl/>
              <w:spacing w:line="18" w:lineRule="atLeast"/>
              <w:jc w:val="center"/>
              <w:rPr>
                <w:rFonts w:ascii="宋体" w:hAnsi="宋体" w:cs="宋体"/>
                <w:kern w:val="0"/>
              </w:rPr>
            </w:pPr>
            <w:r>
              <w:rPr>
                <w:rFonts w:hint="eastAsia" w:ascii="宋体" w:hAnsi="宋体" w:cs="宋体"/>
                <w:kern w:val="0"/>
              </w:rPr>
              <w:t>5</w:t>
            </w:r>
          </w:p>
        </w:tc>
        <w:tc>
          <w:tcPr>
            <w:tcW w:w="625" w:type="pct"/>
            <w:vMerge w:val="restart"/>
            <w:shd w:val="clear" w:color="auto" w:fill="auto"/>
            <w:noWrap/>
            <w:vAlign w:val="center"/>
          </w:tcPr>
          <w:p w14:paraId="48508E49">
            <w:pPr>
              <w:widowControl/>
              <w:spacing w:line="18" w:lineRule="atLeast"/>
              <w:jc w:val="center"/>
              <w:rPr>
                <w:rFonts w:ascii="宋体" w:hAnsi="宋体" w:cs="宋体"/>
                <w:kern w:val="0"/>
              </w:rPr>
            </w:pPr>
            <w:r>
              <w:rPr>
                <w:rFonts w:hint="eastAsia" w:ascii="宋体" w:hAnsi="宋体" w:cs="宋体"/>
                <w:kern w:val="0"/>
              </w:rPr>
              <w:t>运行环境</w:t>
            </w:r>
          </w:p>
        </w:tc>
        <w:tc>
          <w:tcPr>
            <w:tcW w:w="3002" w:type="pct"/>
            <w:shd w:val="clear" w:color="auto" w:fill="auto"/>
            <w:noWrap/>
            <w:vAlign w:val="center"/>
          </w:tcPr>
          <w:p w14:paraId="1F27014D">
            <w:pPr>
              <w:widowControl/>
              <w:spacing w:line="18" w:lineRule="atLeast"/>
              <w:jc w:val="left"/>
              <w:rPr>
                <w:rFonts w:ascii="宋体" w:hAnsi="宋体" w:cs="宋体"/>
                <w:kern w:val="0"/>
              </w:rPr>
            </w:pPr>
            <w:r>
              <w:rPr>
                <w:rFonts w:hint="eastAsia" w:ascii="宋体" w:hAnsi="宋体" w:cs="宋体"/>
                <w:kern w:val="0"/>
              </w:rPr>
              <w:t>区域限制（叉车在工厂厂区、旅游景区、游乐场所；观光车辆在规定的行驶路线区域内）</w:t>
            </w:r>
          </w:p>
        </w:tc>
        <w:tc>
          <w:tcPr>
            <w:tcW w:w="603" w:type="pct"/>
            <w:shd w:val="clear" w:color="auto" w:fill="auto"/>
            <w:noWrap/>
            <w:vAlign w:val="center"/>
          </w:tcPr>
          <w:p w14:paraId="2C4C4046">
            <w:pPr>
              <w:widowControl/>
              <w:spacing w:line="18" w:lineRule="atLeast"/>
              <w:jc w:val="center"/>
              <w:rPr>
                <w:rFonts w:ascii="宋体" w:hAnsi="宋体" w:cs="宋体"/>
                <w:kern w:val="0"/>
              </w:rPr>
            </w:pPr>
          </w:p>
        </w:tc>
        <w:tc>
          <w:tcPr>
            <w:tcW w:w="414" w:type="pct"/>
            <w:shd w:val="clear" w:color="auto" w:fill="auto"/>
            <w:noWrap/>
            <w:vAlign w:val="center"/>
          </w:tcPr>
          <w:p w14:paraId="1DD0A0B0">
            <w:pPr>
              <w:widowControl/>
              <w:spacing w:line="18" w:lineRule="atLeast"/>
              <w:jc w:val="center"/>
              <w:rPr>
                <w:rFonts w:ascii="宋体" w:hAnsi="宋体" w:cs="宋体"/>
                <w:kern w:val="0"/>
              </w:rPr>
            </w:pPr>
          </w:p>
        </w:tc>
      </w:tr>
      <w:tr w14:paraId="5BB2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353" w:type="pct"/>
            <w:vMerge w:val="continue"/>
            <w:shd w:val="clear" w:color="auto" w:fill="auto"/>
            <w:noWrap/>
            <w:vAlign w:val="center"/>
          </w:tcPr>
          <w:p w14:paraId="07817BB9">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5B9BA15B">
            <w:pPr>
              <w:widowControl/>
              <w:spacing w:line="18" w:lineRule="atLeast"/>
              <w:jc w:val="left"/>
              <w:rPr>
                <w:rFonts w:ascii="宋体" w:hAnsi="宋体" w:cs="宋体"/>
                <w:kern w:val="0"/>
              </w:rPr>
            </w:pPr>
          </w:p>
        </w:tc>
        <w:tc>
          <w:tcPr>
            <w:tcW w:w="3002" w:type="pct"/>
            <w:shd w:val="clear" w:color="auto" w:fill="auto"/>
            <w:noWrap/>
            <w:vAlign w:val="center"/>
          </w:tcPr>
          <w:p w14:paraId="16D49928">
            <w:pPr>
              <w:widowControl/>
              <w:spacing w:line="18" w:lineRule="atLeast"/>
              <w:jc w:val="left"/>
              <w:rPr>
                <w:rFonts w:ascii="宋体" w:hAnsi="宋体" w:cs="宋体"/>
                <w:kern w:val="0"/>
              </w:rPr>
            </w:pPr>
            <w:r>
              <w:rPr>
                <w:rFonts w:hint="eastAsia" w:ascii="宋体" w:hAnsi="宋体" w:cs="宋体"/>
                <w:kern w:val="0"/>
              </w:rPr>
              <w:t>作业区域环境</w:t>
            </w:r>
          </w:p>
        </w:tc>
        <w:tc>
          <w:tcPr>
            <w:tcW w:w="603" w:type="pct"/>
            <w:shd w:val="clear" w:color="auto" w:fill="auto"/>
            <w:noWrap/>
            <w:vAlign w:val="center"/>
          </w:tcPr>
          <w:p w14:paraId="0CAD006C">
            <w:pPr>
              <w:widowControl/>
              <w:spacing w:line="18" w:lineRule="atLeast"/>
              <w:jc w:val="center"/>
              <w:rPr>
                <w:rFonts w:ascii="宋体" w:hAnsi="宋体" w:cs="宋体"/>
                <w:kern w:val="0"/>
              </w:rPr>
            </w:pPr>
          </w:p>
        </w:tc>
        <w:tc>
          <w:tcPr>
            <w:tcW w:w="414" w:type="pct"/>
            <w:shd w:val="clear" w:color="auto" w:fill="auto"/>
            <w:noWrap/>
            <w:vAlign w:val="center"/>
          </w:tcPr>
          <w:p w14:paraId="4A4AB31B">
            <w:pPr>
              <w:widowControl/>
              <w:spacing w:line="18" w:lineRule="atLeast"/>
              <w:jc w:val="center"/>
              <w:rPr>
                <w:rFonts w:ascii="宋体" w:hAnsi="宋体" w:cs="宋体"/>
                <w:kern w:val="0"/>
              </w:rPr>
            </w:pPr>
          </w:p>
        </w:tc>
      </w:tr>
      <w:tr w14:paraId="7AFE5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2B67F6FB">
            <w:pPr>
              <w:widowControl/>
              <w:spacing w:line="18" w:lineRule="atLeast"/>
              <w:jc w:val="center"/>
              <w:rPr>
                <w:rFonts w:ascii="宋体" w:hAnsi="宋体" w:cs="宋体"/>
                <w:kern w:val="0"/>
              </w:rPr>
            </w:pPr>
            <w:r>
              <w:rPr>
                <w:rFonts w:hint="eastAsia" w:ascii="宋体" w:hAnsi="宋体" w:cs="宋体"/>
                <w:kern w:val="0"/>
              </w:rPr>
              <w:t>6</w:t>
            </w:r>
          </w:p>
        </w:tc>
        <w:tc>
          <w:tcPr>
            <w:tcW w:w="625" w:type="pct"/>
            <w:vMerge w:val="restart"/>
            <w:shd w:val="clear" w:color="auto" w:fill="auto"/>
            <w:noWrap/>
            <w:vAlign w:val="center"/>
          </w:tcPr>
          <w:p w14:paraId="12917728">
            <w:pPr>
              <w:widowControl/>
              <w:spacing w:line="18" w:lineRule="atLeast"/>
              <w:jc w:val="center"/>
              <w:rPr>
                <w:rFonts w:ascii="宋体" w:hAnsi="宋体" w:cs="宋体"/>
                <w:kern w:val="0"/>
              </w:rPr>
            </w:pPr>
            <w:r>
              <w:rPr>
                <w:rFonts w:hint="eastAsia" w:ascii="宋体" w:hAnsi="宋体" w:cs="宋体"/>
                <w:kern w:val="0"/>
              </w:rPr>
              <w:t>定期自行检查</w:t>
            </w:r>
          </w:p>
        </w:tc>
        <w:tc>
          <w:tcPr>
            <w:tcW w:w="3002" w:type="pct"/>
            <w:shd w:val="clear" w:color="auto" w:fill="auto"/>
            <w:vAlign w:val="center"/>
          </w:tcPr>
          <w:p w14:paraId="04562185">
            <w:pPr>
              <w:widowControl/>
              <w:spacing w:line="18" w:lineRule="atLeast"/>
              <w:jc w:val="left"/>
              <w:rPr>
                <w:rFonts w:ascii="宋体" w:hAnsi="宋体" w:cs="宋体"/>
                <w:kern w:val="0"/>
              </w:rPr>
            </w:pPr>
            <w:r>
              <w:rPr>
                <w:rFonts w:hint="eastAsia" w:ascii="宋体" w:hAnsi="宋体" w:cs="宋体"/>
                <w:kern w:val="0"/>
              </w:rPr>
              <w:t>制定自行检查作业指导文件，动态更新并持续优化</w:t>
            </w:r>
          </w:p>
        </w:tc>
        <w:tc>
          <w:tcPr>
            <w:tcW w:w="603" w:type="pct"/>
            <w:shd w:val="clear" w:color="auto" w:fill="auto"/>
            <w:noWrap/>
            <w:vAlign w:val="center"/>
          </w:tcPr>
          <w:p w14:paraId="585B3E4B">
            <w:pPr>
              <w:widowControl/>
              <w:spacing w:line="18" w:lineRule="atLeast"/>
              <w:jc w:val="center"/>
              <w:rPr>
                <w:rFonts w:ascii="宋体" w:hAnsi="宋体" w:cs="宋体"/>
                <w:kern w:val="0"/>
              </w:rPr>
            </w:pPr>
          </w:p>
        </w:tc>
        <w:tc>
          <w:tcPr>
            <w:tcW w:w="414" w:type="pct"/>
            <w:shd w:val="clear" w:color="auto" w:fill="auto"/>
            <w:noWrap/>
            <w:vAlign w:val="center"/>
          </w:tcPr>
          <w:p w14:paraId="2BE8BD14">
            <w:pPr>
              <w:widowControl/>
              <w:spacing w:line="18" w:lineRule="atLeast"/>
              <w:jc w:val="center"/>
              <w:rPr>
                <w:rFonts w:ascii="宋体" w:hAnsi="宋体" w:cs="宋体"/>
                <w:kern w:val="0"/>
              </w:rPr>
            </w:pPr>
          </w:p>
        </w:tc>
      </w:tr>
      <w:tr w14:paraId="0931C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704A6225">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45A38702">
            <w:pPr>
              <w:widowControl/>
              <w:spacing w:line="18" w:lineRule="atLeast"/>
              <w:jc w:val="left"/>
              <w:rPr>
                <w:rFonts w:ascii="宋体" w:hAnsi="宋体" w:cs="宋体"/>
                <w:kern w:val="0"/>
              </w:rPr>
            </w:pPr>
          </w:p>
        </w:tc>
        <w:tc>
          <w:tcPr>
            <w:tcW w:w="3002" w:type="pct"/>
            <w:shd w:val="clear" w:color="auto" w:fill="auto"/>
            <w:vAlign w:val="center"/>
          </w:tcPr>
          <w:p w14:paraId="6B0A40E6">
            <w:pPr>
              <w:widowControl/>
              <w:spacing w:line="18" w:lineRule="atLeast"/>
              <w:jc w:val="left"/>
              <w:rPr>
                <w:rFonts w:ascii="宋体" w:hAnsi="宋体" w:cs="宋体"/>
                <w:kern w:val="0"/>
              </w:rPr>
            </w:pPr>
            <w:r>
              <w:rPr>
                <w:rFonts w:hint="eastAsia" w:ascii="宋体" w:hAnsi="宋体" w:cs="宋体"/>
                <w:kern w:val="0"/>
              </w:rPr>
              <w:t>使用单位应根据场车特点和使用情况，合理制定适合本单位的自检项目、内容、方法与检查周期（日、周、月、季、年）</w:t>
            </w:r>
          </w:p>
        </w:tc>
        <w:tc>
          <w:tcPr>
            <w:tcW w:w="603" w:type="pct"/>
            <w:shd w:val="clear" w:color="auto" w:fill="auto"/>
            <w:noWrap/>
            <w:vAlign w:val="center"/>
          </w:tcPr>
          <w:p w14:paraId="71071DFF">
            <w:pPr>
              <w:widowControl/>
              <w:spacing w:line="18" w:lineRule="atLeast"/>
              <w:jc w:val="center"/>
              <w:rPr>
                <w:rFonts w:ascii="宋体" w:hAnsi="宋体" w:cs="宋体"/>
                <w:kern w:val="0"/>
              </w:rPr>
            </w:pPr>
          </w:p>
        </w:tc>
        <w:tc>
          <w:tcPr>
            <w:tcW w:w="414" w:type="pct"/>
            <w:shd w:val="clear" w:color="auto" w:fill="auto"/>
            <w:noWrap/>
            <w:vAlign w:val="center"/>
          </w:tcPr>
          <w:p w14:paraId="5A6C3906">
            <w:pPr>
              <w:widowControl/>
              <w:spacing w:line="18" w:lineRule="atLeast"/>
              <w:jc w:val="center"/>
              <w:rPr>
                <w:rFonts w:ascii="宋体" w:hAnsi="宋体" w:cs="宋体"/>
                <w:kern w:val="0"/>
              </w:rPr>
            </w:pPr>
          </w:p>
        </w:tc>
      </w:tr>
      <w:tr w14:paraId="570F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0A3FAABD">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577A1D31">
            <w:pPr>
              <w:widowControl/>
              <w:spacing w:line="18" w:lineRule="atLeast"/>
              <w:jc w:val="left"/>
              <w:rPr>
                <w:rFonts w:ascii="宋体" w:hAnsi="宋体" w:cs="宋体"/>
                <w:kern w:val="0"/>
              </w:rPr>
            </w:pPr>
          </w:p>
        </w:tc>
        <w:tc>
          <w:tcPr>
            <w:tcW w:w="3002" w:type="pct"/>
            <w:shd w:val="clear" w:color="auto" w:fill="auto"/>
            <w:vAlign w:val="center"/>
          </w:tcPr>
          <w:p w14:paraId="48593918">
            <w:pPr>
              <w:widowControl/>
              <w:spacing w:line="18" w:lineRule="atLeast"/>
              <w:jc w:val="left"/>
              <w:rPr>
                <w:rFonts w:ascii="宋体" w:hAnsi="宋体" w:cs="宋体"/>
                <w:kern w:val="0"/>
              </w:rPr>
            </w:pPr>
            <w:r>
              <w:rPr>
                <w:rFonts w:hint="eastAsia" w:ascii="宋体" w:hAnsi="宋体" w:cs="宋体"/>
                <w:kern w:val="0"/>
              </w:rPr>
              <w:t>自检记录应全面完整且便于追溯</w:t>
            </w:r>
          </w:p>
        </w:tc>
        <w:tc>
          <w:tcPr>
            <w:tcW w:w="603" w:type="pct"/>
            <w:shd w:val="clear" w:color="auto" w:fill="auto"/>
            <w:noWrap/>
            <w:vAlign w:val="center"/>
          </w:tcPr>
          <w:p w14:paraId="75CF3822">
            <w:pPr>
              <w:widowControl/>
              <w:spacing w:line="18" w:lineRule="atLeast"/>
              <w:jc w:val="center"/>
              <w:rPr>
                <w:rFonts w:ascii="宋体" w:hAnsi="宋体" w:cs="宋体"/>
                <w:kern w:val="0"/>
              </w:rPr>
            </w:pPr>
          </w:p>
        </w:tc>
        <w:tc>
          <w:tcPr>
            <w:tcW w:w="414" w:type="pct"/>
            <w:shd w:val="clear" w:color="auto" w:fill="auto"/>
            <w:noWrap/>
            <w:vAlign w:val="center"/>
          </w:tcPr>
          <w:p w14:paraId="66FF0FCE">
            <w:pPr>
              <w:widowControl/>
              <w:spacing w:line="18" w:lineRule="atLeast"/>
              <w:jc w:val="center"/>
              <w:rPr>
                <w:rFonts w:ascii="宋体" w:hAnsi="宋体" w:cs="宋体"/>
                <w:kern w:val="0"/>
              </w:rPr>
            </w:pPr>
          </w:p>
        </w:tc>
      </w:tr>
      <w:tr w14:paraId="64A0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73121528">
            <w:pPr>
              <w:widowControl/>
              <w:spacing w:line="18" w:lineRule="atLeast"/>
              <w:jc w:val="center"/>
              <w:rPr>
                <w:rFonts w:ascii="宋体" w:hAnsi="宋体" w:cs="宋体"/>
                <w:kern w:val="0"/>
              </w:rPr>
            </w:pPr>
            <w:r>
              <w:rPr>
                <w:rFonts w:hint="eastAsia" w:ascii="宋体" w:hAnsi="宋体" w:cs="宋体"/>
                <w:kern w:val="0"/>
              </w:rPr>
              <w:t>7</w:t>
            </w:r>
          </w:p>
        </w:tc>
        <w:tc>
          <w:tcPr>
            <w:tcW w:w="625" w:type="pct"/>
            <w:vMerge w:val="restart"/>
            <w:vAlign w:val="center"/>
          </w:tcPr>
          <w:p w14:paraId="709EF9E8">
            <w:pPr>
              <w:widowControl/>
              <w:spacing w:line="18" w:lineRule="atLeast"/>
              <w:jc w:val="center"/>
              <w:rPr>
                <w:rFonts w:ascii="宋体" w:hAnsi="宋体" w:cs="宋体"/>
                <w:kern w:val="0"/>
              </w:rPr>
            </w:pPr>
            <w:r>
              <w:rPr>
                <w:rFonts w:hint="eastAsia" w:ascii="宋体" w:hAnsi="宋体" w:cs="宋体"/>
                <w:kern w:val="0"/>
              </w:rPr>
              <w:t>维护保养</w:t>
            </w:r>
          </w:p>
        </w:tc>
        <w:tc>
          <w:tcPr>
            <w:tcW w:w="3002" w:type="pct"/>
            <w:shd w:val="clear" w:color="auto" w:fill="auto"/>
            <w:vAlign w:val="center"/>
          </w:tcPr>
          <w:p w14:paraId="185061E6">
            <w:pPr>
              <w:widowControl/>
              <w:spacing w:line="18" w:lineRule="atLeast"/>
              <w:jc w:val="left"/>
              <w:rPr>
                <w:rFonts w:ascii="宋体" w:hAnsi="宋体" w:cs="宋体"/>
                <w:kern w:val="0"/>
              </w:rPr>
            </w:pPr>
            <w:r>
              <w:rPr>
                <w:rFonts w:hint="eastAsia" w:ascii="宋体" w:hAnsi="宋体" w:cs="宋体"/>
                <w:kern w:val="0"/>
              </w:rPr>
              <w:t>按计划开展维护保养工作，加强对维护保养过程中人员和工作质量的管控</w:t>
            </w:r>
          </w:p>
        </w:tc>
        <w:tc>
          <w:tcPr>
            <w:tcW w:w="603" w:type="pct"/>
            <w:shd w:val="clear" w:color="auto" w:fill="auto"/>
            <w:noWrap/>
            <w:vAlign w:val="center"/>
          </w:tcPr>
          <w:p w14:paraId="1A86FC94">
            <w:pPr>
              <w:widowControl/>
              <w:spacing w:line="18" w:lineRule="atLeast"/>
              <w:jc w:val="center"/>
              <w:rPr>
                <w:rFonts w:ascii="宋体" w:hAnsi="宋体" w:cs="宋体"/>
                <w:kern w:val="0"/>
              </w:rPr>
            </w:pPr>
          </w:p>
        </w:tc>
        <w:tc>
          <w:tcPr>
            <w:tcW w:w="414" w:type="pct"/>
            <w:shd w:val="clear" w:color="auto" w:fill="auto"/>
            <w:noWrap/>
            <w:vAlign w:val="center"/>
          </w:tcPr>
          <w:p w14:paraId="58FFB9E7">
            <w:pPr>
              <w:widowControl/>
              <w:spacing w:line="18" w:lineRule="atLeast"/>
              <w:jc w:val="center"/>
              <w:rPr>
                <w:rFonts w:ascii="宋体" w:hAnsi="宋体" w:cs="宋体"/>
                <w:kern w:val="0"/>
              </w:rPr>
            </w:pPr>
          </w:p>
        </w:tc>
      </w:tr>
      <w:bookmarkEnd w:id="105"/>
      <w:tr w14:paraId="38458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157955E4">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475EAAD8">
            <w:pPr>
              <w:widowControl/>
              <w:spacing w:line="18" w:lineRule="atLeast"/>
              <w:jc w:val="center"/>
              <w:rPr>
                <w:rFonts w:ascii="宋体" w:hAnsi="宋体" w:cs="宋体"/>
                <w:kern w:val="0"/>
              </w:rPr>
            </w:pPr>
          </w:p>
        </w:tc>
        <w:tc>
          <w:tcPr>
            <w:tcW w:w="3002" w:type="pct"/>
            <w:shd w:val="clear" w:color="auto" w:fill="auto"/>
            <w:vAlign w:val="center"/>
          </w:tcPr>
          <w:p w14:paraId="625094E4">
            <w:pPr>
              <w:widowControl/>
              <w:spacing w:line="18" w:lineRule="atLeast"/>
              <w:jc w:val="left"/>
              <w:rPr>
                <w:rFonts w:ascii="宋体" w:hAnsi="宋体" w:cs="宋体"/>
                <w:kern w:val="0"/>
              </w:rPr>
            </w:pPr>
            <w:r>
              <w:rPr>
                <w:rFonts w:hint="eastAsia" w:ascii="宋体" w:hAnsi="宋体" w:cs="宋体"/>
                <w:kern w:val="0"/>
              </w:rPr>
              <w:t>制定维护保养作业指导文件，动态更新并持续优化</w:t>
            </w:r>
          </w:p>
        </w:tc>
        <w:tc>
          <w:tcPr>
            <w:tcW w:w="603" w:type="pct"/>
            <w:shd w:val="clear" w:color="auto" w:fill="auto"/>
            <w:noWrap/>
            <w:vAlign w:val="center"/>
          </w:tcPr>
          <w:p w14:paraId="3B44209E">
            <w:pPr>
              <w:widowControl/>
              <w:spacing w:line="18" w:lineRule="atLeast"/>
              <w:jc w:val="center"/>
              <w:rPr>
                <w:rFonts w:ascii="宋体" w:hAnsi="宋体" w:cs="宋体"/>
                <w:kern w:val="0"/>
              </w:rPr>
            </w:pPr>
          </w:p>
        </w:tc>
        <w:tc>
          <w:tcPr>
            <w:tcW w:w="414" w:type="pct"/>
            <w:shd w:val="clear" w:color="auto" w:fill="auto"/>
            <w:noWrap/>
            <w:vAlign w:val="center"/>
          </w:tcPr>
          <w:p w14:paraId="5B6FB73C">
            <w:pPr>
              <w:widowControl/>
              <w:spacing w:line="18" w:lineRule="atLeast"/>
              <w:jc w:val="center"/>
              <w:rPr>
                <w:rFonts w:ascii="宋体" w:hAnsi="宋体" w:cs="宋体"/>
                <w:kern w:val="0"/>
              </w:rPr>
            </w:pPr>
          </w:p>
        </w:tc>
      </w:tr>
      <w:tr w14:paraId="24F8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156A719B">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5903292E">
            <w:pPr>
              <w:widowControl/>
              <w:spacing w:line="18" w:lineRule="atLeast"/>
              <w:jc w:val="left"/>
              <w:rPr>
                <w:rFonts w:ascii="宋体" w:hAnsi="宋体" w:cs="宋体"/>
                <w:kern w:val="0"/>
              </w:rPr>
            </w:pPr>
          </w:p>
        </w:tc>
        <w:tc>
          <w:tcPr>
            <w:tcW w:w="3002" w:type="pct"/>
            <w:shd w:val="clear" w:color="auto" w:fill="auto"/>
            <w:vAlign w:val="center"/>
          </w:tcPr>
          <w:p w14:paraId="13217C3E">
            <w:pPr>
              <w:widowControl/>
              <w:spacing w:line="18" w:lineRule="atLeast"/>
              <w:jc w:val="left"/>
              <w:rPr>
                <w:rFonts w:ascii="宋体" w:hAnsi="宋体" w:cs="宋体"/>
                <w:kern w:val="0"/>
              </w:rPr>
            </w:pPr>
            <w:r>
              <w:rPr>
                <w:rFonts w:hint="eastAsia" w:ascii="宋体" w:hAnsi="宋体" w:cs="宋体"/>
                <w:kern w:val="0"/>
              </w:rPr>
              <w:t>使用单位应根据使用维护说明书和实际故障情况，制定并维护易损件清单，按期更换符合要求的易损件并及时补充</w:t>
            </w:r>
          </w:p>
        </w:tc>
        <w:tc>
          <w:tcPr>
            <w:tcW w:w="603" w:type="pct"/>
            <w:shd w:val="clear" w:color="auto" w:fill="auto"/>
            <w:noWrap/>
            <w:vAlign w:val="center"/>
          </w:tcPr>
          <w:p w14:paraId="6AD78DD1">
            <w:pPr>
              <w:widowControl/>
              <w:spacing w:line="18" w:lineRule="atLeast"/>
              <w:jc w:val="center"/>
              <w:rPr>
                <w:rFonts w:ascii="宋体" w:hAnsi="宋体" w:cs="宋体"/>
                <w:kern w:val="0"/>
              </w:rPr>
            </w:pPr>
          </w:p>
        </w:tc>
        <w:tc>
          <w:tcPr>
            <w:tcW w:w="414" w:type="pct"/>
            <w:shd w:val="clear" w:color="auto" w:fill="auto"/>
            <w:noWrap/>
            <w:vAlign w:val="center"/>
          </w:tcPr>
          <w:p w14:paraId="429D67FF">
            <w:pPr>
              <w:widowControl/>
              <w:spacing w:line="18" w:lineRule="atLeast"/>
              <w:jc w:val="center"/>
              <w:rPr>
                <w:rFonts w:ascii="宋体" w:hAnsi="宋体" w:cs="宋体"/>
                <w:kern w:val="0"/>
              </w:rPr>
            </w:pPr>
          </w:p>
        </w:tc>
      </w:tr>
      <w:tr w14:paraId="0281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353" w:type="pct"/>
            <w:vMerge w:val="continue"/>
            <w:shd w:val="clear" w:color="auto" w:fill="auto"/>
            <w:noWrap/>
            <w:vAlign w:val="center"/>
          </w:tcPr>
          <w:p w14:paraId="13ECE3BE">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4CA97F73">
            <w:pPr>
              <w:widowControl/>
              <w:spacing w:line="18" w:lineRule="atLeast"/>
              <w:jc w:val="left"/>
              <w:rPr>
                <w:rFonts w:ascii="宋体" w:hAnsi="宋体" w:cs="宋体"/>
                <w:kern w:val="0"/>
              </w:rPr>
            </w:pPr>
          </w:p>
        </w:tc>
        <w:tc>
          <w:tcPr>
            <w:tcW w:w="3002" w:type="pct"/>
            <w:shd w:val="clear" w:color="auto" w:fill="auto"/>
            <w:vAlign w:val="center"/>
          </w:tcPr>
          <w:p w14:paraId="7B82824C">
            <w:pPr>
              <w:widowControl/>
              <w:spacing w:line="18" w:lineRule="atLeast"/>
              <w:jc w:val="left"/>
              <w:rPr>
                <w:rFonts w:ascii="宋体" w:hAnsi="宋体" w:cs="宋体"/>
                <w:kern w:val="0"/>
              </w:rPr>
            </w:pPr>
            <w:r>
              <w:rPr>
                <w:rFonts w:hint="eastAsia" w:ascii="宋体" w:hAnsi="宋体" w:cs="宋体"/>
                <w:kern w:val="0"/>
              </w:rPr>
              <w:t>实施委托维保的，双方应签订维保合同，使用单位应对维保质量进行控制</w:t>
            </w:r>
          </w:p>
        </w:tc>
        <w:tc>
          <w:tcPr>
            <w:tcW w:w="603" w:type="pct"/>
            <w:shd w:val="clear" w:color="auto" w:fill="auto"/>
            <w:noWrap/>
            <w:vAlign w:val="center"/>
          </w:tcPr>
          <w:p w14:paraId="3FAC9DFC">
            <w:pPr>
              <w:widowControl/>
              <w:spacing w:line="18" w:lineRule="atLeast"/>
              <w:jc w:val="center"/>
              <w:rPr>
                <w:rFonts w:ascii="宋体" w:hAnsi="宋体" w:cs="宋体"/>
                <w:kern w:val="0"/>
              </w:rPr>
            </w:pPr>
          </w:p>
        </w:tc>
        <w:tc>
          <w:tcPr>
            <w:tcW w:w="414" w:type="pct"/>
            <w:shd w:val="clear" w:color="auto" w:fill="auto"/>
            <w:noWrap/>
            <w:vAlign w:val="center"/>
          </w:tcPr>
          <w:p w14:paraId="3BBFBAB6">
            <w:pPr>
              <w:widowControl/>
              <w:spacing w:line="18" w:lineRule="atLeast"/>
              <w:jc w:val="center"/>
              <w:rPr>
                <w:rFonts w:ascii="宋体" w:hAnsi="宋体" w:cs="宋体"/>
                <w:kern w:val="0"/>
              </w:rPr>
            </w:pPr>
          </w:p>
        </w:tc>
      </w:tr>
      <w:tr w14:paraId="0D6D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trPr>
        <w:tc>
          <w:tcPr>
            <w:tcW w:w="353" w:type="pct"/>
            <w:vMerge w:val="continue"/>
            <w:shd w:val="clear" w:color="auto" w:fill="auto"/>
            <w:noWrap/>
            <w:vAlign w:val="center"/>
          </w:tcPr>
          <w:p w14:paraId="7226AA8D">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229A48C0">
            <w:pPr>
              <w:widowControl/>
              <w:spacing w:line="18" w:lineRule="atLeast"/>
              <w:jc w:val="left"/>
              <w:rPr>
                <w:rFonts w:ascii="宋体" w:hAnsi="宋体" w:cs="宋体"/>
                <w:kern w:val="0"/>
              </w:rPr>
            </w:pPr>
          </w:p>
        </w:tc>
        <w:tc>
          <w:tcPr>
            <w:tcW w:w="3002" w:type="pct"/>
            <w:shd w:val="clear" w:color="auto" w:fill="auto"/>
            <w:vAlign w:val="center"/>
          </w:tcPr>
          <w:p w14:paraId="0310F109">
            <w:pPr>
              <w:widowControl/>
              <w:spacing w:line="18" w:lineRule="atLeast"/>
              <w:jc w:val="left"/>
              <w:rPr>
                <w:rFonts w:ascii="宋体" w:hAnsi="宋体" w:cs="宋体"/>
                <w:kern w:val="0"/>
              </w:rPr>
            </w:pPr>
            <w:r>
              <w:rPr>
                <w:rFonts w:hint="eastAsia" w:ascii="宋体" w:hAnsi="宋体" w:cs="宋体"/>
                <w:kern w:val="0"/>
              </w:rPr>
              <w:t>维护保养过程中异常情况处理</w:t>
            </w:r>
          </w:p>
        </w:tc>
        <w:tc>
          <w:tcPr>
            <w:tcW w:w="603" w:type="pct"/>
            <w:shd w:val="clear" w:color="auto" w:fill="auto"/>
            <w:noWrap/>
            <w:vAlign w:val="center"/>
          </w:tcPr>
          <w:p w14:paraId="41656742">
            <w:pPr>
              <w:widowControl/>
              <w:spacing w:line="18" w:lineRule="atLeast"/>
              <w:jc w:val="center"/>
              <w:rPr>
                <w:rFonts w:ascii="宋体" w:hAnsi="宋体" w:cs="宋体"/>
                <w:kern w:val="0"/>
              </w:rPr>
            </w:pPr>
          </w:p>
        </w:tc>
        <w:tc>
          <w:tcPr>
            <w:tcW w:w="414" w:type="pct"/>
            <w:shd w:val="clear" w:color="auto" w:fill="auto"/>
            <w:noWrap/>
            <w:vAlign w:val="center"/>
          </w:tcPr>
          <w:p w14:paraId="013CF36A">
            <w:pPr>
              <w:widowControl/>
              <w:spacing w:line="18" w:lineRule="atLeast"/>
              <w:jc w:val="center"/>
              <w:rPr>
                <w:rFonts w:ascii="宋体" w:hAnsi="宋体" w:cs="宋体"/>
                <w:kern w:val="0"/>
              </w:rPr>
            </w:pPr>
          </w:p>
        </w:tc>
      </w:tr>
      <w:tr w14:paraId="66B1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5119A0EA">
            <w:pPr>
              <w:widowControl/>
              <w:spacing w:line="18" w:lineRule="atLeast"/>
              <w:jc w:val="center"/>
              <w:rPr>
                <w:rFonts w:ascii="宋体" w:hAnsi="宋体" w:cs="宋体"/>
                <w:kern w:val="0"/>
              </w:rPr>
            </w:pPr>
            <w:r>
              <w:rPr>
                <w:rFonts w:hint="eastAsia" w:ascii="宋体" w:hAnsi="宋体" w:cs="宋体"/>
                <w:kern w:val="0"/>
              </w:rPr>
              <w:t>8</w:t>
            </w:r>
          </w:p>
        </w:tc>
        <w:tc>
          <w:tcPr>
            <w:tcW w:w="625" w:type="pct"/>
            <w:vMerge w:val="restart"/>
            <w:shd w:val="clear" w:color="auto" w:fill="auto"/>
            <w:noWrap/>
            <w:vAlign w:val="center"/>
          </w:tcPr>
          <w:p w14:paraId="63311FDB">
            <w:pPr>
              <w:widowControl/>
              <w:spacing w:line="18" w:lineRule="atLeast"/>
              <w:jc w:val="center"/>
              <w:rPr>
                <w:rFonts w:ascii="宋体" w:hAnsi="宋体" w:cs="宋体"/>
                <w:kern w:val="0"/>
              </w:rPr>
            </w:pPr>
            <w:r>
              <w:rPr>
                <w:rFonts w:hint="eastAsia" w:ascii="宋体" w:hAnsi="宋体" w:cs="宋体"/>
                <w:kern w:val="0"/>
              </w:rPr>
              <w:t>定期检验</w:t>
            </w:r>
          </w:p>
        </w:tc>
        <w:tc>
          <w:tcPr>
            <w:tcW w:w="3002" w:type="pct"/>
            <w:shd w:val="clear" w:color="auto" w:fill="auto"/>
            <w:noWrap/>
            <w:vAlign w:val="center"/>
          </w:tcPr>
          <w:p w14:paraId="5DE560F9">
            <w:pPr>
              <w:widowControl/>
              <w:spacing w:line="18" w:lineRule="atLeast"/>
              <w:jc w:val="left"/>
              <w:rPr>
                <w:rFonts w:ascii="宋体" w:hAnsi="宋体" w:cs="宋体"/>
                <w:kern w:val="0"/>
              </w:rPr>
            </w:pPr>
            <w:r>
              <w:rPr>
                <w:rFonts w:hint="eastAsia" w:ascii="宋体" w:hAnsi="宋体" w:cs="宋体"/>
                <w:kern w:val="0"/>
              </w:rPr>
              <w:t>有效期届满1个月以前，申</w:t>
            </w:r>
            <w:r>
              <w:rPr>
                <w:rFonts w:hint="eastAsia" w:ascii="宋体" w:hAnsi="宋体" w:cs="宋体"/>
                <w:kern w:val="0"/>
                <w:lang w:val="en-US" w:eastAsia="zh-CN"/>
              </w:rPr>
              <w:t>请</w:t>
            </w:r>
            <w:r>
              <w:rPr>
                <w:rFonts w:hint="eastAsia" w:ascii="宋体" w:hAnsi="宋体" w:cs="宋体"/>
                <w:kern w:val="0"/>
              </w:rPr>
              <w:t>定期检验</w:t>
            </w:r>
          </w:p>
        </w:tc>
        <w:tc>
          <w:tcPr>
            <w:tcW w:w="603" w:type="pct"/>
            <w:shd w:val="clear" w:color="auto" w:fill="auto"/>
            <w:noWrap/>
            <w:vAlign w:val="center"/>
          </w:tcPr>
          <w:p w14:paraId="7505521C">
            <w:pPr>
              <w:widowControl/>
              <w:spacing w:line="18" w:lineRule="atLeast"/>
              <w:jc w:val="center"/>
              <w:rPr>
                <w:rFonts w:ascii="宋体" w:hAnsi="宋体" w:cs="宋体"/>
                <w:kern w:val="0"/>
              </w:rPr>
            </w:pPr>
          </w:p>
        </w:tc>
        <w:tc>
          <w:tcPr>
            <w:tcW w:w="414" w:type="pct"/>
            <w:shd w:val="clear" w:color="auto" w:fill="auto"/>
            <w:noWrap/>
            <w:vAlign w:val="center"/>
          </w:tcPr>
          <w:p w14:paraId="72740E2D">
            <w:pPr>
              <w:widowControl/>
              <w:spacing w:line="18" w:lineRule="atLeast"/>
              <w:jc w:val="center"/>
              <w:rPr>
                <w:rFonts w:ascii="宋体" w:hAnsi="宋体" w:cs="宋体"/>
                <w:kern w:val="0"/>
              </w:rPr>
            </w:pPr>
          </w:p>
        </w:tc>
      </w:tr>
      <w:tr w14:paraId="29C0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353" w:type="pct"/>
            <w:vMerge w:val="continue"/>
            <w:shd w:val="clear" w:color="auto" w:fill="auto"/>
            <w:noWrap/>
            <w:vAlign w:val="center"/>
          </w:tcPr>
          <w:p w14:paraId="61CC554A">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543F743">
            <w:pPr>
              <w:widowControl/>
              <w:spacing w:line="18" w:lineRule="atLeast"/>
              <w:jc w:val="left"/>
              <w:rPr>
                <w:rFonts w:ascii="宋体" w:hAnsi="宋体" w:cs="宋体"/>
                <w:kern w:val="0"/>
              </w:rPr>
            </w:pPr>
          </w:p>
        </w:tc>
        <w:tc>
          <w:tcPr>
            <w:tcW w:w="3002" w:type="pct"/>
            <w:shd w:val="clear" w:color="auto" w:fill="auto"/>
            <w:noWrap/>
            <w:vAlign w:val="center"/>
          </w:tcPr>
          <w:p w14:paraId="37A95663">
            <w:pPr>
              <w:widowControl/>
              <w:spacing w:line="18" w:lineRule="atLeast"/>
              <w:jc w:val="left"/>
              <w:rPr>
                <w:rFonts w:ascii="宋体" w:hAnsi="宋体" w:cs="宋体"/>
                <w:kern w:val="0"/>
              </w:rPr>
            </w:pPr>
            <w:r>
              <w:rPr>
                <w:rFonts w:hint="eastAsia" w:ascii="宋体" w:hAnsi="宋体" w:cs="宋体"/>
                <w:kern w:val="0"/>
              </w:rPr>
              <w:t>全面自行检查</w:t>
            </w:r>
          </w:p>
        </w:tc>
        <w:tc>
          <w:tcPr>
            <w:tcW w:w="603" w:type="pct"/>
            <w:shd w:val="clear" w:color="auto" w:fill="auto"/>
            <w:noWrap/>
            <w:vAlign w:val="center"/>
          </w:tcPr>
          <w:p w14:paraId="1073D9BF">
            <w:pPr>
              <w:widowControl/>
              <w:spacing w:line="18" w:lineRule="atLeast"/>
              <w:jc w:val="center"/>
              <w:rPr>
                <w:rFonts w:ascii="宋体" w:hAnsi="宋体" w:cs="宋体"/>
                <w:kern w:val="0"/>
              </w:rPr>
            </w:pPr>
          </w:p>
        </w:tc>
        <w:tc>
          <w:tcPr>
            <w:tcW w:w="414" w:type="pct"/>
            <w:shd w:val="clear" w:color="auto" w:fill="auto"/>
            <w:noWrap/>
            <w:vAlign w:val="center"/>
          </w:tcPr>
          <w:p w14:paraId="25C51D7A">
            <w:pPr>
              <w:widowControl/>
              <w:spacing w:line="18" w:lineRule="atLeast"/>
              <w:jc w:val="center"/>
              <w:rPr>
                <w:rFonts w:ascii="宋体" w:hAnsi="宋体" w:cs="宋体"/>
                <w:kern w:val="0"/>
              </w:rPr>
            </w:pPr>
          </w:p>
        </w:tc>
      </w:tr>
      <w:tr w14:paraId="378A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353" w:type="pct"/>
            <w:vMerge w:val="continue"/>
            <w:shd w:val="clear" w:color="auto" w:fill="auto"/>
            <w:noWrap/>
            <w:vAlign w:val="center"/>
          </w:tcPr>
          <w:p w14:paraId="1E8BE2C1">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03F2BF4">
            <w:pPr>
              <w:widowControl/>
              <w:spacing w:line="18" w:lineRule="atLeast"/>
              <w:jc w:val="left"/>
              <w:rPr>
                <w:rFonts w:ascii="宋体" w:hAnsi="宋体" w:cs="宋体"/>
                <w:kern w:val="0"/>
              </w:rPr>
            </w:pPr>
          </w:p>
        </w:tc>
        <w:tc>
          <w:tcPr>
            <w:tcW w:w="3002" w:type="pct"/>
            <w:shd w:val="clear" w:color="auto" w:fill="auto"/>
            <w:noWrap/>
            <w:vAlign w:val="center"/>
          </w:tcPr>
          <w:p w14:paraId="65063C0E">
            <w:pPr>
              <w:widowControl/>
              <w:spacing w:line="18" w:lineRule="atLeast"/>
              <w:jc w:val="left"/>
              <w:rPr>
                <w:rFonts w:ascii="宋体" w:hAnsi="宋体" w:cs="宋体"/>
                <w:kern w:val="0"/>
              </w:rPr>
            </w:pPr>
            <w:r>
              <w:rPr>
                <w:rFonts w:hint="eastAsia" w:ascii="宋体" w:hAnsi="宋体" w:cs="宋体"/>
                <w:kern w:val="0"/>
              </w:rPr>
              <w:t>隐患问题清单，按要求期限及时整改</w:t>
            </w:r>
          </w:p>
        </w:tc>
        <w:tc>
          <w:tcPr>
            <w:tcW w:w="603" w:type="pct"/>
            <w:shd w:val="clear" w:color="auto" w:fill="auto"/>
            <w:noWrap/>
            <w:vAlign w:val="center"/>
          </w:tcPr>
          <w:p w14:paraId="415568CC">
            <w:pPr>
              <w:widowControl/>
              <w:spacing w:line="18" w:lineRule="atLeast"/>
              <w:jc w:val="center"/>
              <w:rPr>
                <w:rFonts w:ascii="宋体" w:hAnsi="宋体" w:cs="宋体"/>
                <w:kern w:val="0"/>
              </w:rPr>
            </w:pPr>
          </w:p>
        </w:tc>
        <w:tc>
          <w:tcPr>
            <w:tcW w:w="414" w:type="pct"/>
            <w:shd w:val="clear" w:color="auto" w:fill="auto"/>
            <w:noWrap/>
            <w:vAlign w:val="center"/>
          </w:tcPr>
          <w:p w14:paraId="115231D8">
            <w:pPr>
              <w:widowControl/>
              <w:spacing w:line="18" w:lineRule="atLeast"/>
              <w:jc w:val="center"/>
              <w:rPr>
                <w:rFonts w:ascii="宋体" w:hAnsi="宋体" w:cs="宋体"/>
                <w:kern w:val="0"/>
              </w:rPr>
            </w:pPr>
          </w:p>
        </w:tc>
      </w:tr>
      <w:tr w14:paraId="743C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5FCAB135">
            <w:pPr>
              <w:widowControl/>
              <w:spacing w:line="18" w:lineRule="atLeast"/>
              <w:jc w:val="center"/>
              <w:rPr>
                <w:rFonts w:ascii="宋体" w:hAnsi="宋体" w:cs="宋体"/>
                <w:kern w:val="0"/>
              </w:rPr>
            </w:pPr>
            <w:r>
              <w:rPr>
                <w:rFonts w:hint="eastAsia" w:ascii="宋体" w:hAnsi="宋体" w:cs="宋体"/>
                <w:kern w:val="0"/>
              </w:rPr>
              <w:t>9</w:t>
            </w:r>
          </w:p>
        </w:tc>
        <w:tc>
          <w:tcPr>
            <w:tcW w:w="625" w:type="pct"/>
            <w:vMerge w:val="restart"/>
            <w:shd w:val="clear" w:color="auto" w:fill="auto"/>
            <w:vAlign w:val="center"/>
          </w:tcPr>
          <w:p w14:paraId="73C241BD">
            <w:pPr>
              <w:widowControl/>
              <w:spacing w:line="18" w:lineRule="atLeast"/>
              <w:jc w:val="center"/>
              <w:rPr>
                <w:rFonts w:ascii="宋体" w:hAnsi="宋体" w:cs="宋体"/>
                <w:kern w:val="0"/>
              </w:rPr>
            </w:pPr>
            <w:r>
              <w:rPr>
                <w:rFonts w:hint="eastAsia" w:ascii="宋体" w:hAnsi="宋体" w:cs="宋体"/>
                <w:kern w:val="0"/>
              </w:rPr>
              <w:t>风险管控和隐患排查治理</w:t>
            </w:r>
          </w:p>
        </w:tc>
        <w:tc>
          <w:tcPr>
            <w:tcW w:w="3002" w:type="pct"/>
            <w:shd w:val="clear" w:color="auto" w:fill="auto"/>
            <w:vAlign w:val="center"/>
          </w:tcPr>
          <w:p w14:paraId="3CD3AB5A">
            <w:pPr>
              <w:widowControl/>
              <w:spacing w:line="18" w:lineRule="atLeast"/>
              <w:jc w:val="left"/>
              <w:rPr>
                <w:rFonts w:ascii="宋体" w:hAnsi="宋体" w:cs="宋体"/>
                <w:kern w:val="0"/>
              </w:rPr>
            </w:pPr>
            <w:r>
              <w:rPr>
                <w:rFonts w:hint="eastAsia" w:ascii="宋体" w:hAnsi="宋体" w:cs="宋体"/>
                <w:kern w:val="0"/>
              </w:rPr>
              <w:t>建立、实施、保持并持续改进场车风险管控工作体系</w:t>
            </w:r>
          </w:p>
        </w:tc>
        <w:tc>
          <w:tcPr>
            <w:tcW w:w="603" w:type="pct"/>
            <w:shd w:val="clear" w:color="auto" w:fill="auto"/>
            <w:noWrap/>
            <w:vAlign w:val="center"/>
          </w:tcPr>
          <w:p w14:paraId="2D4D008A">
            <w:pPr>
              <w:widowControl/>
              <w:spacing w:line="18" w:lineRule="atLeast"/>
              <w:jc w:val="center"/>
              <w:rPr>
                <w:rFonts w:ascii="宋体" w:hAnsi="宋体" w:cs="宋体"/>
                <w:kern w:val="0"/>
              </w:rPr>
            </w:pPr>
          </w:p>
        </w:tc>
        <w:tc>
          <w:tcPr>
            <w:tcW w:w="414" w:type="pct"/>
            <w:shd w:val="clear" w:color="auto" w:fill="auto"/>
            <w:noWrap/>
            <w:vAlign w:val="center"/>
          </w:tcPr>
          <w:p w14:paraId="4C5B1134">
            <w:pPr>
              <w:widowControl/>
              <w:spacing w:line="18" w:lineRule="atLeast"/>
              <w:jc w:val="center"/>
              <w:rPr>
                <w:rFonts w:ascii="宋体" w:hAnsi="宋体" w:cs="宋体"/>
                <w:kern w:val="0"/>
              </w:rPr>
            </w:pPr>
          </w:p>
        </w:tc>
      </w:tr>
      <w:tr w14:paraId="2DF49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3DCC4AE5">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363325EA">
            <w:pPr>
              <w:widowControl/>
              <w:spacing w:line="18" w:lineRule="atLeast"/>
              <w:jc w:val="left"/>
              <w:rPr>
                <w:rFonts w:ascii="宋体" w:hAnsi="宋体" w:cs="宋体"/>
                <w:kern w:val="0"/>
              </w:rPr>
            </w:pPr>
          </w:p>
        </w:tc>
        <w:tc>
          <w:tcPr>
            <w:tcW w:w="3002" w:type="pct"/>
            <w:shd w:val="clear" w:color="auto" w:fill="auto"/>
            <w:vAlign w:val="center"/>
          </w:tcPr>
          <w:p w14:paraId="79A20021">
            <w:pPr>
              <w:widowControl/>
              <w:spacing w:line="18" w:lineRule="atLeast"/>
              <w:jc w:val="left"/>
              <w:rPr>
                <w:rFonts w:ascii="宋体" w:hAnsi="宋体" w:cs="宋体"/>
                <w:kern w:val="0"/>
              </w:rPr>
            </w:pPr>
            <w:r>
              <w:rPr>
                <w:rFonts w:hint="eastAsia" w:ascii="宋体" w:hAnsi="宋体" w:cs="宋体"/>
                <w:kern w:val="0"/>
              </w:rPr>
              <w:t>全面风险识别与评估，确定风险管控措施，形成《场车安全风险管控清单》并持续更新</w:t>
            </w:r>
          </w:p>
        </w:tc>
        <w:tc>
          <w:tcPr>
            <w:tcW w:w="603" w:type="pct"/>
            <w:shd w:val="clear" w:color="auto" w:fill="auto"/>
            <w:noWrap/>
            <w:vAlign w:val="center"/>
          </w:tcPr>
          <w:p w14:paraId="517232C2">
            <w:pPr>
              <w:widowControl/>
              <w:spacing w:line="18" w:lineRule="atLeast"/>
              <w:jc w:val="center"/>
              <w:rPr>
                <w:rFonts w:ascii="宋体" w:hAnsi="宋体" w:cs="宋体"/>
                <w:kern w:val="0"/>
              </w:rPr>
            </w:pPr>
          </w:p>
        </w:tc>
        <w:tc>
          <w:tcPr>
            <w:tcW w:w="414" w:type="pct"/>
            <w:shd w:val="clear" w:color="auto" w:fill="auto"/>
            <w:noWrap/>
            <w:vAlign w:val="center"/>
          </w:tcPr>
          <w:p w14:paraId="3C1ACDA5">
            <w:pPr>
              <w:widowControl/>
              <w:spacing w:line="18" w:lineRule="atLeast"/>
              <w:jc w:val="center"/>
              <w:rPr>
                <w:rFonts w:ascii="宋体" w:hAnsi="宋体" w:cs="宋体"/>
                <w:kern w:val="0"/>
              </w:rPr>
            </w:pPr>
          </w:p>
        </w:tc>
      </w:tr>
      <w:tr w14:paraId="5926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0D8317E9">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11DA544E">
            <w:pPr>
              <w:widowControl/>
              <w:spacing w:line="18" w:lineRule="atLeast"/>
              <w:jc w:val="left"/>
              <w:rPr>
                <w:rFonts w:ascii="宋体" w:hAnsi="宋体" w:cs="宋体"/>
                <w:kern w:val="0"/>
              </w:rPr>
            </w:pPr>
          </w:p>
        </w:tc>
        <w:tc>
          <w:tcPr>
            <w:tcW w:w="3002" w:type="pct"/>
            <w:shd w:val="clear" w:color="auto" w:fill="auto"/>
            <w:vAlign w:val="center"/>
          </w:tcPr>
          <w:p w14:paraId="2DD2F49D">
            <w:pPr>
              <w:widowControl/>
              <w:spacing w:line="18" w:lineRule="atLeast"/>
              <w:jc w:val="left"/>
              <w:rPr>
                <w:rFonts w:ascii="宋体" w:hAnsi="宋体" w:cs="宋体"/>
                <w:kern w:val="0"/>
              </w:rPr>
            </w:pPr>
            <w:r>
              <w:rPr>
                <w:rFonts w:hint="eastAsia" w:ascii="宋体" w:hAnsi="宋体" w:cs="宋体"/>
                <w:kern w:val="0"/>
              </w:rPr>
              <w:t>建立场车安全日管控、周排查、月调度制度</w:t>
            </w:r>
          </w:p>
        </w:tc>
        <w:tc>
          <w:tcPr>
            <w:tcW w:w="603" w:type="pct"/>
            <w:shd w:val="clear" w:color="auto" w:fill="auto"/>
            <w:noWrap/>
            <w:vAlign w:val="center"/>
          </w:tcPr>
          <w:p w14:paraId="44C24F05">
            <w:pPr>
              <w:widowControl/>
              <w:spacing w:line="18" w:lineRule="atLeast"/>
              <w:jc w:val="center"/>
              <w:rPr>
                <w:rFonts w:ascii="宋体" w:hAnsi="宋体" w:cs="宋体"/>
                <w:kern w:val="0"/>
              </w:rPr>
            </w:pPr>
          </w:p>
        </w:tc>
        <w:tc>
          <w:tcPr>
            <w:tcW w:w="414" w:type="pct"/>
            <w:shd w:val="clear" w:color="auto" w:fill="auto"/>
            <w:noWrap/>
            <w:vAlign w:val="center"/>
          </w:tcPr>
          <w:p w14:paraId="70EA08DB">
            <w:pPr>
              <w:widowControl/>
              <w:spacing w:line="18" w:lineRule="atLeast"/>
              <w:jc w:val="center"/>
              <w:rPr>
                <w:rFonts w:ascii="宋体" w:hAnsi="宋体" w:cs="宋体"/>
                <w:kern w:val="0"/>
              </w:rPr>
            </w:pPr>
          </w:p>
        </w:tc>
      </w:tr>
      <w:tr w14:paraId="48E5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353" w:type="pct"/>
            <w:vMerge w:val="continue"/>
            <w:shd w:val="clear" w:color="auto" w:fill="auto"/>
            <w:noWrap/>
            <w:vAlign w:val="center"/>
          </w:tcPr>
          <w:p w14:paraId="16FC66EE">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40E299F">
            <w:pPr>
              <w:widowControl/>
              <w:spacing w:line="18" w:lineRule="atLeast"/>
              <w:jc w:val="left"/>
              <w:rPr>
                <w:rFonts w:ascii="宋体" w:hAnsi="宋体" w:cs="宋体"/>
                <w:kern w:val="0"/>
              </w:rPr>
            </w:pPr>
          </w:p>
        </w:tc>
        <w:tc>
          <w:tcPr>
            <w:tcW w:w="3002" w:type="pct"/>
            <w:shd w:val="clear" w:color="auto" w:fill="auto"/>
            <w:vAlign w:val="center"/>
          </w:tcPr>
          <w:p w14:paraId="71E922F5">
            <w:pPr>
              <w:widowControl/>
              <w:spacing w:line="18" w:lineRule="atLeast"/>
              <w:jc w:val="left"/>
              <w:rPr>
                <w:rFonts w:ascii="宋体" w:hAnsi="宋体" w:cs="宋体"/>
                <w:kern w:val="0"/>
              </w:rPr>
            </w:pPr>
            <w:r>
              <w:rPr>
                <w:rFonts w:hint="eastAsia" w:ascii="宋体" w:hAnsi="宋体" w:cs="宋体"/>
                <w:kern w:val="0"/>
              </w:rPr>
              <w:t>排查出的隐患应形成清单，建立隐患排查治理台账</w:t>
            </w:r>
          </w:p>
        </w:tc>
        <w:tc>
          <w:tcPr>
            <w:tcW w:w="603" w:type="pct"/>
            <w:shd w:val="clear" w:color="auto" w:fill="auto"/>
            <w:noWrap/>
            <w:vAlign w:val="center"/>
          </w:tcPr>
          <w:p w14:paraId="02CFF468">
            <w:pPr>
              <w:widowControl/>
              <w:spacing w:line="18" w:lineRule="atLeast"/>
              <w:jc w:val="center"/>
              <w:rPr>
                <w:rFonts w:ascii="宋体" w:hAnsi="宋体" w:cs="宋体"/>
                <w:kern w:val="0"/>
              </w:rPr>
            </w:pPr>
          </w:p>
        </w:tc>
        <w:tc>
          <w:tcPr>
            <w:tcW w:w="414" w:type="pct"/>
            <w:shd w:val="clear" w:color="auto" w:fill="auto"/>
            <w:noWrap/>
            <w:vAlign w:val="center"/>
          </w:tcPr>
          <w:p w14:paraId="49F7ECF7">
            <w:pPr>
              <w:widowControl/>
              <w:spacing w:line="18" w:lineRule="atLeast"/>
              <w:jc w:val="center"/>
              <w:rPr>
                <w:rFonts w:ascii="宋体" w:hAnsi="宋体" w:cs="宋体"/>
                <w:kern w:val="0"/>
              </w:rPr>
            </w:pPr>
          </w:p>
        </w:tc>
      </w:tr>
      <w:tr w14:paraId="3F73A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15B27031">
            <w:pPr>
              <w:widowControl/>
              <w:spacing w:line="18" w:lineRule="atLeast"/>
              <w:jc w:val="center"/>
              <w:rPr>
                <w:rFonts w:ascii="宋体" w:hAnsi="宋体" w:cs="宋体"/>
                <w:kern w:val="0"/>
              </w:rPr>
            </w:pPr>
            <w:bookmarkStart w:id="106" w:name="OLE_LINK14"/>
            <w:r>
              <w:rPr>
                <w:rFonts w:hint="eastAsia" w:ascii="宋体" w:hAnsi="宋体" w:cs="宋体"/>
                <w:kern w:val="0"/>
              </w:rPr>
              <w:t>10</w:t>
            </w:r>
          </w:p>
        </w:tc>
        <w:tc>
          <w:tcPr>
            <w:tcW w:w="625" w:type="pct"/>
            <w:vMerge w:val="restart"/>
            <w:shd w:val="clear" w:color="auto" w:fill="auto"/>
            <w:noWrap/>
            <w:vAlign w:val="center"/>
          </w:tcPr>
          <w:p w14:paraId="1F672551">
            <w:pPr>
              <w:widowControl/>
              <w:spacing w:line="18" w:lineRule="atLeast"/>
              <w:jc w:val="center"/>
              <w:rPr>
                <w:rFonts w:ascii="宋体" w:hAnsi="宋体" w:cs="宋体"/>
                <w:kern w:val="0"/>
              </w:rPr>
            </w:pPr>
            <w:r>
              <w:rPr>
                <w:rFonts w:hint="eastAsia" w:ascii="宋体" w:hAnsi="宋体" w:cs="宋体"/>
                <w:kern w:val="0"/>
              </w:rPr>
              <w:t>事故与应急管理</w:t>
            </w:r>
          </w:p>
        </w:tc>
        <w:tc>
          <w:tcPr>
            <w:tcW w:w="3002" w:type="pct"/>
            <w:shd w:val="clear" w:color="auto" w:fill="auto"/>
            <w:noWrap/>
            <w:vAlign w:val="center"/>
          </w:tcPr>
          <w:p w14:paraId="00A3874A">
            <w:pPr>
              <w:widowControl/>
              <w:spacing w:line="18" w:lineRule="atLeast"/>
              <w:jc w:val="left"/>
              <w:rPr>
                <w:rFonts w:ascii="宋体" w:hAnsi="宋体" w:cs="宋体"/>
                <w:kern w:val="0"/>
              </w:rPr>
            </w:pPr>
            <w:r>
              <w:rPr>
                <w:rFonts w:hint="eastAsia" w:ascii="宋体" w:hAnsi="宋体" w:cs="宋体"/>
                <w:kern w:val="0"/>
              </w:rPr>
              <w:t>事故风险识别</w:t>
            </w:r>
          </w:p>
        </w:tc>
        <w:tc>
          <w:tcPr>
            <w:tcW w:w="603" w:type="pct"/>
            <w:shd w:val="clear" w:color="auto" w:fill="auto"/>
            <w:noWrap/>
            <w:vAlign w:val="center"/>
          </w:tcPr>
          <w:p w14:paraId="78921E61">
            <w:pPr>
              <w:widowControl/>
              <w:spacing w:line="18" w:lineRule="atLeast"/>
              <w:jc w:val="center"/>
              <w:rPr>
                <w:rFonts w:ascii="宋体" w:hAnsi="宋体" w:cs="宋体"/>
                <w:kern w:val="0"/>
              </w:rPr>
            </w:pPr>
          </w:p>
        </w:tc>
        <w:tc>
          <w:tcPr>
            <w:tcW w:w="414" w:type="pct"/>
            <w:shd w:val="clear" w:color="auto" w:fill="auto"/>
            <w:noWrap/>
            <w:vAlign w:val="center"/>
          </w:tcPr>
          <w:p w14:paraId="131A0797">
            <w:pPr>
              <w:widowControl/>
              <w:spacing w:line="18" w:lineRule="atLeast"/>
              <w:jc w:val="center"/>
              <w:rPr>
                <w:rFonts w:ascii="宋体" w:hAnsi="宋体" w:cs="宋体"/>
                <w:kern w:val="0"/>
              </w:rPr>
            </w:pPr>
          </w:p>
        </w:tc>
      </w:tr>
      <w:tr w14:paraId="630B6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34465620">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620395B">
            <w:pPr>
              <w:widowControl/>
              <w:spacing w:line="18" w:lineRule="atLeast"/>
              <w:jc w:val="left"/>
              <w:rPr>
                <w:rFonts w:ascii="宋体" w:hAnsi="宋体" w:cs="宋体"/>
                <w:b/>
                <w:bCs/>
                <w:kern w:val="0"/>
              </w:rPr>
            </w:pPr>
          </w:p>
        </w:tc>
        <w:tc>
          <w:tcPr>
            <w:tcW w:w="3002" w:type="pct"/>
            <w:shd w:val="clear" w:color="auto" w:fill="auto"/>
            <w:noWrap/>
            <w:vAlign w:val="center"/>
          </w:tcPr>
          <w:p w14:paraId="130BEC50">
            <w:pPr>
              <w:widowControl/>
              <w:spacing w:line="18" w:lineRule="atLeast"/>
              <w:jc w:val="left"/>
              <w:rPr>
                <w:rFonts w:ascii="宋体" w:hAnsi="宋体" w:cs="宋体"/>
                <w:kern w:val="0"/>
              </w:rPr>
            </w:pPr>
            <w:r>
              <w:rPr>
                <w:rFonts w:hint="eastAsia" w:ascii="宋体" w:hAnsi="宋体" w:cs="宋体"/>
                <w:kern w:val="0"/>
              </w:rPr>
              <w:t>制定应急预案</w:t>
            </w:r>
          </w:p>
        </w:tc>
        <w:tc>
          <w:tcPr>
            <w:tcW w:w="603" w:type="pct"/>
            <w:shd w:val="clear" w:color="auto" w:fill="auto"/>
            <w:noWrap/>
            <w:vAlign w:val="center"/>
          </w:tcPr>
          <w:p w14:paraId="4F49FFB7">
            <w:pPr>
              <w:widowControl/>
              <w:spacing w:line="18" w:lineRule="atLeast"/>
              <w:jc w:val="center"/>
              <w:rPr>
                <w:rFonts w:ascii="宋体" w:hAnsi="宋体" w:cs="宋体"/>
                <w:kern w:val="0"/>
              </w:rPr>
            </w:pPr>
          </w:p>
        </w:tc>
        <w:tc>
          <w:tcPr>
            <w:tcW w:w="414" w:type="pct"/>
            <w:shd w:val="clear" w:color="auto" w:fill="auto"/>
            <w:noWrap/>
            <w:vAlign w:val="center"/>
          </w:tcPr>
          <w:p w14:paraId="20CAA418">
            <w:pPr>
              <w:widowControl/>
              <w:spacing w:line="18" w:lineRule="atLeast"/>
              <w:jc w:val="center"/>
              <w:rPr>
                <w:rFonts w:ascii="宋体" w:hAnsi="宋体" w:cs="宋体"/>
                <w:kern w:val="0"/>
              </w:rPr>
            </w:pPr>
          </w:p>
        </w:tc>
      </w:tr>
      <w:tr w14:paraId="07E54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3E5318AB">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226AB491">
            <w:pPr>
              <w:widowControl/>
              <w:spacing w:line="18" w:lineRule="atLeast"/>
              <w:jc w:val="left"/>
              <w:rPr>
                <w:rFonts w:ascii="宋体" w:hAnsi="宋体" w:cs="宋体"/>
                <w:b/>
                <w:bCs/>
                <w:kern w:val="0"/>
              </w:rPr>
            </w:pPr>
          </w:p>
        </w:tc>
        <w:tc>
          <w:tcPr>
            <w:tcW w:w="3002" w:type="pct"/>
            <w:shd w:val="clear" w:color="auto" w:fill="auto"/>
            <w:vAlign w:val="center"/>
          </w:tcPr>
          <w:p w14:paraId="184D0E6C">
            <w:pPr>
              <w:widowControl/>
              <w:spacing w:line="18" w:lineRule="atLeast"/>
              <w:jc w:val="left"/>
              <w:rPr>
                <w:rFonts w:ascii="宋体" w:hAnsi="宋体" w:cs="宋体"/>
                <w:kern w:val="0"/>
              </w:rPr>
            </w:pPr>
            <w:r>
              <w:rPr>
                <w:rFonts w:hint="eastAsia" w:ascii="宋体" w:hAnsi="宋体" w:cs="宋体"/>
                <w:kern w:val="0"/>
              </w:rPr>
              <w:t>建立应急指挥机构，主要负责人是应急管理第一责任人</w:t>
            </w:r>
          </w:p>
        </w:tc>
        <w:tc>
          <w:tcPr>
            <w:tcW w:w="603" w:type="pct"/>
            <w:shd w:val="clear" w:color="auto" w:fill="auto"/>
            <w:noWrap/>
            <w:vAlign w:val="center"/>
          </w:tcPr>
          <w:p w14:paraId="7A5AFA50">
            <w:pPr>
              <w:widowControl/>
              <w:spacing w:line="18" w:lineRule="atLeast"/>
              <w:jc w:val="center"/>
              <w:rPr>
                <w:rFonts w:ascii="宋体" w:hAnsi="宋体" w:cs="宋体"/>
                <w:kern w:val="0"/>
              </w:rPr>
            </w:pPr>
          </w:p>
        </w:tc>
        <w:tc>
          <w:tcPr>
            <w:tcW w:w="414" w:type="pct"/>
            <w:shd w:val="clear" w:color="auto" w:fill="auto"/>
            <w:noWrap/>
            <w:vAlign w:val="center"/>
          </w:tcPr>
          <w:p w14:paraId="155CB794">
            <w:pPr>
              <w:widowControl/>
              <w:spacing w:line="18" w:lineRule="atLeast"/>
              <w:jc w:val="center"/>
              <w:rPr>
                <w:rFonts w:ascii="宋体" w:hAnsi="宋体" w:cs="宋体"/>
                <w:kern w:val="0"/>
              </w:rPr>
            </w:pPr>
          </w:p>
        </w:tc>
      </w:tr>
      <w:tr w14:paraId="44AA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123AB3FD">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6687627D">
            <w:pPr>
              <w:widowControl/>
              <w:spacing w:line="18" w:lineRule="atLeast"/>
              <w:jc w:val="left"/>
              <w:rPr>
                <w:rFonts w:ascii="宋体" w:hAnsi="宋体" w:cs="宋体"/>
                <w:b/>
                <w:bCs/>
                <w:kern w:val="0"/>
              </w:rPr>
            </w:pPr>
          </w:p>
        </w:tc>
        <w:tc>
          <w:tcPr>
            <w:tcW w:w="3002" w:type="pct"/>
            <w:shd w:val="clear" w:color="auto" w:fill="auto"/>
            <w:vAlign w:val="center"/>
          </w:tcPr>
          <w:p w14:paraId="79BD0172">
            <w:pPr>
              <w:widowControl/>
              <w:spacing w:line="18" w:lineRule="atLeast"/>
              <w:jc w:val="left"/>
              <w:rPr>
                <w:rFonts w:ascii="宋体" w:hAnsi="宋体" w:cs="宋体"/>
                <w:kern w:val="0"/>
              </w:rPr>
            </w:pPr>
            <w:r>
              <w:rPr>
                <w:rFonts w:hint="eastAsia" w:ascii="宋体" w:hAnsi="宋体" w:cs="宋体"/>
                <w:kern w:val="0"/>
              </w:rPr>
              <w:t>每年至少组织一次应急救援演练</w:t>
            </w:r>
          </w:p>
        </w:tc>
        <w:tc>
          <w:tcPr>
            <w:tcW w:w="603" w:type="pct"/>
            <w:shd w:val="clear" w:color="auto" w:fill="auto"/>
            <w:noWrap/>
            <w:vAlign w:val="center"/>
          </w:tcPr>
          <w:p w14:paraId="7F455DA9">
            <w:pPr>
              <w:widowControl/>
              <w:spacing w:line="18" w:lineRule="atLeast"/>
              <w:jc w:val="center"/>
              <w:rPr>
                <w:rFonts w:ascii="宋体" w:hAnsi="宋体" w:cs="宋体"/>
                <w:kern w:val="0"/>
              </w:rPr>
            </w:pPr>
          </w:p>
        </w:tc>
        <w:tc>
          <w:tcPr>
            <w:tcW w:w="414" w:type="pct"/>
            <w:shd w:val="clear" w:color="auto" w:fill="auto"/>
            <w:noWrap/>
            <w:vAlign w:val="center"/>
          </w:tcPr>
          <w:p w14:paraId="110EACF2">
            <w:pPr>
              <w:widowControl/>
              <w:spacing w:line="18" w:lineRule="atLeast"/>
              <w:jc w:val="center"/>
              <w:rPr>
                <w:rFonts w:ascii="宋体" w:hAnsi="宋体" w:cs="宋体"/>
                <w:kern w:val="0"/>
              </w:rPr>
            </w:pPr>
          </w:p>
        </w:tc>
      </w:tr>
      <w:tr w14:paraId="64111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5944F2B1">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6C45B2D8">
            <w:pPr>
              <w:widowControl/>
              <w:spacing w:line="18" w:lineRule="atLeast"/>
              <w:jc w:val="left"/>
              <w:rPr>
                <w:rFonts w:ascii="宋体" w:hAnsi="宋体" w:cs="宋体"/>
                <w:b/>
                <w:bCs/>
                <w:kern w:val="0"/>
              </w:rPr>
            </w:pPr>
          </w:p>
        </w:tc>
        <w:tc>
          <w:tcPr>
            <w:tcW w:w="3002" w:type="pct"/>
            <w:shd w:val="clear" w:color="auto" w:fill="auto"/>
            <w:noWrap/>
            <w:vAlign w:val="center"/>
          </w:tcPr>
          <w:p w14:paraId="4E3B1B07">
            <w:pPr>
              <w:widowControl/>
              <w:spacing w:line="18" w:lineRule="atLeast"/>
              <w:jc w:val="left"/>
              <w:rPr>
                <w:rFonts w:ascii="宋体" w:hAnsi="宋体" w:cs="宋体"/>
                <w:kern w:val="0"/>
              </w:rPr>
            </w:pPr>
            <w:r>
              <w:rPr>
                <w:rFonts w:hint="eastAsia" w:ascii="宋体" w:hAnsi="宋体" w:cs="宋体"/>
                <w:kern w:val="0"/>
              </w:rPr>
              <w:t>应急演练应采用文字、摄像、拍照等方式记录并存档</w:t>
            </w:r>
          </w:p>
        </w:tc>
        <w:tc>
          <w:tcPr>
            <w:tcW w:w="603" w:type="pct"/>
            <w:shd w:val="clear" w:color="auto" w:fill="auto"/>
            <w:noWrap/>
            <w:vAlign w:val="center"/>
          </w:tcPr>
          <w:p w14:paraId="12D14725">
            <w:pPr>
              <w:widowControl/>
              <w:spacing w:line="18" w:lineRule="atLeast"/>
              <w:jc w:val="center"/>
              <w:rPr>
                <w:rFonts w:ascii="宋体" w:hAnsi="宋体" w:cs="宋体"/>
                <w:kern w:val="0"/>
              </w:rPr>
            </w:pPr>
          </w:p>
        </w:tc>
        <w:tc>
          <w:tcPr>
            <w:tcW w:w="414" w:type="pct"/>
            <w:shd w:val="clear" w:color="auto" w:fill="auto"/>
            <w:noWrap/>
            <w:vAlign w:val="center"/>
          </w:tcPr>
          <w:p w14:paraId="797C521F">
            <w:pPr>
              <w:widowControl/>
              <w:spacing w:line="18" w:lineRule="atLeast"/>
              <w:jc w:val="center"/>
              <w:rPr>
                <w:rFonts w:ascii="宋体" w:hAnsi="宋体" w:cs="宋体"/>
                <w:kern w:val="0"/>
              </w:rPr>
            </w:pPr>
          </w:p>
        </w:tc>
      </w:tr>
      <w:tr w14:paraId="4A1E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53" w:type="pct"/>
            <w:vMerge w:val="continue"/>
            <w:shd w:val="clear" w:color="auto" w:fill="auto"/>
            <w:noWrap/>
            <w:vAlign w:val="center"/>
          </w:tcPr>
          <w:p w14:paraId="76316507">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026BC962">
            <w:pPr>
              <w:widowControl/>
              <w:spacing w:line="18" w:lineRule="atLeast"/>
              <w:jc w:val="left"/>
              <w:rPr>
                <w:rFonts w:ascii="宋体" w:hAnsi="宋体" w:cs="宋体"/>
                <w:b/>
                <w:bCs/>
                <w:kern w:val="0"/>
              </w:rPr>
            </w:pPr>
          </w:p>
        </w:tc>
        <w:tc>
          <w:tcPr>
            <w:tcW w:w="3002" w:type="pct"/>
            <w:shd w:val="clear" w:color="auto" w:fill="auto"/>
            <w:noWrap/>
            <w:vAlign w:val="center"/>
          </w:tcPr>
          <w:p w14:paraId="6232FB99">
            <w:pPr>
              <w:widowControl/>
              <w:spacing w:line="18" w:lineRule="atLeast"/>
              <w:jc w:val="left"/>
              <w:rPr>
                <w:rFonts w:ascii="宋体" w:hAnsi="宋体" w:cs="宋体"/>
                <w:kern w:val="0"/>
              </w:rPr>
            </w:pPr>
            <w:r>
              <w:rPr>
                <w:rFonts w:hint="eastAsia" w:ascii="宋体" w:hAnsi="宋体" w:cs="宋体"/>
                <w:kern w:val="0"/>
              </w:rPr>
              <w:t>使用单位对演练效果进行评价</w:t>
            </w:r>
          </w:p>
        </w:tc>
        <w:tc>
          <w:tcPr>
            <w:tcW w:w="603" w:type="pct"/>
            <w:shd w:val="clear" w:color="auto" w:fill="auto"/>
            <w:noWrap/>
            <w:vAlign w:val="center"/>
          </w:tcPr>
          <w:p w14:paraId="081E4D4E">
            <w:pPr>
              <w:widowControl/>
              <w:spacing w:line="18" w:lineRule="atLeast"/>
              <w:jc w:val="center"/>
              <w:rPr>
                <w:rFonts w:ascii="宋体" w:hAnsi="宋体" w:cs="宋体"/>
                <w:kern w:val="0"/>
              </w:rPr>
            </w:pPr>
          </w:p>
        </w:tc>
        <w:tc>
          <w:tcPr>
            <w:tcW w:w="414" w:type="pct"/>
            <w:shd w:val="clear" w:color="auto" w:fill="auto"/>
            <w:noWrap/>
            <w:vAlign w:val="center"/>
          </w:tcPr>
          <w:p w14:paraId="472DE401">
            <w:pPr>
              <w:widowControl/>
              <w:spacing w:line="18" w:lineRule="atLeast"/>
              <w:jc w:val="center"/>
              <w:rPr>
                <w:rFonts w:ascii="宋体" w:hAnsi="宋体" w:cs="宋体"/>
                <w:kern w:val="0"/>
              </w:rPr>
            </w:pPr>
          </w:p>
        </w:tc>
      </w:tr>
      <w:tr w14:paraId="68385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353" w:type="pct"/>
            <w:vMerge w:val="continue"/>
            <w:shd w:val="clear" w:color="auto" w:fill="auto"/>
            <w:noWrap/>
            <w:vAlign w:val="center"/>
          </w:tcPr>
          <w:p w14:paraId="7511CE75">
            <w:pPr>
              <w:pStyle w:val="230"/>
              <w:widowControl/>
              <w:spacing w:line="18" w:lineRule="atLeast"/>
              <w:ind w:left="420" w:hanging="420" w:firstLineChars="0"/>
              <w:jc w:val="center"/>
              <w:rPr>
                <w:rFonts w:ascii="宋体" w:hAnsi="宋体" w:cs="宋体"/>
                <w:kern w:val="0"/>
                <w:szCs w:val="21"/>
              </w:rPr>
            </w:pPr>
          </w:p>
        </w:tc>
        <w:tc>
          <w:tcPr>
            <w:tcW w:w="625" w:type="pct"/>
            <w:vMerge w:val="continue"/>
            <w:vAlign w:val="center"/>
          </w:tcPr>
          <w:p w14:paraId="55718BDB">
            <w:pPr>
              <w:widowControl/>
              <w:spacing w:line="18" w:lineRule="atLeast"/>
              <w:jc w:val="left"/>
              <w:rPr>
                <w:rFonts w:ascii="宋体" w:hAnsi="宋体" w:cs="宋体"/>
                <w:b/>
                <w:bCs/>
                <w:kern w:val="0"/>
              </w:rPr>
            </w:pPr>
          </w:p>
        </w:tc>
        <w:tc>
          <w:tcPr>
            <w:tcW w:w="3002" w:type="pct"/>
            <w:shd w:val="clear" w:color="auto" w:fill="auto"/>
            <w:noWrap/>
            <w:vAlign w:val="center"/>
          </w:tcPr>
          <w:p w14:paraId="6CE13C20">
            <w:pPr>
              <w:widowControl/>
              <w:spacing w:line="18" w:lineRule="atLeast"/>
              <w:jc w:val="left"/>
              <w:rPr>
                <w:rFonts w:ascii="宋体" w:hAnsi="宋体" w:cs="宋体"/>
                <w:kern w:val="0"/>
              </w:rPr>
            </w:pPr>
            <w:r>
              <w:rPr>
                <w:rFonts w:hint="eastAsia" w:ascii="宋体" w:hAnsi="宋体" w:cs="宋体"/>
                <w:kern w:val="0"/>
              </w:rPr>
              <w:t>安全事故管理与应急处置</w:t>
            </w:r>
          </w:p>
        </w:tc>
        <w:tc>
          <w:tcPr>
            <w:tcW w:w="603" w:type="pct"/>
            <w:shd w:val="clear" w:color="auto" w:fill="auto"/>
            <w:noWrap/>
            <w:vAlign w:val="center"/>
          </w:tcPr>
          <w:p w14:paraId="60DE085F">
            <w:pPr>
              <w:widowControl/>
              <w:spacing w:line="18" w:lineRule="atLeast"/>
              <w:jc w:val="center"/>
              <w:rPr>
                <w:rFonts w:ascii="宋体" w:hAnsi="宋体" w:cs="宋体"/>
                <w:kern w:val="0"/>
              </w:rPr>
            </w:pPr>
          </w:p>
        </w:tc>
        <w:tc>
          <w:tcPr>
            <w:tcW w:w="414" w:type="pct"/>
            <w:shd w:val="clear" w:color="auto" w:fill="auto"/>
            <w:noWrap/>
            <w:vAlign w:val="center"/>
          </w:tcPr>
          <w:p w14:paraId="518DD40F">
            <w:pPr>
              <w:widowControl/>
              <w:spacing w:line="18" w:lineRule="atLeast"/>
              <w:jc w:val="center"/>
              <w:rPr>
                <w:rFonts w:ascii="宋体" w:hAnsi="宋体" w:cs="宋体"/>
                <w:kern w:val="0"/>
              </w:rPr>
            </w:pPr>
          </w:p>
        </w:tc>
      </w:tr>
      <w:tr w14:paraId="2F33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restart"/>
            <w:shd w:val="clear" w:color="auto" w:fill="auto"/>
            <w:noWrap/>
            <w:vAlign w:val="center"/>
          </w:tcPr>
          <w:p w14:paraId="3B91053A">
            <w:pPr>
              <w:widowControl/>
              <w:spacing w:line="18" w:lineRule="atLeast"/>
              <w:jc w:val="center"/>
              <w:rPr>
                <w:rFonts w:ascii="宋体" w:hAnsi="宋体" w:cs="宋体"/>
                <w:kern w:val="0"/>
              </w:rPr>
            </w:pPr>
            <w:r>
              <w:rPr>
                <w:rFonts w:hint="eastAsia" w:ascii="宋体" w:hAnsi="宋体" w:cs="宋体"/>
                <w:kern w:val="0"/>
              </w:rPr>
              <w:t>11</w:t>
            </w:r>
          </w:p>
        </w:tc>
        <w:tc>
          <w:tcPr>
            <w:tcW w:w="625" w:type="pct"/>
            <w:vMerge w:val="restart"/>
            <w:shd w:val="clear" w:color="auto" w:fill="auto"/>
            <w:noWrap/>
            <w:vAlign w:val="center"/>
          </w:tcPr>
          <w:p w14:paraId="2C2371EF">
            <w:pPr>
              <w:widowControl/>
              <w:spacing w:line="18" w:lineRule="atLeast"/>
              <w:jc w:val="center"/>
              <w:rPr>
                <w:rFonts w:ascii="宋体" w:hAnsi="宋体" w:cs="宋体"/>
                <w:kern w:val="0"/>
              </w:rPr>
            </w:pPr>
            <w:r>
              <w:rPr>
                <w:rFonts w:hint="eastAsia" w:ascii="宋体" w:hAnsi="宋体" w:cs="宋体"/>
                <w:kern w:val="0"/>
              </w:rPr>
              <w:t>安全技术档案</w:t>
            </w:r>
          </w:p>
        </w:tc>
        <w:tc>
          <w:tcPr>
            <w:tcW w:w="3002" w:type="pct"/>
            <w:shd w:val="clear" w:color="auto" w:fill="auto"/>
            <w:noWrap/>
            <w:vAlign w:val="center"/>
          </w:tcPr>
          <w:p w14:paraId="288D5842">
            <w:pPr>
              <w:widowControl/>
              <w:spacing w:line="18" w:lineRule="atLeast"/>
              <w:jc w:val="left"/>
              <w:rPr>
                <w:rFonts w:ascii="宋体" w:hAnsi="宋体" w:cs="宋体"/>
                <w:kern w:val="0"/>
              </w:rPr>
            </w:pPr>
            <w:r>
              <w:rPr>
                <w:rFonts w:hint="eastAsia" w:ascii="宋体" w:hAnsi="宋体" w:cs="宋体"/>
                <w:kern w:val="0"/>
              </w:rPr>
              <w:t>及时、全面归档安全技术档案</w:t>
            </w:r>
          </w:p>
        </w:tc>
        <w:tc>
          <w:tcPr>
            <w:tcW w:w="603" w:type="pct"/>
            <w:shd w:val="clear" w:color="auto" w:fill="auto"/>
            <w:noWrap/>
            <w:vAlign w:val="center"/>
          </w:tcPr>
          <w:p w14:paraId="66276BB2">
            <w:pPr>
              <w:widowControl/>
              <w:spacing w:line="18" w:lineRule="atLeast"/>
              <w:jc w:val="center"/>
              <w:rPr>
                <w:rFonts w:ascii="宋体" w:hAnsi="宋体" w:cs="宋体"/>
                <w:kern w:val="0"/>
              </w:rPr>
            </w:pPr>
          </w:p>
        </w:tc>
        <w:tc>
          <w:tcPr>
            <w:tcW w:w="414" w:type="pct"/>
            <w:shd w:val="clear" w:color="auto" w:fill="auto"/>
            <w:noWrap/>
            <w:vAlign w:val="center"/>
          </w:tcPr>
          <w:p w14:paraId="60B347D9">
            <w:pPr>
              <w:widowControl/>
              <w:spacing w:line="18" w:lineRule="atLeast"/>
              <w:jc w:val="center"/>
              <w:rPr>
                <w:rFonts w:ascii="宋体" w:hAnsi="宋体" w:cs="宋体"/>
                <w:kern w:val="0"/>
              </w:rPr>
            </w:pPr>
          </w:p>
        </w:tc>
      </w:tr>
      <w:bookmarkEnd w:id="103"/>
      <w:bookmarkEnd w:id="104"/>
      <w:bookmarkEnd w:id="106"/>
      <w:tr w14:paraId="1A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shd w:val="clear" w:color="auto" w:fill="auto"/>
            <w:noWrap/>
            <w:vAlign w:val="center"/>
          </w:tcPr>
          <w:p w14:paraId="4C85DBDF">
            <w:pPr>
              <w:pStyle w:val="230"/>
              <w:widowControl/>
              <w:spacing w:line="18" w:lineRule="atLeast"/>
              <w:ind w:left="0" w:firstLine="0" w:firstLineChars="0"/>
              <w:jc w:val="center"/>
              <w:rPr>
                <w:rFonts w:ascii="宋体" w:hAnsi="宋体" w:cs="宋体"/>
                <w:kern w:val="0"/>
                <w:szCs w:val="21"/>
              </w:rPr>
            </w:pPr>
          </w:p>
        </w:tc>
        <w:tc>
          <w:tcPr>
            <w:tcW w:w="625" w:type="pct"/>
            <w:vMerge w:val="continue"/>
            <w:shd w:val="clear" w:color="auto" w:fill="auto"/>
            <w:noWrap/>
            <w:vAlign w:val="center"/>
          </w:tcPr>
          <w:p w14:paraId="112CA2A3">
            <w:pPr>
              <w:widowControl/>
              <w:spacing w:line="18" w:lineRule="atLeast"/>
              <w:jc w:val="center"/>
              <w:rPr>
                <w:rFonts w:ascii="宋体" w:hAnsi="宋体" w:cs="宋体"/>
                <w:kern w:val="0"/>
              </w:rPr>
            </w:pPr>
          </w:p>
        </w:tc>
        <w:tc>
          <w:tcPr>
            <w:tcW w:w="3002" w:type="pct"/>
            <w:shd w:val="clear" w:color="auto" w:fill="auto"/>
            <w:noWrap/>
            <w:vAlign w:val="center"/>
          </w:tcPr>
          <w:p w14:paraId="16545023">
            <w:pPr>
              <w:widowControl/>
              <w:spacing w:line="18" w:lineRule="atLeast"/>
              <w:jc w:val="left"/>
              <w:rPr>
                <w:rFonts w:ascii="宋体" w:hAnsi="宋体" w:cs="宋体"/>
                <w:kern w:val="0"/>
              </w:rPr>
            </w:pPr>
            <w:r>
              <w:rPr>
                <w:rFonts w:hint="eastAsia" w:ascii="宋体" w:hAnsi="宋体" w:cs="宋体"/>
                <w:kern w:val="0"/>
              </w:rPr>
              <w:t>一车一档</w:t>
            </w:r>
          </w:p>
        </w:tc>
        <w:tc>
          <w:tcPr>
            <w:tcW w:w="603" w:type="pct"/>
            <w:shd w:val="clear" w:color="auto" w:fill="auto"/>
            <w:noWrap/>
            <w:vAlign w:val="center"/>
          </w:tcPr>
          <w:p w14:paraId="5E46D026">
            <w:pPr>
              <w:widowControl/>
              <w:spacing w:line="18" w:lineRule="atLeast"/>
              <w:jc w:val="center"/>
              <w:rPr>
                <w:rFonts w:ascii="宋体" w:hAnsi="宋体" w:cs="宋体"/>
                <w:kern w:val="0"/>
              </w:rPr>
            </w:pPr>
          </w:p>
        </w:tc>
        <w:tc>
          <w:tcPr>
            <w:tcW w:w="414" w:type="pct"/>
            <w:shd w:val="clear" w:color="auto" w:fill="auto"/>
            <w:noWrap/>
            <w:vAlign w:val="center"/>
          </w:tcPr>
          <w:p w14:paraId="7E0C38EF">
            <w:pPr>
              <w:widowControl/>
              <w:spacing w:line="18" w:lineRule="atLeast"/>
              <w:jc w:val="center"/>
              <w:rPr>
                <w:rFonts w:ascii="宋体" w:hAnsi="宋体" w:cs="宋体"/>
                <w:kern w:val="0"/>
              </w:rPr>
            </w:pPr>
          </w:p>
        </w:tc>
      </w:tr>
      <w:tr w14:paraId="7DA4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5"/>
            <w:shd w:val="clear" w:color="auto" w:fill="auto"/>
            <w:noWrap/>
            <w:vAlign w:val="center"/>
          </w:tcPr>
          <w:p w14:paraId="26500FF8">
            <w:pPr>
              <w:widowControl/>
              <w:spacing w:line="18" w:lineRule="atLeast"/>
              <w:jc w:val="left"/>
              <w:rPr>
                <w:rFonts w:ascii="宋体" w:hAnsi="宋体" w:cs="宋体"/>
                <w:kern w:val="0"/>
              </w:rPr>
            </w:pPr>
            <w:r>
              <w:rPr>
                <w:rFonts w:hint="eastAsia" w:ascii="宋体" w:hAnsi="宋体" w:cs="宋体"/>
                <w:kern w:val="0"/>
              </w:rPr>
              <w:t>注：1.使用单位应根据本单位实际情况确定适应的检查项目及周期。</w:t>
            </w:r>
          </w:p>
          <w:p w14:paraId="3ADF149F">
            <w:pPr>
              <w:widowControl/>
              <w:spacing w:line="18" w:lineRule="atLeast"/>
              <w:ind w:firstLine="420" w:firstLineChars="200"/>
              <w:jc w:val="left"/>
              <w:rPr>
                <w:rFonts w:ascii="宋体" w:hAnsi="宋体" w:cs="宋体"/>
                <w:kern w:val="0"/>
              </w:rPr>
            </w:pPr>
            <w:bookmarkStart w:id="107" w:name="OLE_LINK7"/>
            <w:bookmarkStart w:id="108" w:name="OLE_LINK8"/>
            <w:r>
              <w:rPr>
                <w:rFonts w:hint="eastAsia" w:ascii="宋体" w:hAnsi="宋体" w:cs="宋体"/>
                <w:kern w:val="0"/>
              </w:rPr>
              <w:t>2.检查结果的表示方法：符合要求，“√”；不符合要求，“×”；无此项，“/”。</w:t>
            </w:r>
          </w:p>
          <w:bookmarkEnd w:id="107"/>
          <w:bookmarkEnd w:id="108"/>
          <w:p w14:paraId="5C4D9C28">
            <w:pPr>
              <w:widowControl/>
              <w:spacing w:line="18" w:lineRule="atLeast"/>
              <w:ind w:firstLine="420" w:firstLineChars="200"/>
              <w:rPr>
                <w:rFonts w:ascii="宋体" w:hAnsi="宋体" w:cs="宋体"/>
                <w:kern w:val="0"/>
              </w:rPr>
            </w:pPr>
            <w:r>
              <w:rPr>
                <w:rFonts w:hint="eastAsia" w:ascii="宋体" w:hAnsi="宋体" w:cs="宋体"/>
                <w:kern w:val="0"/>
              </w:rPr>
              <w:t>3.不符合项应在备注栏中做好标记，必要时加以说明。</w:t>
            </w:r>
          </w:p>
        </w:tc>
      </w:tr>
    </w:tbl>
    <w:p w14:paraId="743CD142">
      <w:pPr>
        <w:pStyle w:val="77"/>
        <w:numPr>
          <w:ilvl w:val="0"/>
          <w:numId w:val="0"/>
        </w:numPr>
        <w:spacing w:before="156" w:after="156"/>
        <w:jc w:val="both"/>
      </w:pPr>
    </w:p>
    <w:p w14:paraId="34AD41AC">
      <w:pPr>
        <w:pStyle w:val="56"/>
        <w:ind w:firstLine="420"/>
      </w:pPr>
    </w:p>
    <w:p w14:paraId="04929473">
      <w:pPr>
        <w:pStyle w:val="56"/>
        <w:ind w:firstLine="420"/>
        <w:sectPr>
          <w:pgSz w:w="11906" w:h="16838"/>
          <w:pgMar w:top="1928" w:right="1134" w:bottom="1134" w:left="1134" w:header="1418" w:footer="1134" w:gutter="284"/>
          <w:cols w:space="425" w:num="1"/>
          <w:formProt w:val="0"/>
          <w:docGrid w:type="lines" w:linePitch="312" w:charSpace="0"/>
        </w:sectPr>
      </w:pPr>
    </w:p>
    <w:p w14:paraId="07446231">
      <w:pPr>
        <w:pStyle w:val="198"/>
      </w:pPr>
    </w:p>
    <w:p w14:paraId="7F0BCDB5">
      <w:pPr>
        <w:pStyle w:val="199"/>
      </w:pPr>
    </w:p>
    <w:p w14:paraId="3E198C2A">
      <w:pPr>
        <w:pStyle w:val="76"/>
        <w:spacing w:after="156"/>
      </w:pPr>
      <w:r>
        <w:br w:type="textWrapping"/>
      </w:r>
      <w:bookmarkStart w:id="109" w:name="_Toc193115873"/>
      <w:r>
        <w:rPr>
          <w:rFonts w:hint="eastAsia"/>
        </w:rPr>
        <w:t>（资料性）</w:t>
      </w:r>
      <w:r>
        <w:br w:type="textWrapping"/>
      </w:r>
      <w:r>
        <w:rPr>
          <w:rFonts w:hint="eastAsia"/>
        </w:rPr>
        <w:t>使用单位检验前的准备清单</w:t>
      </w:r>
      <w:bookmarkEnd w:id="109"/>
    </w:p>
    <w:p w14:paraId="579885B6">
      <w:pPr>
        <w:pStyle w:val="56"/>
        <w:ind w:firstLine="420"/>
      </w:pPr>
      <w:r>
        <w:rPr>
          <w:rFonts w:hint="eastAsia"/>
        </w:rPr>
        <w:t>使用单位检验前的准备清单见表E</w:t>
      </w:r>
      <w:r>
        <w:t>.1</w:t>
      </w:r>
      <w:r>
        <w:rPr>
          <w:rFonts w:hint="eastAsia"/>
        </w:rPr>
        <w:t>。</w:t>
      </w:r>
    </w:p>
    <w:p w14:paraId="1CC32597">
      <w:pPr>
        <w:pStyle w:val="77"/>
        <w:spacing w:before="156" w:after="156"/>
      </w:pPr>
      <w:r>
        <w:rPr>
          <w:rFonts w:hint="eastAsia"/>
        </w:rPr>
        <w:t>使用单位检验前的准备清单</w:t>
      </w:r>
    </w:p>
    <w:tbl>
      <w:tblPr>
        <w:tblStyle w:val="27"/>
        <w:tblpPr w:leftFromText="180" w:rightFromText="180" w:vertAnchor="text" w:horzAnchor="page" w:tblpXSpec="center" w:tblpY="306"/>
        <w:tblOverlap w:val="never"/>
        <w:tblW w:w="511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979"/>
        <w:gridCol w:w="2203"/>
        <w:gridCol w:w="3924"/>
      </w:tblGrid>
      <w:tr w14:paraId="7D6D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345" w:type="pct"/>
            <w:vMerge w:val="restart"/>
            <w:vAlign w:val="center"/>
          </w:tcPr>
          <w:p w14:paraId="21F458CD">
            <w:pPr>
              <w:jc w:val="center"/>
              <w:rPr>
                <w:rFonts w:ascii="宋体" w:hAnsi="宋体" w:cs="宋体"/>
              </w:rPr>
            </w:pPr>
            <w:r>
              <w:rPr>
                <w:rFonts w:hint="eastAsia" w:ascii="宋体" w:hAnsi="宋体" w:cs="宋体"/>
              </w:rPr>
              <w:t>序号</w:t>
            </w:r>
          </w:p>
        </w:tc>
        <w:tc>
          <w:tcPr>
            <w:tcW w:w="2649" w:type="pct"/>
            <w:gridSpan w:val="2"/>
            <w:vAlign w:val="center"/>
          </w:tcPr>
          <w:p w14:paraId="0733960A">
            <w:pPr>
              <w:jc w:val="center"/>
              <w:rPr>
                <w:rFonts w:ascii="宋体" w:hAnsi="宋体" w:cs="宋体"/>
              </w:rPr>
            </w:pPr>
            <w:r>
              <w:rPr>
                <w:rFonts w:hint="eastAsia" w:ascii="宋体" w:hAnsi="宋体" w:cs="宋体"/>
              </w:rPr>
              <w:t>资料准备</w:t>
            </w:r>
          </w:p>
        </w:tc>
        <w:tc>
          <w:tcPr>
            <w:tcW w:w="2006" w:type="pct"/>
            <w:vMerge w:val="restart"/>
            <w:vAlign w:val="center"/>
          </w:tcPr>
          <w:p w14:paraId="53E04CBC">
            <w:pPr>
              <w:jc w:val="center"/>
              <w:rPr>
                <w:rFonts w:ascii="宋体" w:hAnsi="宋体" w:cs="宋体"/>
              </w:rPr>
            </w:pPr>
            <w:r>
              <w:rPr>
                <w:rFonts w:hint="eastAsia" w:ascii="宋体" w:hAnsi="宋体" w:cs="宋体"/>
              </w:rPr>
              <w:t>现场准备</w:t>
            </w:r>
          </w:p>
        </w:tc>
      </w:tr>
      <w:tr w14:paraId="5BDB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345" w:type="pct"/>
            <w:vMerge w:val="continue"/>
          </w:tcPr>
          <w:p w14:paraId="3E2D0C52">
            <w:pPr>
              <w:jc w:val="center"/>
              <w:rPr>
                <w:rFonts w:ascii="宋体" w:hAnsi="宋体" w:cs="宋体"/>
              </w:rPr>
            </w:pPr>
          </w:p>
        </w:tc>
        <w:tc>
          <w:tcPr>
            <w:tcW w:w="1523" w:type="pct"/>
            <w:vAlign w:val="center"/>
          </w:tcPr>
          <w:p w14:paraId="2D7396B1">
            <w:pPr>
              <w:jc w:val="center"/>
              <w:rPr>
                <w:rFonts w:ascii="宋体" w:hAnsi="宋体" w:cs="宋体"/>
              </w:rPr>
            </w:pPr>
            <w:r>
              <w:rPr>
                <w:rFonts w:hint="eastAsia" w:ascii="宋体" w:hAnsi="宋体" w:cs="宋体"/>
              </w:rPr>
              <w:t>首次检验</w:t>
            </w:r>
          </w:p>
        </w:tc>
        <w:tc>
          <w:tcPr>
            <w:tcW w:w="1126" w:type="pct"/>
            <w:vAlign w:val="center"/>
          </w:tcPr>
          <w:p w14:paraId="44527AF7">
            <w:pPr>
              <w:jc w:val="center"/>
              <w:rPr>
                <w:rFonts w:ascii="宋体" w:hAnsi="宋体" w:cs="宋体"/>
              </w:rPr>
            </w:pPr>
            <w:r>
              <w:rPr>
                <w:rFonts w:hint="eastAsia" w:ascii="宋体" w:hAnsi="宋体" w:cs="宋体"/>
              </w:rPr>
              <w:t>定期检验</w:t>
            </w:r>
          </w:p>
        </w:tc>
        <w:tc>
          <w:tcPr>
            <w:tcW w:w="2006" w:type="pct"/>
            <w:vMerge w:val="continue"/>
          </w:tcPr>
          <w:p w14:paraId="6885735A">
            <w:pPr>
              <w:jc w:val="center"/>
              <w:rPr>
                <w:rFonts w:ascii="宋体" w:hAnsi="宋体" w:cs="宋体"/>
              </w:rPr>
            </w:pPr>
          </w:p>
        </w:tc>
      </w:tr>
      <w:tr w14:paraId="623A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17A42F65">
            <w:pPr>
              <w:jc w:val="center"/>
              <w:rPr>
                <w:rFonts w:ascii="宋体" w:hAnsi="宋体" w:cs="宋体"/>
              </w:rPr>
            </w:pPr>
            <w:r>
              <w:rPr>
                <w:rFonts w:hint="eastAsia" w:ascii="宋体" w:hAnsi="宋体" w:cs="宋体"/>
              </w:rPr>
              <w:t>1</w:t>
            </w:r>
          </w:p>
        </w:tc>
        <w:tc>
          <w:tcPr>
            <w:tcW w:w="1523" w:type="pct"/>
            <w:vAlign w:val="center"/>
          </w:tcPr>
          <w:p w14:paraId="789E351B">
            <w:pPr>
              <w:jc w:val="left"/>
              <w:rPr>
                <w:rFonts w:ascii="宋体" w:hAnsi="宋体" w:cs="宋体"/>
              </w:rPr>
            </w:pPr>
            <w:r>
              <w:rPr>
                <w:rFonts w:hint="eastAsia" w:ascii="宋体" w:hAnsi="宋体" w:cs="宋体"/>
              </w:rPr>
              <w:t>出厂检验报告</w:t>
            </w:r>
          </w:p>
        </w:tc>
        <w:tc>
          <w:tcPr>
            <w:tcW w:w="1126" w:type="pct"/>
            <w:vAlign w:val="center"/>
          </w:tcPr>
          <w:p w14:paraId="565F8820">
            <w:pPr>
              <w:jc w:val="left"/>
              <w:rPr>
                <w:rFonts w:ascii="宋体" w:hAnsi="宋体" w:cs="宋体"/>
              </w:rPr>
            </w:pPr>
            <w:r>
              <w:rPr>
                <w:rFonts w:hint="eastAsia" w:ascii="宋体" w:hAnsi="宋体" w:cs="宋体"/>
              </w:rPr>
              <w:t>上一周期的定期检验报告</w:t>
            </w:r>
          </w:p>
        </w:tc>
        <w:tc>
          <w:tcPr>
            <w:tcW w:w="2006" w:type="pct"/>
            <w:vAlign w:val="center"/>
          </w:tcPr>
          <w:p w14:paraId="12E9FDD5">
            <w:pPr>
              <w:jc w:val="left"/>
              <w:rPr>
                <w:rFonts w:hint="eastAsia" w:ascii="宋体" w:hAnsi="宋体" w:eastAsia="宋体" w:cs="宋体"/>
                <w:lang w:eastAsia="zh-CN"/>
              </w:rPr>
            </w:pPr>
            <w:r>
              <w:rPr>
                <w:rFonts w:hint="eastAsia" w:ascii="宋体" w:hAnsi="宋体" w:cs="宋体"/>
              </w:rPr>
              <w:t>场车安全管理人员和相关人员应当到场配合、协助检验工作，负责现场安全监护</w:t>
            </w:r>
            <w:r>
              <w:rPr>
                <w:rFonts w:hint="eastAsia" w:ascii="宋体" w:hAnsi="宋体" w:cs="宋体"/>
                <w:lang w:eastAsia="zh-CN"/>
              </w:rPr>
              <w:t>。</w:t>
            </w:r>
          </w:p>
        </w:tc>
      </w:tr>
      <w:tr w14:paraId="3898A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2568ED0D">
            <w:pPr>
              <w:jc w:val="center"/>
              <w:rPr>
                <w:rFonts w:ascii="宋体" w:hAnsi="宋体" w:cs="宋体"/>
              </w:rPr>
            </w:pPr>
            <w:r>
              <w:rPr>
                <w:rFonts w:hint="eastAsia" w:ascii="宋体" w:hAnsi="宋体" w:cs="宋体"/>
              </w:rPr>
              <w:t>2</w:t>
            </w:r>
          </w:p>
        </w:tc>
        <w:tc>
          <w:tcPr>
            <w:tcW w:w="1523" w:type="pct"/>
            <w:vAlign w:val="center"/>
          </w:tcPr>
          <w:p w14:paraId="21D74BEC">
            <w:pPr>
              <w:jc w:val="left"/>
              <w:rPr>
                <w:rFonts w:ascii="宋体" w:hAnsi="宋体" w:cs="宋体"/>
              </w:rPr>
            </w:pPr>
            <w:r>
              <w:rPr>
                <w:rFonts w:hint="eastAsia" w:ascii="宋体" w:hAnsi="宋体" w:cs="宋体"/>
              </w:rPr>
              <w:t>产品合格证</w:t>
            </w:r>
          </w:p>
        </w:tc>
        <w:tc>
          <w:tcPr>
            <w:tcW w:w="1126" w:type="pct"/>
            <w:vAlign w:val="center"/>
          </w:tcPr>
          <w:p w14:paraId="06B8C543">
            <w:pPr>
              <w:jc w:val="left"/>
              <w:rPr>
                <w:rFonts w:ascii="宋体" w:hAnsi="宋体" w:cs="宋体"/>
              </w:rPr>
            </w:pPr>
            <w:r>
              <w:rPr>
                <w:rFonts w:hint="eastAsia" w:ascii="宋体" w:hAnsi="宋体" w:cs="宋体"/>
              </w:rPr>
              <w:t>最近一次的自行检查记录或者报告</w:t>
            </w:r>
          </w:p>
        </w:tc>
        <w:tc>
          <w:tcPr>
            <w:tcW w:w="2006" w:type="pct"/>
            <w:vAlign w:val="center"/>
          </w:tcPr>
          <w:p w14:paraId="030925FC">
            <w:pPr>
              <w:jc w:val="left"/>
              <w:rPr>
                <w:rFonts w:hint="eastAsia" w:ascii="宋体" w:hAnsi="宋体" w:eastAsia="宋体" w:cs="宋体"/>
                <w:lang w:eastAsia="zh-CN"/>
              </w:rPr>
            </w:pPr>
            <w:r>
              <w:rPr>
                <w:rFonts w:hint="eastAsia" w:ascii="宋体" w:hAnsi="宋体" w:cs="宋体"/>
              </w:rPr>
              <w:t>需要拆卸才能进行检验的零部件、安全保护和防护装置，按照要求进行拆卸</w:t>
            </w:r>
            <w:r>
              <w:rPr>
                <w:rFonts w:hint="eastAsia" w:ascii="宋体" w:hAnsi="宋体" w:cs="宋体"/>
                <w:lang w:eastAsia="zh-CN"/>
              </w:rPr>
              <w:t>。</w:t>
            </w:r>
          </w:p>
        </w:tc>
      </w:tr>
      <w:tr w14:paraId="7D06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28F1EF28">
            <w:pPr>
              <w:jc w:val="center"/>
              <w:rPr>
                <w:rFonts w:ascii="宋体" w:hAnsi="宋体" w:cs="宋体"/>
              </w:rPr>
            </w:pPr>
            <w:r>
              <w:rPr>
                <w:rFonts w:hint="eastAsia" w:ascii="宋体" w:hAnsi="宋体" w:cs="宋体"/>
              </w:rPr>
              <w:t>3</w:t>
            </w:r>
          </w:p>
        </w:tc>
        <w:tc>
          <w:tcPr>
            <w:tcW w:w="1523" w:type="pct"/>
            <w:vAlign w:val="center"/>
          </w:tcPr>
          <w:p w14:paraId="79DAF0F1">
            <w:pPr>
              <w:jc w:val="left"/>
              <w:rPr>
                <w:rFonts w:ascii="宋体" w:hAnsi="宋体" w:cs="宋体"/>
              </w:rPr>
            </w:pPr>
            <w:r>
              <w:rPr>
                <w:rFonts w:hint="eastAsia" w:ascii="宋体" w:hAnsi="宋体" w:cs="宋体"/>
              </w:rPr>
              <w:t>生产单位特种设备生产许可证</w:t>
            </w:r>
          </w:p>
        </w:tc>
        <w:tc>
          <w:tcPr>
            <w:tcW w:w="1126" w:type="pct"/>
            <w:shd w:val="clear" w:color="auto" w:fill="auto"/>
            <w:vAlign w:val="center"/>
          </w:tcPr>
          <w:p w14:paraId="77B92F57">
            <w:pPr>
              <w:jc w:val="left"/>
              <w:rPr>
                <w:rFonts w:ascii="宋体" w:hAnsi="宋体" w:cs="宋体"/>
              </w:rPr>
            </w:pPr>
            <w:r>
              <w:rPr>
                <w:rFonts w:hint="eastAsia" w:ascii="宋体" w:hAnsi="宋体" w:cs="宋体"/>
              </w:rPr>
              <w:t>场车使用记录、维护保养记录、运行故障和事故记录</w:t>
            </w:r>
          </w:p>
        </w:tc>
        <w:tc>
          <w:tcPr>
            <w:tcW w:w="2006" w:type="pct"/>
            <w:vAlign w:val="center"/>
          </w:tcPr>
          <w:p w14:paraId="76F4EA13">
            <w:pPr>
              <w:jc w:val="left"/>
              <w:rPr>
                <w:rFonts w:hint="eastAsia" w:ascii="宋体" w:hAnsi="宋体" w:eastAsia="宋体" w:cs="宋体"/>
                <w:lang w:eastAsia="zh-CN"/>
              </w:rPr>
            </w:pPr>
            <w:r>
              <w:rPr>
                <w:rFonts w:hint="eastAsia" w:ascii="宋体" w:hAnsi="宋体" w:cs="宋体"/>
              </w:rPr>
              <w:t>将场车主要受力结构件、主要焊缝、严重腐蚀部位，以及检验人员指定部位和部件清理干净</w:t>
            </w:r>
            <w:r>
              <w:rPr>
                <w:rFonts w:hint="eastAsia" w:ascii="宋体" w:hAnsi="宋体" w:cs="宋体"/>
                <w:lang w:eastAsia="zh-CN"/>
              </w:rPr>
              <w:t>。</w:t>
            </w:r>
          </w:p>
        </w:tc>
      </w:tr>
      <w:tr w14:paraId="466F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33796727">
            <w:pPr>
              <w:jc w:val="center"/>
              <w:rPr>
                <w:rFonts w:ascii="宋体" w:hAnsi="宋体" w:cs="宋体"/>
              </w:rPr>
            </w:pPr>
            <w:r>
              <w:rPr>
                <w:rFonts w:hint="eastAsia" w:ascii="宋体" w:hAnsi="宋体" w:cs="宋体"/>
              </w:rPr>
              <w:t>4</w:t>
            </w:r>
          </w:p>
        </w:tc>
        <w:tc>
          <w:tcPr>
            <w:tcW w:w="1523" w:type="pct"/>
            <w:vAlign w:val="center"/>
          </w:tcPr>
          <w:p w14:paraId="1B124A25">
            <w:pPr>
              <w:jc w:val="left"/>
              <w:rPr>
                <w:rFonts w:ascii="宋体" w:hAnsi="宋体" w:cs="宋体"/>
              </w:rPr>
            </w:pPr>
            <w:r>
              <w:rPr>
                <w:rFonts w:hint="eastAsia" w:ascii="宋体" w:hAnsi="宋体" w:cs="宋体"/>
              </w:rPr>
              <w:t>整机型式试验证书（必要时提供型式试验报告）</w:t>
            </w:r>
          </w:p>
        </w:tc>
        <w:tc>
          <w:tcPr>
            <w:tcW w:w="1126" w:type="pct"/>
            <w:shd w:val="clear" w:color="auto" w:fill="auto"/>
            <w:vAlign w:val="center"/>
          </w:tcPr>
          <w:p w14:paraId="536B4634">
            <w:pPr>
              <w:jc w:val="left"/>
              <w:rPr>
                <w:rFonts w:ascii="宋体" w:hAnsi="宋体" w:cs="宋体"/>
              </w:rPr>
            </w:pPr>
            <w:r>
              <w:rPr>
                <w:rFonts w:hint="eastAsia" w:ascii="宋体" w:hAnsi="宋体" w:cs="宋体"/>
              </w:rPr>
              <w:t>本周期内修理的自检报告、相关技术资料、修理单位的生产许可证（如涉及）</w:t>
            </w:r>
          </w:p>
        </w:tc>
        <w:tc>
          <w:tcPr>
            <w:tcW w:w="2006" w:type="pct"/>
            <w:vAlign w:val="center"/>
          </w:tcPr>
          <w:p w14:paraId="7D905A2A">
            <w:pPr>
              <w:jc w:val="left"/>
              <w:rPr>
                <w:rFonts w:hint="eastAsia" w:ascii="宋体" w:hAnsi="宋体" w:eastAsia="宋体" w:cs="宋体"/>
                <w:lang w:eastAsia="zh-CN"/>
              </w:rPr>
            </w:pPr>
            <w:r>
              <w:rPr>
                <w:rFonts w:hint="eastAsia" w:ascii="宋体" w:hAnsi="宋体" w:cs="宋体"/>
              </w:rPr>
              <w:t>现场的环境和场地条件符合检验要求，不得处于危险场所（如爆炸性环境），没有影响检验的物品、设施等，并且设置相应的警示标志</w:t>
            </w:r>
            <w:r>
              <w:rPr>
                <w:rFonts w:hint="eastAsia" w:ascii="宋体" w:hAnsi="宋体" w:cs="宋体"/>
                <w:lang w:eastAsia="zh-CN"/>
              </w:rPr>
              <w:t>。</w:t>
            </w:r>
          </w:p>
        </w:tc>
      </w:tr>
      <w:tr w14:paraId="22C4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326C0C4B">
            <w:pPr>
              <w:jc w:val="center"/>
              <w:rPr>
                <w:rFonts w:ascii="宋体" w:hAnsi="宋体" w:cs="宋体"/>
              </w:rPr>
            </w:pPr>
            <w:r>
              <w:rPr>
                <w:rFonts w:hint="eastAsia" w:ascii="宋体" w:hAnsi="宋体" w:cs="宋体"/>
              </w:rPr>
              <w:t>5</w:t>
            </w:r>
          </w:p>
        </w:tc>
        <w:tc>
          <w:tcPr>
            <w:tcW w:w="1523" w:type="pct"/>
            <w:vAlign w:val="center"/>
          </w:tcPr>
          <w:p w14:paraId="2468A856">
            <w:pPr>
              <w:jc w:val="left"/>
              <w:rPr>
                <w:rFonts w:ascii="宋体" w:hAnsi="宋体" w:cs="宋体"/>
              </w:rPr>
            </w:pPr>
            <w:r>
              <w:rPr>
                <w:rFonts w:hint="eastAsia" w:ascii="宋体" w:hAnsi="宋体" w:cs="宋体"/>
              </w:rPr>
              <w:t>进口场车仅提供型式试验证书（必要时提供型式试验报告）</w:t>
            </w:r>
          </w:p>
        </w:tc>
        <w:tc>
          <w:tcPr>
            <w:tcW w:w="1126" w:type="pct"/>
            <w:vAlign w:val="center"/>
          </w:tcPr>
          <w:p w14:paraId="37DFCBD3">
            <w:pPr>
              <w:jc w:val="center"/>
              <w:rPr>
                <w:rFonts w:ascii="宋体" w:hAnsi="宋体" w:cs="宋体"/>
              </w:rPr>
            </w:pPr>
            <w:r>
              <w:rPr>
                <w:rFonts w:hint="eastAsia" w:ascii="宋体" w:hAnsi="宋体" w:cs="宋体"/>
              </w:rPr>
              <w:t>—</w:t>
            </w:r>
          </w:p>
        </w:tc>
        <w:tc>
          <w:tcPr>
            <w:tcW w:w="2006" w:type="pct"/>
            <w:vAlign w:val="center"/>
          </w:tcPr>
          <w:p w14:paraId="76613983">
            <w:pPr>
              <w:jc w:val="left"/>
              <w:rPr>
                <w:rFonts w:ascii="宋体" w:hAnsi="宋体" w:cs="宋体"/>
              </w:rPr>
            </w:pPr>
            <w:r>
              <w:rPr>
                <w:rFonts w:hint="eastAsia" w:ascii="宋体" w:hAnsi="宋体" w:cs="宋体"/>
              </w:rPr>
              <w:t>提供试验所需的载荷</w:t>
            </w:r>
          </w:p>
        </w:tc>
      </w:tr>
      <w:tr w14:paraId="3528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345" w:type="pct"/>
            <w:vAlign w:val="center"/>
          </w:tcPr>
          <w:p w14:paraId="56281B18">
            <w:pPr>
              <w:jc w:val="center"/>
              <w:rPr>
                <w:rFonts w:ascii="宋体" w:hAnsi="宋体" w:cs="宋体"/>
              </w:rPr>
            </w:pPr>
            <w:r>
              <w:rPr>
                <w:rFonts w:hint="eastAsia" w:ascii="宋体" w:hAnsi="宋体" w:cs="宋体"/>
              </w:rPr>
              <w:t>6</w:t>
            </w:r>
          </w:p>
        </w:tc>
        <w:tc>
          <w:tcPr>
            <w:tcW w:w="1523" w:type="pct"/>
            <w:vAlign w:val="center"/>
          </w:tcPr>
          <w:p w14:paraId="0BC4BD0A">
            <w:pPr>
              <w:jc w:val="left"/>
              <w:rPr>
                <w:rFonts w:ascii="宋体" w:hAnsi="宋体" w:cs="宋体"/>
              </w:rPr>
            </w:pPr>
            <w:r>
              <w:rPr>
                <w:rFonts w:hint="eastAsia" w:ascii="宋体" w:hAnsi="宋体" w:cs="宋体"/>
              </w:rPr>
              <w:t>使用维护说明书</w:t>
            </w:r>
          </w:p>
        </w:tc>
        <w:tc>
          <w:tcPr>
            <w:tcW w:w="1126" w:type="pct"/>
            <w:vAlign w:val="center"/>
          </w:tcPr>
          <w:p w14:paraId="5EADD8F0">
            <w:pPr>
              <w:jc w:val="center"/>
              <w:rPr>
                <w:rFonts w:ascii="宋体" w:hAnsi="宋体" w:cs="宋体"/>
              </w:rPr>
            </w:pPr>
            <w:r>
              <w:rPr>
                <w:rFonts w:hint="eastAsia" w:ascii="宋体" w:hAnsi="宋体" w:cs="宋体"/>
              </w:rPr>
              <w:t>—</w:t>
            </w:r>
          </w:p>
        </w:tc>
        <w:tc>
          <w:tcPr>
            <w:tcW w:w="2006" w:type="pct"/>
            <w:vAlign w:val="center"/>
          </w:tcPr>
          <w:p w14:paraId="190560C2">
            <w:pPr>
              <w:jc w:val="left"/>
              <w:rPr>
                <w:rFonts w:hint="eastAsia" w:ascii="宋体" w:hAnsi="宋体" w:eastAsia="宋体" w:cs="宋体"/>
                <w:lang w:eastAsia="zh-CN"/>
              </w:rPr>
            </w:pPr>
            <w:r>
              <w:rPr>
                <w:rFonts w:hint="eastAsia" w:ascii="宋体" w:hAnsi="宋体" w:cs="宋体"/>
              </w:rPr>
              <w:t>其他必要的安全保护和防护措施以及辅助工具</w:t>
            </w:r>
          </w:p>
        </w:tc>
      </w:tr>
      <w:tr w14:paraId="025D1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269D9E42">
            <w:pPr>
              <w:jc w:val="center"/>
              <w:rPr>
                <w:rFonts w:ascii="宋体" w:hAnsi="宋体" w:cs="宋体"/>
              </w:rPr>
            </w:pPr>
            <w:r>
              <w:rPr>
                <w:rFonts w:hint="eastAsia" w:ascii="宋体" w:hAnsi="宋体" w:cs="宋体"/>
              </w:rPr>
              <w:t>7</w:t>
            </w:r>
          </w:p>
        </w:tc>
        <w:tc>
          <w:tcPr>
            <w:tcW w:w="1523" w:type="pct"/>
            <w:vAlign w:val="center"/>
          </w:tcPr>
          <w:p w14:paraId="60AA740A">
            <w:pPr>
              <w:jc w:val="left"/>
              <w:rPr>
                <w:rFonts w:ascii="宋体" w:hAnsi="宋体" w:cs="宋体"/>
              </w:rPr>
            </w:pPr>
            <w:r>
              <w:rPr>
                <w:rFonts w:hint="eastAsia" w:ascii="宋体" w:hAnsi="宋体" w:cs="宋体"/>
              </w:rPr>
              <w:t>具有防爆功能的叉车的整机防爆合格证；或者所用发动机（行走电机）、隔爆箱、蓄电池、接线盒、灯具、电气声响警示装置等部件的防爆合格证，其防爆级别不低于整机的防爆要求</w:t>
            </w:r>
          </w:p>
        </w:tc>
        <w:tc>
          <w:tcPr>
            <w:tcW w:w="1126" w:type="pct"/>
            <w:vAlign w:val="center"/>
          </w:tcPr>
          <w:p w14:paraId="54934B86">
            <w:pPr>
              <w:jc w:val="center"/>
              <w:rPr>
                <w:rFonts w:ascii="宋体" w:hAnsi="宋体" w:cs="宋体"/>
              </w:rPr>
            </w:pPr>
            <w:r>
              <w:rPr>
                <w:rFonts w:hint="eastAsia" w:ascii="宋体" w:hAnsi="宋体" w:cs="宋体"/>
              </w:rPr>
              <w:t>—</w:t>
            </w:r>
          </w:p>
        </w:tc>
        <w:tc>
          <w:tcPr>
            <w:tcW w:w="2006" w:type="pct"/>
            <w:vAlign w:val="center"/>
          </w:tcPr>
          <w:p w14:paraId="608EC8F9">
            <w:pPr>
              <w:jc w:val="center"/>
              <w:rPr>
                <w:rFonts w:ascii="宋体" w:hAnsi="宋体" w:cs="宋体"/>
              </w:rPr>
            </w:pPr>
            <w:r>
              <w:rPr>
                <w:rFonts w:hint="eastAsia" w:ascii="宋体" w:hAnsi="宋体" w:cs="宋体"/>
              </w:rPr>
              <w:t>—</w:t>
            </w:r>
          </w:p>
        </w:tc>
      </w:tr>
      <w:tr w14:paraId="7C653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45" w:type="pct"/>
            <w:vAlign w:val="center"/>
          </w:tcPr>
          <w:p w14:paraId="1EC739EF">
            <w:pPr>
              <w:jc w:val="center"/>
              <w:rPr>
                <w:rFonts w:hint="eastAsia" w:ascii="宋体" w:hAnsi="宋体" w:eastAsia="宋体" w:cs="宋体"/>
                <w:lang w:val="en-US" w:eastAsia="zh-CN"/>
              </w:rPr>
            </w:pPr>
            <w:r>
              <w:rPr>
                <w:rFonts w:hint="eastAsia" w:ascii="宋体" w:hAnsi="宋体" w:cs="宋体"/>
                <w:lang w:val="en-US" w:eastAsia="zh-CN"/>
              </w:rPr>
              <w:t>8</w:t>
            </w:r>
          </w:p>
        </w:tc>
        <w:tc>
          <w:tcPr>
            <w:tcW w:w="1523" w:type="pct"/>
            <w:vAlign w:val="center"/>
          </w:tcPr>
          <w:p w14:paraId="5D955FDD">
            <w:pPr>
              <w:jc w:val="left"/>
              <w:rPr>
                <w:rFonts w:hint="default" w:ascii="宋体" w:hAnsi="宋体" w:eastAsia="宋体" w:cs="宋体"/>
                <w:lang w:val="en-US" w:eastAsia="zh-CN"/>
              </w:rPr>
            </w:pPr>
            <w:r>
              <w:rPr>
                <w:rFonts w:hint="eastAsia" w:ascii="宋体" w:hAnsi="宋体" w:cs="宋体"/>
                <w:lang w:val="en-US" w:eastAsia="zh-CN"/>
              </w:rPr>
              <w:t>改造过程检验记录（适用于改造）</w:t>
            </w:r>
          </w:p>
        </w:tc>
        <w:tc>
          <w:tcPr>
            <w:tcW w:w="1126" w:type="pct"/>
            <w:vAlign w:val="center"/>
          </w:tcPr>
          <w:p w14:paraId="75453D78">
            <w:pPr>
              <w:jc w:val="center"/>
              <w:rPr>
                <w:rFonts w:hint="eastAsia" w:ascii="宋体" w:hAnsi="宋体" w:cs="宋体"/>
              </w:rPr>
            </w:pPr>
            <w:r>
              <w:rPr>
                <w:rFonts w:hint="eastAsia" w:ascii="宋体" w:hAnsi="宋体" w:cs="宋体"/>
              </w:rPr>
              <w:t>—</w:t>
            </w:r>
          </w:p>
        </w:tc>
        <w:tc>
          <w:tcPr>
            <w:tcW w:w="2006" w:type="pct"/>
            <w:vAlign w:val="center"/>
          </w:tcPr>
          <w:p w14:paraId="79E9F694">
            <w:pPr>
              <w:jc w:val="center"/>
              <w:rPr>
                <w:rFonts w:hint="eastAsia" w:ascii="宋体" w:hAnsi="宋体" w:cs="宋体"/>
              </w:rPr>
            </w:pPr>
            <w:r>
              <w:rPr>
                <w:rFonts w:hint="eastAsia" w:ascii="宋体" w:hAnsi="宋体" w:cs="宋体"/>
              </w:rPr>
              <w:t>—</w:t>
            </w:r>
          </w:p>
        </w:tc>
      </w:tr>
      <w:tr w14:paraId="0AEF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5" w:type="pct"/>
            <w:vAlign w:val="center"/>
          </w:tcPr>
          <w:p w14:paraId="5EECAAC7">
            <w:pPr>
              <w:jc w:val="center"/>
              <w:rPr>
                <w:rFonts w:hint="eastAsia" w:ascii="宋体" w:hAnsi="宋体" w:eastAsia="宋体" w:cs="宋体"/>
                <w:lang w:val="en-US" w:eastAsia="zh-CN"/>
              </w:rPr>
            </w:pPr>
            <w:r>
              <w:rPr>
                <w:rFonts w:hint="eastAsia" w:ascii="宋体" w:hAnsi="宋体" w:cs="宋体"/>
                <w:lang w:val="en-US" w:eastAsia="zh-CN"/>
              </w:rPr>
              <w:t>9</w:t>
            </w:r>
          </w:p>
        </w:tc>
        <w:tc>
          <w:tcPr>
            <w:tcW w:w="1523" w:type="pct"/>
            <w:vAlign w:val="center"/>
          </w:tcPr>
          <w:p w14:paraId="720B1B13">
            <w:pPr>
              <w:jc w:val="left"/>
              <w:rPr>
                <w:rFonts w:hint="default" w:ascii="宋体" w:hAnsi="宋体" w:eastAsia="宋体" w:cs="宋体"/>
                <w:lang w:val="en-US" w:eastAsia="zh-CN"/>
              </w:rPr>
            </w:pPr>
            <w:r>
              <w:rPr>
                <w:rFonts w:hint="eastAsia" w:ascii="宋体" w:hAnsi="宋体" w:cs="宋体"/>
                <w:lang w:val="en-US" w:eastAsia="zh-CN"/>
              </w:rPr>
              <w:t>改造后的产品质量合格证明（适用于改造）</w:t>
            </w:r>
          </w:p>
        </w:tc>
        <w:tc>
          <w:tcPr>
            <w:tcW w:w="1126" w:type="pct"/>
            <w:vAlign w:val="center"/>
          </w:tcPr>
          <w:p w14:paraId="4AB12958">
            <w:pPr>
              <w:jc w:val="center"/>
              <w:rPr>
                <w:rFonts w:hint="eastAsia" w:ascii="宋体" w:hAnsi="宋体" w:cs="宋体"/>
              </w:rPr>
            </w:pPr>
            <w:r>
              <w:rPr>
                <w:rFonts w:hint="eastAsia" w:ascii="宋体" w:hAnsi="宋体" w:cs="宋体"/>
              </w:rPr>
              <w:t>—</w:t>
            </w:r>
          </w:p>
        </w:tc>
        <w:tc>
          <w:tcPr>
            <w:tcW w:w="2006" w:type="pct"/>
            <w:vAlign w:val="center"/>
          </w:tcPr>
          <w:p w14:paraId="2B1E83E4">
            <w:pPr>
              <w:jc w:val="center"/>
              <w:rPr>
                <w:rFonts w:hint="eastAsia" w:ascii="宋体" w:hAnsi="宋体" w:cs="宋体"/>
              </w:rPr>
            </w:pPr>
            <w:r>
              <w:rPr>
                <w:rFonts w:hint="eastAsia" w:ascii="宋体" w:hAnsi="宋体" w:cs="宋体"/>
              </w:rPr>
              <w:t>—</w:t>
            </w:r>
          </w:p>
        </w:tc>
      </w:tr>
    </w:tbl>
    <w:p w14:paraId="172D3A5A">
      <w:r>
        <w:br w:type="page"/>
      </w:r>
    </w:p>
    <w:p w14:paraId="0D8E8F7B">
      <w:pPr>
        <w:pStyle w:val="198"/>
      </w:pPr>
    </w:p>
    <w:p w14:paraId="688E64BD">
      <w:pPr>
        <w:pStyle w:val="199"/>
      </w:pPr>
    </w:p>
    <w:p w14:paraId="32F6A05C">
      <w:pPr>
        <w:pStyle w:val="76"/>
        <w:spacing w:after="156"/>
      </w:pPr>
      <w:r>
        <w:br w:type="textWrapping"/>
      </w:r>
      <w:bookmarkStart w:id="110" w:name="_Toc193115874"/>
      <w:r>
        <w:rPr>
          <w:rFonts w:hint="eastAsia"/>
        </w:rPr>
        <w:t>（资料性）</w:t>
      </w:r>
      <w:r>
        <w:br w:type="textWrapping"/>
      </w:r>
      <w:r>
        <w:rPr>
          <w:rFonts w:hint="eastAsia"/>
        </w:rPr>
        <w:t>场车安全风险管控清单</w:t>
      </w:r>
      <w:bookmarkEnd w:id="110"/>
    </w:p>
    <w:p w14:paraId="3E06BA52">
      <w:pPr>
        <w:pStyle w:val="56"/>
        <w:ind w:firstLine="420"/>
      </w:pPr>
      <w:r>
        <w:rPr>
          <w:rFonts w:hint="eastAsia"/>
        </w:rPr>
        <w:t>场车安全风险管控清单见表F.</w:t>
      </w:r>
      <w:r>
        <w:t>1</w:t>
      </w:r>
      <w:r>
        <w:rPr>
          <w:rFonts w:hint="eastAsia"/>
        </w:rPr>
        <w:t>。</w:t>
      </w:r>
    </w:p>
    <w:p w14:paraId="767B46F5">
      <w:pPr>
        <w:pStyle w:val="77"/>
        <w:spacing w:before="156" w:after="156"/>
      </w:pPr>
      <w:r>
        <w:rPr>
          <w:rFonts w:hint="eastAsia"/>
        </w:rPr>
        <w:t>场车安全风险管控清单</w:t>
      </w:r>
    </w:p>
    <w:tbl>
      <w:tblPr>
        <w:tblStyle w:val="27"/>
        <w:tblpPr w:leftFromText="180" w:rightFromText="180" w:vertAnchor="text" w:horzAnchor="page" w:tblpXSpec="center" w:tblpY="308"/>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257"/>
        <w:gridCol w:w="2145"/>
        <w:gridCol w:w="5489"/>
      </w:tblGrid>
      <w:tr w14:paraId="55BB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53" w:type="pct"/>
            <w:tcBorders>
              <w:tl2br w:val="nil"/>
              <w:tr2bl w:val="nil"/>
            </w:tcBorders>
            <w:vAlign w:val="center"/>
          </w:tcPr>
          <w:p w14:paraId="13A21064">
            <w:pPr>
              <w:widowControl/>
              <w:spacing w:line="18" w:lineRule="atLeast"/>
              <w:jc w:val="left"/>
              <w:rPr>
                <w:rFonts w:ascii="宋体" w:hAnsi="宋体" w:cs="宋体"/>
                <w:kern w:val="0"/>
              </w:rPr>
            </w:pPr>
            <w:r>
              <w:rPr>
                <w:rFonts w:hint="eastAsia" w:ascii="宋体" w:hAnsi="宋体" w:cs="宋体"/>
                <w:kern w:val="0"/>
              </w:rPr>
              <w:t>序号</w:t>
            </w:r>
          </w:p>
        </w:tc>
        <w:tc>
          <w:tcPr>
            <w:tcW w:w="657" w:type="pct"/>
            <w:tcBorders>
              <w:tl2br w:val="nil"/>
              <w:tr2bl w:val="nil"/>
            </w:tcBorders>
            <w:vAlign w:val="center"/>
          </w:tcPr>
          <w:p w14:paraId="5DC96A80">
            <w:pPr>
              <w:widowControl/>
              <w:spacing w:line="18" w:lineRule="atLeast"/>
              <w:jc w:val="center"/>
              <w:rPr>
                <w:rFonts w:ascii="宋体" w:hAnsi="宋体" w:cs="宋体"/>
                <w:kern w:val="0"/>
              </w:rPr>
            </w:pPr>
            <w:r>
              <w:rPr>
                <w:rFonts w:hint="eastAsia" w:ascii="宋体" w:hAnsi="宋体" w:cs="宋体"/>
                <w:kern w:val="0"/>
              </w:rPr>
              <w:t>风险</w:t>
            </w:r>
          </w:p>
          <w:p w14:paraId="0F385A2C">
            <w:pPr>
              <w:widowControl/>
              <w:spacing w:line="18" w:lineRule="atLeast"/>
              <w:jc w:val="center"/>
              <w:rPr>
                <w:rFonts w:ascii="宋体" w:hAnsi="宋体" w:cs="宋体"/>
                <w:kern w:val="0"/>
              </w:rPr>
            </w:pPr>
            <w:r>
              <w:rPr>
                <w:rFonts w:hint="eastAsia" w:ascii="宋体" w:hAnsi="宋体" w:cs="宋体"/>
                <w:kern w:val="0"/>
              </w:rPr>
              <w:t>类别</w:t>
            </w:r>
          </w:p>
        </w:tc>
        <w:tc>
          <w:tcPr>
            <w:tcW w:w="1121" w:type="pct"/>
            <w:tcBorders>
              <w:tl2br w:val="nil"/>
              <w:tr2bl w:val="nil"/>
            </w:tcBorders>
            <w:vAlign w:val="center"/>
          </w:tcPr>
          <w:p w14:paraId="0F123714">
            <w:pPr>
              <w:widowControl/>
              <w:spacing w:line="18" w:lineRule="atLeast"/>
              <w:jc w:val="center"/>
              <w:rPr>
                <w:rFonts w:ascii="宋体" w:hAnsi="宋体" w:cs="宋体"/>
                <w:kern w:val="0"/>
              </w:rPr>
            </w:pPr>
            <w:r>
              <w:rPr>
                <w:rFonts w:hint="eastAsia" w:ascii="宋体" w:hAnsi="宋体" w:cs="宋体"/>
                <w:kern w:val="0"/>
              </w:rPr>
              <w:t>风险点</w:t>
            </w:r>
          </w:p>
        </w:tc>
        <w:tc>
          <w:tcPr>
            <w:tcW w:w="2869" w:type="pct"/>
            <w:tcBorders>
              <w:tl2br w:val="nil"/>
              <w:tr2bl w:val="nil"/>
            </w:tcBorders>
            <w:vAlign w:val="center"/>
          </w:tcPr>
          <w:p w14:paraId="2A1184B4">
            <w:pPr>
              <w:widowControl/>
              <w:spacing w:line="18" w:lineRule="atLeast"/>
              <w:jc w:val="center"/>
              <w:rPr>
                <w:rFonts w:ascii="宋体" w:hAnsi="宋体" w:cs="宋体"/>
                <w:kern w:val="0"/>
              </w:rPr>
            </w:pPr>
            <w:r>
              <w:rPr>
                <w:rFonts w:hint="eastAsia" w:ascii="宋体" w:hAnsi="宋体" w:cs="宋体"/>
                <w:kern w:val="0"/>
              </w:rPr>
              <w:t>风险管控措施</w:t>
            </w:r>
          </w:p>
        </w:tc>
      </w:tr>
      <w:tr w14:paraId="20DD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53" w:type="pct"/>
            <w:vMerge w:val="restart"/>
            <w:tcBorders>
              <w:tl2br w:val="nil"/>
              <w:tr2bl w:val="nil"/>
            </w:tcBorders>
            <w:vAlign w:val="center"/>
          </w:tcPr>
          <w:p w14:paraId="3160E9C6">
            <w:pPr>
              <w:widowControl/>
              <w:spacing w:line="18" w:lineRule="atLeast"/>
              <w:jc w:val="center"/>
              <w:rPr>
                <w:rFonts w:ascii="宋体" w:hAnsi="宋体" w:cs="宋体"/>
                <w:kern w:val="0"/>
              </w:rPr>
            </w:pPr>
            <w:r>
              <w:rPr>
                <w:rFonts w:hint="eastAsia" w:ascii="宋体" w:hAnsi="宋体" w:cs="宋体"/>
                <w:kern w:val="0"/>
              </w:rPr>
              <w:t>1</w:t>
            </w:r>
          </w:p>
        </w:tc>
        <w:tc>
          <w:tcPr>
            <w:tcW w:w="657" w:type="pct"/>
            <w:vMerge w:val="restart"/>
            <w:tcBorders>
              <w:tl2br w:val="nil"/>
              <w:tr2bl w:val="nil"/>
            </w:tcBorders>
            <w:vAlign w:val="center"/>
          </w:tcPr>
          <w:p w14:paraId="57ED9768">
            <w:pPr>
              <w:widowControl/>
              <w:spacing w:line="18" w:lineRule="atLeast"/>
              <w:jc w:val="center"/>
              <w:rPr>
                <w:rFonts w:ascii="宋体" w:hAnsi="宋体" w:cs="宋体"/>
                <w:kern w:val="0"/>
              </w:rPr>
            </w:pPr>
            <w:r>
              <w:rPr>
                <w:rFonts w:hint="eastAsia" w:ascii="宋体" w:hAnsi="宋体" w:cs="宋体"/>
                <w:kern w:val="0"/>
              </w:rPr>
              <w:t>人员</w:t>
            </w:r>
          </w:p>
        </w:tc>
        <w:tc>
          <w:tcPr>
            <w:tcW w:w="1121" w:type="pct"/>
            <w:tcBorders>
              <w:tl2br w:val="nil"/>
              <w:tr2bl w:val="nil"/>
            </w:tcBorders>
            <w:vAlign w:val="center"/>
          </w:tcPr>
          <w:p w14:paraId="70899600">
            <w:pPr>
              <w:widowControl/>
              <w:spacing w:line="18" w:lineRule="atLeast"/>
              <w:jc w:val="left"/>
              <w:rPr>
                <w:rFonts w:ascii="宋体" w:hAnsi="宋体" w:cs="宋体"/>
                <w:kern w:val="0"/>
              </w:rPr>
            </w:pPr>
            <w:r>
              <w:rPr>
                <w:rFonts w:hint="eastAsia" w:ascii="宋体" w:hAnsi="宋体" w:cs="宋体"/>
                <w:kern w:val="0"/>
              </w:rPr>
              <w:t>未按规定配备安全总监、安全员和作业人员</w:t>
            </w:r>
          </w:p>
        </w:tc>
        <w:tc>
          <w:tcPr>
            <w:tcW w:w="2869" w:type="pct"/>
            <w:tcBorders>
              <w:tl2br w:val="nil"/>
              <w:tr2bl w:val="nil"/>
            </w:tcBorders>
            <w:vAlign w:val="center"/>
          </w:tcPr>
          <w:p w14:paraId="401A83AF">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建立</w:t>
            </w:r>
            <w:r>
              <w:rPr>
                <w:rFonts w:hint="eastAsia" w:ascii="宋体" w:hAnsi="宋体" w:cs="宋体"/>
                <w:kern w:val="0"/>
                <w:lang w:val="en-US" w:eastAsia="zh-CN"/>
              </w:rPr>
              <w:t>场车</w:t>
            </w:r>
            <w:r>
              <w:rPr>
                <w:rFonts w:hint="eastAsia" w:ascii="宋体" w:hAnsi="宋体" w:cs="宋体"/>
                <w:kern w:val="0"/>
              </w:rPr>
              <w:t>安全管理人员与作业人员管理制度</w:t>
            </w:r>
            <w:r>
              <w:rPr>
                <w:rFonts w:hint="eastAsia" w:ascii="宋体" w:hAnsi="宋体" w:cs="宋体"/>
                <w:kern w:val="0"/>
                <w:lang w:eastAsia="zh-CN"/>
              </w:rPr>
              <w:t>。</w:t>
            </w:r>
          </w:p>
          <w:p w14:paraId="77FB160B">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根据场车的数量、特性等配备适当数量的安全管理人员和作业人员。</w:t>
            </w:r>
          </w:p>
        </w:tc>
      </w:tr>
      <w:tr w14:paraId="1F38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3" w:type="pct"/>
            <w:vMerge w:val="continue"/>
            <w:tcBorders>
              <w:tl2br w:val="nil"/>
              <w:tr2bl w:val="nil"/>
            </w:tcBorders>
            <w:vAlign w:val="center"/>
          </w:tcPr>
          <w:p w14:paraId="2F28D4BE">
            <w:pPr>
              <w:widowControl/>
              <w:spacing w:line="18" w:lineRule="atLeast"/>
              <w:jc w:val="center"/>
              <w:rPr>
                <w:rFonts w:ascii="宋体" w:hAnsi="宋体" w:cs="宋体"/>
                <w:kern w:val="0"/>
              </w:rPr>
            </w:pPr>
          </w:p>
        </w:tc>
        <w:tc>
          <w:tcPr>
            <w:tcW w:w="657" w:type="pct"/>
            <w:vMerge w:val="continue"/>
            <w:tcBorders>
              <w:tl2br w:val="nil"/>
              <w:tr2bl w:val="nil"/>
            </w:tcBorders>
            <w:vAlign w:val="center"/>
          </w:tcPr>
          <w:p w14:paraId="6E52831B">
            <w:pPr>
              <w:widowControl/>
              <w:spacing w:line="18" w:lineRule="atLeast"/>
              <w:jc w:val="center"/>
              <w:rPr>
                <w:rFonts w:ascii="宋体" w:hAnsi="宋体" w:cs="宋体"/>
                <w:kern w:val="0"/>
              </w:rPr>
            </w:pPr>
          </w:p>
        </w:tc>
        <w:tc>
          <w:tcPr>
            <w:tcW w:w="1121" w:type="pct"/>
            <w:tcBorders>
              <w:tl2br w:val="nil"/>
              <w:tr2bl w:val="nil"/>
            </w:tcBorders>
            <w:vAlign w:val="center"/>
          </w:tcPr>
          <w:p w14:paraId="448255BF">
            <w:pPr>
              <w:widowControl/>
              <w:spacing w:line="18" w:lineRule="atLeast"/>
              <w:jc w:val="left"/>
              <w:rPr>
                <w:rFonts w:ascii="宋体" w:hAnsi="宋体" w:cs="宋体"/>
                <w:kern w:val="0"/>
              </w:rPr>
            </w:pPr>
            <w:r>
              <w:rPr>
                <w:rFonts w:hint="eastAsia" w:ascii="宋体" w:hAnsi="宋体" w:cs="宋体"/>
                <w:kern w:val="0"/>
              </w:rPr>
              <w:t>作业人员未持有相应资格证件</w:t>
            </w:r>
          </w:p>
        </w:tc>
        <w:tc>
          <w:tcPr>
            <w:tcW w:w="2869" w:type="pct"/>
            <w:tcBorders>
              <w:tl2br w:val="nil"/>
              <w:tr2bl w:val="nil"/>
            </w:tcBorders>
            <w:vAlign w:val="center"/>
          </w:tcPr>
          <w:p w14:paraId="175B5E69">
            <w:pPr>
              <w:widowControl/>
              <w:spacing w:line="18" w:lineRule="atLeast"/>
              <w:jc w:val="left"/>
              <w:rPr>
                <w:rFonts w:ascii="宋体" w:hAnsi="宋体" w:cs="宋体"/>
                <w:kern w:val="0"/>
              </w:rPr>
            </w:pPr>
            <w:r>
              <w:rPr>
                <w:rFonts w:hint="eastAsia" w:ascii="宋体" w:hAnsi="宋体" w:cs="宋体"/>
                <w:kern w:val="0"/>
              </w:rPr>
              <w:t>场车作业和专职安全管理人员需取得相应项目作业人员证（在有效期内）。</w:t>
            </w:r>
          </w:p>
        </w:tc>
      </w:tr>
      <w:tr w14:paraId="1E568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353" w:type="pct"/>
            <w:vMerge w:val="restart"/>
            <w:tcBorders>
              <w:tl2br w:val="nil"/>
              <w:tr2bl w:val="nil"/>
            </w:tcBorders>
            <w:vAlign w:val="center"/>
          </w:tcPr>
          <w:p w14:paraId="1BCBEDD9">
            <w:pPr>
              <w:widowControl/>
              <w:spacing w:line="18" w:lineRule="atLeast"/>
              <w:ind w:left="420" w:hanging="420"/>
              <w:jc w:val="center"/>
              <w:rPr>
                <w:rFonts w:ascii="宋体" w:hAnsi="宋体" w:cs="宋体"/>
                <w:kern w:val="0"/>
              </w:rPr>
            </w:pPr>
            <w:r>
              <w:rPr>
                <w:rFonts w:hint="eastAsia" w:ascii="宋体" w:hAnsi="宋体" w:cs="宋体"/>
                <w:kern w:val="0"/>
              </w:rPr>
              <w:t>2</w:t>
            </w:r>
          </w:p>
        </w:tc>
        <w:tc>
          <w:tcPr>
            <w:tcW w:w="657" w:type="pct"/>
            <w:vMerge w:val="restart"/>
            <w:tcBorders>
              <w:tl2br w:val="nil"/>
              <w:tr2bl w:val="nil"/>
            </w:tcBorders>
            <w:vAlign w:val="center"/>
          </w:tcPr>
          <w:p w14:paraId="6F3A5381">
            <w:pPr>
              <w:widowControl/>
              <w:spacing w:line="18" w:lineRule="atLeast"/>
              <w:jc w:val="center"/>
              <w:rPr>
                <w:rFonts w:ascii="宋体" w:hAnsi="宋体" w:cs="宋体"/>
                <w:kern w:val="0"/>
              </w:rPr>
            </w:pPr>
            <w:r>
              <w:rPr>
                <w:rFonts w:hint="eastAsia" w:ascii="宋体" w:hAnsi="宋体" w:cs="宋体"/>
                <w:kern w:val="0"/>
              </w:rPr>
              <w:t>车辆</w:t>
            </w:r>
          </w:p>
        </w:tc>
        <w:tc>
          <w:tcPr>
            <w:tcW w:w="1121" w:type="pct"/>
            <w:tcBorders>
              <w:tl2br w:val="nil"/>
              <w:tr2bl w:val="nil"/>
            </w:tcBorders>
            <w:vAlign w:val="center"/>
          </w:tcPr>
          <w:p w14:paraId="77AA14E8">
            <w:pPr>
              <w:widowControl/>
              <w:spacing w:line="18" w:lineRule="atLeast"/>
              <w:jc w:val="left"/>
              <w:rPr>
                <w:rFonts w:ascii="宋体" w:hAnsi="宋体" w:cs="宋体"/>
                <w:kern w:val="0"/>
              </w:rPr>
            </w:pPr>
            <w:r>
              <w:rPr>
                <w:rFonts w:hint="eastAsia" w:ascii="宋体" w:hAnsi="宋体" w:cs="宋体"/>
                <w:kern w:val="0"/>
              </w:rPr>
              <w:t>未按要求使用符合要求的特种设备或使用国家明令禁止设备</w:t>
            </w:r>
          </w:p>
        </w:tc>
        <w:tc>
          <w:tcPr>
            <w:tcW w:w="2869" w:type="pct"/>
            <w:tcBorders>
              <w:tl2br w:val="nil"/>
              <w:tr2bl w:val="nil"/>
            </w:tcBorders>
            <w:vAlign w:val="center"/>
          </w:tcPr>
          <w:p w14:paraId="0E929BE9">
            <w:pPr>
              <w:widowControl/>
              <w:spacing w:line="18" w:lineRule="atLeast"/>
              <w:jc w:val="left"/>
              <w:rPr>
                <w:rFonts w:ascii="宋体" w:hAnsi="宋体" w:cs="宋体"/>
                <w:kern w:val="0"/>
              </w:rPr>
            </w:pPr>
            <w:r>
              <w:rPr>
                <w:rFonts w:hint="eastAsia" w:ascii="宋体" w:hAnsi="宋体" w:cs="宋体"/>
                <w:kern w:val="0"/>
              </w:rPr>
              <w:t>制定</w:t>
            </w:r>
            <w:r>
              <w:rPr>
                <w:rFonts w:hint="eastAsia" w:ascii="宋体" w:hAnsi="宋体" w:cs="宋体"/>
                <w:kern w:val="0"/>
                <w:lang w:val="en-US" w:eastAsia="zh-CN"/>
              </w:rPr>
              <w:t>场车</w:t>
            </w:r>
            <w:r>
              <w:rPr>
                <w:rFonts w:hint="eastAsia" w:ascii="宋体" w:hAnsi="宋体" w:cs="宋体"/>
                <w:kern w:val="0"/>
              </w:rPr>
              <w:t>采购、</w:t>
            </w:r>
            <w:r>
              <w:rPr>
                <w:rFonts w:hint="eastAsia" w:ascii="宋体" w:hAnsi="宋体" w:cs="宋体"/>
                <w:kern w:val="0"/>
                <w:lang w:val="en-US" w:eastAsia="zh-CN"/>
              </w:rPr>
              <w:t>使用</w:t>
            </w:r>
            <w:r>
              <w:rPr>
                <w:rFonts w:hint="eastAsia" w:ascii="宋体" w:hAnsi="宋体" w:cs="宋体"/>
                <w:kern w:val="0"/>
              </w:rPr>
              <w:t>、改造、修理、报废等管理制度。</w:t>
            </w:r>
          </w:p>
        </w:tc>
      </w:tr>
      <w:tr w14:paraId="666C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353" w:type="pct"/>
            <w:vMerge w:val="continue"/>
            <w:tcBorders>
              <w:tl2br w:val="nil"/>
              <w:tr2bl w:val="nil"/>
            </w:tcBorders>
            <w:vAlign w:val="center"/>
          </w:tcPr>
          <w:p w14:paraId="082A34E0">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1B4E9846">
            <w:pPr>
              <w:widowControl/>
              <w:spacing w:line="18" w:lineRule="atLeast"/>
              <w:jc w:val="center"/>
              <w:rPr>
                <w:rFonts w:ascii="宋体" w:hAnsi="宋体" w:cs="宋体"/>
                <w:kern w:val="0"/>
              </w:rPr>
            </w:pPr>
          </w:p>
        </w:tc>
        <w:tc>
          <w:tcPr>
            <w:tcW w:w="1121" w:type="pct"/>
            <w:tcBorders>
              <w:tl2br w:val="nil"/>
              <w:tr2bl w:val="nil"/>
            </w:tcBorders>
            <w:vAlign w:val="center"/>
          </w:tcPr>
          <w:p w14:paraId="40A24C97">
            <w:pPr>
              <w:widowControl/>
              <w:spacing w:line="18" w:lineRule="atLeast"/>
              <w:jc w:val="left"/>
              <w:rPr>
                <w:rFonts w:ascii="宋体" w:hAnsi="宋体" w:cs="宋体"/>
                <w:kern w:val="0"/>
              </w:rPr>
            </w:pPr>
            <w:r>
              <w:rPr>
                <w:rFonts w:hint="eastAsia" w:ascii="宋体" w:hAnsi="宋体" w:cs="宋体"/>
                <w:kern w:val="0"/>
              </w:rPr>
              <w:t>未按实际情况选择适合使用条件要求的场车</w:t>
            </w:r>
          </w:p>
        </w:tc>
        <w:tc>
          <w:tcPr>
            <w:tcW w:w="2869" w:type="pct"/>
            <w:tcBorders>
              <w:tl2br w:val="nil"/>
              <w:tr2bl w:val="nil"/>
            </w:tcBorders>
            <w:vAlign w:val="center"/>
          </w:tcPr>
          <w:p w14:paraId="1B5C1A55">
            <w:pPr>
              <w:widowControl/>
              <w:spacing w:line="18" w:lineRule="atLeast"/>
              <w:jc w:val="left"/>
              <w:rPr>
                <w:rFonts w:hint="eastAsia" w:ascii="宋体" w:hAnsi="宋体" w:eastAsia="宋体" w:cs="宋体"/>
                <w:kern w:val="0"/>
                <w:lang w:eastAsia="zh-CN"/>
              </w:rPr>
            </w:pPr>
            <w:r>
              <w:rPr>
                <w:rFonts w:hint="eastAsia" w:ascii="宋体" w:hAnsi="宋体" w:cs="宋体"/>
                <w:kern w:val="0"/>
                <w:lang w:eastAsia="zh-CN"/>
              </w:rPr>
              <w:t>（</w:t>
            </w:r>
            <w:r>
              <w:rPr>
                <w:rFonts w:hint="eastAsia" w:ascii="宋体" w:hAnsi="宋体" w:cs="宋体"/>
                <w:kern w:val="0"/>
                <w:lang w:val="en-US" w:eastAsia="zh-CN"/>
              </w:rPr>
              <w:t>1</w:t>
            </w:r>
            <w:r>
              <w:rPr>
                <w:rFonts w:hint="eastAsia" w:ascii="宋体" w:hAnsi="宋体" w:cs="宋体"/>
                <w:kern w:val="0"/>
                <w:lang w:eastAsia="zh-CN"/>
              </w:rPr>
              <w:t>）</w:t>
            </w:r>
            <w:r>
              <w:rPr>
                <w:rFonts w:hint="eastAsia"/>
              </w:rPr>
              <w:t>使用单位应根据场车的用途、使用环境（如温度、湿度、海拔高度、坡度、弯道圆曲线半径、爆炸性环境等），采购适合使用条件要求的场车</w:t>
            </w:r>
            <w:r>
              <w:rPr>
                <w:rFonts w:hint="eastAsia"/>
                <w:lang w:eastAsia="zh-CN"/>
              </w:rPr>
              <w:t>。</w:t>
            </w:r>
          </w:p>
          <w:p w14:paraId="7FA657D9">
            <w:pPr>
              <w:widowControl/>
              <w:spacing w:line="18" w:lineRule="atLeast"/>
              <w:jc w:val="left"/>
              <w:rPr>
                <w:rFonts w:ascii="宋体" w:hAnsi="宋体" w:cs="宋体"/>
                <w:kern w:val="0"/>
              </w:rPr>
            </w:pPr>
            <w:r>
              <w:rPr>
                <w:rFonts w:hint="eastAsia" w:ascii="宋体" w:hAnsi="宋体" w:cs="宋体"/>
                <w:kern w:val="0"/>
                <w:lang w:eastAsia="zh-CN"/>
              </w:rPr>
              <w:t>（</w:t>
            </w:r>
            <w:r>
              <w:rPr>
                <w:rFonts w:hint="eastAsia" w:ascii="宋体" w:hAnsi="宋体" w:cs="宋体"/>
                <w:kern w:val="0"/>
                <w:lang w:val="en-US" w:eastAsia="zh-CN"/>
              </w:rPr>
              <w:t>2</w:t>
            </w:r>
            <w:r>
              <w:rPr>
                <w:rFonts w:hint="eastAsia" w:ascii="宋体" w:hAnsi="宋体" w:cs="宋体"/>
                <w:kern w:val="0"/>
                <w:lang w:eastAsia="zh-CN"/>
              </w:rPr>
              <w:t>）</w:t>
            </w:r>
            <w:r>
              <w:rPr>
                <w:rFonts w:hint="eastAsia" w:ascii="宋体" w:hAnsi="宋体" w:cs="宋体"/>
                <w:kern w:val="0"/>
              </w:rPr>
              <w:t>购置观光车辆时，保证观光车辆的最大行驶坡度能够满足使用单位行驶路线中的最大坡度的要求，并且在销售合同中明确。 （观光车专项）</w:t>
            </w:r>
          </w:p>
        </w:tc>
      </w:tr>
      <w:tr w14:paraId="359E9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353" w:type="pct"/>
            <w:vMerge w:val="continue"/>
            <w:tcBorders>
              <w:tl2br w:val="nil"/>
              <w:tr2bl w:val="nil"/>
            </w:tcBorders>
            <w:vAlign w:val="center"/>
          </w:tcPr>
          <w:p w14:paraId="4C9BE9A8">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34B83833">
            <w:pPr>
              <w:widowControl/>
              <w:spacing w:line="18" w:lineRule="atLeast"/>
              <w:jc w:val="center"/>
              <w:rPr>
                <w:rFonts w:ascii="宋体" w:hAnsi="宋体" w:cs="宋体"/>
                <w:kern w:val="0"/>
              </w:rPr>
            </w:pPr>
          </w:p>
        </w:tc>
        <w:tc>
          <w:tcPr>
            <w:tcW w:w="1121" w:type="pct"/>
            <w:tcBorders>
              <w:tl2br w:val="nil"/>
              <w:tr2bl w:val="nil"/>
            </w:tcBorders>
            <w:vAlign w:val="center"/>
          </w:tcPr>
          <w:p w14:paraId="2D2F441D">
            <w:pPr>
              <w:widowControl/>
              <w:spacing w:line="18" w:lineRule="atLeast"/>
              <w:jc w:val="left"/>
              <w:rPr>
                <w:rFonts w:ascii="宋体" w:hAnsi="宋体" w:cs="宋体"/>
                <w:kern w:val="0"/>
              </w:rPr>
            </w:pPr>
            <w:r>
              <w:rPr>
                <w:rFonts w:hint="eastAsia" w:ascii="宋体" w:hAnsi="宋体" w:cs="宋体"/>
                <w:kern w:val="0"/>
              </w:rPr>
              <w:t>未按有关规定安排场车首次检验、定期检验，设备超期未检</w:t>
            </w:r>
          </w:p>
        </w:tc>
        <w:tc>
          <w:tcPr>
            <w:tcW w:w="2869" w:type="pct"/>
            <w:tcBorders>
              <w:tl2br w:val="nil"/>
              <w:tr2bl w:val="nil"/>
            </w:tcBorders>
            <w:vAlign w:val="center"/>
          </w:tcPr>
          <w:p w14:paraId="746A451E">
            <w:pPr>
              <w:widowControl/>
              <w:spacing w:line="18" w:lineRule="atLeast"/>
              <w:jc w:val="left"/>
              <w:rPr>
                <w:rFonts w:ascii="宋体" w:hAnsi="宋体" w:cs="宋体"/>
                <w:kern w:val="0"/>
              </w:rPr>
            </w:pPr>
            <w:r>
              <w:rPr>
                <w:rFonts w:hint="eastAsia" w:ascii="宋体" w:hAnsi="宋体" w:cs="宋体"/>
                <w:kern w:val="0"/>
              </w:rPr>
              <w:t>制定</w:t>
            </w:r>
            <w:r>
              <w:rPr>
                <w:rFonts w:hint="eastAsia" w:ascii="宋体" w:hAnsi="宋体" w:cs="宋体"/>
                <w:kern w:val="0"/>
                <w:lang w:val="en-US" w:eastAsia="zh-CN"/>
              </w:rPr>
              <w:t>场车</w:t>
            </w:r>
            <w:r>
              <w:rPr>
                <w:rFonts w:hint="eastAsia" w:ascii="宋体" w:hAnsi="宋体" w:cs="宋体"/>
                <w:kern w:val="0"/>
              </w:rPr>
              <w:t>检验制度和检验计划。</w:t>
            </w:r>
          </w:p>
        </w:tc>
      </w:tr>
      <w:tr w14:paraId="03B92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7" w:hRule="atLeast"/>
          <w:jc w:val="center"/>
        </w:trPr>
        <w:tc>
          <w:tcPr>
            <w:tcW w:w="353" w:type="pct"/>
            <w:vMerge w:val="continue"/>
            <w:tcBorders>
              <w:tl2br w:val="nil"/>
              <w:tr2bl w:val="nil"/>
            </w:tcBorders>
            <w:vAlign w:val="center"/>
          </w:tcPr>
          <w:p w14:paraId="0D87376B">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0F13F7D7">
            <w:pPr>
              <w:widowControl/>
              <w:spacing w:line="18" w:lineRule="atLeast"/>
              <w:jc w:val="center"/>
              <w:rPr>
                <w:rFonts w:ascii="宋体" w:hAnsi="宋体" w:cs="宋体"/>
                <w:kern w:val="0"/>
              </w:rPr>
            </w:pPr>
          </w:p>
        </w:tc>
        <w:tc>
          <w:tcPr>
            <w:tcW w:w="1121" w:type="pct"/>
            <w:tcBorders>
              <w:tl2br w:val="nil"/>
              <w:tr2bl w:val="nil"/>
            </w:tcBorders>
            <w:vAlign w:val="center"/>
          </w:tcPr>
          <w:p w14:paraId="5CE9E7AB">
            <w:pPr>
              <w:widowControl/>
              <w:spacing w:line="18" w:lineRule="atLeast"/>
              <w:jc w:val="left"/>
              <w:rPr>
                <w:rFonts w:ascii="宋体" w:hAnsi="宋体" w:cs="宋体"/>
                <w:kern w:val="0"/>
              </w:rPr>
            </w:pPr>
            <w:r>
              <w:rPr>
                <w:rFonts w:hint="eastAsia" w:ascii="宋体" w:hAnsi="宋体" w:cs="宋体"/>
                <w:kern w:val="0"/>
              </w:rPr>
              <w:t>制动系统失效、转向系统失效、传动系统失效、电气和控制系统失效、货叉缺陷、磨损等（叉车专项）、液压系统故障</w:t>
            </w:r>
          </w:p>
        </w:tc>
        <w:tc>
          <w:tcPr>
            <w:tcW w:w="2869" w:type="pct"/>
            <w:tcBorders>
              <w:tl2br w:val="nil"/>
              <w:tr2bl w:val="nil"/>
            </w:tcBorders>
            <w:vAlign w:val="center"/>
          </w:tcPr>
          <w:p w14:paraId="129B9E20">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司机上车前日检查，日检记录填写完整</w:t>
            </w:r>
            <w:r>
              <w:rPr>
                <w:rFonts w:hint="eastAsia" w:ascii="宋体" w:hAnsi="宋体" w:cs="宋体"/>
                <w:kern w:val="0"/>
                <w:lang w:eastAsia="zh-CN"/>
              </w:rPr>
              <w:t>。</w:t>
            </w:r>
          </w:p>
          <w:p w14:paraId="7BE45A6C">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定期检查车辆设备状况，按期保养，及时维修。</w:t>
            </w:r>
          </w:p>
        </w:tc>
      </w:tr>
      <w:tr w14:paraId="71CD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353" w:type="pct"/>
            <w:vMerge w:val="restart"/>
            <w:tcBorders>
              <w:tl2br w:val="nil"/>
              <w:tr2bl w:val="nil"/>
            </w:tcBorders>
            <w:vAlign w:val="center"/>
          </w:tcPr>
          <w:p w14:paraId="5D18CD05">
            <w:pPr>
              <w:widowControl/>
              <w:spacing w:line="18" w:lineRule="atLeast"/>
              <w:ind w:left="420" w:hanging="420"/>
              <w:jc w:val="center"/>
              <w:rPr>
                <w:rFonts w:ascii="宋体" w:hAnsi="宋体" w:cs="宋体"/>
                <w:kern w:val="0"/>
              </w:rPr>
            </w:pPr>
            <w:r>
              <w:rPr>
                <w:rFonts w:hint="eastAsia" w:ascii="宋体" w:hAnsi="宋体" w:cs="宋体"/>
                <w:kern w:val="0"/>
              </w:rPr>
              <w:t>3</w:t>
            </w:r>
          </w:p>
        </w:tc>
        <w:tc>
          <w:tcPr>
            <w:tcW w:w="657" w:type="pct"/>
            <w:vMerge w:val="restart"/>
            <w:tcBorders>
              <w:tl2br w:val="nil"/>
              <w:tr2bl w:val="nil"/>
            </w:tcBorders>
            <w:vAlign w:val="center"/>
          </w:tcPr>
          <w:p w14:paraId="29F78EB4">
            <w:pPr>
              <w:widowControl/>
              <w:spacing w:line="18" w:lineRule="atLeast"/>
              <w:jc w:val="center"/>
              <w:rPr>
                <w:rFonts w:ascii="宋体" w:hAnsi="宋体" w:cs="宋体"/>
                <w:kern w:val="0"/>
              </w:rPr>
            </w:pPr>
            <w:r>
              <w:rPr>
                <w:rFonts w:hint="eastAsia" w:ascii="宋体" w:hAnsi="宋体" w:cs="宋体"/>
                <w:kern w:val="0"/>
              </w:rPr>
              <w:t>安全保护和防护装置</w:t>
            </w:r>
          </w:p>
        </w:tc>
        <w:tc>
          <w:tcPr>
            <w:tcW w:w="1121" w:type="pct"/>
            <w:tcBorders>
              <w:tl2br w:val="nil"/>
              <w:tr2bl w:val="nil"/>
            </w:tcBorders>
            <w:vAlign w:val="center"/>
          </w:tcPr>
          <w:p w14:paraId="64090827">
            <w:pPr>
              <w:widowControl/>
              <w:spacing w:line="18" w:lineRule="atLeast"/>
              <w:jc w:val="left"/>
              <w:rPr>
                <w:rFonts w:ascii="宋体" w:hAnsi="宋体" w:cs="宋体"/>
                <w:kern w:val="0"/>
              </w:rPr>
            </w:pPr>
            <w:r>
              <w:rPr>
                <w:rFonts w:hint="eastAsia" w:ascii="宋体" w:hAnsi="宋体" w:cs="宋体"/>
                <w:kern w:val="0"/>
              </w:rPr>
              <w:t>未按要求设置安全保护和防护装置</w:t>
            </w:r>
          </w:p>
        </w:tc>
        <w:tc>
          <w:tcPr>
            <w:tcW w:w="2869" w:type="pct"/>
            <w:tcBorders>
              <w:tl2br w:val="nil"/>
              <w:tr2bl w:val="nil"/>
            </w:tcBorders>
            <w:vAlign w:val="center"/>
          </w:tcPr>
          <w:p w14:paraId="50331E6A">
            <w:pPr>
              <w:widowControl/>
              <w:spacing w:line="18" w:lineRule="atLeast"/>
              <w:jc w:val="left"/>
              <w:rPr>
                <w:rFonts w:ascii="宋体" w:hAnsi="宋体" w:cs="宋体"/>
                <w:kern w:val="0"/>
              </w:rPr>
            </w:pPr>
            <w:r>
              <w:rPr>
                <w:rFonts w:hint="eastAsia" w:ascii="宋体" w:hAnsi="宋体" w:cs="宋体"/>
                <w:color w:val="000000"/>
                <w:kern w:val="0"/>
              </w:rPr>
              <w:t>（1）</w:t>
            </w:r>
            <w:r>
              <w:rPr>
                <w:rFonts w:hint="eastAsia" w:ascii="宋体" w:hAnsi="宋体" w:cs="宋体"/>
                <w:kern w:val="0"/>
              </w:rPr>
              <w:t>司机上车前日检查，日检记录填写完整。</w:t>
            </w:r>
          </w:p>
          <w:p w14:paraId="254701F0">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定期检查车辆设备状况，按期保养，及时维修。</w:t>
            </w:r>
          </w:p>
        </w:tc>
      </w:tr>
      <w:tr w14:paraId="4EBA7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353" w:type="pct"/>
            <w:vMerge w:val="continue"/>
            <w:tcBorders>
              <w:tl2br w:val="nil"/>
              <w:tr2bl w:val="nil"/>
            </w:tcBorders>
            <w:vAlign w:val="center"/>
          </w:tcPr>
          <w:p w14:paraId="36E39A50">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41854BB6">
            <w:pPr>
              <w:widowControl/>
              <w:spacing w:line="18" w:lineRule="atLeast"/>
              <w:jc w:val="center"/>
              <w:rPr>
                <w:rFonts w:ascii="宋体" w:hAnsi="宋体" w:cs="宋体"/>
                <w:kern w:val="0"/>
              </w:rPr>
            </w:pPr>
          </w:p>
        </w:tc>
        <w:tc>
          <w:tcPr>
            <w:tcW w:w="1121" w:type="pct"/>
            <w:tcBorders>
              <w:tl2br w:val="nil"/>
              <w:tr2bl w:val="nil"/>
            </w:tcBorders>
            <w:vAlign w:val="center"/>
          </w:tcPr>
          <w:p w14:paraId="5E50F354">
            <w:pPr>
              <w:widowControl/>
              <w:spacing w:line="18" w:lineRule="atLeast"/>
              <w:jc w:val="left"/>
              <w:rPr>
                <w:rFonts w:ascii="宋体" w:hAnsi="宋体" w:cs="宋体"/>
                <w:kern w:val="0"/>
              </w:rPr>
            </w:pPr>
            <w:r>
              <w:rPr>
                <w:rFonts w:hint="eastAsia" w:ascii="宋体" w:hAnsi="宋体" w:cs="宋体"/>
                <w:kern w:val="0"/>
              </w:rPr>
              <w:t>安全保护和防护装置、安全监控装置、视频监控装置等失灵或失效</w:t>
            </w:r>
          </w:p>
        </w:tc>
        <w:tc>
          <w:tcPr>
            <w:tcW w:w="2869" w:type="pct"/>
            <w:tcBorders>
              <w:tl2br w:val="nil"/>
              <w:tr2bl w:val="nil"/>
            </w:tcBorders>
            <w:vAlign w:val="center"/>
          </w:tcPr>
          <w:p w14:paraId="1007D601">
            <w:pPr>
              <w:widowControl/>
              <w:spacing w:line="18" w:lineRule="atLeast"/>
              <w:jc w:val="left"/>
              <w:rPr>
                <w:rFonts w:ascii="宋体" w:hAnsi="宋体" w:cs="宋体"/>
                <w:kern w:val="0"/>
              </w:rPr>
            </w:pPr>
            <w:r>
              <w:rPr>
                <w:rFonts w:hint="eastAsia" w:ascii="宋体" w:hAnsi="宋体" w:cs="宋体"/>
                <w:kern w:val="0"/>
              </w:rPr>
              <w:t>按照技术规范要求设置安全保护和防护并经常性检查。</w:t>
            </w:r>
          </w:p>
        </w:tc>
      </w:tr>
      <w:tr w14:paraId="7698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jc w:val="center"/>
        </w:trPr>
        <w:tc>
          <w:tcPr>
            <w:tcW w:w="353" w:type="pct"/>
            <w:tcBorders>
              <w:tl2br w:val="nil"/>
              <w:tr2bl w:val="nil"/>
            </w:tcBorders>
            <w:vAlign w:val="center"/>
          </w:tcPr>
          <w:p w14:paraId="0F95D54D">
            <w:pPr>
              <w:widowControl/>
              <w:spacing w:line="18" w:lineRule="atLeast"/>
              <w:ind w:left="420" w:hanging="420"/>
              <w:jc w:val="center"/>
              <w:rPr>
                <w:rFonts w:ascii="宋体" w:hAnsi="宋体" w:cs="宋体"/>
                <w:kern w:val="0"/>
              </w:rPr>
            </w:pPr>
            <w:r>
              <w:rPr>
                <w:rFonts w:hint="eastAsia" w:ascii="宋体" w:hAnsi="宋体" w:cs="宋体"/>
                <w:kern w:val="0"/>
              </w:rPr>
              <w:t>4</w:t>
            </w:r>
          </w:p>
        </w:tc>
        <w:tc>
          <w:tcPr>
            <w:tcW w:w="657" w:type="pct"/>
            <w:tcBorders>
              <w:tl2br w:val="nil"/>
              <w:tr2bl w:val="nil"/>
            </w:tcBorders>
            <w:vAlign w:val="center"/>
          </w:tcPr>
          <w:p w14:paraId="56E05FF6">
            <w:pPr>
              <w:widowControl/>
              <w:spacing w:line="18" w:lineRule="atLeast"/>
              <w:jc w:val="center"/>
              <w:rPr>
                <w:rFonts w:ascii="宋体" w:hAnsi="宋体" w:cs="宋体"/>
                <w:kern w:val="0"/>
              </w:rPr>
            </w:pPr>
            <w:r>
              <w:rPr>
                <w:rFonts w:hint="eastAsia" w:ascii="宋体" w:hAnsi="宋体" w:cs="宋体"/>
                <w:kern w:val="0"/>
              </w:rPr>
              <w:t>环境</w:t>
            </w:r>
          </w:p>
        </w:tc>
        <w:tc>
          <w:tcPr>
            <w:tcW w:w="1121" w:type="pct"/>
            <w:tcBorders>
              <w:tl2br w:val="nil"/>
              <w:tr2bl w:val="nil"/>
            </w:tcBorders>
            <w:vAlign w:val="center"/>
          </w:tcPr>
          <w:p w14:paraId="3967B5B6">
            <w:pPr>
              <w:widowControl/>
              <w:spacing w:line="18" w:lineRule="atLeast"/>
              <w:jc w:val="left"/>
              <w:rPr>
                <w:rFonts w:ascii="宋体" w:hAnsi="宋体" w:cs="宋体"/>
                <w:kern w:val="0"/>
              </w:rPr>
            </w:pPr>
            <w:r>
              <w:rPr>
                <w:rFonts w:hint="eastAsia" w:ascii="宋体" w:hAnsi="宋体" w:cs="宋体"/>
                <w:kern w:val="0"/>
              </w:rPr>
              <w:t>使用环境不符、标志不完善，使用区域未进行管理</w:t>
            </w:r>
          </w:p>
        </w:tc>
        <w:tc>
          <w:tcPr>
            <w:tcW w:w="2869" w:type="pct"/>
            <w:tcBorders>
              <w:tl2br w:val="nil"/>
              <w:tr2bl w:val="nil"/>
            </w:tcBorders>
            <w:vAlign w:val="center"/>
          </w:tcPr>
          <w:p w14:paraId="6FA5DFF6">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明确场车行驶线路、使用区域，标识</w:t>
            </w:r>
            <w:r>
              <w:rPr>
                <w:rFonts w:hint="eastAsia" w:ascii="宋体" w:hAnsi="宋体" w:cs="宋体"/>
                <w:kern w:val="0"/>
                <w:lang w:eastAsia="zh-CN"/>
              </w:rPr>
              <w:t>。</w:t>
            </w:r>
          </w:p>
          <w:p w14:paraId="39B2E783">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观光车辆的行驶路线中，任意连续20m路段的平均坡度不应当超过最大行驶坡度</w:t>
            </w:r>
            <w:r>
              <w:rPr>
                <w:rFonts w:hint="eastAsia" w:ascii="宋体" w:hAnsi="宋体" w:cs="宋体"/>
                <w:kern w:val="0"/>
                <w:lang w:eastAsia="zh-CN"/>
              </w:rPr>
              <w:t>。</w:t>
            </w:r>
            <w:r>
              <w:rPr>
                <w:rFonts w:hint="eastAsia" w:ascii="宋体" w:hAnsi="宋体" w:cs="宋体"/>
                <w:kern w:val="0"/>
              </w:rPr>
              <w:t>（观光车专项）</w:t>
            </w:r>
          </w:p>
          <w:p w14:paraId="74954DD0">
            <w:pPr>
              <w:widowControl/>
              <w:spacing w:line="18" w:lineRule="atLeast"/>
              <w:jc w:val="left"/>
              <w:rPr>
                <w:rFonts w:ascii="宋体" w:hAnsi="宋体" w:cs="宋体"/>
                <w:kern w:val="0"/>
              </w:rPr>
            </w:pPr>
            <w:r>
              <w:rPr>
                <w:rFonts w:hint="eastAsia" w:ascii="宋体" w:hAnsi="宋体" w:cs="宋体"/>
                <w:color w:val="000000"/>
                <w:kern w:val="0"/>
              </w:rPr>
              <w:t>（3）</w:t>
            </w:r>
            <w:r>
              <w:rPr>
                <w:rFonts w:hint="eastAsia" w:ascii="宋体" w:hAnsi="宋体" w:cs="宋体"/>
                <w:kern w:val="0"/>
              </w:rPr>
              <w:t>安全员对使用环境及线路日常巡查，检查环境、路况和相关标志的设置和完好情况。</w:t>
            </w:r>
          </w:p>
        </w:tc>
      </w:tr>
      <w:tr w14:paraId="690FA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53" w:type="pct"/>
            <w:vMerge w:val="restart"/>
            <w:tcBorders>
              <w:tl2br w:val="nil"/>
              <w:tr2bl w:val="nil"/>
            </w:tcBorders>
            <w:vAlign w:val="center"/>
          </w:tcPr>
          <w:p w14:paraId="5CD9FAE6">
            <w:pPr>
              <w:widowControl/>
              <w:spacing w:line="18" w:lineRule="atLeast"/>
              <w:jc w:val="center"/>
              <w:rPr>
                <w:rFonts w:ascii="宋体" w:hAnsi="宋体" w:cs="宋体"/>
                <w:kern w:val="0"/>
              </w:rPr>
            </w:pPr>
            <w:r>
              <w:rPr>
                <w:rFonts w:hint="eastAsia" w:ascii="宋体" w:hAnsi="宋体" w:cs="宋体"/>
                <w:kern w:val="0"/>
              </w:rPr>
              <w:t>5</w:t>
            </w:r>
          </w:p>
        </w:tc>
        <w:tc>
          <w:tcPr>
            <w:tcW w:w="657" w:type="pct"/>
            <w:vMerge w:val="restart"/>
            <w:tcBorders>
              <w:tl2br w:val="nil"/>
              <w:tr2bl w:val="nil"/>
            </w:tcBorders>
            <w:vAlign w:val="center"/>
          </w:tcPr>
          <w:p w14:paraId="0D018890">
            <w:pPr>
              <w:widowControl/>
              <w:spacing w:line="18" w:lineRule="atLeast"/>
              <w:jc w:val="center"/>
              <w:rPr>
                <w:rFonts w:ascii="宋体" w:hAnsi="宋体" w:cs="宋体"/>
                <w:kern w:val="0"/>
              </w:rPr>
            </w:pPr>
            <w:r>
              <w:rPr>
                <w:rFonts w:hint="eastAsia" w:ascii="宋体" w:hAnsi="宋体" w:cs="宋体"/>
                <w:kern w:val="0"/>
              </w:rPr>
              <w:t>管理</w:t>
            </w:r>
          </w:p>
        </w:tc>
        <w:tc>
          <w:tcPr>
            <w:tcW w:w="1121" w:type="pct"/>
            <w:tcBorders>
              <w:tl2br w:val="nil"/>
              <w:tr2bl w:val="nil"/>
            </w:tcBorders>
            <w:vAlign w:val="center"/>
          </w:tcPr>
          <w:p w14:paraId="643DEDE3">
            <w:pPr>
              <w:widowControl/>
              <w:spacing w:line="18" w:lineRule="atLeast"/>
              <w:jc w:val="left"/>
              <w:rPr>
                <w:rFonts w:ascii="宋体" w:hAnsi="宋体" w:cs="宋体"/>
                <w:kern w:val="0"/>
              </w:rPr>
            </w:pPr>
            <w:r>
              <w:rPr>
                <w:rFonts w:hint="eastAsia" w:ascii="宋体" w:hAnsi="宋体" w:cs="宋体"/>
                <w:kern w:val="0"/>
              </w:rPr>
              <w:t>未按要求经常性维护保养和定期自行检查</w:t>
            </w:r>
          </w:p>
        </w:tc>
        <w:tc>
          <w:tcPr>
            <w:tcW w:w="2869" w:type="pct"/>
            <w:tcBorders>
              <w:tl2br w:val="nil"/>
              <w:tr2bl w:val="nil"/>
            </w:tcBorders>
            <w:vAlign w:val="center"/>
          </w:tcPr>
          <w:p w14:paraId="4D20D8A1">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制定</w:t>
            </w:r>
            <w:r>
              <w:rPr>
                <w:rFonts w:hint="eastAsia" w:ascii="宋体" w:hAnsi="宋体" w:cs="宋体"/>
                <w:kern w:val="0"/>
                <w:lang w:val="en-US" w:eastAsia="zh-CN"/>
              </w:rPr>
              <w:t>场车</w:t>
            </w:r>
            <w:r>
              <w:rPr>
                <w:rFonts w:hint="eastAsia" w:ascii="宋体" w:hAnsi="宋体" w:cs="宋体"/>
                <w:kern w:val="0"/>
              </w:rPr>
              <w:t>经常性维护保养和定期自行检查管理制度</w:t>
            </w:r>
            <w:r>
              <w:rPr>
                <w:rFonts w:hint="eastAsia" w:ascii="宋体" w:hAnsi="宋体" w:cs="宋体"/>
                <w:kern w:val="0"/>
                <w:lang w:eastAsia="zh-CN"/>
              </w:rPr>
              <w:t>。</w:t>
            </w:r>
          </w:p>
          <w:p w14:paraId="413080F6">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（2）</w:t>
            </w:r>
            <w:r>
              <w:rPr>
                <w:rFonts w:hint="eastAsia" w:ascii="宋体" w:hAnsi="宋体" w:cs="宋体"/>
                <w:kern w:val="0"/>
              </w:rPr>
              <w:t>制定并执行定期维护保养计划；建立维护记录档案</w:t>
            </w:r>
            <w:r>
              <w:rPr>
                <w:rFonts w:hint="eastAsia" w:ascii="宋体" w:hAnsi="宋体" w:cs="宋体"/>
                <w:kern w:val="0"/>
                <w:lang w:eastAsia="zh-CN"/>
              </w:rPr>
              <w:t>。</w:t>
            </w:r>
          </w:p>
          <w:p w14:paraId="63E0B71C">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（3）</w:t>
            </w:r>
            <w:r>
              <w:rPr>
                <w:rFonts w:hint="eastAsia" w:ascii="宋体" w:hAnsi="宋体" w:cs="宋体"/>
                <w:kern w:val="0"/>
              </w:rPr>
              <w:t>使用单位应当在场车每日投入使用前，按照使用维护说明书的要求进行日常检查</w:t>
            </w:r>
            <w:r>
              <w:rPr>
                <w:rFonts w:hint="eastAsia" w:ascii="宋体" w:hAnsi="宋体" w:cs="宋体"/>
                <w:kern w:val="0"/>
                <w:lang w:eastAsia="zh-CN"/>
              </w:rPr>
              <w:t>。</w:t>
            </w:r>
          </w:p>
        </w:tc>
      </w:tr>
      <w:tr w14:paraId="4911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53" w:type="pct"/>
            <w:vMerge w:val="continue"/>
            <w:tcBorders>
              <w:tl2br w:val="nil"/>
              <w:tr2bl w:val="nil"/>
            </w:tcBorders>
            <w:vAlign w:val="center"/>
          </w:tcPr>
          <w:p w14:paraId="0DAD6C35">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1A94EF5E">
            <w:pPr>
              <w:widowControl/>
              <w:spacing w:line="18" w:lineRule="atLeast"/>
              <w:jc w:val="center"/>
              <w:rPr>
                <w:rFonts w:ascii="宋体" w:hAnsi="宋体" w:cs="宋体"/>
                <w:kern w:val="0"/>
              </w:rPr>
            </w:pPr>
          </w:p>
        </w:tc>
        <w:tc>
          <w:tcPr>
            <w:tcW w:w="1121" w:type="pct"/>
            <w:tcBorders>
              <w:tl2br w:val="nil"/>
              <w:tr2bl w:val="nil"/>
            </w:tcBorders>
            <w:vAlign w:val="center"/>
          </w:tcPr>
          <w:p w14:paraId="70E947AA">
            <w:pPr>
              <w:widowControl/>
              <w:spacing w:line="18" w:lineRule="atLeast"/>
              <w:jc w:val="left"/>
              <w:rPr>
                <w:rFonts w:ascii="宋体" w:hAnsi="宋体" w:cs="宋体"/>
                <w:kern w:val="0"/>
              </w:rPr>
            </w:pPr>
            <w:r>
              <w:rPr>
                <w:rFonts w:hint="eastAsia" w:ascii="宋体" w:hAnsi="宋体" w:cs="宋体"/>
                <w:kern w:val="0"/>
              </w:rPr>
              <w:t>未按有关规定建立健全特种设备安全管理制度和操作规程</w:t>
            </w:r>
          </w:p>
        </w:tc>
        <w:tc>
          <w:tcPr>
            <w:tcW w:w="2869" w:type="pct"/>
            <w:tcBorders>
              <w:tl2br w:val="nil"/>
              <w:tr2bl w:val="nil"/>
            </w:tcBorders>
            <w:vAlign w:val="center"/>
          </w:tcPr>
          <w:p w14:paraId="058D3970">
            <w:pPr>
              <w:widowControl/>
              <w:spacing w:line="18" w:lineRule="atLeast"/>
              <w:jc w:val="left"/>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制定符合TSG</w:t>
            </w:r>
            <w:r>
              <w:rPr>
                <w:rFonts w:hint="eastAsia" w:ascii="宋体" w:hAnsi="宋体" w:cs="宋体"/>
                <w:kern w:val="0"/>
                <w:lang w:val="en-US" w:eastAsia="zh-CN"/>
              </w:rPr>
              <w:t xml:space="preserve"> </w:t>
            </w:r>
            <w:r>
              <w:rPr>
                <w:rFonts w:hint="eastAsia" w:ascii="宋体" w:hAnsi="宋体" w:cs="宋体"/>
                <w:kern w:val="0"/>
              </w:rPr>
              <w:t>08-2017《特种设备使用管理规则》、TSG</w:t>
            </w:r>
            <w:r>
              <w:rPr>
                <w:rFonts w:hint="eastAsia" w:ascii="宋体" w:hAnsi="宋体" w:cs="宋体"/>
                <w:kern w:val="0"/>
                <w:lang w:val="en-US" w:eastAsia="zh-CN"/>
              </w:rPr>
              <w:t xml:space="preserve"> </w:t>
            </w:r>
            <w:r>
              <w:rPr>
                <w:rFonts w:hint="eastAsia" w:ascii="宋体" w:hAnsi="宋体" w:cs="宋体"/>
                <w:kern w:val="0"/>
              </w:rPr>
              <w:t>81-2022《场（厂）内专用机动车辆安全技术规程》要求的以岗位责任制为核心管理制度</w:t>
            </w:r>
            <w:r>
              <w:rPr>
                <w:rFonts w:hint="eastAsia" w:ascii="宋体" w:hAnsi="宋体" w:cs="宋体"/>
                <w:kern w:val="0"/>
                <w:lang w:eastAsia="zh-CN"/>
              </w:rPr>
              <w:t>。</w:t>
            </w:r>
          </w:p>
          <w:p w14:paraId="06DB2828">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根据所使用</w:t>
            </w:r>
            <w:r>
              <w:rPr>
                <w:rFonts w:hint="eastAsia" w:ascii="宋体" w:hAnsi="宋体" w:cs="宋体"/>
                <w:kern w:val="0"/>
                <w:lang w:val="en-US" w:eastAsia="zh-CN"/>
              </w:rPr>
              <w:t>场车</w:t>
            </w:r>
            <w:r>
              <w:rPr>
                <w:rFonts w:hint="eastAsia" w:ascii="宋体" w:hAnsi="宋体" w:cs="宋体"/>
                <w:kern w:val="0"/>
              </w:rPr>
              <w:t>特点等，制定完整齐全</w:t>
            </w:r>
            <w:r>
              <w:rPr>
                <w:rFonts w:hint="eastAsia" w:ascii="宋体" w:hAnsi="宋体" w:cs="宋体"/>
                <w:kern w:val="0"/>
                <w:lang w:val="en-US" w:eastAsia="zh-CN"/>
              </w:rPr>
              <w:t>安全</w:t>
            </w:r>
            <w:r>
              <w:rPr>
                <w:rFonts w:hint="eastAsia" w:ascii="宋体" w:hAnsi="宋体" w:cs="宋体"/>
                <w:kern w:val="0"/>
              </w:rPr>
              <w:t>操作规程。</w:t>
            </w:r>
          </w:p>
        </w:tc>
      </w:tr>
      <w:tr w14:paraId="4D1C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353" w:type="pct"/>
            <w:vMerge w:val="continue"/>
            <w:tcBorders>
              <w:tl2br w:val="nil"/>
              <w:tr2bl w:val="nil"/>
            </w:tcBorders>
            <w:vAlign w:val="center"/>
          </w:tcPr>
          <w:p w14:paraId="13099FB0">
            <w:pPr>
              <w:widowControl/>
              <w:spacing w:line="18" w:lineRule="atLeast"/>
              <w:ind w:left="420" w:hanging="420"/>
              <w:jc w:val="center"/>
              <w:rPr>
                <w:rFonts w:ascii="宋体" w:hAnsi="宋体" w:cs="宋体"/>
                <w:kern w:val="0"/>
              </w:rPr>
            </w:pPr>
          </w:p>
        </w:tc>
        <w:tc>
          <w:tcPr>
            <w:tcW w:w="657" w:type="pct"/>
            <w:vMerge w:val="continue"/>
            <w:tcBorders>
              <w:tl2br w:val="nil"/>
              <w:tr2bl w:val="nil"/>
            </w:tcBorders>
            <w:vAlign w:val="center"/>
          </w:tcPr>
          <w:p w14:paraId="2920FF11">
            <w:pPr>
              <w:widowControl/>
              <w:spacing w:line="18" w:lineRule="atLeast"/>
              <w:jc w:val="center"/>
              <w:rPr>
                <w:rFonts w:ascii="宋体" w:hAnsi="宋体" w:cs="宋体"/>
                <w:kern w:val="0"/>
              </w:rPr>
            </w:pPr>
          </w:p>
        </w:tc>
        <w:tc>
          <w:tcPr>
            <w:tcW w:w="1121" w:type="pct"/>
            <w:tcBorders>
              <w:tl2br w:val="nil"/>
              <w:tr2bl w:val="nil"/>
            </w:tcBorders>
            <w:vAlign w:val="center"/>
          </w:tcPr>
          <w:p w14:paraId="46244E27">
            <w:pPr>
              <w:widowControl/>
              <w:spacing w:line="18" w:lineRule="atLeast"/>
              <w:jc w:val="left"/>
              <w:rPr>
                <w:rFonts w:hint="eastAsia" w:ascii="宋体" w:hAnsi="宋体" w:cs="宋体"/>
                <w:kern w:val="0"/>
              </w:rPr>
            </w:pPr>
            <w:r>
              <w:rPr>
                <w:rFonts w:hint="eastAsia" w:ascii="宋体" w:hAnsi="宋体" w:cs="宋体"/>
                <w:kern w:val="0"/>
              </w:rPr>
              <w:t>未建立特种设备事故应急专项预案</w:t>
            </w:r>
          </w:p>
          <w:p w14:paraId="71DD4C50">
            <w:pPr>
              <w:widowControl/>
              <w:spacing w:line="18" w:lineRule="atLeast"/>
              <w:jc w:val="left"/>
              <w:rPr>
                <w:rFonts w:ascii="宋体" w:hAnsi="宋体" w:cs="宋体"/>
                <w:kern w:val="0"/>
              </w:rPr>
            </w:pPr>
            <w:r>
              <w:rPr>
                <w:rFonts w:hint="eastAsia" w:ascii="宋体" w:hAnsi="宋体" w:cs="宋体"/>
                <w:kern w:val="0"/>
              </w:rPr>
              <w:t>未按规定定期开展应急救援演练</w:t>
            </w:r>
          </w:p>
        </w:tc>
        <w:tc>
          <w:tcPr>
            <w:tcW w:w="2869" w:type="pct"/>
            <w:tcBorders>
              <w:tl2br w:val="nil"/>
              <w:tr2bl w:val="nil"/>
            </w:tcBorders>
            <w:vAlign w:val="top"/>
          </w:tcPr>
          <w:p w14:paraId="65B14992">
            <w:pPr>
              <w:widowControl/>
              <w:spacing w:line="18" w:lineRule="atLeast"/>
              <w:jc w:val="center"/>
              <w:rPr>
                <w:rFonts w:hint="eastAsia" w:ascii="宋体" w:hAnsi="宋体" w:eastAsia="宋体" w:cs="宋体"/>
                <w:kern w:val="0"/>
                <w:lang w:eastAsia="zh-CN"/>
              </w:rPr>
            </w:pPr>
            <w:r>
              <w:rPr>
                <w:rFonts w:hint="eastAsia" w:ascii="宋体" w:hAnsi="宋体" w:cs="宋体"/>
                <w:color w:val="000000"/>
                <w:kern w:val="0"/>
              </w:rPr>
              <w:t>（1）</w:t>
            </w:r>
            <w:r>
              <w:rPr>
                <w:rFonts w:hint="eastAsia" w:ascii="宋体" w:hAnsi="宋体" w:cs="宋体"/>
                <w:kern w:val="0"/>
              </w:rPr>
              <w:t>制定</w:t>
            </w:r>
            <w:r>
              <w:rPr>
                <w:rFonts w:hint="eastAsia" w:ascii="宋体" w:hAnsi="宋体" w:cs="宋体"/>
                <w:kern w:val="0"/>
                <w:lang w:val="en-US" w:eastAsia="zh-CN"/>
              </w:rPr>
              <w:t>场车</w:t>
            </w:r>
            <w:r>
              <w:rPr>
                <w:rFonts w:hint="eastAsia" w:ascii="宋体" w:hAnsi="宋体" w:cs="宋体"/>
                <w:kern w:val="0"/>
              </w:rPr>
              <w:t>应急救援管理制度，制定事故应急专项预案</w:t>
            </w:r>
            <w:r>
              <w:rPr>
                <w:rFonts w:hint="eastAsia" w:ascii="宋体" w:hAnsi="宋体" w:cs="宋体"/>
                <w:kern w:val="0"/>
                <w:lang w:eastAsia="zh-CN"/>
              </w:rPr>
              <w:t>。</w:t>
            </w:r>
          </w:p>
          <w:p w14:paraId="39AD95FA">
            <w:pPr>
              <w:widowControl/>
              <w:spacing w:line="18" w:lineRule="atLeast"/>
              <w:jc w:val="left"/>
              <w:rPr>
                <w:rFonts w:ascii="宋体" w:hAnsi="宋体" w:cs="宋体"/>
                <w:kern w:val="0"/>
              </w:rPr>
            </w:pPr>
            <w:r>
              <w:rPr>
                <w:rFonts w:hint="eastAsia" w:ascii="宋体" w:hAnsi="宋体" w:cs="宋体"/>
                <w:color w:val="000000"/>
                <w:kern w:val="0"/>
              </w:rPr>
              <w:t>（2）</w:t>
            </w:r>
            <w:r>
              <w:rPr>
                <w:rFonts w:hint="eastAsia" w:ascii="宋体" w:hAnsi="宋体" w:cs="宋体"/>
                <w:kern w:val="0"/>
              </w:rPr>
              <w:t>定期开展应急救援演练，每年至少演练一次，并且作出记录。</w:t>
            </w:r>
          </w:p>
        </w:tc>
      </w:tr>
      <w:tr w14:paraId="2715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353" w:type="pct"/>
            <w:vMerge w:val="continue"/>
            <w:tcBorders>
              <w:tl2br w:val="nil"/>
              <w:tr2bl w:val="nil"/>
            </w:tcBorders>
            <w:vAlign w:val="center"/>
          </w:tcPr>
          <w:p w14:paraId="33735869">
            <w:pPr>
              <w:widowControl/>
              <w:spacing w:line="18" w:lineRule="atLeast"/>
              <w:jc w:val="center"/>
              <w:rPr>
                <w:rFonts w:ascii="宋体" w:hAnsi="宋体" w:cs="宋体"/>
                <w:kern w:val="0"/>
              </w:rPr>
            </w:pPr>
          </w:p>
        </w:tc>
        <w:tc>
          <w:tcPr>
            <w:tcW w:w="657" w:type="pct"/>
            <w:vMerge w:val="continue"/>
            <w:tcBorders>
              <w:tl2br w:val="nil"/>
              <w:tr2bl w:val="nil"/>
            </w:tcBorders>
            <w:vAlign w:val="center"/>
          </w:tcPr>
          <w:p w14:paraId="7FB86544">
            <w:pPr>
              <w:widowControl/>
              <w:spacing w:line="18" w:lineRule="atLeast"/>
              <w:jc w:val="center"/>
              <w:rPr>
                <w:rFonts w:ascii="宋体" w:hAnsi="宋体" w:cs="宋体"/>
                <w:kern w:val="0"/>
              </w:rPr>
            </w:pPr>
          </w:p>
        </w:tc>
        <w:tc>
          <w:tcPr>
            <w:tcW w:w="1121" w:type="pct"/>
            <w:tcBorders>
              <w:tl2br w:val="nil"/>
              <w:tr2bl w:val="nil"/>
            </w:tcBorders>
            <w:vAlign w:val="center"/>
          </w:tcPr>
          <w:p w14:paraId="6438A694">
            <w:pPr>
              <w:widowControl/>
              <w:spacing w:line="18" w:lineRule="atLeast"/>
              <w:jc w:val="left"/>
              <w:rPr>
                <w:rFonts w:ascii="宋体" w:hAnsi="宋体" w:cs="宋体"/>
                <w:kern w:val="0"/>
              </w:rPr>
            </w:pPr>
            <w:r>
              <w:rPr>
                <w:rFonts w:hint="eastAsia" w:ascii="宋体" w:hAnsi="宋体" w:cs="宋体"/>
                <w:kern w:val="0"/>
              </w:rPr>
              <w:t>未按要求建立健全特种设备安全技术档案</w:t>
            </w:r>
          </w:p>
        </w:tc>
        <w:tc>
          <w:tcPr>
            <w:tcW w:w="2869" w:type="pct"/>
            <w:tcBorders>
              <w:tl2br w:val="nil"/>
              <w:tr2bl w:val="nil"/>
            </w:tcBorders>
            <w:vAlign w:val="center"/>
          </w:tcPr>
          <w:p w14:paraId="2AF78669">
            <w:pPr>
              <w:widowControl/>
              <w:spacing w:line="18" w:lineRule="atLeast"/>
              <w:jc w:val="left"/>
              <w:rPr>
                <w:rFonts w:ascii="宋体" w:hAnsi="宋体" w:cs="宋体"/>
                <w:kern w:val="0"/>
              </w:rPr>
            </w:pPr>
            <w:r>
              <w:rPr>
                <w:rFonts w:hint="eastAsia" w:ascii="宋体" w:hAnsi="宋体" w:cs="宋体"/>
                <w:kern w:val="0"/>
              </w:rPr>
              <w:t>按TSG08-2017《特种设备使用管理规则》第2.5条要求逐台建立安全技术档案。</w:t>
            </w:r>
          </w:p>
        </w:tc>
      </w:tr>
      <w:tr w14:paraId="1795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353" w:type="pct"/>
            <w:tcBorders>
              <w:tl2br w:val="nil"/>
              <w:tr2bl w:val="nil"/>
            </w:tcBorders>
            <w:vAlign w:val="center"/>
          </w:tcPr>
          <w:p w14:paraId="67EA00A2">
            <w:pPr>
              <w:widowControl/>
              <w:spacing w:line="18" w:lineRule="atLeast"/>
              <w:jc w:val="center"/>
              <w:rPr>
                <w:rFonts w:ascii="宋体" w:hAnsi="宋体" w:cs="宋体"/>
                <w:kern w:val="0"/>
              </w:rPr>
            </w:pPr>
            <w:r>
              <w:rPr>
                <w:rFonts w:hint="eastAsia" w:ascii="宋体" w:hAnsi="宋体" w:cs="宋体"/>
                <w:kern w:val="0"/>
              </w:rPr>
              <w:t>6</w:t>
            </w:r>
          </w:p>
        </w:tc>
        <w:tc>
          <w:tcPr>
            <w:tcW w:w="657" w:type="pct"/>
            <w:tcBorders>
              <w:tl2br w:val="nil"/>
              <w:tr2bl w:val="nil"/>
            </w:tcBorders>
            <w:vAlign w:val="center"/>
          </w:tcPr>
          <w:p w14:paraId="2E373326">
            <w:pPr>
              <w:widowControl/>
              <w:spacing w:line="18" w:lineRule="atLeast"/>
              <w:jc w:val="left"/>
              <w:rPr>
                <w:rFonts w:ascii="宋体" w:hAnsi="宋体" w:cs="宋体"/>
                <w:kern w:val="0"/>
              </w:rPr>
            </w:pPr>
            <w:r>
              <w:rPr>
                <w:rFonts w:hint="eastAsia" w:ascii="宋体" w:hAnsi="宋体" w:cs="宋体"/>
                <w:kern w:val="0"/>
              </w:rPr>
              <w:t>政府监督、通报、预警</w:t>
            </w:r>
          </w:p>
        </w:tc>
        <w:tc>
          <w:tcPr>
            <w:tcW w:w="1121" w:type="pct"/>
            <w:tcBorders>
              <w:tl2br w:val="nil"/>
              <w:tr2bl w:val="nil"/>
            </w:tcBorders>
            <w:vAlign w:val="center"/>
          </w:tcPr>
          <w:p w14:paraId="2F58119F">
            <w:pPr>
              <w:widowControl/>
              <w:spacing w:line="18" w:lineRule="atLeast"/>
              <w:jc w:val="left"/>
              <w:rPr>
                <w:rFonts w:ascii="宋体" w:hAnsi="宋体" w:cs="宋体"/>
                <w:kern w:val="0"/>
              </w:rPr>
            </w:pPr>
            <w:r>
              <w:rPr>
                <w:rFonts w:hint="eastAsia" w:ascii="宋体" w:hAnsi="宋体" w:cs="宋体"/>
                <w:kern w:val="0"/>
              </w:rPr>
              <w:t>发现不合格项</w:t>
            </w:r>
          </w:p>
        </w:tc>
        <w:tc>
          <w:tcPr>
            <w:tcW w:w="2869" w:type="pct"/>
            <w:tcBorders>
              <w:tl2br w:val="nil"/>
              <w:tr2bl w:val="nil"/>
            </w:tcBorders>
            <w:vAlign w:val="center"/>
          </w:tcPr>
          <w:p w14:paraId="1A1F9432">
            <w:pPr>
              <w:widowControl/>
              <w:spacing w:line="18" w:lineRule="atLeast"/>
              <w:jc w:val="left"/>
              <w:rPr>
                <w:rFonts w:hint="eastAsia" w:ascii="宋体" w:hAnsi="宋体" w:eastAsia="宋体" w:cs="宋体"/>
                <w:kern w:val="0"/>
                <w:lang w:eastAsia="zh-CN"/>
              </w:rPr>
            </w:pPr>
            <w:r>
              <w:rPr>
                <w:rFonts w:hint="eastAsia" w:ascii="宋体" w:hAnsi="宋体" w:cs="宋体"/>
                <w:kern w:val="0"/>
              </w:rPr>
              <w:t>记录，整改</w:t>
            </w:r>
            <w:r>
              <w:rPr>
                <w:rFonts w:hint="eastAsia" w:ascii="宋体" w:hAnsi="宋体" w:cs="宋体"/>
                <w:kern w:val="0"/>
                <w:lang w:eastAsia="zh-CN"/>
              </w:rPr>
              <w:t>。</w:t>
            </w:r>
          </w:p>
        </w:tc>
      </w:tr>
      <w:tr w14:paraId="1C13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353" w:type="pct"/>
            <w:tcBorders>
              <w:tl2br w:val="nil"/>
              <w:tr2bl w:val="nil"/>
            </w:tcBorders>
            <w:vAlign w:val="center"/>
          </w:tcPr>
          <w:p w14:paraId="480C31B9">
            <w:pPr>
              <w:widowControl/>
              <w:spacing w:line="18" w:lineRule="atLeast"/>
              <w:jc w:val="center"/>
              <w:rPr>
                <w:rFonts w:ascii="宋体" w:hAnsi="宋体" w:cs="宋体"/>
                <w:kern w:val="0"/>
              </w:rPr>
            </w:pPr>
            <w:r>
              <w:rPr>
                <w:rFonts w:hint="eastAsia" w:ascii="宋体" w:hAnsi="宋体" w:cs="宋体"/>
                <w:kern w:val="0"/>
              </w:rPr>
              <w:t>7</w:t>
            </w:r>
          </w:p>
        </w:tc>
        <w:tc>
          <w:tcPr>
            <w:tcW w:w="657" w:type="pct"/>
            <w:tcBorders>
              <w:tl2br w:val="nil"/>
              <w:tr2bl w:val="nil"/>
            </w:tcBorders>
            <w:vAlign w:val="center"/>
          </w:tcPr>
          <w:p w14:paraId="4110D8DB">
            <w:pPr>
              <w:widowControl/>
              <w:spacing w:line="18" w:lineRule="atLeast"/>
              <w:jc w:val="left"/>
              <w:rPr>
                <w:rFonts w:ascii="宋体" w:hAnsi="宋体" w:cs="宋体"/>
                <w:kern w:val="0"/>
              </w:rPr>
            </w:pPr>
            <w:r>
              <w:rPr>
                <w:rFonts w:hint="eastAsia" w:ascii="宋体" w:hAnsi="宋体" w:cs="宋体"/>
                <w:kern w:val="0"/>
              </w:rPr>
              <w:t>投诉举报</w:t>
            </w:r>
          </w:p>
        </w:tc>
        <w:tc>
          <w:tcPr>
            <w:tcW w:w="1121" w:type="pct"/>
            <w:tcBorders>
              <w:tl2br w:val="nil"/>
              <w:tr2bl w:val="nil"/>
            </w:tcBorders>
            <w:vAlign w:val="center"/>
          </w:tcPr>
          <w:p w14:paraId="65B38372">
            <w:pPr>
              <w:widowControl/>
              <w:spacing w:line="18" w:lineRule="atLeast"/>
              <w:jc w:val="left"/>
              <w:rPr>
                <w:rFonts w:ascii="宋体" w:hAnsi="宋体" w:cs="宋体"/>
                <w:kern w:val="0"/>
              </w:rPr>
            </w:pPr>
            <w:r>
              <w:rPr>
                <w:rFonts w:hint="eastAsia" w:ascii="宋体" w:hAnsi="宋体" w:cs="宋体"/>
                <w:kern w:val="0"/>
              </w:rPr>
              <w:t>发现不合格项</w:t>
            </w:r>
          </w:p>
        </w:tc>
        <w:tc>
          <w:tcPr>
            <w:tcW w:w="2869" w:type="pct"/>
            <w:tcBorders>
              <w:tl2br w:val="nil"/>
              <w:tr2bl w:val="nil"/>
            </w:tcBorders>
            <w:vAlign w:val="center"/>
          </w:tcPr>
          <w:p w14:paraId="06A96ECA">
            <w:pPr>
              <w:widowControl/>
              <w:spacing w:line="18" w:lineRule="atLeast"/>
              <w:jc w:val="left"/>
              <w:rPr>
                <w:rFonts w:hint="eastAsia" w:ascii="宋体" w:hAnsi="宋体" w:eastAsia="宋体" w:cs="宋体"/>
                <w:kern w:val="0"/>
                <w:lang w:eastAsia="zh-CN"/>
              </w:rPr>
            </w:pPr>
            <w:r>
              <w:rPr>
                <w:rFonts w:hint="eastAsia" w:ascii="宋体" w:hAnsi="宋体" w:cs="宋体"/>
                <w:kern w:val="0"/>
              </w:rPr>
              <w:t>记录，整改，消除安全隐患</w:t>
            </w:r>
            <w:r>
              <w:rPr>
                <w:rFonts w:hint="eastAsia" w:ascii="宋体" w:hAnsi="宋体" w:cs="宋体"/>
                <w:kern w:val="0"/>
                <w:lang w:eastAsia="zh-CN"/>
              </w:rPr>
              <w:t>。</w:t>
            </w:r>
          </w:p>
        </w:tc>
      </w:tr>
    </w:tbl>
    <w:p w14:paraId="6DA43267">
      <w:pPr>
        <w:pStyle w:val="56"/>
        <w:ind w:firstLine="420"/>
      </w:pPr>
    </w:p>
    <w:p w14:paraId="5A642958">
      <w:pPr>
        <w:pStyle w:val="56"/>
        <w:ind w:firstLine="420"/>
      </w:pPr>
    </w:p>
    <w:p w14:paraId="06FBF18A">
      <w:pPr>
        <w:pStyle w:val="56"/>
        <w:ind w:firstLine="420"/>
      </w:pPr>
    </w:p>
    <w:p w14:paraId="7733E8AD">
      <w:pPr>
        <w:pStyle w:val="56"/>
        <w:ind w:firstLine="420"/>
      </w:pPr>
    </w:p>
    <w:bookmarkEnd w:id="73"/>
    <w:p w14:paraId="7875B2AE">
      <w:pPr>
        <w:pStyle w:val="56"/>
        <w:ind w:firstLine="420"/>
        <w:sectPr>
          <w:pgSz w:w="11906" w:h="16838"/>
          <w:pgMar w:top="1928" w:right="1134" w:bottom="1134" w:left="1134" w:header="1418" w:footer="1134" w:gutter="284"/>
          <w:cols w:space="425" w:num="1"/>
          <w:formProt w:val="0"/>
          <w:docGrid w:type="lines" w:linePitch="312" w:charSpace="0"/>
        </w:sectPr>
      </w:pPr>
      <w:bookmarkStart w:id="111" w:name="BookMark6"/>
    </w:p>
    <w:p w14:paraId="192D50C6">
      <w:pPr>
        <w:pStyle w:val="63"/>
        <w:spacing w:after="156"/>
      </w:pPr>
      <w:bookmarkStart w:id="112" w:name="_Toc193115875"/>
      <w:r>
        <w:rPr>
          <w:rFonts w:hint="eastAsia"/>
          <w:spacing w:val="105"/>
        </w:rPr>
        <w:t>参考文</w:t>
      </w:r>
      <w:r>
        <w:rPr>
          <w:rFonts w:hint="eastAsia"/>
        </w:rPr>
        <w:t>献</w:t>
      </w:r>
      <w:bookmarkEnd w:id="112"/>
    </w:p>
    <w:p w14:paraId="4A139170">
      <w:pPr>
        <w:pStyle w:val="56"/>
        <w:numPr>
          <w:ilvl w:val="0"/>
          <w:numId w:val="38"/>
        </w:numPr>
        <w:tabs>
          <w:tab w:val="right" w:leader="dot" w:pos="9345"/>
        </w:tabs>
        <w:ind w:firstLineChars="0"/>
        <w:jc w:val="left"/>
        <w:outlineLvl w:val="2"/>
      </w:pPr>
      <w:r>
        <w:rPr>
          <w:rFonts w:hint="eastAsia"/>
        </w:rPr>
        <w:t>中华人民共和国特种设备安全法</w:t>
      </w:r>
    </w:p>
    <w:p w14:paraId="127C43CA">
      <w:pPr>
        <w:pStyle w:val="56"/>
        <w:numPr>
          <w:ilvl w:val="0"/>
          <w:numId w:val="38"/>
        </w:numPr>
        <w:tabs>
          <w:tab w:val="right" w:leader="dot" w:pos="9345"/>
        </w:tabs>
        <w:ind w:firstLineChars="0"/>
        <w:jc w:val="left"/>
        <w:outlineLvl w:val="2"/>
      </w:pPr>
      <w:r>
        <w:rPr>
          <w:rFonts w:hint="eastAsia"/>
        </w:rPr>
        <w:t>特种设备安全监察</w:t>
      </w:r>
      <w:r>
        <w:rPr>
          <w:rFonts w:hint="eastAsia"/>
          <w:lang w:eastAsia="zh-CN"/>
        </w:rPr>
        <w:t>条例</w:t>
      </w:r>
      <w:bookmarkStart w:id="114" w:name="_GoBack"/>
      <w:bookmarkEnd w:id="114"/>
    </w:p>
    <w:p w14:paraId="105827A1">
      <w:pPr>
        <w:pStyle w:val="56"/>
        <w:numPr>
          <w:ilvl w:val="0"/>
          <w:numId w:val="38"/>
        </w:numPr>
        <w:tabs>
          <w:tab w:val="right" w:leader="dot" w:pos="9345"/>
        </w:tabs>
        <w:ind w:firstLineChars="0"/>
        <w:jc w:val="left"/>
        <w:outlineLvl w:val="2"/>
      </w:pPr>
      <w:r>
        <w:rPr>
          <w:rFonts w:hint="eastAsia"/>
        </w:rPr>
        <w:t>特种设备安全监督检查办法（</w:t>
      </w:r>
      <w:r>
        <w:t>国家市场监督管理总局令第57号</w:t>
      </w:r>
      <w:r>
        <w:rPr>
          <w:rFonts w:hint="eastAsia"/>
        </w:rPr>
        <w:t>）</w:t>
      </w:r>
    </w:p>
    <w:p w14:paraId="4340E4A5">
      <w:pPr>
        <w:pStyle w:val="56"/>
        <w:numPr>
          <w:ilvl w:val="0"/>
          <w:numId w:val="38"/>
        </w:numPr>
        <w:tabs>
          <w:tab w:val="right" w:leader="dot" w:pos="9345"/>
        </w:tabs>
        <w:ind w:firstLineChars="0"/>
        <w:jc w:val="left"/>
        <w:outlineLvl w:val="2"/>
      </w:pPr>
      <w:r>
        <w:t xml:space="preserve">GB/T 35770-2022  </w:t>
      </w:r>
      <w:r>
        <w:rPr>
          <w:rFonts w:hint="eastAsia"/>
        </w:rPr>
        <w:t>合规管理体系要求及使用指南</w:t>
      </w:r>
    </w:p>
    <w:bookmarkEnd w:id="111"/>
    <w:p w14:paraId="0B4EA83C">
      <w:pPr>
        <w:pStyle w:val="56"/>
        <w:ind w:firstLine="0" w:firstLineChars="0"/>
        <w:jc w:val="center"/>
      </w:pPr>
      <w:bookmarkStart w:id="11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MingLiU_HKSCS">
    <w:panose1 w:val="02020500000000000000"/>
    <w:charset w:val="88"/>
    <w:family w:val="roman"/>
    <w:pitch w:val="default"/>
    <w:sig w:usb0="A00002FF" w:usb1="38CFFCFA" w:usb2="00000016" w:usb3="00000000" w:csb0="0010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AA4B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E5AC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552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A678E">
    <w:pPr>
      <w:pStyle w:val="52"/>
    </w:pPr>
    <w:r>
      <w:fldChar w:fldCharType="begin"/>
    </w:r>
    <w:r>
      <w:instrText xml:space="preserve">PAGE   \* MERGEFORMAT</w:instrText>
    </w:r>
    <w:r>
      <w:fldChar w:fldCharType="separate"/>
    </w:r>
    <w:r>
      <w:rPr>
        <w:lang w:val="zh-CN"/>
      </w:rPr>
      <w:t>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EF728">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5A6A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D9B45">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FC888">
    <w:pPr>
      <w:pStyle w:val="61"/>
    </w:pPr>
    <w:r>
      <w:fldChar w:fldCharType="begin"/>
    </w:r>
    <w:r>
      <w:instrText xml:space="preserve"> STYLEREF  标准文件_文件编号  \* MERGEFORMAT </w:instrText>
    </w:r>
    <w:r>
      <w:fldChar w:fldCharType="separate"/>
    </w:r>
    <w:r>
      <w:t>DB34/TXXXX—2025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D8EB9">
    <w:pPr>
      <w:pStyle w:val="18"/>
      <w:jc w:val="right"/>
      <w:rPr>
        <w:lang w:val="fr-FR"/>
      </w:rPr>
    </w:pPr>
    <w:r>
      <w:fldChar w:fldCharType="begin"/>
    </w:r>
    <w:r>
      <w:instrText xml:space="preserve"> STYLEREF  标准文件_文件编号  \* MERGEFORMAT </w:instrText>
    </w:r>
    <w:r>
      <w:fldChar w:fldCharType="separate"/>
    </w:r>
    <w:r>
      <w:t>DB34/TXXXX—2025</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62C7C15"/>
    <w:multiLevelType w:val="multilevel"/>
    <w:tmpl w:val="662C7C15"/>
    <w:lvl w:ilvl="0" w:tentative="0">
      <w:start w:val="1"/>
      <w:numFmt w:val="decimal"/>
      <w:suff w:val="space"/>
      <w:lvlText w:val="[%1]"/>
      <w:lvlJc w:val="left"/>
      <w:pPr>
        <w:ind w:left="0" w:firstLine="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43260"/>
    <w:rsid w:val="0000040A"/>
    <w:rsid w:val="00000A94"/>
    <w:rsid w:val="00001972"/>
    <w:rsid w:val="00001D9A"/>
    <w:rsid w:val="00001EF6"/>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109"/>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6C6"/>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C65"/>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EC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250"/>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A19"/>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852"/>
    <w:rsid w:val="00210B15"/>
    <w:rsid w:val="002142EA"/>
    <w:rsid w:val="002204BB"/>
    <w:rsid w:val="00221B79"/>
    <w:rsid w:val="00221C6B"/>
    <w:rsid w:val="002253A1"/>
    <w:rsid w:val="00225CF8"/>
    <w:rsid w:val="0022794E"/>
    <w:rsid w:val="002310D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C04"/>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D20"/>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2B3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F58"/>
    <w:rsid w:val="00324D13"/>
    <w:rsid w:val="00324D2A"/>
    <w:rsid w:val="00324EDD"/>
    <w:rsid w:val="003331E4"/>
    <w:rsid w:val="00336C64"/>
    <w:rsid w:val="00337162"/>
    <w:rsid w:val="0034194F"/>
    <w:rsid w:val="00344605"/>
    <w:rsid w:val="003474AA"/>
    <w:rsid w:val="00350D1D"/>
    <w:rsid w:val="00352C83"/>
    <w:rsid w:val="00353E3D"/>
    <w:rsid w:val="003615D2"/>
    <w:rsid w:val="0036335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437"/>
    <w:rsid w:val="003D0519"/>
    <w:rsid w:val="003D05C8"/>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357"/>
    <w:rsid w:val="0041477A"/>
    <w:rsid w:val="004167A3"/>
    <w:rsid w:val="00432DAA"/>
    <w:rsid w:val="00434305"/>
    <w:rsid w:val="00435DF7"/>
    <w:rsid w:val="0044083F"/>
    <w:rsid w:val="00441AE7"/>
    <w:rsid w:val="00445574"/>
    <w:rsid w:val="004467FB"/>
    <w:rsid w:val="00452D6B"/>
    <w:rsid w:val="00454484"/>
    <w:rsid w:val="0045517B"/>
    <w:rsid w:val="00460E8A"/>
    <w:rsid w:val="00463B77"/>
    <w:rsid w:val="00463C7B"/>
    <w:rsid w:val="004644A6"/>
    <w:rsid w:val="004659BD"/>
    <w:rsid w:val="00470775"/>
    <w:rsid w:val="004746B1"/>
    <w:rsid w:val="0047583F"/>
    <w:rsid w:val="00475DE8"/>
    <w:rsid w:val="00481C44"/>
    <w:rsid w:val="00484936"/>
    <w:rsid w:val="00485C89"/>
    <w:rsid w:val="00486BE3"/>
    <w:rsid w:val="004871F6"/>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D20"/>
    <w:rsid w:val="00511DFC"/>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6E5"/>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21E"/>
    <w:rsid w:val="00612952"/>
    <w:rsid w:val="00614CC1"/>
    <w:rsid w:val="006157C4"/>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572"/>
    <w:rsid w:val="00655D4F"/>
    <w:rsid w:val="0065607E"/>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10E"/>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3DE"/>
    <w:rsid w:val="007A0521"/>
    <w:rsid w:val="007A2E12"/>
    <w:rsid w:val="007A3475"/>
    <w:rsid w:val="007A41C8"/>
    <w:rsid w:val="007A54CE"/>
    <w:rsid w:val="007A5AA6"/>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DA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8CB"/>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DC9"/>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59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B8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483"/>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930"/>
    <w:rsid w:val="00A237D5"/>
    <w:rsid w:val="00A30EFC"/>
    <w:rsid w:val="00A31984"/>
    <w:rsid w:val="00A32D73"/>
    <w:rsid w:val="00A3367B"/>
    <w:rsid w:val="00A3597D"/>
    <w:rsid w:val="00A36DD1"/>
    <w:rsid w:val="00A4006C"/>
    <w:rsid w:val="00A40091"/>
    <w:rsid w:val="00A4030F"/>
    <w:rsid w:val="00A4182A"/>
    <w:rsid w:val="00A41C79"/>
    <w:rsid w:val="00A41CB5"/>
    <w:rsid w:val="00A42CDF"/>
    <w:rsid w:val="00A43260"/>
    <w:rsid w:val="00A4452E"/>
    <w:rsid w:val="00A4472C"/>
    <w:rsid w:val="00A44E69"/>
    <w:rsid w:val="00A4661E"/>
    <w:rsid w:val="00A52EF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2D5"/>
    <w:rsid w:val="00AA191F"/>
    <w:rsid w:val="00AA1E45"/>
    <w:rsid w:val="00AA4286"/>
    <w:rsid w:val="00AA456B"/>
    <w:rsid w:val="00AA57F5"/>
    <w:rsid w:val="00AA672E"/>
    <w:rsid w:val="00AA6EC9"/>
    <w:rsid w:val="00AB41D5"/>
    <w:rsid w:val="00AB480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1CE"/>
    <w:rsid w:val="00B147DD"/>
    <w:rsid w:val="00B156FD"/>
    <w:rsid w:val="00B21F61"/>
    <w:rsid w:val="00B261F1"/>
    <w:rsid w:val="00B265BC"/>
    <w:rsid w:val="00B30794"/>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400"/>
    <w:rsid w:val="00C103E5"/>
    <w:rsid w:val="00C13319"/>
    <w:rsid w:val="00C13EE9"/>
    <w:rsid w:val="00C145B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FB1"/>
    <w:rsid w:val="00C72410"/>
    <w:rsid w:val="00C7287F"/>
    <w:rsid w:val="00C806ED"/>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169"/>
    <w:rsid w:val="00CD2808"/>
    <w:rsid w:val="00CD28BF"/>
    <w:rsid w:val="00CD4092"/>
    <w:rsid w:val="00CD4A20"/>
    <w:rsid w:val="00CD50A1"/>
    <w:rsid w:val="00CD519E"/>
    <w:rsid w:val="00CD561D"/>
    <w:rsid w:val="00CE0C4F"/>
    <w:rsid w:val="00CE1E71"/>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C7A"/>
    <w:rsid w:val="00D21E81"/>
    <w:rsid w:val="00D223DE"/>
    <w:rsid w:val="00D2551F"/>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6A26"/>
    <w:rsid w:val="00D77031"/>
    <w:rsid w:val="00D84941"/>
    <w:rsid w:val="00D84FA1"/>
    <w:rsid w:val="00D851F0"/>
    <w:rsid w:val="00D86DB7"/>
    <w:rsid w:val="00D926D0"/>
    <w:rsid w:val="00D93030"/>
    <w:rsid w:val="00D950E1"/>
    <w:rsid w:val="00D952A6"/>
    <w:rsid w:val="00D97F99"/>
    <w:rsid w:val="00DA12FF"/>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838"/>
    <w:rsid w:val="00DC107A"/>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653"/>
    <w:rsid w:val="00E969D5"/>
    <w:rsid w:val="00EA58D1"/>
    <w:rsid w:val="00EA61BC"/>
    <w:rsid w:val="00EA681A"/>
    <w:rsid w:val="00EA735B"/>
    <w:rsid w:val="00EB17DE"/>
    <w:rsid w:val="00EB1E69"/>
    <w:rsid w:val="00EB2086"/>
    <w:rsid w:val="00EB5EDF"/>
    <w:rsid w:val="00EB60FE"/>
    <w:rsid w:val="00EB74DB"/>
    <w:rsid w:val="00EC5359"/>
    <w:rsid w:val="00EC562A"/>
    <w:rsid w:val="00EC5C99"/>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86D"/>
    <w:rsid w:val="00F25BB6"/>
    <w:rsid w:val="00F26B7E"/>
    <w:rsid w:val="00F27A3B"/>
    <w:rsid w:val="00F33817"/>
    <w:rsid w:val="00F420D5"/>
    <w:rsid w:val="00F451EA"/>
    <w:rsid w:val="00F45447"/>
    <w:rsid w:val="00F456C6"/>
    <w:rsid w:val="00F4577B"/>
    <w:rsid w:val="00F46496"/>
    <w:rsid w:val="00F474D0"/>
    <w:rsid w:val="00F50179"/>
    <w:rsid w:val="00F515EE"/>
    <w:rsid w:val="00F55CCC"/>
    <w:rsid w:val="00F56511"/>
    <w:rsid w:val="00F6194E"/>
    <w:rsid w:val="00F623AC"/>
    <w:rsid w:val="00F6412A"/>
    <w:rsid w:val="00F65893"/>
    <w:rsid w:val="00F66A4A"/>
    <w:rsid w:val="00F71E22"/>
    <w:rsid w:val="00F72142"/>
    <w:rsid w:val="00F72AE7"/>
    <w:rsid w:val="00F81141"/>
    <w:rsid w:val="00F824EA"/>
    <w:rsid w:val="00F833BA"/>
    <w:rsid w:val="00F84FD0"/>
    <w:rsid w:val="00F859A8"/>
    <w:rsid w:val="00F86D87"/>
    <w:rsid w:val="00F9108B"/>
    <w:rsid w:val="00F91349"/>
    <w:rsid w:val="00F93A8A"/>
    <w:rsid w:val="00F949D7"/>
    <w:rsid w:val="00F95248"/>
    <w:rsid w:val="00F956A9"/>
    <w:rsid w:val="00F963ED"/>
    <w:rsid w:val="00F965F9"/>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A448D6"/>
    <w:rsid w:val="03231B33"/>
    <w:rsid w:val="04CD572B"/>
    <w:rsid w:val="0ADC5EA6"/>
    <w:rsid w:val="1462559C"/>
    <w:rsid w:val="17C0399D"/>
    <w:rsid w:val="19C332D1"/>
    <w:rsid w:val="1A365805"/>
    <w:rsid w:val="23D031BA"/>
    <w:rsid w:val="36317300"/>
    <w:rsid w:val="3E1100E0"/>
    <w:rsid w:val="4B8A3883"/>
    <w:rsid w:val="50545A9E"/>
    <w:rsid w:val="53A414A2"/>
    <w:rsid w:val="5C82434A"/>
    <w:rsid w:val="5EEB267A"/>
    <w:rsid w:val="66DC66CC"/>
    <w:rsid w:val="73177D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styleId="230">
    <w:name w:val="List Paragraph"/>
    <w:basedOn w:val="1"/>
    <w:qFormat/>
    <w:uiPriority w:val="34"/>
    <w:pPr>
      <w:adjustRightInd/>
      <w:spacing w:line="240" w:lineRule="auto"/>
      <w:ind w:left="6090"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9" Type="http://schemas.openxmlformats.org/officeDocument/2006/relationships/glossaryDocument" Target="glossary/document.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1.jpeg"/><Relationship Id="rId33" Type="http://schemas.openxmlformats.org/officeDocument/2006/relationships/image" Target="media/image10.wmf"/><Relationship Id="rId32" Type="http://schemas.openxmlformats.org/officeDocument/2006/relationships/oleObject" Target="embeddings/oleObject9.bin"/><Relationship Id="rId31" Type="http://schemas.openxmlformats.org/officeDocument/2006/relationships/image" Target="media/image9.wmf"/><Relationship Id="rId30" Type="http://schemas.openxmlformats.org/officeDocument/2006/relationships/oleObject" Target="embeddings/oleObject8.bin"/><Relationship Id="rId3" Type="http://schemas.openxmlformats.org/officeDocument/2006/relationships/footnotes" Target="footnotes.xml"/><Relationship Id="rId29" Type="http://schemas.openxmlformats.org/officeDocument/2006/relationships/image" Target="media/image8.wmf"/><Relationship Id="rId28" Type="http://schemas.openxmlformats.org/officeDocument/2006/relationships/oleObject" Target="embeddings/oleObject7.bin"/><Relationship Id="rId27" Type="http://schemas.openxmlformats.org/officeDocument/2006/relationships/image" Target="media/image7.wmf"/><Relationship Id="rId26" Type="http://schemas.openxmlformats.org/officeDocument/2006/relationships/oleObject" Target="embeddings/oleObject6.bin"/><Relationship Id="rId25" Type="http://schemas.openxmlformats.org/officeDocument/2006/relationships/image" Target="media/image6.wmf"/><Relationship Id="rId24" Type="http://schemas.openxmlformats.org/officeDocument/2006/relationships/oleObject" Target="embeddings/oleObject5.bin"/><Relationship Id="rId23" Type="http://schemas.openxmlformats.org/officeDocument/2006/relationships/image" Target="media/image5.wmf"/><Relationship Id="rId22" Type="http://schemas.openxmlformats.org/officeDocument/2006/relationships/oleObject" Target="embeddings/oleObject4.bin"/><Relationship Id="rId21" Type="http://schemas.openxmlformats.org/officeDocument/2006/relationships/image" Target="media/image4.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2.bin"/><Relationship Id="rId17" Type="http://schemas.openxmlformats.org/officeDocument/2006/relationships/image" Target="media/image2.w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7FA16BE349B4A659D58CACBD676D6F1"/>
        <w:style w:val=""/>
        <w:category>
          <w:name w:val="常规"/>
          <w:gallery w:val="placeholder"/>
        </w:category>
        <w:types>
          <w:type w:val="bbPlcHdr"/>
        </w:types>
        <w:behaviors>
          <w:behavior w:val="content"/>
        </w:behaviors>
        <w:description w:val=""/>
        <w:guid w:val="{5DE34911-CE76-40C7-A059-8D747EEF0715}"/>
      </w:docPartPr>
      <w:docPartBody>
        <w:p w14:paraId="494F846F">
          <w:pPr>
            <w:pStyle w:val="5"/>
          </w:pPr>
          <w:r>
            <w:rPr>
              <w:rStyle w:val="4"/>
              <w:rFonts w:hint="eastAsia"/>
            </w:rPr>
            <w:t>单击或点击此处输入文字。</w:t>
          </w:r>
        </w:p>
      </w:docPartBody>
    </w:docPart>
    <w:docPart>
      <w:docPartPr>
        <w:name w:val="43F5C39AC25944029AAB7592E46C4E1C"/>
        <w:style w:val=""/>
        <w:category>
          <w:name w:val="常规"/>
          <w:gallery w:val="placeholder"/>
        </w:category>
        <w:types>
          <w:type w:val="bbPlcHdr"/>
        </w:types>
        <w:behaviors>
          <w:behavior w:val="content"/>
        </w:behaviors>
        <w:description w:val=""/>
        <w:guid w:val="{5BDA688F-541F-4223-888D-A80C033F029D}"/>
      </w:docPartPr>
      <w:docPartBody>
        <w:p w14:paraId="77B846F9">
          <w:pPr>
            <w:pStyle w:val="6"/>
          </w:pPr>
          <w:r>
            <w:rPr>
              <w:rStyle w:val="4"/>
              <w:rFonts w:hint="eastAsia"/>
            </w:rPr>
            <w:t>选择一项。</w:t>
          </w:r>
        </w:p>
      </w:docPartBody>
    </w:docPart>
    <w:docPart>
      <w:docPartPr>
        <w:name w:val="FB36DBA0BE6149ED811EB1C7ECD23848"/>
        <w:style w:val=""/>
        <w:category>
          <w:name w:val="常规"/>
          <w:gallery w:val="placeholder"/>
        </w:category>
        <w:types>
          <w:type w:val="bbPlcHdr"/>
        </w:types>
        <w:behaviors>
          <w:behavior w:val="content"/>
        </w:behaviors>
        <w:description w:val=""/>
        <w:guid w:val="{32BE9C35-29EF-42B2-A726-295BE3A574DB}"/>
      </w:docPartPr>
      <w:docPartBody>
        <w:p w14:paraId="7A2B20D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242E"/>
    <w:rsid w:val="001D7A6E"/>
    <w:rsid w:val="004F6D06"/>
    <w:rsid w:val="005B31BA"/>
    <w:rsid w:val="00867419"/>
    <w:rsid w:val="00884AFD"/>
    <w:rsid w:val="009B14F1"/>
    <w:rsid w:val="00D4228B"/>
    <w:rsid w:val="00D75ACA"/>
    <w:rsid w:val="00E224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7FA16BE349B4A659D58CACBD676D6F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3F5C39AC25944029AAB7592E46C4E1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B36DBA0BE6149ED811EB1C7ECD2384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E320DA-325D-4C43-89C8-5B5A47856E0C}">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30</Pages>
  <Words>5988</Words>
  <Characters>6315</Characters>
  <Lines>159</Lines>
  <Paragraphs>44</Paragraphs>
  <TotalTime>20</TotalTime>
  <ScaleCrop>false</ScaleCrop>
  <LinksUpToDate>false</LinksUpToDate>
  <CharactersWithSpaces>6418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2025-03-17T06:39:00Z</dcterms:created>
  <dc:creator>标准研究部</dc:creator>
  <dc:description>&lt;config cover="true" show_menu="true" version="1.0.0" doctype="SDKXY"&gt;_x000d_
&lt;/config&gt;</dc:description>
  <cp:lastModifiedBy>邹建芳</cp:lastModifiedBy>
  <cp:lastPrinted>2025-03-18T09:47:00Z</cp:lastPrinted>
  <dcterms:modified xsi:type="dcterms:W3CDTF">2025-04-18T04:13:38Z</dcterms:modified>
  <dc:title>地方标准</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eyJoZGlkIjoiNzA3ODAwYmZmNTY2NmE4YWJkOTdiOWFlZTU4YjViZmUiLCJ1c2VySWQiOiIzNTg1NTkyNTgifQ==</vt:lpwstr>
  </property>
  <property fmtid="{D5CDD505-2E9C-101B-9397-08002B2CF9AE}" pid="15" name="KSOProductBuildVer">
    <vt:lpwstr>2052-12.1.0.20784</vt:lpwstr>
  </property>
  <property fmtid="{D5CDD505-2E9C-101B-9397-08002B2CF9AE}" pid="16" name="ICV">
    <vt:lpwstr>FECCD62A63C54052912E387A8FCE7B80_12</vt:lpwstr>
  </property>
</Properties>
</file>