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7503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DEDB0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466CC77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23.020.30</w:t>
            </w:r>
            <w:r>
              <w:rPr>
                <w:rFonts w:ascii="黑体" w:hAnsi="黑体" w:eastAsia="黑体"/>
                <w:sz w:val="21"/>
                <w:szCs w:val="21"/>
              </w:rPr>
              <w:fldChar w:fldCharType="end"/>
            </w:r>
            <w:bookmarkEnd w:id="0"/>
          </w:p>
        </w:tc>
      </w:tr>
      <w:tr w14:paraId="55E9C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A03C8A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28BCD9A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J74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C95A0C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0A3D1C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395EF91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7DC83E4">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rPr>
        <w:t>9</w:t>
      </w:r>
      <w:r>
        <w:rPr>
          <w:rFonts w:hint="eastAsia"/>
        </w:rPr>
        <w:t>73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5DF257A">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代替DB34/T973-2020</w:t>
      </w:r>
      <w:r>
        <w:rPr>
          <w:rFonts w:hAnsi="黑体"/>
        </w:rPr>
        <w:fldChar w:fldCharType="end"/>
      </w:r>
      <w:bookmarkEnd w:id="8"/>
    </w:p>
    <w:p w14:paraId="6C806A7E">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0C2D552B">
      <w:pPr>
        <w:pStyle w:val="50"/>
        <w:framePr w:w="9639" w:h="6976" w:hRule="exact" w:hSpace="0" w:vSpace="0" w:wrap="around" w:hAnchor="page" w:y="6408"/>
        <w:jc w:val="center"/>
        <w:rPr>
          <w:rFonts w:ascii="黑体" w:hAnsi="黑体" w:eastAsia="黑体"/>
          <w:b w:val="0"/>
          <w:bCs w:val="0"/>
          <w:w w:val="100"/>
        </w:rPr>
      </w:pPr>
    </w:p>
    <w:p w14:paraId="20FCB516">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压缩天然气车用气瓶充装安全管理规范</w:t>
      </w:r>
      <w:r>
        <w:fldChar w:fldCharType="end"/>
      </w:r>
      <w:bookmarkEnd w:id="9"/>
    </w:p>
    <w:p w14:paraId="0BEFE3FE">
      <w:pPr>
        <w:framePr w:w="9639" w:h="6974" w:hRule="exact" w:wrap="around" w:vAnchor="page" w:hAnchor="page" w:x="1419" w:y="6408" w:anchorLock="1"/>
        <w:ind w:left="-1418"/>
      </w:pPr>
    </w:p>
    <w:p w14:paraId="3AF4AAC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Safety management standard cylinders for compressed natural gas vehicle</w:t>
      </w:r>
      <w:r>
        <w:rPr>
          <w:rFonts w:eastAsia="黑体"/>
          <w:szCs w:val="28"/>
        </w:rPr>
        <w:fldChar w:fldCharType="end"/>
      </w:r>
      <w:bookmarkEnd w:id="10"/>
    </w:p>
    <w:p w14:paraId="6B1C04C9">
      <w:pPr>
        <w:framePr w:w="9639" w:h="6974" w:hRule="exact" w:wrap="around" w:vAnchor="page" w:hAnchor="page" w:x="1419" w:y="6408" w:anchorLock="1"/>
        <w:spacing w:line="760" w:lineRule="exact"/>
        <w:ind w:left="-1418"/>
      </w:pPr>
    </w:p>
    <w:p w14:paraId="2014DAD4">
      <w:pPr>
        <w:pStyle w:val="125"/>
        <w:framePr w:w="9639" w:h="6974" w:hRule="exact" w:wrap="around" w:vAnchor="page" w:hAnchor="page" w:x="1419" w:y="6408" w:anchorLock="1"/>
        <w:textAlignment w:val="bottom"/>
        <w:rPr>
          <w:rFonts w:eastAsia="黑体"/>
          <w:szCs w:val="28"/>
        </w:rPr>
      </w:pPr>
    </w:p>
    <w:p w14:paraId="62510F9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81A054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D5C25C6">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24B11E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FAF57A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7814AC9">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1FDB86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2050" o:spid="_x0000_s2050"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6AEB3269">
      <w:pPr>
        <w:pStyle w:val="89"/>
        <w:spacing w:after="468"/>
      </w:pPr>
      <w:bookmarkStart w:id="21" w:name="BookMark2"/>
      <w:r>
        <w:rPr>
          <w:spacing w:val="320"/>
        </w:rPr>
        <w:t>前</w:t>
      </w:r>
      <w:r>
        <w:t>言</w:t>
      </w:r>
    </w:p>
    <w:p w14:paraId="4A6C3607">
      <w:pPr>
        <w:pStyle w:val="56"/>
        <w:ind w:firstLine="420"/>
      </w:pPr>
      <w:r>
        <w:rPr>
          <w:rFonts w:hint="eastAsia"/>
        </w:rPr>
        <w:t>本文件按照GB/T 1.1—2020《标准化工作导则  第1部分：标准化文件的结构和起草规则》的规定起草。</w:t>
      </w:r>
    </w:p>
    <w:p w14:paraId="5A423EA5">
      <w:pPr>
        <w:pStyle w:val="56"/>
        <w:ind w:firstLine="420"/>
      </w:pPr>
      <w:r>
        <w:rPr>
          <w:rFonts w:hint="eastAsia"/>
        </w:rPr>
        <w:t>本文件代替DB34/T973-2020《压缩天然气车用气瓶充装安全管理规范》，与DB34/T973-2020相比，除结构调整和编辑性修改外，主要技术变化如下：</w:t>
      </w:r>
    </w:p>
    <w:p w14:paraId="753A3C2E">
      <w:pPr>
        <w:pStyle w:val="56"/>
        <w:ind w:firstLine="420"/>
        <w:rPr>
          <w:rFonts w:hAnsi="宋体" w:cs="宋体"/>
          <w:szCs w:val="21"/>
        </w:rPr>
      </w:pPr>
      <w:r>
        <w:rPr>
          <w:rFonts w:hint="eastAsia" w:hAnsi="宋体" w:cs="宋体"/>
          <w:szCs w:val="21"/>
        </w:rPr>
        <w:t>---修订了文件适用范围（见第1章）；</w:t>
      </w:r>
    </w:p>
    <w:p w14:paraId="2CE4D5E6">
      <w:pPr>
        <w:pStyle w:val="56"/>
        <w:ind w:firstLine="420"/>
        <w:rPr>
          <w:rFonts w:hAnsi="宋体" w:cs="宋体"/>
          <w:szCs w:val="21"/>
        </w:rPr>
      </w:pPr>
      <w:r>
        <w:rPr>
          <w:rFonts w:hint="eastAsia" w:hAnsi="宋体" w:cs="宋体"/>
          <w:szCs w:val="21"/>
        </w:rPr>
        <w:t>---增加了3个规范性引用文件（见第2章）；</w:t>
      </w:r>
    </w:p>
    <w:p w14:paraId="72110A1B">
      <w:pPr>
        <w:pStyle w:val="56"/>
        <w:ind w:firstLine="420"/>
        <w:rPr>
          <w:rFonts w:hAnsi="宋体" w:cs="宋体"/>
          <w:szCs w:val="21"/>
        </w:rPr>
      </w:pPr>
      <w:r>
        <w:rPr>
          <w:rFonts w:hint="eastAsia" w:hAnsi="宋体" w:cs="宋体"/>
          <w:szCs w:val="21"/>
        </w:rPr>
        <w:t>---增加了GB 51102部分内容（见4.1.2、5.1.4）；</w:t>
      </w:r>
    </w:p>
    <w:p w14:paraId="29CED850">
      <w:pPr>
        <w:pStyle w:val="56"/>
        <w:ind w:firstLine="420"/>
        <w:rPr>
          <w:rFonts w:hAnsi="宋体" w:cs="宋体"/>
          <w:szCs w:val="21"/>
        </w:rPr>
      </w:pPr>
      <w:r>
        <w:rPr>
          <w:rFonts w:hint="eastAsia" w:hAnsi="宋体" w:cs="宋体"/>
          <w:szCs w:val="21"/>
        </w:rPr>
        <w:t>---增加了</w:t>
      </w:r>
      <w:r>
        <w:rPr>
          <w:rFonts w:hint="eastAsia" w:hAnsi="宋体" w:cs="宋体"/>
          <w:szCs w:val="21"/>
          <w:lang w:val="en-US" w:eastAsia="zh-CN"/>
        </w:rPr>
        <w:t>国家</w:t>
      </w:r>
      <w:bookmarkStart w:id="50" w:name="_GoBack"/>
      <w:bookmarkEnd w:id="50"/>
      <w:r>
        <w:rPr>
          <w:rFonts w:hint="eastAsia" w:hAnsi="宋体" w:cs="宋体"/>
          <w:szCs w:val="21"/>
        </w:rPr>
        <w:t>市场监管总局第74号令部分内容（见4.1.8、4.2.4）；</w:t>
      </w:r>
    </w:p>
    <w:p w14:paraId="62444628">
      <w:pPr>
        <w:pStyle w:val="56"/>
        <w:ind w:firstLine="420"/>
        <w:rPr>
          <w:rFonts w:hAnsi="宋体" w:cs="宋体"/>
          <w:szCs w:val="21"/>
        </w:rPr>
      </w:pPr>
      <w:r>
        <w:rPr>
          <w:rFonts w:hint="eastAsia" w:hAnsi="宋体" w:cs="宋体"/>
          <w:szCs w:val="21"/>
        </w:rPr>
        <w:t>---增加了TSG 23部分内容（见4.1.9、5.3.1、5.4.3 ）；</w:t>
      </w:r>
    </w:p>
    <w:p w14:paraId="0ADE0AA9">
      <w:pPr>
        <w:pStyle w:val="56"/>
        <w:ind w:firstLine="420"/>
        <w:rPr>
          <w:rFonts w:hAnsi="宋体" w:cs="宋体"/>
          <w:szCs w:val="21"/>
        </w:rPr>
      </w:pPr>
      <w:r>
        <w:rPr>
          <w:rFonts w:hint="eastAsia" w:hAnsi="宋体" w:cs="宋体"/>
          <w:szCs w:val="21"/>
        </w:rPr>
        <w:t>---修订了用户安全宣传教育培训及服务相关要求（见4.1.11）；</w:t>
      </w:r>
    </w:p>
    <w:p w14:paraId="7E7ADBF4">
      <w:pPr>
        <w:pStyle w:val="56"/>
        <w:ind w:firstLine="420"/>
        <w:rPr>
          <w:rFonts w:hAnsi="宋体" w:cs="宋体"/>
          <w:szCs w:val="21"/>
        </w:rPr>
      </w:pPr>
      <w:r>
        <w:rPr>
          <w:rFonts w:hint="eastAsia" w:hAnsi="宋体" w:cs="宋体"/>
          <w:szCs w:val="21"/>
        </w:rPr>
        <w:t>---增加了可燃气体检测报警系统设置要求（见4.3.4 ）；</w:t>
      </w:r>
    </w:p>
    <w:p w14:paraId="5495C870">
      <w:pPr>
        <w:pStyle w:val="56"/>
        <w:ind w:firstLine="420"/>
        <w:rPr>
          <w:rFonts w:hAnsi="宋体" w:cs="宋体"/>
          <w:szCs w:val="21"/>
        </w:rPr>
      </w:pPr>
      <w:r>
        <w:rPr>
          <w:rFonts w:hint="eastAsia" w:hAnsi="宋体" w:cs="宋体"/>
          <w:szCs w:val="21"/>
        </w:rPr>
        <w:t>---增加了防雷防静电设施相关要求（见4.3.6）；</w:t>
      </w:r>
    </w:p>
    <w:p w14:paraId="6D9D19E6">
      <w:pPr>
        <w:pStyle w:val="56"/>
        <w:ind w:firstLine="420"/>
        <w:rPr>
          <w:rFonts w:hAnsi="宋体" w:cs="宋体"/>
          <w:szCs w:val="21"/>
        </w:rPr>
      </w:pPr>
      <w:r>
        <w:rPr>
          <w:rFonts w:hint="eastAsia" w:hAnsi="宋体" w:cs="宋体"/>
          <w:szCs w:val="21"/>
        </w:rPr>
        <w:t>---修订了应急预案及演练相关要求（见6.2）；</w:t>
      </w:r>
    </w:p>
    <w:p w14:paraId="03933685">
      <w:pPr>
        <w:pStyle w:val="56"/>
        <w:ind w:firstLine="420"/>
      </w:pPr>
      <w:r>
        <w:rPr>
          <w:rFonts w:hint="eastAsia" w:hAnsi="宋体" w:cs="宋体"/>
          <w:szCs w:val="21"/>
        </w:rPr>
        <w:t>---删除了</w:t>
      </w:r>
      <w:r>
        <w:rPr>
          <w:rFonts w:hint="eastAsia"/>
        </w:rPr>
        <w:t>附录A</w:t>
      </w:r>
      <w:r>
        <w:rPr>
          <w:rFonts w:hint="eastAsia" w:hAnsi="宋体" w:cs="宋体"/>
          <w:szCs w:val="21"/>
        </w:rPr>
        <w:t>（见2020年版</w:t>
      </w:r>
      <w:r>
        <w:rPr>
          <w:rFonts w:hint="eastAsia"/>
        </w:rPr>
        <w:t>附录A</w:t>
      </w:r>
      <w:r>
        <w:rPr>
          <w:rFonts w:hint="eastAsia" w:hAnsi="宋体" w:cs="宋体"/>
          <w:szCs w:val="21"/>
        </w:rPr>
        <w:t>）。</w:t>
      </w:r>
    </w:p>
    <w:p w14:paraId="50CB5476">
      <w:pPr>
        <w:pStyle w:val="56"/>
        <w:ind w:firstLine="420"/>
      </w:pPr>
      <w:r>
        <w:rPr>
          <w:rFonts w:hint="eastAsia"/>
        </w:rPr>
        <w:t>请注意本文件的某些内容可能涉及专利。本文件的发布机构不承担识别专利的责任。</w:t>
      </w:r>
    </w:p>
    <w:p w14:paraId="5D2669BD">
      <w:pPr>
        <w:pStyle w:val="56"/>
        <w:ind w:firstLine="420"/>
      </w:pPr>
      <w:r>
        <w:rPr>
          <w:rFonts w:hint="eastAsia"/>
        </w:rPr>
        <w:t>本文件由芜湖市特种设备检验研究院提出。</w:t>
      </w:r>
    </w:p>
    <w:p w14:paraId="0AB97994">
      <w:pPr>
        <w:pStyle w:val="56"/>
        <w:ind w:firstLine="420"/>
      </w:pPr>
      <w:r>
        <w:rPr>
          <w:rFonts w:hint="eastAsia"/>
        </w:rPr>
        <w:t>本文件由安徽省市场监督管理局归口。</w:t>
      </w:r>
    </w:p>
    <w:p w14:paraId="101816BE">
      <w:pPr>
        <w:pStyle w:val="56"/>
        <w:ind w:firstLine="420"/>
      </w:pPr>
      <w:r>
        <w:rPr>
          <w:rFonts w:hint="eastAsia"/>
        </w:rPr>
        <w:t>本文件起草单位：芜湖市特种设备检验研究院、</w:t>
      </w:r>
      <w:r>
        <w:fldChar w:fldCharType="begin"/>
      </w:r>
      <w:r>
        <w:instrText xml:space="preserve"> HYPERLINK "https://www.bidcenter.com.cn/news-276396614-6.html" \t "_blank" \o "芜湖市湾沚区市场监督管理局关于压力泵的网上超市采购项目终止公告--采招网" </w:instrText>
      </w:r>
      <w:r>
        <w:fldChar w:fldCharType="separate"/>
      </w:r>
      <w:r>
        <w:rPr>
          <w:rFonts w:hint="eastAsia"/>
        </w:rPr>
        <w:t>芜湖市湾沚区市场监督管理局</w:t>
      </w:r>
      <w:r>
        <w:rPr>
          <w:rFonts w:hint="eastAsia"/>
        </w:rPr>
        <w:fldChar w:fldCharType="end"/>
      </w:r>
      <w:r>
        <w:rPr>
          <w:rFonts w:hint="eastAsia"/>
        </w:rPr>
        <w:t>。</w:t>
      </w:r>
    </w:p>
    <w:p w14:paraId="38F7DC83">
      <w:pPr>
        <w:pStyle w:val="56"/>
        <w:ind w:firstLine="420"/>
      </w:pPr>
      <w:r>
        <w:rPr>
          <w:rFonts w:hint="eastAsia"/>
        </w:rPr>
        <w:t>本文件主要起草人：、、、、、、、、。</w:t>
      </w:r>
    </w:p>
    <w:p w14:paraId="0CB8497A">
      <w:pPr>
        <w:pStyle w:val="56"/>
        <w:ind w:firstLine="420"/>
      </w:pPr>
    </w:p>
    <w:p w14:paraId="04088DDB">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31D0386">
      <w:pPr>
        <w:spacing w:line="20" w:lineRule="exact"/>
        <w:jc w:val="center"/>
        <w:rPr>
          <w:rFonts w:ascii="黑体" w:hAnsi="黑体" w:eastAsia="黑体"/>
          <w:sz w:val="32"/>
          <w:szCs w:val="32"/>
        </w:rPr>
      </w:pPr>
      <w:bookmarkStart w:id="22" w:name="BookMark4"/>
    </w:p>
    <w:p w14:paraId="4EE93071">
      <w:pPr>
        <w:spacing w:line="20" w:lineRule="exact"/>
        <w:jc w:val="center"/>
        <w:rPr>
          <w:rFonts w:ascii="黑体" w:hAnsi="黑体" w:eastAsia="黑体"/>
          <w:sz w:val="32"/>
          <w:szCs w:val="32"/>
        </w:rPr>
      </w:pPr>
    </w:p>
    <w:sdt>
      <w:sdtPr>
        <w:tag w:val="NEW_STAND_NAME"/>
        <w:id w:val="595910757"/>
        <w:lock w:val="sdtLocked"/>
        <w:placeholder>
          <w:docPart w:val="78B83DCA5E3E40C8BF88B5E20AA7C8CE"/>
        </w:placeholder>
      </w:sdtPr>
      <w:sdtEndPr>
        <w:rPr>
          <w:rFonts w:hint="eastAsia"/>
        </w:rPr>
      </w:sdtEndPr>
      <w:sdtContent>
        <w:p w14:paraId="5EF7F11E">
          <w:pPr>
            <w:pStyle w:val="177"/>
            <w:spacing w:beforeLines="100" w:afterLines="220"/>
          </w:pPr>
          <w:bookmarkStart w:id="23" w:name="NEW_STAND_NAME"/>
          <w:r>
            <w:rPr>
              <w:rFonts w:hint="eastAsia"/>
            </w:rPr>
            <w:t>压缩天然气车用气瓶充装安全管理规范</w:t>
          </w:r>
        </w:p>
      </w:sdtContent>
    </w:sdt>
    <w:bookmarkEnd w:id="23"/>
    <w:p w14:paraId="0501C948">
      <w:pPr>
        <w:pStyle w:val="104"/>
        <w:spacing w:before="312" w:after="312"/>
      </w:pPr>
      <w:bookmarkStart w:id="24" w:name="_Toc26648465"/>
      <w:bookmarkStart w:id="25" w:name="_Toc17233325"/>
      <w:bookmarkStart w:id="26" w:name="_Toc97191423"/>
      <w:bookmarkStart w:id="27" w:name="_Toc26986771"/>
      <w:bookmarkStart w:id="28" w:name="_Toc26718930"/>
      <w:bookmarkStart w:id="29" w:name="_Toc17233333"/>
      <w:bookmarkStart w:id="30" w:name="_Toc26986530"/>
      <w:bookmarkStart w:id="31" w:name="_Toc24884218"/>
      <w:bookmarkStart w:id="32" w:name="_Toc24884211"/>
      <w:r>
        <w:rPr>
          <w:rFonts w:hint="eastAsia"/>
        </w:rPr>
        <w:t>范围</w:t>
      </w:r>
      <w:bookmarkEnd w:id="24"/>
      <w:bookmarkEnd w:id="25"/>
      <w:bookmarkEnd w:id="26"/>
      <w:bookmarkEnd w:id="27"/>
      <w:bookmarkEnd w:id="28"/>
      <w:bookmarkEnd w:id="29"/>
      <w:bookmarkEnd w:id="30"/>
      <w:bookmarkEnd w:id="31"/>
      <w:bookmarkEnd w:id="32"/>
    </w:p>
    <w:p w14:paraId="1BECF322">
      <w:pPr>
        <w:pStyle w:val="56"/>
        <w:ind w:firstLine="420"/>
      </w:pPr>
      <w:bookmarkStart w:id="33" w:name="_Toc17233334"/>
      <w:bookmarkStart w:id="34" w:name="_Toc24884212"/>
      <w:bookmarkStart w:id="35" w:name="_Toc17233326"/>
      <w:bookmarkStart w:id="36" w:name="_Toc24884219"/>
      <w:bookmarkStart w:id="37" w:name="_Toc26648466"/>
      <w:r>
        <w:rPr>
          <w:rFonts w:hint="eastAsia"/>
        </w:rPr>
        <w:t>本文件规定了压缩天然气车用气瓶充装单位、充装设施、相关人员行为的一般要求、充装安全、应急管理等。</w:t>
      </w:r>
    </w:p>
    <w:p w14:paraId="586BF4CF">
      <w:pPr>
        <w:pStyle w:val="56"/>
        <w:ind w:firstLine="420"/>
      </w:pPr>
      <w:r>
        <w:rPr>
          <w:rFonts w:hint="eastAsia"/>
        </w:rPr>
        <w:t>本文件适用于公称工作压力不大于20MPa、公称容积为30L～300L、工作温度为-40℃～65℃的压缩天然气车用气瓶充装的安全管理。</w:t>
      </w:r>
    </w:p>
    <w:p w14:paraId="02884772">
      <w:pPr>
        <w:pStyle w:val="104"/>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F0E1F35E1984490B7C2A0FAB2C67E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D093AC5">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E221A7">
      <w:pPr>
        <w:pStyle w:val="56"/>
        <w:ind w:firstLine="420"/>
      </w:pPr>
      <w:r>
        <w:rPr>
          <w:rFonts w:hint="eastAsia"/>
        </w:rPr>
        <w:t>GB/T 19533 汽车用压缩天然气钢瓶定期检验与评定</w:t>
      </w:r>
    </w:p>
    <w:p w14:paraId="731D7BC9">
      <w:pPr>
        <w:pStyle w:val="56"/>
        <w:ind w:firstLine="420"/>
      </w:pPr>
      <w:r>
        <w:rPr>
          <w:rFonts w:hint="eastAsia"/>
        </w:rPr>
        <w:t>GB 50156 汽车加油加气加氢站技术标准</w:t>
      </w:r>
    </w:p>
    <w:p w14:paraId="18A5DB05">
      <w:pPr>
        <w:pStyle w:val="56"/>
        <w:ind w:firstLine="420"/>
      </w:pPr>
      <w:bookmarkStart w:id="42" w:name="OLE_LINK3"/>
      <w:bookmarkStart w:id="43" w:name="OLE_LINK4"/>
      <w:r>
        <w:rPr>
          <w:rFonts w:hint="eastAsia"/>
        </w:rPr>
        <w:t>GB 51102</w:t>
      </w:r>
      <w:bookmarkEnd w:id="42"/>
      <w:bookmarkEnd w:id="43"/>
      <w:r>
        <w:rPr>
          <w:rFonts w:hint="eastAsia"/>
        </w:rPr>
        <w:t xml:space="preserve"> 压缩天然气供应站设计规范</w:t>
      </w:r>
    </w:p>
    <w:p w14:paraId="23DBA0F0">
      <w:pPr>
        <w:pStyle w:val="56"/>
        <w:ind w:firstLine="420"/>
      </w:pPr>
      <w:r>
        <w:rPr>
          <w:rFonts w:hint="eastAsia"/>
        </w:rPr>
        <w:t>TSG 07  特种设备生产和气瓶充装单位许可规则</w:t>
      </w:r>
    </w:p>
    <w:p w14:paraId="6F327857">
      <w:pPr>
        <w:pStyle w:val="56"/>
        <w:ind w:firstLine="420"/>
      </w:pPr>
      <w:r>
        <w:rPr>
          <w:rFonts w:hint="eastAsia"/>
        </w:rPr>
        <w:t>TSG 08  特种设备使用管理规则</w:t>
      </w:r>
    </w:p>
    <w:p w14:paraId="01E6A7F8">
      <w:pPr>
        <w:pStyle w:val="56"/>
        <w:ind w:firstLine="420"/>
      </w:pPr>
      <w:r>
        <w:rPr>
          <w:rFonts w:hint="eastAsia"/>
        </w:rPr>
        <w:t>TSG 21  固定式压力容器安全技术监察规程</w:t>
      </w:r>
    </w:p>
    <w:p w14:paraId="2C13D5FC">
      <w:pPr>
        <w:pStyle w:val="56"/>
        <w:ind w:firstLine="420"/>
      </w:pPr>
      <w:r>
        <w:rPr>
          <w:rFonts w:hint="eastAsia"/>
        </w:rPr>
        <w:t>TSG 23  气瓶安全技术规程</w:t>
      </w:r>
    </w:p>
    <w:p w14:paraId="6748B44F">
      <w:pPr>
        <w:pStyle w:val="56"/>
        <w:ind w:firstLine="420"/>
      </w:pPr>
      <w:r>
        <w:rPr>
          <w:rFonts w:hint="eastAsia"/>
        </w:rPr>
        <w:t>TSG Z6001  特种设备作业人员考核规则</w:t>
      </w:r>
    </w:p>
    <w:p w14:paraId="747368A7">
      <w:pPr>
        <w:pStyle w:val="56"/>
        <w:ind w:firstLine="420"/>
      </w:pPr>
      <w:r>
        <w:rPr>
          <w:rFonts w:hint="eastAsia"/>
        </w:rPr>
        <w:t>国家市场监督管理总局令第74号  特种设备使用单位落实使用安全主体责任监督管理规定</w:t>
      </w:r>
    </w:p>
    <w:p w14:paraId="66532AB9">
      <w:pPr>
        <w:pStyle w:val="104"/>
        <w:spacing w:before="312" w:after="312"/>
      </w:pPr>
      <w:bookmarkStart w:id="44" w:name="_Toc97191425"/>
      <w:r>
        <w:rPr>
          <w:rFonts w:hint="eastAsia"/>
          <w:szCs w:val="21"/>
        </w:rPr>
        <w:t>术语和定义</w:t>
      </w:r>
      <w:bookmarkEnd w:id="44"/>
    </w:p>
    <w:sdt>
      <w:sdtPr>
        <w:id w:val="-1909835108"/>
        <w:placeholder>
          <w:docPart w:val="EABE432E5E3B4058BE23637FA38DC6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73B4B8">
          <w:pPr>
            <w:pStyle w:val="56"/>
            <w:ind w:firstLine="420"/>
          </w:pPr>
          <w:bookmarkStart w:id="45" w:name="_Toc26986532"/>
          <w:bookmarkEnd w:id="45"/>
          <w:r>
            <w:t>本文件没有需要界定的术语和定义。</w:t>
          </w:r>
        </w:p>
      </w:sdtContent>
    </w:sdt>
    <w:p w14:paraId="2054FE17">
      <w:pPr>
        <w:pStyle w:val="104"/>
        <w:spacing w:before="312" w:after="312"/>
      </w:pPr>
      <w:r>
        <w:rPr>
          <w:rFonts w:hint="eastAsia"/>
        </w:rPr>
        <w:t>一般要求</w:t>
      </w:r>
    </w:p>
    <w:p w14:paraId="25B123B7">
      <w:pPr>
        <w:pStyle w:val="105"/>
        <w:spacing w:before="156" w:after="156"/>
      </w:pPr>
      <w:r>
        <w:rPr>
          <w:rFonts w:hint="eastAsia"/>
        </w:rPr>
        <w:t>充装单位</w:t>
      </w:r>
    </w:p>
    <w:p w14:paraId="5A8AD7D1">
      <w:pPr>
        <w:pStyle w:val="165"/>
      </w:pPr>
      <w:r>
        <w:rPr>
          <w:rFonts w:hint="eastAsia" w:hAnsi="宋体" w:cs="宋体"/>
        </w:rPr>
        <w:t>充装单位必须具有法定资格，持有市场监督管理部门核发的营业执照和气瓶充装许可证，且经营范围应包括</w:t>
      </w:r>
      <w:r>
        <w:rPr>
          <w:rFonts w:hint="eastAsia" w:hAnsi="宋体" w:cs="宋体"/>
          <w:szCs w:val="21"/>
        </w:rPr>
        <w:t>压缩天然气充装销售</w:t>
      </w:r>
      <w:r>
        <w:rPr>
          <w:rFonts w:hint="eastAsia"/>
        </w:rPr>
        <w:t>。</w:t>
      </w:r>
    </w:p>
    <w:p w14:paraId="2A71512E">
      <w:pPr>
        <w:pStyle w:val="165"/>
      </w:pPr>
      <w:r>
        <w:rPr>
          <w:rFonts w:hint="eastAsia" w:hAnsi="宋体" w:cs="宋体"/>
          <w:szCs w:val="21"/>
        </w:rPr>
        <w:t>车用天然气气瓶充装站站址的选择、总平面布置、工艺及设施、充装设备、检验检测仪器、厂房场地、安全设施和气体储存能力等应符合GB 51102及GB 50156要求。充装单位的选址和设立，必须报经当地市级相关职能部门依照有关规定批准</w:t>
      </w:r>
      <w:r>
        <w:rPr>
          <w:rFonts w:hint="eastAsia"/>
        </w:rPr>
        <w:t xml:space="preserve">。 </w:t>
      </w:r>
    </w:p>
    <w:p w14:paraId="7ABD7BB8">
      <w:pPr>
        <w:pStyle w:val="165"/>
      </w:pPr>
      <w:r>
        <w:rPr>
          <w:rFonts w:hint="eastAsia" w:hAnsi="宋体" w:cs="宋体"/>
          <w:szCs w:val="21"/>
        </w:rPr>
        <w:t>充装单位场地、厂房、设备和充装工艺设施，应由具有相应资质的设计单位设计</w:t>
      </w:r>
      <w:r>
        <w:rPr>
          <w:rFonts w:hint="eastAsia"/>
        </w:rPr>
        <w:t>。</w:t>
      </w:r>
    </w:p>
    <w:p w14:paraId="52ABDCF5">
      <w:pPr>
        <w:pStyle w:val="165"/>
      </w:pPr>
      <w:r>
        <w:rPr>
          <w:rFonts w:hint="eastAsia" w:hAnsi="宋体" w:cs="宋体"/>
          <w:szCs w:val="21"/>
        </w:rPr>
        <w:t>充装单位的建筑、场地、设施等应经当地相关职能部门验收合格，依法取得相关资质证。车用燃气气瓶充装单位必须在许可批准的固定场所从事气瓶充装经营活动</w:t>
      </w:r>
      <w:r>
        <w:rPr>
          <w:rFonts w:hint="eastAsia"/>
        </w:rPr>
        <w:t>。</w:t>
      </w:r>
    </w:p>
    <w:p w14:paraId="384715A9">
      <w:pPr>
        <w:pStyle w:val="165"/>
      </w:pPr>
      <w:r>
        <w:rPr>
          <w:rFonts w:hint="eastAsia" w:hAnsi="宋体" w:cs="宋体"/>
          <w:szCs w:val="21"/>
        </w:rPr>
        <w:t>充装单位只可充装已按照TSG 08规范办理车用气瓶使用登记证并在有效检验周期内的合格气瓶。</w:t>
      </w:r>
    </w:p>
    <w:p w14:paraId="218D878A">
      <w:pPr>
        <w:pStyle w:val="165"/>
      </w:pPr>
      <w:r>
        <w:rPr>
          <w:rFonts w:hint="eastAsia" w:hAnsi="宋体" w:cs="宋体"/>
          <w:szCs w:val="21"/>
        </w:rPr>
        <w:t>充装单位应按照TSG 07的规定，设立相应组织机构，配备与充装和管理相适应的管理人员、技术负责人、充装人员和充装检查人员。</w:t>
      </w:r>
    </w:p>
    <w:p w14:paraId="07F18BA0">
      <w:pPr>
        <w:pStyle w:val="165"/>
      </w:pPr>
      <w:r>
        <w:rPr>
          <w:rFonts w:hint="eastAsia" w:hAnsi="宋体" w:cs="宋体"/>
          <w:szCs w:val="21"/>
        </w:rPr>
        <w:t>气瓶充装单位应当编制并且实施文件和记录控制、设备（包括充装设备和充装工艺装备）控制、充装介质检测控制、人员管理、充装工作质量控制、信息追踪和质量服务、执行特种设备许可制度等要素质量控制系统，应制定安全管理制度、人员岗位责任制、安全操作规程、紧急处理措施、事故应急预案和充装工作记录和见证资料，并能正常有效运转。</w:t>
      </w:r>
    </w:p>
    <w:p w14:paraId="37B6F884">
      <w:pPr>
        <w:pStyle w:val="165"/>
      </w:pPr>
      <w:r>
        <w:rPr>
          <w:rFonts w:hint="eastAsia"/>
        </w:rPr>
        <w:t>充装单位应当依据国家市场监督管理总局令第74号的要求配备气瓶安全总监和气瓶安全员，建立基于气瓶充装安全风险防控的动态管理机制，建立健全日管控、周排查、月调度工作制度和机制。</w:t>
      </w:r>
    </w:p>
    <w:p w14:paraId="11025366">
      <w:pPr>
        <w:pStyle w:val="165"/>
      </w:pPr>
      <w:r>
        <w:rPr>
          <w:rFonts w:hint="eastAsia" w:hAnsi="宋体" w:cs="宋体"/>
          <w:szCs w:val="21"/>
        </w:rPr>
        <w:t>充装单位应按照TSG 23要求，建立本单位气瓶充装信息平台，及时将充装前（后）检查情况、相关充装情况等信息上传到气瓶充装信息平台。</w:t>
      </w:r>
    </w:p>
    <w:p w14:paraId="338BECE2">
      <w:pPr>
        <w:pStyle w:val="165"/>
      </w:pPr>
      <w:r>
        <w:rPr>
          <w:rFonts w:hint="eastAsia" w:hAnsi="宋体" w:cs="宋体"/>
          <w:szCs w:val="21"/>
        </w:rPr>
        <w:t>充装单位应配备必要的应急救援装备和防护用品。</w:t>
      </w:r>
    </w:p>
    <w:p w14:paraId="3AB4A1A9">
      <w:pPr>
        <w:pStyle w:val="165"/>
      </w:pPr>
      <w:r>
        <w:rPr>
          <w:rFonts w:hint="eastAsia" w:hAnsi="宋体" w:cs="宋体"/>
          <w:szCs w:val="21"/>
        </w:rPr>
        <w:t>充装单位应按TSG 07要求建立</w:t>
      </w:r>
      <w:bookmarkStart w:id="46" w:name="OLE_LINK2"/>
      <w:bookmarkStart w:id="47" w:name="OLE_LINK1"/>
      <w:r>
        <w:rPr>
          <w:rFonts w:hint="eastAsia" w:hAnsi="宋体" w:cs="宋体"/>
          <w:szCs w:val="21"/>
        </w:rPr>
        <w:t>用户安全宣传教育培训及服务</w:t>
      </w:r>
      <w:bookmarkEnd w:id="46"/>
      <w:bookmarkEnd w:id="47"/>
      <w:r>
        <w:rPr>
          <w:rFonts w:hint="eastAsia" w:hAnsi="宋体" w:cs="宋体"/>
          <w:szCs w:val="21"/>
        </w:rPr>
        <w:t>制度，向气瓶使用者宣传安全使用知识、危险警示要求、汽车天然气使用维修常识、事故处理方式、联络方法和应急处理常识等。</w:t>
      </w:r>
    </w:p>
    <w:p w14:paraId="5569BBD9">
      <w:pPr>
        <w:pStyle w:val="105"/>
        <w:spacing w:before="156" w:after="156"/>
      </w:pPr>
      <w:r>
        <w:rPr>
          <w:rFonts w:hint="eastAsia"/>
        </w:rPr>
        <w:t>人员</w:t>
      </w:r>
    </w:p>
    <w:p w14:paraId="19521BDA">
      <w:pPr>
        <w:pStyle w:val="165"/>
      </w:pPr>
      <w:r>
        <w:rPr>
          <w:rFonts w:hint="eastAsia" w:ascii="Calibri" w:hAnsi="Calibri"/>
        </w:rPr>
        <w:t>专职安全管理员、</w:t>
      </w:r>
      <w:r>
        <w:rPr>
          <w:rFonts w:hint="eastAsia" w:hAnsi="宋体" w:cs="宋体"/>
          <w:szCs w:val="21"/>
        </w:rPr>
        <w:t>充装人员、充装检查人员应当按照TSG Z6001要求经考核合格，并持有有效期内的合格项目特种设备安全管理和作业人员证，方可上岗作业</w:t>
      </w:r>
      <w:r>
        <w:rPr>
          <w:rFonts w:hint="eastAsia"/>
        </w:rPr>
        <w:t>。</w:t>
      </w:r>
      <w:r>
        <w:rPr>
          <w:rFonts w:hint="eastAsia" w:hAnsi="宋体" w:cs="宋体"/>
          <w:szCs w:val="21"/>
        </w:rPr>
        <w:t>在气瓶充装作业时，充装人员不得同时兼任充装检查人员。</w:t>
      </w:r>
    </w:p>
    <w:p w14:paraId="471D9209">
      <w:pPr>
        <w:pStyle w:val="165"/>
      </w:pPr>
      <w:r>
        <w:rPr>
          <w:rFonts w:hint="eastAsia" w:hAnsi="宋体" w:cs="宋体"/>
          <w:szCs w:val="21"/>
        </w:rPr>
        <w:t>充装人员、充装检查人员必须具备压缩天然气专业知识以及事故、消防应急处理知识，熟记气体充装设备、工艺和充装操作要领</w:t>
      </w:r>
      <w:r>
        <w:rPr>
          <w:rFonts w:hint="eastAsia"/>
        </w:rPr>
        <w:t>。</w:t>
      </w:r>
    </w:p>
    <w:p w14:paraId="1DFC48C0">
      <w:pPr>
        <w:pStyle w:val="165"/>
      </w:pPr>
      <w:r>
        <w:rPr>
          <w:rFonts w:hint="eastAsia" w:hAnsi="宋体" w:cs="宋体"/>
          <w:szCs w:val="21"/>
        </w:rPr>
        <w:t>充装人员应穿戴符合安全要求的劳动防护用品，持证上岗作业，充装站应按照一人一机配置充装人员，严禁无证人员持枪充气。</w:t>
      </w:r>
    </w:p>
    <w:p w14:paraId="51C0CA55">
      <w:pPr>
        <w:pStyle w:val="165"/>
      </w:pPr>
      <w:r>
        <w:rPr>
          <w:rFonts w:hint="eastAsia"/>
        </w:rPr>
        <w:t>充装单位应当对气瓶安全总监和气瓶安全员进行法律法规、标准和专业知识培训、考核，同时对培训、考核情况予以记录并存档备查。</w:t>
      </w:r>
    </w:p>
    <w:p w14:paraId="2599D3D2">
      <w:pPr>
        <w:pStyle w:val="165"/>
      </w:pPr>
      <w:r>
        <w:rPr>
          <w:rFonts w:hint="eastAsia" w:hAnsi="宋体" w:cs="宋体"/>
          <w:szCs w:val="21"/>
        </w:rPr>
        <w:t>驾驶员在加气站充气过程中应遵守加气站的各项安全规定，服从站内安全管理人员、充装操作人员的安全管理。</w:t>
      </w:r>
    </w:p>
    <w:p w14:paraId="2CE3AAF5">
      <w:pPr>
        <w:pStyle w:val="105"/>
        <w:spacing w:before="156" w:after="156"/>
      </w:pPr>
      <w:r>
        <w:rPr>
          <w:rFonts w:hint="eastAsia"/>
        </w:rPr>
        <w:t>充装设施</w:t>
      </w:r>
    </w:p>
    <w:p w14:paraId="7179EE91">
      <w:pPr>
        <w:pStyle w:val="165"/>
      </w:pPr>
      <w:r>
        <w:rPr>
          <w:rFonts w:hint="eastAsia" w:hAnsi="宋体" w:cs="宋体"/>
          <w:szCs w:val="21"/>
        </w:rPr>
        <w:t>车用天然气气瓶充装站压力容器应按照TSG 08办理使用登记手续，并按照TSG 21规定进行定期检验</w:t>
      </w:r>
      <w:r>
        <w:rPr>
          <w:rFonts w:hint="eastAsia"/>
        </w:rPr>
        <w:t>。</w:t>
      </w:r>
    </w:p>
    <w:p w14:paraId="201C140F">
      <w:pPr>
        <w:pStyle w:val="165"/>
      </w:pPr>
      <w:r>
        <w:rPr>
          <w:rFonts w:hint="eastAsia" w:hAnsi="宋体" w:cs="宋体"/>
          <w:szCs w:val="21"/>
        </w:rPr>
        <w:t>加气机的进气管道上宜设置防撞事故自动切断阀，加气机的加气软管上应设拉断阀，充装设备应当装设紧急切断系统</w:t>
      </w:r>
      <w:r>
        <w:rPr>
          <w:rFonts w:hint="eastAsia"/>
        </w:rPr>
        <w:t>。</w:t>
      </w:r>
    </w:p>
    <w:p w14:paraId="42C9A8AF">
      <w:pPr>
        <w:pStyle w:val="165"/>
      </w:pPr>
      <w:r>
        <w:rPr>
          <w:rFonts w:hint="eastAsia" w:hAnsi="宋体" w:cs="宋体"/>
          <w:szCs w:val="21"/>
        </w:rPr>
        <w:t>加气机和卸车作业附近、储气设施附近应设安全防撞栏</w:t>
      </w:r>
      <w:r>
        <w:rPr>
          <w:rFonts w:hint="eastAsia"/>
        </w:rPr>
        <w:t>。</w:t>
      </w:r>
    </w:p>
    <w:p w14:paraId="71330ADF">
      <w:pPr>
        <w:pStyle w:val="165"/>
      </w:pPr>
      <w:r>
        <w:rPr>
          <w:rFonts w:hint="eastAsia" w:hAnsi="宋体" w:cs="宋体"/>
          <w:szCs w:val="21"/>
        </w:rPr>
        <w:t>车用天然气气瓶充装站的各计量器具、安全附件等应按相应规范、规定要求进行检定或校验合格。站内重点或关键部位应按照GB 50156的相关要求设置可燃气体检测报警系统。可燃气体检测仪报警（上限）设定值应小于或等于可燃气体爆炸下限浓度（以体积百分数表示）值的25%</w:t>
      </w:r>
      <w:r>
        <w:rPr>
          <w:rFonts w:hint="eastAsia"/>
        </w:rPr>
        <w:t>。</w:t>
      </w:r>
    </w:p>
    <w:p w14:paraId="2A5AC214">
      <w:pPr>
        <w:pStyle w:val="165"/>
      </w:pPr>
      <w:r>
        <w:rPr>
          <w:rFonts w:hint="eastAsia" w:hAnsi="宋体" w:cs="宋体"/>
          <w:szCs w:val="21"/>
        </w:rPr>
        <w:t>车用天然气气瓶充装站的废液应封闭回收，严禁直接排入下水道</w:t>
      </w:r>
      <w:r>
        <w:rPr>
          <w:rFonts w:hint="eastAsia"/>
        </w:rPr>
        <w:t>。</w:t>
      </w:r>
    </w:p>
    <w:p w14:paraId="410400CA">
      <w:pPr>
        <w:pStyle w:val="165"/>
      </w:pPr>
      <w:r>
        <w:rPr>
          <w:rFonts w:hint="eastAsia" w:hAnsi="宋体" w:cs="宋体"/>
          <w:szCs w:val="21"/>
        </w:rPr>
        <w:t>车用天然气气瓶充装站应按照GB 50156的相关要求设置防雷防静电设施，防雷装置应当每半年检测一次</w:t>
      </w:r>
      <w:r>
        <w:rPr>
          <w:rFonts w:hint="eastAsia"/>
        </w:rPr>
        <w:t>。</w:t>
      </w:r>
    </w:p>
    <w:p w14:paraId="3E00E91D">
      <w:pPr>
        <w:pStyle w:val="104"/>
        <w:spacing w:before="312" w:after="312"/>
      </w:pPr>
      <w:r>
        <w:rPr>
          <w:rFonts w:hint="eastAsia"/>
        </w:rPr>
        <w:t>充装安全</w:t>
      </w:r>
    </w:p>
    <w:p w14:paraId="3EEB24D1">
      <w:pPr>
        <w:pStyle w:val="105"/>
        <w:spacing w:before="156" w:after="156"/>
      </w:pPr>
      <w:r>
        <w:rPr>
          <w:rFonts w:hint="eastAsia"/>
        </w:rPr>
        <w:t>充装准备</w:t>
      </w:r>
    </w:p>
    <w:p w14:paraId="1DE42131">
      <w:pPr>
        <w:pStyle w:val="165"/>
      </w:pPr>
      <w:r>
        <w:rPr>
          <w:rFonts w:hint="eastAsia"/>
        </w:rPr>
        <w:t>充装单位应定期对加气站的调压计量系统、气体压缩系统、气体储存系统、设备控制系统和售气系统、管道系统、供电系统以及各仪器仪表、检漏报警装置等进行经常性检查，保证各系统正常完好。定期对充装站防雷、防静电、消防与给排水等配套设施进行巡回安全检查。</w:t>
      </w:r>
    </w:p>
    <w:p w14:paraId="7FD49254">
      <w:pPr>
        <w:pStyle w:val="165"/>
      </w:pPr>
      <w:r>
        <w:rPr>
          <w:rFonts w:hint="eastAsia" w:ascii="Calibri" w:hAnsi="Calibri"/>
        </w:rPr>
        <w:t>每班应有安全员负责充装站安全巡回检查工作</w:t>
      </w:r>
      <w:r>
        <w:rPr>
          <w:rFonts w:hint="eastAsia"/>
        </w:rPr>
        <w:t>。</w:t>
      </w:r>
    </w:p>
    <w:p w14:paraId="3C914E74">
      <w:pPr>
        <w:pStyle w:val="165"/>
      </w:pPr>
      <w:r>
        <w:rPr>
          <w:rFonts w:hint="eastAsia" w:hAnsi="宋体" w:cs="宋体"/>
          <w:szCs w:val="21"/>
        </w:rPr>
        <w:t>作业前应检查充装站周围环境，车辆行进路线以及车辆摆放位置等是否符合要求。消防器材和应急处理器具配置应符合要求</w:t>
      </w:r>
      <w:r>
        <w:rPr>
          <w:rFonts w:hint="eastAsia"/>
        </w:rPr>
        <w:t>。</w:t>
      </w:r>
    </w:p>
    <w:p w14:paraId="306E53F0">
      <w:pPr>
        <w:pStyle w:val="165"/>
      </w:pPr>
      <w:r>
        <w:rPr>
          <w:rFonts w:hint="eastAsia" w:hAnsi="宋体" w:cs="宋体"/>
          <w:szCs w:val="21"/>
        </w:rPr>
        <w:t>检查加气软管是否符合GB 51102及GB 50156规定要求，有无磨损、腐蚀，接地性能是否良好</w:t>
      </w:r>
      <w:r>
        <w:rPr>
          <w:rFonts w:hint="eastAsia"/>
        </w:rPr>
        <w:t>。</w:t>
      </w:r>
    </w:p>
    <w:p w14:paraId="179C695D">
      <w:pPr>
        <w:pStyle w:val="165"/>
      </w:pPr>
      <w:r>
        <w:rPr>
          <w:rFonts w:hint="eastAsia" w:hAnsi="宋体" w:cs="宋体"/>
          <w:szCs w:val="21"/>
        </w:rPr>
        <w:t>充装人员交接班时应按要求准备充装记录样表，填写交接班记录和安全检查记录、故障检查等记录</w:t>
      </w:r>
      <w:r>
        <w:rPr>
          <w:rFonts w:hint="eastAsia"/>
        </w:rPr>
        <w:t>。</w:t>
      </w:r>
    </w:p>
    <w:p w14:paraId="7D42D1E5">
      <w:pPr>
        <w:pStyle w:val="105"/>
        <w:spacing w:before="156" w:after="156"/>
      </w:pPr>
      <w:r>
        <w:rPr>
          <w:rFonts w:hint="eastAsia"/>
        </w:rPr>
        <w:t>充装前安全要求</w:t>
      </w:r>
    </w:p>
    <w:p w14:paraId="59E6E74F">
      <w:pPr>
        <w:pStyle w:val="165"/>
      </w:pPr>
      <w:r>
        <w:rPr>
          <w:rFonts w:hint="eastAsia" w:hAnsi="宋体" w:cs="宋体"/>
          <w:szCs w:val="21"/>
        </w:rPr>
        <w:t>充装人员应指挥加气车辆按指定入口驶入并按指定位置停放，车辆内乘客应下车在站外指定区域等候。驾驶员必须下车等候，但不得远离作业现场，不得清扫、维修车辆，不得在充装站内使用手机等通讯工具。进入站内的汽车车速不得超过5km/h。禁止非充装车辆进入站内充装区</w:t>
      </w:r>
      <w:r>
        <w:rPr>
          <w:rFonts w:hint="eastAsia"/>
        </w:rPr>
        <w:t>。</w:t>
      </w:r>
    </w:p>
    <w:p w14:paraId="4E4BBC2E">
      <w:pPr>
        <w:pStyle w:val="165"/>
      </w:pPr>
      <w:r>
        <w:rPr>
          <w:rFonts w:hint="eastAsia" w:hAnsi="宋体" w:cs="宋体"/>
          <w:szCs w:val="21"/>
        </w:rPr>
        <w:t>驾驶员应按照充装人员指导将汽车发动机熄火，关闭车内音响等电子设备，并拉起手动刹车，确保车辆不得自行移动滑行。夜间应关闭车灯</w:t>
      </w:r>
      <w:r>
        <w:rPr>
          <w:rFonts w:hint="eastAsia"/>
        </w:rPr>
        <w:t>。</w:t>
      </w:r>
    </w:p>
    <w:p w14:paraId="0DE42E9B">
      <w:pPr>
        <w:pStyle w:val="165"/>
      </w:pPr>
      <w:r>
        <w:rPr>
          <w:rFonts w:hint="eastAsia" w:hAnsi="宋体" w:cs="宋体"/>
          <w:szCs w:val="21"/>
        </w:rPr>
        <w:t>充装检查人员必须查验《车用气瓶使用登记证》、压缩天然气（CNG）充气标志，确认车用压缩天然气气瓶是否在检验有效期内</w:t>
      </w:r>
      <w:r>
        <w:rPr>
          <w:rFonts w:hint="eastAsia"/>
        </w:rPr>
        <w:t>。</w:t>
      </w:r>
    </w:p>
    <w:p w14:paraId="2D7C55B7">
      <w:pPr>
        <w:pStyle w:val="165"/>
      </w:pPr>
      <w:r>
        <w:rPr>
          <w:rFonts w:hint="eastAsia" w:hAnsi="宋体" w:cs="宋体"/>
          <w:szCs w:val="21"/>
        </w:rPr>
        <w:t>充装检查人员充装前必须打开气瓶遮盖物，检查气瓶有无异常现象，确认气瓶种类</w:t>
      </w:r>
      <w:r>
        <w:rPr>
          <w:rFonts w:hint="eastAsia"/>
        </w:rPr>
        <w:t>。</w:t>
      </w:r>
    </w:p>
    <w:p w14:paraId="2250A1F0">
      <w:pPr>
        <w:pStyle w:val="165"/>
      </w:pPr>
      <w:r>
        <w:rPr>
          <w:rFonts w:hint="eastAsia" w:hAnsi="宋体" w:cs="宋体"/>
          <w:szCs w:val="21"/>
        </w:rPr>
        <w:t>充装检查人员应采用可燃气体检测仪等设备或涂液法（发泡液）等方法检查气瓶、阀门、减压阀及输气管路有无泄漏等异常情况</w:t>
      </w:r>
      <w:r>
        <w:rPr>
          <w:rFonts w:hint="eastAsia"/>
        </w:rPr>
        <w:t>。</w:t>
      </w:r>
    </w:p>
    <w:p w14:paraId="30D26289">
      <w:pPr>
        <w:pStyle w:val="165"/>
      </w:pPr>
      <w:r>
        <w:rPr>
          <w:rFonts w:hint="eastAsia" w:hAnsi="宋体" w:cs="宋体"/>
          <w:szCs w:val="21"/>
        </w:rPr>
        <w:t>充装检查人员检查气体来源处压力、温度指示是否正常，充气压力应不大于25MPa。</w:t>
      </w:r>
    </w:p>
    <w:p w14:paraId="4FAF0909">
      <w:pPr>
        <w:pStyle w:val="165"/>
      </w:pPr>
      <w:r>
        <w:rPr>
          <w:rFonts w:hint="eastAsia" w:hAnsi="宋体" w:cs="宋体"/>
          <w:szCs w:val="21"/>
        </w:rPr>
        <w:t>存在下列情况之一的车用气瓶严禁充装</w:t>
      </w:r>
      <w:r>
        <w:rPr>
          <w:rFonts w:hint="eastAsia"/>
        </w:rPr>
        <w:t>：</w:t>
      </w:r>
    </w:p>
    <w:p w14:paraId="5B799DB5">
      <w:pPr>
        <w:pStyle w:val="174"/>
      </w:pPr>
      <w:r>
        <w:rPr>
          <w:rFonts w:hint="eastAsia" w:hAnsi="宋体" w:cs="宋体"/>
          <w:szCs w:val="21"/>
        </w:rPr>
        <w:t>无车用气瓶使用登记证或者使用登记信息与车用气瓶、汽车信息不一致的</w:t>
      </w:r>
      <w:r>
        <w:rPr>
          <w:rFonts w:hint="eastAsia"/>
        </w:rPr>
        <w:t>；</w:t>
      </w:r>
    </w:p>
    <w:p w14:paraId="7A8403C1">
      <w:pPr>
        <w:pStyle w:val="174"/>
      </w:pPr>
      <w:r>
        <w:rPr>
          <w:rFonts w:hint="eastAsia" w:hAnsi="宋体" w:cs="宋体"/>
          <w:szCs w:val="21"/>
        </w:rPr>
        <w:t>超过检验期限或者</w:t>
      </w:r>
      <w:r>
        <w:rPr>
          <w:rFonts w:hint="eastAsia" w:hAnsi="宋体" w:cs="宋体"/>
        </w:rPr>
        <w:t>依据</w:t>
      </w:r>
      <w:r>
        <w:rPr>
          <w:rFonts w:hAnsi="宋体" w:cs="宋体"/>
        </w:rPr>
        <w:t>GB/T 19533</w:t>
      </w:r>
      <w:r>
        <w:rPr>
          <w:rFonts w:hint="eastAsia" w:hAnsi="宋体" w:cs="宋体"/>
        </w:rPr>
        <w:t>标准</w:t>
      </w:r>
      <w:r>
        <w:rPr>
          <w:rFonts w:hint="eastAsia" w:hAnsi="宋体" w:cs="宋体"/>
          <w:szCs w:val="21"/>
        </w:rPr>
        <w:t>定期检验不合格的或者报废的、或者超过设计使用年限的</w:t>
      </w:r>
      <w:r>
        <w:rPr>
          <w:rFonts w:hint="eastAsia"/>
        </w:rPr>
        <w:t>；</w:t>
      </w:r>
    </w:p>
    <w:p w14:paraId="3A21082B">
      <w:pPr>
        <w:pStyle w:val="174"/>
      </w:pPr>
      <w:r>
        <w:rPr>
          <w:rFonts w:hint="eastAsia" w:hAnsi="宋体" w:cs="宋体"/>
          <w:szCs w:val="21"/>
        </w:rPr>
        <w:t>新瓶或者定期检验后的气瓶首次充装，未经置换或者抽真空处理的</w:t>
      </w:r>
      <w:r>
        <w:rPr>
          <w:rFonts w:hint="eastAsia"/>
        </w:rPr>
        <w:t>；</w:t>
      </w:r>
    </w:p>
    <w:p w14:paraId="30A05071">
      <w:pPr>
        <w:pStyle w:val="174"/>
      </w:pPr>
      <w:r>
        <w:rPr>
          <w:rFonts w:hint="eastAsia" w:hAnsi="宋体" w:cs="宋体"/>
          <w:szCs w:val="21"/>
        </w:rPr>
        <w:t>对气瓶及其燃气系统安全性有怀疑的、车用气瓶或者装置不符合条件的</w:t>
      </w:r>
      <w:r>
        <w:rPr>
          <w:rFonts w:hint="eastAsia"/>
        </w:rPr>
        <w:t>；</w:t>
      </w:r>
    </w:p>
    <w:p w14:paraId="6E802276">
      <w:pPr>
        <w:pStyle w:val="174"/>
      </w:pPr>
      <w:r>
        <w:rPr>
          <w:rFonts w:hint="eastAsia" w:hAnsi="宋体" w:cs="宋体"/>
          <w:szCs w:val="21"/>
        </w:rPr>
        <w:t>使用期限超过设计寿命的；</w:t>
      </w:r>
    </w:p>
    <w:p w14:paraId="1EAD74F0">
      <w:pPr>
        <w:pStyle w:val="174"/>
      </w:pPr>
      <w:r>
        <w:rPr>
          <w:rFonts w:hint="eastAsia" w:hAnsi="宋体" w:cs="宋体"/>
          <w:szCs w:val="21"/>
        </w:rPr>
        <w:t>燃气汽车司乘人员尚未离开车辆；</w:t>
      </w:r>
    </w:p>
    <w:p w14:paraId="43EBF2BE">
      <w:pPr>
        <w:pStyle w:val="174"/>
      </w:pPr>
      <w:r>
        <w:rPr>
          <w:rFonts w:hint="eastAsia" w:hAnsi="宋体" w:cs="宋体"/>
          <w:szCs w:val="21"/>
        </w:rPr>
        <w:t>气瓶内无剩余压力的；</w:t>
      </w:r>
    </w:p>
    <w:p w14:paraId="40152823">
      <w:pPr>
        <w:pStyle w:val="174"/>
      </w:pPr>
      <w:r>
        <w:rPr>
          <w:rFonts w:hint="eastAsia" w:hAnsi="宋体" w:cs="宋体"/>
          <w:szCs w:val="21"/>
        </w:rPr>
        <w:t>气瓶上钢印标记、颜色标记不符合规定、对瓶内介质未确认的；</w:t>
      </w:r>
    </w:p>
    <w:p w14:paraId="480E2255">
      <w:pPr>
        <w:pStyle w:val="174"/>
      </w:pPr>
      <w:r>
        <w:rPr>
          <w:rFonts w:hint="eastAsia" w:hAnsi="宋体" w:cs="宋体"/>
          <w:szCs w:val="21"/>
        </w:rPr>
        <w:t>附件损坏、不全或不符合规定的；</w:t>
      </w:r>
    </w:p>
    <w:p w14:paraId="4A57D793">
      <w:pPr>
        <w:pStyle w:val="174"/>
      </w:pPr>
      <w:r>
        <w:rPr>
          <w:rFonts w:hint="eastAsia" w:hAnsi="宋体" w:cs="宋体"/>
          <w:szCs w:val="21"/>
        </w:rPr>
        <w:t>外观检查，存在明显损伤，需进一步检验的；</w:t>
      </w:r>
    </w:p>
    <w:p w14:paraId="7B508F48">
      <w:pPr>
        <w:pStyle w:val="174"/>
      </w:pPr>
      <w:r>
        <w:rPr>
          <w:rFonts w:hint="eastAsia" w:hAnsi="宋体" w:cs="宋体"/>
          <w:szCs w:val="21"/>
        </w:rPr>
        <w:t>存在其他危及安全的情况。</w:t>
      </w:r>
    </w:p>
    <w:p w14:paraId="0E532302">
      <w:pPr>
        <w:pStyle w:val="105"/>
        <w:spacing w:before="156" w:after="156"/>
      </w:pPr>
      <w:r>
        <w:rPr>
          <w:rFonts w:hint="eastAsia"/>
        </w:rPr>
        <w:t>充装过程要求</w:t>
      </w:r>
    </w:p>
    <w:p w14:paraId="0B07E992">
      <w:pPr>
        <w:pStyle w:val="165"/>
      </w:pPr>
      <w:r>
        <w:rPr>
          <w:rFonts w:hint="eastAsia" w:ascii="Calibri" w:hAnsi="Calibri"/>
        </w:rPr>
        <w:t>车用气瓶的充装单位应当按TSG 23要求采用信息化手段对气瓶充装进行可追溯控制和记录</w:t>
      </w:r>
      <w:r>
        <w:rPr>
          <w:rFonts w:hint="eastAsia"/>
        </w:rPr>
        <w:t>。</w:t>
      </w:r>
    </w:p>
    <w:p w14:paraId="526C8002">
      <w:pPr>
        <w:pStyle w:val="165"/>
      </w:pPr>
      <w:r>
        <w:rPr>
          <w:rFonts w:hint="eastAsia" w:hAnsi="宋体" w:cs="宋体"/>
          <w:szCs w:val="21"/>
        </w:rPr>
        <w:t>充装人员对充装前安全检查确认合格无误后方可充装操作</w:t>
      </w:r>
      <w:r>
        <w:rPr>
          <w:rFonts w:hint="eastAsia"/>
        </w:rPr>
        <w:t>。</w:t>
      </w:r>
    </w:p>
    <w:p w14:paraId="4CF19594">
      <w:pPr>
        <w:pStyle w:val="165"/>
      </w:pPr>
      <w:r>
        <w:rPr>
          <w:rFonts w:hint="eastAsia" w:hAnsi="宋体" w:cs="宋体"/>
          <w:szCs w:val="21"/>
        </w:rPr>
        <w:t>充装人员应检查加气枪与车辆加气口连接，确认紧固可靠</w:t>
      </w:r>
      <w:r>
        <w:rPr>
          <w:rFonts w:hint="eastAsia"/>
        </w:rPr>
        <w:t>。</w:t>
      </w:r>
    </w:p>
    <w:p w14:paraId="79B2960B">
      <w:pPr>
        <w:pStyle w:val="165"/>
      </w:pPr>
      <w:r>
        <w:rPr>
          <w:rFonts w:hint="eastAsia" w:hAnsi="宋体" w:cs="宋体"/>
          <w:szCs w:val="21"/>
        </w:rPr>
        <w:t>作业时加气胶(软)管不得交叉、绕过其他设备或缠绕在其他设备上</w:t>
      </w:r>
      <w:r>
        <w:rPr>
          <w:rFonts w:hint="eastAsia"/>
        </w:rPr>
        <w:t>。</w:t>
      </w:r>
    </w:p>
    <w:p w14:paraId="4B2A2E41">
      <w:pPr>
        <w:pStyle w:val="165"/>
      </w:pPr>
      <w:r>
        <w:rPr>
          <w:rFonts w:hint="eastAsia" w:hAnsi="宋体" w:cs="宋体"/>
          <w:szCs w:val="21"/>
        </w:rPr>
        <w:t>充装过程按规定进行操作，开启进气阀门应缓慢</w:t>
      </w:r>
      <w:r>
        <w:rPr>
          <w:rFonts w:hint="eastAsia"/>
        </w:rPr>
        <w:t>。</w:t>
      </w:r>
    </w:p>
    <w:p w14:paraId="45781AD1">
      <w:pPr>
        <w:pStyle w:val="165"/>
      </w:pPr>
      <w:r>
        <w:rPr>
          <w:rFonts w:hint="eastAsia" w:hAnsi="宋体" w:cs="宋体"/>
          <w:szCs w:val="21"/>
        </w:rPr>
        <w:t>充装作业时应注意观察流量、压力及温度，加气机流量不应大于0.25m</w:t>
      </w:r>
      <w:r>
        <w:rPr>
          <w:rFonts w:hint="eastAsia" w:hAnsi="宋体" w:cs="宋体"/>
          <w:szCs w:val="21"/>
          <w:vertAlign w:val="superscript"/>
        </w:rPr>
        <w:t xml:space="preserve">3 </w:t>
      </w:r>
      <w:r>
        <w:rPr>
          <w:rFonts w:hint="eastAsia" w:hAnsi="宋体" w:cs="宋体"/>
          <w:szCs w:val="21"/>
        </w:rPr>
        <w:t>/min(工作状态)，工作压力不得超过20MPa。</w:t>
      </w:r>
    </w:p>
    <w:p w14:paraId="52D3838A">
      <w:pPr>
        <w:pStyle w:val="165"/>
      </w:pPr>
      <w:r>
        <w:rPr>
          <w:rFonts w:hint="eastAsia" w:hAnsi="宋体" w:cs="宋体"/>
          <w:szCs w:val="21"/>
        </w:rPr>
        <w:t>充装作业中，充装人员严禁将加气枪交给顾客操作，不得擅自离开正在加气的车辆。</w:t>
      </w:r>
    </w:p>
    <w:p w14:paraId="6B379857">
      <w:pPr>
        <w:pStyle w:val="165"/>
      </w:pPr>
      <w:r>
        <w:rPr>
          <w:rFonts w:hint="eastAsia" w:hAnsi="宋体" w:cs="宋体"/>
          <w:szCs w:val="21"/>
        </w:rPr>
        <w:t>加气过程中如发生气体泄漏时，应立即关闭车辆气瓶阀门，按下现场紧急关闭</w:t>
      </w:r>
      <w:r>
        <w:rPr>
          <w:rFonts w:hint="eastAsia" w:hAnsi="宋体" w:cs="宋体"/>
          <w:szCs w:val="21"/>
          <w:lang w:eastAsia="zh-CN"/>
        </w:rPr>
        <w:t>按钮</w:t>
      </w:r>
      <w:r>
        <w:rPr>
          <w:rFonts w:hint="eastAsia" w:hAnsi="宋体" w:cs="宋体"/>
          <w:szCs w:val="21"/>
        </w:rPr>
        <w:t>，把气体泄漏量控制在最小范围。</w:t>
      </w:r>
    </w:p>
    <w:p w14:paraId="5A64B749">
      <w:pPr>
        <w:pStyle w:val="165"/>
      </w:pPr>
      <w:r>
        <w:rPr>
          <w:rFonts w:hint="eastAsia" w:hAnsi="宋体" w:cs="宋体"/>
          <w:szCs w:val="21"/>
        </w:rPr>
        <w:t>在充装过程中，应严密观察气瓶状况，如发现气瓶瓶体温度异常等现象，必须立即停止充装，查明原因。</w:t>
      </w:r>
    </w:p>
    <w:p w14:paraId="4F527E6C">
      <w:pPr>
        <w:pStyle w:val="165"/>
        <w:rPr>
          <w:rFonts w:ascii="黑体" w:eastAsia="黑体"/>
        </w:rPr>
      </w:pPr>
      <w:r>
        <w:rPr>
          <w:rFonts w:hint="eastAsia" w:hAnsi="宋体" w:cs="宋体"/>
          <w:szCs w:val="21"/>
        </w:rPr>
        <w:t>确认充装过程无异常，气瓶充装压力达到标准规定要求（最高不超过20MPa）时，关闭充装口阀门，由充装人员拆卸加气软管，放置好加气枪，扣好充装口保护盖。严禁超压充装。</w:t>
      </w:r>
    </w:p>
    <w:p w14:paraId="1DCDDBDE">
      <w:pPr>
        <w:pStyle w:val="105"/>
        <w:spacing w:before="156" w:after="156"/>
      </w:pPr>
      <w:r>
        <w:rPr>
          <w:rFonts w:hint="eastAsia"/>
        </w:rPr>
        <w:t>充装后要求</w:t>
      </w:r>
    </w:p>
    <w:p w14:paraId="7E8C4FA0">
      <w:pPr>
        <w:pStyle w:val="165"/>
      </w:pPr>
      <w:r>
        <w:rPr>
          <w:rFonts w:hint="eastAsia" w:hAnsi="宋体" w:cs="宋体"/>
          <w:szCs w:val="21"/>
        </w:rPr>
        <w:t>充装后充装检查人员应按5.2.5条规定方法检查气瓶、阀门、减压阀及输气管路有无泄漏等异常情况</w:t>
      </w:r>
      <w:r>
        <w:rPr>
          <w:rFonts w:hint="eastAsia"/>
        </w:rPr>
        <w:t>。</w:t>
      </w:r>
    </w:p>
    <w:p w14:paraId="7C86AE39">
      <w:pPr>
        <w:pStyle w:val="165"/>
      </w:pPr>
      <w:r>
        <w:rPr>
          <w:rFonts w:hint="eastAsia" w:hAnsi="宋体" w:cs="宋体"/>
          <w:szCs w:val="21"/>
        </w:rPr>
        <w:t>充装后如发现燃气泄漏、管路损坏、供气系统异常，应迅速查明原因，并启动应急预案，采取应急措施</w:t>
      </w:r>
      <w:r>
        <w:rPr>
          <w:rFonts w:hint="eastAsia"/>
        </w:rPr>
        <w:t>。</w:t>
      </w:r>
    </w:p>
    <w:p w14:paraId="4BE8051A">
      <w:pPr>
        <w:pStyle w:val="165"/>
      </w:pPr>
      <w:r>
        <w:rPr>
          <w:rFonts w:hint="eastAsia" w:ascii="Calibri" w:hAnsi="Calibri"/>
        </w:rPr>
        <w:t>充装单位应建立充装电子档案记录。内容至少包括车牌号、气瓶使用登记编号、充装前后的检查结果、充装量、充装人员、充装时间等。充装信息平台追溯信息记录和凭证保存期限应当不少于气瓶的一个检验周期。</w:t>
      </w:r>
    </w:p>
    <w:p w14:paraId="6204294F">
      <w:pPr>
        <w:pStyle w:val="165"/>
      </w:pPr>
      <w:r>
        <w:rPr>
          <w:rFonts w:hint="eastAsia" w:hAnsi="宋体" w:cs="宋体"/>
          <w:szCs w:val="21"/>
        </w:rPr>
        <w:t>充装检查人员对上述各项检查完毕，确认无误后，盖上车盖，与驾驶员通报充装安全情况，并通知其启动车辆，按指定路线驶离充装站。</w:t>
      </w:r>
    </w:p>
    <w:p w14:paraId="178788AB">
      <w:pPr>
        <w:pStyle w:val="104"/>
        <w:spacing w:before="312" w:after="312"/>
      </w:pPr>
      <w:r>
        <w:rPr>
          <w:rFonts w:hint="eastAsia"/>
        </w:rPr>
        <w:t>应急管理</w:t>
      </w:r>
    </w:p>
    <w:p w14:paraId="2FC67D15">
      <w:pPr>
        <w:pStyle w:val="162"/>
      </w:pPr>
      <w:r>
        <w:rPr>
          <w:rFonts w:hint="eastAsia" w:hAnsi="宋体" w:cs="宋体"/>
          <w:szCs w:val="21"/>
        </w:rPr>
        <w:t>车用气瓶充装单位应制订符合本单位实际情况的事故应急救援预案，明确应急救援的指挥和协调机构, 涉及的应急救援人员分工和职责划分, 应急设备设施, 紧急处置、人员疏散、抢险、医疗等急救措施方案, 社会支持救助方案, 应急救援组织的训练和演习等</w:t>
      </w:r>
      <w:r>
        <w:rPr>
          <w:rFonts w:hint="eastAsia"/>
        </w:rPr>
        <w:t>。</w:t>
      </w:r>
    </w:p>
    <w:p w14:paraId="34BB9851">
      <w:pPr>
        <w:pStyle w:val="162"/>
      </w:pPr>
      <w:r>
        <w:rPr>
          <w:rFonts w:hint="eastAsia" w:ascii="Calibri" w:hAnsi="Calibri"/>
        </w:rPr>
        <w:t>应急预案一般应每半年演练一次，并有演练记录和演练现场照片，</w:t>
      </w:r>
      <w:r>
        <w:rPr>
          <w:rFonts w:hint="eastAsia" w:hAnsi="宋体" w:cs="宋体"/>
          <w:szCs w:val="21"/>
        </w:rPr>
        <w:t>并将演练情况报送相关部门备案</w:t>
      </w:r>
      <w:r>
        <w:rPr>
          <w:rFonts w:hint="eastAsia"/>
        </w:rPr>
        <w:t>。</w:t>
      </w:r>
    </w:p>
    <w:p w14:paraId="61F23820">
      <w:pPr>
        <w:pStyle w:val="162"/>
        <w:rPr>
          <w:color w:val="FF0000"/>
        </w:rPr>
      </w:pPr>
      <w:r>
        <w:rPr>
          <w:rFonts w:hint="eastAsia" w:hAnsi="宋体" w:cs="宋体"/>
          <w:szCs w:val="21"/>
        </w:rPr>
        <w:t>车用气瓶充装单位应及时修订和完善应急预案,保证应急预案的有效性和可操作性</w:t>
      </w:r>
      <w:r>
        <w:rPr>
          <w:rFonts w:hint="eastAsia"/>
        </w:rPr>
        <w:t>。</w:t>
      </w:r>
      <w:bookmarkEnd w:id="22"/>
      <w:bookmarkStart w:id="48" w:name="BookMark5"/>
    </w:p>
    <w:p w14:paraId="45764AD9">
      <w:pPr>
        <w:pStyle w:val="199"/>
        <w:rPr>
          <w:vanish w:val="0"/>
        </w:rPr>
      </w:pPr>
    </w:p>
    <w:bookmarkEnd w:id="48"/>
    <w:p w14:paraId="1BBC6A4F">
      <w:pPr>
        <w:pStyle w:val="56"/>
        <w:ind w:firstLine="0" w:firstLineChars="0"/>
      </w:pPr>
      <w:bookmarkStart w:id="49" w:name="BookMark8"/>
    </w:p>
    <w:p w14:paraId="22A21B7A">
      <w:pPr>
        <w:pStyle w:val="56"/>
        <w:ind w:firstLine="0" w:firstLineChars="0"/>
        <w:jc w:val="center"/>
      </w:pPr>
      <w:r>
        <w:rPr>
          <w:rFonts w:hint="eastAsia"/>
        </w:rPr>
        <w:drawing>
          <wp:inline distT="0" distB="0" distL="0" distR="0">
            <wp:extent cx="1485900" cy="317500"/>
            <wp:effectExtent l="0" t="0" r="0" b="6350"/>
            <wp:docPr id="1546973231" name="图片 2"/>
            <wp:cNvGraphicFramePr/>
            <a:graphic xmlns:a="http://schemas.openxmlformats.org/drawingml/2006/main">
              <a:graphicData uri="http://schemas.openxmlformats.org/drawingml/2006/picture">
                <pic:pic xmlns:pic="http://schemas.openxmlformats.org/drawingml/2006/picture">
                  <pic:nvPicPr>
                    <pic:cNvPr id="1546973231" name="图片 2"/>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p w14:paraId="50CEC60D">
      <w:pPr>
        <w:pStyle w:val="56"/>
        <w:ind w:firstLine="0" w:firstLineChars="0"/>
      </w:pPr>
    </w:p>
    <w:sectPr>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AD18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852E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20C3A">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AA46A">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76A6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DE78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103FD">
    <w:pPr>
      <w:pStyle w:val="61"/>
    </w:pPr>
    <w:r>
      <w:fldChar w:fldCharType="begin"/>
    </w:r>
    <w:r>
      <w:instrText xml:space="preserve"> STYLEREF  标准文件_文件编号  \* MERGEFORMAT </w:instrText>
    </w:r>
    <w:r>
      <w:fldChar w:fldCharType="separate"/>
    </w:r>
    <w:r>
      <w:t>DB34/T973—XXXX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50869">
    <w:pPr>
      <w:pStyle w:val="18"/>
      <w:jc w:val="right"/>
      <w:rPr>
        <w:lang w:val="fr-FR"/>
      </w:rPr>
    </w:pPr>
    <w:r>
      <w:fldChar w:fldCharType="begin"/>
    </w:r>
    <w:r>
      <w:instrText xml:space="preserve"> STYLEREF  标准文件_文件编号  \* MERGEFORMAT </w:instrText>
    </w:r>
    <w:r>
      <w:fldChar w:fldCharType="separate"/>
    </w:r>
    <w:r>
      <w:t>DB34/T973—XXXX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851"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993"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Y4MmNlYWEzYzhjNWQyM2EzODk5MDZjODFhN2QyNzUifQ=="/>
  </w:docVars>
  <w:rsids>
    <w:rsidRoot w:val="0087181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35D"/>
    <w:rsid w:val="00073C8C"/>
    <w:rsid w:val="00077B64"/>
    <w:rsid w:val="00080A1C"/>
    <w:rsid w:val="00082317"/>
    <w:rsid w:val="00083D2C"/>
    <w:rsid w:val="000864C2"/>
    <w:rsid w:val="00086AA1"/>
    <w:rsid w:val="0008705F"/>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C35"/>
    <w:rsid w:val="000B1FF2"/>
    <w:rsid w:val="000B3BD8"/>
    <w:rsid w:val="000B3CDA"/>
    <w:rsid w:val="000B6A0B"/>
    <w:rsid w:val="000C0F6C"/>
    <w:rsid w:val="000C11DB"/>
    <w:rsid w:val="000C1492"/>
    <w:rsid w:val="000C2FBD"/>
    <w:rsid w:val="000C4B41"/>
    <w:rsid w:val="000C57D6"/>
    <w:rsid w:val="000C6362"/>
    <w:rsid w:val="000C7666"/>
    <w:rsid w:val="000D0A9C"/>
    <w:rsid w:val="000D1795"/>
    <w:rsid w:val="000D329A"/>
    <w:rsid w:val="000D4A67"/>
    <w:rsid w:val="000D4B9C"/>
    <w:rsid w:val="000D4EB6"/>
    <w:rsid w:val="000D753B"/>
    <w:rsid w:val="000E4C9E"/>
    <w:rsid w:val="000E6FD7"/>
    <w:rsid w:val="000F0470"/>
    <w:rsid w:val="000F06E1"/>
    <w:rsid w:val="000F0E3C"/>
    <w:rsid w:val="000F19D5"/>
    <w:rsid w:val="000F4AEA"/>
    <w:rsid w:val="000F633F"/>
    <w:rsid w:val="000F67E9"/>
    <w:rsid w:val="00104926"/>
    <w:rsid w:val="00113B1E"/>
    <w:rsid w:val="001160FF"/>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F35"/>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27"/>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D7F"/>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28A"/>
    <w:rsid w:val="002C3F07"/>
    <w:rsid w:val="002C5278"/>
    <w:rsid w:val="002C7EBB"/>
    <w:rsid w:val="002D06C1"/>
    <w:rsid w:val="002D42B5"/>
    <w:rsid w:val="002D4F1A"/>
    <w:rsid w:val="002D6EC6"/>
    <w:rsid w:val="002D79AC"/>
    <w:rsid w:val="002E039D"/>
    <w:rsid w:val="002E4D5A"/>
    <w:rsid w:val="002E51B7"/>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35C7"/>
    <w:rsid w:val="00344605"/>
    <w:rsid w:val="003474AA"/>
    <w:rsid w:val="00350D1D"/>
    <w:rsid w:val="00352C83"/>
    <w:rsid w:val="0036075F"/>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A0C"/>
    <w:rsid w:val="00463B77"/>
    <w:rsid w:val="00463C7B"/>
    <w:rsid w:val="004644A6"/>
    <w:rsid w:val="004659BD"/>
    <w:rsid w:val="00466E4C"/>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76A"/>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FED"/>
    <w:rsid w:val="005801E3"/>
    <w:rsid w:val="00581802"/>
    <w:rsid w:val="005836A8"/>
    <w:rsid w:val="0058409C"/>
    <w:rsid w:val="00584262"/>
    <w:rsid w:val="00586630"/>
    <w:rsid w:val="00587ADD"/>
    <w:rsid w:val="00591E27"/>
    <w:rsid w:val="005960D2"/>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81F"/>
    <w:rsid w:val="005C7156"/>
    <w:rsid w:val="005D0C75"/>
    <w:rsid w:val="005D4171"/>
    <w:rsid w:val="005D6A95"/>
    <w:rsid w:val="005D6B2C"/>
    <w:rsid w:val="005D6D9C"/>
    <w:rsid w:val="005E2335"/>
    <w:rsid w:val="005E34CA"/>
    <w:rsid w:val="005E3C18"/>
    <w:rsid w:val="005E6812"/>
    <w:rsid w:val="005E7881"/>
    <w:rsid w:val="005E78E0"/>
    <w:rsid w:val="005F0ACC"/>
    <w:rsid w:val="005F0D9C"/>
    <w:rsid w:val="005F284E"/>
    <w:rsid w:val="005F4712"/>
    <w:rsid w:val="006015CE"/>
    <w:rsid w:val="00604784"/>
    <w:rsid w:val="00606419"/>
    <w:rsid w:val="00607D29"/>
    <w:rsid w:val="00612952"/>
    <w:rsid w:val="00614CC1"/>
    <w:rsid w:val="00614FCA"/>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43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B17"/>
    <w:rsid w:val="007E6D8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81F"/>
    <w:rsid w:val="00877626"/>
    <w:rsid w:val="00883F93"/>
    <w:rsid w:val="00884C6E"/>
    <w:rsid w:val="00884DB3"/>
    <w:rsid w:val="00885A9D"/>
    <w:rsid w:val="008864F6"/>
    <w:rsid w:val="0089049D"/>
    <w:rsid w:val="00892561"/>
    <w:rsid w:val="008928C9"/>
    <w:rsid w:val="008930CB"/>
    <w:rsid w:val="008938DC"/>
    <w:rsid w:val="00893FD1"/>
    <w:rsid w:val="00894836"/>
    <w:rsid w:val="00895172"/>
    <w:rsid w:val="00895680"/>
    <w:rsid w:val="00896DFF"/>
    <w:rsid w:val="0089762C"/>
    <w:rsid w:val="008A1893"/>
    <w:rsid w:val="008A3215"/>
    <w:rsid w:val="008A5066"/>
    <w:rsid w:val="008A57E6"/>
    <w:rsid w:val="008A6F81"/>
    <w:rsid w:val="008A769A"/>
    <w:rsid w:val="008B0C9C"/>
    <w:rsid w:val="008B166D"/>
    <w:rsid w:val="008B17F4"/>
    <w:rsid w:val="008B3615"/>
    <w:rsid w:val="008B4AC4"/>
    <w:rsid w:val="008B50C8"/>
    <w:rsid w:val="008B5281"/>
    <w:rsid w:val="008B7E05"/>
    <w:rsid w:val="008C1797"/>
    <w:rsid w:val="008C219C"/>
    <w:rsid w:val="008C2281"/>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0DD"/>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1F87"/>
    <w:rsid w:val="00913CA9"/>
    <w:rsid w:val="009145AE"/>
    <w:rsid w:val="009146CE"/>
    <w:rsid w:val="00914CA7"/>
    <w:rsid w:val="00915C3E"/>
    <w:rsid w:val="009161A8"/>
    <w:rsid w:val="00920692"/>
    <w:rsid w:val="009245F5"/>
    <w:rsid w:val="009249EC"/>
    <w:rsid w:val="009273B3"/>
    <w:rsid w:val="009275FA"/>
    <w:rsid w:val="009305B5"/>
    <w:rsid w:val="00935DDF"/>
    <w:rsid w:val="009429D5"/>
    <w:rsid w:val="00942BF1"/>
    <w:rsid w:val="00945180"/>
    <w:rsid w:val="00945428"/>
    <w:rsid w:val="0094607B"/>
    <w:rsid w:val="00950478"/>
    <w:rsid w:val="00950D62"/>
    <w:rsid w:val="00953604"/>
    <w:rsid w:val="0095496B"/>
    <w:rsid w:val="009610DC"/>
    <w:rsid w:val="00961490"/>
    <w:rsid w:val="00962D31"/>
    <w:rsid w:val="0096381A"/>
    <w:rsid w:val="00964244"/>
    <w:rsid w:val="00965E04"/>
    <w:rsid w:val="00966D6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1B4"/>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170"/>
    <w:rsid w:val="00A862D6"/>
    <w:rsid w:val="00A8715E"/>
    <w:rsid w:val="00A9295B"/>
    <w:rsid w:val="00A93B09"/>
    <w:rsid w:val="00A94247"/>
    <w:rsid w:val="00A952D7"/>
    <w:rsid w:val="00A963F7"/>
    <w:rsid w:val="00A96AD8"/>
    <w:rsid w:val="00AA052C"/>
    <w:rsid w:val="00AA1E45"/>
    <w:rsid w:val="00AA4286"/>
    <w:rsid w:val="00AA456B"/>
    <w:rsid w:val="00AA57F5"/>
    <w:rsid w:val="00AA5F44"/>
    <w:rsid w:val="00AA672E"/>
    <w:rsid w:val="00AA6EC9"/>
    <w:rsid w:val="00AB2E7C"/>
    <w:rsid w:val="00AB41D5"/>
    <w:rsid w:val="00AB6309"/>
    <w:rsid w:val="00AB6C5F"/>
    <w:rsid w:val="00AB7129"/>
    <w:rsid w:val="00AB7C3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5E9"/>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444"/>
    <w:rsid w:val="00B90D9E"/>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F1B"/>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6DB5"/>
    <w:rsid w:val="00C905FC"/>
    <w:rsid w:val="00C90B5A"/>
    <w:rsid w:val="00C92D03"/>
    <w:rsid w:val="00C9319C"/>
    <w:rsid w:val="00C93DF0"/>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09F"/>
    <w:rsid w:val="00CE0C4F"/>
    <w:rsid w:val="00CE30EA"/>
    <w:rsid w:val="00CF048A"/>
    <w:rsid w:val="00CF155A"/>
    <w:rsid w:val="00CF2947"/>
    <w:rsid w:val="00CF686F"/>
    <w:rsid w:val="00CF6E60"/>
    <w:rsid w:val="00CF7BCA"/>
    <w:rsid w:val="00D008FD"/>
    <w:rsid w:val="00D01E25"/>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00A8"/>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13B"/>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E2E"/>
    <w:rsid w:val="00E01138"/>
    <w:rsid w:val="00E0125F"/>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7A2"/>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C07"/>
    <w:rsid w:val="00E65137"/>
    <w:rsid w:val="00E658BB"/>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F53"/>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F58"/>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66F"/>
    <w:rsid w:val="00F25BB6"/>
    <w:rsid w:val="00F26B7E"/>
    <w:rsid w:val="00F27A3B"/>
    <w:rsid w:val="00F33817"/>
    <w:rsid w:val="00F420D5"/>
    <w:rsid w:val="00F451EA"/>
    <w:rsid w:val="00F45447"/>
    <w:rsid w:val="00F456C6"/>
    <w:rsid w:val="00F4577B"/>
    <w:rsid w:val="00F46496"/>
    <w:rsid w:val="00F474D0"/>
    <w:rsid w:val="00F50179"/>
    <w:rsid w:val="00F515EE"/>
    <w:rsid w:val="00F55343"/>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F3E"/>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14C"/>
    <w:rsid w:val="00FE3901"/>
    <w:rsid w:val="00FE39D3"/>
    <w:rsid w:val="00FE4BCE"/>
    <w:rsid w:val="00FE54AE"/>
    <w:rsid w:val="00FE576A"/>
    <w:rsid w:val="00FE7E79"/>
    <w:rsid w:val="00FF3E7D"/>
    <w:rsid w:val="00FF5B99"/>
    <w:rsid w:val="00FF730C"/>
    <w:rsid w:val="00FF73F4"/>
    <w:rsid w:val="00FF7CE4"/>
    <w:rsid w:val="00FF7E39"/>
    <w:rsid w:val="085B2438"/>
    <w:rsid w:val="0C9B410B"/>
    <w:rsid w:val="10226C56"/>
    <w:rsid w:val="10B8334A"/>
    <w:rsid w:val="1FF32842"/>
    <w:rsid w:val="29081618"/>
    <w:rsid w:val="2B6A567F"/>
    <w:rsid w:val="2B773C36"/>
    <w:rsid w:val="2E935F25"/>
    <w:rsid w:val="2EBA2A9C"/>
    <w:rsid w:val="33025DA6"/>
    <w:rsid w:val="38001ED1"/>
    <w:rsid w:val="398C4DB6"/>
    <w:rsid w:val="3A0C22E9"/>
    <w:rsid w:val="48BE3F72"/>
    <w:rsid w:val="49731D6E"/>
    <w:rsid w:val="4A8F38E1"/>
    <w:rsid w:val="4D7C38E7"/>
    <w:rsid w:val="4DF416CF"/>
    <w:rsid w:val="50DC4B32"/>
    <w:rsid w:val="518A32B4"/>
    <w:rsid w:val="5528736A"/>
    <w:rsid w:val="5D2626D8"/>
    <w:rsid w:val="5F850ED3"/>
    <w:rsid w:val="670062E4"/>
    <w:rsid w:val="69113884"/>
    <w:rsid w:val="6BEE7306"/>
    <w:rsid w:val="6CB6009A"/>
    <w:rsid w:val="6E881C94"/>
    <w:rsid w:val="6EFD3D5E"/>
    <w:rsid w:val="721122E6"/>
    <w:rsid w:val="7BA154F4"/>
    <w:rsid w:val="7FB916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8B83DCA5E3E40C8BF88B5E20AA7C8CE"/>
        <w:style w:val=""/>
        <w:category>
          <w:name w:val="常规"/>
          <w:gallery w:val="placeholder"/>
        </w:category>
        <w:types>
          <w:type w:val="bbPlcHdr"/>
        </w:types>
        <w:behaviors>
          <w:behavior w:val="content"/>
        </w:behaviors>
        <w:description w:val=""/>
        <w:guid w:val="{FCC0EBBF-7925-4623-AD76-1F9C125A5826}"/>
      </w:docPartPr>
      <w:docPartBody>
        <w:p w14:paraId="22930102">
          <w:pPr>
            <w:pStyle w:val="5"/>
          </w:pPr>
          <w:r>
            <w:rPr>
              <w:rStyle w:val="4"/>
              <w:rFonts w:hint="eastAsia"/>
            </w:rPr>
            <w:t>单击或点击此处输入文字。</w:t>
          </w:r>
        </w:p>
      </w:docPartBody>
    </w:docPart>
    <w:docPart>
      <w:docPartPr>
        <w:name w:val="1F0E1F35E1984490B7C2A0FAB2C67ECF"/>
        <w:style w:val=""/>
        <w:category>
          <w:name w:val="常规"/>
          <w:gallery w:val="placeholder"/>
        </w:category>
        <w:types>
          <w:type w:val="bbPlcHdr"/>
        </w:types>
        <w:behaviors>
          <w:behavior w:val="content"/>
        </w:behaviors>
        <w:description w:val=""/>
        <w:guid w:val="{9FAE2EA7-7F85-44CC-A683-443DDDDA56B7}"/>
      </w:docPartPr>
      <w:docPartBody>
        <w:p w14:paraId="7AB1FFCA">
          <w:pPr>
            <w:pStyle w:val="6"/>
          </w:pPr>
          <w:r>
            <w:rPr>
              <w:rStyle w:val="4"/>
              <w:rFonts w:hint="eastAsia"/>
            </w:rPr>
            <w:t>选择一项。</w:t>
          </w:r>
        </w:p>
      </w:docPartBody>
    </w:docPart>
    <w:docPart>
      <w:docPartPr>
        <w:name w:val="EABE432E5E3B4058BE23637FA38DC6B5"/>
        <w:style w:val=""/>
        <w:category>
          <w:name w:val="常规"/>
          <w:gallery w:val="placeholder"/>
        </w:category>
        <w:types>
          <w:type w:val="bbPlcHdr"/>
        </w:types>
        <w:behaviors>
          <w:behavior w:val="content"/>
        </w:behaviors>
        <w:description w:val=""/>
        <w:guid w:val="{787FB94D-7AC0-4B5A-A8B0-23CB8B7D8DAA}"/>
      </w:docPartPr>
      <w:docPartBody>
        <w:p w14:paraId="1C6E295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E7020"/>
    <w:rsid w:val="00016A02"/>
    <w:rsid w:val="00303DA4"/>
    <w:rsid w:val="00522DD1"/>
    <w:rsid w:val="005E7912"/>
    <w:rsid w:val="006772C1"/>
    <w:rsid w:val="006C28F0"/>
    <w:rsid w:val="00763F50"/>
    <w:rsid w:val="00870D3A"/>
    <w:rsid w:val="008A7C5B"/>
    <w:rsid w:val="008E7020"/>
    <w:rsid w:val="0098533B"/>
    <w:rsid w:val="00B66ECD"/>
    <w:rsid w:val="00E345EC"/>
    <w:rsid w:val="00E679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78B83DCA5E3E40C8BF88B5E20AA7C8C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F0E1F35E1984490B7C2A0FAB2C67EC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ABE432E5E3B4058BE23637FA38DC6B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77250B-722B-4C7B-8F24-F28EEE657AC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4082</Words>
  <Characters>4453</Characters>
  <Lines>35</Lines>
  <Paragraphs>10</Paragraphs>
  <TotalTime>202</TotalTime>
  <ScaleCrop>false</ScaleCrop>
  <LinksUpToDate>false</LinksUpToDate>
  <CharactersWithSpaces>4514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2024-04-10T04:03:00Z</dcterms:created>
  <dc:creator>张文秋</dc:creator>
  <dc:description>&lt;config cover="true" show_menu="true" version="1.0.0" doctype="SDKXY"&gt;_x000d_
&lt;/config&gt;</dc:description>
  <cp:lastModifiedBy>忐忑</cp:lastModifiedBy>
  <cp:lastPrinted>2020-08-30T10:00:00Z</cp:lastPrinted>
  <dcterms:modified xsi:type="dcterms:W3CDTF">2025-04-18T01:16:16Z</dcterms:modified>
  <dc:title>地方标准</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1840666F886241379EE45C212DF55538_12</vt:lpwstr>
  </property>
  <property fmtid="{D5CDD505-2E9C-101B-9397-08002B2CF9AE}" pid="16" name="KSOTemplateDocerSaveRecord">
    <vt:lpwstr>eyJoZGlkIjoiMjE1MGZmOTRhZjllMGExZDlkZTMzYmYzNTljMTkwODUiLCJ1c2VySWQiOiI0MzYwMTU0NjQifQ==</vt:lpwstr>
  </property>
</Properties>
</file>