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35.240.60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Times New Roman" w:hAnsi="Times New Roman" w:eastAsia="黑体"/>
                <w:sz w:val="21"/>
                <w:szCs w:val="21"/>
              </w:rPr>
              <w:t>A</w:t>
            </w:r>
            <w:r>
              <w:rPr>
                <w:rFonts w:hint="eastAsia" w:ascii="黑体" w:hAnsi="黑体" w:eastAsia="黑体"/>
                <w:sz w:val="21"/>
                <w:szCs w:val="21"/>
              </w:rPr>
              <w:t xml:space="preserve"> </w:t>
            </w:r>
            <w:r>
              <w:rPr>
                <w:rFonts w:ascii="黑体" w:hAnsi="黑体" w:eastAsia="黑体"/>
                <w:sz w:val="21"/>
                <w:szCs w:val="21"/>
              </w:rPr>
              <w:t>87</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运输服务交付数字化要求</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R</w:t>
      </w:r>
      <w:r>
        <w:rPr>
          <w:rFonts w:eastAsia="黑体"/>
          <w:szCs w:val="28"/>
        </w:rPr>
        <w:t>equirements for digitization of transportation service delivery</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本文件由安徽省发展和改革委员会提出并归口。</w:t>
      </w:r>
    </w:p>
    <w:p>
      <w:pPr>
        <w:pStyle w:val="56"/>
        <w:ind w:firstLine="420"/>
        <w:rPr>
          <w:rFonts w:hint="eastAsia"/>
        </w:rPr>
      </w:pPr>
      <w:r>
        <w:rPr>
          <w:rFonts w:hint="eastAsia"/>
        </w:rPr>
        <w:t>本文件起草单位：合肥维天运通信息科技股份有限公司、中国科学技术大学、中国科学技术大学国际金融研究院、合肥中科优碳信息科技有限公司、徐州徐工工程施工有限公司、安徽鸿至信息科技有限公司、杭锦通三门峡环球物流科技有限公司、安徽金威管业有限公司、安徽讯桥信息科技有限公司、安徽皖信通评测技术有限公司、安徽省工业互联网发展研究中心、安徽省工业和信息化研究院、安徽途运信息科技有限公司、安徽货达供应链管理有限公司、安徽中储智慧物流科技有限公司。</w:t>
      </w:r>
    </w:p>
    <w:p>
      <w:pPr>
        <w:pStyle w:val="56"/>
        <w:ind w:firstLine="420"/>
        <w:rPr>
          <w:rFonts w:hint="eastAsia"/>
        </w:rPr>
      </w:pPr>
      <w:r>
        <w:rPr>
          <w:rFonts w:hint="eastAsia"/>
        </w:rPr>
        <w:t>本文件主要起草人：冯雷、余玉刚、李冰、杨浩峰、操时磊、刘兵兵、李卉、夏秀琳等</w:t>
      </w:r>
    </w:p>
    <w:p>
      <w:pPr>
        <w:pStyle w:val="56"/>
        <w:ind w:firstLine="420"/>
      </w:pP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hint="eastAsia" w:ascii="黑体" w:hAnsi="黑体" w:eastAsia="黑体"/>
          <w:sz w:val="32"/>
          <w:szCs w:val="32"/>
        </w:rPr>
      </w:pPr>
      <w:bookmarkStart w:id="22"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D57F4F74B65648A8848F3DAB873D8C9B"/>
        </w:placeholder>
      </w:sdtPr>
      <w:sdtContent>
        <w:p>
          <w:pPr>
            <w:pStyle w:val="177"/>
            <w:spacing w:before="312" w:beforeLines="100" w:after="686" w:afterLines="220"/>
            <w:rPr>
              <w:rFonts w:hint="eastAsia"/>
            </w:rPr>
          </w:pPr>
          <w:bookmarkStart w:id="23" w:name="NEW_STAND_NAME"/>
          <w:r>
            <w:rPr>
              <w:rFonts w:hint="eastAsia"/>
            </w:rPr>
            <w:t>运输服务交付数字化要求</w:t>
          </w:r>
        </w:p>
      </w:sdtContent>
    </w:sdt>
    <w:bookmarkEnd w:id="23"/>
    <w:p>
      <w:pPr>
        <w:pStyle w:val="104"/>
        <w:spacing w:before="312" w:after="312"/>
      </w:pPr>
      <w:bookmarkStart w:id="24" w:name="_Toc26986530"/>
      <w:bookmarkStart w:id="25" w:name="_Toc26986771"/>
      <w:bookmarkStart w:id="26" w:name="_Toc26648465"/>
      <w:bookmarkStart w:id="27" w:name="_Toc17233333"/>
      <w:bookmarkStart w:id="28" w:name="_Toc17233325"/>
      <w:bookmarkStart w:id="29" w:name="_Toc24884218"/>
      <w:bookmarkStart w:id="30" w:name="_Toc24884211"/>
      <w:bookmarkStart w:id="31" w:name="_Toc97191423"/>
      <w:bookmarkStart w:id="32" w:name="_Toc26718930"/>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24884219"/>
      <w:bookmarkStart w:id="34" w:name="_Toc17233326"/>
      <w:bookmarkStart w:id="35" w:name="_Toc24884212"/>
      <w:bookmarkStart w:id="36" w:name="_Toc26648466"/>
      <w:bookmarkStart w:id="37" w:name="_Toc17233334"/>
      <w:r>
        <w:rPr>
          <w:rFonts w:hint="eastAsia"/>
        </w:rPr>
        <w:t>本文件界定了运输服务交付数字化的术语和定义，规定了基本要求、数字化运力管理、数字化过程管理和数字化结算管理等应用要求。</w:t>
      </w:r>
    </w:p>
    <w:p>
      <w:pPr>
        <w:pStyle w:val="56"/>
        <w:ind w:firstLine="420"/>
      </w:pPr>
      <w:r>
        <w:rPr>
          <w:rFonts w:hint="eastAsia"/>
        </w:rPr>
        <w:t>本文件适用于运输服务交付数字化。</w:t>
      </w:r>
    </w:p>
    <w:p>
      <w:pPr>
        <w:pStyle w:val="104"/>
        <w:spacing w:before="312" w:after="312"/>
      </w:pPr>
      <w:bookmarkStart w:id="38" w:name="_Toc26986531"/>
      <w:bookmarkStart w:id="39" w:name="_Toc26986772"/>
      <w:bookmarkStart w:id="40" w:name="_Toc26718931"/>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DCB25C13E68541B0B43289472EBAECC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18354  物流术语</w:t>
      </w:r>
    </w:p>
    <w:p>
      <w:pPr>
        <w:pStyle w:val="56"/>
        <w:ind w:firstLine="420"/>
      </w:pPr>
      <w:r>
        <w:rPr>
          <w:rFonts w:hint="eastAsia"/>
        </w:rPr>
        <w:t>GB/T 19680  物流企业分类与评估指标</w:t>
      </w:r>
    </w:p>
    <w:p>
      <w:pPr>
        <w:pStyle w:val="56"/>
        <w:ind w:firstLine="420"/>
      </w:pPr>
      <w:r>
        <w:rPr>
          <w:rFonts w:hint="eastAsia"/>
        </w:rPr>
        <w:t xml:space="preserve">GB/T 20271  </w:t>
      </w:r>
      <w:r>
        <w:t>信息安全技术 信息系统通用安全技术要求</w:t>
      </w:r>
    </w:p>
    <w:p>
      <w:pPr>
        <w:pStyle w:val="56"/>
        <w:ind w:firstLine="420"/>
      </w:pPr>
      <w:r>
        <w:rPr>
          <w:rFonts w:hint="eastAsia"/>
        </w:rPr>
        <w:t xml:space="preserve">GB/T 22263.8  </w:t>
      </w:r>
      <w:r>
        <w:t>物流公共信息平台应用开发指南 第8部分：软件开发管理</w:t>
      </w:r>
    </w:p>
    <w:p>
      <w:pPr>
        <w:pStyle w:val="56"/>
        <w:ind w:firstLine="420"/>
      </w:pPr>
      <w:r>
        <w:rPr>
          <w:rFonts w:hint="eastAsia"/>
        </w:rPr>
        <w:t xml:space="preserve">GB/T 26318  </w:t>
      </w:r>
      <w:r>
        <w:t>物流网络信息系统风险与防范</w:t>
      </w:r>
    </w:p>
    <w:p>
      <w:pPr>
        <w:pStyle w:val="56"/>
        <w:ind w:firstLine="420"/>
      </w:pPr>
      <w:r>
        <w:rPr>
          <w:rFonts w:hint="eastAsia"/>
        </w:rPr>
        <w:t xml:space="preserve">GB/T 26821  </w:t>
      </w:r>
      <w:r>
        <w:t>物流管理信息系统功能与设计要求</w:t>
      </w:r>
    </w:p>
    <w:p>
      <w:pPr>
        <w:pStyle w:val="56"/>
        <w:ind w:firstLine="420"/>
      </w:pPr>
      <w:r>
        <w:rPr>
          <w:rFonts w:hint="eastAsia"/>
        </w:rPr>
        <w:t xml:space="preserve">GB/T 35273  </w:t>
      </w:r>
      <w:r>
        <w:t>信息安全技术 个人信息安全规范</w:t>
      </w:r>
    </w:p>
    <w:p>
      <w:pPr>
        <w:pStyle w:val="56"/>
        <w:ind w:firstLine="420"/>
      </w:pPr>
      <w:r>
        <w:rPr>
          <w:rFonts w:hint="eastAsia"/>
        </w:rPr>
        <w:t xml:space="preserve">GB/T 37017  </w:t>
      </w:r>
      <w:r>
        <w:t>物流公共信息平台应用开发指南 信息编码规则</w:t>
      </w:r>
    </w:p>
    <w:p>
      <w:pPr>
        <w:pStyle w:val="56"/>
        <w:ind w:firstLine="420"/>
      </w:pPr>
      <w:r>
        <w:rPr>
          <w:rFonts w:hint="eastAsia"/>
        </w:rPr>
        <w:t xml:space="preserve">GB/T 37503  </w:t>
      </w:r>
      <w:r>
        <w:t>物流公共信息平台服务质量要求与测评</w:t>
      </w:r>
    </w:p>
    <w:p>
      <w:pPr>
        <w:pStyle w:val="56"/>
        <w:ind w:firstLine="420"/>
      </w:pPr>
      <w:r>
        <w:rPr>
          <w:rFonts w:hint="eastAsia"/>
        </w:rPr>
        <w:t xml:space="preserve">GB/T 42013  </w:t>
      </w:r>
      <w:r>
        <w:t>信息安全技术 快递物流服务数据安全要求</w:t>
      </w:r>
    </w:p>
    <w:p>
      <w:pPr>
        <w:pStyle w:val="104"/>
        <w:spacing w:before="312" w:after="312"/>
      </w:pPr>
      <w:bookmarkStart w:id="42" w:name="_Toc97191425"/>
      <w:r>
        <w:rPr>
          <w:rFonts w:hint="eastAsia"/>
          <w:szCs w:val="21"/>
        </w:rPr>
        <w:t>术语和定义</w:t>
      </w:r>
      <w:bookmarkEnd w:id="42"/>
    </w:p>
    <w:sdt>
      <w:sdtPr>
        <w:id w:val="-1909835108"/>
        <w:placeholder>
          <w:docPart w:val="5CCB34A20A794E949063F1419952D1D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GB/T 18354界定的以及下列术语和定义适用于本文件。</w:t>
          </w:r>
        </w:p>
      </w:sdtContent>
    </w:sdt>
    <w:p>
      <w:pPr>
        <w:pStyle w:val="223"/>
        <w:ind w:left="420" w:hanging="420" w:hangingChars="200"/>
        <w:rPr>
          <w:rFonts w:hint="eastAsia" w:ascii="黑体" w:hAnsi="黑体" w:eastAsia="黑体"/>
        </w:rPr>
      </w:pPr>
      <w:bookmarkStart w:id="44" w:name="_Hlk136439586"/>
      <w:r>
        <w:rPr>
          <w:rFonts w:hint="eastAsia" w:ascii="黑体" w:hAnsi="黑体" w:eastAsia="黑体"/>
        </w:rPr>
        <w:br w:type="textWrapping"/>
      </w:r>
      <w:r>
        <w:rPr>
          <w:rFonts w:hint="eastAsia" w:ascii="黑体" w:hAnsi="黑体" w:eastAsia="黑体"/>
        </w:rPr>
        <w:t xml:space="preserve">运输服务交付数字化  </w:t>
      </w:r>
      <w:r>
        <w:rPr>
          <w:rFonts w:ascii="黑体" w:hAnsi="黑体" w:eastAsia="黑体"/>
        </w:rPr>
        <w:t>digitization of transportation service delivery</w:t>
      </w:r>
    </w:p>
    <w:p>
      <w:pPr>
        <w:pStyle w:val="56"/>
        <w:ind w:firstLine="420"/>
      </w:pPr>
      <w:r>
        <w:rPr>
          <w:rFonts w:hint="eastAsia"/>
        </w:rPr>
        <w:t>应用数字化技术和数字化手段，对物流企业提供运输服务的运力、过程、结算等进行深度整合和升级，以提高效率、降低成本和增强竞争力的过程。</w:t>
      </w:r>
    </w:p>
    <w:bookmarkEnd w:id="44"/>
    <w:p>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运力 </w:t>
      </w:r>
      <w:r>
        <w:rPr>
          <w:rFonts w:ascii="黑体" w:hAnsi="黑体" w:eastAsia="黑体"/>
        </w:rPr>
        <w:t xml:space="preserve"> capacity</w:t>
      </w:r>
    </w:p>
    <w:p>
      <w:pPr>
        <w:pStyle w:val="56"/>
        <w:ind w:firstLine="420"/>
      </w:pPr>
      <w:r>
        <w:rPr>
          <w:rFonts w:hint="eastAsia"/>
        </w:rPr>
        <w:t>由运输工具、设备和操作人员等要素构成的运输能力。</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及时结算率 </w:t>
      </w:r>
      <w:r>
        <w:rPr>
          <w:rFonts w:ascii="黑体" w:hAnsi="黑体" w:eastAsia="黑体"/>
        </w:rPr>
        <w:t xml:space="preserve"> timely settlement rate</w:t>
      </w:r>
    </w:p>
    <w:p>
      <w:pPr>
        <w:pStyle w:val="56"/>
        <w:ind w:firstLine="420"/>
      </w:pPr>
      <w:bookmarkStart w:id="45" w:name="_Hlk137731544"/>
      <w:r>
        <w:rPr>
          <w:rFonts w:hint="eastAsia"/>
        </w:rPr>
        <w:t>与承运司机约定的结算周期内线上及时完成的运单数占周期内所有运单数的百分比。</w:t>
      </w:r>
    </w:p>
    <w:bookmarkEnd w:id="45"/>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数字化对账</w:t>
      </w:r>
      <w:r>
        <w:rPr>
          <w:rFonts w:ascii="黑体" w:hAnsi="黑体" w:eastAsia="黑体"/>
        </w:rPr>
        <w:t xml:space="preserve"> </w:t>
      </w:r>
      <w:r>
        <w:rPr>
          <w:rFonts w:hint="eastAsia" w:ascii="黑体" w:hAnsi="黑体" w:eastAsia="黑体"/>
        </w:rPr>
        <w:t xml:space="preserve"> </w:t>
      </w:r>
      <w:r>
        <w:rPr>
          <w:rFonts w:ascii="黑体" w:hAnsi="黑体" w:eastAsia="黑体"/>
        </w:rPr>
        <w:t>digital reconciliation</w:t>
      </w:r>
    </w:p>
    <w:p>
      <w:pPr>
        <w:pStyle w:val="56"/>
        <w:ind w:firstLine="420"/>
      </w:pPr>
      <w:r>
        <w:rPr>
          <w:rFonts w:hint="eastAsia"/>
        </w:rPr>
        <w:t>基于完成的运单数据，向承运司机和货主企业提供电子账单的能力。</w:t>
      </w:r>
    </w:p>
    <w:p>
      <w:pPr>
        <w:pStyle w:val="104"/>
        <w:spacing w:before="312" w:after="312"/>
      </w:pPr>
      <w:r>
        <w:rPr>
          <w:rFonts w:hint="eastAsia"/>
        </w:rPr>
        <w:t>基本要求</w:t>
      </w:r>
    </w:p>
    <w:p>
      <w:pPr>
        <w:pStyle w:val="105"/>
        <w:spacing w:before="156" w:after="156"/>
      </w:pPr>
      <w:r>
        <w:rPr>
          <w:rFonts w:hint="eastAsia"/>
        </w:rPr>
        <w:t>物流企业</w:t>
      </w:r>
    </w:p>
    <w:p>
      <w:pPr>
        <w:pStyle w:val="165"/>
      </w:pPr>
      <w:r>
        <w:rPr>
          <w:rFonts w:hint="eastAsia"/>
        </w:rPr>
        <w:t>应满足</w:t>
      </w:r>
      <w:r>
        <w:t>GB/T 19680</w:t>
      </w:r>
      <w:r>
        <w:rPr>
          <w:rFonts w:hint="eastAsia"/>
        </w:rPr>
        <w:t>的相关要求。</w:t>
      </w:r>
    </w:p>
    <w:p>
      <w:pPr>
        <w:pStyle w:val="165"/>
      </w:pPr>
      <w:r>
        <w:rPr>
          <w:rFonts w:hint="eastAsia"/>
        </w:rPr>
        <w:t>应建立健全运输服务交付数字化服务与管理制度。</w:t>
      </w:r>
    </w:p>
    <w:p>
      <w:pPr>
        <w:pStyle w:val="165"/>
      </w:pPr>
      <w:r>
        <w:rPr>
          <w:rFonts w:hint="eastAsia"/>
        </w:rPr>
        <w:t>应配备专业技术人员对数字化软件和硬件设施进行常态化运维。</w:t>
      </w:r>
    </w:p>
    <w:p>
      <w:pPr>
        <w:pStyle w:val="165"/>
      </w:pPr>
      <w:r>
        <w:rPr>
          <w:rFonts w:hint="eastAsia"/>
        </w:rPr>
        <w:t>应配备满足运输服务交付数字化的软件和硬件设施设备，并满足</w:t>
      </w:r>
      <w:r>
        <w:t>GB/T 22263.8</w:t>
      </w:r>
      <w:r>
        <w:rPr>
          <w:rFonts w:hint="eastAsia"/>
        </w:rPr>
        <w:t>、</w:t>
      </w:r>
      <w:r>
        <w:t>GB/T 26821</w:t>
      </w:r>
      <w:r>
        <w:rPr>
          <w:rFonts w:hint="eastAsia"/>
        </w:rPr>
        <w:t>、</w:t>
      </w:r>
      <w:r>
        <w:t>GB/T 37017</w:t>
      </w:r>
      <w:r>
        <w:rPr>
          <w:rFonts w:hint="eastAsia"/>
        </w:rPr>
        <w:t>、</w:t>
      </w:r>
      <w:r>
        <w:t>GB/T 37503</w:t>
      </w:r>
      <w:r>
        <w:rPr>
          <w:rFonts w:hint="eastAsia"/>
        </w:rPr>
        <w:t>的相关要求，实现数字化信息从采集到交付全过程的管理。</w:t>
      </w:r>
    </w:p>
    <w:p>
      <w:pPr>
        <w:pStyle w:val="105"/>
        <w:spacing w:before="156" w:after="156"/>
      </w:pPr>
      <w:r>
        <w:rPr>
          <w:rFonts w:hint="eastAsia"/>
        </w:rPr>
        <w:t>货主企业</w:t>
      </w:r>
    </w:p>
    <w:p>
      <w:pPr>
        <w:pStyle w:val="56"/>
        <w:ind w:firstLine="420"/>
      </w:pPr>
      <w:r>
        <w:rPr>
          <w:rFonts w:hint="eastAsia"/>
        </w:rPr>
        <w:t>应具备接收和应用交付数字化信息的制度和技术条件。</w:t>
      </w:r>
    </w:p>
    <w:p>
      <w:pPr>
        <w:pStyle w:val="105"/>
        <w:spacing w:before="156" w:after="156"/>
      </w:pPr>
      <w:r>
        <w:t>信息管理</w:t>
      </w:r>
    </w:p>
    <w:p>
      <w:pPr>
        <w:pStyle w:val="165"/>
      </w:pPr>
      <w:r>
        <w:rPr>
          <w:rFonts w:hint="eastAsia"/>
        </w:rPr>
        <w:t>运输服务交付数字化信息真实准确，可溯源。</w:t>
      </w:r>
    </w:p>
    <w:p>
      <w:pPr>
        <w:pStyle w:val="165"/>
      </w:pPr>
      <w:r>
        <w:rPr>
          <w:rFonts w:hint="eastAsia"/>
        </w:rPr>
        <w:t>运输服务交付数字化在数据采集、传输、存储、归档等环节中满足G</w:t>
      </w:r>
      <w:r>
        <w:t>B/T 20271</w:t>
      </w:r>
      <w:r>
        <w:rPr>
          <w:rFonts w:hint="eastAsia"/>
        </w:rPr>
        <w:t>、</w:t>
      </w:r>
      <w:r>
        <w:t>GB/T 26318</w:t>
      </w:r>
      <w:r>
        <w:rPr>
          <w:rFonts w:hint="eastAsia"/>
        </w:rPr>
        <w:t>、</w:t>
      </w:r>
      <w:r>
        <w:t>GB/T 35273</w:t>
      </w:r>
      <w:r>
        <w:rPr>
          <w:rFonts w:hint="eastAsia"/>
        </w:rPr>
        <w:t>和</w:t>
      </w:r>
      <w:r>
        <w:t>GB/T 42013</w:t>
      </w:r>
      <w:r>
        <w:rPr>
          <w:rFonts w:hint="eastAsia"/>
        </w:rPr>
        <w:t>的相关要求。</w:t>
      </w:r>
    </w:p>
    <w:p>
      <w:pPr>
        <w:pStyle w:val="165"/>
      </w:pPr>
      <w:r>
        <w:rPr>
          <w:rFonts w:hint="eastAsia"/>
        </w:rPr>
        <w:t>应对运输服务交付信息归档，存档期限为</w:t>
      </w:r>
      <w:r>
        <w:t>3</w:t>
      </w:r>
      <w:r>
        <w:rPr>
          <w:rFonts w:hint="eastAsia"/>
        </w:rPr>
        <w:t>年。</w:t>
      </w:r>
    </w:p>
    <w:p>
      <w:pPr>
        <w:pStyle w:val="105"/>
        <w:spacing w:before="156" w:after="156"/>
      </w:pPr>
      <w:bookmarkStart w:id="46" w:name="OLE_LINK3"/>
      <w:r>
        <w:rPr>
          <w:rFonts w:hint="eastAsia"/>
        </w:rPr>
        <w:t>交付要求</w:t>
      </w:r>
    </w:p>
    <w:bookmarkEnd w:id="46"/>
    <w:p>
      <w:pPr>
        <w:pStyle w:val="165"/>
      </w:pPr>
      <w:r>
        <w:rPr>
          <w:rFonts w:hint="eastAsia"/>
        </w:rPr>
        <w:t>运输服务交付数据可通过纸质和电子版的形式展现和传输。</w:t>
      </w:r>
    </w:p>
    <w:p>
      <w:pPr>
        <w:pStyle w:val="165"/>
      </w:pPr>
      <w:r>
        <w:rPr>
          <w:rFonts w:hint="eastAsia"/>
        </w:rPr>
        <w:t>运输服务交付形式包括原始数据交付和数字化指标交付，可实现数字化信息的可视化。</w:t>
      </w:r>
    </w:p>
    <w:p>
      <w:pPr>
        <w:pStyle w:val="105"/>
        <w:spacing w:before="156" w:after="156"/>
      </w:pPr>
      <w:r>
        <w:rPr>
          <w:rFonts w:hint="eastAsia"/>
        </w:rPr>
        <w:t>数据安全</w:t>
      </w:r>
    </w:p>
    <w:p>
      <w:pPr>
        <w:pStyle w:val="165"/>
      </w:pPr>
      <w:r>
        <w:rPr>
          <w:rFonts w:hint="eastAsia"/>
        </w:rPr>
        <w:t>数据收集应遵循透明度原则，获得用户同意，应尊重并保护用户的隐私权。明确数据收集范围，确保本数字化交付标准涉及的个人信息、数据以及系统的安全性。</w:t>
      </w:r>
    </w:p>
    <w:p>
      <w:pPr>
        <w:pStyle w:val="165"/>
      </w:pPr>
      <w:r>
        <w:rPr>
          <w:rFonts w:hint="eastAsia"/>
        </w:rPr>
        <w:t>数据在网络传输过程中应采用安全协议（例如SSL/TLS）进行加密传输。</w:t>
      </w:r>
    </w:p>
    <w:p>
      <w:pPr>
        <w:pStyle w:val="165"/>
      </w:pPr>
      <w:r>
        <w:rPr>
          <w:rFonts w:hint="eastAsia"/>
        </w:rPr>
        <w:t>数据存储过程中应采取加密等安全措施，明确访问权限，数据不应被未经授权的访问、泄露或篡改。</w:t>
      </w:r>
    </w:p>
    <w:p>
      <w:pPr>
        <w:pStyle w:val="165"/>
      </w:pPr>
      <w:r>
        <w:rPr>
          <w:rFonts w:hint="eastAsia"/>
        </w:rPr>
        <w:t>建立针对安全漏洞、攻击或数据泄露等情况的应对策略和响应程序，如安全漏洞、攻击或数据泄露等情况应及时通知受影响的用户。</w:t>
      </w:r>
    </w:p>
    <w:p>
      <w:pPr>
        <w:pStyle w:val="165"/>
      </w:pPr>
      <w:r>
        <w:rPr>
          <w:rFonts w:hint="eastAsia"/>
        </w:rPr>
        <w:t>应定期进行内部和外部的安全评估与审计。</w:t>
      </w:r>
    </w:p>
    <w:p>
      <w:pPr>
        <w:pStyle w:val="104"/>
        <w:spacing w:before="312" w:after="312"/>
      </w:pPr>
      <w:r>
        <w:rPr>
          <w:rFonts w:hint="eastAsia"/>
        </w:rPr>
        <w:t>数字化运力</w:t>
      </w:r>
    </w:p>
    <w:p>
      <w:pPr>
        <w:pStyle w:val="105"/>
        <w:spacing w:before="156" w:after="156"/>
      </w:pPr>
      <w:r>
        <w:rPr>
          <w:rFonts w:hint="eastAsia"/>
        </w:rPr>
        <w:t>数字化运力资源</w:t>
      </w:r>
    </w:p>
    <w:p>
      <w:pPr>
        <w:pStyle w:val="165"/>
      </w:pPr>
      <w:r>
        <w:rPr>
          <w:rFonts w:hint="eastAsia"/>
        </w:rPr>
        <w:t>应具备展示及优化数字化运力资源的能力。</w:t>
      </w:r>
    </w:p>
    <w:p>
      <w:pPr>
        <w:pStyle w:val="165"/>
      </w:pPr>
      <w:r>
        <w:rPr>
          <w:rFonts w:hint="eastAsia"/>
        </w:rPr>
        <w:t>数字化运力资源包括但不限于各类运输车辆、车主、承运司机、物流经纪人、定位及导航系统（GPS、北斗、基站定位系统）、车队、物流企业等。</w:t>
      </w:r>
    </w:p>
    <w:p>
      <w:pPr>
        <w:pStyle w:val="165"/>
      </w:pPr>
      <w:r>
        <w:rPr>
          <w:rFonts w:hint="eastAsia"/>
        </w:rPr>
        <w:t>驾驶证、行驶证、身份证、道路许可证、从业资格证五证齐全。</w:t>
      </w:r>
    </w:p>
    <w:p>
      <w:pPr>
        <w:pStyle w:val="105"/>
        <w:spacing w:before="156" w:after="156"/>
      </w:pPr>
      <w:r>
        <w:rPr>
          <w:rFonts w:hint="eastAsia"/>
        </w:rPr>
        <w:t>数字化运力调度能力</w:t>
      </w:r>
    </w:p>
    <w:p>
      <w:pPr>
        <w:pStyle w:val="165"/>
      </w:pPr>
      <w:r>
        <w:rPr>
          <w:rFonts w:hint="eastAsia"/>
        </w:rPr>
        <w:t>应具备展示及应用数字化进行数字化运力资源调度的能力。</w:t>
      </w:r>
    </w:p>
    <w:p>
      <w:pPr>
        <w:pStyle w:val="165"/>
      </w:pPr>
      <w:r>
        <w:rPr>
          <w:rFonts w:hint="eastAsia"/>
        </w:rPr>
        <w:t>依托数字化运力资源，通过物流信息系统可实现用车、作业和结算全流程的数字化运力调度。</w:t>
      </w:r>
    </w:p>
    <w:p>
      <w:pPr>
        <w:pStyle w:val="105"/>
        <w:spacing w:before="156" w:after="156"/>
      </w:pPr>
      <w:r>
        <w:rPr>
          <w:rFonts w:hint="eastAsia"/>
        </w:rPr>
        <w:t>数字化运力异常处理能力</w:t>
      </w:r>
    </w:p>
    <w:p>
      <w:pPr>
        <w:pStyle w:val="165"/>
      </w:pPr>
      <w:r>
        <w:rPr>
          <w:rFonts w:hint="eastAsia"/>
        </w:rPr>
        <w:t>异常包括但不限于时效异常、破损异常、签收异常等。</w:t>
      </w:r>
    </w:p>
    <w:p>
      <w:pPr>
        <w:pStyle w:val="165"/>
      </w:pPr>
      <w:r>
        <w:rPr>
          <w:rFonts w:hint="eastAsia"/>
        </w:rPr>
        <w:t>应依托数字化运力资源，基于运输服务业务异常处理流程和相应规则，通过物流信息系统实现异常的数字化处理。</w:t>
      </w:r>
    </w:p>
    <w:p>
      <w:pPr>
        <w:pStyle w:val="165"/>
      </w:pPr>
      <w:r>
        <w:rPr>
          <w:rFonts w:hint="eastAsia"/>
        </w:rPr>
        <w:t>当出现异常时，可通过物流信息系统统计异常报告及动态消息提示给相关责任人，并依据运输业务管理流程及岗位职责，由其上级责任人进行后续跟踪与处理，直至转为正常状态。</w:t>
      </w:r>
    </w:p>
    <w:p>
      <w:pPr>
        <w:pStyle w:val="165"/>
      </w:pPr>
      <w:r>
        <w:rPr>
          <w:rFonts w:hint="eastAsia"/>
        </w:rPr>
        <w:t>异常处理全流程信息应保证及时、透明、全面。</w:t>
      </w:r>
    </w:p>
    <w:p>
      <w:pPr>
        <w:pStyle w:val="104"/>
        <w:spacing w:before="312" w:after="312"/>
      </w:pPr>
      <w:r>
        <w:rPr>
          <w:rFonts w:hint="eastAsia"/>
        </w:rPr>
        <w:t>数字化过程</w:t>
      </w:r>
    </w:p>
    <w:p>
      <w:pPr>
        <w:pStyle w:val="105"/>
        <w:spacing w:before="156" w:after="156"/>
      </w:pPr>
      <w:r>
        <w:rPr>
          <w:rFonts w:hint="eastAsia"/>
        </w:rPr>
        <w:t>派单时效</w:t>
      </w:r>
    </w:p>
    <w:p>
      <w:pPr>
        <w:pStyle w:val="165"/>
      </w:pPr>
      <w:r>
        <w:rPr>
          <w:rFonts w:hint="eastAsia"/>
        </w:rPr>
        <w:t>派单时效是指线上拿到运输计划，分解为运输任务发送给承运司机的时效。</w:t>
      </w:r>
    </w:p>
    <w:p>
      <w:pPr>
        <w:pStyle w:val="165"/>
      </w:pPr>
      <w:r>
        <w:rPr>
          <w:rFonts w:hint="eastAsia"/>
        </w:rPr>
        <w:t>应具备展示及应用派单时效的能力。</w:t>
      </w:r>
    </w:p>
    <w:p>
      <w:pPr>
        <w:pStyle w:val="165"/>
      </w:pPr>
      <w:r>
        <w:rPr>
          <w:rFonts w:hint="eastAsia"/>
        </w:rPr>
        <w:t>应通过物流信息系统记录接单时间和派单时间的对比得出派单时效指标。</w:t>
      </w:r>
    </w:p>
    <w:p>
      <w:pPr>
        <w:pStyle w:val="165"/>
      </w:pPr>
      <w:r>
        <w:rPr>
          <w:rFonts w:hint="eastAsia"/>
        </w:rPr>
        <w:t>根据货主企业时效需求，物流企业应及时完成接收订单到派单的工作，并通过信息化手段通知到物流企业或承运司机。</w:t>
      </w:r>
    </w:p>
    <w:p>
      <w:pPr>
        <w:pStyle w:val="105"/>
        <w:spacing w:before="156" w:after="156"/>
      </w:pPr>
      <w:r>
        <w:rPr>
          <w:rFonts w:hint="eastAsia"/>
        </w:rPr>
        <w:t>接单时效</w:t>
      </w:r>
    </w:p>
    <w:p>
      <w:pPr>
        <w:pStyle w:val="165"/>
      </w:pPr>
      <w:r>
        <w:rPr>
          <w:rFonts w:hint="eastAsia"/>
        </w:rPr>
        <w:t>接单时效是指线上派单给承运司机，到承运司机接单的时效。</w:t>
      </w:r>
    </w:p>
    <w:p>
      <w:pPr>
        <w:pStyle w:val="165"/>
      </w:pPr>
      <w:r>
        <w:rPr>
          <w:rFonts w:hint="eastAsia"/>
        </w:rPr>
        <w:t>应具备展示及应用接单时效的能力。</w:t>
      </w:r>
    </w:p>
    <w:p>
      <w:pPr>
        <w:pStyle w:val="165"/>
      </w:pPr>
      <w:r>
        <w:rPr>
          <w:rFonts w:hint="eastAsia"/>
        </w:rPr>
        <w:t>应通过物流信息系统记录派单时间和开始提货时间的对比得出接单时效指标。</w:t>
      </w:r>
    </w:p>
    <w:p>
      <w:pPr>
        <w:pStyle w:val="165"/>
      </w:pPr>
      <w:r>
        <w:rPr>
          <w:rFonts w:hint="eastAsia"/>
        </w:rPr>
        <w:t>根据货主企业时效需求，物流企业应通过物流信息系统将运单信息传递给承运司机，承运司机及时到场完成提货任务。</w:t>
      </w:r>
    </w:p>
    <w:p>
      <w:pPr>
        <w:pStyle w:val="105"/>
        <w:spacing w:before="156" w:after="156"/>
      </w:pPr>
      <w:r>
        <w:rPr>
          <w:rFonts w:hint="eastAsia"/>
        </w:rPr>
        <w:t>及时回单率</w:t>
      </w:r>
    </w:p>
    <w:p>
      <w:pPr>
        <w:pStyle w:val="165"/>
      </w:pPr>
      <w:r>
        <w:rPr>
          <w:rFonts w:hint="eastAsia"/>
        </w:rPr>
        <w:t>及时回单率是指承运司机卸货后及时线上上传回单的比例。</w:t>
      </w:r>
    </w:p>
    <w:p>
      <w:pPr>
        <w:pStyle w:val="165"/>
      </w:pPr>
      <w:r>
        <w:rPr>
          <w:rFonts w:hint="eastAsia"/>
        </w:rPr>
        <w:t>应具备展示及应用及时回单率的能力。</w:t>
      </w:r>
    </w:p>
    <w:p>
      <w:pPr>
        <w:pStyle w:val="165"/>
      </w:pPr>
      <w:r>
        <w:rPr>
          <w:rFonts w:hint="eastAsia"/>
        </w:rPr>
        <w:t>应通过物流信息系统记录签收时间和电子回单上传时间或纸质回单被货主企业签收时间的对比得出及时回单率指标。</w:t>
      </w:r>
    </w:p>
    <w:p>
      <w:pPr>
        <w:pStyle w:val="165"/>
      </w:pPr>
      <w:r>
        <w:rPr>
          <w:rFonts w:hint="eastAsia"/>
        </w:rPr>
        <w:t>根据货主企业时效需求，承运司机在物流信息系统收到收货人签收运单后，应及时将签收单据合规上传物流信息系统并在约定的时间内将纸质回单寄回或带回货主企业处。</w:t>
      </w:r>
    </w:p>
    <w:p>
      <w:pPr>
        <w:pStyle w:val="105"/>
        <w:spacing w:before="156" w:after="156"/>
      </w:pPr>
      <w:r>
        <w:rPr>
          <w:rFonts w:hint="eastAsia"/>
        </w:rPr>
        <w:t>过程有效管控率</w:t>
      </w:r>
    </w:p>
    <w:p>
      <w:pPr>
        <w:pStyle w:val="165"/>
      </w:pPr>
      <w:r>
        <w:rPr>
          <w:rFonts w:hint="eastAsia"/>
        </w:rPr>
        <w:t>过程有效管控率是指线上从运输起运到终结的运单管控率。</w:t>
      </w:r>
    </w:p>
    <w:p>
      <w:pPr>
        <w:pStyle w:val="165"/>
      </w:pPr>
      <w:r>
        <w:rPr>
          <w:rFonts w:hint="eastAsia"/>
        </w:rPr>
        <w:t>应具备展示及应用过程有效管控率的能力。</w:t>
      </w:r>
    </w:p>
    <w:p>
      <w:pPr>
        <w:pStyle w:val="165"/>
      </w:pPr>
      <w:r>
        <w:rPr>
          <w:rFonts w:hint="eastAsia"/>
        </w:rPr>
        <w:t>根据货主企业需求，通过物流信息系统统计出从运输起运到终结的运单管控率。</w:t>
      </w:r>
    </w:p>
    <w:p>
      <w:pPr>
        <w:pStyle w:val="165"/>
      </w:pPr>
      <w:bookmarkStart w:id="47" w:name="OLE_LINK4"/>
      <w:r>
        <w:rPr>
          <w:rFonts w:hint="eastAsia"/>
        </w:rPr>
        <w:t>运单过程有效管控率应保持</w:t>
      </w:r>
      <w:r>
        <w:t>95%</w:t>
      </w:r>
      <w:r>
        <w:rPr>
          <w:rFonts w:hint="eastAsia"/>
        </w:rPr>
        <w:t>以上</w:t>
      </w:r>
      <w:bookmarkEnd w:id="47"/>
      <w:r>
        <w:rPr>
          <w:rFonts w:hint="eastAsia"/>
        </w:rPr>
        <w:t>，对运单过程有效管控率不达标的物流企业、承运司机应进行重点跟踪，相关责任人及上级管理机构应对其进行督促整改。</w:t>
      </w:r>
    </w:p>
    <w:p>
      <w:pPr>
        <w:pStyle w:val="105"/>
        <w:spacing w:before="156" w:after="156"/>
      </w:pPr>
      <w:bookmarkStart w:id="48" w:name="OLE_LINK1"/>
      <w:r>
        <w:rPr>
          <w:rFonts w:hint="eastAsia"/>
        </w:rPr>
        <w:t>货损货差率</w:t>
      </w:r>
    </w:p>
    <w:bookmarkEnd w:id="48"/>
    <w:p>
      <w:pPr>
        <w:pStyle w:val="165"/>
      </w:pPr>
      <w:r>
        <w:rPr>
          <w:rFonts w:hint="eastAsia"/>
        </w:rPr>
        <w:t>货损货差率是指货物在运输、装</w:t>
      </w:r>
      <w:bookmarkStart w:id="55" w:name="_GoBack"/>
      <w:bookmarkEnd w:id="55"/>
      <w:r>
        <w:rPr>
          <w:rFonts w:hint="eastAsia"/>
        </w:rPr>
        <w:t>卸、保管等过程中发生的残缺、破损、污染等质量上的损坏以及票货不符、数量不符等差错的比例。</w:t>
      </w:r>
    </w:p>
    <w:p>
      <w:pPr>
        <w:pStyle w:val="165"/>
      </w:pPr>
      <w:r>
        <w:rPr>
          <w:rFonts w:hint="eastAsia"/>
        </w:rPr>
        <w:t>应通过物流信息系统的统计报告予以展示。</w:t>
      </w:r>
    </w:p>
    <w:p>
      <w:pPr>
        <w:pStyle w:val="165"/>
      </w:pPr>
      <w:r>
        <w:rPr>
          <w:rFonts w:hint="eastAsia"/>
        </w:rPr>
        <w:t>在满足货主企业要求的情况下，宜尽量将</w:t>
      </w:r>
      <w:bookmarkStart w:id="49" w:name="_Hlk141108150"/>
      <w:r>
        <w:rPr>
          <w:rFonts w:hint="eastAsia"/>
        </w:rPr>
        <w:t>货损货差率</w:t>
      </w:r>
      <w:bookmarkEnd w:id="49"/>
      <w:r>
        <w:rPr>
          <w:rFonts w:hint="eastAsia"/>
        </w:rPr>
        <w:t>控制在5‰以内。</w:t>
      </w:r>
    </w:p>
    <w:p>
      <w:pPr>
        <w:pStyle w:val="165"/>
      </w:pPr>
      <w:r>
        <w:rPr>
          <w:rFonts w:hint="eastAsia"/>
        </w:rPr>
        <w:t>对超出货损货差率的运单、物流企业、承运司机通过统计报表及动态消息形式及时提醒，</w:t>
      </w:r>
      <w:bookmarkStart w:id="50" w:name="_Hlk141109359"/>
      <w:r>
        <w:rPr>
          <w:rFonts w:hint="eastAsia"/>
        </w:rPr>
        <w:t>相关责任人及上级管理机构应</w:t>
      </w:r>
      <w:bookmarkEnd w:id="50"/>
      <w:r>
        <w:rPr>
          <w:rFonts w:hint="eastAsia"/>
        </w:rPr>
        <w:t>及时跟进并监督整改。</w:t>
      </w:r>
    </w:p>
    <w:p>
      <w:pPr>
        <w:pStyle w:val="104"/>
        <w:spacing w:before="312" w:after="312"/>
      </w:pPr>
      <w:r>
        <w:rPr>
          <w:rFonts w:hint="eastAsia"/>
        </w:rPr>
        <w:t>数字化结算</w:t>
      </w:r>
    </w:p>
    <w:p>
      <w:pPr>
        <w:pStyle w:val="105"/>
        <w:spacing w:before="156" w:after="156"/>
      </w:pPr>
      <w:r>
        <w:rPr>
          <w:rFonts w:hint="eastAsia"/>
        </w:rPr>
        <w:t>数字化对账</w:t>
      </w:r>
    </w:p>
    <w:p>
      <w:pPr>
        <w:pStyle w:val="165"/>
      </w:pPr>
      <w:r>
        <w:rPr>
          <w:rFonts w:hint="eastAsia"/>
        </w:rPr>
        <w:t>应具备展示和应用数字化对账的能力。</w:t>
      </w:r>
    </w:p>
    <w:p>
      <w:pPr>
        <w:pStyle w:val="165"/>
      </w:pPr>
      <w:r>
        <w:rPr>
          <w:rFonts w:hint="eastAsia"/>
        </w:rPr>
        <w:t>基于完成的运单数据，应通过物流信息系统及时向承运司机和货主企业提供电子账单。</w:t>
      </w:r>
    </w:p>
    <w:p>
      <w:pPr>
        <w:pStyle w:val="165"/>
      </w:pPr>
      <w:bookmarkStart w:id="51" w:name="_Hlk137717090"/>
      <w:r>
        <w:rPr>
          <w:rFonts w:hint="eastAsia"/>
        </w:rPr>
        <w:t xml:space="preserve">根据货主企业需求，物流企业应对承运司机的运费结算和结算账期透明化。 </w:t>
      </w:r>
    </w:p>
    <w:bookmarkEnd w:id="51"/>
    <w:p>
      <w:pPr>
        <w:pStyle w:val="105"/>
        <w:spacing w:before="156" w:after="156"/>
      </w:pPr>
      <w:bookmarkStart w:id="52" w:name="OLE_LINK2"/>
      <w:r>
        <w:rPr>
          <w:rFonts w:hint="eastAsia"/>
        </w:rPr>
        <w:t>及时结算率</w:t>
      </w:r>
    </w:p>
    <w:bookmarkEnd w:id="52"/>
    <w:p>
      <w:pPr>
        <w:pStyle w:val="165"/>
      </w:pPr>
      <w:bookmarkStart w:id="53" w:name="_Hlk137716823"/>
      <w:r>
        <w:rPr>
          <w:rFonts w:hint="eastAsia"/>
        </w:rPr>
        <w:t>应具备展示和应用及时结算率的能力。</w:t>
      </w:r>
    </w:p>
    <w:bookmarkEnd w:id="53"/>
    <w:p>
      <w:pPr>
        <w:pStyle w:val="165"/>
      </w:pPr>
      <w:r>
        <w:rPr>
          <w:rFonts w:hint="eastAsia"/>
        </w:rPr>
        <w:t>及时结算率应以当月实际已结算运单和当月所有运单的比率来确定。</w:t>
      </w:r>
    </w:p>
    <w:bookmarkEnd w:id="22"/>
    <w:p>
      <w:pPr>
        <w:pStyle w:val="56"/>
        <w:ind w:firstLine="0" w:firstLineChars="0"/>
        <w:jc w:val="center"/>
      </w:pPr>
      <w:bookmarkStart w:id="54"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iahZ8E2YMmMA2wYsJK6R2i/dEfAlPp5ZaXDrJd5vPWGZDYET+tfnNWMZpAXOX1KPuuzl8/kPiBFBm9IUGgSLRQ==" w:salt="zOUVNS1R8XVfd0zkKKHFS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YzExNTA4Y2UyNDYyYzBlNjU1ZTY5MzUwMDU3MjYifQ=="/>
  </w:docVars>
  <w:rsids>
    <w:rsidRoot w:val="00985ED5"/>
    <w:rsid w:val="0000040A"/>
    <w:rsid w:val="00000A1B"/>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AA7"/>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8D0"/>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CDC"/>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143"/>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6D9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5F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175"/>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72A"/>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BA5"/>
    <w:rsid w:val="00350D1D"/>
    <w:rsid w:val="00352C83"/>
    <w:rsid w:val="00353275"/>
    <w:rsid w:val="003615D2"/>
    <w:rsid w:val="0036429C"/>
    <w:rsid w:val="00364A53"/>
    <w:rsid w:val="003654CB"/>
    <w:rsid w:val="00365AA9"/>
    <w:rsid w:val="00365F86"/>
    <w:rsid w:val="00365F87"/>
    <w:rsid w:val="00366E89"/>
    <w:rsid w:val="003705F4"/>
    <w:rsid w:val="00370D58"/>
    <w:rsid w:val="00371316"/>
    <w:rsid w:val="00376713"/>
    <w:rsid w:val="00380B6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CE8"/>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AA0"/>
    <w:rsid w:val="0041477A"/>
    <w:rsid w:val="004167A3"/>
    <w:rsid w:val="00432DAA"/>
    <w:rsid w:val="00434305"/>
    <w:rsid w:val="00435DF7"/>
    <w:rsid w:val="0044083F"/>
    <w:rsid w:val="00441AE7"/>
    <w:rsid w:val="00445574"/>
    <w:rsid w:val="004467FB"/>
    <w:rsid w:val="00452D6B"/>
    <w:rsid w:val="00454484"/>
    <w:rsid w:val="0045517B"/>
    <w:rsid w:val="0046055B"/>
    <w:rsid w:val="00463B77"/>
    <w:rsid w:val="00463C7B"/>
    <w:rsid w:val="004644A6"/>
    <w:rsid w:val="004659BD"/>
    <w:rsid w:val="00470775"/>
    <w:rsid w:val="004746B1"/>
    <w:rsid w:val="0047583F"/>
    <w:rsid w:val="00475DE8"/>
    <w:rsid w:val="00480EF2"/>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014"/>
    <w:rsid w:val="004D4406"/>
    <w:rsid w:val="004D745C"/>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DB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04B"/>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42C"/>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503"/>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15E"/>
    <w:rsid w:val="006D04EA"/>
    <w:rsid w:val="006D0AB7"/>
    <w:rsid w:val="006D16C4"/>
    <w:rsid w:val="006D3E96"/>
    <w:rsid w:val="006D4515"/>
    <w:rsid w:val="006D4BB1"/>
    <w:rsid w:val="006D6593"/>
    <w:rsid w:val="006E23EA"/>
    <w:rsid w:val="006E605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6F0"/>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048"/>
    <w:rsid w:val="00783ECF"/>
    <w:rsid w:val="0078413A"/>
    <w:rsid w:val="007959E8"/>
    <w:rsid w:val="00795E9C"/>
    <w:rsid w:val="007A0521"/>
    <w:rsid w:val="007A2E12"/>
    <w:rsid w:val="007A3475"/>
    <w:rsid w:val="007A41C8"/>
    <w:rsid w:val="007A54CE"/>
    <w:rsid w:val="007A6FD9"/>
    <w:rsid w:val="007A7FFA"/>
    <w:rsid w:val="007B04EB"/>
    <w:rsid w:val="007B0D4F"/>
    <w:rsid w:val="007B44D2"/>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C6B"/>
    <w:rsid w:val="007F0ED8"/>
    <w:rsid w:val="007F0F63"/>
    <w:rsid w:val="007F75CE"/>
    <w:rsid w:val="008013A4"/>
    <w:rsid w:val="008027CE"/>
    <w:rsid w:val="00802F42"/>
    <w:rsid w:val="0080400D"/>
    <w:rsid w:val="00804383"/>
    <w:rsid w:val="00804BB7"/>
    <w:rsid w:val="00804D41"/>
    <w:rsid w:val="00810257"/>
    <w:rsid w:val="008104F5"/>
    <w:rsid w:val="00811072"/>
    <w:rsid w:val="00811369"/>
    <w:rsid w:val="0081390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F45"/>
    <w:rsid w:val="0088321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516"/>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ED5"/>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0C59"/>
    <w:rsid w:val="00A0096C"/>
    <w:rsid w:val="00A01757"/>
    <w:rsid w:val="00A024E6"/>
    <w:rsid w:val="00A028C0"/>
    <w:rsid w:val="00A02BAE"/>
    <w:rsid w:val="00A06A6B"/>
    <w:rsid w:val="00A07E47"/>
    <w:rsid w:val="00A129D0"/>
    <w:rsid w:val="00A12C33"/>
    <w:rsid w:val="00A138BA"/>
    <w:rsid w:val="00A14C8E"/>
    <w:rsid w:val="00A153D9"/>
    <w:rsid w:val="00A1552A"/>
    <w:rsid w:val="00A15F09"/>
    <w:rsid w:val="00A169B6"/>
    <w:rsid w:val="00A2271D"/>
    <w:rsid w:val="00A237D5"/>
    <w:rsid w:val="00A30EFC"/>
    <w:rsid w:val="00A31984"/>
    <w:rsid w:val="00A32D73"/>
    <w:rsid w:val="00A3367B"/>
    <w:rsid w:val="00A3597D"/>
    <w:rsid w:val="00A36DD1"/>
    <w:rsid w:val="00A4006C"/>
    <w:rsid w:val="00A40091"/>
    <w:rsid w:val="00A4030F"/>
    <w:rsid w:val="00A41AEE"/>
    <w:rsid w:val="00A41C79"/>
    <w:rsid w:val="00A41CB5"/>
    <w:rsid w:val="00A42CDF"/>
    <w:rsid w:val="00A4452E"/>
    <w:rsid w:val="00A4472C"/>
    <w:rsid w:val="00A44E69"/>
    <w:rsid w:val="00A4661E"/>
    <w:rsid w:val="00A55BD6"/>
    <w:rsid w:val="00A55D50"/>
    <w:rsid w:val="00A57142"/>
    <w:rsid w:val="00A648CD"/>
    <w:rsid w:val="00A64D7A"/>
    <w:rsid w:val="00A6537A"/>
    <w:rsid w:val="00A67866"/>
    <w:rsid w:val="00A70B07"/>
    <w:rsid w:val="00A723F8"/>
    <w:rsid w:val="00A77CCB"/>
    <w:rsid w:val="00A83D8D"/>
    <w:rsid w:val="00A8446B"/>
    <w:rsid w:val="00A8473F"/>
    <w:rsid w:val="00A862D6"/>
    <w:rsid w:val="00A8715E"/>
    <w:rsid w:val="00A9295B"/>
    <w:rsid w:val="00A92FFD"/>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323"/>
    <w:rsid w:val="00B21F61"/>
    <w:rsid w:val="00B261F1"/>
    <w:rsid w:val="00B265BC"/>
    <w:rsid w:val="00B30691"/>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A72"/>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7D6"/>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087"/>
    <w:rsid w:val="00C04904"/>
    <w:rsid w:val="00C056B3"/>
    <w:rsid w:val="00C103E5"/>
    <w:rsid w:val="00C113F8"/>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13B"/>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456"/>
    <w:rsid w:val="00CB2C0B"/>
    <w:rsid w:val="00CB517D"/>
    <w:rsid w:val="00CB77D5"/>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35B"/>
    <w:rsid w:val="00CE5B65"/>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943"/>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B83"/>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0E6"/>
    <w:rsid w:val="00E01138"/>
    <w:rsid w:val="00E02DFB"/>
    <w:rsid w:val="00E030F9"/>
    <w:rsid w:val="00E0311A"/>
    <w:rsid w:val="00E03138"/>
    <w:rsid w:val="00E03CA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85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620"/>
    <w:rsid w:val="00EB5EDF"/>
    <w:rsid w:val="00EB60FE"/>
    <w:rsid w:val="00EB74DB"/>
    <w:rsid w:val="00EC5093"/>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3D"/>
    <w:rsid w:val="00F21B06"/>
    <w:rsid w:val="00F25BB6"/>
    <w:rsid w:val="00F26B7E"/>
    <w:rsid w:val="00F27A3B"/>
    <w:rsid w:val="00F33817"/>
    <w:rsid w:val="00F420D5"/>
    <w:rsid w:val="00F451EA"/>
    <w:rsid w:val="00F45447"/>
    <w:rsid w:val="00F456C6"/>
    <w:rsid w:val="00F4577B"/>
    <w:rsid w:val="00F46496"/>
    <w:rsid w:val="00F47426"/>
    <w:rsid w:val="00F474D0"/>
    <w:rsid w:val="00F50179"/>
    <w:rsid w:val="00F50CBF"/>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3F6"/>
    <w:rsid w:val="00F966CF"/>
    <w:rsid w:val="00F96CAE"/>
    <w:rsid w:val="00F97C99"/>
    <w:rsid w:val="00FA4DAC"/>
    <w:rsid w:val="00FA662D"/>
    <w:rsid w:val="00FA6A68"/>
    <w:rsid w:val="00FA73B1"/>
    <w:rsid w:val="00FB0CB9"/>
    <w:rsid w:val="00FB231D"/>
    <w:rsid w:val="00FB45F1"/>
    <w:rsid w:val="00FB4A72"/>
    <w:rsid w:val="00FB54E8"/>
    <w:rsid w:val="00FB7054"/>
    <w:rsid w:val="00FC17B7"/>
    <w:rsid w:val="00FC2CB7"/>
    <w:rsid w:val="00FC4090"/>
    <w:rsid w:val="00FC52EC"/>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82694B"/>
    <w:rsid w:val="280405C7"/>
    <w:rsid w:val="636C6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57F4F74B65648A8848F3DAB873D8C9B"/>
        <w:style w:val=""/>
        <w:category>
          <w:name w:val="常规"/>
          <w:gallery w:val="placeholder"/>
        </w:category>
        <w:types>
          <w:type w:val="bbPlcHdr"/>
        </w:types>
        <w:behaviors>
          <w:behavior w:val="content"/>
        </w:behaviors>
        <w:description w:val=""/>
        <w:guid w:val="{C75EC98F-7E5D-404C-ABEE-910BF15A13BB}"/>
      </w:docPartPr>
      <w:docPartBody>
        <w:p>
          <w:pPr>
            <w:pStyle w:val="5"/>
            <w:rPr>
              <w:rFonts w:hint="eastAsia"/>
            </w:rPr>
          </w:pPr>
          <w:r>
            <w:rPr>
              <w:rStyle w:val="4"/>
              <w:rFonts w:hint="eastAsia"/>
            </w:rPr>
            <w:t>单击或点击此处输入文字。</w:t>
          </w:r>
        </w:p>
      </w:docPartBody>
    </w:docPart>
    <w:docPart>
      <w:docPartPr>
        <w:name w:val="DCB25C13E68541B0B43289472EBAECC7"/>
        <w:style w:val=""/>
        <w:category>
          <w:name w:val="常规"/>
          <w:gallery w:val="placeholder"/>
        </w:category>
        <w:types>
          <w:type w:val="bbPlcHdr"/>
        </w:types>
        <w:behaviors>
          <w:behavior w:val="content"/>
        </w:behaviors>
        <w:description w:val=""/>
        <w:guid w:val="{EEBC8EA7-C847-42CD-A9E6-367DB74E2138}"/>
      </w:docPartPr>
      <w:docPartBody>
        <w:p>
          <w:pPr>
            <w:pStyle w:val="6"/>
            <w:rPr>
              <w:rFonts w:hint="eastAsia"/>
            </w:rPr>
          </w:pPr>
          <w:r>
            <w:rPr>
              <w:rStyle w:val="4"/>
              <w:rFonts w:hint="eastAsia"/>
            </w:rPr>
            <w:t>选择一项。</w:t>
          </w:r>
        </w:p>
      </w:docPartBody>
    </w:docPart>
    <w:docPart>
      <w:docPartPr>
        <w:name w:val="5CCB34A20A794E949063F1419952D1D7"/>
        <w:style w:val=""/>
        <w:category>
          <w:name w:val="常规"/>
          <w:gallery w:val="placeholder"/>
        </w:category>
        <w:types>
          <w:type w:val="bbPlcHdr"/>
        </w:types>
        <w:behaviors>
          <w:behavior w:val="content"/>
        </w:behaviors>
        <w:description w:val=""/>
        <w:guid w:val="{5BCB2E86-A306-4025-B651-F96788D85CE0}"/>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143"/>
    <w:rsid w:val="00045736"/>
    <w:rsid w:val="0015687F"/>
    <w:rsid w:val="0031172A"/>
    <w:rsid w:val="0046055B"/>
    <w:rsid w:val="0052106C"/>
    <w:rsid w:val="00604816"/>
    <w:rsid w:val="006472AD"/>
    <w:rsid w:val="006D2DFF"/>
    <w:rsid w:val="006E605D"/>
    <w:rsid w:val="00783048"/>
    <w:rsid w:val="007A7FCF"/>
    <w:rsid w:val="008F5516"/>
    <w:rsid w:val="009E5C53"/>
    <w:rsid w:val="00AB09E9"/>
    <w:rsid w:val="00AB67D7"/>
    <w:rsid w:val="00B31F36"/>
    <w:rsid w:val="00C7756A"/>
    <w:rsid w:val="00D8263B"/>
    <w:rsid w:val="00DA0B83"/>
    <w:rsid w:val="00E03CA8"/>
    <w:rsid w:val="00E36143"/>
    <w:rsid w:val="00EB147B"/>
    <w:rsid w:val="00F21B06"/>
    <w:rsid w:val="00FA6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D57F4F74B65648A8848F3DAB873D8C9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CB25C13E68541B0B43289472EBAECC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CCB34A20A794E949063F1419952D1D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550</Words>
  <Characters>3137</Characters>
  <Lines>26</Lines>
  <Paragraphs>7</Paragraphs>
  <TotalTime>10</TotalTime>
  <ScaleCrop>false</ScaleCrop>
  <LinksUpToDate>false</LinksUpToDate>
  <CharactersWithSpaces>3680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2025-03-17T11:36:00Z</dcterms:created>
  <dc:creator>宋庆婷</dc:creator>
  <dc:description>&lt;config cover="true" show_menu="true" version="1.0.0" doctype="SDKXY"&gt;_x000d_
&lt;/config&gt;</dc:description>
  <cp:lastModifiedBy>胡小Q</cp:lastModifiedBy>
  <cp:lastPrinted>2020-08-30T10:00:00Z</cp:lastPrinted>
  <dcterms:modified xsi:type="dcterms:W3CDTF">2025-03-24T05:54:40Z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9AC38CED158B403ABD799005A20F3173_12</vt:lpwstr>
  </property>
</Properties>
</file>