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B5C8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530E119C">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9D5264B">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67.140.10 </w:t>
            </w:r>
            <w:r>
              <w:rPr>
                <w:rFonts w:ascii="黑体" w:hAnsi="黑体" w:eastAsia="黑体"/>
                <w:sz w:val="21"/>
                <w:szCs w:val="21"/>
              </w:rPr>
              <w:fldChar w:fldCharType="end"/>
            </w:r>
            <w:bookmarkEnd w:id="0"/>
          </w:p>
        </w:tc>
      </w:tr>
      <w:tr w14:paraId="25405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21D103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F12710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35     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16B12F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05BFF018">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2C928D2F">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7DCFA5C">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F02F4B1">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D1353B3">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3DD00CB">
      <w:pPr>
        <w:pStyle w:val="50"/>
        <w:framePr w:w="9639" w:h="6976" w:hRule="exact" w:hSpace="0" w:vSpace="0" w:wrap="around" w:hAnchor="page" w:y="6408"/>
        <w:jc w:val="center"/>
        <w:rPr>
          <w:rFonts w:ascii="黑体" w:hAnsi="黑体" w:eastAsia="黑体"/>
          <w:b w:val="0"/>
          <w:bCs w:val="0"/>
          <w:w w:val="100"/>
        </w:rPr>
      </w:pPr>
    </w:p>
    <w:p w14:paraId="1BF4B455">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山区夏秋茶原料质量控制技术规范</w:t>
      </w:r>
      <w:r>
        <w:fldChar w:fldCharType="end"/>
      </w:r>
      <w:bookmarkEnd w:id="9"/>
    </w:p>
    <w:p w14:paraId="0A47CF39">
      <w:pPr>
        <w:framePr w:w="9639" w:h="6974" w:hRule="exact" w:wrap="around" w:vAnchor="page" w:hAnchor="page" w:x="1419" w:y="6408" w:anchorLock="1"/>
        <w:ind w:left="-1418"/>
      </w:pPr>
    </w:p>
    <w:p w14:paraId="0D63CD4F">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Technical specifications for quality control of summer and autumn tea raw materials in mountainous areas</w:t>
      </w:r>
      <w:r>
        <w:rPr>
          <w:rFonts w:eastAsia="黑体"/>
          <w:szCs w:val="28"/>
        </w:rPr>
        <w:fldChar w:fldCharType="end"/>
      </w:r>
      <w:bookmarkEnd w:id="10"/>
    </w:p>
    <w:p w14:paraId="165F3884">
      <w:pPr>
        <w:framePr w:w="9639" w:h="6974" w:hRule="exact" w:wrap="around" w:vAnchor="page" w:hAnchor="page" w:x="1419" w:y="6408" w:anchorLock="1"/>
        <w:spacing w:line="760" w:lineRule="exact"/>
        <w:ind w:left="-1418"/>
      </w:pPr>
    </w:p>
    <w:p w14:paraId="797370CA">
      <w:pPr>
        <w:pStyle w:val="125"/>
        <w:framePr w:w="9639" w:h="6974" w:hRule="exact" w:wrap="around" w:vAnchor="page" w:hAnchor="page" w:x="1419" w:y="6408" w:anchorLock="1"/>
        <w:textAlignment w:val="bottom"/>
        <w:rPr>
          <w:rFonts w:eastAsia="黑体"/>
          <w:szCs w:val="28"/>
        </w:rPr>
      </w:pPr>
    </w:p>
    <w:p w14:paraId="38F5552A">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8AA1698">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2D3C55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A062771">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E6BB4BB">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CA5E83E">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F68E167">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D062C1A">
      <w:pPr>
        <w:pStyle w:val="89"/>
        <w:spacing w:before="900" w:after="468"/>
      </w:pPr>
      <w:bookmarkStart w:id="21" w:name="BookMark2"/>
      <w:r>
        <w:rPr>
          <w:spacing w:val="320"/>
        </w:rPr>
        <w:t>前</w:t>
      </w:r>
      <w:r>
        <w:t>言</w:t>
      </w:r>
    </w:p>
    <w:p w14:paraId="1D993E31">
      <w:pPr>
        <w:pStyle w:val="56"/>
        <w:ind w:firstLine="420"/>
      </w:pPr>
      <w:r>
        <w:rPr>
          <w:rFonts w:hint="eastAsia"/>
        </w:rPr>
        <w:t>本文件按照GB/T 1.1—2020《标准化工作导则  第1部分：标准化文件的结构和起草规则》的规定起草。</w:t>
      </w:r>
    </w:p>
    <w:p w14:paraId="5E862CF0">
      <w:pPr>
        <w:pStyle w:val="56"/>
        <w:ind w:firstLine="420"/>
      </w:pPr>
      <w:r>
        <w:rPr>
          <w:rFonts w:hint="eastAsia"/>
        </w:rPr>
        <w:t>请注意本文件的某些内容可能涉及专利。本文件的发布机构不承担识别专利的责任。</w:t>
      </w:r>
    </w:p>
    <w:p w14:paraId="784B9895">
      <w:pPr>
        <w:pStyle w:val="56"/>
        <w:ind w:firstLine="420"/>
      </w:pPr>
      <w:r>
        <w:rPr>
          <w:rFonts w:hint="eastAsia"/>
        </w:rPr>
        <w:t>本文件由黄山市农业农村局提出。</w:t>
      </w:r>
    </w:p>
    <w:p w14:paraId="26F728C6">
      <w:pPr>
        <w:pStyle w:val="56"/>
        <w:ind w:firstLine="420"/>
      </w:pPr>
      <w:r>
        <w:rPr>
          <w:rFonts w:hint="eastAsia"/>
        </w:rPr>
        <w:t>本文件由安徽省农业农村厅归口。</w:t>
      </w:r>
    </w:p>
    <w:p w14:paraId="0A331DF7">
      <w:pPr>
        <w:pStyle w:val="56"/>
        <w:ind w:firstLine="420"/>
      </w:pPr>
      <w:r>
        <w:rPr>
          <w:rFonts w:hint="eastAsia"/>
        </w:rPr>
        <w:t>本文件起草单位：</w:t>
      </w:r>
    </w:p>
    <w:p w14:paraId="7C0DE058">
      <w:pPr>
        <w:pStyle w:val="56"/>
        <w:ind w:firstLine="420"/>
      </w:pPr>
      <w:r>
        <w:rPr>
          <w:rFonts w:hint="eastAsia"/>
        </w:rPr>
        <w:t>本文件主要起草人：</w:t>
      </w:r>
    </w:p>
    <w:p w14:paraId="274DE87B">
      <w:pPr>
        <w:pStyle w:val="56"/>
        <w:ind w:firstLine="420"/>
      </w:pPr>
    </w:p>
    <w:p w14:paraId="3603582E">
      <w:pPr>
        <w:pStyle w:val="56"/>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30F75FAC">
      <w:pPr>
        <w:spacing w:line="20" w:lineRule="exact"/>
        <w:jc w:val="center"/>
        <w:rPr>
          <w:rFonts w:ascii="黑体" w:hAnsi="黑体" w:eastAsia="黑体"/>
          <w:sz w:val="32"/>
          <w:szCs w:val="32"/>
        </w:rPr>
      </w:pPr>
      <w:bookmarkStart w:id="22" w:name="BookMark4"/>
    </w:p>
    <w:p w14:paraId="1BE277C6">
      <w:pPr>
        <w:spacing w:line="20" w:lineRule="exact"/>
        <w:jc w:val="center"/>
        <w:rPr>
          <w:rFonts w:ascii="黑体" w:hAnsi="黑体" w:eastAsia="黑体"/>
          <w:sz w:val="32"/>
          <w:szCs w:val="32"/>
        </w:rPr>
      </w:pPr>
    </w:p>
    <w:sdt>
      <w:sdtPr>
        <w:tag w:val="NEW_STAND_NAME"/>
        <w:id w:val="595910757"/>
        <w:lock w:val="sdtLocked"/>
        <w:placeholder>
          <w:docPart w:val="8D6D92164F79440CBFC0C348C75DEB0E"/>
        </w:placeholder>
      </w:sdtPr>
      <w:sdtContent>
        <w:p w14:paraId="6D05E513">
          <w:pPr>
            <w:pStyle w:val="177"/>
            <w:spacing w:before="312" w:beforeLines="100" w:after="686" w:afterLines="220"/>
          </w:pPr>
          <w:bookmarkStart w:id="23" w:name="NEW_STAND_NAME"/>
          <w:r>
            <w:rPr>
              <w:rFonts w:hint="eastAsia"/>
            </w:rPr>
            <w:t>山区夏秋茶原料质量控制技术规范</w:t>
          </w:r>
        </w:p>
      </w:sdtContent>
    </w:sdt>
    <w:bookmarkEnd w:id="23"/>
    <w:p w14:paraId="0A980749">
      <w:pPr>
        <w:pStyle w:val="104"/>
        <w:spacing w:before="312" w:after="312"/>
      </w:pPr>
      <w:bookmarkStart w:id="24" w:name="_Toc17233333"/>
      <w:bookmarkStart w:id="25" w:name="_Toc24884218"/>
      <w:bookmarkStart w:id="26" w:name="_Toc26986530"/>
      <w:bookmarkStart w:id="27" w:name="_Toc17233325"/>
      <w:bookmarkStart w:id="28" w:name="_Toc97191423"/>
      <w:bookmarkStart w:id="29" w:name="_Toc24884211"/>
      <w:bookmarkStart w:id="30" w:name="_Toc26986771"/>
      <w:bookmarkStart w:id="31" w:name="_Toc26648465"/>
      <w:bookmarkStart w:id="32" w:name="_Toc26718930"/>
      <w:r>
        <w:rPr>
          <w:rFonts w:hint="eastAsia"/>
        </w:rPr>
        <w:t>范围</w:t>
      </w:r>
      <w:bookmarkEnd w:id="24"/>
      <w:bookmarkEnd w:id="25"/>
      <w:bookmarkEnd w:id="26"/>
      <w:bookmarkEnd w:id="27"/>
      <w:bookmarkEnd w:id="28"/>
      <w:bookmarkEnd w:id="29"/>
      <w:bookmarkEnd w:id="30"/>
      <w:bookmarkEnd w:id="31"/>
      <w:bookmarkEnd w:id="32"/>
    </w:p>
    <w:p w14:paraId="4693F925">
      <w:pPr>
        <w:pStyle w:val="56"/>
        <w:ind w:firstLine="420"/>
      </w:pPr>
      <w:bookmarkStart w:id="33" w:name="_Toc17233334"/>
      <w:bookmarkStart w:id="34" w:name="_Toc26648466"/>
      <w:bookmarkStart w:id="35" w:name="_Toc24884219"/>
      <w:bookmarkStart w:id="36" w:name="_Toc17233326"/>
      <w:bookmarkStart w:id="37" w:name="_Toc24884212"/>
      <w:r>
        <w:rPr>
          <w:rFonts w:hint="eastAsia"/>
        </w:rPr>
        <w:t>本文件规定了用于山区夏秋茶</w:t>
      </w:r>
      <w:r>
        <w:rPr>
          <w:rFonts w:hint="eastAsia"/>
          <w:lang w:eastAsia="zh-CN"/>
        </w:rPr>
        <w:t>（以下简称“夏秋茶”）</w:t>
      </w:r>
      <w:r>
        <w:rPr>
          <w:rFonts w:hint="eastAsia"/>
        </w:rPr>
        <w:t>原料质量控制的田间管理、鲜叶采摘、鲜叶加工、技术要求、检验方法、</w:t>
      </w:r>
      <w:r>
        <w:rPr>
          <w:rFonts w:hint="eastAsia"/>
          <w:lang w:eastAsia="zh-CN"/>
        </w:rPr>
        <w:t>贮存、</w:t>
      </w:r>
      <w:r>
        <w:rPr>
          <w:rFonts w:hint="eastAsia"/>
        </w:rPr>
        <w:t>溯源管理。</w:t>
      </w:r>
    </w:p>
    <w:p w14:paraId="079263C7">
      <w:pPr>
        <w:pStyle w:val="56"/>
        <w:ind w:firstLine="420"/>
      </w:pPr>
      <w:r>
        <w:rPr>
          <w:rFonts w:hint="eastAsia"/>
        </w:rPr>
        <w:t>本文件适用于夏秋茶原料的质量控制与管理。</w:t>
      </w:r>
    </w:p>
    <w:p w14:paraId="409C6146">
      <w:pPr>
        <w:pStyle w:val="104"/>
        <w:spacing w:before="312" w:after="312"/>
      </w:pPr>
      <w:bookmarkStart w:id="38" w:name="_Toc97191424"/>
      <w:bookmarkStart w:id="39" w:name="_Toc26718931"/>
      <w:bookmarkStart w:id="40" w:name="_Toc26986531"/>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A23D5E4BB4D94FDBAFFC5A1CB3FEE3E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53EBC79">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58061A9">
      <w:pPr>
        <w:pStyle w:val="56"/>
        <w:ind w:firstLine="420"/>
      </w:pPr>
      <w:r>
        <w:rPr>
          <w:rFonts w:hint="eastAsia"/>
        </w:rPr>
        <w:t>GB 2762  食品安全国家标准 食品中污染物限量</w:t>
      </w:r>
    </w:p>
    <w:p w14:paraId="43882CBD">
      <w:pPr>
        <w:pStyle w:val="56"/>
        <w:ind w:firstLine="420"/>
      </w:pPr>
      <w:r>
        <w:rPr>
          <w:rFonts w:hint="eastAsia"/>
        </w:rPr>
        <w:t>GB 2763  食品安全国家标准 食品中农药最大残留限量</w:t>
      </w:r>
    </w:p>
    <w:p w14:paraId="6CE2EA43">
      <w:pPr>
        <w:pStyle w:val="56"/>
        <w:ind w:firstLine="420"/>
      </w:pPr>
      <w:r>
        <w:rPr>
          <w:rFonts w:hint="eastAsia"/>
        </w:rPr>
        <w:t>GB 4789.3  食品安全国家标准 食品微生物学检验 大肠菌群计数</w:t>
      </w:r>
    </w:p>
    <w:p w14:paraId="0772BC53">
      <w:pPr>
        <w:pStyle w:val="56"/>
        <w:ind w:firstLine="420"/>
      </w:pPr>
      <w:r>
        <w:rPr>
          <w:rFonts w:hint="eastAsia"/>
        </w:rPr>
        <w:t>GB 4789.15  食品安全国家标准 食品微生物学检验 霉菌和酵母计数</w:t>
      </w:r>
    </w:p>
    <w:p w14:paraId="6A8B2E6E">
      <w:pPr>
        <w:pStyle w:val="56"/>
        <w:ind w:firstLine="420"/>
      </w:pPr>
      <w:r>
        <w:rPr>
          <w:rFonts w:hint="eastAsia"/>
        </w:rPr>
        <w:t>GB 4806.7  食品安全国家标准 食品接触用塑料材料及制品</w:t>
      </w:r>
    </w:p>
    <w:p w14:paraId="48670C52">
      <w:pPr>
        <w:pStyle w:val="56"/>
        <w:ind w:firstLine="420"/>
      </w:pPr>
      <w:r>
        <w:rPr>
          <w:rFonts w:hint="eastAsia"/>
        </w:rPr>
        <w:t>GB 4806.8  食品安全国家标准 食品接触用纸和纸板材料及制品</w:t>
      </w:r>
    </w:p>
    <w:p w14:paraId="0448218D">
      <w:pPr>
        <w:pStyle w:val="56"/>
        <w:ind w:firstLine="420"/>
      </w:pPr>
      <w:r>
        <w:rPr>
          <w:rFonts w:hint="eastAsia"/>
        </w:rPr>
        <w:t>GB 4806.13  食品安全国家标准 食品接触用复合材料及制品</w:t>
      </w:r>
    </w:p>
    <w:p w14:paraId="10E78462">
      <w:pPr>
        <w:pStyle w:val="56"/>
        <w:ind w:firstLine="420"/>
      </w:pPr>
      <w:r>
        <w:rPr>
          <w:rFonts w:hint="eastAsia"/>
        </w:rPr>
        <w:t>GB 5009.4  食品安全国家标准 食品中灰分的测定</w:t>
      </w:r>
    </w:p>
    <w:p w14:paraId="6F281865">
      <w:pPr>
        <w:pStyle w:val="56"/>
        <w:ind w:firstLine="420"/>
      </w:pPr>
      <w:r>
        <w:rPr>
          <w:rFonts w:hint="eastAsia"/>
        </w:rPr>
        <w:t>GB 5009.11  食品安全国家标准 食品中总砷及无机砷的测定</w:t>
      </w:r>
    </w:p>
    <w:p w14:paraId="50227126">
      <w:pPr>
        <w:pStyle w:val="56"/>
        <w:ind w:firstLine="420"/>
      </w:pPr>
      <w:r>
        <w:rPr>
          <w:rFonts w:hint="eastAsia"/>
        </w:rPr>
        <w:t>GB 5009.12  食品安全国家标准 食品中铅的测定</w:t>
      </w:r>
    </w:p>
    <w:p w14:paraId="7E6139F2">
      <w:pPr>
        <w:pStyle w:val="56"/>
        <w:ind w:firstLine="420"/>
      </w:pPr>
      <w:r>
        <w:rPr>
          <w:rFonts w:hint="eastAsia"/>
        </w:rPr>
        <w:t>GB 5009.15  食品安全国家标准 食品中镉的测定</w:t>
      </w:r>
    </w:p>
    <w:p w14:paraId="61ED9102">
      <w:pPr>
        <w:pStyle w:val="56"/>
        <w:ind w:firstLine="420"/>
      </w:pPr>
      <w:r>
        <w:rPr>
          <w:rFonts w:hint="eastAsia"/>
        </w:rPr>
        <w:t>GB 5009.17  食品安全国家标准 食品中总汞及有机汞的测定</w:t>
      </w:r>
    </w:p>
    <w:p w14:paraId="064A2D28">
      <w:pPr>
        <w:pStyle w:val="56"/>
        <w:ind w:firstLine="420"/>
      </w:pPr>
      <w:r>
        <w:rPr>
          <w:rFonts w:hint="eastAsia"/>
        </w:rPr>
        <w:t>GB/T 5009.19  食品中有机氯农药多组分残留量的测定</w:t>
      </w:r>
    </w:p>
    <w:p w14:paraId="5229D307">
      <w:pPr>
        <w:pStyle w:val="56"/>
        <w:ind w:firstLine="420"/>
      </w:pPr>
      <w:r>
        <w:rPr>
          <w:rFonts w:hint="eastAsia"/>
        </w:rPr>
        <w:t>GB/T 8304  茶 水分测定</w:t>
      </w:r>
    </w:p>
    <w:p w14:paraId="640B5699">
      <w:pPr>
        <w:pStyle w:val="56"/>
        <w:ind w:firstLine="420"/>
      </w:pPr>
      <w:r>
        <w:rPr>
          <w:rFonts w:hint="eastAsia"/>
        </w:rPr>
        <w:t>GB/T 8305  茶 水浸出物测定</w:t>
      </w:r>
    </w:p>
    <w:p w14:paraId="0326A25B">
      <w:pPr>
        <w:pStyle w:val="56"/>
        <w:ind w:firstLine="420"/>
      </w:pPr>
      <w:r>
        <w:rPr>
          <w:rFonts w:hint="eastAsia"/>
        </w:rPr>
        <w:t>GB/T 8306  茶 总灰分测定</w:t>
      </w:r>
    </w:p>
    <w:p w14:paraId="14FCE274">
      <w:pPr>
        <w:pStyle w:val="56"/>
        <w:ind w:firstLine="420"/>
      </w:pPr>
      <w:r>
        <w:rPr>
          <w:rFonts w:hint="eastAsia"/>
        </w:rPr>
        <w:t>GB/T 8310  茶 粗纤维测定</w:t>
      </w:r>
    </w:p>
    <w:p w14:paraId="7FC5EE54">
      <w:pPr>
        <w:pStyle w:val="56"/>
        <w:ind w:firstLine="420"/>
      </w:pPr>
      <w:r>
        <w:rPr>
          <w:rFonts w:hint="eastAsia"/>
        </w:rPr>
        <w:t>GB/T 8311  茶 粉末和碎茶含量测定</w:t>
      </w:r>
    </w:p>
    <w:p w14:paraId="3D2CCCDE">
      <w:pPr>
        <w:pStyle w:val="56"/>
        <w:ind w:firstLine="420"/>
      </w:pPr>
      <w:r>
        <w:rPr>
          <w:rFonts w:hint="eastAsia"/>
        </w:rPr>
        <w:t>GB/T 8313  茶叶中茶多酚和儿茶素类含量的检测方法</w:t>
      </w:r>
    </w:p>
    <w:p w14:paraId="698AEA0A">
      <w:pPr>
        <w:pStyle w:val="56"/>
        <w:ind w:firstLine="420"/>
      </w:pPr>
      <w:r>
        <w:rPr>
          <w:rFonts w:hint="eastAsia"/>
        </w:rPr>
        <w:t>GB/T 8321.10  农药合理使用准则(十)</w:t>
      </w:r>
    </w:p>
    <w:p w14:paraId="04A78675">
      <w:pPr>
        <w:pStyle w:val="56"/>
        <w:ind w:firstLine="420"/>
      </w:pPr>
      <w:r>
        <w:rPr>
          <w:rFonts w:hint="eastAsia"/>
        </w:rPr>
        <w:t>GB/T 8946  塑料编织袋通用技术要求</w:t>
      </w:r>
    </w:p>
    <w:p w14:paraId="4D1F6E04">
      <w:pPr>
        <w:pStyle w:val="56"/>
        <w:ind w:firstLine="420"/>
      </w:pPr>
      <w:r>
        <w:rPr>
          <w:rFonts w:hint="eastAsia"/>
        </w:rPr>
        <w:t>GB/T 23376  茶叶中农药多残留测定气相色谱/质谱法</w:t>
      </w:r>
    </w:p>
    <w:p w14:paraId="3708BB45">
      <w:pPr>
        <w:pStyle w:val="56"/>
        <w:ind w:firstLine="420"/>
      </w:pPr>
      <w:r>
        <w:rPr>
          <w:rFonts w:hint="eastAsia"/>
        </w:rPr>
        <w:t>GB/T 23776  茶叶感官审评方法</w:t>
      </w:r>
    </w:p>
    <w:p w14:paraId="0DF41C6E">
      <w:pPr>
        <w:pStyle w:val="56"/>
        <w:ind w:firstLine="420"/>
      </w:pPr>
      <w:r>
        <w:rPr>
          <w:rFonts w:hint="eastAsia"/>
        </w:rPr>
        <w:t>GB 29921  食品安全国家标准 预包装食品中致病菌限量</w:t>
      </w:r>
    </w:p>
    <w:p w14:paraId="23619EF1">
      <w:pPr>
        <w:pStyle w:val="56"/>
        <w:ind w:firstLine="420"/>
      </w:pPr>
      <w:r>
        <w:rPr>
          <w:rFonts w:hint="eastAsia"/>
        </w:rPr>
        <w:t>GB/T 33915  农产品追溯要求 茶叶</w:t>
      </w:r>
    </w:p>
    <w:p w14:paraId="2AE0D8EE">
      <w:pPr>
        <w:pStyle w:val="56"/>
        <w:ind w:firstLine="420"/>
      </w:pPr>
      <w:r>
        <w:rPr>
          <w:rFonts w:hint="eastAsia"/>
        </w:rPr>
        <w:t>DG/T 076  采茶机</w:t>
      </w:r>
    </w:p>
    <w:p w14:paraId="3C625EED">
      <w:pPr>
        <w:pStyle w:val="56"/>
        <w:ind w:firstLine="420"/>
      </w:pPr>
      <w:r>
        <w:rPr>
          <w:rFonts w:hint="eastAsia"/>
        </w:rPr>
        <w:t>GH/T 1070  茶叶包装通则</w:t>
      </w:r>
    </w:p>
    <w:p w14:paraId="24D2EAEC">
      <w:pPr>
        <w:pStyle w:val="56"/>
        <w:ind w:firstLine="420"/>
      </w:pPr>
      <w:r>
        <w:rPr>
          <w:rFonts w:hint="eastAsia"/>
        </w:rPr>
        <w:t>NY/T 225  机械化采茶技术规程</w:t>
      </w:r>
    </w:p>
    <w:p w14:paraId="1E868041">
      <w:pPr>
        <w:pStyle w:val="56"/>
        <w:ind w:firstLine="420"/>
      </w:pPr>
      <w:r>
        <w:rPr>
          <w:rFonts w:hint="eastAsia"/>
        </w:rPr>
        <w:t>NY/T 393  绿色食品农药使用准则</w:t>
      </w:r>
    </w:p>
    <w:p w14:paraId="2DE01604">
      <w:pPr>
        <w:pStyle w:val="56"/>
        <w:ind w:firstLine="420"/>
      </w:pPr>
      <w:r>
        <w:rPr>
          <w:rFonts w:hint="eastAsia"/>
        </w:rPr>
        <w:t>NY/T 394  绿色食品 肥料使用准则</w:t>
      </w:r>
    </w:p>
    <w:p w14:paraId="4CA8DB4D">
      <w:pPr>
        <w:pStyle w:val="56"/>
        <w:ind w:firstLine="420"/>
      </w:pPr>
      <w:r>
        <w:rPr>
          <w:rFonts w:hint="eastAsia"/>
        </w:rPr>
        <w:t>NY/T 1276  农药安全使用规范 总则</w:t>
      </w:r>
    </w:p>
    <w:p w14:paraId="43E160C8">
      <w:pPr>
        <w:pStyle w:val="56"/>
        <w:ind w:firstLine="420"/>
      </w:pPr>
      <w:r>
        <w:rPr>
          <w:rFonts w:hint="eastAsia"/>
        </w:rPr>
        <w:t>NY/T 1763  农产品质量安全追溯操作规程 茶叶</w:t>
      </w:r>
    </w:p>
    <w:p w14:paraId="7B708019">
      <w:pPr>
        <w:pStyle w:val="56"/>
        <w:ind w:firstLine="420"/>
      </w:pPr>
      <w:r>
        <w:rPr>
          <w:rFonts w:hint="eastAsia"/>
        </w:rPr>
        <w:t>NY/T 5018  茶叶生产技术规程</w:t>
      </w:r>
    </w:p>
    <w:p w14:paraId="007353CF">
      <w:pPr>
        <w:pStyle w:val="104"/>
        <w:spacing w:before="312" w:after="312"/>
      </w:pPr>
      <w:bookmarkStart w:id="42" w:name="_Toc97191425"/>
      <w:r>
        <w:rPr>
          <w:rFonts w:hint="eastAsia"/>
          <w:szCs w:val="21"/>
        </w:rPr>
        <w:t>术语和定义</w:t>
      </w:r>
      <w:bookmarkEnd w:id="42"/>
    </w:p>
    <w:sdt>
      <w:sdtPr>
        <w:id w:val="-1909835108"/>
        <w:placeholder>
          <w:docPart w:val="5DEE076DE95C45C99578E8596CA4533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87264AB">
          <w:pPr>
            <w:pStyle w:val="56"/>
            <w:ind w:firstLine="420"/>
          </w:pPr>
          <w:bookmarkStart w:id="43" w:name="_Toc26986532"/>
          <w:bookmarkEnd w:id="43"/>
          <w:r>
            <w:t>下列术语和定义适用于本文件。</w:t>
          </w:r>
        </w:p>
      </w:sdtContent>
    </w:sdt>
    <w:p w14:paraId="2B8DA0E8">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lang w:eastAsia="zh-CN"/>
        </w:rPr>
        <w:t>山区</w:t>
      </w:r>
      <w:r>
        <w:rPr>
          <w:rFonts w:hint="eastAsia" w:ascii="黑体" w:hAnsi="黑体" w:eastAsia="黑体"/>
        </w:rPr>
        <w:t>夏秋茶</w:t>
      </w:r>
      <w:r>
        <w:rPr>
          <w:rFonts w:hint="eastAsia" w:ascii="黑体" w:hAnsi="黑体" w:eastAsia="黑体"/>
        </w:rPr>
        <w:tab/>
      </w:r>
      <w:r>
        <w:rPr>
          <w:rFonts w:hint="eastAsia" w:ascii="黑体" w:hAnsi="黑体" w:eastAsia="黑体"/>
          <w:lang w:val="en-US" w:eastAsia="zh-CN"/>
        </w:rPr>
        <w:t>m</w:t>
      </w:r>
      <w:r>
        <w:rPr>
          <w:rFonts w:hint="eastAsia" w:ascii="黑体" w:hAnsi="黑体" w:eastAsia="黑体"/>
        </w:rPr>
        <w:t xml:space="preserve">ountain </w:t>
      </w:r>
      <w:r>
        <w:rPr>
          <w:rFonts w:hint="eastAsia" w:ascii="黑体" w:hAnsi="黑体" w:eastAsia="黑体"/>
          <w:lang w:val="en-US" w:eastAsia="zh-CN"/>
        </w:rPr>
        <w:t>a</w:t>
      </w:r>
      <w:r>
        <w:rPr>
          <w:rFonts w:hint="eastAsia" w:ascii="黑体" w:hAnsi="黑体" w:eastAsia="黑体"/>
        </w:rPr>
        <w:t>rea</w:t>
      </w:r>
      <w:r>
        <w:rPr>
          <w:rFonts w:hint="eastAsia" w:ascii="黑体" w:hAnsi="黑体" w:eastAsia="黑体"/>
          <w:lang w:val="en-US" w:eastAsia="zh-CN"/>
        </w:rPr>
        <w:t xml:space="preserve"> </w:t>
      </w:r>
      <w:r>
        <w:rPr>
          <w:rFonts w:hint="eastAsia" w:ascii="黑体" w:hAnsi="黑体" w:eastAsia="黑体"/>
        </w:rPr>
        <w:t>summer and autumn tea</w:t>
      </w:r>
    </w:p>
    <w:p w14:paraId="2346E02A">
      <w:pPr>
        <w:pStyle w:val="56"/>
        <w:ind w:firstLine="420"/>
      </w:pPr>
      <w:r>
        <w:rPr>
          <w:rFonts w:hint="eastAsia"/>
        </w:rPr>
        <w:t>在</w:t>
      </w:r>
      <w:r>
        <w:rPr>
          <w:rFonts w:hint="eastAsia"/>
          <w:lang w:eastAsia="zh-CN"/>
        </w:rPr>
        <w:t>安徽</w:t>
      </w:r>
      <w:r>
        <w:rPr>
          <w:rFonts w:hint="eastAsia"/>
        </w:rPr>
        <w:t>山区特定气候条件下，于夏季5月下旬至秋季10月上旬采摘的茶树鲜叶</w:t>
      </w:r>
      <w:r>
        <w:rPr>
          <w:rFonts w:hint="eastAsia"/>
          <w:lang w:eastAsia="zh-CN"/>
        </w:rPr>
        <w:t>，</w:t>
      </w:r>
      <w:r>
        <w:rPr>
          <w:rFonts w:hint="eastAsia"/>
        </w:rPr>
        <w:t>经除杂、干燥制成的毛茶。</w:t>
      </w:r>
    </w:p>
    <w:p w14:paraId="0EF2C74F">
      <w:pPr>
        <w:pStyle w:val="104"/>
        <w:spacing w:before="312" w:after="312"/>
        <w:rPr>
          <w:rFonts w:hint="eastAsia"/>
        </w:rPr>
      </w:pPr>
      <w:r>
        <w:rPr>
          <w:rFonts w:hint="eastAsia"/>
        </w:rPr>
        <w:t>田间管理</w:t>
      </w:r>
    </w:p>
    <w:p w14:paraId="51E0B22F">
      <w:pPr>
        <w:pStyle w:val="105"/>
        <w:spacing w:before="156" w:after="156"/>
      </w:pPr>
      <w:r>
        <w:rPr>
          <w:rFonts w:hint="eastAsia"/>
        </w:rPr>
        <w:t xml:space="preserve">茶园建设    </w:t>
      </w:r>
    </w:p>
    <w:p w14:paraId="0F98574A">
      <w:pPr>
        <w:pStyle w:val="165"/>
        <w:rPr>
          <w:rFonts w:hint="eastAsia"/>
        </w:rPr>
      </w:pPr>
      <w:r>
        <w:rPr>
          <w:rFonts w:hint="eastAsia"/>
        </w:rPr>
        <w:t>茶园应选址于生态条件良好区域，远离工业污染源、垃圾场等可能产生污染的区域。</w:t>
      </w:r>
    </w:p>
    <w:p w14:paraId="241E0785">
      <w:pPr>
        <w:pStyle w:val="165"/>
        <w:rPr>
          <w:rFonts w:hint="eastAsia"/>
        </w:rPr>
      </w:pPr>
      <w:r>
        <w:rPr>
          <w:rFonts w:hint="eastAsia"/>
        </w:rPr>
        <w:t>合理规划茶园布局，根据地形地貌进行等高种植，营造良好的茶园气候，有利于茶树的生长和病虫害防控。</w:t>
      </w:r>
    </w:p>
    <w:p w14:paraId="7437C40E">
      <w:pPr>
        <w:pStyle w:val="165"/>
        <w:rPr>
          <w:rFonts w:hint="eastAsia"/>
        </w:rPr>
      </w:pPr>
      <w:r>
        <w:rPr>
          <w:rFonts w:hint="eastAsia"/>
        </w:rPr>
        <w:t>茶园道路、沟渠等基础设施配套完善，便于茶园管理和</w:t>
      </w:r>
      <w:r>
        <w:rPr>
          <w:rFonts w:hint="eastAsia"/>
          <w:lang w:eastAsia="zh-CN"/>
        </w:rPr>
        <w:t>夏秋茶</w:t>
      </w:r>
      <w:r>
        <w:rPr>
          <w:rFonts w:hint="eastAsia"/>
        </w:rPr>
        <w:t>采摘运输，道路应宽敞平坦，沟渠应畅通无阻，确保排水和灌溉的顺利进行。</w:t>
      </w:r>
    </w:p>
    <w:p w14:paraId="1E71B125">
      <w:pPr>
        <w:pStyle w:val="105"/>
        <w:spacing w:before="156" w:after="156"/>
        <w:rPr>
          <w:rFonts w:hint="eastAsia"/>
        </w:rPr>
      </w:pPr>
      <w:r>
        <w:rPr>
          <w:rFonts w:hint="eastAsia"/>
        </w:rPr>
        <w:t>茶树种植</w:t>
      </w:r>
    </w:p>
    <w:p w14:paraId="029A49F0">
      <w:pPr>
        <w:pStyle w:val="165"/>
        <w:rPr>
          <w:rFonts w:hint="eastAsia"/>
        </w:rPr>
      </w:pPr>
      <w:r>
        <w:rPr>
          <w:rFonts w:hint="eastAsia"/>
        </w:rPr>
        <w:t>种植密度应根据品种特性和土壤肥力确定，采用科学的种植方法，确保茶树有足够的生长空间，有利于茶树的光合作用和根系发育。</w:t>
      </w:r>
      <w:r>
        <w:rPr>
          <w:rFonts w:hint="eastAsia"/>
          <w:lang w:val="en-US" w:eastAsia="zh-CN"/>
        </w:rPr>
        <w:t xml:space="preserve"> </w:t>
      </w:r>
    </w:p>
    <w:p w14:paraId="08EDE4B5">
      <w:pPr>
        <w:pStyle w:val="165"/>
      </w:pPr>
      <w:r>
        <w:rPr>
          <w:rFonts w:hint="eastAsia"/>
        </w:rPr>
        <w:t>移栽时应选择健壮、无病虫害的茶苗，带土移栽，减少根系损伤，移栽后及时浇水定根，提高成活率。</w:t>
      </w:r>
    </w:p>
    <w:p w14:paraId="5A1F1098">
      <w:pPr>
        <w:pStyle w:val="105"/>
        <w:spacing w:before="156" w:after="156"/>
      </w:pPr>
      <w:r>
        <w:rPr>
          <w:rFonts w:hint="eastAsia"/>
        </w:rPr>
        <w:t xml:space="preserve">茶树修剪    </w:t>
      </w:r>
    </w:p>
    <w:p w14:paraId="2DC6CABB">
      <w:pPr>
        <w:pStyle w:val="165"/>
        <w:rPr>
          <w:rFonts w:hint="eastAsia"/>
        </w:rPr>
      </w:pPr>
      <w:r>
        <w:rPr>
          <w:rFonts w:hint="eastAsia"/>
        </w:rPr>
        <w:t>春茶采摘结束后</w:t>
      </w:r>
      <w:r>
        <w:rPr>
          <w:rFonts w:hint="eastAsia"/>
          <w:lang w:eastAsia="zh-CN"/>
        </w:rPr>
        <w:t>对茶树</w:t>
      </w:r>
      <w:r>
        <w:rPr>
          <w:rFonts w:hint="eastAsia"/>
        </w:rPr>
        <w:t>进行修剪</w:t>
      </w:r>
      <w:r>
        <w:rPr>
          <w:rFonts w:hint="eastAsia"/>
          <w:lang w:eastAsia="zh-CN"/>
        </w:rPr>
        <w:t>，</w:t>
      </w:r>
      <w:r>
        <w:rPr>
          <w:rFonts w:hint="eastAsia"/>
        </w:rPr>
        <w:t>幼龄茶树以培养树冠为主，进行定型修剪，促进分枝和植株骨架的形成。</w:t>
      </w:r>
    </w:p>
    <w:p w14:paraId="23385F7B">
      <w:pPr>
        <w:pStyle w:val="165"/>
        <w:rPr>
          <w:rFonts w:hint="eastAsia"/>
        </w:rPr>
      </w:pPr>
      <w:r>
        <w:rPr>
          <w:rFonts w:hint="eastAsia"/>
        </w:rPr>
        <w:t>成龄茶树在每次采摘结束后，及时进行轻修剪或深修剪，剪去树冠上层的突出枝条、病虫枝、细弱枝等，保持树冠平整，刺激侧芽萌发，控制茶树高度。</w:t>
      </w:r>
    </w:p>
    <w:p w14:paraId="55EDD160">
      <w:pPr>
        <w:pStyle w:val="165"/>
      </w:pPr>
      <w:r>
        <w:rPr>
          <w:rFonts w:hint="eastAsia"/>
        </w:rPr>
        <w:t>根据茶树不同的</w:t>
      </w:r>
      <w:r>
        <w:rPr>
          <w:rFonts w:hint="eastAsia"/>
          <w:highlight w:val="none"/>
        </w:rPr>
        <w:t>生</w:t>
      </w:r>
      <w:r>
        <w:rPr>
          <w:rFonts w:hint="eastAsia"/>
          <w:highlight w:val="none"/>
          <w:lang w:eastAsia="zh-CN"/>
        </w:rPr>
        <w:t>长</w:t>
      </w:r>
      <w:r>
        <w:rPr>
          <w:rFonts w:hint="eastAsia"/>
          <w:highlight w:val="none"/>
        </w:rPr>
        <w:t>阶段</w:t>
      </w:r>
      <w:r>
        <w:rPr>
          <w:rFonts w:hint="eastAsia"/>
        </w:rPr>
        <w:t>，调整修剪方法，控制茶树高度，促进分枝，培养树冠和采摘面。</w:t>
      </w:r>
    </w:p>
    <w:p w14:paraId="6BB43493">
      <w:pPr>
        <w:pStyle w:val="105"/>
        <w:spacing w:before="156" w:after="156"/>
      </w:pPr>
      <w:r>
        <w:rPr>
          <w:rFonts w:hint="eastAsia"/>
        </w:rPr>
        <w:t>施肥</w:t>
      </w:r>
    </w:p>
    <w:p w14:paraId="75C626A7">
      <w:pPr>
        <w:pStyle w:val="165"/>
        <w:rPr>
          <w:strike w:val="0"/>
          <w:dstrike w:val="0"/>
        </w:rPr>
      </w:pPr>
      <w:r>
        <w:rPr>
          <w:rFonts w:hint="eastAsia"/>
          <w:strike w:val="0"/>
          <w:dstrike w:val="0"/>
        </w:rPr>
        <w:t>夏茶根部施肥宜在春茶结束后进行，秋茶根部施肥宜在夏茶结束后进行</w:t>
      </w:r>
      <w:r>
        <w:rPr>
          <w:rFonts w:hint="eastAsia"/>
          <w:strike w:val="0"/>
          <w:dstrike w:val="0"/>
          <w:lang w:eastAsia="zh-CN"/>
        </w:rPr>
        <w:t>。</w:t>
      </w:r>
    </w:p>
    <w:p w14:paraId="24F8E29D">
      <w:pPr>
        <w:pStyle w:val="165"/>
        <w:rPr>
          <w:strike w:val="0"/>
          <w:dstrike w:val="0"/>
        </w:rPr>
      </w:pPr>
      <w:r>
        <w:rPr>
          <w:rFonts w:hint="eastAsia"/>
          <w:strike w:val="0"/>
          <w:dstrike w:val="0"/>
        </w:rPr>
        <w:t>采用科学施肥满足茶树生长需求，根据茶树的生长阶段和土壤肥力状况，合理确定施肥量和施肥时间，促进茶健康生长，应符合NY/T 394、NY/T 5018的规定。</w:t>
      </w:r>
    </w:p>
    <w:p w14:paraId="7D7E1322">
      <w:pPr>
        <w:pStyle w:val="105"/>
        <w:spacing w:before="156" w:after="156"/>
      </w:pPr>
      <w:r>
        <w:rPr>
          <w:rFonts w:hint="eastAsia"/>
        </w:rPr>
        <w:t>施药</w:t>
      </w:r>
    </w:p>
    <w:p w14:paraId="4323C782">
      <w:pPr>
        <w:pStyle w:val="165"/>
        <w:rPr>
          <w:rFonts w:hint="eastAsia"/>
          <w:highlight w:val="none"/>
          <w:lang w:eastAsia="zh-CN"/>
        </w:rPr>
      </w:pPr>
      <w:r>
        <w:rPr>
          <w:rFonts w:hint="eastAsia"/>
          <w:highlight w:val="none"/>
        </w:rPr>
        <w:t>选用高效、低毒、低残留的农药品种</w:t>
      </w:r>
      <w:r>
        <w:rPr>
          <w:rFonts w:hint="eastAsia"/>
          <w:highlight w:val="none"/>
          <w:lang w:eastAsia="zh-CN"/>
        </w:rPr>
        <w:t>，</w:t>
      </w:r>
      <w:r>
        <w:rPr>
          <w:rFonts w:hint="eastAsia"/>
          <w:highlight w:val="none"/>
        </w:rPr>
        <w:t>控制农药的使用量和使用次数，确保农药残留不超标</w:t>
      </w:r>
      <w:r>
        <w:rPr>
          <w:rFonts w:hint="eastAsia"/>
          <w:highlight w:val="none"/>
          <w:lang w:eastAsia="zh-CN"/>
        </w:rPr>
        <w:t>。</w:t>
      </w:r>
    </w:p>
    <w:p w14:paraId="0B9ED125">
      <w:pPr>
        <w:pStyle w:val="165"/>
        <w:rPr>
          <w:rFonts w:hint="eastAsia"/>
        </w:rPr>
      </w:pPr>
      <w:r>
        <w:rPr>
          <w:rFonts w:hint="eastAsia"/>
        </w:rPr>
        <w:t>根据茶树的生长情况进行合理施药，应符合GB/T 8321.10、NY/T 5018、GB 2763的规定。</w:t>
      </w:r>
    </w:p>
    <w:p w14:paraId="6803042A">
      <w:pPr>
        <w:pStyle w:val="105"/>
        <w:spacing w:before="156" w:after="156"/>
      </w:pPr>
      <w:r>
        <w:rPr>
          <w:rFonts w:hint="eastAsia"/>
        </w:rPr>
        <w:t>虫害防治</w:t>
      </w:r>
    </w:p>
    <w:p w14:paraId="0006443B">
      <w:pPr>
        <w:pStyle w:val="65"/>
        <w:spacing w:before="156" w:after="156"/>
      </w:pPr>
      <w:r>
        <w:rPr>
          <w:rFonts w:hint="eastAsia"/>
        </w:rPr>
        <w:t>物理防治</w:t>
      </w:r>
    </w:p>
    <w:p w14:paraId="2EA9FF60">
      <w:pPr>
        <w:pStyle w:val="164"/>
      </w:pPr>
      <w:r>
        <w:rPr>
          <w:rFonts w:hint="eastAsia"/>
          <w:strike w:val="0"/>
          <w:dstrike w:val="0"/>
        </w:rPr>
        <w:t>利用害虫特性进行防治</w:t>
      </w:r>
      <w:r>
        <w:rPr>
          <w:rFonts w:hint="eastAsia"/>
          <w:strike w:val="0"/>
          <w:dstrike w:val="0"/>
          <w:lang w:eastAsia="zh-CN"/>
        </w:rPr>
        <w:t>，</w:t>
      </w:r>
      <w:r>
        <w:rPr>
          <w:rFonts w:hint="eastAsia"/>
        </w:rPr>
        <w:t>采用人工捕杀防治虫害。</w:t>
      </w:r>
    </w:p>
    <w:p w14:paraId="675869DE">
      <w:pPr>
        <w:pStyle w:val="164"/>
      </w:pPr>
      <w:r>
        <w:rPr>
          <w:rFonts w:hint="eastAsia"/>
          <w:lang w:eastAsia="zh-CN"/>
        </w:rPr>
        <w:t>宜</w:t>
      </w:r>
      <w:r>
        <w:rPr>
          <w:rFonts w:hint="eastAsia"/>
        </w:rPr>
        <w:t>采用灯光诱杀、色板诱杀、异性诱杀或释放天敌</w:t>
      </w:r>
      <w:r>
        <w:rPr>
          <w:rFonts w:hint="eastAsia"/>
          <w:highlight w:val="none"/>
        </w:rPr>
        <w:t>等防治</w:t>
      </w:r>
      <w:r>
        <w:rPr>
          <w:rFonts w:hint="eastAsia"/>
          <w:highlight w:val="none"/>
          <w:lang w:eastAsia="zh-CN"/>
        </w:rPr>
        <w:t>方法</w:t>
      </w:r>
      <w:r>
        <w:rPr>
          <w:rFonts w:hint="eastAsia"/>
          <w:highlight w:val="none"/>
        </w:rPr>
        <w:t>。</w:t>
      </w:r>
    </w:p>
    <w:p w14:paraId="2A1A2C9A">
      <w:pPr>
        <w:pStyle w:val="65"/>
        <w:spacing w:before="156" w:after="156"/>
      </w:pPr>
      <w:r>
        <w:rPr>
          <w:rFonts w:hint="eastAsia"/>
        </w:rPr>
        <w:t>化学防治</w:t>
      </w:r>
    </w:p>
    <w:p w14:paraId="5B492F50">
      <w:pPr>
        <w:pStyle w:val="164"/>
      </w:pPr>
      <w:r>
        <w:rPr>
          <w:rFonts w:hint="eastAsia"/>
        </w:rPr>
        <w:t>严格掌握防治标准和防治适期喷药，尽量选择挑治、早治。</w:t>
      </w:r>
    </w:p>
    <w:p w14:paraId="52AFB323">
      <w:pPr>
        <w:pStyle w:val="164"/>
      </w:pPr>
      <w:r>
        <w:rPr>
          <w:rFonts w:hint="eastAsia"/>
        </w:rPr>
        <w:t>选用高效低残留低水溶性的化学农药进行防治</w:t>
      </w:r>
      <w:r>
        <w:rPr>
          <w:rFonts w:hint="eastAsia"/>
          <w:highlight w:val="none"/>
          <w:lang w:eastAsia="zh-CN"/>
        </w:rPr>
        <w:t>，</w:t>
      </w:r>
      <w:r>
        <w:rPr>
          <w:rFonts w:hint="eastAsia"/>
        </w:rPr>
        <w:t>应符合NY/T 393、NY/T 1276的规定。</w:t>
      </w:r>
    </w:p>
    <w:p w14:paraId="38690B0A">
      <w:pPr>
        <w:pStyle w:val="65"/>
        <w:spacing w:before="156" w:after="156"/>
      </w:pPr>
      <w:r>
        <w:rPr>
          <w:rFonts w:hint="eastAsia"/>
        </w:rPr>
        <w:t>生物防治</w:t>
      </w:r>
    </w:p>
    <w:p w14:paraId="2B551C45">
      <w:pPr>
        <w:pStyle w:val="164"/>
      </w:pPr>
      <w:r>
        <w:rPr>
          <w:rFonts w:hint="eastAsia"/>
        </w:rPr>
        <w:t>保护和利</w:t>
      </w:r>
      <w:r>
        <w:rPr>
          <w:rFonts w:hint="eastAsia"/>
          <w:highlight w:val="none"/>
        </w:rPr>
        <w:t>用</w:t>
      </w:r>
      <w:r>
        <w:rPr>
          <w:rFonts w:hint="eastAsia"/>
          <w:highlight w:val="none"/>
          <w:lang w:eastAsia="zh-CN"/>
        </w:rPr>
        <w:t>夏秋茶</w:t>
      </w:r>
      <w:r>
        <w:rPr>
          <w:rFonts w:hint="eastAsia"/>
          <w:highlight w:val="none"/>
        </w:rPr>
        <w:t>中的</w:t>
      </w:r>
      <w:r>
        <w:rPr>
          <w:rFonts w:hint="eastAsia"/>
        </w:rPr>
        <w:t>有益生物，减少人为对害虫天敌的干预。</w:t>
      </w:r>
    </w:p>
    <w:p w14:paraId="37BC75DB">
      <w:pPr>
        <w:pStyle w:val="164"/>
      </w:pPr>
      <w:r>
        <w:rPr>
          <w:rFonts w:hint="eastAsia"/>
        </w:rPr>
        <w:t>使用生物源农药，对害虫进行杀灭或抑制。所使用的生物源农药应通过农业部登记许可。</w:t>
      </w:r>
    </w:p>
    <w:p w14:paraId="14E5BEBE">
      <w:pPr>
        <w:pStyle w:val="104"/>
        <w:spacing w:before="312" w:after="312"/>
      </w:pPr>
      <w:r>
        <w:rPr>
          <w:rFonts w:hint="eastAsia"/>
        </w:rPr>
        <w:t>鲜叶采摘</w:t>
      </w:r>
    </w:p>
    <w:p w14:paraId="5A67E664">
      <w:pPr>
        <w:pStyle w:val="105"/>
        <w:spacing w:before="156" w:after="156"/>
      </w:pPr>
      <w:r>
        <w:rPr>
          <w:rFonts w:hint="eastAsia"/>
        </w:rPr>
        <w:t>采摘时间</w:t>
      </w:r>
    </w:p>
    <w:p w14:paraId="7BA42C58">
      <w:pPr>
        <w:pStyle w:val="56"/>
        <w:ind w:firstLine="420"/>
        <w:rPr>
          <w:rFonts w:hint="eastAsia" w:ascii="Times New Roman"/>
          <w:highlight w:val="none"/>
          <w:lang w:eastAsia="zh-CN"/>
        </w:rPr>
      </w:pPr>
      <w:r>
        <w:rPr>
          <w:rFonts w:hint="eastAsia" w:ascii="Times New Roman"/>
          <w:highlight w:val="none"/>
        </w:rPr>
        <w:t>夏茶</w:t>
      </w:r>
      <w:r>
        <w:rPr>
          <w:rFonts w:hint="eastAsia" w:ascii="Times New Roman"/>
          <w:highlight w:val="none"/>
          <w:lang w:eastAsia="zh-CN"/>
        </w:rPr>
        <w:t>宜</w:t>
      </w:r>
      <w:r>
        <w:rPr>
          <w:rFonts w:hint="eastAsia" w:ascii="Times New Roman"/>
          <w:highlight w:val="none"/>
        </w:rPr>
        <w:t>在5月中下旬至7月上旬</w:t>
      </w:r>
      <w:r>
        <w:rPr>
          <w:rFonts w:hint="eastAsia" w:ascii="Times New Roman"/>
          <w:highlight w:val="none"/>
          <w:lang w:eastAsia="zh-CN"/>
        </w:rPr>
        <w:t>采摘</w:t>
      </w:r>
      <w:r>
        <w:rPr>
          <w:rFonts w:hint="eastAsia" w:ascii="Times New Roman"/>
          <w:highlight w:val="none"/>
        </w:rPr>
        <w:t>，秋茶</w:t>
      </w:r>
      <w:r>
        <w:rPr>
          <w:rFonts w:hint="eastAsia" w:ascii="Times New Roman"/>
          <w:highlight w:val="none"/>
          <w:lang w:eastAsia="zh-CN"/>
        </w:rPr>
        <w:t>宜</w:t>
      </w:r>
      <w:r>
        <w:rPr>
          <w:rFonts w:hint="eastAsia" w:ascii="Times New Roman"/>
          <w:highlight w:val="none"/>
        </w:rPr>
        <w:t>在8月上旬至10月下旬</w:t>
      </w:r>
      <w:r>
        <w:rPr>
          <w:rFonts w:hint="eastAsia" w:ascii="Times New Roman"/>
          <w:highlight w:val="none"/>
          <w:lang w:eastAsia="zh-CN"/>
        </w:rPr>
        <w:t>采摘</w:t>
      </w:r>
      <w:r>
        <w:rPr>
          <w:rFonts w:hint="eastAsia" w:ascii="Times New Roman"/>
          <w:highlight w:val="none"/>
        </w:rPr>
        <w:t>。避免过早或过晚采摘，影响茶叶品质。</w:t>
      </w:r>
    </w:p>
    <w:p w14:paraId="44989F67">
      <w:pPr>
        <w:pStyle w:val="105"/>
        <w:spacing w:before="156" w:after="156"/>
      </w:pPr>
      <w:r>
        <w:rPr>
          <w:rFonts w:hint="eastAsia"/>
        </w:rPr>
        <w:t>采摘方式</w:t>
      </w:r>
    </w:p>
    <w:p w14:paraId="049CC784">
      <w:pPr>
        <w:pStyle w:val="165"/>
        <w:rPr>
          <w:rFonts w:hint="eastAsia"/>
          <w:lang w:eastAsia="zh-CN"/>
        </w:rPr>
      </w:pPr>
      <w:r>
        <w:rPr>
          <w:rFonts w:hint="eastAsia"/>
        </w:rPr>
        <w:t>采用提手采、捋采、抓采等</w:t>
      </w:r>
      <w:r>
        <w:rPr>
          <w:rFonts w:hint="eastAsia"/>
          <w:lang w:eastAsia="zh-CN"/>
        </w:rPr>
        <w:t>手工</w:t>
      </w:r>
      <w:r>
        <w:rPr>
          <w:rFonts w:hint="eastAsia"/>
          <w:color w:val="auto"/>
        </w:rPr>
        <w:t>方式</w:t>
      </w:r>
      <w:r>
        <w:rPr>
          <w:rFonts w:hint="eastAsia"/>
        </w:rPr>
        <w:t>采摘</w:t>
      </w:r>
      <w:r>
        <w:rPr>
          <w:rFonts w:hint="eastAsia"/>
          <w:lang w:eastAsia="zh-CN"/>
        </w:rPr>
        <w:t>，</w:t>
      </w:r>
      <w:r>
        <w:rPr>
          <w:rFonts w:hint="eastAsia"/>
        </w:rPr>
        <w:t>遵循采留结合、量质兼顾和因园制宜的原则，按照标准对夏秋茶进行采摘</w:t>
      </w:r>
      <w:r>
        <w:rPr>
          <w:rFonts w:hint="eastAsia"/>
          <w:lang w:eastAsia="zh-CN"/>
        </w:rPr>
        <w:t>。</w:t>
      </w:r>
    </w:p>
    <w:p w14:paraId="76FD8F12">
      <w:pPr>
        <w:pStyle w:val="165"/>
        <w:rPr>
          <w:rFonts w:hint="eastAsia"/>
        </w:rPr>
      </w:pPr>
      <w:r>
        <w:rPr>
          <w:rFonts w:hint="eastAsia"/>
        </w:rPr>
        <w:t>夏秋茶在一芽三叶占60%～70%时，宜采用机械</w:t>
      </w:r>
      <w:r>
        <w:rPr>
          <w:rFonts w:hint="eastAsia"/>
          <w:color w:val="auto"/>
        </w:rPr>
        <w:t>方式</w:t>
      </w:r>
      <w:r>
        <w:rPr>
          <w:rFonts w:hint="eastAsia"/>
        </w:rPr>
        <w:t>采摘。机采作业应符合NY/T 225的规定，采茶机应符合DG/T 076的规定。</w:t>
      </w:r>
    </w:p>
    <w:p w14:paraId="714675AA">
      <w:pPr>
        <w:pStyle w:val="105"/>
        <w:spacing w:before="156" w:after="156"/>
      </w:pPr>
      <w:r>
        <w:rPr>
          <w:rFonts w:hint="eastAsia"/>
        </w:rPr>
        <w:t>采摘要求</w:t>
      </w:r>
    </w:p>
    <w:p w14:paraId="2A9B23C0">
      <w:pPr>
        <w:pStyle w:val="65"/>
        <w:spacing w:before="156" w:after="156"/>
      </w:pPr>
      <w:r>
        <w:rPr>
          <w:rFonts w:hint="eastAsia"/>
          <w:lang w:eastAsia="zh-CN"/>
        </w:rPr>
        <w:t>采摘人员要求</w:t>
      </w:r>
    </w:p>
    <w:p w14:paraId="3680B98A">
      <w:pPr>
        <w:pStyle w:val="56"/>
        <w:ind w:firstLine="420"/>
        <w:rPr>
          <w:rFonts w:hint="eastAsia" w:ascii="Times New Roman"/>
          <w:highlight w:val="green"/>
          <w:lang w:eastAsia="zh-CN"/>
        </w:rPr>
      </w:pPr>
      <w:r>
        <w:rPr>
          <w:rFonts w:hint="eastAsia" w:ascii="Times New Roman"/>
          <w:lang w:eastAsia="zh-CN"/>
        </w:rPr>
        <w:t>采摘人员应经过专业培训，掌握正确的</w:t>
      </w:r>
      <w:r>
        <w:rPr>
          <w:rFonts w:hint="eastAsia" w:ascii="Times New Roman"/>
          <w:highlight w:val="none"/>
          <w:lang w:eastAsia="zh-CN"/>
        </w:rPr>
        <w:t>采摘方法，手采要保持鲜叶的完整和新鲜度，机采则要注意调整好采摘机的参数，避免对鲜叶造成过度损伤。</w:t>
      </w:r>
    </w:p>
    <w:p w14:paraId="0037CB42">
      <w:pPr>
        <w:pStyle w:val="65"/>
        <w:spacing w:before="156" w:after="156"/>
      </w:pPr>
      <w:r>
        <w:rPr>
          <w:rFonts w:hint="eastAsia"/>
          <w:lang w:eastAsia="zh-CN"/>
        </w:rPr>
        <w:t>采摘质量要求</w:t>
      </w:r>
    </w:p>
    <w:p w14:paraId="021138C1">
      <w:pPr>
        <w:pStyle w:val="164"/>
        <w:rPr>
          <w:rFonts w:hint="eastAsia"/>
          <w:lang w:eastAsia="zh-CN"/>
        </w:rPr>
      </w:pPr>
      <w:r>
        <w:rPr>
          <w:rFonts w:hint="eastAsia"/>
          <w:color w:val="auto"/>
        </w:rPr>
        <w:t>按照标准对夏秋茶进行采摘</w:t>
      </w:r>
      <w:r>
        <w:rPr>
          <w:rFonts w:hint="eastAsia"/>
          <w:color w:val="auto"/>
          <w:lang w:eastAsia="zh-CN"/>
        </w:rPr>
        <w:t>，</w:t>
      </w:r>
      <w:r>
        <w:rPr>
          <w:rFonts w:hint="eastAsia"/>
          <w:color w:val="auto"/>
        </w:rPr>
        <w:t>机采作业应符合NY/T 225的规定，采茶机应符合DG/T 076的规定。</w:t>
      </w:r>
      <w:r>
        <w:rPr>
          <w:rFonts w:hint="eastAsia"/>
          <w:color w:val="auto"/>
          <w:lang w:eastAsia="zh-CN"/>
        </w:rPr>
        <w:t>鲜</w:t>
      </w:r>
      <w:r>
        <w:rPr>
          <w:rFonts w:hint="eastAsia"/>
        </w:rPr>
        <w:t>叶外形美观、内质鲜嫩</w:t>
      </w:r>
      <w:r>
        <w:rPr>
          <w:rFonts w:hint="eastAsia"/>
          <w:lang w:eastAsia="zh-CN"/>
        </w:rPr>
        <w:t>，</w:t>
      </w:r>
      <w:r>
        <w:rPr>
          <w:rFonts w:hint="eastAsia"/>
        </w:rPr>
        <w:t>芽叶完整、新鲜、均匀</w:t>
      </w:r>
      <w:r>
        <w:rPr>
          <w:rFonts w:hint="eastAsia"/>
          <w:lang w:eastAsia="zh-CN"/>
        </w:rPr>
        <w:t>。</w:t>
      </w:r>
    </w:p>
    <w:p w14:paraId="098E4E6E">
      <w:pPr>
        <w:pStyle w:val="164"/>
      </w:pPr>
      <w:r>
        <w:rPr>
          <w:rFonts w:hint="eastAsia"/>
        </w:rPr>
        <w:t>采摘过程中应剔除杂草、病虫害叶</w:t>
      </w:r>
      <w:r>
        <w:rPr>
          <w:rFonts w:hint="eastAsia"/>
          <w:lang w:eastAsia="zh-CN"/>
        </w:rPr>
        <w:t>，</w:t>
      </w:r>
      <w:r>
        <w:rPr>
          <w:rFonts w:hint="eastAsia"/>
        </w:rPr>
        <w:t>不夹带梗片</w:t>
      </w:r>
      <w:r>
        <w:rPr>
          <w:rFonts w:hint="eastAsia"/>
          <w:lang w:eastAsia="zh-CN"/>
        </w:rPr>
        <w:t>、</w:t>
      </w:r>
      <w:r>
        <w:rPr>
          <w:rFonts w:hint="eastAsia"/>
        </w:rPr>
        <w:t>茶果</w:t>
      </w:r>
      <w:r>
        <w:rPr>
          <w:rFonts w:hint="eastAsia"/>
          <w:lang w:eastAsia="zh-CN"/>
        </w:rPr>
        <w:t>等</w:t>
      </w:r>
      <w:r>
        <w:rPr>
          <w:rFonts w:hint="eastAsia"/>
        </w:rPr>
        <w:t>杂质，确保鲜叶的纯净度。</w:t>
      </w:r>
    </w:p>
    <w:p w14:paraId="63B4EDDA">
      <w:pPr>
        <w:pStyle w:val="164"/>
        <w:rPr>
          <w:rFonts w:hint="eastAsia"/>
        </w:rPr>
      </w:pPr>
      <w:r>
        <w:rPr>
          <w:rFonts w:hint="eastAsia"/>
          <w:lang w:eastAsia="zh-CN"/>
        </w:rPr>
        <w:t>采摘</w:t>
      </w:r>
      <w:r>
        <w:rPr>
          <w:rFonts w:hint="eastAsia"/>
        </w:rPr>
        <w:t>过程中注意保护鲜叶的品质</w:t>
      </w:r>
      <w:r>
        <w:rPr>
          <w:rFonts w:hint="eastAsia"/>
          <w:lang w:eastAsia="zh-CN"/>
        </w:rPr>
        <w:t>，</w:t>
      </w:r>
      <w:r>
        <w:rPr>
          <w:rFonts w:hint="eastAsia"/>
        </w:rPr>
        <w:t>避免在对鲜叶造成过度损伤，影响后续加工和茶叶品质</w:t>
      </w:r>
      <w:r>
        <w:rPr>
          <w:rFonts w:hint="eastAsia"/>
          <w:lang w:eastAsia="zh-CN"/>
        </w:rPr>
        <w:t>。</w:t>
      </w:r>
    </w:p>
    <w:p w14:paraId="18C97C41">
      <w:pPr>
        <w:pStyle w:val="105"/>
        <w:spacing w:before="156" w:after="156"/>
      </w:pPr>
      <w:r>
        <w:rPr>
          <w:rFonts w:hint="eastAsia"/>
        </w:rPr>
        <w:t>鲜叶运输</w:t>
      </w:r>
    </w:p>
    <w:p w14:paraId="1B4A95C5">
      <w:pPr>
        <w:pStyle w:val="165"/>
      </w:pPr>
      <w:r>
        <w:rPr>
          <w:rFonts w:hint="eastAsia"/>
        </w:rPr>
        <w:t>采摘后的鲜叶应及时装运，避免积压和日晒雨淋。</w:t>
      </w:r>
    </w:p>
    <w:p w14:paraId="4A9FB725">
      <w:pPr>
        <w:pStyle w:val="165"/>
        <w:rPr>
          <w:highlight w:val="none"/>
        </w:rPr>
      </w:pPr>
      <w:r>
        <w:rPr>
          <w:rFonts w:hint="eastAsia"/>
        </w:rPr>
        <w:t>运输工具应清洁卫生，无异味，可采用竹篮、竹筐等透气性好的容器盛</w:t>
      </w:r>
      <w:r>
        <w:rPr>
          <w:rFonts w:hint="eastAsia"/>
          <w:highlight w:val="none"/>
        </w:rPr>
        <w:t>装</w:t>
      </w:r>
      <w:r>
        <w:rPr>
          <w:rFonts w:hint="eastAsia"/>
          <w:highlight w:val="none"/>
          <w:lang w:eastAsia="zh-CN"/>
        </w:rPr>
        <w:t>夏秋茶</w:t>
      </w:r>
      <w:r>
        <w:rPr>
          <w:rFonts w:hint="eastAsia"/>
          <w:highlight w:val="none"/>
        </w:rPr>
        <w:t>鲜叶。</w:t>
      </w:r>
    </w:p>
    <w:p w14:paraId="39E46B27">
      <w:pPr>
        <w:pStyle w:val="165"/>
      </w:pPr>
      <w:r>
        <w:rPr>
          <w:rFonts w:hint="eastAsia"/>
          <w:highlight w:val="none"/>
        </w:rPr>
        <w:t>运输过程中应注意防晒、防雨、通风降温，尽量缩短运输时间，确保</w:t>
      </w:r>
      <w:r>
        <w:rPr>
          <w:rFonts w:hint="eastAsia"/>
          <w:highlight w:val="none"/>
          <w:lang w:eastAsia="zh-CN"/>
        </w:rPr>
        <w:t>夏秋茶</w:t>
      </w:r>
      <w:r>
        <w:rPr>
          <w:rFonts w:hint="eastAsia"/>
        </w:rPr>
        <w:t>鲜叶尽快加工处理</w:t>
      </w:r>
      <w:r>
        <w:rPr>
          <w:rFonts w:hint="eastAsia"/>
          <w:lang w:eastAsia="zh-CN"/>
        </w:rPr>
        <w:t>防止</w:t>
      </w:r>
      <w:r>
        <w:rPr>
          <w:rFonts w:hint="eastAsia"/>
        </w:rPr>
        <w:t>鲜叶变质或混入毒害物质。</w:t>
      </w:r>
    </w:p>
    <w:p w14:paraId="49CF557A">
      <w:pPr>
        <w:pStyle w:val="105"/>
        <w:numPr>
          <w:ilvl w:val="2"/>
          <w:numId w:val="32"/>
        </w:numPr>
        <w:spacing w:before="156" w:after="156"/>
      </w:pPr>
      <w:r>
        <w:rPr>
          <w:rFonts w:hint="eastAsia"/>
        </w:rPr>
        <w:t>鲜叶加工</w:t>
      </w:r>
    </w:p>
    <w:p w14:paraId="58F89F99">
      <w:pPr>
        <w:pStyle w:val="105"/>
        <w:numPr>
          <w:ilvl w:val="2"/>
          <w:numId w:val="32"/>
        </w:numPr>
        <w:spacing w:before="156" w:after="156"/>
        <w:rPr>
          <w:highlight w:val="none"/>
        </w:rPr>
      </w:pPr>
      <w:r>
        <w:rPr>
          <w:rFonts w:hint="eastAsia"/>
          <w:highlight w:val="none"/>
        </w:rPr>
        <w:t>除杂</w:t>
      </w:r>
    </w:p>
    <w:p w14:paraId="5854D4D3">
      <w:pPr>
        <w:pStyle w:val="165"/>
        <w:rPr>
          <w:rFonts w:hint="eastAsia"/>
          <w:highlight w:val="none"/>
        </w:rPr>
      </w:pPr>
      <w:r>
        <w:rPr>
          <w:rFonts w:hint="eastAsia"/>
          <w:highlight w:val="none"/>
        </w:rPr>
        <w:t>人工或选用竹筛、簸箕、风选机、拣梗机等除杂设备，并确保设备清洁、无异味。</w:t>
      </w:r>
    </w:p>
    <w:p w14:paraId="1B2EB786">
      <w:pPr>
        <w:pStyle w:val="165"/>
        <w:rPr>
          <w:rFonts w:hint="eastAsia"/>
          <w:highlight w:val="none"/>
        </w:rPr>
      </w:pPr>
      <w:r>
        <w:rPr>
          <w:rFonts w:hint="eastAsia"/>
          <w:highlight w:val="none"/>
        </w:rPr>
        <w:t>去</w:t>
      </w:r>
      <w:r>
        <w:rPr>
          <w:rFonts w:hint="eastAsia"/>
          <w:highlight w:val="none"/>
          <w:lang w:eastAsia="zh-CN"/>
        </w:rPr>
        <w:t>除</w:t>
      </w:r>
      <w:r>
        <w:rPr>
          <w:rFonts w:hint="eastAsia"/>
          <w:highlight w:val="none"/>
        </w:rPr>
        <w:t>夏秋茶鲜叶中泥沙、石子、害叶、碎茶沫、茶梗等杂质。</w:t>
      </w:r>
    </w:p>
    <w:p w14:paraId="506AFB00">
      <w:pPr>
        <w:pStyle w:val="165"/>
        <w:rPr>
          <w:rFonts w:hint="eastAsia"/>
          <w:highlight w:val="none"/>
          <w:lang w:val="en-US" w:eastAsia="zh-CN"/>
        </w:rPr>
      </w:pPr>
      <w:r>
        <w:rPr>
          <w:rFonts w:hint="eastAsia"/>
          <w:highlight w:val="none"/>
        </w:rPr>
        <w:t>除杂完成后，随机抽取一定量的鲜叶进行复查，</w:t>
      </w:r>
      <w:r>
        <w:rPr>
          <w:rFonts w:ascii="PingFang SC-Regular" w:hAnsi="PingFang SC-Regular" w:eastAsia="PingFang SC-Regular" w:cs="PingFang SC-Regular"/>
          <w:i w:val="0"/>
          <w:iCs w:val="0"/>
          <w:caps w:val="0"/>
          <w:color w:val="1B1C21"/>
          <w:spacing w:val="7"/>
          <w:sz w:val="21"/>
          <w:szCs w:val="21"/>
          <w:highlight w:val="none"/>
          <w:shd w:val="clear" w:fill="FFFFFF"/>
        </w:rPr>
        <w:t>检查</w:t>
      </w:r>
      <w:r>
        <w:rPr>
          <w:rFonts w:hint="eastAsia"/>
          <w:highlight w:val="none"/>
        </w:rPr>
        <w:t>是否有遗漏的杂质。</w:t>
      </w:r>
      <w:r>
        <w:rPr>
          <w:rFonts w:hint="eastAsia"/>
          <w:highlight w:val="none"/>
          <w:lang w:eastAsia="zh-CN"/>
        </w:rPr>
        <w:t>若</w:t>
      </w:r>
      <w:r>
        <w:rPr>
          <w:rFonts w:hint="eastAsia"/>
          <w:highlight w:val="none"/>
        </w:rPr>
        <w:t>仍有杂质存在，</w:t>
      </w:r>
      <w:r>
        <w:rPr>
          <w:rFonts w:ascii="PingFang SC-Regular" w:hAnsi="PingFang SC-Regular" w:eastAsia="PingFang SC-Regular" w:cs="PingFang SC-Regular"/>
          <w:i w:val="0"/>
          <w:iCs w:val="0"/>
          <w:caps w:val="0"/>
          <w:color w:val="1B1C21"/>
          <w:spacing w:val="7"/>
          <w:sz w:val="21"/>
          <w:szCs w:val="21"/>
          <w:highlight w:val="none"/>
          <w:shd w:val="clear" w:fill="FFFFFF"/>
        </w:rPr>
        <w:t>应及时追溯到相应工序重新除杂</w:t>
      </w:r>
      <w:r>
        <w:rPr>
          <w:rFonts w:hint="eastAsia"/>
          <w:highlight w:val="none"/>
          <w:lang w:eastAsia="zh-CN"/>
        </w:rPr>
        <w:t>。</w:t>
      </w:r>
    </w:p>
    <w:p w14:paraId="05F8942D">
      <w:pPr>
        <w:pStyle w:val="105"/>
        <w:numPr>
          <w:ilvl w:val="2"/>
          <w:numId w:val="32"/>
        </w:numPr>
        <w:spacing w:before="156" w:after="156"/>
        <w:rPr>
          <w:highlight w:val="none"/>
        </w:rPr>
      </w:pPr>
      <w:r>
        <w:rPr>
          <w:rFonts w:hint="eastAsia"/>
          <w:highlight w:val="none"/>
        </w:rPr>
        <w:t>干燥</w:t>
      </w:r>
    </w:p>
    <w:p w14:paraId="422E9C6E">
      <w:pPr>
        <w:pStyle w:val="165"/>
        <w:rPr>
          <w:rFonts w:hint="eastAsia"/>
        </w:rPr>
      </w:pPr>
      <w:r>
        <w:rPr>
          <w:rFonts w:hint="eastAsia"/>
          <w:lang w:eastAsia="zh-CN"/>
        </w:rPr>
        <w:t>根据烘干、炒干或晒干等不同干燥方式，选用</w:t>
      </w:r>
      <w:r>
        <w:rPr>
          <w:rFonts w:hint="eastAsia"/>
        </w:rPr>
        <w:t>合适的设备</w:t>
      </w:r>
      <w:r>
        <w:rPr>
          <w:rFonts w:hint="eastAsia"/>
          <w:lang w:eastAsia="zh-CN"/>
        </w:rPr>
        <w:t>。</w:t>
      </w:r>
    </w:p>
    <w:p w14:paraId="4A4F23D4">
      <w:pPr>
        <w:pStyle w:val="165"/>
        <w:rPr>
          <w:rFonts w:hint="eastAsia"/>
        </w:rPr>
      </w:pPr>
      <w:r>
        <w:rPr>
          <w:rFonts w:hint="eastAsia"/>
        </w:rPr>
        <w:t>控制设备温度、时间等</w:t>
      </w:r>
      <w:r>
        <w:rPr>
          <w:rFonts w:hint="eastAsia"/>
          <w:lang w:eastAsia="zh-CN"/>
        </w:rPr>
        <w:t>，将夏秋茶</w:t>
      </w:r>
      <w:r>
        <w:rPr>
          <w:rFonts w:hint="eastAsia"/>
        </w:rPr>
        <w:t>鲜叶</w:t>
      </w:r>
      <w:r>
        <w:rPr>
          <w:rFonts w:hint="eastAsia"/>
          <w:lang w:eastAsia="zh-CN"/>
        </w:rPr>
        <w:t>进行干燥</w:t>
      </w:r>
      <w:r>
        <w:rPr>
          <w:rFonts w:hint="eastAsia"/>
        </w:rPr>
        <w:t>至含水量满足存放需求。</w:t>
      </w:r>
    </w:p>
    <w:p w14:paraId="63101646">
      <w:pPr>
        <w:pStyle w:val="165"/>
        <w:rPr>
          <w:rFonts w:hint="default"/>
          <w:lang w:val="en-US" w:eastAsia="zh-CN"/>
        </w:rPr>
      </w:pPr>
      <w:r>
        <w:rPr>
          <w:rFonts w:hint="eastAsia"/>
          <w:lang w:eastAsia="zh-CN"/>
        </w:rPr>
        <w:t>干燥完成后，</w:t>
      </w:r>
      <w:r>
        <w:rPr>
          <w:rFonts w:hint="eastAsia"/>
        </w:rPr>
        <w:t>随机抽取一定量</w:t>
      </w:r>
      <w:r>
        <w:rPr>
          <w:rFonts w:hint="eastAsia"/>
          <w:lang w:eastAsia="zh-CN"/>
        </w:rPr>
        <w:t>的夏秋茶茶叶进行查验，检查水分及感官等是否合格，确保茶叶品质。</w:t>
      </w:r>
    </w:p>
    <w:p w14:paraId="05C5D778">
      <w:pPr>
        <w:pStyle w:val="105"/>
        <w:numPr>
          <w:ilvl w:val="2"/>
          <w:numId w:val="32"/>
        </w:numPr>
        <w:spacing w:before="156" w:after="156"/>
      </w:pPr>
      <w:r>
        <w:rPr>
          <w:rFonts w:hint="eastAsia"/>
        </w:rPr>
        <w:t>包装</w:t>
      </w:r>
    </w:p>
    <w:p w14:paraId="00CF6A79">
      <w:pPr>
        <w:pStyle w:val="165"/>
      </w:pPr>
      <w:r>
        <w:rPr>
          <w:rFonts w:hint="eastAsia"/>
        </w:rPr>
        <w:t>夏秋茶的包装材料，应符合食品安全要求，且干燥、清洁、无异味及不影响夏秋茶品质。</w:t>
      </w:r>
    </w:p>
    <w:p w14:paraId="18816152">
      <w:pPr>
        <w:pStyle w:val="165"/>
      </w:pPr>
      <w:r>
        <w:rPr>
          <w:rFonts w:hint="eastAsia"/>
        </w:rPr>
        <w:t>包装用纸应符合GB 4806.8的规定；聚乙烯袋、聚丙烯袋或复合袋应符合GB 4806.7、GB 4806.13的规定；编织袋应符合GB/T 8946的规定。</w:t>
      </w:r>
    </w:p>
    <w:p w14:paraId="16731F33">
      <w:pPr>
        <w:pStyle w:val="165"/>
      </w:pPr>
      <w:r>
        <w:rPr>
          <w:rFonts w:hint="eastAsia"/>
        </w:rPr>
        <w:t>包装应严密、无泄漏，运输包装材料采用纸箱，并符合GH/T 1070的规定。</w:t>
      </w:r>
    </w:p>
    <w:p w14:paraId="27F3BC9E">
      <w:pPr>
        <w:pStyle w:val="104"/>
        <w:spacing w:before="312" w:after="312"/>
      </w:pPr>
      <w:r>
        <w:rPr>
          <w:rFonts w:hint="eastAsia"/>
        </w:rPr>
        <w:t>技术要求</w:t>
      </w:r>
    </w:p>
    <w:p w14:paraId="2E437C30">
      <w:pPr>
        <w:pStyle w:val="105"/>
        <w:spacing w:before="156" w:after="156"/>
      </w:pPr>
      <w:r>
        <w:rPr>
          <w:rFonts w:hint="eastAsia"/>
        </w:rPr>
        <w:t>感官要求</w:t>
      </w:r>
    </w:p>
    <w:p w14:paraId="293CD23A">
      <w:pPr>
        <w:pStyle w:val="56"/>
        <w:ind w:firstLine="420"/>
      </w:pPr>
      <w:r>
        <w:rPr>
          <w:rFonts w:hint="eastAsia"/>
        </w:rPr>
        <w:t>应符合表1的规定。</w:t>
      </w:r>
    </w:p>
    <w:p w14:paraId="683F2A3B">
      <w:pPr>
        <w:pStyle w:val="112"/>
        <w:spacing w:before="156" w:after="156"/>
      </w:pPr>
      <w:r>
        <w:rPr>
          <w:rFonts w:hint="eastAsia"/>
        </w:rPr>
        <w:t>感官要求</w:t>
      </w: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490"/>
        <w:gridCol w:w="6884"/>
      </w:tblGrid>
      <w:tr w14:paraId="1A8D80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490" w:type="dxa"/>
            <w:tcBorders>
              <w:top w:val="single" w:color="auto" w:sz="8" w:space="0"/>
              <w:bottom w:val="single" w:color="auto" w:sz="8" w:space="0"/>
            </w:tcBorders>
            <w:shd w:val="clear" w:color="auto" w:fill="auto"/>
            <w:vAlign w:val="center"/>
          </w:tcPr>
          <w:p w14:paraId="0423252E">
            <w:pPr>
              <w:pStyle w:val="178"/>
              <w:rPr>
                <w:rFonts w:ascii="Times New Roman"/>
              </w:rPr>
            </w:pPr>
            <w:r>
              <w:rPr>
                <w:rFonts w:hAnsi="宋体"/>
              </w:rPr>
              <w:t>项目</w:t>
            </w:r>
          </w:p>
        </w:tc>
        <w:tc>
          <w:tcPr>
            <w:tcW w:w="6884" w:type="dxa"/>
            <w:tcBorders>
              <w:top w:val="single" w:color="auto" w:sz="8" w:space="0"/>
              <w:bottom w:val="single" w:color="auto" w:sz="8" w:space="0"/>
            </w:tcBorders>
            <w:shd w:val="clear" w:color="auto" w:fill="auto"/>
            <w:vAlign w:val="center"/>
          </w:tcPr>
          <w:p w14:paraId="7060AC00">
            <w:pPr>
              <w:pStyle w:val="178"/>
            </w:pPr>
            <w:r>
              <w:rPr>
                <w:rFonts w:hint="eastAsia" w:hAnsi="宋体"/>
              </w:rPr>
              <w:t>要求</w:t>
            </w:r>
          </w:p>
        </w:tc>
      </w:tr>
      <w:tr w14:paraId="7A8992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0" w:type="dxa"/>
            <w:shd w:val="clear" w:color="auto" w:fill="auto"/>
            <w:vAlign w:val="center"/>
          </w:tcPr>
          <w:p w14:paraId="57CA1257">
            <w:pPr>
              <w:pStyle w:val="178"/>
              <w:rPr>
                <w:rFonts w:hAnsi="宋体"/>
              </w:rPr>
            </w:pPr>
            <w:r>
              <w:rPr>
                <w:rFonts w:hint="eastAsia" w:hAnsi="宋体"/>
              </w:rPr>
              <w:t>外形</w:t>
            </w:r>
          </w:p>
        </w:tc>
        <w:tc>
          <w:tcPr>
            <w:tcW w:w="6884" w:type="dxa"/>
            <w:shd w:val="clear" w:color="auto" w:fill="auto"/>
            <w:vAlign w:val="center"/>
          </w:tcPr>
          <w:p w14:paraId="7F0940E1">
            <w:pPr>
              <w:pStyle w:val="178"/>
              <w:rPr>
                <w:rFonts w:hAnsi="宋体"/>
                <w:highlight w:val="none"/>
              </w:rPr>
            </w:pPr>
            <w:r>
              <w:rPr>
                <w:rFonts w:hint="eastAsia" w:ascii="Times New Roman"/>
                <w:strike w:val="0"/>
                <w:dstrike w:val="0"/>
                <w:highlight w:val="none"/>
                <w:lang w:eastAsia="zh-CN"/>
              </w:rPr>
              <w:t>茶叶外形美观、色泽</w:t>
            </w:r>
            <w:r>
              <w:rPr>
                <w:rFonts w:hint="eastAsia" w:ascii="Times New Roman"/>
                <w:highlight w:val="none"/>
              </w:rPr>
              <w:t>深绿或墨绿色</w:t>
            </w:r>
          </w:p>
        </w:tc>
      </w:tr>
      <w:tr w14:paraId="7F40FD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0" w:type="dxa"/>
            <w:shd w:val="clear" w:color="auto" w:fill="auto"/>
            <w:vAlign w:val="center"/>
          </w:tcPr>
          <w:p w14:paraId="6E1D9954">
            <w:pPr>
              <w:pStyle w:val="178"/>
              <w:rPr>
                <w:rFonts w:hAnsi="宋体"/>
              </w:rPr>
            </w:pPr>
            <w:r>
              <w:rPr>
                <w:rFonts w:hint="eastAsia" w:hAnsi="宋体"/>
              </w:rPr>
              <w:t>汤色</w:t>
            </w:r>
          </w:p>
        </w:tc>
        <w:tc>
          <w:tcPr>
            <w:tcW w:w="6884" w:type="dxa"/>
            <w:shd w:val="clear" w:color="auto" w:fill="auto"/>
            <w:vAlign w:val="center"/>
          </w:tcPr>
          <w:p w14:paraId="1A77C86B">
            <w:pPr>
              <w:pStyle w:val="178"/>
              <w:rPr>
                <w:rFonts w:hAnsi="宋体"/>
                <w:highlight w:val="none"/>
              </w:rPr>
            </w:pPr>
            <w:r>
              <w:rPr>
                <w:rFonts w:hint="eastAsia" w:ascii="Times New Roman"/>
                <w:strike w:val="0"/>
                <w:dstrike w:val="0"/>
                <w:highlight w:val="none"/>
                <w:lang w:eastAsia="zh-CN"/>
              </w:rPr>
              <w:t>汤色黄绿明亮，无浑浊</w:t>
            </w:r>
          </w:p>
        </w:tc>
      </w:tr>
      <w:tr w14:paraId="03C16B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0" w:type="dxa"/>
            <w:shd w:val="clear" w:color="auto" w:fill="auto"/>
            <w:vAlign w:val="center"/>
          </w:tcPr>
          <w:p w14:paraId="2259573B">
            <w:pPr>
              <w:pStyle w:val="178"/>
              <w:rPr>
                <w:rFonts w:hAnsi="宋体"/>
              </w:rPr>
            </w:pPr>
            <w:r>
              <w:rPr>
                <w:rFonts w:hint="eastAsia" w:hAnsi="宋体"/>
              </w:rPr>
              <w:t>香气</w:t>
            </w:r>
          </w:p>
        </w:tc>
        <w:tc>
          <w:tcPr>
            <w:tcW w:w="6884" w:type="dxa"/>
            <w:shd w:val="clear" w:color="auto" w:fill="auto"/>
            <w:vAlign w:val="center"/>
          </w:tcPr>
          <w:p w14:paraId="5DA6023A">
            <w:pPr>
              <w:pStyle w:val="178"/>
              <w:rPr>
                <w:rFonts w:hAnsi="宋体"/>
                <w:highlight w:val="none"/>
              </w:rPr>
            </w:pPr>
            <w:r>
              <w:rPr>
                <w:rFonts w:hint="eastAsia" w:ascii="Times New Roman"/>
                <w:strike w:val="0"/>
                <w:dstrike w:val="0"/>
                <w:highlight w:val="none"/>
                <w:lang w:eastAsia="zh-CN"/>
              </w:rPr>
              <w:t>香气纯正、无异味</w:t>
            </w:r>
          </w:p>
        </w:tc>
      </w:tr>
      <w:tr w14:paraId="409767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90" w:type="dxa"/>
            <w:shd w:val="clear" w:color="auto" w:fill="auto"/>
            <w:vAlign w:val="center"/>
          </w:tcPr>
          <w:p w14:paraId="46AA25C8">
            <w:pPr>
              <w:pStyle w:val="178"/>
              <w:rPr>
                <w:rFonts w:hAnsi="宋体"/>
              </w:rPr>
            </w:pPr>
            <w:r>
              <w:rPr>
                <w:rFonts w:hint="eastAsia" w:hAnsi="宋体"/>
              </w:rPr>
              <w:t>滋味</w:t>
            </w:r>
          </w:p>
        </w:tc>
        <w:tc>
          <w:tcPr>
            <w:tcW w:w="6884" w:type="dxa"/>
            <w:shd w:val="clear" w:color="auto" w:fill="auto"/>
            <w:vAlign w:val="center"/>
          </w:tcPr>
          <w:p w14:paraId="1969B9EA">
            <w:pPr>
              <w:pStyle w:val="178"/>
              <w:rPr>
                <w:rFonts w:hAnsi="宋体"/>
                <w:highlight w:val="none"/>
              </w:rPr>
            </w:pPr>
            <w:r>
              <w:rPr>
                <w:rFonts w:hint="eastAsia" w:ascii="Times New Roman"/>
                <w:highlight w:val="none"/>
              </w:rPr>
              <w:t>滋味</w:t>
            </w:r>
            <w:r>
              <w:rPr>
                <w:rFonts w:hint="eastAsia" w:ascii="Times New Roman"/>
                <w:highlight w:val="none"/>
                <w:lang w:eastAsia="zh-CN"/>
              </w:rPr>
              <w:t>醇厚</w:t>
            </w:r>
            <w:r>
              <w:rPr>
                <w:rFonts w:hint="eastAsia" w:ascii="Times New Roman"/>
                <w:highlight w:val="none"/>
              </w:rPr>
              <w:t>，</w:t>
            </w:r>
            <w:r>
              <w:rPr>
                <w:rFonts w:hint="eastAsia" w:ascii="Times New Roman"/>
                <w:highlight w:val="none"/>
                <w:lang w:eastAsia="zh-CN"/>
              </w:rPr>
              <w:t>回甘爽口</w:t>
            </w:r>
          </w:p>
        </w:tc>
      </w:tr>
    </w:tbl>
    <w:p w14:paraId="4E74E75E">
      <w:pPr>
        <w:pStyle w:val="105"/>
        <w:spacing w:before="156" w:after="156"/>
      </w:pPr>
      <w:r>
        <w:rPr>
          <w:rFonts w:hint="eastAsia"/>
        </w:rPr>
        <w:t>理化指标</w:t>
      </w:r>
    </w:p>
    <w:p w14:paraId="5DD99CF7">
      <w:pPr>
        <w:pStyle w:val="56"/>
        <w:ind w:firstLine="420"/>
        <w:rPr>
          <w:rFonts w:hint="eastAsia"/>
        </w:rPr>
      </w:pPr>
      <w:r>
        <w:rPr>
          <w:rFonts w:hint="eastAsia"/>
        </w:rPr>
        <w:t>应符合表2的规定。</w:t>
      </w:r>
    </w:p>
    <w:p w14:paraId="700E7D93">
      <w:pPr>
        <w:pStyle w:val="56"/>
        <w:ind w:firstLine="420"/>
        <w:rPr>
          <w:rFonts w:hint="eastAsia"/>
        </w:rPr>
      </w:pPr>
    </w:p>
    <w:p w14:paraId="29CB4587">
      <w:pPr>
        <w:pStyle w:val="56"/>
        <w:ind w:firstLine="420"/>
        <w:rPr>
          <w:rFonts w:hint="eastAsia"/>
        </w:rPr>
      </w:pPr>
    </w:p>
    <w:p w14:paraId="64D00B35">
      <w:pPr>
        <w:pStyle w:val="56"/>
        <w:ind w:firstLine="420"/>
        <w:rPr>
          <w:rFonts w:hint="eastAsia"/>
        </w:rPr>
      </w:pPr>
    </w:p>
    <w:p w14:paraId="545F3561">
      <w:pPr>
        <w:pStyle w:val="56"/>
        <w:ind w:firstLine="420"/>
        <w:rPr>
          <w:rFonts w:hint="eastAsia"/>
        </w:rPr>
      </w:pPr>
    </w:p>
    <w:p w14:paraId="3F459E9C">
      <w:pPr>
        <w:pStyle w:val="112"/>
        <w:spacing w:before="156" w:after="156"/>
      </w:pPr>
      <w:r>
        <w:rPr>
          <w:rFonts w:hint="eastAsia"/>
        </w:rPr>
        <w:t>理化指标</w:t>
      </w: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830"/>
        <w:gridCol w:w="4544"/>
      </w:tblGrid>
      <w:tr w14:paraId="20717C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830" w:type="dxa"/>
            <w:tcBorders>
              <w:top w:val="single" w:color="auto" w:sz="8" w:space="0"/>
              <w:bottom w:val="single" w:color="auto" w:sz="8" w:space="0"/>
            </w:tcBorders>
            <w:shd w:val="clear" w:color="auto" w:fill="auto"/>
            <w:vAlign w:val="center"/>
          </w:tcPr>
          <w:p w14:paraId="62AC3542">
            <w:pPr>
              <w:pStyle w:val="178"/>
              <w:rPr>
                <w:rFonts w:ascii="Times New Roman"/>
              </w:rPr>
            </w:pPr>
            <w:r>
              <w:rPr>
                <w:rFonts w:hAnsi="宋体"/>
              </w:rPr>
              <w:t>项目</w:t>
            </w:r>
          </w:p>
        </w:tc>
        <w:tc>
          <w:tcPr>
            <w:tcW w:w="4544" w:type="dxa"/>
            <w:tcBorders>
              <w:top w:val="single" w:color="auto" w:sz="8" w:space="0"/>
              <w:bottom w:val="single" w:color="auto" w:sz="8" w:space="0"/>
            </w:tcBorders>
            <w:shd w:val="clear" w:color="auto" w:fill="auto"/>
            <w:vAlign w:val="center"/>
          </w:tcPr>
          <w:p w14:paraId="2C2DE779">
            <w:pPr>
              <w:pStyle w:val="178"/>
              <w:rPr>
                <w:rFonts w:ascii="Times New Roman"/>
              </w:rPr>
            </w:pPr>
            <w:r>
              <w:rPr>
                <w:rFonts w:hAnsi="宋体"/>
              </w:rPr>
              <w:t>指标</w:t>
            </w:r>
          </w:p>
        </w:tc>
      </w:tr>
      <w:tr w14:paraId="2D9904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30" w:type="dxa"/>
            <w:tcBorders>
              <w:top w:val="single" w:color="auto" w:sz="8" w:space="0"/>
            </w:tcBorders>
            <w:shd w:val="clear" w:color="auto" w:fill="auto"/>
            <w:vAlign w:val="center"/>
          </w:tcPr>
          <w:p w14:paraId="01C041EB">
            <w:pPr>
              <w:pStyle w:val="178"/>
              <w:rPr>
                <w:rFonts w:hAnsi="宋体"/>
              </w:rPr>
            </w:pPr>
            <w:r>
              <w:rPr>
                <w:rFonts w:hint="eastAsia" w:hAnsi="宋体"/>
              </w:rPr>
              <w:t>水分（质量分数）/%                               ≤</w:t>
            </w:r>
          </w:p>
        </w:tc>
        <w:tc>
          <w:tcPr>
            <w:tcW w:w="4544" w:type="dxa"/>
            <w:tcBorders>
              <w:top w:val="single" w:color="auto" w:sz="8" w:space="0"/>
            </w:tcBorders>
            <w:shd w:val="clear" w:color="auto" w:fill="auto"/>
            <w:vAlign w:val="center"/>
          </w:tcPr>
          <w:p w14:paraId="5B9EB360">
            <w:pPr>
              <w:pStyle w:val="178"/>
              <w:rPr>
                <w:rFonts w:hAnsi="宋体"/>
              </w:rPr>
            </w:pPr>
            <w:r>
              <w:rPr>
                <w:rFonts w:hint="eastAsia" w:hAnsi="宋体"/>
              </w:rPr>
              <w:t>7.0</w:t>
            </w:r>
          </w:p>
        </w:tc>
      </w:tr>
      <w:tr w14:paraId="321322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30" w:type="dxa"/>
            <w:shd w:val="clear" w:color="auto" w:fill="auto"/>
            <w:vAlign w:val="center"/>
          </w:tcPr>
          <w:p w14:paraId="091F4C78">
            <w:pPr>
              <w:pStyle w:val="178"/>
              <w:rPr>
                <w:rFonts w:hAnsi="宋体"/>
              </w:rPr>
            </w:pPr>
            <w:r>
              <w:rPr>
                <w:rFonts w:hint="eastAsia" w:hAnsi="宋体"/>
              </w:rPr>
              <w:t>总灰分（质量分数）/%                             ≤</w:t>
            </w:r>
          </w:p>
        </w:tc>
        <w:tc>
          <w:tcPr>
            <w:tcW w:w="4544" w:type="dxa"/>
            <w:shd w:val="clear" w:color="auto" w:fill="auto"/>
            <w:vAlign w:val="center"/>
          </w:tcPr>
          <w:p w14:paraId="5168AB55">
            <w:pPr>
              <w:pStyle w:val="178"/>
              <w:rPr>
                <w:rFonts w:hAnsi="宋体"/>
              </w:rPr>
            </w:pPr>
            <w:r>
              <w:rPr>
                <w:rFonts w:hint="eastAsia" w:hAnsi="宋体"/>
              </w:rPr>
              <w:t>7.5</w:t>
            </w:r>
          </w:p>
        </w:tc>
      </w:tr>
      <w:tr w14:paraId="7529C2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30" w:type="dxa"/>
            <w:shd w:val="clear" w:color="auto" w:fill="auto"/>
            <w:vAlign w:val="center"/>
          </w:tcPr>
          <w:p w14:paraId="68CD2494">
            <w:pPr>
              <w:pStyle w:val="178"/>
              <w:rPr>
                <w:rFonts w:hAnsi="宋体"/>
              </w:rPr>
            </w:pPr>
            <w:r>
              <w:rPr>
                <w:rFonts w:hint="eastAsia" w:hAnsi="宋体"/>
              </w:rPr>
              <w:t>粗纤维（质量分数）/%                             ≤</w:t>
            </w:r>
          </w:p>
        </w:tc>
        <w:tc>
          <w:tcPr>
            <w:tcW w:w="4544" w:type="dxa"/>
            <w:shd w:val="clear" w:color="auto" w:fill="auto"/>
            <w:vAlign w:val="center"/>
          </w:tcPr>
          <w:p w14:paraId="43EBDB15">
            <w:pPr>
              <w:pStyle w:val="178"/>
              <w:rPr>
                <w:rFonts w:hAnsi="宋体"/>
              </w:rPr>
            </w:pPr>
            <w:r>
              <w:rPr>
                <w:rFonts w:hint="eastAsia" w:hAnsi="宋体"/>
              </w:rPr>
              <w:t>16.0</w:t>
            </w:r>
          </w:p>
        </w:tc>
      </w:tr>
      <w:tr w14:paraId="0DD69B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30" w:type="dxa"/>
            <w:shd w:val="clear" w:color="auto" w:fill="auto"/>
            <w:vAlign w:val="center"/>
          </w:tcPr>
          <w:p w14:paraId="1AC9C39E">
            <w:pPr>
              <w:pStyle w:val="178"/>
              <w:rPr>
                <w:rFonts w:hAnsi="宋体"/>
              </w:rPr>
            </w:pPr>
            <w:r>
              <w:rPr>
                <w:rFonts w:hint="eastAsia" w:hAnsi="宋体"/>
              </w:rPr>
              <w:t>酸不溶性灰分碱度（质量分数）/%                   ≤</w:t>
            </w:r>
          </w:p>
        </w:tc>
        <w:tc>
          <w:tcPr>
            <w:tcW w:w="4544" w:type="dxa"/>
            <w:shd w:val="clear" w:color="auto" w:fill="auto"/>
            <w:vAlign w:val="center"/>
          </w:tcPr>
          <w:p w14:paraId="31D041D7">
            <w:pPr>
              <w:pStyle w:val="178"/>
              <w:rPr>
                <w:rFonts w:hAnsi="宋体"/>
              </w:rPr>
            </w:pPr>
            <w:r>
              <w:rPr>
                <w:rFonts w:hint="eastAsia" w:hAnsi="宋体"/>
              </w:rPr>
              <w:t>1.0</w:t>
            </w:r>
          </w:p>
        </w:tc>
      </w:tr>
      <w:tr w14:paraId="011578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30" w:type="dxa"/>
            <w:shd w:val="clear" w:color="auto" w:fill="auto"/>
            <w:vAlign w:val="center"/>
          </w:tcPr>
          <w:p w14:paraId="055B13E3">
            <w:pPr>
              <w:pStyle w:val="178"/>
              <w:rPr>
                <w:rFonts w:hAnsi="宋体"/>
              </w:rPr>
            </w:pPr>
            <w:r>
              <w:rPr>
                <w:rFonts w:hint="eastAsia" w:hAnsi="宋体"/>
              </w:rPr>
              <w:t>粉末和碎茶含量（质量分数）/%                     ≤</w:t>
            </w:r>
          </w:p>
        </w:tc>
        <w:tc>
          <w:tcPr>
            <w:tcW w:w="4544" w:type="dxa"/>
            <w:shd w:val="clear" w:color="auto" w:fill="auto"/>
            <w:vAlign w:val="center"/>
          </w:tcPr>
          <w:p w14:paraId="1A232E3A">
            <w:pPr>
              <w:pStyle w:val="178"/>
              <w:rPr>
                <w:rFonts w:hAnsi="宋体"/>
              </w:rPr>
            </w:pPr>
            <w:r>
              <w:rPr>
                <w:rFonts w:hint="eastAsia" w:hAnsi="宋体"/>
              </w:rPr>
              <w:t>5.0</w:t>
            </w:r>
          </w:p>
        </w:tc>
      </w:tr>
      <w:tr w14:paraId="5986D2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30" w:type="dxa"/>
            <w:shd w:val="clear" w:color="auto" w:fill="auto"/>
            <w:vAlign w:val="center"/>
          </w:tcPr>
          <w:p w14:paraId="6F796285">
            <w:pPr>
              <w:pStyle w:val="178"/>
              <w:rPr>
                <w:rFonts w:hAnsi="宋体"/>
              </w:rPr>
            </w:pPr>
            <w:r>
              <w:rPr>
                <w:rFonts w:hint="eastAsia" w:hAnsi="宋体"/>
              </w:rPr>
              <w:t>茶多酚（质量分数）/%                             ≥</w:t>
            </w:r>
          </w:p>
        </w:tc>
        <w:tc>
          <w:tcPr>
            <w:tcW w:w="4544" w:type="dxa"/>
            <w:shd w:val="clear" w:color="auto" w:fill="auto"/>
            <w:vAlign w:val="center"/>
          </w:tcPr>
          <w:p w14:paraId="1CD0DDB3">
            <w:pPr>
              <w:pStyle w:val="178"/>
              <w:rPr>
                <w:rFonts w:hAnsi="宋体"/>
              </w:rPr>
            </w:pPr>
            <w:r>
              <w:rPr>
                <w:rFonts w:hint="eastAsia" w:hAnsi="宋体"/>
              </w:rPr>
              <w:t>11.0</w:t>
            </w:r>
          </w:p>
        </w:tc>
      </w:tr>
      <w:tr w14:paraId="50EE33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30" w:type="dxa"/>
            <w:shd w:val="clear" w:color="auto" w:fill="auto"/>
            <w:vAlign w:val="center"/>
          </w:tcPr>
          <w:p w14:paraId="3E501DB1">
            <w:pPr>
              <w:pStyle w:val="178"/>
              <w:rPr>
                <w:rFonts w:hAnsi="宋体"/>
              </w:rPr>
            </w:pPr>
            <w:r>
              <w:rPr>
                <w:rFonts w:hint="eastAsia" w:hAnsi="宋体"/>
              </w:rPr>
              <w:t>儿茶素（质量分数）/%                             ≥</w:t>
            </w:r>
          </w:p>
        </w:tc>
        <w:tc>
          <w:tcPr>
            <w:tcW w:w="4544" w:type="dxa"/>
            <w:shd w:val="clear" w:color="auto" w:fill="auto"/>
            <w:vAlign w:val="center"/>
          </w:tcPr>
          <w:p w14:paraId="60EF63BE">
            <w:pPr>
              <w:pStyle w:val="178"/>
              <w:rPr>
                <w:rFonts w:hAnsi="宋体"/>
              </w:rPr>
            </w:pPr>
            <w:r>
              <w:rPr>
                <w:rFonts w:hint="eastAsia" w:hAnsi="宋体"/>
              </w:rPr>
              <w:t>7.0</w:t>
            </w:r>
          </w:p>
        </w:tc>
      </w:tr>
      <w:tr w14:paraId="53AC3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30" w:type="dxa"/>
            <w:shd w:val="clear" w:color="auto" w:fill="auto"/>
            <w:vAlign w:val="center"/>
          </w:tcPr>
          <w:p w14:paraId="1CCB7EF3">
            <w:pPr>
              <w:pStyle w:val="178"/>
              <w:rPr>
                <w:rFonts w:hAnsi="宋体"/>
              </w:rPr>
            </w:pPr>
            <w:r>
              <w:rPr>
                <w:rFonts w:hint="eastAsia" w:hAnsi="宋体"/>
              </w:rPr>
              <w:t>水溶性灰分（质量分数）/%                         ≥</w:t>
            </w:r>
          </w:p>
        </w:tc>
        <w:tc>
          <w:tcPr>
            <w:tcW w:w="4544" w:type="dxa"/>
            <w:shd w:val="clear" w:color="auto" w:fill="auto"/>
            <w:vAlign w:val="center"/>
          </w:tcPr>
          <w:p w14:paraId="6EE639E0">
            <w:pPr>
              <w:pStyle w:val="178"/>
              <w:rPr>
                <w:rFonts w:hAnsi="宋体"/>
              </w:rPr>
            </w:pPr>
            <w:r>
              <w:rPr>
                <w:rFonts w:hint="eastAsia" w:hAnsi="宋体"/>
              </w:rPr>
              <w:t>45.0</w:t>
            </w:r>
          </w:p>
        </w:tc>
      </w:tr>
      <w:tr w14:paraId="0229A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30" w:type="dxa"/>
            <w:shd w:val="clear" w:color="auto" w:fill="auto"/>
            <w:vAlign w:val="center"/>
          </w:tcPr>
          <w:p w14:paraId="34CB2AD5">
            <w:pPr>
              <w:pStyle w:val="178"/>
              <w:rPr>
                <w:rFonts w:hAnsi="宋体"/>
              </w:rPr>
            </w:pPr>
            <w:r>
              <w:rPr>
                <w:rFonts w:hint="eastAsia" w:hAnsi="宋体"/>
              </w:rPr>
              <w:t>水浸出物（质量分数）/%                           ≥</w:t>
            </w:r>
          </w:p>
        </w:tc>
        <w:tc>
          <w:tcPr>
            <w:tcW w:w="4544" w:type="dxa"/>
            <w:shd w:val="clear" w:color="auto" w:fill="auto"/>
            <w:vAlign w:val="center"/>
          </w:tcPr>
          <w:p w14:paraId="615FCA17">
            <w:pPr>
              <w:pStyle w:val="178"/>
              <w:rPr>
                <w:rFonts w:hAnsi="宋体"/>
              </w:rPr>
            </w:pPr>
            <w:r>
              <w:rPr>
                <w:rFonts w:hint="eastAsia" w:hAnsi="宋体"/>
              </w:rPr>
              <w:t>34.0</w:t>
            </w:r>
          </w:p>
        </w:tc>
      </w:tr>
    </w:tbl>
    <w:p w14:paraId="717FF006">
      <w:pPr>
        <w:pStyle w:val="105"/>
        <w:spacing w:before="156" w:after="156"/>
      </w:pPr>
      <w:r>
        <w:rPr>
          <w:rFonts w:hint="eastAsia"/>
        </w:rPr>
        <w:t>微生物指标</w:t>
      </w:r>
    </w:p>
    <w:p w14:paraId="77AA4D48">
      <w:pPr>
        <w:pStyle w:val="56"/>
        <w:ind w:firstLine="420"/>
      </w:pPr>
      <w:r>
        <w:rPr>
          <w:rFonts w:hint="eastAsia"/>
        </w:rPr>
        <w:t>应符合表3的规定。</w:t>
      </w:r>
    </w:p>
    <w:p w14:paraId="3A12FBCB">
      <w:pPr>
        <w:pStyle w:val="112"/>
        <w:spacing w:before="156" w:after="156"/>
      </w:pPr>
      <w:r>
        <w:rPr>
          <w:rFonts w:hint="eastAsia"/>
        </w:rPr>
        <w:t>微生物指标</w:t>
      </w: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830"/>
        <w:gridCol w:w="4544"/>
      </w:tblGrid>
      <w:tr w14:paraId="1CCF37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830" w:type="dxa"/>
            <w:tcBorders>
              <w:top w:val="single" w:color="auto" w:sz="8" w:space="0"/>
              <w:bottom w:val="single" w:color="auto" w:sz="8" w:space="0"/>
            </w:tcBorders>
            <w:shd w:val="clear" w:color="auto" w:fill="auto"/>
            <w:vAlign w:val="center"/>
          </w:tcPr>
          <w:p w14:paraId="797E9204">
            <w:pPr>
              <w:pStyle w:val="178"/>
              <w:rPr>
                <w:rFonts w:hAnsi="宋体"/>
              </w:rPr>
            </w:pPr>
            <w:r>
              <w:rPr>
                <w:rFonts w:hint="eastAsia" w:hAnsi="宋体"/>
              </w:rPr>
              <w:t>项目</w:t>
            </w:r>
          </w:p>
        </w:tc>
        <w:tc>
          <w:tcPr>
            <w:tcW w:w="4544" w:type="dxa"/>
            <w:tcBorders>
              <w:top w:val="single" w:color="auto" w:sz="8" w:space="0"/>
              <w:bottom w:val="single" w:color="auto" w:sz="8" w:space="0"/>
            </w:tcBorders>
            <w:shd w:val="clear" w:color="auto" w:fill="auto"/>
            <w:vAlign w:val="center"/>
          </w:tcPr>
          <w:p w14:paraId="1A1F2FBF">
            <w:pPr>
              <w:pStyle w:val="178"/>
              <w:rPr>
                <w:rFonts w:hAnsi="宋体"/>
              </w:rPr>
            </w:pPr>
            <w:r>
              <w:rPr>
                <w:rFonts w:hint="eastAsia" w:hAnsi="宋体"/>
              </w:rPr>
              <w:t>指标</w:t>
            </w:r>
          </w:p>
        </w:tc>
      </w:tr>
      <w:tr w14:paraId="30DCD0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30" w:type="dxa"/>
            <w:tcBorders>
              <w:top w:val="single" w:color="auto" w:sz="8" w:space="0"/>
            </w:tcBorders>
            <w:shd w:val="clear" w:color="auto" w:fill="auto"/>
            <w:vAlign w:val="center"/>
          </w:tcPr>
          <w:p w14:paraId="482CD27B">
            <w:pPr>
              <w:pStyle w:val="178"/>
              <w:rPr>
                <w:rFonts w:hAnsi="宋体"/>
              </w:rPr>
            </w:pPr>
            <w:r>
              <w:rPr>
                <w:rFonts w:hint="eastAsia" w:hAnsi="宋体"/>
              </w:rPr>
              <w:t>大肠杆菌 CFU/g                                   ≤</w:t>
            </w:r>
          </w:p>
        </w:tc>
        <w:tc>
          <w:tcPr>
            <w:tcW w:w="4544" w:type="dxa"/>
            <w:tcBorders>
              <w:top w:val="single" w:color="auto" w:sz="8" w:space="0"/>
            </w:tcBorders>
            <w:shd w:val="clear" w:color="auto" w:fill="auto"/>
            <w:vAlign w:val="center"/>
          </w:tcPr>
          <w:p w14:paraId="7A31BD57">
            <w:pPr>
              <w:pStyle w:val="178"/>
              <w:rPr>
                <w:rFonts w:hAnsi="宋体"/>
              </w:rPr>
            </w:pPr>
            <w:r>
              <w:rPr>
                <w:rFonts w:hint="eastAsia" w:hAnsi="宋体"/>
              </w:rPr>
              <w:t>100</w:t>
            </w:r>
          </w:p>
        </w:tc>
      </w:tr>
      <w:tr w14:paraId="67AEBE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830" w:type="dxa"/>
            <w:shd w:val="clear" w:color="auto" w:fill="auto"/>
            <w:vAlign w:val="center"/>
          </w:tcPr>
          <w:p w14:paraId="018520BF">
            <w:pPr>
              <w:pStyle w:val="178"/>
              <w:rPr>
                <w:rFonts w:hAnsi="宋体"/>
              </w:rPr>
            </w:pPr>
            <w:r>
              <w:rPr>
                <w:rFonts w:hint="eastAsia" w:hAnsi="宋体"/>
              </w:rPr>
              <w:t>霉菌 CFU/g                                       ≤</w:t>
            </w:r>
          </w:p>
        </w:tc>
        <w:tc>
          <w:tcPr>
            <w:tcW w:w="4544" w:type="dxa"/>
            <w:shd w:val="clear" w:color="auto" w:fill="auto"/>
            <w:vAlign w:val="center"/>
          </w:tcPr>
          <w:p w14:paraId="10264964">
            <w:pPr>
              <w:pStyle w:val="178"/>
              <w:rPr>
                <w:rFonts w:hAnsi="宋体"/>
              </w:rPr>
            </w:pPr>
            <w:r>
              <w:rPr>
                <w:rFonts w:hint="eastAsia" w:hAnsi="宋体"/>
              </w:rPr>
              <w:t>100</w:t>
            </w:r>
          </w:p>
        </w:tc>
      </w:tr>
      <w:tr w14:paraId="7C7A77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9374" w:type="dxa"/>
            <w:gridSpan w:val="2"/>
            <w:shd w:val="clear" w:color="auto" w:fill="auto"/>
            <w:vAlign w:val="center"/>
          </w:tcPr>
          <w:p w14:paraId="55936D75">
            <w:pPr>
              <w:pStyle w:val="178"/>
              <w:jc w:val="left"/>
              <w:rPr>
                <w:rFonts w:hAnsi="宋体"/>
              </w:rPr>
            </w:pPr>
            <w:r>
              <w:rPr>
                <w:rFonts w:hint="eastAsia" w:ascii="黑体" w:hAnsi="黑体" w:eastAsia="黑体"/>
              </w:rPr>
              <w:t>注</w:t>
            </w:r>
            <w:r>
              <w:rPr>
                <w:rFonts w:hint="eastAsia" w:hAnsi="宋体"/>
              </w:rPr>
              <w:t>：其他微生物指标应符合</w:t>
            </w:r>
            <w:r>
              <w:rPr>
                <w:rFonts w:hint="eastAsia"/>
              </w:rPr>
              <w:t>GB 29921的要求及国家相关规定</w:t>
            </w:r>
          </w:p>
        </w:tc>
      </w:tr>
    </w:tbl>
    <w:p w14:paraId="715DFECE">
      <w:pPr>
        <w:pStyle w:val="105"/>
        <w:spacing w:before="156" w:after="156"/>
      </w:pPr>
      <w:r>
        <w:rPr>
          <w:rFonts w:hint="eastAsia"/>
        </w:rPr>
        <w:t>重金属指标</w:t>
      </w:r>
    </w:p>
    <w:p w14:paraId="247D7C03">
      <w:pPr>
        <w:pStyle w:val="56"/>
        <w:ind w:firstLine="420"/>
      </w:pPr>
      <w:r>
        <w:rPr>
          <w:rFonts w:hint="eastAsia"/>
        </w:rPr>
        <w:t>应符合表4的规定。</w:t>
      </w:r>
    </w:p>
    <w:p w14:paraId="091B5DBE">
      <w:pPr>
        <w:pStyle w:val="112"/>
        <w:spacing w:before="156" w:after="156"/>
      </w:pPr>
      <w:r>
        <w:rPr>
          <w:rFonts w:hint="eastAsia"/>
        </w:rPr>
        <w:t>重金属指标</w:t>
      </w: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799"/>
        <w:gridCol w:w="4575"/>
      </w:tblGrid>
      <w:tr w14:paraId="1FAC08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799" w:type="dxa"/>
            <w:tcBorders>
              <w:top w:val="single" w:color="auto" w:sz="8" w:space="0"/>
              <w:bottom w:val="single" w:color="auto" w:sz="8" w:space="0"/>
            </w:tcBorders>
            <w:shd w:val="clear" w:color="auto" w:fill="auto"/>
            <w:vAlign w:val="center"/>
          </w:tcPr>
          <w:p w14:paraId="198E8A56">
            <w:pPr>
              <w:pStyle w:val="178"/>
              <w:rPr>
                <w:rFonts w:ascii="Times New Roman"/>
              </w:rPr>
            </w:pPr>
            <w:r>
              <w:rPr>
                <w:rFonts w:hAnsi="宋体"/>
              </w:rPr>
              <w:t>项目</w:t>
            </w:r>
          </w:p>
        </w:tc>
        <w:tc>
          <w:tcPr>
            <w:tcW w:w="4575" w:type="dxa"/>
            <w:tcBorders>
              <w:top w:val="single" w:color="auto" w:sz="8" w:space="0"/>
              <w:bottom w:val="single" w:color="auto" w:sz="8" w:space="0"/>
            </w:tcBorders>
            <w:shd w:val="clear" w:color="auto" w:fill="auto"/>
            <w:vAlign w:val="center"/>
          </w:tcPr>
          <w:p w14:paraId="11755A4B">
            <w:pPr>
              <w:pStyle w:val="178"/>
              <w:rPr>
                <w:rFonts w:ascii="Times New Roman"/>
              </w:rPr>
            </w:pPr>
            <w:r>
              <w:rPr>
                <w:rFonts w:hAnsi="宋体"/>
              </w:rPr>
              <w:t>指标</w:t>
            </w:r>
          </w:p>
        </w:tc>
      </w:tr>
      <w:tr w14:paraId="093F37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799" w:type="dxa"/>
            <w:tcBorders>
              <w:top w:val="single" w:color="auto" w:sz="8" w:space="0"/>
            </w:tcBorders>
            <w:shd w:val="clear" w:color="auto" w:fill="auto"/>
            <w:vAlign w:val="center"/>
          </w:tcPr>
          <w:p w14:paraId="36201060">
            <w:pPr>
              <w:pStyle w:val="178"/>
              <w:rPr>
                <w:rFonts w:hAnsi="宋体"/>
              </w:rPr>
            </w:pPr>
            <w:r>
              <w:rPr>
                <w:rFonts w:hint="eastAsia" w:hAnsi="宋体"/>
              </w:rPr>
              <w:t>铅 mg/kg                                         ≤</w:t>
            </w:r>
          </w:p>
        </w:tc>
        <w:tc>
          <w:tcPr>
            <w:tcW w:w="4575" w:type="dxa"/>
            <w:tcBorders>
              <w:top w:val="single" w:color="auto" w:sz="8" w:space="0"/>
            </w:tcBorders>
            <w:shd w:val="clear" w:color="auto" w:fill="auto"/>
            <w:vAlign w:val="center"/>
          </w:tcPr>
          <w:p w14:paraId="1DBFBDC7">
            <w:pPr>
              <w:pStyle w:val="178"/>
              <w:rPr>
                <w:rFonts w:hAnsi="宋体"/>
              </w:rPr>
            </w:pPr>
            <w:r>
              <w:rPr>
                <w:rFonts w:hint="eastAsia" w:hAnsi="宋体"/>
              </w:rPr>
              <w:t>5.0</w:t>
            </w:r>
          </w:p>
        </w:tc>
      </w:tr>
      <w:tr w14:paraId="1DF465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799" w:type="dxa"/>
            <w:shd w:val="clear" w:color="auto" w:fill="auto"/>
            <w:vAlign w:val="center"/>
          </w:tcPr>
          <w:p w14:paraId="434CA233">
            <w:pPr>
              <w:pStyle w:val="178"/>
              <w:rPr>
                <w:rFonts w:hAnsi="宋体"/>
              </w:rPr>
            </w:pPr>
            <w:r>
              <w:rPr>
                <w:rFonts w:hint="eastAsia" w:hAnsi="宋体"/>
              </w:rPr>
              <w:t>镉 mg/kg                                         ≤</w:t>
            </w:r>
          </w:p>
        </w:tc>
        <w:tc>
          <w:tcPr>
            <w:tcW w:w="4575" w:type="dxa"/>
            <w:shd w:val="clear" w:color="auto" w:fill="auto"/>
            <w:vAlign w:val="center"/>
          </w:tcPr>
          <w:p w14:paraId="67075F92">
            <w:pPr>
              <w:pStyle w:val="178"/>
              <w:rPr>
                <w:rFonts w:hAnsi="宋体"/>
              </w:rPr>
            </w:pPr>
            <w:r>
              <w:rPr>
                <w:rFonts w:hint="eastAsia" w:hAnsi="宋体"/>
              </w:rPr>
              <w:t>0.5</w:t>
            </w:r>
          </w:p>
        </w:tc>
      </w:tr>
      <w:tr w14:paraId="390521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799" w:type="dxa"/>
            <w:shd w:val="clear" w:color="auto" w:fill="auto"/>
            <w:vAlign w:val="center"/>
          </w:tcPr>
          <w:p w14:paraId="7EE766F0">
            <w:pPr>
              <w:pStyle w:val="178"/>
              <w:rPr>
                <w:rFonts w:hAnsi="宋体"/>
              </w:rPr>
            </w:pPr>
            <w:r>
              <w:rPr>
                <w:rFonts w:hint="eastAsia" w:hAnsi="宋体"/>
              </w:rPr>
              <w:t>汞 mg/kg                                         ≤</w:t>
            </w:r>
          </w:p>
        </w:tc>
        <w:tc>
          <w:tcPr>
            <w:tcW w:w="4575" w:type="dxa"/>
            <w:shd w:val="clear" w:color="auto" w:fill="auto"/>
            <w:vAlign w:val="center"/>
          </w:tcPr>
          <w:p w14:paraId="66BCA963">
            <w:pPr>
              <w:pStyle w:val="178"/>
              <w:rPr>
                <w:rFonts w:hAnsi="宋体"/>
              </w:rPr>
            </w:pPr>
            <w:r>
              <w:rPr>
                <w:rFonts w:hint="eastAsia" w:hAnsi="宋体"/>
              </w:rPr>
              <w:t>0.1</w:t>
            </w:r>
          </w:p>
        </w:tc>
      </w:tr>
      <w:tr w14:paraId="1E472E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799" w:type="dxa"/>
            <w:shd w:val="clear" w:color="auto" w:fill="auto"/>
            <w:vAlign w:val="center"/>
          </w:tcPr>
          <w:p w14:paraId="552EE96E">
            <w:pPr>
              <w:pStyle w:val="178"/>
              <w:rPr>
                <w:rFonts w:hAnsi="宋体"/>
                <w:b/>
              </w:rPr>
            </w:pPr>
            <w:r>
              <w:rPr>
                <w:rFonts w:hint="eastAsia" w:hAnsi="宋体"/>
              </w:rPr>
              <w:t>砷 mg/kg                                         ≤</w:t>
            </w:r>
          </w:p>
        </w:tc>
        <w:tc>
          <w:tcPr>
            <w:tcW w:w="4575" w:type="dxa"/>
            <w:shd w:val="clear" w:color="auto" w:fill="auto"/>
            <w:vAlign w:val="center"/>
          </w:tcPr>
          <w:p w14:paraId="26FBEFB4">
            <w:pPr>
              <w:pStyle w:val="178"/>
              <w:rPr>
                <w:rFonts w:hAnsi="宋体"/>
              </w:rPr>
            </w:pPr>
            <w:r>
              <w:rPr>
                <w:rFonts w:hint="eastAsia" w:hAnsi="宋体"/>
              </w:rPr>
              <w:t>0.5</w:t>
            </w:r>
          </w:p>
        </w:tc>
      </w:tr>
      <w:tr w14:paraId="3AA0B4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2"/>
            <w:shd w:val="clear" w:color="auto" w:fill="auto"/>
            <w:vAlign w:val="center"/>
          </w:tcPr>
          <w:p w14:paraId="13CFB99A">
            <w:pPr>
              <w:pStyle w:val="178"/>
              <w:jc w:val="left"/>
              <w:rPr>
                <w:rFonts w:hAnsi="宋体"/>
              </w:rPr>
            </w:pPr>
            <w:r>
              <w:rPr>
                <w:rFonts w:hint="eastAsia" w:ascii="黑体" w:hAnsi="黑体" w:eastAsia="黑体"/>
              </w:rPr>
              <w:t>注</w:t>
            </w:r>
            <w:r>
              <w:rPr>
                <w:rFonts w:hint="eastAsia" w:hAnsi="宋体"/>
              </w:rPr>
              <w:t>：其他污染物限量应符合</w:t>
            </w:r>
            <w:bookmarkStart w:id="44" w:name="OLE_LINK1"/>
            <w:r>
              <w:rPr>
                <w:rFonts w:hint="eastAsia" w:hAnsi="宋体"/>
              </w:rPr>
              <w:t>GB 2762</w:t>
            </w:r>
            <w:bookmarkEnd w:id="44"/>
            <w:r>
              <w:rPr>
                <w:rFonts w:hint="eastAsia" w:hAnsi="宋体"/>
              </w:rPr>
              <w:t>的</w:t>
            </w:r>
            <w:r>
              <w:rPr>
                <w:rFonts w:hint="eastAsia"/>
              </w:rPr>
              <w:t>要求及国家相关规定</w:t>
            </w:r>
          </w:p>
        </w:tc>
      </w:tr>
    </w:tbl>
    <w:p w14:paraId="545C3F4D">
      <w:pPr>
        <w:pStyle w:val="105"/>
        <w:spacing w:before="156" w:after="156"/>
      </w:pPr>
      <w:r>
        <w:rPr>
          <w:rFonts w:hint="eastAsia"/>
        </w:rPr>
        <w:t>农药残留指标</w:t>
      </w:r>
    </w:p>
    <w:p w14:paraId="0645A926">
      <w:pPr>
        <w:pStyle w:val="56"/>
        <w:ind w:firstLine="420"/>
      </w:pPr>
      <w:r>
        <w:rPr>
          <w:rFonts w:hint="eastAsia"/>
        </w:rPr>
        <w:t>应符合表5的规定。</w:t>
      </w:r>
    </w:p>
    <w:p w14:paraId="68107F39">
      <w:pPr>
        <w:pStyle w:val="112"/>
        <w:spacing w:before="156" w:after="156"/>
      </w:pPr>
      <w:r>
        <w:rPr>
          <w:rFonts w:hint="eastAsia"/>
        </w:rPr>
        <w:t>农药残留指标</w:t>
      </w: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799"/>
        <w:gridCol w:w="4575"/>
      </w:tblGrid>
      <w:tr w14:paraId="460086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799" w:type="dxa"/>
            <w:tcBorders>
              <w:top w:val="single" w:color="auto" w:sz="8" w:space="0"/>
              <w:bottom w:val="single" w:color="auto" w:sz="8" w:space="0"/>
            </w:tcBorders>
            <w:shd w:val="clear" w:color="auto" w:fill="auto"/>
            <w:vAlign w:val="center"/>
          </w:tcPr>
          <w:p w14:paraId="78B426B5">
            <w:pPr>
              <w:pStyle w:val="178"/>
              <w:rPr>
                <w:rFonts w:ascii="Times New Roman"/>
              </w:rPr>
            </w:pPr>
            <w:r>
              <w:rPr>
                <w:rFonts w:hAnsi="宋体"/>
              </w:rPr>
              <w:t>项目</w:t>
            </w:r>
          </w:p>
        </w:tc>
        <w:tc>
          <w:tcPr>
            <w:tcW w:w="4575" w:type="dxa"/>
            <w:tcBorders>
              <w:top w:val="single" w:color="auto" w:sz="8" w:space="0"/>
              <w:bottom w:val="single" w:color="auto" w:sz="8" w:space="0"/>
            </w:tcBorders>
            <w:shd w:val="clear" w:color="auto" w:fill="auto"/>
            <w:vAlign w:val="center"/>
          </w:tcPr>
          <w:p w14:paraId="46DA7E7C">
            <w:pPr>
              <w:pStyle w:val="178"/>
              <w:rPr>
                <w:rFonts w:ascii="Times New Roman"/>
              </w:rPr>
            </w:pPr>
            <w:r>
              <w:rPr>
                <w:rFonts w:hAnsi="宋体"/>
              </w:rPr>
              <w:t>指标</w:t>
            </w:r>
          </w:p>
        </w:tc>
      </w:tr>
      <w:tr w14:paraId="6C4296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799" w:type="dxa"/>
            <w:shd w:val="clear" w:color="auto" w:fill="auto"/>
            <w:vAlign w:val="center"/>
          </w:tcPr>
          <w:p w14:paraId="5173688E">
            <w:pPr>
              <w:pStyle w:val="178"/>
              <w:rPr>
                <w:rFonts w:hAnsi="宋体"/>
              </w:rPr>
            </w:pPr>
            <w:r>
              <w:rPr>
                <w:rFonts w:hint="eastAsia" w:hAnsi="宋体"/>
              </w:rPr>
              <w:t>六六六总量，mg/kg                                ≤</w:t>
            </w:r>
          </w:p>
        </w:tc>
        <w:tc>
          <w:tcPr>
            <w:tcW w:w="4575" w:type="dxa"/>
            <w:shd w:val="clear" w:color="auto" w:fill="auto"/>
            <w:vAlign w:val="center"/>
          </w:tcPr>
          <w:p w14:paraId="43A742E1">
            <w:pPr>
              <w:pStyle w:val="178"/>
              <w:rPr>
                <w:rFonts w:hAnsi="宋体"/>
              </w:rPr>
            </w:pPr>
            <w:r>
              <w:rPr>
                <w:rFonts w:hint="eastAsia" w:hAnsi="宋体"/>
              </w:rPr>
              <w:t>0.2</w:t>
            </w:r>
          </w:p>
        </w:tc>
      </w:tr>
      <w:tr w14:paraId="3076F1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799" w:type="dxa"/>
            <w:shd w:val="clear" w:color="auto" w:fill="auto"/>
            <w:vAlign w:val="center"/>
          </w:tcPr>
          <w:p w14:paraId="24BEAA60">
            <w:pPr>
              <w:pStyle w:val="178"/>
              <w:rPr>
                <w:rFonts w:hAnsi="宋体"/>
              </w:rPr>
            </w:pPr>
            <w:r>
              <w:rPr>
                <w:rFonts w:hint="eastAsia" w:hAnsi="宋体"/>
              </w:rPr>
              <w:t>滴滴涕总量，mg/kg                                ≤</w:t>
            </w:r>
          </w:p>
        </w:tc>
        <w:tc>
          <w:tcPr>
            <w:tcW w:w="4575" w:type="dxa"/>
            <w:shd w:val="clear" w:color="auto" w:fill="auto"/>
            <w:vAlign w:val="center"/>
          </w:tcPr>
          <w:p w14:paraId="2B8BD923">
            <w:pPr>
              <w:pStyle w:val="178"/>
              <w:rPr>
                <w:rFonts w:hAnsi="宋体"/>
              </w:rPr>
            </w:pPr>
            <w:r>
              <w:rPr>
                <w:rFonts w:hint="eastAsia" w:hAnsi="宋体"/>
              </w:rPr>
              <w:t>0.2</w:t>
            </w:r>
          </w:p>
        </w:tc>
      </w:tr>
      <w:tr w14:paraId="182FDF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799" w:type="dxa"/>
            <w:shd w:val="clear" w:color="auto" w:fill="auto"/>
            <w:vAlign w:val="center"/>
          </w:tcPr>
          <w:p w14:paraId="55393B7E">
            <w:pPr>
              <w:pStyle w:val="178"/>
              <w:rPr>
                <w:rFonts w:hAnsi="宋体"/>
              </w:rPr>
            </w:pPr>
            <w:r>
              <w:rPr>
                <w:rFonts w:hint="eastAsia" w:hAnsi="宋体"/>
              </w:rPr>
              <w:t>乙酰甲胺磷，mg/kg                                ≤</w:t>
            </w:r>
          </w:p>
        </w:tc>
        <w:tc>
          <w:tcPr>
            <w:tcW w:w="4575" w:type="dxa"/>
            <w:shd w:val="clear" w:color="auto" w:fill="auto"/>
            <w:vAlign w:val="center"/>
          </w:tcPr>
          <w:p w14:paraId="6ACCF20C">
            <w:pPr>
              <w:pStyle w:val="178"/>
              <w:rPr>
                <w:rFonts w:hAnsi="宋体"/>
              </w:rPr>
            </w:pPr>
            <w:r>
              <w:rPr>
                <w:rFonts w:hint="eastAsia" w:hAnsi="宋体"/>
              </w:rPr>
              <w:t>0.1</w:t>
            </w:r>
          </w:p>
        </w:tc>
      </w:tr>
      <w:tr w14:paraId="0DD8C8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799" w:type="dxa"/>
            <w:shd w:val="clear" w:color="auto" w:fill="auto"/>
            <w:vAlign w:val="center"/>
          </w:tcPr>
          <w:p w14:paraId="55F3D75B">
            <w:pPr>
              <w:pStyle w:val="178"/>
              <w:rPr>
                <w:rFonts w:hAnsi="宋体"/>
              </w:rPr>
            </w:pPr>
            <w:r>
              <w:rPr>
                <w:rFonts w:hint="eastAsia" w:hAnsi="宋体"/>
              </w:rPr>
              <w:t>氯氰菊酯，mg/kg                                  ≤</w:t>
            </w:r>
          </w:p>
        </w:tc>
        <w:tc>
          <w:tcPr>
            <w:tcW w:w="4575" w:type="dxa"/>
            <w:shd w:val="clear" w:color="auto" w:fill="auto"/>
            <w:vAlign w:val="center"/>
          </w:tcPr>
          <w:p w14:paraId="19AEFFFD">
            <w:pPr>
              <w:pStyle w:val="178"/>
              <w:rPr>
                <w:rFonts w:hAnsi="宋体"/>
              </w:rPr>
            </w:pPr>
            <w:r>
              <w:rPr>
                <w:rFonts w:hint="eastAsia" w:hAnsi="宋体"/>
              </w:rPr>
              <w:t>20</w:t>
            </w:r>
          </w:p>
        </w:tc>
      </w:tr>
    </w:tbl>
    <w:p w14:paraId="74555DD4">
      <w:pPr>
        <w:pStyle w:val="112"/>
        <w:numPr>
          <w:ilvl w:val="0"/>
          <w:numId w:val="0"/>
        </w:numPr>
        <w:spacing w:before="156" w:after="156"/>
        <w:ind w:leftChars="0"/>
        <w:jc w:val="center"/>
        <w:rPr>
          <w:rFonts w:hint="eastAsia" w:eastAsia="黑体"/>
          <w:lang w:eastAsia="zh-CN"/>
        </w:rPr>
      </w:pPr>
      <w:r>
        <w:rPr>
          <w:rFonts w:hint="eastAsia"/>
          <w:lang w:eastAsia="zh-CN"/>
        </w:rPr>
        <w:t>表</w:t>
      </w:r>
      <w:r>
        <w:rPr>
          <w:rFonts w:hint="eastAsia"/>
          <w:lang w:val="en-US" w:eastAsia="zh-CN"/>
        </w:rPr>
        <w:t xml:space="preserve">5 </w:t>
      </w:r>
      <w:r>
        <w:rPr>
          <w:rFonts w:hint="eastAsia"/>
        </w:rPr>
        <w:t>农药残留指标</w:t>
      </w:r>
      <w:r>
        <w:rPr>
          <w:rFonts w:hint="eastAsia"/>
          <w:lang w:eastAsia="zh-CN"/>
        </w:rPr>
        <w:t>（续）</w:t>
      </w: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799"/>
        <w:gridCol w:w="4575"/>
      </w:tblGrid>
      <w:tr w14:paraId="0DC56A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799" w:type="dxa"/>
            <w:tcBorders>
              <w:top w:val="single" w:color="auto" w:sz="8" w:space="0"/>
              <w:bottom w:val="single" w:color="auto" w:sz="8" w:space="0"/>
            </w:tcBorders>
            <w:shd w:val="clear" w:color="auto" w:fill="auto"/>
            <w:vAlign w:val="center"/>
          </w:tcPr>
          <w:p w14:paraId="6B4AC768">
            <w:pPr>
              <w:pStyle w:val="178"/>
              <w:rPr>
                <w:rFonts w:ascii="Times New Roman"/>
              </w:rPr>
            </w:pPr>
            <w:r>
              <w:rPr>
                <w:rFonts w:hAnsi="宋体"/>
              </w:rPr>
              <w:t>项目</w:t>
            </w:r>
          </w:p>
        </w:tc>
        <w:tc>
          <w:tcPr>
            <w:tcW w:w="4575" w:type="dxa"/>
            <w:tcBorders>
              <w:top w:val="single" w:color="auto" w:sz="8" w:space="0"/>
              <w:bottom w:val="single" w:color="auto" w:sz="8" w:space="0"/>
            </w:tcBorders>
            <w:shd w:val="clear" w:color="auto" w:fill="auto"/>
            <w:vAlign w:val="center"/>
          </w:tcPr>
          <w:p w14:paraId="3E147C25">
            <w:pPr>
              <w:pStyle w:val="178"/>
              <w:rPr>
                <w:rFonts w:ascii="Times New Roman"/>
              </w:rPr>
            </w:pPr>
            <w:r>
              <w:rPr>
                <w:rFonts w:hAnsi="宋体"/>
              </w:rPr>
              <w:t>指标</w:t>
            </w:r>
          </w:p>
        </w:tc>
      </w:tr>
      <w:tr w14:paraId="7A87AB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799" w:type="dxa"/>
            <w:shd w:val="clear" w:color="auto" w:fill="auto"/>
            <w:vAlign w:val="center"/>
          </w:tcPr>
          <w:p w14:paraId="19C353EF">
            <w:pPr>
              <w:pStyle w:val="178"/>
              <w:rPr>
                <w:rFonts w:hAnsi="宋体"/>
              </w:rPr>
            </w:pPr>
            <w:r>
              <w:rPr>
                <w:rFonts w:hint="eastAsia" w:hAnsi="宋体"/>
              </w:rPr>
              <w:t>氯菊酯，mg/kg                                    ≤</w:t>
            </w:r>
          </w:p>
        </w:tc>
        <w:tc>
          <w:tcPr>
            <w:tcW w:w="4575" w:type="dxa"/>
            <w:shd w:val="clear" w:color="auto" w:fill="auto"/>
            <w:vAlign w:val="center"/>
          </w:tcPr>
          <w:p w14:paraId="7D6BF57B">
            <w:pPr>
              <w:pStyle w:val="178"/>
              <w:rPr>
                <w:rFonts w:hAnsi="宋体"/>
              </w:rPr>
            </w:pPr>
            <w:r>
              <w:rPr>
                <w:rFonts w:hint="eastAsia" w:hAnsi="宋体"/>
              </w:rPr>
              <w:t>20</w:t>
            </w:r>
          </w:p>
        </w:tc>
      </w:tr>
      <w:tr w14:paraId="2AEDE5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799" w:type="dxa"/>
            <w:shd w:val="clear" w:color="auto" w:fill="auto"/>
            <w:vAlign w:val="center"/>
          </w:tcPr>
          <w:p w14:paraId="4FD8071E">
            <w:pPr>
              <w:pStyle w:val="178"/>
              <w:rPr>
                <w:rFonts w:hAnsi="宋体"/>
                <w:b/>
              </w:rPr>
            </w:pPr>
            <w:r>
              <w:rPr>
                <w:rFonts w:hint="eastAsia" w:hAnsi="宋体"/>
              </w:rPr>
              <w:t>溴氰菊酯，mg/kg                                  ≤</w:t>
            </w:r>
          </w:p>
        </w:tc>
        <w:tc>
          <w:tcPr>
            <w:tcW w:w="4575" w:type="dxa"/>
            <w:shd w:val="clear" w:color="auto" w:fill="auto"/>
            <w:vAlign w:val="center"/>
          </w:tcPr>
          <w:p w14:paraId="75F80DE6">
            <w:pPr>
              <w:pStyle w:val="178"/>
              <w:rPr>
                <w:rFonts w:hAnsi="宋体"/>
              </w:rPr>
            </w:pPr>
            <w:r>
              <w:rPr>
                <w:rFonts w:hint="eastAsia" w:hAnsi="宋体"/>
              </w:rPr>
              <w:t>10</w:t>
            </w:r>
          </w:p>
        </w:tc>
      </w:tr>
      <w:tr w14:paraId="212D66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799" w:type="dxa"/>
            <w:shd w:val="clear" w:color="auto" w:fill="auto"/>
            <w:vAlign w:val="center"/>
          </w:tcPr>
          <w:p w14:paraId="5227C11D">
            <w:pPr>
              <w:pStyle w:val="178"/>
              <w:rPr>
                <w:rFonts w:hAnsi="宋体"/>
              </w:rPr>
            </w:pPr>
            <w:r>
              <w:rPr>
                <w:rFonts w:hint="eastAsia" w:hAnsi="宋体"/>
              </w:rPr>
              <w:t>氟氰戊菊酯，mg/kg                                ≤</w:t>
            </w:r>
          </w:p>
        </w:tc>
        <w:tc>
          <w:tcPr>
            <w:tcW w:w="4575" w:type="dxa"/>
            <w:shd w:val="clear" w:color="auto" w:fill="auto"/>
            <w:vAlign w:val="center"/>
          </w:tcPr>
          <w:p w14:paraId="343764B0">
            <w:pPr>
              <w:pStyle w:val="178"/>
              <w:rPr>
                <w:rFonts w:hAnsi="宋体"/>
              </w:rPr>
            </w:pPr>
            <w:r>
              <w:rPr>
                <w:rFonts w:hint="eastAsia" w:hAnsi="宋体"/>
              </w:rPr>
              <w:t>20</w:t>
            </w:r>
          </w:p>
        </w:tc>
      </w:tr>
      <w:tr w14:paraId="268CF6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2"/>
            <w:shd w:val="clear" w:color="auto" w:fill="auto"/>
            <w:vAlign w:val="center"/>
          </w:tcPr>
          <w:p w14:paraId="7D6AE55E">
            <w:pPr>
              <w:pStyle w:val="178"/>
              <w:jc w:val="left"/>
              <w:rPr>
                <w:rFonts w:hAnsi="宋体"/>
              </w:rPr>
            </w:pPr>
            <w:r>
              <w:rPr>
                <w:rFonts w:hint="eastAsia" w:ascii="黑体" w:hAnsi="黑体" w:eastAsia="黑体"/>
              </w:rPr>
              <w:t>注</w:t>
            </w:r>
            <w:r>
              <w:rPr>
                <w:rFonts w:hint="eastAsia" w:hAnsi="宋体"/>
              </w:rPr>
              <w:t>：其他农药最大残留限量应符合GB 2763的</w:t>
            </w:r>
            <w:r>
              <w:rPr>
                <w:rFonts w:hint="eastAsia"/>
              </w:rPr>
              <w:t>要求及国家相关规定</w:t>
            </w:r>
          </w:p>
        </w:tc>
      </w:tr>
    </w:tbl>
    <w:p w14:paraId="7DFFFE99">
      <w:pPr>
        <w:pStyle w:val="104"/>
        <w:spacing w:before="312" w:after="312"/>
      </w:pPr>
      <w:r>
        <w:rPr>
          <w:rFonts w:hint="eastAsia"/>
        </w:rPr>
        <w:t>检验方法</w:t>
      </w:r>
    </w:p>
    <w:p w14:paraId="5B0B43F3">
      <w:pPr>
        <w:pStyle w:val="105"/>
        <w:numPr>
          <w:ilvl w:val="2"/>
          <w:numId w:val="32"/>
        </w:numPr>
        <w:spacing w:before="156" w:after="156"/>
      </w:pPr>
      <w:r>
        <w:rPr>
          <w:rFonts w:hint="eastAsia"/>
        </w:rPr>
        <w:t>感官要求</w:t>
      </w:r>
    </w:p>
    <w:p w14:paraId="3E0301E1">
      <w:pPr>
        <w:pStyle w:val="56"/>
        <w:ind w:firstLine="420"/>
      </w:pPr>
      <w:r>
        <w:rPr>
          <w:rFonts w:hint="eastAsia"/>
        </w:rPr>
        <w:t>按</w:t>
      </w:r>
      <w:r>
        <w:t>GB/T 23776</w:t>
      </w:r>
      <w:r>
        <w:rPr>
          <w:rFonts w:hint="eastAsia"/>
        </w:rPr>
        <w:t>规定的方法测定。</w:t>
      </w:r>
    </w:p>
    <w:p w14:paraId="3F31F98A">
      <w:pPr>
        <w:pStyle w:val="105"/>
        <w:numPr>
          <w:ilvl w:val="2"/>
          <w:numId w:val="32"/>
        </w:numPr>
        <w:spacing w:before="156" w:after="156"/>
      </w:pPr>
      <w:r>
        <w:rPr>
          <w:rFonts w:hint="eastAsia"/>
        </w:rPr>
        <w:t>理化指标</w:t>
      </w:r>
    </w:p>
    <w:p w14:paraId="177028DD">
      <w:pPr>
        <w:pStyle w:val="165"/>
      </w:pPr>
      <w:r>
        <w:rPr>
          <w:rFonts w:hint="eastAsia"/>
        </w:rPr>
        <w:t>水分按GB/T 8304规定的方法测定。</w:t>
      </w:r>
    </w:p>
    <w:p w14:paraId="7C999D51">
      <w:pPr>
        <w:pStyle w:val="165"/>
      </w:pPr>
      <w:r>
        <w:rPr>
          <w:rFonts w:hint="eastAsia"/>
        </w:rPr>
        <w:t>总灰分按GB/T 8306规定的方法测定。</w:t>
      </w:r>
    </w:p>
    <w:p w14:paraId="58432DA2">
      <w:pPr>
        <w:pStyle w:val="165"/>
      </w:pPr>
      <w:r>
        <w:rPr>
          <w:rFonts w:hint="eastAsia"/>
        </w:rPr>
        <w:t>粗纤维按GB/T 8310规定的方法测定。</w:t>
      </w:r>
    </w:p>
    <w:p w14:paraId="3AD6D070">
      <w:pPr>
        <w:pStyle w:val="165"/>
      </w:pPr>
      <w:r>
        <w:rPr>
          <w:rFonts w:hint="eastAsia"/>
        </w:rPr>
        <w:t>酸不溶性灰分碱度、水溶性灰分按GB 5009.4规定的方法测定。</w:t>
      </w:r>
    </w:p>
    <w:p w14:paraId="669E60A3">
      <w:pPr>
        <w:pStyle w:val="165"/>
      </w:pPr>
      <w:r>
        <w:rPr>
          <w:rFonts w:hint="eastAsia"/>
        </w:rPr>
        <w:t>粉末和碎茶含量按GB/T 8311规定的方法测定。</w:t>
      </w:r>
    </w:p>
    <w:p w14:paraId="138854C8">
      <w:pPr>
        <w:pStyle w:val="165"/>
      </w:pPr>
      <w:r>
        <w:rPr>
          <w:rFonts w:hint="eastAsia"/>
        </w:rPr>
        <w:t>茶多酚、儿茶素按GB/T 8313规定的方法测定。</w:t>
      </w:r>
    </w:p>
    <w:p w14:paraId="52D989C3">
      <w:pPr>
        <w:pStyle w:val="165"/>
      </w:pPr>
      <w:r>
        <w:rPr>
          <w:rFonts w:hint="eastAsia"/>
        </w:rPr>
        <w:t>水浸出物按GB/T 8305规定的方法测定。</w:t>
      </w:r>
    </w:p>
    <w:p w14:paraId="157B93B4">
      <w:pPr>
        <w:pStyle w:val="105"/>
        <w:numPr>
          <w:ilvl w:val="2"/>
          <w:numId w:val="32"/>
        </w:numPr>
        <w:spacing w:before="156" w:after="156"/>
      </w:pPr>
      <w:r>
        <w:rPr>
          <w:rFonts w:hint="eastAsia"/>
        </w:rPr>
        <w:t>微生物指标</w:t>
      </w:r>
    </w:p>
    <w:p w14:paraId="15F46761">
      <w:pPr>
        <w:pStyle w:val="165"/>
      </w:pPr>
      <w:r>
        <w:rPr>
          <w:rFonts w:hint="eastAsia"/>
        </w:rPr>
        <w:t>大肠杆菌按GB 4789.3规定的方法测定。</w:t>
      </w:r>
    </w:p>
    <w:p w14:paraId="64DF61A9">
      <w:pPr>
        <w:pStyle w:val="165"/>
      </w:pPr>
      <w:r>
        <w:rPr>
          <w:rFonts w:hint="eastAsia"/>
        </w:rPr>
        <w:t>霉菌按GB 4789.15规定的方法测定。</w:t>
      </w:r>
    </w:p>
    <w:p w14:paraId="2CF037A8">
      <w:pPr>
        <w:pStyle w:val="165"/>
      </w:pPr>
      <w:r>
        <w:rPr>
          <w:rFonts w:hint="eastAsia"/>
        </w:rPr>
        <w:t>其他微生物指标按GB 29921规定的方法测定。</w:t>
      </w:r>
    </w:p>
    <w:p w14:paraId="1ABB9FD0">
      <w:pPr>
        <w:pStyle w:val="105"/>
        <w:spacing w:before="156" w:after="156"/>
      </w:pPr>
      <w:r>
        <w:rPr>
          <w:rFonts w:hint="eastAsia"/>
        </w:rPr>
        <w:t>重金属指标</w:t>
      </w:r>
    </w:p>
    <w:p w14:paraId="795EFDE1">
      <w:pPr>
        <w:pStyle w:val="165"/>
      </w:pPr>
      <w:r>
        <w:rPr>
          <w:rFonts w:hint="eastAsia"/>
        </w:rPr>
        <w:t>铅按GB 5009.12规定的方法测定。</w:t>
      </w:r>
    </w:p>
    <w:p w14:paraId="09AFBEFA">
      <w:pPr>
        <w:pStyle w:val="165"/>
      </w:pPr>
      <w:r>
        <w:rPr>
          <w:rFonts w:hint="eastAsia"/>
        </w:rPr>
        <w:t>镉按GB 5009.15规定的方法测定。</w:t>
      </w:r>
    </w:p>
    <w:p w14:paraId="22E636F3">
      <w:pPr>
        <w:pStyle w:val="165"/>
      </w:pPr>
      <w:r>
        <w:rPr>
          <w:rFonts w:hint="eastAsia"/>
        </w:rPr>
        <w:t>汞按GB 5009.17规定的方法测定。</w:t>
      </w:r>
    </w:p>
    <w:p w14:paraId="5549905E">
      <w:pPr>
        <w:pStyle w:val="165"/>
      </w:pPr>
      <w:r>
        <w:rPr>
          <w:rFonts w:hint="eastAsia"/>
        </w:rPr>
        <w:t>砷按GB 5009.11规定的方法测定。</w:t>
      </w:r>
    </w:p>
    <w:p w14:paraId="00C3F82C">
      <w:pPr>
        <w:pStyle w:val="165"/>
      </w:pPr>
      <w:r>
        <w:rPr>
          <w:rFonts w:hint="eastAsia"/>
        </w:rPr>
        <w:t>其他污染物限量按GB 2762规定的方法测定。</w:t>
      </w:r>
    </w:p>
    <w:p w14:paraId="368486A6">
      <w:pPr>
        <w:pStyle w:val="105"/>
        <w:spacing w:before="156" w:after="156"/>
      </w:pPr>
      <w:r>
        <w:rPr>
          <w:rFonts w:hint="eastAsia"/>
        </w:rPr>
        <w:t>农药残留指标</w:t>
      </w:r>
    </w:p>
    <w:p w14:paraId="016BCB99">
      <w:pPr>
        <w:pStyle w:val="165"/>
      </w:pPr>
      <w:r>
        <w:rPr>
          <w:rFonts w:hint="eastAsia"/>
        </w:rPr>
        <w:t>六六六总量、滴滴涕总量按GB/T 5009.19规定的方法测定。</w:t>
      </w:r>
    </w:p>
    <w:p w14:paraId="41C98DB0">
      <w:pPr>
        <w:pStyle w:val="165"/>
      </w:pPr>
      <w:r>
        <w:rPr>
          <w:rFonts w:hint="eastAsia"/>
        </w:rPr>
        <w:t>乙酰甲胺磷、氯氰菊酯、氯菊酯、溴氰菊酯、氟氰戊菊酯按GB/T 23376规定的方法测定。</w:t>
      </w:r>
    </w:p>
    <w:p w14:paraId="1660F22C">
      <w:pPr>
        <w:pStyle w:val="165"/>
      </w:pPr>
      <w:r>
        <w:rPr>
          <w:rFonts w:hint="eastAsia"/>
        </w:rPr>
        <w:t>其他农药最大残留限量按GB 2763规定的方法测定。</w:t>
      </w:r>
    </w:p>
    <w:p w14:paraId="5949D829">
      <w:pPr>
        <w:pStyle w:val="104"/>
        <w:spacing w:before="312" w:after="312"/>
      </w:pPr>
      <w:r>
        <w:rPr>
          <w:rFonts w:hint="eastAsia"/>
        </w:rPr>
        <w:t xml:space="preserve">贮存  </w:t>
      </w:r>
    </w:p>
    <w:p w14:paraId="4FFC3B37">
      <w:pPr>
        <w:pStyle w:val="162"/>
      </w:pPr>
      <w:r>
        <w:rPr>
          <w:rFonts w:hint="eastAsia"/>
        </w:rPr>
        <w:t>贮存场所及周边设施需定期打扫，必要时进行消毒。贮存设备及使用工具在使用前均应进行清洗，防治污染。</w:t>
      </w:r>
    </w:p>
    <w:p w14:paraId="1DE5AD57">
      <w:pPr>
        <w:pStyle w:val="162"/>
        <w:rPr>
          <w:highlight w:val="none"/>
        </w:rPr>
      </w:pPr>
      <w:r>
        <w:rPr>
          <w:rFonts w:hint="eastAsia"/>
          <w:highlight w:val="none"/>
        </w:rPr>
        <w:t>库房内应有通风散热设施、除湿设施</w:t>
      </w:r>
      <w:r>
        <w:rPr>
          <w:rFonts w:hint="eastAsia"/>
          <w:highlight w:val="none"/>
          <w:lang w:eastAsia="zh-CN"/>
        </w:rPr>
        <w:t>和</w:t>
      </w:r>
      <w:r>
        <w:rPr>
          <w:rFonts w:hint="eastAsia"/>
          <w:highlight w:val="none"/>
        </w:rPr>
        <w:t>温湿度计，应根据</w:t>
      </w:r>
      <w:r>
        <w:rPr>
          <w:rFonts w:hint="eastAsia"/>
          <w:highlight w:val="none"/>
          <w:lang w:eastAsia="zh-CN"/>
        </w:rPr>
        <w:t>夏秋茶</w:t>
      </w:r>
      <w:r>
        <w:rPr>
          <w:rFonts w:hint="eastAsia"/>
          <w:highlight w:val="none"/>
        </w:rPr>
        <w:t>特点</w:t>
      </w:r>
      <w:r>
        <w:rPr>
          <w:rFonts w:hint="eastAsia"/>
          <w:highlight w:val="none"/>
          <w:lang w:eastAsia="zh-CN"/>
        </w:rPr>
        <w:t>对</w:t>
      </w:r>
      <w:r>
        <w:rPr>
          <w:rFonts w:hint="eastAsia"/>
          <w:highlight w:val="none"/>
        </w:rPr>
        <w:t>库房内温湿度进行控制。</w:t>
      </w:r>
    </w:p>
    <w:p w14:paraId="635259B6">
      <w:pPr>
        <w:pStyle w:val="162"/>
        <w:rPr>
          <w:highlight w:val="none"/>
        </w:rPr>
      </w:pPr>
      <w:r>
        <w:rPr>
          <w:rFonts w:hint="eastAsia"/>
          <w:highlight w:val="none"/>
        </w:rPr>
        <w:t>夏秋茶应贮存于干燥、阴凉、无异味的库房中，库房内按不同批次进行分类</w:t>
      </w:r>
      <w:r>
        <w:rPr>
          <w:rFonts w:hint="eastAsia"/>
          <w:highlight w:val="none"/>
          <w:lang w:eastAsia="zh-CN"/>
        </w:rPr>
        <w:t>、</w:t>
      </w:r>
      <w:r>
        <w:rPr>
          <w:rFonts w:hint="eastAsia"/>
          <w:highlight w:val="none"/>
        </w:rPr>
        <w:t>离地、离墙储存，并应标识清楚，分别堆码。</w:t>
      </w:r>
    </w:p>
    <w:p w14:paraId="08DE7BC9">
      <w:pPr>
        <w:pStyle w:val="162"/>
        <w:rPr>
          <w:highlight w:val="none"/>
        </w:rPr>
      </w:pPr>
      <w:r>
        <w:rPr>
          <w:rFonts w:hint="eastAsia"/>
          <w:highlight w:val="none"/>
        </w:rPr>
        <w:t>定期对贮存的夏秋茶进行外观、色泽、香气、含水量等指标</w:t>
      </w:r>
      <w:r>
        <w:rPr>
          <w:rFonts w:hint="eastAsia"/>
          <w:highlight w:val="none"/>
          <w:lang w:eastAsia="zh-CN"/>
        </w:rPr>
        <w:t>查验</w:t>
      </w:r>
      <w:r>
        <w:rPr>
          <w:rFonts w:hint="eastAsia"/>
          <w:highlight w:val="none"/>
        </w:rPr>
        <w:t>是否正常，有无霉变、异味、虫蛀等情况发生。如发现异常情况，应及时采取措施进行处理，并做好记录。</w:t>
      </w:r>
    </w:p>
    <w:p w14:paraId="359CFEC3">
      <w:pPr>
        <w:pStyle w:val="162"/>
      </w:pPr>
      <w:r>
        <w:rPr>
          <w:rFonts w:hint="eastAsia"/>
          <w:highlight w:val="none"/>
        </w:rPr>
        <w:t>建立仓库管理档案，详细记录</w:t>
      </w:r>
      <w:r>
        <w:rPr>
          <w:rFonts w:hint="eastAsia"/>
          <w:highlight w:val="none"/>
          <w:lang w:eastAsia="zh-CN"/>
        </w:rPr>
        <w:t>夏秋茶</w:t>
      </w:r>
      <w:r>
        <w:rPr>
          <w:rFonts w:hint="eastAsia"/>
          <w:highlight w:val="none"/>
        </w:rPr>
        <w:t>的出入库日期、批号、数量、运输方式</w:t>
      </w:r>
      <w:r>
        <w:rPr>
          <w:rFonts w:hint="eastAsia"/>
        </w:rPr>
        <w:t>，保留相关数据。</w:t>
      </w:r>
    </w:p>
    <w:p w14:paraId="346751E5">
      <w:pPr>
        <w:pStyle w:val="104"/>
        <w:spacing w:before="312" w:after="312"/>
      </w:pPr>
      <w:r>
        <w:rPr>
          <w:rFonts w:hint="eastAsia"/>
        </w:rPr>
        <w:t>溯源管理</w:t>
      </w:r>
    </w:p>
    <w:p w14:paraId="6F09D5E9">
      <w:pPr>
        <w:pStyle w:val="105"/>
        <w:spacing w:before="156" w:after="156"/>
      </w:pPr>
      <w:r>
        <w:rPr>
          <w:rFonts w:hint="eastAsia"/>
        </w:rPr>
        <w:t>溯源要求</w:t>
      </w:r>
    </w:p>
    <w:p w14:paraId="2C2D572E">
      <w:pPr>
        <w:pStyle w:val="56"/>
        <w:ind w:firstLine="420"/>
      </w:pPr>
      <w:r>
        <w:rPr>
          <w:rFonts w:hint="eastAsia"/>
        </w:rPr>
        <w:t>通过记录夏秋茶从田间管理、鲜叶采摘、鲜叶加工、</w:t>
      </w:r>
      <w:r>
        <w:rPr>
          <w:rFonts w:hint="eastAsia"/>
          <w:highlight w:val="none"/>
        </w:rPr>
        <w:t>检测结果、</w:t>
      </w:r>
      <w:r>
        <w:rPr>
          <w:rFonts w:hint="eastAsia"/>
        </w:rPr>
        <w:t>贮存等主要环节信息，实现对夏秋茶品质全过程跟踪和信息化管理。追溯要求应符合GB/T 33915。</w:t>
      </w:r>
    </w:p>
    <w:p w14:paraId="5E9150B3">
      <w:pPr>
        <w:pStyle w:val="105"/>
        <w:spacing w:before="156" w:after="156"/>
      </w:pPr>
      <w:r>
        <w:rPr>
          <w:rFonts w:hint="eastAsia"/>
        </w:rPr>
        <w:t>追溯标识</w:t>
      </w:r>
    </w:p>
    <w:p w14:paraId="60E88914">
      <w:pPr>
        <w:pStyle w:val="56"/>
        <w:ind w:firstLine="420"/>
      </w:pPr>
      <w:r>
        <w:rPr>
          <w:rFonts w:hint="eastAsia"/>
        </w:rPr>
        <w:t>追溯标识为纸质凭证、电子二维码等带有信息的各种标识。信息内容应包括：品名、生产者、产地、生产日期、生成批号、包装日期、</w:t>
      </w:r>
      <w:r>
        <w:rPr>
          <w:rFonts w:hint="eastAsia"/>
          <w:lang w:eastAsia="zh-CN"/>
        </w:rPr>
        <w:t>检测</w:t>
      </w:r>
      <w:r>
        <w:rPr>
          <w:rFonts w:hint="eastAsia"/>
        </w:rPr>
        <w:t>合格证书、运输方式、保质期、联系方式、规格等。追溯标识应符合NY/T 1761的要求。</w:t>
      </w:r>
    </w:p>
    <w:p w14:paraId="21A51CF0">
      <w:pPr>
        <w:pStyle w:val="105"/>
        <w:spacing w:before="156" w:after="156"/>
      </w:pPr>
      <w:r>
        <w:rPr>
          <w:rFonts w:hint="eastAsia"/>
        </w:rPr>
        <w:t>溯源编码</w:t>
      </w:r>
    </w:p>
    <w:p w14:paraId="2155B697">
      <w:pPr>
        <w:pStyle w:val="56"/>
        <w:ind w:firstLine="420"/>
      </w:pPr>
      <w:r>
        <w:rPr>
          <w:rFonts w:hint="eastAsia"/>
        </w:rPr>
        <w:t>编码内容包括：产地编码、采摘批次编码、包装批次编码、</w:t>
      </w:r>
      <w:bookmarkStart w:id="45" w:name="_GoBack"/>
      <w:bookmarkEnd w:id="45"/>
      <w:r>
        <w:rPr>
          <w:rFonts w:hint="eastAsia"/>
        </w:rPr>
        <w:t>运输设施与批次编码等。编码应符合NY/T 1763的要求。</w:t>
      </w:r>
    </w:p>
    <w:bookmarkEnd w:id="22"/>
    <w:p w14:paraId="60F923B8">
      <w:pPr>
        <w:pStyle w:val="56"/>
        <w:ind w:firstLine="420"/>
        <w:jc w:val="center"/>
      </w:pPr>
      <w:r>
        <w:rPr>
          <w:rFonts w:hint="eastAsia"/>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0000000000000000000"/>
    <w:charset w:val="86"/>
    <w:family w:val="auto"/>
    <w:pitch w:val="default"/>
    <w:sig w:usb0="00000000" w:usb1="00000000" w:usb2="00000016" w:usb3="00000000" w:csb0="0004000F" w:csb1="00000000"/>
  </w:font>
  <w:font w:name="PingFang SC-Regular">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A7153">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75482">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17A9A">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146D9">
    <w:pPr>
      <w:pStyle w:val="5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B615B">
    <w:pPr>
      <w:pStyle w:val="52"/>
    </w:pPr>
    <w:r>
      <w:fldChar w:fldCharType="begin"/>
    </w:r>
    <w:r>
      <w:instrText xml:space="preserve">PAGE   \* MERGEFORMAT</w:instrText>
    </w:r>
    <w:r>
      <w:fldChar w:fldCharType="separate"/>
    </w:r>
    <w:r>
      <w:rPr>
        <w:lang w:val="zh-CN"/>
      </w:rPr>
      <w:t>7</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213F9">
    <w:pPr>
      <w:pStyle w:val="51"/>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0D86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E9D24">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FFFF1">
    <w:pPr>
      <w:pStyle w:val="61"/>
    </w:pPr>
    <w:r>
      <w:fldChar w:fldCharType="begin"/>
    </w:r>
    <w:r>
      <w:instrText xml:space="preserve"> STYLEREF  标准文件_文件编号  \* MERGEFORMAT </w:instrText>
    </w:r>
    <w:r>
      <w:fldChar w:fldCharType="separate"/>
    </w:r>
    <w: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B8612">
    <w:pPr>
      <w:pStyle w:val="62"/>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EC181">
    <w:pPr>
      <w:pStyle w:val="61"/>
    </w:pPr>
    <w:r>
      <w:fldChar w:fldCharType="begin"/>
    </w:r>
    <w:r>
      <w:instrText xml:space="preserve"> STYLEREF  标准文件_文件编号  \* MERGEFORMAT </w:instrText>
    </w:r>
    <w:r>
      <w:fldChar w:fldCharType="separate"/>
    </w:r>
    <w:r>
      <w:t>DB 34/T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3956C">
    <w:pPr>
      <w:pStyle w:val="62"/>
    </w:pPr>
    <w:r>
      <w:fldChar w:fldCharType="begin"/>
    </w:r>
    <w:r>
      <w:instrText xml:space="preserve"> STYLEREF  标准文件_文件编号 \* MERGEFORMAT </w:instrText>
    </w:r>
    <w:r>
      <w:fldChar w:fldCharType="separate"/>
    </w:r>
    <w: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851"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dit="forms" w:enforcement="1" w:cryptProviderType="rsaAES" w:cryptAlgorithmClass="hash" w:cryptAlgorithmType="typeAny" w:cryptAlgorithmSid="14" w:cryptSpinCount="100000" w:hash="qQeeRyMgl6+UKRen59SI82nfpo626jPySQXxXXsVa+zKJgKGPlA1F9IoomQAdEnidNyk2lIM8ZY4+dPJgrgADA==" w:salt="y1eAR77jdECGv4OXLa7M/g=="/>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276"/>
    <w:rsid w:val="0000040A"/>
    <w:rsid w:val="00000A94"/>
    <w:rsid w:val="00001972"/>
    <w:rsid w:val="00001D9A"/>
    <w:rsid w:val="00007B3A"/>
    <w:rsid w:val="000107E0"/>
    <w:rsid w:val="00011FDE"/>
    <w:rsid w:val="00012FFD"/>
    <w:rsid w:val="00014162"/>
    <w:rsid w:val="00014340"/>
    <w:rsid w:val="00016A9C"/>
    <w:rsid w:val="00020C29"/>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4CE"/>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EFF"/>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29D"/>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1B5F"/>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6DA2"/>
    <w:rsid w:val="00400E72"/>
    <w:rsid w:val="00401400"/>
    <w:rsid w:val="00403276"/>
    <w:rsid w:val="00404869"/>
    <w:rsid w:val="00405884"/>
    <w:rsid w:val="00407D39"/>
    <w:rsid w:val="0041477A"/>
    <w:rsid w:val="004167A3"/>
    <w:rsid w:val="00420929"/>
    <w:rsid w:val="00432DAA"/>
    <w:rsid w:val="00434305"/>
    <w:rsid w:val="00435DF7"/>
    <w:rsid w:val="0044083F"/>
    <w:rsid w:val="00441AE7"/>
    <w:rsid w:val="00445574"/>
    <w:rsid w:val="004467FB"/>
    <w:rsid w:val="00452D6B"/>
    <w:rsid w:val="00454484"/>
    <w:rsid w:val="0045517B"/>
    <w:rsid w:val="00463084"/>
    <w:rsid w:val="00463B77"/>
    <w:rsid w:val="00463C7B"/>
    <w:rsid w:val="004644A6"/>
    <w:rsid w:val="004652D3"/>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5449"/>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D6A"/>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0AC"/>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1CC"/>
    <w:rsid w:val="00756B26"/>
    <w:rsid w:val="00756EDF"/>
    <w:rsid w:val="007600E3"/>
    <w:rsid w:val="00765C43"/>
    <w:rsid w:val="00765EFB"/>
    <w:rsid w:val="007671CA"/>
    <w:rsid w:val="00767C61"/>
    <w:rsid w:val="0077008A"/>
    <w:rsid w:val="00773C1F"/>
    <w:rsid w:val="00774DA4"/>
    <w:rsid w:val="00776599"/>
    <w:rsid w:val="0078114B"/>
    <w:rsid w:val="00781DD2"/>
    <w:rsid w:val="00783E63"/>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21B"/>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09F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E52"/>
    <w:rsid w:val="008A1893"/>
    <w:rsid w:val="008A3215"/>
    <w:rsid w:val="008A57E6"/>
    <w:rsid w:val="008A6F81"/>
    <w:rsid w:val="008A7058"/>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4D51"/>
    <w:rsid w:val="00AE5409"/>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3FC"/>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6711"/>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5381"/>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71C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0EE"/>
    <w:rsid w:val="00E3137A"/>
    <w:rsid w:val="00E32CCF"/>
    <w:rsid w:val="00E33E4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17B8"/>
    <w:rsid w:val="00F06D37"/>
    <w:rsid w:val="00F07B9D"/>
    <w:rsid w:val="00F11586"/>
    <w:rsid w:val="00F1183B"/>
    <w:rsid w:val="00F11C9F"/>
    <w:rsid w:val="00F12263"/>
    <w:rsid w:val="00F1409D"/>
    <w:rsid w:val="00F14214"/>
    <w:rsid w:val="00F157A9"/>
    <w:rsid w:val="00F25BB6"/>
    <w:rsid w:val="00F26B7E"/>
    <w:rsid w:val="00F27A3B"/>
    <w:rsid w:val="00F27B26"/>
    <w:rsid w:val="00F33817"/>
    <w:rsid w:val="00F375AE"/>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646578"/>
    <w:rsid w:val="03503A2D"/>
    <w:rsid w:val="048942E5"/>
    <w:rsid w:val="070954E4"/>
    <w:rsid w:val="0F3019F4"/>
    <w:rsid w:val="18D94D16"/>
    <w:rsid w:val="197B401F"/>
    <w:rsid w:val="1A2A1A16"/>
    <w:rsid w:val="1E52180C"/>
    <w:rsid w:val="203E6F9D"/>
    <w:rsid w:val="25473008"/>
    <w:rsid w:val="26B272C6"/>
    <w:rsid w:val="281C4C20"/>
    <w:rsid w:val="29CF109B"/>
    <w:rsid w:val="2B2C517A"/>
    <w:rsid w:val="2BCE4483"/>
    <w:rsid w:val="2F176141"/>
    <w:rsid w:val="2F4F238A"/>
    <w:rsid w:val="2FB71C14"/>
    <w:rsid w:val="30590093"/>
    <w:rsid w:val="33C3130A"/>
    <w:rsid w:val="36455984"/>
    <w:rsid w:val="37F52D97"/>
    <w:rsid w:val="3F9625DF"/>
    <w:rsid w:val="3FA0503A"/>
    <w:rsid w:val="45BD675C"/>
    <w:rsid w:val="45EC623C"/>
    <w:rsid w:val="48B9571B"/>
    <w:rsid w:val="49E47EC8"/>
    <w:rsid w:val="4DB03590"/>
    <w:rsid w:val="4EE94FAC"/>
    <w:rsid w:val="506162A0"/>
    <w:rsid w:val="5F3D1A9E"/>
    <w:rsid w:val="63905B64"/>
    <w:rsid w:val="69026F3E"/>
    <w:rsid w:val="6974326C"/>
    <w:rsid w:val="6F742218"/>
    <w:rsid w:val="766034F6"/>
    <w:rsid w:val="76AD237B"/>
    <w:rsid w:val="79AD46DE"/>
    <w:rsid w:val="7B057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link w:val="230"/>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标准文件_一级条标题 Char"/>
    <w:link w:val="105"/>
    <w:autoRedefine/>
    <w:qFormat/>
    <w:uiPriority w:val="0"/>
    <w:rPr>
      <w:rFonts w:ascii="黑体" w:hAnsi="Times New Roman" w:eastAsia="黑体"/>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image" Target="media/image1.tiff"/><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D6D92164F79440CBFC0C348C75DEB0E"/>
        <w:style w:val=""/>
        <w:category>
          <w:name w:val="常规"/>
          <w:gallery w:val="placeholder"/>
        </w:category>
        <w:types>
          <w:type w:val="bbPlcHdr"/>
        </w:types>
        <w:behaviors>
          <w:behavior w:val="content"/>
        </w:behaviors>
        <w:description w:val=""/>
        <w:guid w:val="{0F4D355E-F43F-4997-B432-B30BC462F88E}"/>
      </w:docPartPr>
      <w:docPartBody>
        <w:p w14:paraId="29C2BACA">
          <w:pPr>
            <w:pStyle w:val="5"/>
          </w:pPr>
          <w:r>
            <w:rPr>
              <w:rStyle w:val="4"/>
              <w:rFonts w:hint="eastAsia"/>
            </w:rPr>
            <w:t>单击或点击此处输入文字。</w:t>
          </w:r>
        </w:p>
      </w:docPartBody>
    </w:docPart>
    <w:docPart>
      <w:docPartPr>
        <w:name w:val="A23D5E4BB4D94FDBAFFC5A1CB3FEE3EC"/>
        <w:style w:val=""/>
        <w:category>
          <w:name w:val="常规"/>
          <w:gallery w:val="placeholder"/>
        </w:category>
        <w:types>
          <w:type w:val="bbPlcHdr"/>
        </w:types>
        <w:behaviors>
          <w:behavior w:val="content"/>
        </w:behaviors>
        <w:description w:val=""/>
        <w:guid w:val="{25607675-CDC8-4D76-8D3F-5E7AD5DACE4B}"/>
      </w:docPartPr>
      <w:docPartBody>
        <w:p w14:paraId="7DA75FE5">
          <w:pPr>
            <w:pStyle w:val="6"/>
          </w:pPr>
          <w:r>
            <w:rPr>
              <w:rStyle w:val="4"/>
              <w:rFonts w:hint="eastAsia"/>
            </w:rPr>
            <w:t>选择一项。</w:t>
          </w:r>
        </w:p>
      </w:docPartBody>
    </w:docPart>
    <w:docPart>
      <w:docPartPr>
        <w:name w:val="5DEE076DE95C45C99578E8596CA45332"/>
        <w:style w:val=""/>
        <w:category>
          <w:name w:val="常规"/>
          <w:gallery w:val="placeholder"/>
        </w:category>
        <w:types>
          <w:type w:val="bbPlcHdr"/>
        </w:types>
        <w:behaviors>
          <w:behavior w:val="content"/>
        </w:behaviors>
        <w:description w:val=""/>
        <w:guid w:val="{ECAC0A48-99EE-4FC4-AC25-40B1CA0A69E6}"/>
      </w:docPartPr>
      <w:docPartBody>
        <w:p w14:paraId="3962B32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BA"/>
    <w:rsid w:val="00140A40"/>
    <w:rsid w:val="003510BA"/>
    <w:rsid w:val="00450186"/>
    <w:rsid w:val="00594D60"/>
    <w:rsid w:val="006F2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D6D92164F79440CBFC0C348C75DEB0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23D5E4BB4D94FDBAFFC5A1CB3FEE3E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DEE076DE95C45C99578E8596CA4533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11</Pages>
  <Words>2870</Words>
  <Characters>3364</Characters>
  <Lines>43</Lines>
  <Paragraphs>12</Paragraphs>
  <TotalTime>10</TotalTime>
  <ScaleCrop>false</ScaleCrop>
  <LinksUpToDate>false</LinksUpToDate>
  <CharactersWithSpaces>3827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2025-01-02T07:42:00Z</dcterms:created>
  <dc:creator>xx</dc:creator>
  <dc:description>&lt;config cover="true" show_menu="true" version="1.0.0" doctype="SDKXY"&gt;_x000d_
&lt;/config&gt;</dc:description>
  <cp:lastModifiedBy>zq</cp:lastModifiedBy>
  <cp:lastPrinted>2025-01-22T02:34:00Z</cp:lastPrinted>
  <dcterms:modified xsi:type="dcterms:W3CDTF">2025-03-18T01:50:55Z</dcterms:modified>
  <dc:title>地方标准</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eyJoZGlkIjoiZDk0ZmEwZmEwZjUzNzAxOTBkM2E1YzA2ZDJkOTFiNTIiLCJ1c2VySWQiOiI5NTgwOTEyOTkifQ==</vt:lpwstr>
  </property>
  <property fmtid="{D5CDD505-2E9C-101B-9397-08002B2CF9AE}" pid="16" name="KSOProductBuildVer">
    <vt:lpwstr>2052-12.1.0.20305</vt:lpwstr>
  </property>
  <property fmtid="{D5CDD505-2E9C-101B-9397-08002B2CF9AE}" pid="17" name="ICV">
    <vt:lpwstr>CDECDBF2F4CB45BFBFB29314513F5C7D_13</vt:lpwstr>
  </property>
</Properties>
</file>