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2D1AD4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39C012F">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AF9D6C5">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67</w:t>
            </w:r>
            <w:r>
              <w:rPr>
                <w:rFonts w:ascii="黑体" w:hAnsi="黑体" w:eastAsia="黑体"/>
                <w:sz w:val="21"/>
                <w:szCs w:val="21"/>
              </w:rPr>
              <w:t xml:space="preserve"> </w:t>
            </w:r>
            <w:r>
              <w:rPr>
                <w:rFonts w:hint="eastAsia" w:ascii="黑体" w:hAnsi="黑体" w:eastAsia="黑体"/>
                <w:sz w:val="21"/>
                <w:szCs w:val="21"/>
              </w:rPr>
              <w:t>040</w:t>
            </w:r>
            <w:r>
              <w:rPr>
                <w:rFonts w:ascii="黑体" w:hAnsi="黑体" w:eastAsia="黑体"/>
                <w:sz w:val="21"/>
                <w:szCs w:val="21"/>
              </w:rPr>
              <w:fldChar w:fldCharType="end"/>
            </w:r>
            <w:bookmarkEnd w:id="0"/>
          </w:p>
        </w:tc>
      </w:tr>
      <w:tr w14:paraId="73B16C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157416A">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0CB91F78">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X</w:t>
            </w:r>
            <w:r>
              <w:rPr>
                <w:rFonts w:ascii="黑体" w:hAnsi="黑体" w:eastAsia="黑体"/>
                <w:sz w:val="21"/>
                <w:szCs w:val="21"/>
              </w:rPr>
              <w:t xml:space="preserve"> </w:t>
            </w:r>
            <w:r>
              <w:rPr>
                <w:rFonts w:hint="eastAsia" w:ascii="黑体" w:hAnsi="黑体" w:eastAsia="黑体"/>
                <w:sz w:val="21"/>
                <w:szCs w:val="21"/>
              </w:rPr>
              <w:t>04</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0BE1686B">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4E818F4F">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34</w:t>
            </w:r>
            <w:r>
              <w:fldChar w:fldCharType="end"/>
            </w:r>
            <w:bookmarkEnd w:id="3"/>
          </w:p>
        </w:tc>
      </w:tr>
    </w:tbl>
    <w:p w14:paraId="2AB71EB3">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60A5AC1E">
      <w:pPr>
        <w:pStyle w:val="196"/>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34/T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04369373">
      <w:pPr>
        <w:pStyle w:val="197"/>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0CB7BC2F">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9A9FAF7">
      <w:pPr>
        <w:pStyle w:val="51"/>
        <w:framePr w:w="9639" w:h="6976" w:hRule="exact" w:hSpace="0" w:vSpace="0" w:wrap="around" w:hAnchor="page" w:y="6408"/>
        <w:jc w:val="center"/>
        <w:rPr>
          <w:rFonts w:ascii="黑体" w:hAnsi="黑体" w:eastAsia="黑体"/>
          <w:b w:val="0"/>
          <w:bCs w:val="0"/>
          <w:w w:val="100"/>
        </w:rPr>
      </w:pPr>
    </w:p>
    <w:p w14:paraId="704D48A6">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徽派预制菜特色集群基地建设规范</w:t>
      </w:r>
      <w:r>
        <w:fldChar w:fldCharType="end"/>
      </w:r>
      <w:bookmarkEnd w:id="9"/>
    </w:p>
    <w:p w14:paraId="358A05D5">
      <w:pPr>
        <w:framePr w:w="9639" w:h="6974" w:hRule="exact" w:wrap="around" w:vAnchor="page" w:hAnchor="page" w:x="1419" w:y="6408" w:anchorLock="1"/>
        <w:ind w:left="-1418"/>
      </w:pPr>
    </w:p>
    <w:p w14:paraId="46F5F659">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     </w:t>
      </w:r>
      <w:r>
        <w:rPr>
          <w:rFonts w:eastAsia="黑体"/>
          <w:szCs w:val="28"/>
        </w:rPr>
        <w:fldChar w:fldCharType="end"/>
      </w:r>
      <w:bookmarkEnd w:id="10"/>
    </w:p>
    <w:p w14:paraId="5E1260FE">
      <w:pPr>
        <w:framePr w:w="9639" w:h="6974" w:hRule="exact" w:wrap="around" w:vAnchor="page" w:hAnchor="page" w:x="1419" w:y="6408" w:anchorLock="1"/>
        <w:spacing w:line="760" w:lineRule="exact"/>
        <w:ind w:left="-1418"/>
      </w:pPr>
    </w:p>
    <w:p w14:paraId="6667DD43">
      <w:pPr>
        <w:pStyle w:val="126"/>
        <w:framePr w:w="9639" w:h="6974" w:hRule="exact" w:wrap="around" w:vAnchor="page" w:hAnchor="page" w:x="1419" w:y="6408" w:anchorLock="1"/>
        <w:textAlignment w:val="bottom"/>
        <w:rPr>
          <w:rFonts w:eastAsia="黑体"/>
          <w:szCs w:val="28"/>
        </w:rPr>
      </w:pPr>
    </w:p>
    <w:p w14:paraId="093C0335">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72F39F4D">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1A301AA">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651E9B52">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57AF9B7D">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7D12E6B3">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w:t>
      </w:r>
      <w:r>
        <w:rPr>
          <w:rFonts w:hAnsi="黑体"/>
          <w:w w:val="100"/>
          <w:sz w:val="28"/>
        </w:rPr>
        <w:t>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6ADBC30B">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D8E149B">
      <w:pPr>
        <w:pStyle w:val="92"/>
        <w:spacing w:after="468"/>
        <w:rPr>
          <w:rFonts w:hint="eastAsia"/>
        </w:rPr>
      </w:pPr>
      <w:bookmarkStart w:id="21" w:name="BookMark1"/>
      <w:bookmarkStart w:id="22" w:name="_Toc191977145"/>
      <w:r>
        <w:rPr>
          <w:rFonts w:hint="eastAsia"/>
          <w:spacing w:val="320"/>
        </w:rPr>
        <w:t>目</w:t>
      </w:r>
      <w:r>
        <w:rPr>
          <w:rFonts w:hint="eastAsia"/>
        </w:rPr>
        <w:t>次</w:t>
      </w:r>
    </w:p>
    <w:p w14:paraId="2B2F62AF">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"_Toc191977465" </w:instrText>
      </w:r>
      <w:r>
        <w:fldChar w:fldCharType="separate"/>
      </w:r>
      <w:r>
        <w:rPr>
          <w:rStyle w:val="33"/>
          <w:rFonts w:hint="eastAsia"/>
        </w:rPr>
        <w:t>前言</w:t>
      </w:r>
      <w:r>
        <w:tab/>
      </w:r>
      <w:r>
        <w:fldChar w:fldCharType="begin"/>
      </w:r>
      <w:r>
        <w:instrText xml:space="preserve"> PAGEREF _Toc191977465 \h </w:instrText>
      </w:r>
      <w:r>
        <w:fldChar w:fldCharType="separate"/>
      </w:r>
      <w:r>
        <w:t>II</w:t>
      </w:r>
      <w:r>
        <w:fldChar w:fldCharType="end"/>
      </w:r>
      <w:r>
        <w:fldChar w:fldCharType="end"/>
      </w:r>
    </w:p>
    <w:p w14:paraId="0EF9E6A7">
      <w:pPr>
        <w:pStyle w:val="19"/>
        <w:tabs>
          <w:tab w:val="right" w:leader="dot" w:pos="9344"/>
        </w:tabs>
        <w:rPr>
          <w:rFonts w:asciiTheme="minorHAnsi" w:hAnsiTheme="minorHAnsi" w:eastAsiaTheme="minorEastAsia" w:cstheme="minorBidi"/>
          <w:szCs w:val="22"/>
        </w:rPr>
      </w:pPr>
      <w:r>
        <w:fldChar w:fldCharType="begin"/>
      </w:r>
      <w:r>
        <w:instrText xml:space="preserve"> HYPERLINK \l "_Toc191977466" </w:instrText>
      </w:r>
      <w:r>
        <w:fldChar w:fldCharType="separate"/>
      </w:r>
      <w:r>
        <w:rPr>
          <w:rStyle w:val="33"/>
          <w:rFonts w:hint="eastAsia"/>
        </w:rPr>
        <w:t>引言</w:t>
      </w:r>
      <w:r>
        <w:tab/>
      </w:r>
      <w:r>
        <w:fldChar w:fldCharType="begin"/>
      </w:r>
      <w:r>
        <w:instrText xml:space="preserve"> PAGEREF _Toc191977466 \h </w:instrText>
      </w:r>
      <w:r>
        <w:fldChar w:fldCharType="separate"/>
      </w:r>
      <w:r>
        <w:t>III</w:t>
      </w:r>
      <w:r>
        <w:fldChar w:fldCharType="end"/>
      </w:r>
      <w:r>
        <w:fldChar w:fldCharType="end"/>
      </w:r>
    </w:p>
    <w:p w14:paraId="69AA2072">
      <w:pPr>
        <w:pStyle w:val="19"/>
        <w:tabs>
          <w:tab w:val="right" w:leader="dot" w:pos="9344"/>
        </w:tabs>
        <w:rPr>
          <w:rFonts w:asciiTheme="minorHAnsi" w:hAnsiTheme="minorHAnsi" w:eastAsiaTheme="minorEastAsia" w:cstheme="minorBidi"/>
          <w:szCs w:val="22"/>
        </w:rPr>
      </w:pPr>
      <w:r>
        <w:fldChar w:fldCharType="begin"/>
      </w:r>
      <w:r>
        <w:instrText xml:space="preserve"> HYPERLINK \l "_Toc191977467" </w:instrText>
      </w:r>
      <w:r>
        <w:fldChar w:fldCharType="separate"/>
      </w:r>
      <w:r>
        <w:rPr>
          <w:rStyle w:val="33"/>
        </w:rPr>
        <w:t xml:space="preserve">1 </w:t>
      </w:r>
      <w:r>
        <w:rPr>
          <w:rStyle w:val="33"/>
          <w:rFonts w:hint="eastAsia"/>
        </w:rPr>
        <w:t xml:space="preserve"> 范围</w:t>
      </w:r>
      <w:r>
        <w:tab/>
      </w:r>
      <w:r>
        <w:fldChar w:fldCharType="begin"/>
      </w:r>
      <w:r>
        <w:instrText xml:space="preserve"> PAGEREF _Toc191977467 \h </w:instrText>
      </w:r>
      <w:r>
        <w:fldChar w:fldCharType="separate"/>
      </w:r>
      <w:r>
        <w:t>1</w:t>
      </w:r>
      <w:r>
        <w:fldChar w:fldCharType="end"/>
      </w:r>
      <w:r>
        <w:fldChar w:fldCharType="end"/>
      </w:r>
    </w:p>
    <w:p w14:paraId="6C3DA2E7">
      <w:pPr>
        <w:pStyle w:val="19"/>
        <w:tabs>
          <w:tab w:val="right" w:leader="dot" w:pos="9344"/>
        </w:tabs>
        <w:rPr>
          <w:rFonts w:asciiTheme="minorHAnsi" w:hAnsiTheme="minorHAnsi" w:eastAsiaTheme="minorEastAsia" w:cstheme="minorBidi"/>
          <w:szCs w:val="22"/>
        </w:rPr>
      </w:pPr>
      <w:r>
        <w:fldChar w:fldCharType="begin"/>
      </w:r>
      <w:r>
        <w:instrText xml:space="preserve"> HYPERLINK \l "_Toc191977468" </w:instrText>
      </w:r>
      <w:r>
        <w:fldChar w:fldCharType="separate"/>
      </w:r>
      <w:r>
        <w:rPr>
          <w:rStyle w:val="33"/>
        </w:rPr>
        <w:t xml:space="preserve">2 </w:t>
      </w:r>
      <w:r>
        <w:rPr>
          <w:rStyle w:val="33"/>
          <w:rFonts w:hint="eastAsia"/>
        </w:rPr>
        <w:t xml:space="preserve"> 规范性引用文件</w:t>
      </w:r>
      <w:r>
        <w:tab/>
      </w:r>
      <w:r>
        <w:fldChar w:fldCharType="begin"/>
      </w:r>
      <w:r>
        <w:instrText xml:space="preserve"> PAGEREF _Toc191977468 \h </w:instrText>
      </w:r>
      <w:r>
        <w:fldChar w:fldCharType="separate"/>
      </w:r>
      <w:r>
        <w:t>1</w:t>
      </w:r>
      <w:r>
        <w:fldChar w:fldCharType="end"/>
      </w:r>
      <w:r>
        <w:fldChar w:fldCharType="end"/>
      </w:r>
    </w:p>
    <w:p w14:paraId="43000258">
      <w:pPr>
        <w:pStyle w:val="19"/>
        <w:tabs>
          <w:tab w:val="right" w:leader="dot" w:pos="9344"/>
        </w:tabs>
        <w:rPr>
          <w:rFonts w:asciiTheme="minorHAnsi" w:hAnsiTheme="minorHAnsi" w:eastAsiaTheme="minorEastAsia" w:cstheme="minorBidi"/>
          <w:szCs w:val="22"/>
        </w:rPr>
      </w:pPr>
      <w:r>
        <w:fldChar w:fldCharType="begin"/>
      </w:r>
      <w:r>
        <w:instrText xml:space="preserve"> HYPERLINK \l "_Toc191977469" </w:instrText>
      </w:r>
      <w:r>
        <w:fldChar w:fldCharType="separate"/>
      </w:r>
      <w:r>
        <w:rPr>
          <w:rStyle w:val="33"/>
        </w:rPr>
        <w:t xml:space="preserve">3 </w:t>
      </w:r>
      <w:r>
        <w:rPr>
          <w:rStyle w:val="33"/>
          <w:rFonts w:hint="eastAsia"/>
        </w:rPr>
        <w:t xml:space="preserve"> 术语和定义</w:t>
      </w:r>
      <w:r>
        <w:tab/>
      </w:r>
      <w:r>
        <w:fldChar w:fldCharType="begin"/>
      </w:r>
      <w:r>
        <w:instrText xml:space="preserve"> PAGEREF _Toc191977469 \h </w:instrText>
      </w:r>
      <w:r>
        <w:fldChar w:fldCharType="separate"/>
      </w:r>
      <w:r>
        <w:t>2</w:t>
      </w:r>
      <w:r>
        <w:fldChar w:fldCharType="end"/>
      </w:r>
      <w:r>
        <w:fldChar w:fldCharType="end"/>
      </w:r>
    </w:p>
    <w:p w14:paraId="7D00E200">
      <w:pPr>
        <w:pStyle w:val="19"/>
        <w:tabs>
          <w:tab w:val="right" w:leader="dot" w:pos="9344"/>
        </w:tabs>
        <w:rPr>
          <w:rFonts w:asciiTheme="minorHAnsi" w:hAnsiTheme="minorHAnsi" w:eastAsiaTheme="minorEastAsia" w:cstheme="minorBidi"/>
          <w:szCs w:val="22"/>
        </w:rPr>
      </w:pPr>
      <w:r>
        <w:fldChar w:fldCharType="begin"/>
      </w:r>
      <w:r>
        <w:instrText xml:space="preserve"> HYPERLINK \l "_Toc191977470" </w:instrText>
      </w:r>
      <w:r>
        <w:fldChar w:fldCharType="separate"/>
      </w:r>
      <w:r>
        <w:rPr>
          <w:rStyle w:val="33"/>
        </w:rPr>
        <w:t xml:space="preserve">4 </w:t>
      </w:r>
      <w:r>
        <w:rPr>
          <w:rStyle w:val="33"/>
          <w:rFonts w:hint="eastAsia"/>
        </w:rPr>
        <w:t xml:space="preserve"> 基本要求</w:t>
      </w:r>
      <w:r>
        <w:tab/>
      </w:r>
      <w:r>
        <w:fldChar w:fldCharType="begin"/>
      </w:r>
      <w:r>
        <w:instrText xml:space="preserve"> PAGEREF _Toc191977470 \h </w:instrText>
      </w:r>
      <w:r>
        <w:fldChar w:fldCharType="separate"/>
      </w:r>
      <w:r>
        <w:t>2</w:t>
      </w:r>
      <w:r>
        <w:fldChar w:fldCharType="end"/>
      </w:r>
      <w:r>
        <w:fldChar w:fldCharType="end"/>
      </w:r>
    </w:p>
    <w:p w14:paraId="2DD13566">
      <w:pPr>
        <w:pStyle w:val="19"/>
        <w:tabs>
          <w:tab w:val="right" w:leader="dot" w:pos="9344"/>
        </w:tabs>
        <w:rPr>
          <w:rFonts w:asciiTheme="minorHAnsi" w:hAnsiTheme="minorHAnsi" w:eastAsiaTheme="minorEastAsia" w:cstheme="minorBidi"/>
          <w:szCs w:val="22"/>
        </w:rPr>
      </w:pPr>
      <w:r>
        <w:fldChar w:fldCharType="begin"/>
      </w:r>
      <w:r>
        <w:instrText xml:space="preserve"> HYPERLINK \l "_Toc191977471" </w:instrText>
      </w:r>
      <w:r>
        <w:fldChar w:fldCharType="separate"/>
      </w:r>
      <w:r>
        <w:rPr>
          <w:rStyle w:val="33"/>
        </w:rPr>
        <w:t xml:space="preserve">5 </w:t>
      </w:r>
      <w:r>
        <w:rPr>
          <w:rStyle w:val="33"/>
          <w:rFonts w:hint="eastAsia"/>
        </w:rPr>
        <w:t xml:space="preserve"> 原料基地建设</w:t>
      </w:r>
      <w:r>
        <w:tab/>
      </w:r>
      <w:r>
        <w:fldChar w:fldCharType="begin"/>
      </w:r>
      <w:r>
        <w:instrText xml:space="preserve"> PAGEREF _Toc191977471 \h </w:instrText>
      </w:r>
      <w:r>
        <w:fldChar w:fldCharType="separate"/>
      </w:r>
      <w:r>
        <w:t>3</w:t>
      </w:r>
      <w:r>
        <w:fldChar w:fldCharType="end"/>
      </w:r>
      <w:r>
        <w:fldChar w:fldCharType="end"/>
      </w:r>
    </w:p>
    <w:p w14:paraId="201B92E7">
      <w:pPr>
        <w:pStyle w:val="24"/>
        <w:rPr>
          <w:rFonts w:asciiTheme="minorHAnsi" w:hAnsiTheme="minorHAnsi" w:eastAsiaTheme="minorEastAsia" w:cstheme="minorBidi"/>
          <w:szCs w:val="22"/>
        </w:rPr>
      </w:pPr>
      <w:r>
        <w:fldChar w:fldCharType="begin"/>
      </w:r>
      <w:r>
        <w:instrText xml:space="preserve"> HYPERLINK \l "_Toc191977472" </w:instrText>
      </w:r>
      <w:r>
        <w:fldChar w:fldCharType="separate"/>
      </w:r>
      <w:r>
        <w:rPr>
          <w:rStyle w:val="33"/>
          <w14:scene3d w14:prst="orthographicFront">
            <w14:lightRig w14:rig="threePt" w14:dir="t">
              <w14:rot w14:lat="0" w14:lon="0" w14:rev="0"/>
            </w14:lightRig>
          </w14:scene3d>
        </w:rPr>
        <w:t xml:space="preserve">5.1 </w:t>
      </w:r>
      <w:r>
        <w:rPr>
          <w:rStyle w:val="33"/>
          <w:rFonts w:hint="eastAsia"/>
        </w:rPr>
        <w:t xml:space="preserve"> 蔬菜种殖</w:t>
      </w:r>
      <w:r>
        <w:tab/>
      </w:r>
      <w:r>
        <w:fldChar w:fldCharType="begin"/>
      </w:r>
      <w:r>
        <w:instrText xml:space="preserve"> PAGEREF _Toc191977472 \h </w:instrText>
      </w:r>
      <w:r>
        <w:fldChar w:fldCharType="separate"/>
      </w:r>
      <w:r>
        <w:t>3</w:t>
      </w:r>
      <w:r>
        <w:fldChar w:fldCharType="end"/>
      </w:r>
      <w:r>
        <w:fldChar w:fldCharType="end"/>
      </w:r>
    </w:p>
    <w:p w14:paraId="59AD67DE">
      <w:pPr>
        <w:pStyle w:val="24"/>
        <w:rPr>
          <w:rFonts w:asciiTheme="minorHAnsi" w:hAnsiTheme="minorHAnsi" w:eastAsiaTheme="minorEastAsia" w:cstheme="minorBidi"/>
          <w:szCs w:val="22"/>
        </w:rPr>
      </w:pPr>
      <w:r>
        <w:fldChar w:fldCharType="begin"/>
      </w:r>
      <w:r>
        <w:instrText xml:space="preserve"> HYPERLINK \l "_Toc191977473" </w:instrText>
      </w:r>
      <w:r>
        <w:fldChar w:fldCharType="separate"/>
      </w:r>
      <w:r>
        <w:rPr>
          <w:rStyle w:val="33"/>
          <w14:scene3d w14:prst="orthographicFront">
            <w14:lightRig w14:rig="threePt" w14:dir="t">
              <w14:rot w14:lat="0" w14:lon="0" w14:rev="0"/>
            </w14:lightRig>
          </w14:scene3d>
        </w:rPr>
        <w:t xml:space="preserve">5.2 </w:t>
      </w:r>
      <w:r>
        <w:rPr>
          <w:rStyle w:val="33"/>
          <w:rFonts w:hint="eastAsia"/>
        </w:rPr>
        <w:t xml:space="preserve"> 畜牧养殖</w:t>
      </w:r>
      <w:r>
        <w:tab/>
      </w:r>
      <w:r>
        <w:fldChar w:fldCharType="begin"/>
      </w:r>
      <w:r>
        <w:instrText xml:space="preserve"> PAGEREF _Toc191977473 \h </w:instrText>
      </w:r>
      <w:r>
        <w:fldChar w:fldCharType="separate"/>
      </w:r>
      <w:r>
        <w:t>3</w:t>
      </w:r>
      <w:r>
        <w:fldChar w:fldCharType="end"/>
      </w:r>
      <w:r>
        <w:fldChar w:fldCharType="end"/>
      </w:r>
    </w:p>
    <w:p w14:paraId="33EB7E75">
      <w:pPr>
        <w:pStyle w:val="24"/>
        <w:rPr>
          <w:rFonts w:asciiTheme="minorHAnsi" w:hAnsiTheme="minorHAnsi" w:eastAsiaTheme="minorEastAsia" w:cstheme="minorBidi"/>
          <w:szCs w:val="22"/>
        </w:rPr>
      </w:pPr>
      <w:r>
        <w:fldChar w:fldCharType="begin"/>
      </w:r>
      <w:r>
        <w:instrText xml:space="preserve"> HYPERLINK \l "_Toc191977474" </w:instrText>
      </w:r>
      <w:r>
        <w:fldChar w:fldCharType="separate"/>
      </w:r>
      <w:r>
        <w:rPr>
          <w:rStyle w:val="33"/>
          <w14:scene3d w14:prst="orthographicFront">
            <w14:lightRig w14:rig="threePt" w14:dir="t">
              <w14:rot w14:lat="0" w14:lon="0" w14:rev="0"/>
            </w14:lightRig>
          </w14:scene3d>
        </w:rPr>
        <w:t xml:space="preserve">5.3 </w:t>
      </w:r>
      <w:r>
        <w:rPr>
          <w:rStyle w:val="33"/>
          <w:rFonts w:hint="eastAsia"/>
        </w:rPr>
        <w:t xml:space="preserve"> 家禽养殖</w:t>
      </w:r>
      <w:r>
        <w:tab/>
      </w:r>
      <w:r>
        <w:fldChar w:fldCharType="begin"/>
      </w:r>
      <w:r>
        <w:instrText xml:space="preserve"> PAGEREF _Toc191977474 \h </w:instrText>
      </w:r>
      <w:r>
        <w:fldChar w:fldCharType="separate"/>
      </w:r>
      <w:r>
        <w:t>3</w:t>
      </w:r>
      <w:r>
        <w:fldChar w:fldCharType="end"/>
      </w:r>
      <w:r>
        <w:fldChar w:fldCharType="end"/>
      </w:r>
    </w:p>
    <w:p w14:paraId="77D4C1AD">
      <w:pPr>
        <w:pStyle w:val="24"/>
        <w:rPr>
          <w:rFonts w:asciiTheme="minorHAnsi" w:hAnsiTheme="minorHAnsi" w:eastAsiaTheme="minorEastAsia" w:cstheme="minorBidi"/>
          <w:szCs w:val="22"/>
        </w:rPr>
      </w:pPr>
      <w:r>
        <w:fldChar w:fldCharType="begin"/>
      </w:r>
      <w:r>
        <w:instrText xml:space="preserve"> HYPERLINK \l "_Toc191977475" </w:instrText>
      </w:r>
      <w:r>
        <w:fldChar w:fldCharType="separate"/>
      </w:r>
      <w:r>
        <w:rPr>
          <w:rStyle w:val="33"/>
          <w14:scene3d w14:prst="orthographicFront">
            <w14:lightRig w14:rig="threePt" w14:dir="t">
              <w14:rot w14:lat="0" w14:lon="0" w14:rev="0"/>
            </w14:lightRig>
          </w14:scene3d>
        </w:rPr>
        <w:t xml:space="preserve">5.4 </w:t>
      </w:r>
      <w:r>
        <w:rPr>
          <w:rStyle w:val="33"/>
          <w:rFonts w:hint="eastAsia"/>
        </w:rPr>
        <w:t xml:space="preserve"> 水产养殖</w:t>
      </w:r>
      <w:r>
        <w:tab/>
      </w:r>
      <w:r>
        <w:fldChar w:fldCharType="begin"/>
      </w:r>
      <w:r>
        <w:instrText xml:space="preserve"> PAGEREF _Toc191977475 \h </w:instrText>
      </w:r>
      <w:r>
        <w:fldChar w:fldCharType="separate"/>
      </w:r>
      <w:r>
        <w:t>3</w:t>
      </w:r>
      <w:r>
        <w:fldChar w:fldCharType="end"/>
      </w:r>
      <w:r>
        <w:fldChar w:fldCharType="end"/>
      </w:r>
    </w:p>
    <w:p w14:paraId="66C90D65">
      <w:pPr>
        <w:pStyle w:val="19"/>
        <w:tabs>
          <w:tab w:val="right" w:leader="dot" w:pos="9344"/>
        </w:tabs>
        <w:rPr>
          <w:rFonts w:asciiTheme="minorHAnsi" w:hAnsiTheme="minorHAnsi" w:eastAsiaTheme="minorEastAsia" w:cstheme="minorBidi"/>
          <w:szCs w:val="22"/>
        </w:rPr>
      </w:pPr>
      <w:r>
        <w:fldChar w:fldCharType="begin"/>
      </w:r>
      <w:r>
        <w:instrText xml:space="preserve"> HYPERLINK \l "_Toc191977476" </w:instrText>
      </w:r>
      <w:r>
        <w:fldChar w:fldCharType="separate"/>
      </w:r>
      <w:r>
        <w:rPr>
          <w:rStyle w:val="33"/>
        </w:rPr>
        <w:t xml:space="preserve">6 </w:t>
      </w:r>
      <w:r>
        <w:rPr>
          <w:rStyle w:val="33"/>
          <w:rFonts w:hint="eastAsia"/>
        </w:rPr>
        <w:t xml:space="preserve"> 加工基地建设</w:t>
      </w:r>
      <w:r>
        <w:tab/>
      </w:r>
      <w:r>
        <w:fldChar w:fldCharType="begin"/>
      </w:r>
      <w:r>
        <w:instrText xml:space="preserve"> PAGEREF _Toc191977476 \h </w:instrText>
      </w:r>
      <w:r>
        <w:fldChar w:fldCharType="separate"/>
      </w:r>
      <w:r>
        <w:t>3</w:t>
      </w:r>
      <w:r>
        <w:fldChar w:fldCharType="end"/>
      </w:r>
      <w:r>
        <w:fldChar w:fldCharType="end"/>
      </w:r>
    </w:p>
    <w:p w14:paraId="6C244051">
      <w:pPr>
        <w:pStyle w:val="24"/>
        <w:rPr>
          <w:rFonts w:asciiTheme="minorHAnsi" w:hAnsiTheme="minorHAnsi" w:eastAsiaTheme="minorEastAsia" w:cstheme="minorBidi"/>
          <w:szCs w:val="22"/>
        </w:rPr>
      </w:pPr>
      <w:r>
        <w:fldChar w:fldCharType="begin"/>
      </w:r>
      <w:r>
        <w:instrText xml:space="preserve"> HYPERLINK \l "_Toc191977477" </w:instrText>
      </w:r>
      <w:r>
        <w:fldChar w:fldCharType="separate"/>
      </w:r>
      <w:r>
        <w:rPr>
          <w:rStyle w:val="33"/>
          <w14:scene3d w14:prst="orthographicFront">
            <w14:lightRig w14:rig="threePt" w14:dir="t">
              <w14:rot w14:lat="0" w14:lon="0" w14:rev="0"/>
            </w14:lightRig>
          </w14:scene3d>
        </w:rPr>
        <w:t xml:space="preserve">6.1 </w:t>
      </w:r>
      <w:r>
        <w:rPr>
          <w:rStyle w:val="33"/>
          <w:rFonts w:hint="eastAsia"/>
        </w:rPr>
        <w:t xml:space="preserve"> 规划</w:t>
      </w:r>
      <w:r>
        <w:tab/>
      </w:r>
      <w:r>
        <w:fldChar w:fldCharType="begin"/>
      </w:r>
      <w:r>
        <w:instrText xml:space="preserve"> PAGEREF _Toc191977477 \h </w:instrText>
      </w:r>
      <w:r>
        <w:fldChar w:fldCharType="separate"/>
      </w:r>
      <w:r>
        <w:t>3</w:t>
      </w:r>
      <w:r>
        <w:fldChar w:fldCharType="end"/>
      </w:r>
      <w:r>
        <w:fldChar w:fldCharType="end"/>
      </w:r>
    </w:p>
    <w:p w14:paraId="6B074D91">
      <w:pPr>
        <w:pStyle w:val="24"/>
        <w:rPr>
          <w:rFonts w:asciiTheme="minorHAnsi" w:hAnsiTheme="minorHAnsi" w:eastAsiaTheme="minorEastAsia" w:cstheme="minorBidi"/>
          <w:szCs w:val="22"/>
        </w:rPr>
      </w:pPr>
      <w:r>
        <w:fldChar w:fldCharType="begin"/>
      </w:r>
      <w:r>
        <w:instrText xml:space="preserve"> HYPERLINK \l "_Toc191977478" </w:instrText>
      </w:r>
      <w:r>
        <w:fldChar w:fldCharType="separate"/>
      </w:r>
      <w:r>
        <w:rPr>
          <w:rStyle w:val="33"/>
          <w14:scene3d w14:prst="orthographicFront">
            <w14:lightRig w14:rig="threePt" w14:dir="t">
              <w14:rot w14:lat="0" w14:lon="0" w14:rev="0"/>
            </w14:lightRig>
          </w14:scene3d>
        </w:rPr>
        <w:t xml:space="preserve">6.2 </w:t>
      </w:r>
      <w:r>
        <w:rPr>
          <w:rStyle w:val="33"/>
          <w:rFonts w:hint="eastAsia"/>
        </w:rPr>
        <w:t xml:space="preserve"> 选址</w:t>
      </w:r>
      <w:r>
        <w:tab/>
      </w:r>
      <w:r>
        <w:fldChar w:fldCharType="begin"/>
      </w:r>
      <w:r>
        <w:instrText xml:space="preserve"> PAGEREF _Toc191977478 \h </w:instrText>
      </w:r>
      <w:r>
        <w:fldChar w:fldCharType="separate"/>
      </w:r>
      <w:r>
        <w:t>3</w:t>
      </w:r>
      <w:r>
        <w:fldChar w:fldCharType="end"/>
      </w:r>
      <w:r>
        <w:fldChar w:fldCharType="end"/>
      </w:r>
    </w:p>
    <w:p w14:paraId="77163EEE">
      <w:pPr>
        <w:pStyle w:val="24"/>
        <w:rPr>
          <w:rFonts w:asciiTheme="minorHAnsi" w:hAnsiTheme="minorHAnsi" w:eastAsiaTheme="minorEastAsia" w:cstheme="minorBidi"/>
          <w:szCs w:val="22"/>
        </w:rPr>
      </w:pPr>
      <w:r>
        <w:fldChar w:fldCharType="begin"/>
      </w:r>
      <w:r>
        <w:instrText xml:space="preserve"> HYPERLINK \l "_Toc191977479" </w:instrText>
      </w:r>
      <w:r>
        <w:fldChar w:fldCharType="separate"/>
      </w:r>
      <w:r>
        <w:rPr>
          <w:rStyle w:val="33"/>
          <w14:scene3d w14:prst="orthographicFront">
            <w14:lightRig w14:rig="threePt" w14:dir="t">
              <w14:rot w14:lat="0" w14:lon="0" w14:rev="0"/>
            </w14:lightRig>
          </w14:scene3d>
        </w:rPr>
        <w:t xml:space="preserve">6.3 </w:t>
      </w:r>
      <w:r>
        <w:rPr>
          <w:rStyle w:val="33"/>
          <w:rFonts w:hint="eastAsia"/>
        </w:rPr>
        <w:t xml:space="preserve"> 基础设施建设</w:t>
      </w:r>
      <w:r>
        <w:tab/>
      </w:r>
      <w:r>
        <w:fldChar w:fldCharType="begin"/>
      </w:r>
      <w:r>
        <w:instrText xml:space="preserve"> PAGEREF _Toc191977479 \h </w:instrText>
      </w:r>
      <w:r>
        <w:fldChar w:fldCharType="separate"/>
      </w:r>
      <w:r>
        <w:t>3</w:t>
      </w:r>
      <w:r>
        <w:fldChar w:fldCharType="end"/>
      </w:r>
      <w:r>
        <w:fldChar w:fldCharType="end"/>
      </w:r>
    </w:p>
    <w:p w14:paraId="43A954A9">
      <w:pPr>
        <w:pStyle w:val="24"/>
        <w:rPr>
          <w:rFonts w:asciiTheme="minorHAnsi" w:hAnsiTheme="minorHAnsi" w:eastAsiaTheme="minorEastAsia" w:cstheme="minorBidi"/>
          <w:szCs w:val="22"/>
        </w:rPr>
      </w:pPr>
      <w:r>
        <w:fldChar w:fldCharType="begin"/>
      </w:r>
      <w:r>
        <w:instrText xml:space="preserve"> HYPERLINK \l "_Toc191977480" </w:instrText>
      </w:r>
      <w:r>
        <w:fldChar w:fldCharType="separate"/>
      </w:r>
      <w:r>
        <w:rPr>
          <w:rStyle w:val="33"/>
          <w14:scene3d w14:prst="orthographicFront">
            <w14:lightRig w14:rig="threePt" w14:dir="t">
              <w14:rot w14:lat="0" w14:lon="0" w14:rev="0"/>
            </w14:lightRig>
          </w14:scene3d>
        </w:rPr>
        <w:t xml:space="preserve">6.4 </w:t>
      </w:r>
      <w:r>
        <w:rPr>
          <w:rStyle w:val="33"/>
          <w:rFonts w:hint="eastAsia"/>
        </w:rPr>
        <w:t xml:space="preserve"> 生产加工区建设</w:t>
      </w:r>
      <w:r>
        <w:tab/>
      </w:r>
      <w:r>
        <w:fldChar w:fldCharType="begin"/>
      </w:r>
      <w:r>
        <w:instrText xml:space="preserve"> PAGEREF _Toc191977480 \h </w:instrText>
      </w:r>
      <w:r>
        <w:fldChar w:fldCharType="separate"/>
      </w:r>
      <w:r>
        <w:t>5</w:t>
      </w:r>
      <w:r>
        <w:fldChar w:fldCharType="end"/>
      </w:r>
      <w:r>
        <w:fldChar w:fldCharType="end"/>
      </w:r>
    </w:p>
    <w:p w14:paraId="3BCAEF84">
      <w:pPr>
        <w:pStyle w:val="19"/>
        <w:tabs>
          <w:tab w:val="right" w:leader="dot" w:pos="9344"/>
        </w:tabs>
        <w:rPr>
          <w:rFonts w:asciiTheme="minorHAnsi" w:hAnsiTheme="minorHAnsi" w:eastAsiaTheme="minorEastAsia" w:cstheme="minorBidi"/>
          <w:szCs w:val="22"/>
        </w:rPr>
      </w:pPr>
      <w:r>
        <w:fldChar w:fldCharType="begin"/>
      </w:r>
      <w:r>
        <w:instrText xml:space="preserve"> HYPERLINK \l "_Toc191977481" </w:instrText>
      </w:r>
      <w:r>
        <w:fldChar w:fldCharType="separate"/>
      </w:r>
      <w:r>
        <w:rPr>
          <w:rStyle w:val="33"/>
        </w:rPr>
        <w:t xml:space="preserve">7 </w:t>
      </w:r>
      <w:r>
        <w:rPr>
          <w:rStyle w:val="33"/>
          <w:rFonts w:hint="eastAsia"/>
        </w:rPr>
        <w:t xml:space="preserve"> 服务基地建设</w:t>
      </w:r>
      <w:r>
        <w:tab/>
      </w:r>
      <w:r>
        <w:fldChar w:fldCharType="begin"/>
      </w:r>
      <w:r>
        <w:instrText xml:space="preserve"> PAGEREF _Toc191977481 \h </w:instrText>
      </w:r>
      <w:r>
        <w:fldChar w:fldCharType="separate"/>
      </w:r>
      <w:r>
        <w:t>5</w:t>
      </w:r>
      <w:r>
        <w:fldChar w:fldCharType="end"/>
      </w:r>
      <w:r>
        <w:fldChar w:fldCharType="end"/>
      </w:r>
    </w:p>
    <w:p w14:paraId="52382433">
      <w:pPr>
        <w:pStyle w:val="24"/>
        <w:rPr>
          <w:rFonts w:asciiTheme="minorHAnsi" w:hAnsiTheme="minorHAnsi" w:eastAsiaTheme="minorEastAsia" w:cstheme="minorBidi"/>
          <w:szCs w:val="22"/>
        </w:rPr>
      </w:pPr>
      <w:r>
        <w:fldChar w:fldCharType="begin"/>
      </w:r>
      <w:r>
        <w:instrText xml:space="preserve"> HYPERLINK \l "_Toc191977482" </w:instrText>
      </w:r>
      <w:r>
        <w:fldChar w:fldCharType="separate"/>
      </w:r>
      <w:r>
        <w:rPr>
          <w:rStyle w:val="33"/>
          <w14:scene3d w14:prst="orthographicFront">
            <w14:lightRig w14:rig="threePt" w14:dir="t">
              <w14:rot w14:lat="0" w14:lon="0" w14:rev="0"/>
            </w14:lightRig>
          </w14:scene3d>
        </w:rPr>
        <w:t xml:space="preserve">7.1 </w:t>
      </w:r>
      <w:r>
        <w:rPr>
          <w:rStyle w:val="33"/>
          <w:rFonts w:hint="eastAsia"/>
        </w:rPr>
        <w:t xml:space="preserve"> 检验检测</w:t>
      </w:r>
      <w:r>
        <w:tab/>
      </w:r>
      <w:r>
        <w:fldChar w:fldCharType="begin"/>
      </w:r>
      <w:r>
        <w:instrText xml:space="preserve"> PAGEREF _Toc191977482 \h </w:instrText>
      </w:r>
      <w:r>
        <w:fldChar w:fldCharType="separate"/>
      </w:r>
      <w:r>
        <w:t>5</w:t>
      </w:r>
      <w:r>
        <w:fldChar w:fldCharType="end"/>
      </w:r>
      <w:r>
        <w:fldChar w:fldCharType="end"/>
      </w:r>
    </w:p>
    <w:p w14:paraId="4E496241">
      <w:pPr>
        <w:pStyle w:val="24"/>
        <w:rPr>
          <w:rFonts w:asciiTheme="minorHAnsi" w:hAnsiTheme="minorHAnsi" w:eastAsiaTheme="minorEastAsia" w:cstheme="minorBidi"/>
          <w:szCs w:val="22"/>
        </w:rPr>
      </w:pPr>
      <w:r>
        <w:fldChar w:fldCharType="begin"/>
      </w:r>
      <w:r>
        <w:instrText xml:space="preserve"> HYPERLINK \l "_Toc191977483" </w:instrText>
      </w:r>
      <w:r>
        <w:fldChar w:fldCharType="separate"/>
      </w:r>
      <w:r>
        <w:rPr>
          <w:rStyle w:val="33"/>
          <w14:scene3d w14:prst="orthographicFront">
            <w14:lightRig w14:rig="threePt" w14:dir="t">
              <w14:rot w14:lat="0" w14:lon="0" w14:rev="0"/>
            </w14:lightRig>
          </w14:scene3d>
        </w:rPr>
        <w:t xml:space="preserve">7.2 </w:t>
      </w:r>
      <w:r>
        <w:rPr>
          <w:rStyle w:val="33"/>
          <w:rFonts w:hint="eastAsia"/>
        </w:rPr>
        <w:t xml:space="preserve"> 仓储物流</w:t>
      </w:r>
      <w:r>
        <w:tab/>
      </w:r>
      <w:r>
        <w:fldChar w:fldCharType="begin"/>
      </w:r>
      <w:r>
        <w:instrText xml:space="preserve"> PAGEREF _Toc191977483 \h </w:instrText>
      </w:r>
      <w:r>
        <w:fldChar w:fldCharType="separate"/>
      </w:r>
      <w:r>
        <w:t>5</w:t>
      </w:r>
      <w:r>
        <w:fldChar w:fldCharType="end"/>
      </w:r>
      <w:r>
        <w:fldChar w:fldCharType="end"/>
      </w:r>
    </w:p>
    <w:p w14:paraId="6E60C769">
      <w:pPr>
        <w:pStyle w:val="24"/>
        <w:rPr>
          <w:rFonts w:asciiTheme="minorHAnsi" w:hAnsiTheme="minorHAnsi" w:eastAsiaTheme="minorEastAsia" w:cstheme="minorBidi"/>
          <w:szCs w:val="22"/>
        </w:rPr>
      </w:pPr>
      <w:r>
        <w:fldChar w:fldCharType="begin"/>
      </w:r>
      <w:r>
        <w:instrText xml:space="preserve"> HYPERLINK \l "_Toc191977484" </w:instrText>
      </w:r>
      <w:r>
        <w:fldChar w:fldCharType="separate"/>
      </w:r>
      <w:r>
        <w:rPr>
          <w:rStyle w:val="33"/>
          <w14:scene3d w14:prst="orthographicFront">
            <w14:lightRig w14:rig="threePt" w14:dir="t">
              <w14:rot w14:lat="0" w14:lon="0" w14:rev="0"/>
            </w14:lightRig>
          </w14:scene3d>
        </w:rPr>
        <w:t xml:space="preserve">7.3 </w:t>
      </w:r>
      <w:r>
        <w:rPr>
          <w:rStyle w:val="33"/>
          <w:rFonts w:hint="eastAsia"/>
        </w:rPr>
        <w:t xml:space="preserve"> 科研创新</w:t>
      </w:r>
      <w:r>
        <w:tab/>
      </w:r>
      <w:r>
        <w:fldChar w:fldCharType="begin"/>
      </w:r>
      <w:r>
        <w:instrText xml:space="preserve"> PAGEREF _Toc191977484 \h </w:instrText>
      </w:r>
      <w:r>
        <w:fldChar w:fldCharType="separate"/>
      </w:r>
      <w:r>
        <w:t>6</w:t>
      </w:r>
      <w:r>
        <w:fldChar w:fldCharType="end"/>
      </w:r>
      <w:r>
        <w:fldChar w:fldCharType="end"/>
      </w:r>
    </w:p>
    <w:p w14:paraId="28E63AB4">
      <w:pPr>
        <w:pStyle w:val="24"/>
        <w:rPr>
          <w:rFonts w:asciiTheme="minorHAnsi" w:hAnsiTheme="minorHAnsi" w:eastAsiaTheme="minorEastAsia" w:cstheme="minorBidi"/>
          <w:szCs w:val="22"/>
        </w:rPr>
      </w:pPr>
      <w:r>
        <w:fldChar w:fldCharType="begin"/>
      </w:r>
      <w:r>
        <w:instrText xml:space="preserve"> HYPERLINK \l "_Toc191977485" </w:instrText>
      </w:r>
      <w:r>
        <w:fldChar w:fldCharType="separate"/>
      </w:r>
      <w:r>
        <w:rPr>
          <w:rStyle w:val="33"/>
          <w14:scene3d w14:prst="orthographicFront">
            <w14:lightRig w14:rig="threePt" w14:dir="t">
              <w14:rot w14:lat="0" w14:lon="0" w14:rev="0"/>
            </w14:lightRig>
          </w14:scene3d>
        </w:rPr>
        <w:t xml:space="preserve">7.4 </w:t>
      </w:r>
      <w:r>
        <w:rPr>
          <w:rStyle w:val="33"/>
          <w:rFonts w:hint="eastAsia"/>
        </w:rPr>
        <w:t xml:space="preserve"> 展示销售</w:t>
      </w:r>
      <w:r>
        <w:tab/>
      </w:r>
      <w:r>
        <w:fldChar w:fldCharType="begin"/>
      </w:r>
      <w:r>
        <w:instrText xml:space="preserve"> PAGEREF _Toc191977485 \h </w:instrText>
      </w:r>
      <w:r>
        <w:fldChar w:fldCharType="separate"/>
      </w:r>
      <w:r>
        <w:t>6</w:t>
      </w:r>
      <w:r>
        <w:fldChar w:fldCharType="end"/>
      </w:r>
      <w:r>
        <w:fldChar w:fldCharType="end"/>
      </w:r>
    </w:p>
    <w:p w14:paraId="05FEFBBE">
      <w:pPr>
        <w:pStyle w:val="24"/>
        <w:rPr>
          <w:rFonts w:asciiTheme="minorHAnsi" w:hAnsiTheme="minorHAnsi" w:eastAsiaTheme="minorEastAsia" w:cstheme="minorBidi"/>
          <w:szCs w:val="22"/>
        </w:rPr>
      </w:pPr>
      <w:r>
        <w:fldChar w:fldCharType="begin"/>
      </w:r>
      <w:r>
        <w:instrText xml:space="preserve"> HYPERLINK \l "_Toc191977486" </w:instrText>
      </w:r>
      <w:r>
        <w:fldChar w:fldCharType="separate"/>
      </w:r>
      <w:r>
        <w:rPr>
          <w:rStyle w:val="33"/>
          <w14:scene3d w14:prst="orthographicFront">
            <w14:lightRig w14:rig="threePt" w14:dir="t">
              <w14:rot w14:lat="0" w14:lon="0" w14:rev="0"/>
            </w14:lightRig>
          </w14:scene3d>
        </w:rPr>
        <w:t xml:space="preserve">7.5 </w:t>
      </w:r>
      <w:r>
        <w:rPr>
          <w:rStyle w:val="33"/>
          <w:rFonts w:hint="eastAsia"/>
        </w:rPr>
        <w:t xml:space="preserve"> 生活服务</w:t>
      </w:r>
      <w:r>
        <w:tab/>
      </w:r>
      <w:r>
        <w:fldChar w:fldCharType="begin"/>
      </w:r>
      <w:r>
        <w:instrText xml:space="preserve"> PAGEREF _Toc191977486 \h </w:instrText>
      </w:r>
      <w:r>
        <w:fldChar w:fldCharType="separate"/>
      </w:r>
      <w:r>
        <w:t>6</w:t>
      </w:r>
      <w:r>
        <w:fldChar w:fldCharType="end"/>
      </w:r>
      <w:r>
        <w:fldChar w:fldCharType="end"/>
      </w:r>
    </w:p>
    <w:p w14:paraId="58341387">
      <w:pPr>
        <w:pStyle w:val="24"/>
        <w:rPr>
          <w:rFonts w:asciiTheme="minorHAnsi" w:hAnsiTheme="minorHAnsi" w:eastAsiaTheme="minorEastAsia" w:cstheme="minorBidi"/>
          <w:szCs w:val="22"/>
        </w:rPr>
      </w:pPr>
      <w:r>
        <w:fldChar w:fldCharType="begin"/>
      </w:r>
      <w:r>
        <w:instrText xml:space="preserve"> HYPERLINK \l "_Toc191977487" </w:instrText>
      </w:r>
      <w:r>
        <w:fldChar w:fldCharType="separate"/>
      </w:r>
      <w:r>
        <w:rPr>
          <w:rStyle w:val="33"/>
          <w14:scene3d w14:prst="orthographicFront">
            <w14:lightRig w14:rig="threePt" w14:dir="t">
              <w14:rot w14:lat="0" w14:lon="0" w14:rev="0"/>
            </w14:lightRig>
          </w14:scene3d>
        </w:rPr>
        <w:t xml:space="preserve">7.6 </w:t>
      </w:r>
      <w:r>
        <w:rPr>
          <w:rStyle w:val="33"/>
          <w:rFonts w:hint="eastAsia"/>
        </w:rPr>
        <w:t xml:space="preserve"> 综合管理</w:t>
      </w:r>
      <w:r>
        <w:tab/>
      </w:r>
      <w:r>
        <w:fldChar w:fldCharType="begin"/>
      </w:r>
      <w:r>
        <w:instrText xml:space="preserve"> PAGEREF _Toc191977487 \h </w:instrText>
      </w:r>
      <w:r>
        <w:fldChar w:fldCharType="separate"/>
      </w:r>
      <w:r>
        <w:t>6</w:t>
      </w:r>
      <w:r>
        <w:fldChar w:fldCharType="end"/>
      </w:r>
      <w:r>
        <w:fldChar w:fldCharType="end"/>
      </w:r>
    </w:p>
    <w:p w14:paraId="62B3DA47">
      <w:pPr>
        <w:pStyle w:val="92"/>
        <w:spacing w:after="468"/>
        <w:sectPr>
          <w:headerReference r:id="rId11" w:type="default"/>
          <w:footerReference r:id="rId13" w:type="default"/>
          <w:headerReference r:id="rId12" w:type="even"/>
          <w:footerReference r:id="rId14" w:type="even"/>
          <w:pgSz w:w="11906" w:h="16838"/>
          <w:pgMar w:top="567" w:right="1134" w:bottom="1134" w:left="1134" w:header="1418" w:footer="1134" w:gutter="284"/>
          <w:pgNumType w:fmt="upperRoman" w:start="1"/>
          <w:cols w:space="425" w:num="1"/>
          <w:formProt w:val="0"/>
          <w:docGrid w:type="lines" w:linePitch="312" w:charSpace="0"/>
        </w:sectPr>
      </w:pPr>
      <w:r>
        <w:fldChar w:fldCharType="end"/>
      </w:r>
    </w:p>
    <w:bookmarkEnd w:id="21"/>
    <w:p w14:paraId="6C1E3E1D">
      <w:pPr>
        <w:pStyle w:val="90"/>
        <w:spacing w:after="468"/>
        <w:rPr>
          <w:rFonts w:hint="eastAsia"/>
        </w:rPr>
      </w:pPr>
      <w:bookmarkStart w:id="23" w:name="_Toc191977465"/>
      <w:bookmarkStart w:id="24" w:name="BookMark2"/>
      <w:r>
        <w:rPr>
          <w:rFonts w:hint="eastAsia"/>
          <w:spacing w:val="320"/>
        </w:rPr>
        <w:t>前</w:t>
      </w:r>
      <w:r>
        <w:rPr>
          <w:rFonts w:hint="eastAsia"/>
        </w:rPr>
        <w:t>言</w:t>
      </w:r>
      <w:bookmarkEnd w:id="23"/>
    </w:p>
    <w:p w14:paraId="3B653B5A">
      <w:pPr>
        <w:pStyle w:val="57"/>
        <w:ind w:firstLine="420"/>
        <w:rPr>
          <w:rFonts w:hint="eastAsia"/>
        </w:rPr>
      </w:pPr>
      <w:r>
        <w:rPr>
          <w:rFonts w:hint="eastAsia"/>
        </w:rPr>
        <w:t>本文件按照GB/T 1.1—2020《标准化工作导则  第1部分：标准化文件的结构和起草规则》的规定起草。</w:t>
      </w:r>
    </w:p>
    <w:p w14:paraId="0ACC0D63">
      <w:pPr>
        <w:pStyle w:val="57"/>
        <w:ind w:firstLine="420"/>
        <w:rPr>
          <w:rFonts w:hint="eastAsia"/>
        </w:rPr>
      </w:pPr>
      <w:r>
        <w:rPr>
          <w:rFonts w:hint="eastAsia"/>
        </w:rPr>
        <w:t>请注意本文件的某些内容可能涉及专利。本文件的发布机构不承担识别专利的责任。</w:t>
      </w:r>
    </w:p>
    <w:p w14:paraId="515795DF">
      <w:pPr>
        <w:pStyle w:val="57"/>
        <w:ind w:firstLine="420"/>
        <w:rPr>
          <w:rFonts w:hint="eastAsia"/>
        </w:rPr>
      </w:pPr>
      <w:r>
        <w:rPr>
          <w:rFonts w:hint="eastAsia"/>
        </w:rPr>
        <w:t>本文件由安徽省农业农村厅提出并归口。</w:t>
      </w:r>
    </w:p>
    <w:p w14:paraId="4A945AD9">
      <w:pPr>
        <w:pStyle w:val="57"/>
        <w:ind w:firstLine="420"/>
        <w:rPr>
          <w:rFonts w:hint="eastAsia"/>
        </w:rPr>
      </w:pPr>
      <w:r>
        <w:rPr>
          <w:rFonts w:hint="eastAsia"/>
        </w:rPr>
        <w:t>本文件起草单位：</w:t>
      </w:r>
    </w:p>
    <w:p w14:paraId="2F3DF81F">
      <w:pPr>
        <w:pStyle w:val="57"/>
        <w:ind w:firstLine="420"/>
        <w:rPr>
          <w:rFonts w:hint="eastAsia"/>
        </w:rPr>
      </w:pPr>
      <w:r>
        <w:rPr>
          <w:rFonts w:hint="eastAsia"/>
        </w:rPr>
        <w:t>本文件主要起草人：</w:t>
      </w:r>
    </w:p>
    <w:p w14:paraId="338BE2E6">
      <w:pPr>
        <w:pStyle w:val="57"/>
        <w:ind w:firstLine="420"/>
        <w:sectPr>
          <w:headerReference r:id="rId15" w:type="default"/>
          <w:footerReference r:id="rId17" w:type="default"/>
          <w:headerReference r:id="rId16" w:type="even"/>
          <w:footerReference r:id="rId18" w:type="even"/>
          <w:pgSz w:w="11906" w:h="16838"/>
          <w:pgMar w:top="567" w:right="1134" w:bottom="1134" w:left="1134" w:header="1418" w:footer="1134" w:gutter="284"/>
          <w:pgNumType w:fmt="upperRoman"/>
          <w:cols w:space="425" w:num="1"/>
          <w:formProt w:val="0"/>
          <w:docGrid w:type="lines" w:linePitch="312" w:charSpace="0"/>
        </w:sectPr>
      </w:pPr>
      <w:bookmarkStart w:id="89" w:name="_GoBack"/>
      <w:bookmarkEnd w:id="89"/>
    </w:p>
    <w:bookmarkEnd w:id="24"/>
    <w:p w14:paraId="09C08B5D">
      <w:pPr>
        <w:pStyle w:val="90"/>
        <w:spacing w:after="468"/>
      </w:pPr>
      <w:bookmarkStart w:id="25" w:name="_Toc191977466"/>
      <w:bookmarkStart w:id="26" w:name="BookMark3"/>
      <w:r>
        <w:rPr>
          <w:spacing w:val="320"/>
        </w:rPr>
        <w:t>引</w:t>
      </w:r>
      <w:r>
        <w:t>言</w:t>
      </w:r>
      <w:bookmarkEnd w:id="22"/>
      <w:bookmarkEnd w:id="25"/>
    </w:p>
    <w:p w14:paraId="3E4A9912">
      <w:pPr>
        <w:pStyle w:val="57"/>
        <w:ind w:firstLine="420"/>
      </w:pPr>
      <w:r>
        <w:rPr>
          <w:rFonts w:hint="eastAsia"/>
        </w:rPr>
        <w:t>徽派菜系简称“徽菜”，又称“徽帮菜”、“徽皖风味”，与川菜、鲁菜、粤菜、苏菜、浙菜、闽菜、湘菜并列中国八大菜系，至今已有一千七百多年的历史。徽菜起源于南宋时期的古徽州，原是徽州山区的地方风味。这里绿树丛荫、沟壑纵横、气候宜人，为徽菜提供了得天独厚的自然条件。徽州人民在这片土地上辛勤耕耘，用智慧和汗水创造出了独具特色的徽菜文化。在历史的长河中，徽菜逐渐发展壮大。宋代至明代，徽菜已形成独特的烹饪风格和菜肴。清代是徽菜发展的重要时期，徽菜逐渐形成了“咸”“鲜”“香”为特点的烹饪风格，成为宫廷和贵族宴席上的重要菜肴。近现代以来，徽菜在保留传统特色的同时，也吸收了其他地方菜系的一些烹饪技巧和风味，逐渐形成了更加多样化的菜肴。</w:t>
      </w:r>
    </w:p>
    <w:p w14:paraId="6F7B7E47">
      <w:pPr>
        <w:pStyle w:val="57"/>
        <w:ind w:firstLine="420"/>
        <w:rPr>
          <w:rFonts w:hint="eastAsia"/>
        </w:rPr>
        <w:sectPr>
          <w:headerReference r:id="rId19" w:type="default"/>
          <w:footerReference r:id="rId21" w:type="default"/>
          <w:headerReference r:id="rId20" w:type="even"/>
          <w:footerReference r:id="rId22" w:type="even"/>
          <w:pgSz w:w="11906" w:h="16838"/>
          <w:pgMar w:top="567" w:right="1134" w:bottom="1134" w:left="1134" w:header="1418" w:footer="1134" w:gutter="284"/>
          <w:pgNumType w:fmt="upperRoman"/>
          <w:cols w:space="425" w:num="1"/>
          <w:formProt w:val="0"/>
          <w:docGrid w:type="lines" w:linePitch="312" w:charSpace="0"/>
        </w:sectPr>
      </w:pPr>
      <w:r>
        <w:rPr>
          <w:rFonts w:hint="eastAsia"/>
        </w:rPr>
        <w:t>如今的徽菜包括皖南菜、皖江菜、合肥菜、淮南菜、皖北菜，主要名宴有八公山豆腐宴、包公宴、洪武宴等，代表菜有徽州臭鳜鱼、清炖马蹄鳖、徽州一品锅、徽州毛豆腐、黄山炖鹅、无为板鸭、吴山贡鹅</w:t>
      </w:r>
      <w:r>
        <w:t>、</w:t>
      </w:r>
      <w:r>
        <w:rPr>
          <w:rFonts w:hint="eastAsia"/>
        </w:rPr>
        <w:t>符离集烧鸡、火腿炖甲鱼、淮南牛肉汤等。民以食为天，预制菜（又称为预制菜肴）是食品工业化的产物，起源于欧美，在上个世纪60年代发扬光大，一般指以各类农、畜、禽、水产品为原辅料，配以调味料等辅料（不添加防腐剂），经预选、调制等工艺加工而成的半成品。预制菜产业是传统餐饮加工业与现代食品加工业的交叉产业，其本质上是技术驱动下，食品加工业效率提升，消费者便捷选择的消费升级。预制菜产业的科学发展直接关系到人民群众的生命健康和生活水平，对于提高人民群众生活质量、扩大市场消费、拉动相关产业、增加社会就业和促进社会和谐具有十分重要的意义。为壮大徽菜产业，弘扬徽菜文化，徽派预制菜产业发展和标准化体系建设显得尤为必要。</w:t>
      </w:r>
    </w:p>
    <w:bookmarkEnd w:id="26"/>
    <w:p w14:paraId="1A29AA87">
      <w:pPr>
        <w:spacing w:line="20" w:lineRule="exact"/>
        <w:jc w:val="center"/>
        <w:rPr>
          <w:rFonts w:ascii="黑体" w:hAnsi="黑体" w:eastAsia="黑体"/>
          <w:sz w:val="32"/>
          <w:szCs w:val="32"/>
        </w:rPr>
      </w:pPr>
      <w:bookmarkStart w:id="27" w:name="BookMark4"/>
    </w:p>
    <w:p w14:paraId="439C6371">
      <w:pPr>
        <w:spacing w:line="20" w:lineRule="exact"/>
        <w:jc w:val="center"/>
        <w:rPr>
          <w:rFonts w:ascii="黑体" w:hAnsi="黑体" w:eastAsia="黑体"/>
          <w:sz w:val="32"/>
          <w:szCs w:val="32"/>
        </w:rPr>
      </w:pPr>
    </w:p>
    <w:sdt>
      <w:sdtPr>
        <w:tag w:val="NEW_STAND_NAME"/>
        <w:id w:val="595910757"/>
        <w:lock w:val="sdtLocked"/>
        <w:placeholder>
          <w:docPart w:val="F921EC0F634C48DCB7402BE8D6425ABE"/>
        </w:placeholder>
      </w:sdtPr>
      <w:sdtContent>
        <w:p w14:paraId="6E3D0F34">
          <w:pPr>
            <w:pStyle w:val="178"/>
            <w:spacing w:before="567" w:beforeLines="182" w:after="686" w:afterLines="220"/>
          </w:pPr>
          <w:bookmarkStart w:id="28" w:name="NEW_STAND_NAME"/>
          <w:r>
            <w:rPr>
              <w:rFonts w:hint="eastAsia"/>
            </w:rPr>
            <w:t>徽派预制菜特色集群基地建设规范</w:t>
          </w:r>
        </w:p>
      </w:sdtContent>
    </w:sdt>
    <w:bookmarkEnd w:id="28"/>
    <w:p w14:paraId="6FB5641A">
      <w:pPr>
        <w:pStyle w:val="105"/>
        <w:spacing w:before="312" w:after="312"/>
      </w:pPr>
      <w:bookmarkStart w:id="29" w:name="_Toc191977146"/>
      <w:bookmarkStart w:id="30" w:name="_Toc191977467"/>
      <w:bookmarkStart w:id="31" w:name="_Toc24884218"/>
      <w:bookmarkStart w:id="32" w:name="_Toc26986771"/>
      <w:bookmarkStart w:id="33" w:name="_Toc26718930"/>
      <w:bookmarkStart w:id="34" w:name="_Toc26648465"/>
      <w:bookmarkStart w:id="35" w:name="_Toc17233333"/>
      <w:bookmarkStart w:id="36" w:name="_Toc156395638"/>
      <w:bookmarkStart w:id="37" w:name="_Toc26986530"/>
      <w:bookmarkStart w:id="38" w:name="_Toc156571639"/>
      <w:bookmarkStart w:id="39" w:name="_Toc24884211"/>
      <w:bookmarkStart w:id="40" w:name="_Toc17233325"/>
      <w:r>
        <w:rPr>
          <w:rFonts w:hint="eastAsia"/>
        </w:rPr>
        <w:t>范围</w:t>
      </w:r>
      <w:bookmarkEnd w:id="29"/>
      <w:bookmarkEnd w:id="30"/>
    </w:p>
    <w:p w14:paraId="15752A1C">
      <w:pPr>
        <w:pStyle w:val="57"/>
        <w:ind w:firstLine="420"/>
      </w:pPr>
      <w:r>
        <w:rPr>
          <w:rFonts w:hint="eastAsia"/>
        </w:rPr>
        <w:t>本文件规定了徽派预制菜特色集群基地建设的基本要求、原料基地建设、加工基地建设、服务基地建设。</w:t>
      </w:r>
    </w:p>
    <w:p w14:paraId="0F4F83AC">
      <w:pPr>
        <w:pStyle w:val="57"/>
        <w:ind w:firstLine="420"/>
      </w:pPr>
      <w:r>
        <w:rPr>
          <w:rFonts w:hint="eastAsia"/>
        </w:rPr>
        <w:t>本文件适用于徽派预制菜特色集群基地的建设。</w:t>
      </w:r>
    </w:p>
    <w:p w14:paraId="28CCBA2A">
      <w:pPr>
        <w:pStyle w:val="105"/>
        <w:spacing w:before="312" w:after="312"/>
      </w:pPr>
      <w:bookmarkStart w:id="41" w:name="_Toc191977468"/>
      <w:bookmarkStart w:id="42" w:name="_Toc191977147"/>
      <w:r>
        <w:rPr>
          <w:rFonts w:hint="eastAsia"/>
        </w:rPr>
        <w:t>规范性引用文件</w:t>
      </w:r>
      <w:bookmarkEnd w:id="41"/>
      <w:bookmarkEnd w:id="42"/>
    </w:p>
    <w:sdt>
      <w:sdtPr>
        <w:rPr>
          <w:rFonts w:hint="eastAsia"/>
        </w:rPr>
        <w:id w:val="715848253"/>
        <w:placeholder>
          <w:docPart w:val="{f2ae0d4d-1399-4295-b760-bf66fcad677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6F6F0ED">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10C1459">
      <w:pPr>
        <w:pStyle w:val="57"/>
        <w:ind w:firstLine="420"/>
      </w:pPr>
      <w:r>
        <w:rPr>
          <w:rFonts w:hint="eastAsia"/>
        </w:rPr>
        <w:t>GB 4793（所有部分）  测量、控制和实验室用电气设备的安全要求</w:t>
      </w:r>
    </w:p>
    <w:p w14:paraId="3A7A359A">
      <w:pPr>
        <w:pStyle w:val="57"/>
        <w:ind w:firstLine="420"/>
      </w:pPr>
      <w:r>
        <w:rPr>
          <w:rFonts w:hint="eastAsia"/>
        </w:rPr>
        <w:t>GB 5768（所有部分）  道路交通标志和标线</w:t>
      </w:r>
    </w:p>
    <w:p w14:paraId="149066E8">
      <w:pPr>
        <w:pStyle w:val="57"/>
        <w:ind w:firstLine="420"/>
      </w:pPr>
      <w:r>
        <w:rPr>
          <w:rFonts w:hint="eastAsia"/>
        </w:rPr>
        <w:t>GB 8978  污水综合排放标准</w:t>
      </w:r>
    </w:p>
    <w:p w14:paraId="7F448D5A">
      <w:pPr>
        <w:pStyle w:val="57"/>
        <w:ind w:firstLine="420"/>
      </w:pPr>
      <w:r>
        <w:rPr>
          <w:rFonts w:hint="eastAsia"/>
        </w:rPr>
        <w:t>GB 14881  食品安全国家标准 食品生产通用卫生规范</w:t>
      </w:r>
    </w:p>
    <w:p w14:paraId="02A87F31">
      <w:pPr>
        <w:pStyle w:val="57"/>
        <w:ind w:firstLine="420"/>
      </w:pPr>
      <w:r>
        <w:rPr>
          <w:rFonts w:hint="eastAsia"/>
        </w:rPr>
        <w:t>GB/T 15566.11  公共信息导向系统 设置原则与要求 第11部分：机动车停车场</w:t>
      </w:r>
    </w:p>
    <w:p w14:paraId="2BBDA8E3">
      <w:pPr>
        <w:pStyle w:val="57"/>
        <w:ind w:firstLine="420"/>
      </w:pPr>
      <w:r>
        <w:rPr>
          <w:rFonts w:hint="eastAsia"/>
        </w:rPr>
        <w:t>GB 15630  消防安全标志设置要求</w:t>
      </w:r>
    </w:p>
    <w:p w14:paraId="063A8DC4">
      <w:pPr>
        <w:pStyle w:val="57"/>
        <w:ind w:firstLine="420"/>
      </w:pPr>
      <w:r>
        <w:rPr>
          <w:rFonts w:hint="eastAsia"/>
        </w:rPr>
        <w:t>GB 16297  大气污染物综合排放标准</w:t>
      </w:r>
    </w:p>
    <w:p w14:paraId="316C9E41">
      <w:pPr>
        <w:pStyle w:val="57"/>
        <w:ind w:firstLine="420"/>
      </w:pPr>
      <w:r>
        <w:rPr>
          <w:rFonts w:hint="eastAsia"/>
        </w:rPr>
        <w:t>GB/T 24616  冷藏、冷冻食品物流包装、标志、运输和储存</w:t>
      </w:r>
    </w:p>
    <w:p w14:paraId="614BE70D">
      <w:pPr>
        <w:pStyle w:val="57"/>
        <w:ind w:firstLine="420"/>
      </w:pPr>
      <w:r>
        <w:rPr>
          <w:rFonts w:hint="eastAsia"/>
        </w:rPr>
        <w:t>GB/T 28843  食品冷链物流追溯管理要求</w:t>
      </w:r>
    </w:p>
    <w:p w14:paraId="3EEB27AB">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GB/T 31524  电子商务平台运营与技术规范</w:t>
      </w:r>
    </w:p>
    <w:p w14:paraId="6BF6E2D7">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GB 31605  食品安全国家标准 食品冷链物流卫生规范</w:t>
      </w:r>
    </w:p>
    <w:p w14:paraId="150587FB">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GB 31621  食品安全国家标准 食品经营过程卫生规范</w:t>
      </w:r>
    </w:p>
    <w:p w14:paraId="53BAE2A7">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GB/T 32146.3  检验检测实验室设计与建设技术要求 第3部分：食品实验室</w:t>
      </w:r>
    </w:p>
    <w:p w14:paraId="47343CA0">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GB/T 35409  电子商务平台商家入驻审核规范</w:t>
      </w:r>
    </w:p>
    <w:p w14:paraId="3FCCA742">
      <w:pPr>
        <w:pStyle w:val="57"/>
        <w:ind w:firstLine="420"/>
      </w:pPr>
      <w:r>
        <w:rPr>
          <w:rFonts w:hint="eastAsia"/>
        </w:rPr>
        <w:t>GB/T 50006  厂房建筑模数协调标准</w:t>
      </w:r>
    </w:p>
    <w:p w14:paraId="2675CBD2">
      <w:pPr>
        <w:pStyle w:val="57"/>
        <w:ind w:firstLine="420"/>
      </w:pPr>
      <w:r>
        <w:rPr>
          <w:rFonts w:hint="eastAsia"/>
        </w:rPr>
        <w:t>GB 50016  建筑设计防火规范</w:t>
      </w:r>
    </w:p>
    <w:p w14:paraId="7486A327">
      <w:pPr>
        <w:pStyle w:val="57"/>
        <w:ind w:firstLine="420"/>
      </w:pPr>
      <w:r>
        <w:rPr>
          <w:rFonts w:hint="eastAsia"/>
        </w:rPr>
        <w:t>GB 50052  供配电系统设计规范</w:t>
      </w:r>
    </w:p>
    <w:p w14:paraId="71122D74">
      <w:pPr>
        <w:pStyle w:val="57"/>
        <w:ind w:firstLine="420"/>
      </w:pPr>
      <w:r>
        <w:rPr>
          <w:rFonts w:hint="eastAsia"/>
        </w:rPr>
        <w:t>GB 50057  建筑物防雷设计规范</w:t>
      </w:r>
    </w:p>
    <w:p w14:paraId="72818320">
      <w:pPr>
        <w:pStyle w:val="57"/>
        <w:ind w:firstLine="420"/>
      </w:pPr>
      <w:r>
        <w:rPr>
          <w:rFonts w:hint="eastAsia"/>
        </w:rPr>
        <w:t>GB 50058  爆炸危险环境电力装置设计规范</w:t>
      </w:r>
    </w:p>
    <w:p w14:paraId="65F50F56">
      <w:pPr>
        <w:pStyle w:val="57"/>
        <w:ind w:firstLine="420"/>
      </w:pPr>
      <w:r>
        <w:rPr>
          <w:rFonts w:hint="eastAsia"/>
        </w:rPr>
        <w:t>GB 50072  冷库设计标准</w:t>
      </w:r>
    </w:p>
    <w:p w14:paraId="3BA46D90">
      <w:pPr>
        <w:pStyle w:val="57"/>
        <w:ind w:firstLine="420"/>
      </w:pPr>
      <w:r>
        <w:rPr>
          <w:rFonts w:hint="eastAsia"/>
        </w:rPr>
        <w:t>GB 50282  城市给水工程规划规范</w:t>
      </w:r>
    </w:p>
    <w:p w14:paraId="4C54CE6F">
      <w:pPr>
        <w:pStyle w:val="57"/>
        <w:ind w:firstLine="420"/>
      </w:pPr>
      <w:r>
        <w:rPr>
          <w:rFonts w:hint="eastAsia"/>
        </w:rPr>
        <w:t>GB/T 50293  城市电力规划规范</w:t>
      </w:r>
    </w:p>
    <w:p w14:paraId="6F783E9D">
      <w:pPr>
        <w:pStyle w:val="57"/>
        <w:ind w:firstLine="420"/>
      </w:pPr>
      <w:r>
        <w:rPr>
          <w:rFonts w:hint="eastAsia"/>
        </w:rPr>
        <w:t>GB 50318  城市排水工程规划规范</w:t>
      </w:r>
    </w:p>
    <w:p w14:paraId="137DFE64">
      <w:pPr>
        <w:pStyle w:val="57"/>
        <w:ind w:firstLine="420"/>
      </w:pPr>
      <w:r>
        <w:rPr>
          <w:rFonts w:hint="eastAsia"/>
        </w:rPr>
        <w:t>GB 50352  民用建筑设计统一标准</w:t>
      </w:r>
    </w:p>
    <w:p w14:paraId="2B23DF88">
      <w:pPr>
        <w:pStyle w:val="57"/>
        <w:ind w:firstLine="420"/>
      </w:pPr>
      <w:r>
        <w:rPr>
          <w:rFonts w:hint="eastAsia"/>
        </w:rPr>
        <w:t>GB/T 50378  绿色建筑评价标准</w:t>
      </w:r>
    </w:p>
    <w:p w14:paraId="461A0BD2">
      <w:pPr>
        <w:pStyle w:val="57"/>
        <w:ind w:firstLine="420"/>
      </w:pPr>
      <w:r>
        <w:rPr>
          <w:rFonts w:hint="eastAsia"/>
        </w:rPr>
        <w:t>GB 50687  食品工业洁净用房建筑技术规范</w:t>
      </w:r>
    </w:p>
    <w:p w14:paraId="3641DCD7">
      <w:pPr>
        <w:pStyle w:val="57"/>
        <w:ind w:firstLine="420"/>
      </w:pPr>
      <w:r>
        <w:rPr>
          <w:rFonts w:hint="eastAsia"/>
        </w:rPr>
        <w:t>GB 50688  城市道路交通设施设计规范</w:t>
      </w:r>
    </w:p>
    <w:p w14:paraId="63BE4763">
      <w:pPr>
        <w:pStyle w:val="57"/>
        <w:ind w:firstLine="420"/>
      </w:pPr>
      <w:r>
        <w:rPr>
          <w:rFonts w:hint="eastAsia"/>
        </w:rPr>
        <w:t>GB/T 50878  绿色工业建筑评价标准</w:t>
      </w:r>
    </w:p>
    <w:p w14:paraId="0A712CBD">
      <w:pPr>
        <w:pStyle w:val="57"/>
        <w:ind w:firstLine="420"/>
      </w:pPr>
      <w:r>
        <w:rPr>
          <w:rFonts w:hint="eastAsia"/>
        </w:rPr>
        <w:t>GB/T 51223  公共建筑标识系统技术规范</w:t>
      </w:r>
    </w:p>
    <w:p w14:paraId="2B850A2D">
      <w:pPr>
        <w:pStyle w:val="57"/>
        <w:ind w:firstLine="420"/>
      </w:pPr>
      <w:r>
        <w:rPr>
          <w:rFonts w:hint="eastAsia"/>
        </w:rPr>
        <w:t>GB 51440  冷库施工及验收标准</w:t>
      </w:r>
    </w:p>
    <w:p w14:paraId="5788037A">
      <w:pPr>
        <w:pStyle w:val="57"/>
        <w:ind w:firstLine="420"/>
      </w:pPr>
      <w:r>
        <w:rPr>
          <w:rFonts w:hint="eastAsia"/>
        </w:rPr>
        <w:t>GB 55009  燃气工程项目规范</w:t>
      </w:r>
    </w:p>
    <w:p w14:paraId="2D842549">
      <w:pPr>
        <w:pStyle w:val="57"/>
        <w:ind w:firstLine="420"/>
      </w:pPr>
      <w:r>
        <w:rPr>
          <w:rFonts w:hint="eastAsia"/>
        </w:rPr>
        <w:t>GB 55015  建筑节能与可再生能源利用通用规范</w:t>
      </w:r>
    </w:p>
    <w:p w14:paraId="0D4807FE">
      <w:pPr>
        <w:pStyle w:val="57"/>
        <w:ind w:firstLine="420"/>
      </w:pPr>
      <w:r>
        <w:rPr>
          <w:rFonts w:hint="eastAsia"/>
        </w:rPr>
        <w:t>GB 55025  宿舍、旅馆建筑项目规范</w:t>
      </w:r>
    </w:p>
    <w:p w14:paraId="1AB1481F">
      <w:pPr>
        <w:pStyle w:val="57"/>
        <w:ind w:firstLine="420"/>
      </w:pPr>
      <w:r>
        <w:rPr>
          <w:rFonts w:hint="eastAsia"/>
        </w:rPr>
        <w:t>GB 55031  民用建筑通用规范</w:t>
      </w:r>
    </w:p>
    <w:p w14:paraId="4A0EA7B0">
      <w:pPr>
        <w:pStyle w:val="57"/>
        <w:ind w:firstLine="420"/>
      </w:pPr>
      <w:r>
        <w:rPr>
          <w:rFonts w:hint="eastAsia"/>
        </w:rPr>
        <w:t>GB 55036  消防设施通用规范</w:t>
      </w:r>
    </w:p>
    <w:p w14:paraId="7E3F36D4">
      <w:pPr>
        <w:pStyle w:val="57"/>
        <w:ind w:firstLine="420"/>
      </w:pPr>
      <w:r>
        <w:rPr>
          <w:rFonts w:hint="eastAsia"/>
        </w:rPr>
        <w:t>CJJ/T 34  城镇供热管网设计标准</w:t>
      </w:r>
    </w:p>
    <w:p w14:paraId="04057208">
      <w:pPr>
        <w:pStyle w:val="57"/>
        <w:ind w:firstLine="420"/>
      </w:pPr>
      <w:r>
        <w:rPr>
          <w:rFonts w:hint="eastAsia"/>
        </w:rPr>
        <w:t>CJJ 45  城市道路照明设计标准</w:t>
      </w:r>
    </w:p>
    <w:p w14:paraId="08B1E591">
      <w:pPr>
        <w:pStyle w:val="57"/>
        <w:ind w:firstLine="420"/>
      </w:pPr>
      <w:r>
        <w:rPr>
          <w:rFonts w:hint="eastAsia"/>
        </w:rPr>
        <w:t>CJJ 75  城市道路绿化规划与设计规范</w:t>
      </w:r>
    </w:p>
    <w:p w14:paraId="34041830">
      <w:pPr>
        <w:pStyle w:val="57"/>
        <w:ind w:firstLine="420"/>
      </w:pPr>
      <w:r>
        <w:rPr>
          <w:rFonts w:hint="eastAsia"/>
        </w:rPr>
        <w:t>SL 627  城市供水水源规划导则</w:t>
      </w:r>
    </w:p>
    <w:p w14:paraId="602FE5EF">
      <w:pPr>
        <w:pStyle w:val="57"/>
        <w:ind w:firstLine="420"/>
      </w:pPr>
      <w:r>
        <w:rPr>
          <w:rFonts w:hint="eastAsia"/>
        </w:rPr>
        <w:t>HJ 2025  危险废物收集、贮存、运输技术规范</w:t>
      </w:r>
    </w:p>
    <w:p w14:paraId="3649A4ED">
      <w:pPr>
        <w:pStyle w:val="57"/>
        <w:ind w:firstLine="420"/>
      </w:pPr>
      <w:r>
        <w:rPr>
          <w:rFonts w:hint="eastAsia"/>
        </w:rPr>
        <w:t>NY/T 682  畜禽场场区设计技术规范</w:t>
      </w:r>
    </w:p>
    <w:p w14:paraId="1CA118BC">
      <w:pPr>
        <w:pStyle w:val="57"/>
        <w:ind w:firstLine="420"/>
      </w:pPr>
      <w:r>
        <w:rPr>
          <w:rFonts w:hint="eastAsia"/>
        </w:rPr>
        <w:t>NY/T 2171  蔬菜标准园建设规范</w:t>
      </w:r>
    </w:p>
    <w:p w14:paraId="09DAF911">
      <w:pPr>
        <w:pStyle w:val="57"/>
        <w:ind w:firstLine="420"/>
      </w:pPr>
      <w:r>
        <w:rPr>
          <w:rFonts w:hint="eastAsia"/>
        </w:rPr>
        <w:t>NY/T 2663  标准化养殖场 肉牛</w:t>
      </w:r>
    </w:p>
    <w:p w14:paraId="4679854E">
      <w:pPr>
        <w:pStyle w:val="57"/>
        <w:ind w:firstLine="420"/>
      </w:pPr>
      <w:r>
        <w:rPr>
          <w:rFonts w:hint="eastAsia"/>
        </w:rPr>
        <w:t>NY/T 2665  标准化养殖场 肉羊</w:t>
      </w:r>
    </w:p>
    <w:p w14:paraId="54AE7D95">
      <w:pPr>
        <w:pStyle w:val="57"/>
        <w:ind w:firstLine="420"/>
      </w:pPr>
      <w:r>
        <w:rPr>
          <w:rFonts w:hint="eastAsia"/>
        </w:rPr>
        <w:t>NY/T 3616  水产养殖场建设规范</w:t>
      </w:r>
    </w:p>
    <w:p w14:paraId="70C7CFEA">
      <w:pPr>
        <w:pStyle w:val="57"/>
        <w:ind w:firstLine="420"/>
      </w:pPr>
      <w:r>
        <w:rPr>
          <w:rFonts w:hint="eastAsia"/>
        </w:rPr>
        <w:t>DB34/T 581-2006 徽菜标准体系表</w:t>
      </w:r>
    </w:p>
    <w:p w14:paraId="5824F907">
      <w:pPr>
        <w:pStyle w:val="105"/>
        <w:spacing w:before="312" w:after="312"/>
      </w:pPr>
      <w:bookmarkStart w:id="43" w:name="_Toc191977148"/>
      <w:bookmarkStart w:id="44" w:name="_Toc191977469"/>
      <w:r>
        <w:rPr>
          <w:rFonts w:hint="eastAsia"/>
          <w:szCs w:val="21"/>
        </w:rPr>
        <w:t>术语和定义</w:t>
      </w:r>
      <w:bookmarkEnd w:id="43"/>
      <w:bookmarkEnd w:id="44"/>
    </w:p>
    <w:sdt>
      <w:sdtPr>
        <w:id w:val="-1909835108"/>
        <w:placeholder>
          <w:docPart w:val="{5553a059-abee-4eee-9921-df75e8ca935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2924750">
          <w:pPr>
            <w:pStyle w:val="57"/>
            <w:ind w:firstLine="420"/>
          </w:pPr>
          <w:r>
            <w:t>下列术语和定义适用于本文件。</w:t>
          </w:r>
        </w:p>
      </w:sdtContent>
    </w:sdt>
    <w:p w14:paraId="4F91913B">
      <w:pPr>
        <w:pStyle w:val="224"/>
        <w:ind w:left="420" w:hanging="420" w:hangingChars="200"/>
        <w:rPr>
          <w:rFonts w:ascii="黑体" w:hAnsi="黑体" w:eastAsia="黑体"/>
        </w:rPr>
      </w:pPr>
    </w:p>
    <w:p w14:paraId="02ADC1DE">
      <w:pPr>
        <w:pStyle w:val="224"/>
        <w:numPr>
          <w:ilvl w:val="2"/>
          <w:numId w:val="0"/>
        </w:numPr>
        <w:ind w:left="-420" w:leftChars="-200" w:firstLine="840" w:firstLineChars="400"/>
        <w:rPr>
          <w:rFonts w:ascii="黑体" w:hAnsi="黑体" w:eastAsia="黑体"/>
        </w:rPr>
      </w:pPr>
      <w:r>
        <w:rPr>
          <w:rFonts w:hint="eastAsia" w:ascii="黑体" w:hAnsi="黑体" w:eastAsia="黑体"/>
        </w:rPr>
        <w:t>徽菜</w:t>
      </w:r>
    </w:p>
    <w:p w14:paraId="750D3D88">
      <w:pPr>
        <w:pStyle w:val="57"/>
        <w:ind w:firstLine="420"/>
      </w:pPr>
      <w:r>
        <w:rPr>
          <w:rFonts w:hint="eastAsia"/>
        </w:rPr>
        <w:t>徽菜即安徽菜，是以皖南菜为代表的皖南菜、皖江菜、合肥菜、淮南菜、皖北菜的总称。它是以安徽特产为主要原料，在采用民间传统烹调技法的基础上，吸收其他菜系技艺之长而烹制的以咸鲜味为主的地方菜肴。徽菜具有丰厚的文化底蕴，是全国著名的八大菜系之一。其主要风味特点是咸鲜为主，突出本味，讲究火功，注重食补。在烹调方法上以烧、炖、焖、蒸、熏等技艺为主。主要菜式有宴席大菜、五簋八碟十大碗、九碗六、八碗十二盘、六大盆、大众和菜等。主要名宴有八公山豆腐宴、包公宴、洪武宴等。</w:t>
      </w:r>
    </w:p>
    <w:p w14:paraId="327AF540">
      <w:pPr>
        <w:pStyle w:val="57"/>
        <w:ind w:firstLine="420"/>
      </w:pPr>
      <w:r>
        <w:rPr>
          <w:rFonts w:hint="eastAsia"/>
        </w:rPr>
        <w:t>[来源：DB34/T 581-2006，3.1]</w:t>
      </w:r>
    </w:p>
    <w:p w14:paraId="5510C500">
      <w:pPr>
        <w:pStyle w:val="224"/>
        <w:ind w:left="420" w:hanging="420" w:hangingChars="200"/>
        <w:rPr>
          <w:rFonts w:ascii="黑体" w:hAnsi="黑体" w:eastAsia="黑体"/>
        </w:rPr>
      </w:pPr>
    </w:p>
    <w:p w14:paraId="548721E3">
      <w:pPr>
        <w:pStyle w:val="224"/>
        <w:numPr>
          <w:ilvl w:val="2"/>
          <w:numId w:val="0"/>
        </w:numPr>
        <w:ind w:left="-420" w:leftChars="-200" w:firstLine="840" w:firstLineChars="400"/>
        <w:rPr>
          <w:rFonts w:ascii="黑体" w:hAnsi="黑体" w:eastAsia="黑体"/>
        </w:rPr>
      </w:pPr>
      <w:r>
        <w:rPr>
          <w:rFonts w:hint="eastAsia" w:ascii="黑体" w:hAnsi="黑体" w:eastAsia="黑体"/>
        </w:rPr>
        <w:t>徽派预制菜</w:t>
      </w:r>
    </w:p>
    <w:p w14:paraId="579E2E21">
      <w:pPr>
        <w:pStyle w:val="57"/>
        <w:ind w:firstLine="420"/>
      </w:pPr>
      <w:r>
        <w:rPr>
          <w:rFonts w:hint="eastAsia"/>
        </w:rPr>
        <w:t>以一种或多种具有徽菜特色的原料，使用或不使用调味料等辅料，不添加防腐剂，经工业化预加工制成，配以或不配以调味料包，符合产品标签标明的贮存、运输及销售条件，加热或熟制后方可食用的的预包装徽菜菜肴。</w:t>
      </w:r>
    </w:p>
    <w:p w14:paraId="47E69F1E">
      <w:pPr>
        <w:pStyle w:val="224"/>
        <w:ind w:left="420" w:hanging="420" w:hangingChars="200"/>
        <w:rPr>
          <w:rFonts w:ascii="黑体" w:hAnsi="黑体" w:eastAsia="黑体"/>
        </w:rPr>
      </w:pPr>
    </w:p>
    <w:p w14:paraId="5EBC76A3">
      <w:pPr>
        <w:pStyle w:val="224"/>
        <w:numPr>
          <w:ilvl w:val="2"/>
          <w:numId w:val="0"/>
        </w:numPr>
        <w:ind w:left="-420" w:leftChars="-200" w:firstLine="840" w:firstLineChars="400"/>
        <w:rPr>
          <w:rFonts w:ascii="黑体" w:hAnsi="黑体" w:eastAsia="黑体"/>
        </w:rPr>
      </w:pPr>
      <w:r>
        <w:rPr>
          <w:rFonts w:hint="eastAsia" w:ascii="黑体" w:hAnsi="黑体" w:eastAsia="黑体"/>
        </w:rPr>
        <w:t>徽派预制菜特色集群基地</w:t>
      </w:r>
    </w:p>
    <w:p w14:paraId="10E8EA68">
      <w:pPr>
        <w:pStyle w:val="57"/>
        <w:ind w:firstLine="420"/>
      </w:pPr>
      <w:r>
        <w:rPr>
          <w:rFonts w:hint="eastAsia"/>
        </w:rPr>
        <w:t>以徽派预制菜生产加工为主，拥有集现代农业、食品加工、仓储物流、电子商务、文化旅游等于一体的全产业链，能够提供产品研发、生产加工、检验检测、体验展示等服务的产业集聚区。</w:t>
      </w:r>
    </w:p>
    <w:p w14:paraId="45DC4A09">
      <w:pPr>
        <w:pStyle w:val="105"/>
        <w:spacing w:before="312" w:after="312"/>
      </w:pPr>
      <w:bookmarkStart w:id="45" w:name="_Toc191977149"/>
      <w:bookmarkStart w:id="46" w:name="_Toc191977470"/>
      <w:r>
        <w:rPr>
          <w:rFonts w:hint="eastAsia"/>
        </w:rPr>
        <w:t>基本要求</w:t>
      </w:r>
      <w:bookmarkEnd w:id="45"/>
      <w:bookmarkEnd w:id="46"/>
    </w:p>
    <w:p w14:paraId="630AC19D">
      <w:pPr>
        <w:pStyle w:val="163"/>
      </w:pPr>
      <w:r>
        <w:rPr>
          <w:rFonts w:hint="eastAsia"/>
        </w:rPr>
        <w:t>充分考虑产业集群形成，选择已有徽派预制菜特色产业基础或相关产业集聚的地区。</w:t>
      </w:r>
    </w:p>
    <w:p w14:paraId="3F58BD78">
      <w:pPr>
        <w:pStyle w:val="163"/>
      </w:pPr>
      <w:r>
        <w:rPr>
          <w:rFonts w:hint="eastAsia"/>
        </w:rPr>
        <w:t>基地所在地区的特色徽派预制菜在当地已形成一定规模，并具有一定的历史文化底蕴。</w:t>
      </w:r>
    </w:p>
    <w:p w14:paraId="5EA8C4C2">
      <w:pPr>
        <w:pStyle w:val="163"/>
      </w:pPr>
      <w:r>
        <w:rPr>
          <w:rFonts w:hint="eastAsia"/>
        </w:rPr>
        <w:t>坚持区域特色，助推徽派预制菜特色产业集聚发展，支撑产业链群发展；坚持市场在资源配置中的决定性作用，调动和发挥市场主体的积极性、主动性和创造性。</w:t>
      </w:r>
    </w:p>
    <w:p w14:paraId="3507FD4A">
      <w:pPr>
        <w:pStyle w:val="105"/>
        <w:spacing w:before="312" w:after="312"/>
      </w:pPr>
      <w:bookmarkStart w:id="47" w:name="_Toc191977150"/>
      <w:bookmarkStart w:id="48" w:name="_Toc191977471"/>
      <w:r>
        <w:rPr>
          <w:rFonts w:hint="eastAsia"/>
        </w:rPr>
        <w:t>原料基地建设</w:t>
      </w:r>
      <w:bookmarkEnd w:id="47"/>
      <w:bookmarkEnd w:id="48"/>
    </w:p>
    <w:p w14:paraId="5A229635">
      <w:pPr>
        <w:pStyle w:val="106"/>
        <w:spacing w:before="156" w:after="156"/>
      </w:pPr>
      <w:bookmarkStart w:id="49" w:name="_Toc191977151"/>
      <w:bookmarkStart w:id="50" w:name="_Toc191977472"/>
      <w:r>
        <w:rPr>
          <w:rFonts w:hint="eastAsia"/>
        </w:rPr>
        <w:t>蔬菜种殖</w:t>
      </w:r>
      <w:bookmarkEnd w:id="49"/>
      <w:bookmarkEnd w:id="50"/>
    </w:p>
    <w:p w14:paraId="09C7F0F1">
      <w:pPr>
        <w:pStyle w:val="57"/>
        <w:ind w:firstLine="420"/>
      </w:pPr>
      <w:r>
        <w:rPr>
          <w:rFonts w:hint="eastAsia"/>
        </w:rPr>
        <w:t>按照NY/T 2171的相关规定执行。</w:t>
      </w:r>
    </w:p>
    <w:p w14:paraId="7464D274">
      <w:pPr>
        <w:pStyle w:val="106"/>
        <w:spacing w:before="156" w:after="156"/>
      </w:pPr>
      <w:bookmarkStart w:id="51" w:name="_Toc191977152"/>
      <w:bookmarkStart w:id="52" w:name="_Toc191977473"/>
      <w:r>
        <w:rPr>
          <w:rFonts w:hint="eastAsia"/>
        </w:rPr>
        <w:t>畜牧养殖</w:t>
      </w:r>
      <w:bookmarkEnd w:id="51"/>
      <w:bookmarkEnd w:id="52"/>
    </w:p>
    <w:p w14:paraId="4421F266">
      <w:pPr>
        <w:pStyle w:val="57"/>
        <w:ind w:firstLine="420"/>
      </w:pPr>
      <w:r>
        <w:rPr>
          <w:rFonts w:hint="eastAsia"/>
        </w:rPr>
        <w:t>按照NY/T 682、NY/T 2665、NY/T 2663的相关规定执行。</w:t>
      </w:r>
    </w:p>
    <w:p w14:paraId="3EC237BA">
      <w:pPr>
        <w:pStyle w:val="106"/>
        <w:spacing w:before="156" w:after="156"/>
      </w:pPr>
      <w:bookmarkStart w:id="53" w:name="_Toc191977153"/>
      <w:bookmarkStart w:id="54" w:name="_Toc191977474"/>
      <w:r>
        <w:rPr>
          <w:rFonts w:hint="eastAsia"/>
        </w:rPr>
        <w:t>家禽养殖</w:t>
      </w:r>
      <w:bookmarkEnd w:id="53"/>
      <w:bookmarkEnd w:id="54"/>
    </w:p>
    <w:p w14:paraId="6EF4092D">
      <w:pPr>
        <w:pStyle w:val="57"/>
        <w:ind w:firstLine="420"/>
      </w:pPr>
      <w:r>
        <w:rPr>
          <w:rFonts w:hint="eastAsia"/>
        </w:rPr>
        <w:t>按照NY/T 682的相关规定执行。</w:t>
      </w:r>
    </w:p>
    <w:p w14:paraId="1B7E73DF">
      <w:pPr>
        <w:pStyle w:val="106"/>
        <w:spacing w:before="156" w:after="156"/>
      </w:pPr>
      <w:bookmarkStart w:id="55" w:name="_Toc191977154"/>
      <w:bookmarkStart w:id="56" w:name="_Toc191977475"/>
      <w:r>
        <w:rPr>
          <w:rFonts w:hint="eastAsia"/>
        </w:rPr>
        <w:t>水产养殖</w:t>
      </w:r>
      <w:bookmarkEnd w:id="55"/>
      <w:bookmarkEnd w:id="56"/>
    </w:p>
    <w:p w14:paraId="0F6D54B4">
      <w:pPr>
        <w:pStyle w:val="57"/>
        <w:ind w:firstLine="420"/>
      </w:pPr>
      <w:r>
        <w:rPr>
          <w:rFonts w:hint="eastAsia"/>
        </w:rPr>
        <w:t>按照NY/T 3616的相关规定执行。</w:t>
      </w:r>
    </w:p>
    <w:p w14:paraId="0EF85A30">
      <w:pPr>
        <w:pStyle w:val="105"/>
        <w:spacing w:before="312" w:after="312"/>
      </w:pPr>
      <w:bookmarkStart w:id="57" w:name="_Toc191977155"/>
      <w:bookmarkStart w:id="58" w:name="_Toc191977476"/>
      <w:r>
        <w:rPr>
          <w:rFonts w:hint="eastAsia"/>
        </w:rPr>
        <w:t>加工基地建设</w:t>
      </w:r>
      <w:bookmarkEnd w:id="57"/>
      <w:bookmarkEnd w:id="58"/>
    </w:p>
    <w:p w14:paraId="57263162">
      <w:pPr>
        <w:pStyle w:val="106"/>
        <w:spacing w:before="156" w:after="156"/>
      </w:pPr>
      <w:bookmarkStart w:id="59" w:name="_Toc191977156"/>
      <w:bookmarkStart w:id="60" w:name="_Toc191977477"/>
      <w:r>
        <w:rPr>
          <w:rFonts w:hint="eastAsia"/>
        </w:rPr>
        <w:t>规划</w:t>
      </w:r>
      <w:bookmarkEnd w:id="59"/>
      <w:bookmarkEnd w:id="60"/>
    </w:p>
    <w:p w14:paraId="4A405EA2">
      <w:pPr>
        <w:pStyle w:val="166"/>
      </w:pPr>
      <w:r>
        <w:rPr>
          <w:rFonts w:hint="eastAsia"/>
        </w:rPr>
        <w:t>应符合所在地市城市规划、土地利用、产业发展等总体规划，满足当地产业政策，同时与村镇域规划、县域旅游规划、经济社会发展规划等协调衔接，突出徽派预制菜集群基地的特点。</w:t>
      </w:r>
    </w:p>
    <w:p w14:paraId="385049D9">
      <w:pPr>
        <w:pStyle w:val="166"/>
        <w:rPr>
          <w:color w:val="000000" w:themeColor="text1"/>
          <w14:textFill>
            <w14:solidFill>
              <w14:schemeClr w14:val="tx1"/>
            </w14:solidFill>
          </w14:textFill>
        </w:rPr>
      </w:pPr>
      <w:r>
        <w:rPr>
          <w:rFonts w:hint="eastAsia"/>
        </w:rPr>
        <w:t>功能分区明确，动静</w:t>
      </w:r>
      <w:r>
        <w:rPr>
          <w:rFonts w:hint="eastAsia"/>
          <w:color w:val="000000" w:themeColor="text1"/>
          <w14:textFill>
            <w14:solidFill>
              <w14:schemeClr w14:val="tx1"/>
            </w14:solidFill>
          </w14:textFill>
        </w:rPr>
        <w:t>脉产业和谐发展，遵循产业优化、整体协调、布局合理、配套完善、安全环保、绿色低碳、集约高效等要求。</w:t>
      </w:r>
    </w:p>
    <w:p w14:paraId="003C8FE2">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以生产徽派预制菜为基础产业，开发徽派预制菜相关配套产品，打造以生态、科技、健康为主题，突出产品地域特色，体现产品差异化和个性化的产业基地。</w:t>
      </w:r>
    </w:p>
    <w:p w14:paraId="7AC1FC73">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根据徽派预制菜产业发展需要，布局建设基地基础设施和功能区。基础设施建设遵循资源优化、合理配置、节能减排等原则，避免盲目建设和重复建设。</w:t>
      </w:r>
    </w:p>
    <w:p w14:paraId="0E07113D">
      <w:pPr>
        <w:pStyle w:val="106"/>
        <w:spacing w:before="156" w:after="156"/>
        <w:rPr>
          <w:color w:val="000000" w:themeColor="text1"/>
          <w14:textFill>
            <w14:solidFill>
              <w14:schemeClr w14:val="tx1"/>
            </w14:solidFill>
          </w14:textFill>
        </w:rPr>
      </w:pPr>
      <w:bookmarkStart w:id="61" w:name="_Toc191977157"/>
      <w:bookmarkStart w:id="62" w:name="_Toc191977478"/>
      <w:r>
        <w:rPr>
          <w:rFonts w:hint="eastAsia"/>
          <w:color w:val="000000" w:themeColor="text1"/>
          <w14:textFill>
            <w14:solidFill>
              <w14:schemeClr w14:val="tx1"/>
            </w14:solidFill>
          </w14:textFill>
        </w:rPr>
        <w:t>选址</w:t>
      </w:r>
      <w:bookmarkEnd w:id="61"/>
      <w:bookmarkEnd w:id="62"/>
    </w:p>
    <w:p w14:paraId="16D35C13">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应靠近主要交通干线，交通便利、物流顺畅，公共基础设施配套完善。</w:t>
      </w:r>
    </w:p>
    <w:p w14:paraId="02C58763">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考虑选址地区的劳动力资源情况，包括劳动力数量、素质和成本等因素。</w:t>
      </w:r>
    </w:p>
    <w:p w14:paraId="47DE6DE7">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周边不应有虫害大量孳生的潜在场所，难以避开时应设计必要的防范措施。</w:t>
      </w:r>
    </w:p>
    <w:p w14:paraId="28039776">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不选择易发生洪涝灾害、地质灾害的地区，难以避开时应设计必要的防范措施，当风险较大时，应釆取相应措施将风险降至安全水平。</w:t>
      </w:r>
    </w:p>
    <w:p w14:paraId="008E2A90">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不选择有害废弃物以及粉尘、有害气体、放射性物质和其他扩散性污染源不能有效清除的地址。</w:t>
      </w:r>
    </w:p>
    <w:p w14:paraId="2DE69390">
      <w:pPr>
        <w:pStyle w:val="106"/>
        <w:spacing w:before="156" w:after="156"/>
        <w:rPr>
          <w:color w:val="000000" w:themeColor="text1"/>
          <w14:textFill>
            <w14:solidFill>
              <w14:schemeClr w14:val="tx1"/>
            </w14:solidFill>
          </w14:textFill>
        </w:rPr>
      </w:pPr>
      <w:bookmarkStart w:id="63" w:name="_Toc191977158"/>
      <w:bookmarkStart w:id="64" w:name="_Toc191977479"/>
      <w:r>
        <w:rPr>
          <w:rFonts w:hint="eastAsia"/>
          <w:color w:val="000000" w:themeColor="text1"/>
          <w14:textFill>
            <w14:solidFill>
              <w14:schemeClr w14:val="tx1"/>
            </w14:solidFill>
          </w14:textFill>
        </w:rPr>
        <w:t>基础设施建设</w:t>
      </w:r>
      <w:bookmarkEnd w:id="63"/>
      <w:bookmarkEnd w:id="64"/>
    </w:p>
    <w:p w14:paraId="3C552106">
      <w:pPr>
        <w:pStyle w:val="66"/>
        <w:spacing w:before="156" w:after="156"/>
      </w:pPr>
      <w:bookmarkStart w:id="65" w:name="_Toc191977159"/>
      <w:r>
        <w:rPr>
          <w:rFonts w:hint="eastAsia"/>
        </w:rPr>
        <w:t>道路交通</w:t>
      </w:r>
      <w:bookmarkEnd w:id="65"/>
    </w:p>
    <w:p w14:paraId="6337658F">
      <w:pPr>
        <w:pStyle w:val="165"/>
      </w:pPr>
      <w:r>
        <w:rPr>
          <w:rFonts w:hint="eastAsia"/>
        </w:rPr>
        <w:t>综合考虑基地所在地的地貌情况、用地要求、交通需求、绿化要求、管线铺设需求等，合理布局建设由主要道路、次要道路和支路等构成的道路系统。</w:t>
      </w:r>
    </w:p>
    <w:p w14:paraId="5229A277">
      <w:pPr>
        <w:pStyle w:val="165"/>
      </w:pPr>
      <w:r>
        <w:rPr>
          <w:rFonts w:hint="eastAsia"/>
        </w:rPr>
        <w:t>基地范围内的道路交通设施应符合GB 50688的规定，道路交通标志和标线应符合GB 5768（所有部分）的规定，公共建筑导向标识系统应符合GB/T 51223的规定。</w:t>
      </w:r>
    </w:p>
    <w:p w14:paraId="100AA355">
      <w:pPr>
        <w:pStyle w:val="165"/>
      </w:pPr>
      <w:r>
        <w:rPr>
          <w:rFonts w:hint="eastAsia"/>
        </w:rPr>
        <w:t>基地道路绿化和照明应分别符合CJJ 75、CJJ 45的规定。</w:t>
      </w:r>
    </w:p>
    <w:p w14:paraId="1CCE3210">
      <w:pPr>
        <w:pStyle w:val="165"/>
      </w:pPr>
      <w:r>
        <w:rPr>
          <w:rFonts w:hint="eastAsia"/>
        </w:rPr>
        <w:t>基地出入口应按车辆类型和流向进行设计和建设，位置和数量应根据生产规模、总体规划、基地用地、平面布置要求等因素综合确定。</w:t>
      </w:r>
    </w:p>
    <w:p w14:paraId="4D28450C">
      <w:pPr>
        <w:pStyle w:val="165"/>
      </w:pPr>
      <w:r>
        <w:rPr>
          <w:rFonts w:hint="eastAsia"/>
        </w:rPr>
        <w:t>根据基地规模、入驻企业和单位数量，设立相应的停车场，并按车辆类型分类。</w:t>
      </w:r>
    </w:p>
    <w:p w14:paraId="5BA724A2">
      <w:pPr>
        <w:pStyle w:val="165"/>
      </w:pPr>
      <w:r>
        <w:rPr>
          <w:rFonts w:hint="eastAsia"/>
        </w:rPr>
        <w:t>公共停车场设置应符合GB/T 15566.11的规定，可在停车场内相应位置设置充电桩。</w:t>
      </w:r>
    </w:p>
    <w:p w14:paraId="1AE7275A">
      <w:pPr>
        <w:pStyle w:val="66"/>
        <w:spacing w:before="156" w:after="156"/>
      </w:pPr>
      <w:bookmarkStart w:id="66" w:name="_Toc191977160"/>
      <w:r>
        <w:rPr>
          <w:rFonts w:hint="eastAsia"/>
        </w:rPr>
        <w:t>建筑设施</w:t>
      </w:r>
      <w:bookmarkEnd w:id="66"/>
    </w:p>
    <w:p w14:paraId="651678E4">
      <w:pPr>
        <w:pStyle w:val="165"/>
      </w:pPr>
      <w:r>
        <w:rPr>
          <w:rFonts w:hint="eastAsia"/>
        </w:rPr>
        <w:t>建设满足基地不同规模和功能需要的建筑设施，厂房建筑、居住建筑和公共建筑应分别符合GB/T 50006、GB 50352、GB 55031的规定。</w:t>
      </w:r>
    </w:p>
    <w:p w14:paraId="431EE925">
      <w:pPr>
        <w:pStyle w:val="165"/>
      </w:pPr>
      <w:r>
        <w:rPr>
          <w:rFonts w:hint="eastAsia"/>
        </w:rPr>
        <w:t>建筑设施防火设计应符合GB 50016的规定，接地及防雷应符合GB 50057的规定，静电防护应符合GB 50058的规定。</w:t>
      </w:r>
    </w:p>
    <w:p w14:paraId="2AC28356">
      <w:pPr>
        <w:pStyle w:val="165"/>
      </w:pPr>
      <w:r>
        <w:rPr>
          <w:rFonts w:hint="eastAsia"/>
        </w:rPr>
        <w:t>根据基地气候条件、资源现状及建筑不同功能，参照GB/T 50378、GB/T 50878及相关要求，通过新建或改建，推广绿色建筑。</w:t>
      </w:r>
    </w:p>
    <w:p w14:paraId="11AE806C">
      <w:pPr>
        <w:pStyle w:val="66"/>
        <w:spacing w:before="156" w:after="156"/>
      </w:pPr>
      <w:bookmarkStart w:id="67" w:name="_Toc191977161"/>
      <w:r>
        <w:rPr>
          <w:rFonts w:hint="eastAsia"/>
        </w:rPr>
        <w:t>能源设施</w:t>
      </w:r>
      <w:bookmarkEnd w:id="67"/>
    </w:p>
    <w:p w14:paraId="4768F9A9">
      <w:pPr>
        <w:pStyle w:val="165"/>
      </w:pPr>
      <w:r>
        <w:rPr>
          <w:rFonts w:hint="eastAsia"/>
        </w:rPr>
        <w:t>根据属地电网规划，电力设施和应急供电系统建设应符合GB 50052、GB/T 50293的规定。</w:t>
      </w:r>
    </w:p>
    <w:p w14:paraId="3ED96153">
      <w:pPr>
        <w:pStyle w:val="165"/>
      </w:pPr>
      <w:r>
        <w:rPr>
          <w:rFonts w:hint="eastAsia"/>
        </w:rPr>
        <w:t>供热设施建设应符合CJJ/T 34的规定。</w:t>
      </w:r>
    </w:p>
    <w:p w14:paraId="7F205985">
      <w:pPr>
        <w:pStyle w:val="165"/>
      </w:pPr>
      <w:r>
        <w:rPr>
          <w:rFonts w:hint="eastAsia"/>
        </w:rPr>
        <w:t>燃气设施建设应符合GB 55009的规定。</w:t>
      </w:r>
    </w:p>
    <w:p w14:paraId="405AA5F0">
      <w:pPr>
        <w:pStyle w:val="165"/>
      </w:pPr>
      <w:r>
        <w:rPr>
          <w:rFonts w:hint="eastAsia"/>
        </w:rPr>
        <w:t>充分利用清洁能源和（或）二次能源，参照GB 55015及相关要求，建设和配备余热、余压、废热资源的回收利用设施设备。</w:t>
      </w:r>
    </w:p>
    <w:p w14:paraId="40D31DD5">
      <w:pPr>
        <w:pStyle w:val="66"/>
        <w:spacing w:before="156" w:after="156"/>
      </w:pPr>
      <w:bookmarkStart w:id="68" w:name="_Toc191977162"/>
      <w:r>
        <w:rPr>
          <w:rFonts w:hint="eastAsia"/>
        </w:rPr>
        <w:t>供排水设施</w:t>
      </w:r>
      <w:bookmarkEnd w:id="68"/>
    </w:p>
    <w:p w14:paraId="32442566">
      <w:pPr>
        <w:pStyle w:val="165"/>
      </w:pPr>
      <w:r>
        <w:rPr>
          <w:rFonts w:hint="eastAsia"/>
        </w:rPr>
        <w:t>供水水源规划应符合SL 627的规定，供水设施建设应符合GB 50282的规定，排水设施建设应符合GB 50318的相关规定。</w:t>
      </w:r>
    </w:p>
    <w:p w14:paraId="600E3677">
      <w:pPr>
        <w:pStyle w:val="165"/>
      </w:pPr>
      <w:r>
        <w:rPr>
          <w:rFonts w:hint="eastAsia"/>
        </w:rPr>
        <w:t>结合城市防涝系统设置防涝行泄通道及防涝蓄水设施，并制定应急预案。</w:t>
      </w:r>
    </w:p>
    <w:p w14:paraId="306CB6E7">
      <w:pPr>
        <w:pStyle w:val="165"/>
      </w:pPr>
      <w:r>
        <w:rPr>
          <w:rFonts w:hint="eastAsia"/>
        </w:rPr>
        <w:t>基地应采用有组织排水系统，雨水经收集后排入市政雨水排放系统或按当地政府要求指定排放，污废水经处理后排入城市污水排放系统或按当地政府要求排放至指定地点，经过处理的污废水应达到环保要求的排放标准。</w:t>
      </w:r>
    </w:p>
    <w:p w14:paraId="3E5FB734">
      <w:pPr>
        <w:pStyle w:val="66"/>
        <w:spacing w:before="156" w:after="156"/>
      </w:pPr>
      <w:bookmarkStart w:id="69" w:name="_Toc191977163"/>
      <w:r>
        <w:rPr>
          <w:rFonts w:hint="eastAsia"/>
        </w:rPr>
        <w:t>消防设施</w:t>
      </w:r>
      <w:bookmarkEnd w:id="69"/>
    </w:p>
    <w:p w14:paraId="4F93E99C">
      <w:pPr>
        <w:pStyle w:val="165"/>
      </w:pPr>
      <w:r>
        <w:rPr>
          <w:rFonts w:hint="eastAsia"/>
        </w:rPr>
        <w:t>消防设施设置应符合GB 50016、GB 55036的规定。</w:t>
      </w:r>
    </w:p>
    <w:p w14:paraId="2362AA36">
      <w:pPr>
        <w:pStyle w:val="165"/>
      </w:pPr>
      <w:r>
        <w:rPr>
          <w:rFonts w:hint="eastAsia"/>
        </w:rPr>
        <w:t>消防安全疏散标志的设置、管理和维护符合GB 15630的规定。</w:t>
      </w:r>
    </w:p>
    <w:p w14:paraId="4480516C">
      <w:pPr>
        <w:pStyle w:val="66"/>
        <w:spacing w:before="156" w:after="156"/>
      </w:pPr>
      <w:bookmarkStart w:id="70" w:name="_Toc191977164"/>
      <w:r>
        <w:rPr>
          <w:rFonts w:hint="eastAsia"/>
        </w:rPr>
        <w:t>环保设施</w:t>
      </w:r>
      <w:bookmarkEnd w:id="70"/>
    </w:p>
    <w:p w14:paraId="23CE07B4">
      <w:pPr>
        <w:pStyle w:val="165"/>
      </w:pPr>
      <w:r>
        <w:rPr>
          <w:rFonts w:hint="eastAsia"/>
        </w:rPr>
        <w:t>应按照“同时设计、同时施工、同时投产使用”的要求，建设配套的环境保护设施。</w:t>
      </w:r>
    </w:p>
    <w:p w14:paraId="5389E15F">
      <w:pPr>
        <w:pStyle w:val="165"/>
      </w:pPr>
      <w:r>
        <w:rPr>
          <w:rFonts w:hint="eastAsia"/>
        </w:rPr>
        <w:t>宜优先选用先进有效的污染治理技术和设备，确保污染物稳定达标排放。</w:t>
      </w:r>
    </w:p>
    <w:p w14:paraId="5B7C4401">
      <w:pPr>
        <w:pStyle w:val="165"/>
      </w:pPr>
      <w:r>
        <w:rPr>
          <w:rFonts w:hint="eastAsia"/>
        </w:rPr>
        <w:t>应根据需要建设集中污废水处理站、污废水收集管网、一般工业固体废物和危险废物集中处置设施、生活垃圾集中处理设施以及废气集中处理设施。</w:t>
      </w:r>
    </w:p>
    <w:p w14:paraId="6C5CC810">
      <w:pPr>
        <w:pStyle w:val="165"/>
      </w:pPr>
      <w:r>
        <w:rPr>
          <w:rFonts w:hint="eastAsia"/>
        </w:rPr>
        <w:t>应建立废水、废气等排放口在线监测系统，及时对基地的环境质量进行监测，确保废水、废气排放分别符合GB 8978、GB 16297的规定。</w:t>
      </w:r>
    </w:p>
    <w:p w14:paraId="79984F24">
      <w:pPr>
        <w:pStyle w:val="165"/>
      </w:pPr>
      <w:r>
        <w:rPr>
          <w:rFonts w:hint="eastAsia"/>
        </w:rPr>
        <w:t>危险废物收集、贮存、运输应符合HJ 2025的规定。</w:t>
      </w:r>
    </w:p>
    <w:p w14:paraId="79576E8A">
      <w:pPr>
        <w:pStyle w:val="66"/>
        <w:spacing w:before="156" w:after="156"/>
      </w:pPr>
      <w:bookmarkStart w:id="71" w:name="_Toc191977165"/>
      <w:r>
        <w:rPr>
          <w:rFonts w:hint="eastAsia"/>
        </w:rPr>
        <w:t>智慧设施</w:t>
      </w:r>
      <w:bookmarkEnd w:id="71"/>
    </w:p>
    <w:p w14:paraId="5971D123">
      <w:pPr>
        <w:pStyle w:val="165"/>
      </w:pPr>
      <w:r>
        <w:rPr>
          <w:rFonts w:hint="eastAsia"/>
        </w:rPr>
        <w:t>应实现5G全覆盖，提升网络供给能力，满足“5G+工业互联网”的建设及应用需求。</w:t>
      </w:r>
    </w:p>
    <w:p w14:paraId="1BC42296">
      <w:pPr>
        <w:pStyle w:val="165"/>
      </w:pPr>
      <w:r>
        <w:rPr>
          <w:rFonts w:hint="eastAsia"/>
        </w:rPr>
        <w:t>充分利用物联网技术和移动应用提高现场管控能力，通过传感器、摄像头、手机等终端设备，实现对徽派预制菜全产业链条的实时监控、智能感知、数据采集和高效协同。</w:t>
      </w:r>
    </w:p>
    <w:p w14:paraId="0B987200">
      <w:pPr>
        <w:pStyle w:val="165"/>
      </w:pPr>
      <w:r>
        <w:rPr>
          <w:rFonts w:hint="eastAsia"/>
        </w:rPr>
        <w:t>建立覆盖基地的视频监控系统，利用智能高空瞭望和智能视频分析技术，对基地及企业重点安全监管区域、作业区域及人员行为进行监管，及时消除、整改影响基地安全的环境因素和人为因素。</w:t>
      </w:r>
    </w:p>
    <w:p w14:paraId="5E2CA4D5">
      <w:pPr>
        <w:pStyle w:val="165"/>
      </w:pPr>
      <w:r>
        <w:rPr>
          <w:rFonts w:hint="eastAsia"/>
        </w:rPr>
        <w:t>加强智慧监管平台数据接口标准化建设，大量接入基地企业在线监测数据、环保在线监测数据和监控视频，增强重点企业、场所风险隐患管控能力。</w:t>
      </w:r>
    </w:p>
    <w:p w14:paraId="6A947728">
      <w:pPr>
        <w:pStyle w:val="165"/>
      </w:pPr>
      <w:r>
        <w:rPr>
          <w:rFonts w:hint="eastAsia"/>
        </w:rPr>
        <w:t>建立统一的智慧化应用支撑平台，包括集成服务、物联网服务、大数据服务、人工智能服务、共享交换服务、标识解析服务、融合通信服务、地理信息服务、应用开发服务、统一运维服务等。</w:t>
      </w:r>
    </w:p>
    <w:p w14:paraId="3532E415">
      <w:pPr>
        <w:pStyle w:val="106"/>
        <w:spacing w:before="156" w:after="156"/>
        <w:rPr>
          <w:color w:val="000000" w:themeColor="text1"/>
          <w14:textFill>
            <w14:solidFill>
              <w14:schemeClr w14:val="tx1"/>
            </w14:solidFill>
          </w14:textFill>
        </w:rPr>
      </w:pPr>
      <w:bookmarkStart w:id="72" w:name="_Toc191977166"/>
      <w:bookmarkStart w:id="73" w:name="_Toc191977480"/>
      <w:r>
        <w:rPr>
          <w:rFonts w:hint="eastAsia"/>
          <w:color w:val="000000" w:themeColor="text1"/>
          <w14:textFill>
            <w14:solidFill>
              <w14:schemeClr w14:val="tx1"/>
            </w14:solidFill>
          </w14:textFill>
        </w:rPr>
        <w:t>生产加工区建设</w:t>
      </w:r>
      <w:bookmarkEnd w:id="72"/>
      <w:bookmarkEnd w:id="73"/>
    </w:p>
    <w:p w14:paraId="7A68D2F1">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建设与生产经营的徽派预制菜品种、数量相适应的食品生产加工厂房和车间。</w:t>
      </w:r>
    </w:p>
    <w:p w14:paraId="4F002CA4">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厂房和车间的设计布局、建筑内部结构与材料、设施与设备、卫生管理等应符合GB 14881的规定。</w:t>
      </w:r>
    </w:p>
    <w:p w14:paraId="53A204C6">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根据徽派预制菜类型和工艺特点，生产加工区还应分别符合畜禽屠宰、水产制品、速冻食品等相关良好生产规范、生产卫生规范等相关国家标准的规定。洁净用房建设应符合GB 50687的规定。</w:t>
      </w:r>
    </w:p>
    <w:p w14:paraId="29354289">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鼓励建设徽派预制菜智能工厂，实现徽派预制菜生产过程的自动化管理，并通过工艺和生产过程控制实现数字化管理。</w:t>
      </w:r>
    </w:p>
    <w:p w14:paraId="69B97A2A">
      <w:pPr>
        <w:pStyle w:val="105"/>
        <w:spacing w:before="312" w:after="312"/>
        <w:rPr>
          <w:color w:val="000000" w:themeColor="text1"/>
          <w14:textFill>
            <w14:solidFill>
              <w14:schemeClr w14:val="tx1"/>
            </w14:solidFill>
          </w14:textFill>
        </w:rPr>
      </w:pPr>
      <w:bookmarkStart w:id="74" w:name="_Toc191977167"/>
      <w:bookmarkStart w:id="75" w:name="_Toc191977481"/>
      <w:r>
        <w:rPr>
          <w:rFonts w:hint="eastAsia"/>
        </w:rPr>
        <w:t>服务基地建设</w:t>
      </w:r>
      <w:bookmarkEnd w:id="74"/>
      <w:bookmarkEnd w:id="75"/>
    </w:p>
    <w:p w14:paraId="2A2829E3">
      <w:pPr>
        <w:pStyle w:val="106"/>
        <w:spacing w:before="156" w:after="156"/>
        <w:rPr>
          <w:color w:val="000000" w:themeColor="text1"/>
          <w14:textFill>
            <w14:solidFill>
              <w14:schemeClr w14:val="tx1"/>
            </w14:solidFill>
          </w14:textFill>
        </w:rPr>
      </w:pPr>
      <w:bookmarkStart w:id="76" w:name="_Toc191977168"/>
      <w:bookmarkStart w:id="77" w:name="_Toc191977482"/>
      <w:r>
        <w:rPr>
          <w:rFonts w:hint="eastAsia"/>
          <w:color w:val="000000" w:themeColor="text1"/>
          <w14:textFill>
            <w14:solidFill>
              <w14:schemeClr w14:val="tx1"/>
            </w14:solidFill>
          </w14:textFill>
        </w:rPr>
        <w:t>检验检测</w:t>
      </w:r>
      <w:bookmarkEnd w:id="76"/>
      <w:bookmarkEnd w:id="77"/>
    </w:p>
    <w:p w14:paraId="0757E2E3">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应位于基地内相对独立且便于样品运输的区域，避免与其他生产区域产生交叉污染。同时，要考虑到与生产加工区的便捷联系，方便样品的快速送检和结果反馈。</w:t>
      </w:r>
    </w:p>
    <w:p w14:paraId="0008DDF9">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通过自建或引进检验检测机构，建设检验检测服务平台，服务能力满足基地徽派预制菜产业规模和检验检测项目需要。</w:t>
      </w:r>
    </w:p>
    <w:p w14:paraId="52B3B6C4">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检验检测实验室的设计和建设应符合GB/T 32146.3的规定。</w:t>
      </w:r>
    </w:p>
    <w:p w14:paraId="6DA88CD1">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检验检测实验室用电气设备符合GB 4793（所有部分）相关安全要求。</w:t>
      </w:r>
    </w:p>
    <w:p w14:paraId="4646FFE9">
      <w:pPr>
        <w:pStyle w:val="106"/>
        <w:spacing w:before="156" w:after="156"/>
        <w:rPr>
          <w:color w:val="000000" w:themeColor="text1"/>
          <w14:textFill>
            <w14:solidFill>
              <w14:schemeClr w14:val="tx1"/>
            </w14:solidFill>
          </w14:textFill>
        </w:rPr>
      </w:pPr>
      <w:bookmarkStart w:id="78" w:name="_Toc191977169"/>
      <w:bookmarkStart w:id="79" w:name="_Toc191977483"/>
      <w:r>
        <w:rPr>
          <w:rFonts w:hint="eastAsia"/>
          <w:color w:val="000000" w:themeColor="text1"/>
          <w14:textFill>
            <w14:solidFill>
              <w14:schemeClr w14:val="tx1"/>
            </w14:solidFill>
          </w14:textFill>
        </w:rPr>
        <w:t>仓储物流</w:t>
      </w:r>
      <w:bookmarkEnd w:id="78"/>
      <w:bookmarkEnd w:id="79"/>
    </w:p>
    <w:p w14:paraId="75737AB1">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应根据不同的徽派预制菜产品特性设置相应的专业仓库，包括常温库、冷藏库和冷冻库。常温库建设应符合GB 31621、GB 14881的规定。冷藏库和冷冻库建设还应符合GB 51440、GB 50072的规定。</w:t>
      </w:r>
    </w:p>
    <w:p w14:paraId="2FA3F916">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根据基地企业的物流需求、徽派预制菜产品流通规模，确定物流设施布局和建设规模，冷藏、冷冻类徽派预制菜物流设置还应符合GB 31605、GB/T 24616的规定。</w:t>
      </w:r>
    </w:p>
    <w:p w14:paraId="38105669">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宜建设物流服务商务平台，与快递、物流企业实现数据互联互通，实现全流程物流跟踪。可根据基地实际情况，建设冷链物流的追溯管理平台，符合GB/T 28843的规定。</w:t>
      </w:r>
    </w:p>
    <w:p w14:paraId="62944B65">
      <w:pPr>
        <w:pStyle w:val="106"/>
        <w:spacing w:before="156" w:after="156"/>
        <w:rPr>
          <w:color w:val="000000" w:themeColor="text1"/>
          <w14:textFill>
            <w14:solidFill>
              <w14:schemeClr w14:val="tx1"/>
            </w14:solidFill>
          </w14:textFill>
        </w:rPr>
      </w:pPr>
      <w:bookmarkStart w:id="80" w:name="_Toc191977170"/>
      <w:bookmarkStart w:id="81" w:name="_Toc191977484"/>
      <w:r>
        <w:rPr>
          <w:rFonts w:hint="eastAsia"/>
          <w:color w:val="000000" w:themeColor="text1"/>
          <w14:textFill>
            <w14:solidFill>
              <w14:schemeClr w14:val="tx1"/>
            </w14:solidFill>
          </w14:textFill>
        </w:rPr>
        <w:t>科研创新</w:t>
      </w:r>
      <w:bookmarkEnd w:id="80"/>
      <w:bookmarkEnd w:id="81"/>
    </w:p>
    <w:p w14:paraId="501AD291">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建立徽派预制菜产品研发中心，配备徽派预制菜科学研究、生产加工技术研发、技术创新及产品开发等所需的设施设备。</w:t>
      </w:r>
    </w:p>
    <w:p w14:paraId="1047975B">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制定优惠政策，吸引国内外食品科学、生物技术、营养学等领域的高端人才和专家团队入驻科研创新区，组建科技团队。</w:t>
      </w:r>
    </w:p>
    <w:p w14:paraId="1FF117F5">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建立科研学术交流平台，与高校、科研院所、行业协会等建立合作关系，开展产学研合作，共同培养和引进优秀人才。</w:t>
      </w:r>
    </w:p>
    <w:p w14:paraId="756D19E4">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建立科技成果展示交易平台、技术转移中心等成果转化平台，为企业和科研机构提供交流合作的渠道。</w:t>
      </w:r>
    </w:p>
    <w:p w14:paraId="690CC85A">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建立科技资源共享平台，为基地企业提供信息知识、科技标准等资源服务。</w:t>
      </w:r>
    </w:p>
    <w:p w14:paraId="1619D306">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建立知识产权服务平台，建立或引进商标、专利等服务机构，提升徽派预制菜知识产权创造、运用、保护、管理和服务水平。</w:t>
      </w:r>
    </w:p>
    <w:p w14:paraId="4F4FE94B">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关注新兴技术在徽派预制菜产业的应用，如人工智能、大数据、区块链等，探索徽派预制菜产业的数字化转型和智能化升级。</w:t>
      </w:r>
    </w:p>
    <w:p w14:paraId="4E9122DC">
      <w:pPr>
        <w:pStyle w:val="106"/>
        <w:spacing w:before="156" w:after="156"/>
        <w:rPr>
          <w:color w:val="000000" w:themeColor="text1"/>
          <w14:textFill>
            <w14:solidFill>
              <w14:schemeClr w14:val="tx1"/>
            </w14:solidFill>
          </w14:textFill>
        </w:rPr>
      </w:pPr>
      <w:bookmarkStart w:id="82" w:name="_Toc191977171"/>
      <w:bookmarkStart w:id="83" w:name="_Toc191977485"/>
      <w:r>
        <w:rPr>
          <w:rFonts w:hint="eastAsia"/>
          <w:color w:val="000000" w:themeColor="text1"/>
          <w14:textFill>
            <w14:solidFill>
              <w14:schemeClr w14:val="tx1"/>
            </w14:solidFill>
          </w14:textFill>
        </w:rPr>
        <w:t>展示销售</w:t>
      </w:r>
      <w:bookmarkEnd w:id="82"/>
      <w:bookmarkEnd w:id="83"/>
    </w:p>
    <w:p w14:paraId="1AA15747">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应设置产品展示区，集中展示具有特色的徽派预制菜产品，包括各种口味、类型和包装形式。</w:t>
      </w:r>
    </w:p>
    <w:p w14:paraId="6899A3BF">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应设置文化展示区，运用实物、文字、图片、视频、音频、动画等多种形式，展示徽派预制菜的起源、发展历程、地域特色等内容。</w:t>
      </w:r>
    </w:p>
    <w:p w14:paraId="3B20F34D">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应设置产品销售区，专门负责徽派预制菜销售产品等信息发布、接单、发货、售后服务等。</w:t>
      </w:r>
    </w:p>
    <w:p w14:paraId="1238E281">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可设置电子商务平台，平台入驻商应符合GB/T 35409的规定，平台运营应符合GB/T 31524的规定。</w:t>
      </w:r>
    </w:p>
    <w:p w14:paraId="10392E60">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可设置徽派预制菜互动体验区，配置相应的体验设施设备，如厨房用具、烹饪设备、食材储存设备等。</w:t>
      </w:r>
    </w:p>
    <w:p w14:paraId="337B8804">
      <w:pPr>
        <w:pStyle w:val="106"/>
        <w:spacing w:before="156" w:after="156"/>
        <w:rPr>
          <w:color w:val="000000" w:themeColor="text1"/>
          <w14:textFill>
            <w14:solidFill>
              <w14:schemeClr w14:val="tx1"/>
            </w14:solidFill>
          </w14:textFill>
        </w:rPr>
      </w:pPr>
      <w:bookmarkStart w:id="84" w:name="_Toc191977172"/>
      <w:bookmarkStart w:id="85" w:name="_Toc191977486"/>
      <w:r>
        <w:rPr>
          <w:rFonts w:hint="eastAsia"/>
          <w:color w:val="000000" w:themeColor="text1"/>
          <w14:textFill>
            <w14:solidFill>
              <w14:schemeClr w14:val="tx1"/>
            </w14:solidFill>
          </w14:textFill>
        </w:rPr>
        <w:t>生活服务</w:t>
      </w:r>
      <w:bookmarkEnd w:id="84"/>
      <w:bookmarkEnd w:id="85"/>
    </w:p>
    <w:p w14:paraId="5DB799C8">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公寓、食堂及其它生活设施等生活区应与与生产加工区的距离在25m以上。</w:t>
      </w:r>
    </w:p>
    <w:p w14:paraId="5F975E61">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可参照GB 55025的规定，建设不同档次的人才公寓、员工公寓，满足多元需求。</w:t>
      </w:r>
    </w:p>
    <w:p w14:paraId="7BFE96E8">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建设托育中心、教育培训机构、医疗机构、商超影院、文化馆、图书馆等公共服务设施。</w:t>
      </w:r>
    </w:p>
    <w:p w14:paraId="7DE510E4">
      <w:pPr>
        <w:pStyle w:val="106"/>
        <w:spacing w:before="156" w:after="156"/>
        <w:rPr>
          <w:color w:val="000000" w:themeColor="text1"/>
          <w14:textFill>
            <w14:solidFill>
              <w14:schemeClr w14:val="tx1"/>
            </w14:solidFill>
          </w14:textFill>
        </w:rPr>
      </w:pPr>
      <w:bookmarkStart w:id="86" w:name="_Toc191977173"/>
      <w:bookmarkStart w:id="87" w:name="_Toc191977487"/>
      <w:r>
        <w:rPr>
          <w:rFonts w:hint="eastAsia"/>
          <w:color w:val="000000" w:themeColor="text1"/>
          <w14:textFill>
            <w14:solidFill>
              <w14:schemeClr w14:val="tx1"/>
            </w14:solidFill>
          </w14:textFill>
        </w:rPr>
        <w:t>综合管理</w:t>
      </w:r>
      <w:bookmarkEnd w:id="86"/>
      <w:bookmarkEnd w:id="87"/>
    </w:p>
    <w:p w14:paraId="6DF2CA18">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基地应明确管理和运营机构，具备安全生产、环境保护、应急救援等方面管理人员和力量，并与政府主管部门进行工作联动。</w:t>
      </w:r>
    </w:p>
    <w:p w14:paraId="42282E29">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应根据基地总体规划、功能分区和主要产品分类，建立满足突发生产安全事故、突发环境事件等情形下应急处置需求的体系、预案、平台和专职应急救援队伍，配备符合相关国家标准、行业标准要求的人员和装备，采取自建、共建、委托服务的方式，配套建设安全技能实训。</w:t>
      </w:r>
    </w:p>
    <w:p w14:paraId="2E896DE4">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应分区实行封闭化管理，建立门禁系统和视频监控系统，对物料、人员、车辆进出实施全过程监管。</w:t>
      </w:r>
    </w:p>
    <w:p w14:paraId="01B28DED">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应根据自身规模和产业结构需要，建立完善的安全生产和生态环境的监测监控和风险预警体系，相关监测监控数据应接入所在地监测预警系统。</w:t>
      </w:r>
    </w:p>
    <w:p w14:paraId="6A1A6C5A">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基地管理运营机构应按照有关规定开展基地对外危险货物运输风险论证等工作。</w:t>
      </w:r>
    </w:p>
    <w:p w14:paraId="4E3FF26C">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基地管理运营机构应与当地综合审批部门实现联动，设置绿色通道或者在基地设立服务窗口，为基地企业提供各类许可或审批服务。</w:t>
      </w:r>
    </w:p>
    <w:p w14:paraId="2972E4BF">
      <w:pPr>
        <w:pStyle w:val="57"/>
        <w:ind w:firstLine="420"/>
        <w:jc w:val="center"/>
      </w:pPr>
      <w:bookmarkStart w:id="88" w:name="BookMark8"/>
      <w:r>
        <w:rPr>
          <w:color w:val="000000" w:themeColor="text1"/>
          <w14:textFill>
            <w14:solidFill>
              <w14:schemeClr w14:val="tx1"/>
            </w14:solidFill>
          </w14:textFill>
        </w:rPr>
        <w:drawing>
          <wp:inline distT="0" distB="0" distL="0" distR="0">
            <wp:extent cx="1485900" cy="213995"/>
            <wp:effectExtent l="0" t="0" r="0" b="14605"/>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9">
                      <a:extLst>
                        <a:ext uri="{28A0092B-C50C-407E-A947-70E740481C1C}">
                          <a14:useLocalDpi xmlns:a14="http://schemas.microsoft.com/office/drawing/2010/main" val="0"/>
                        </a:ext>
                      </a:extLst>
                    </a:blip>
                    <a:stretch>
                      <a:fillRect/>
                    </a:stretch>
                  </pic:blipFill>
                  <pic:spPr>
                    <a:xfrm>
                      <a:off x="0" y="0"/>
                      <a:ext cx="1485900" cy="213995"/>
                    </a:xfrm>
                    <a:prstGeom prst="rect">
                      <a:avLst/>
                    </a:prstGeom>
                  </pic:spPr>
                </pic:pic>
              </a:graphicData>
            </a:graphic>
          </wp:inline>
        </w:drawing>
      </w:r>
      <w:bookmarkEnd w:id="27"/>
      <w:bookmarkEnd w:id="31"/>
      <w:bookmarkEnd w:id="32"/>
      <w:bookmarkEnd w:id="33"/>
      <w:bookmarkEnd w:id="34"/>
      <w:bookmarkEnd w:id="35"/>
      <w:bookmarkEnd w:id="36"/>
      <w:bookmarkEnd w:id="37"/>
      <w:bookmarkEnd w:id="38"/>
      <w:bookmarkEnd w:id="39"/>
      <w:bookmarkEnd w:id="40"/>
      <w:bookmarkEnd w:id="88"/>
    </w:p>
    <w:sectPr>
      <w:headerReference r:id="rId23" w:type="default"/>
      <w:footerReference r:id="rId25" w:type="default"/>
      <w:headerReference r:id="rId24" w:type="even"/>
      <w:footerReference r:id="rId26" w:type="even"/>
      <w:pgSz w:w="11906" w:h="16838"/>
      <w:pgMar w:top="567"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等线">
    <w:altName w:val="Arial Unicode MS"/>
    <w:panose1 w:val="00000000000000000000"/>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Light">
    <w:altName w:val="宋体"/>
    <w:panose1 w:val="00000000000000000000"/>
    <w:charset w:val="86"/>
    <w:family w:val="auto"/>
    <w:pitch w:val="default"/>
    <w:sig w:usb0="00000000" w:usb1="00000000" w:usb2="00000016" w:usb3="00000000" w:csb0="0004000F" w:csb1="00000000"/>
  </w:font>
  <w:font w:name="等线">
    <w:altName w:val="Arial Unicode M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E2A7A">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CF368">
    <w:pPr>
      <w:pStyle w:val="53"/>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FFBDC">
    <w:pPr>
      <w:pStyle w:val="52"/>
    </w:pPr>
    <w:r>
      <w:fldChar w:fldCharType="begin"/>
    </w:r>
    <w:r>
      <w:instrText xml:space="preserve"> PAGE   \* MERGEFORMAT \* MERGEFORMAT </w:instrText>
    </w:r>
    <w:r>
      <w:fldChar w:fldCharType="separate"/>
    </w:r>
    <w: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1B89F">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C3697">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F3B7C">
    <w:pPr>
      <w:pStyle w:val="53"/>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EDEDB7">
    <w:pPr>
      <w:pStyle w:val="52"/>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4C90A0">
    <w:pPr>
      <w:pStyle w:val="53"/>
    </w:pPr>
    <w:r>
      <w:fldChar w:fldCharType="begin"/>
    </w:r>
    <w:r>
      <w:instrText xml:space="preserve">PAGE   \* MERGEFORMAT</w:instrText>
    </w:r>
    <w:r>
      <w:fldChar w:fldCharType="separate"/>
    </w:r>
    <w:r>
      <w:rPr>
        <w:lang w:val="zh-CN"/>
      </w:rPr>
      <w:t>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FC9EA3">
    <w:pPr>
      <w:pStyle w:val="52"/>
    </w:pPr>
    <w:r>
      <w:fldChar w:fldCharType="begin"/>
    </w:r>
    <w:r>
      <w:instrText xml:space="preserve"> PAGE   \* MERGEFORMAT \* MERGEFORMAT </w:instrText>
    </w:r>
    <w:r>
      <w:fldChar w:fldCharType="separate"/>
    </w:r>
    <w: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CB3337">
    <w:pPr>
      <w:pStyle w:val="53"/>
    </w:pPr>
    <w:r>
      <w:fldChar w:fldCharType="begin"/>
    </w:r>
    <w:r>
      <w:instrText xml:space="preserve">PAGE   \* MERGEFORMAT</w:instrText>
    </w:r>
    <w:r>
      <w:fldChar w:fldCharType="separate"/>
    </w:r>
    <w:r>
      <w:rPr>
        <w:lang w:val="zh-CN"/>
      </w:rPr>
      <w:t>III</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F0DE8">
    <w:pPr>
      <w:pStyle w:val="52"/>
    </w:pPr>
    <w:r>
      <w:fldChar w:fldCharType="begin"/>
    </w:r>
    <w:r>
      <w:instrText xml:space="preserve"> PAGE   \* MERGEFORMAT \* MERGEFORMAT </w:instrText>
    </w:r>
    <w:r>
      <w:fldChar w:fldCharType="separate"/>
    </w:r>
    <w:r>
      <w:t>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AB8565">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717B1D">
    <w:pPr>
      <w:pStyle w:val="62"/>
    </w:pPr>
    <w:r>
      <w:fldChar w:fldCharType="begin"/>
    </w:r>
    <w:r>
      <w:instrText xml:space="preserve"> STYLEREF  标准文件_文件编号  \* MERGEFORMAT </w:instrText>
    </w:r>
    <w:r>
      <w:fldChar w:fldCharType="separate"/>
    </w:r>
    <w:r>
      <w:t>DB 34/T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74B23">
    <w:pPr>
      <w:pStyle w:val="63"/>
    </w:pPr>
    <w:r>
      <w:fldChar w:fldCharType="begin"/>
    </w:r>
    <w:r>
      <w:instrText xml:space="preserve"> STYLEREF  标准文件_文件编号 \* MERGEFORMAT </w:instrText>
    </w:r>
    <w:r>
      <w:fldChar w:fldCharType="separate"/>
    </w:r>
    <w:r>
      <w:t>DB 34/T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AAA53E">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66C53">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4C84F">
    <w:pPr>
      <w:pStyle w:val="62"/>
    </w:pPr>
    <w:r>
      <w:fldChar w:fldCharType="begin"/>
    </w:r>
    <w:r>
      <w:instrText xml:space="preserve"> STYLEREF  标准文件_文件编号  \* MERGEFORMAT </w:instrText>
    </w:r>
    <w:r>
      <w:fldChar w:fldCharType="separate"/>
    </w:r>
    <w:r>
      <w:t>DB 34/T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D4BA8">
    <w:pPr>
      <w:pStyle w:val="63"/>
    </w:pPr>
    <w:r>
      <w:fldChar w:fldCharType="begin"/>
    </w:r>
    <w:r>
      <w:instrText xml:space="preserve"> STYLEREF  标准文件_文件编号 \* MERGEFORMAT </w:instrText>
    </w:r>
    <w:r>
      <w:fldChar w:fldCharType="separate"/>
    </w:r>
    <w:r>
      <w:t>DB 34/T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07321">
    <w:pPr>
      <w:pStyle w:val="62"/>
    </w:pPr>
    <w:r>
      <w:fldChar w:fldCharType="begin"/>
    </w:r>
    <w:r>
      <w:instrText xml:space="preserve"> STYLEREF  标准文件_文件编号  \* MERGEFORMAT </w:instrText>
    </w:r>
    <w:r>
      <w:fldChar w:fldCharType="separate"/>
    </w:r>
    <w:r>
      <w:t>DB 34/T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A48729">
    <w:pPr>
      <w:pStyle w:val="63"/>
    </w:pPr>
    <w:r>
      <w:fldChar w:fldCharType="begin"/>
    </w:r>
    <w:r>
      <w:instrText xml:space="preserve"> STYLEREF  标准文件_文件编号 \* MERGEFORMAT </w:instrText>
    </w:r>
    <w:r>
      <w:fldChar w:fldCharType="separate"/>
    </w:r>
    <w:r>
      <w:t>DB 34/T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286A3B">
    <w:pPr>
      <w:pStyle w:val="62"/>
    </w:pPr>
    <w:r>
      <w:fldChar w:fldCharType="begin"/>
    </w:r>
    <w:r>
      <w:instrText xml:space="preserve"> STYLEREF  标准文件_文件编号  \* MERGEFORMAT </w:instrText>
    </w:r>
    <w:r>
      <w:fldChar w:fldCharType="separate"/>
    </w:r>
    <w:r>
      <w:t>DB 34/T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032AB3">
    <w:pPr>
      <w:pStyle w:val="63"/>
    </w:pPr>
    <w:r>
      <w:fldChar w:fldCharType="begin"/>
    </w:r>
    <w:r>
      <w:instrText xml:space="preserve"> STYLEREF  标准文件_文件编号 \* MERGEFORMAT </w:instrText>
    </w:r>
    <w:r>
      <w:fldChar w:fldCharType="separate"/>
    </w:r>
    <w:r>
      <w:t>DB 34/T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attachedTemplate r:id="rId1"/>
  <w:documentProtection w:edit="forms" w:enforcement="1" w:cryptProviderType="rsaAES" w:cryptAlgorithmClass="hash" w:cryptAlgorithmType="typeAny" w:cryptAlgorithmSid="14" w:cryptSpinCount="100000" w:hash="ZPiqDqiyncU2lAMupFehq8jAUkfGcbdHTwZTZjVPzvfvZmcLXuYw9YiRs4PaqM+LAEpO4kK2LrP2kB1bpR7KMQ==" w:salt="qCW1yFgibizGyEYbScWNIA=="/>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Y4ZmE2YTc4NjM1MDMzN2RhNjg3MTUyMWZmZWZjOGMifQ=="/>
  </w:docVars>
  <w:rsids>
    <w:rsidRoot w:val="00BA235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2C78"/>
    <w:rsid w:val="000331D3"/>
    <w:rsid w:val="000346A5"/>
    <w:rsid w:val="000359C3"/>
    <w:rsid w:val="00035A7D"/>
    <w:rsid w:val="000365ED"/>
    <w:rsid w:val="00036B78"/>
    <w:rsid w:val="0004249A"/>
    <w:rsid w:val="00043282"/>
    <w:rsid w:val="00044286"/>
    <w:rsid w:val="00044594"/>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3A8B"/>
    <w:rsid w:val="00067F1E"/>
    <w:rsid w:val="00071CC0"/>
    <w:rsid w:val="00073C8C"/>
    <w:rsid w:val="00077B64"/>
    <w:rsid w:val="00080A1C"/>
    <w:rsid w:val="00082317"/>
    <w:rsid w:val="00083D2C"/>
    <w:rsid w:val="00086AA1"/>
    <w:rsid w:val="00087A77"/>
    <w:rsid w:val="00090CA6"/>
    <w:rsid w:val="00091E30"/>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4867"/>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111F"/>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3851"/>
    <w:rsid w:val="002040E6"/>
    <w:rsid w:val="0020527B"/>
    <w:rsid w:val="00205F2C"/>
    <w:rsid w:val="00210B15"/>
    <w:rsid w:val="002142EA"/>
    <w:rsid w:val="002204BB"/>
    <w:rsid w:val="002217F9"/>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CD8"/>
    <w:rsid w:val="002B7F51"/>
    <w:rsid w:val="002C09E7"/>
    <w:rsid w:val="002C1E06"/>
    <w:rsid w:val="002C1E1C"/>
    <w:rsid w:val="002C3F07"/>
    <w:rsid w:val="002C5278"/>
    <w:rsid w:val="002C7EBB"/>
    <w:rsid w:val="002D06C1"/>
    <w:rsid w:val="002D42B5"/>
    <w:rsid w:val="002D4F1A"/>
    <w:rsid w:val="002D6EC6"/>
    <w:rsid w:val="002D79AC"/>
    <w:rsid w:val="002E0223"/>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4CFC"/>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1EDC"/>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60D"/>
    <w:rsid w:val="004A17E6"/>
    <w:rsid w:val="004A1BA8"/>
    <w:rsid w:val="004A4B57"/>
    <w:rsid w:val="004A63FA"/>
    <w:rsid w:val="004B0272"/>
    <w:rsid w:val="004B2701"/>
    <w:rsid w:val="004B2E1B"/>
    <w:rsid w:val="004B3AA8"/>
    <w:rsid w:val="004B3E93"/>
    <w:rsid w:val="004C1FBC"/>
    <w:rsid w:val="004C3F1D"/>
    <w:rsid w:val="004C458D"/>
    <w:rsid w:val="004C4D6C"/>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7C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0E73"/>
    <w:rsid w:val="006252D8"/>
    <w:rsid w:val="006252EF"/>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739C"/>
    <w:rsid w:val="00672060"/>
    <w:rsid w:val="00672BFD"/>
    <w:rsid w:val="006770F4"/>
    <w:rsid w:val="00677A84"/>
    <w:rsid w:val="0068026D"/>
    <w:rsid w:val="00680A27"/>
    <w:rsid w:val="006816A4"/>
    <w:rsid w:val="006819B8"/>
    <w:rsid w:val="00681DA6"/>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00AB"/>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2ADB"/>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4820"/>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5616"/>
    <w:rsid w:val="009429D5"/>
    <w:rsid w:val="00942BF1"/>
    <w:rsid w:val="00945180"/>
    <w:rsid w:val="00945428"/>
    <w:rsid w:val="0094607B"/>
    <w:rsid w:val="00953604"/>
    <w:rsid w:val="0095496B"/>
    <w:rsid w:val="009610DC"/>
    <w:rsid w:val="00961490"/>
    <w:rsid w:val="0096381A"/>
    <w:rsid w:val="00965E04"/>
    <w:rsid w:val="009674AD"/>
    <w:rsid w:val="00970CDC"/>
    <w:rsid w:val="00974CF0"/>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1DAA"/>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194A"/>
    <w:rsid w:val="00AE37E5"/>
    <w:rsid w:val="00AE5EB4"/>
    <w:rsid w:val="00AE7668"/>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35C"/>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010C"/>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C9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424A"/>
    <w:rsid w:val="00CB517D"/>
    <w:rsid w:val="00CB783A"/>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2D4B"/>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789"/>
    <w:rsid w:val="00DB38EE"/>
    <w:rsid w:val="00DB3C79"/>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2FDC"/>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020"/>
    <w:rsid w:val="00FC55B4"/>
    <w:rsid w:val="00FD00E6"/>
    <w:rsid w:val="00FD09A1"/>
    <w:rsid w:val="00FD2A7C"/>
    <w:rsid w:val="00FD59EB"/>
    <w:rsid w:val="00FD7299"/>
    <w:rsid w:val="00FE1FBE"/>
    <w:rsid w:val="00FE3901"/>
    <w:rsid w:val="00FE39D3"/>
    <w:rsid w:val="00FE4BCE"/>
    <w:rsid w:val="00FE54AE"/>
    <w:rsid w:val="00FE576A"/>
    <w:rsid w:val="00FE7E79"/>
    <w:rsid w:val="00FF3519"/>
    <w:rsid w:val="00FF3E7D"/>
    <w:rsid w:val="00FF5B99"/>
    <w:rsid w:val="00FF730C"/>
    <w:rsid w:val="00FF73F4"/>
    <w:rsid w:val="00FF7CE4"/>
    <w:rsid w:val="00FF7E39"/>
    <w:rsid w:val="0116106E"/>
    <w:rsid w:val="03457CFC"/>
    <w:rsid w:val="057F0818"/>
    <w:rsid w:val="05CA388D"/>
    <w:rsid w:val="07305249"/>
    <w:rsid w:val="08372998"/>
    <w:rsid w:val="09612510"/>
    <w:rsid w:val="0C267A02"/>
    <w:rsid w:val="19170796"/>
    <w:rsid w:val="1EC367AA"/>
    <w:rsid w:val="2009572C"/>
    <w:rsid w:val="23155FFD"/>
    <w:rsid w:val="243C43AB"/>
    <w:rsid w:val="255A72E3"/>
    <w:rsid w:val="261C5BAE"/>
    <w:rsid w:val="263C4950"/>
    <w:rsid w:val="26492676"/>
    <w:rsid w:val="296413A7"/>
    <w:rsid w:val="2AD06704"/>
    <w:rsid w:val="33B55001"/>
    <w:rsid w:val="35297633"/>
    <w:rsid w:val="35E7509A"/>
    <w:rsid w:val="37F47EA3"/>
    <w:rsid w:val="38BC006B"/>
    <w:rsid w:val="39AC5891"/>
    <w:rsid w:val="3BF54E9D"/>
    <w:rsid w:val="41A5138A"/>
    <w:rsid w:val="41EB6656"/>
    <w:rsid w:val="45100B89"/>
    <w:rsid w:val="45C15336"/>
    <w:rsid w:val="45E71F71"/>
    <w:rsid w:val="46315FB4"/>
    <w:rsid w:val="48FF0CB3"/>
    <w:rsid w:val="4B607E72"/>
    <w:rsid w:val="4D9A01DC"/>
    <w:rsid w:val="4F390A69"/>
    <w:rsid w:val="518507D6"/>
    <w:rsid w:val="55C15055"/>
    <w:rsid w:val="56460B48"/>
    <w:rsid w:val="56B55774"/>
    <w:rsid w:val="5EC75AA9"/>
    <w:rsid w:val="60D82044"/>
    <w:rsid w:val="65E120E1"/>
    <w:rsid w:val="6E441880"/>
    <w:rsid w:val="752A3F3D"/>
    <w:rsid w:val="7A616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8"/>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autoRedefine/>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7"/>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6"/>
    <w:autoRedefine/>
    <w:semiHidden/>
    <w:unhideWhenUsed/>
    <w:qFormat/>
    <w:uiPriority w:val="99"/>
    <w:rPr>
      <w:sz w:val="18"/>
      <w:szCs w:val="18"/>
    </w:rPr>
  </w:style>
  <w:style w:type="paragraph" w:styleId="17">
    <w:name w:val="footer"/>
    <w:basedOn w:val="1"/>
    <w:link w:val="45"/>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Normal (Web)"/>
    <w:basedOn w:val="1"/>
    <w:autoRedefine/>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autoRedefine/>
    <w:qFormat/>
    <w:uiPriority w:val="0"/>
    <w:pPr>
      <w:spacing w:before="240" w:after="60"/>
      <w:jc w:val="center"/>
      <w:outlineLvl w:val="0"/>
    </w:pPr>
    <w:rPr>
      <w:rFonts w:ascii="Arial" w:hAnsi="Arial" w:cs="Arial"/>
      <w:b/>
      <w:bCs/>
      <w:sz w:val="32"/>
      <w:szCs w:val="32"/>
    </w:rPr>
  </w:style>
  <w:style w:type="table" w:styleId="28">
    <w:name w:val="Table Grid"/>
    <w:basedOn w:val="2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autoRedefine/>
    <w:qFormat/>
    <w:uiPriority w:val="22"/>
    <w:rPr>
      <w:b/>
      <w:bCs/>
    </w:rPr>
  </w:style>
  <w:style w:type="character" w:styleId="31">
    <w:name w:val="page number"/>
    <w:autoRedefine/>
    <w:qFormat/>
    <w:uiPriority w:val="0"/>
    <w:rPr>
      <w:rFonts w:ascii="宋体" w:hAnsi="Times New Roman" w:eastAsia="宋体"/>
      <w:sz w:val="18"/>
    </w:rPr>
  </w:style>
  <w:style w:type="character" w:styleId="32">
    <w:name w:val="Emphasis"/>
    <w:autoRedefine/>
    <w:qFormat/>
    <w:uiPriority w:val="20"/>
    <w:rPr>
      <w:i/>
      <w:iCs/>
    </w:rPr>
  </w:style>
  <w:style w:type="character" w:styleId="33">
    <w:name w:val="Hyperlink"/>
    <w:autoRedefine/>
    <w:qFormat/>
    <w:uiPriority w:val="99"/>
    <w:rPr>
      <w:rFonts w:ascii="宋体" w:hAnsi="Times New Roman" w:eastAsia="宋体"/>
      <w:color w:val="auto"/>
      <w:spacing w:val="0"/>
      <w:w w:val="100"/>
      <w:position w:val="0"/>
      <w:sz w:val="21"/>
      <w:u w:val="none"/>
      <w:vertAlign w:val="baseline"/>
    </w:rPr>
  </w:style>
  <w:style w:type="character" w:styleId="34">
    <w:name w:val="footnote reference"/>
    <w:autoRedefine/>
    <w:semiHidden/>
    <w:qFormat/>
    <w:uiPriority w:val="0"/>
    <w:rPr>
      <w:rFonts w:ascii="宋体" w:hAnsi="宋体" w:eastAsia="宋体" w:cs="Times New Roman"/>
      <w:spacing w:val="0"/>
      <w:sz w:val="18"/>
      <w:vertAlign w:val="superscript"/>
    </w:rPr>
  </w:style>
  <w:style w:type="character" w:customStyle="1" w:styleId="35">
    <w:name w:val="标题 1 Char"/>
    <w:link w:val="2"/>
    <w:autoRedefine/>
    <w:qFormat/>
    <w:uiPriority w:val="0"/>
    <w:rPr>
      <w:rFonts w:ascii="Times New Roman" w:hAnsi="Times New Roman" w:eastAsia="宋体" w:cs="Times New Roman"/>
      <w:b/>
      <w:bCs/>
      <w:kern w:val="44"/>
      <w:sz w:val="44"/>
      <w:szCs w:val="44"/>
    </w:rPr>
  </w:style>
  <w:style w:type="character" w:customStyle="1" w:styleId="36">
    <w:name w:val="标题 2 Char"/>
    <w:link w:val="3"/>
    <w:autoRedefine/>
    <w:qFormat/>
    <w:uiPriority w:val="0"/>
    <w:rPr>
      <w:rFonts w:ascii="Arial" w:hAnsi="Arial" w:eastAsia="黑体" w:cs="Times New Roman"/>
      <w:b/>
      <w:bCs/>
      <w:sz w:val="32"/>
      <w:szCs w:val="32"/>
    </w:rPr>
  </w:style>
  <w:style w:type="character" w:customStyle="1" w:styleId="37">
    <w:name w:val="标题 3 Char"/>
    <w:link w:val="4"/>
    <w:autoRedefine/>
    <w:qFormat/>
    <w:uiPriority w:val="0"/>
    <w:rPr>
      <w:rFonts w:ascii="Times New Roman" w:hAnsi="Times New Roman" w:eastAsia="宋体" w:cs="Times New Roman"/>
      <w:b/>
      <w:bCs/>
      <w:sz w:val="32"/>
      <w:szCs w:val="32"/>
    </w:rPr>
  </w:style>
  <w:style w:type="character" w:customStyle="1" w:styleId="38">
    <w:name w:val="标题 4 Char"/>
    <w:link w:val="5"/>
    <w:autoRedefine/>
    <w:qFormat/>
    <w:uiPriority w:val="0"/>
    <w:rPr>
      <w:rFonts w:ascii="Arial" w:hAnsi="Arial" w:eastAsia="黑体" w:cs="Times New Roman"/>
      <w:b/>
      <w:bCs/>
      <w:sz w:val="28"/>
      <w:szCs w:val="28"/>
    </w:rPr>
  </w:style>
  <w:style w:type="character" w:customStyle="1" w:styleId="39">
    <w:name w:val="标题 5 Char"/>
    <w:link w:val="6"/>
    <w:autoRedefine/>
    <w:qFormat/>
    <w:uiPriority w:val="0"/>
    <w:rPr>
      <w:rFonts w:ascii="Times New Roman" w:hAnsi="Times New Roman" w:eastAsia="宋体" w:cs="Times New Roman"/>
      <w:b/>
      <w:bCs/>
      <w:sz w:val="28"/>
      <w:szCs w:val="28"/>
    </w:rPr>
  </w:style>
  <w:style w:type="character" w:customStyle="1" w:styleId="40">
    <w:name w:val="标题 6 Char"/>
    <w:link w:val="7"/>
    <w:autoRedefine/>
    <w:qFormat/>
    <w:uiPriority w:val="0"/>
    <w:rPr>
      <w:rFonts w:ascii="Arial" w:hAnsi="Arial" w:eastAsia="黑体" w:cs="Times New Roman"/>
      <w:b/>
      <w:bCs/>
      <w:sz w:val="24"/>
      <w:szCs w:val="24"/>
    </w:rPr>
  </w:style>
  <w:style w:type="character" w:customStyle="1" w:styleId="41">
    <w:name w:val="标题 7 Char"/>
    <w:link w:val="8"/>
    <w:autoRedefine/>
    <w:qFormat/>
    <w:uiPriority w:val="0"/>
    <w:rPr>
      <w:rFonts w:ascii="Times New Roman" w:hAnsi="Times New Roman" w:eastAsia="宋体" w:cs="Times New Roman"/>
      <w:b/>
      <w:bCs/>
      <w:sz w:val="24"/>
      <w:szCs w:val="24"/>
    </w:rPr>
  </w:style>
  <w:style w:type="character" w:customStyle="1" w:styleId="42">
    <w:name w:val="标题 8 Char"/>
    <w:link w:val="9"/>
    <w:autoRedefine/>
    <w:qFormat/>
    <w:uiPriority w:val="0"/>
    <w:rPr>
      <w:rFonts w:ascii="Arial" w:hAnsi="Arial" w:eastAsia="黑体" w:cs="Times New Roman"/>
      <w:sz w:val="24"/>
      <w:szCs w:val="24"/>
    </w:rPr>
  </w:style>
  <w:style w:type="character" w:customStyle="1" w:styleId="43">
    <w:name w:val="标题 9 Char"/>
    <w:link w:val="10"/>
    <w:autoRedefine/>
    <w:qFormat/>
    <w:uiPriority w:val="0"/>
    <w:rPr>
      <w:rFonts w:ascii="Arial" w:hAnsi="Arial" w:eastAsia="黑体" w:cs="Times New Roman"/>
      <w:szCs w:val="21"/>
    </w:rPr>
  </w:style>
  <w:style w:type="character" w:customStyle="1" w:styleId="44">
    <w:name w:val="页眉 Char"/>
    <w:link w:val="18"/>
    <w:autoRedefine/>
    <w:qFormat/>
    <w:uiPriority w:val="99"/>
    <w:rPr>
      <w:rFonts w:ascii="Times New Roman" w:hAnsi="Times New Roman" w:eastAsia="宋体" w:cs="Times New Roman"/>
      <w:sz w:val="18"/>
      <w:szCs w:val="18"/>
    </w:rPr>
  </w:style>
  <w:style w:type="character" w:customStyle="1" w:styleId="45">
    <w:name w:val="页脚 Char"/>
    <w:link w:val="17"/>
    <w:autoRedefine/>
    <w:qFormat/>
    <w:uiPriority w:val="99"/>
    <w:rPr>
      <w:rFonts w:ascii="宋体" w:hAnsi="Times New Roman" w:eastAsia="宋体" w:cs="Times New Roman"/>
      <w:sz w:val="18"/>
      <w:szCs w:val="18"/>
    </w:rPr>
  </w:style>
  <w:style w:type="character" w:customStyle="1" w:styleId="46">
    <w:name w:val="批注框文本 Char"/>
    <w:link w:val="16"/>
    <w:autoRedefine/>
    <w:semiHidden/>
    <w:qFormat/>
    <w:uiPriority w:val="99"/>
    <w:rPr>
      <w:sz w:val="18"/>
      <w:szCs w:val="18"/>
    </w:rPr>
  </w:style>
  <w:style w:type="paragraph" w:styleId="47">
    <w:name w:val="Quote"/>
    <w:basedOn w:val="1"/>
    <w:next w:val="1"/>
    <w:link w:val="48"/>
    <w:autoRedefine/>
    <w:qFormat/>
    <w:uiPriority w:val="29"/>
    <w:rPr>
      <w:i/>
      <w:iCs/>
      <w:color w:val="000000"/>
    </w:rPr>
  </w:style>
  <w:style w:type="character" w:customStyle="1" w:styleId="48">
    <w:name w:val="引用 Char"/>
    <w:link w:val="47"/>
    <w:autoRedefine/>
    <w:qFormat/>
    <w:uiPriority w:val="29"/>
    <w:rPr>
      <w:i/>
      <w:iCs/>
      <w:color w:val="000000"/>
    </w:rPr>
  </w:style>
  <w:style w:type="character" w:customStyle="1" w:styleId="49">
    <w:name w:val="标题 Char"/>
    <w:link w:val="26"/>
    <w:autoRedefine/>
    <w:qFormat/>
    <w:uiPriority w:val="0"/>
    <w:rPr>
      <w:rFonts w:ascii="Arial" w:hAnsi="Arial" w:eastAsia="宋体" w:cs="Arial"/>
      <w:b/>
      <w:bCs/>
      <w:sz w:val="32"/>
      <w:szCs w:val="32"/>
    </w:rPr>
  </w:style>
  <w:style w:type="paragraph" w:customStyle="1" w:styleId="50">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autoRedefine/>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autoRedefine/>
    <w:qFormat/>
    <w:uiPriority w:val="0"/>
    <w:pPr>
      <w:spacing w:line="0" w:lineRule="atLeast"/>
    </w:pPr>
    <w:rPr>
      <w:rFonts w:ascii="黑体" w:hAnsi="宋体" w:eastAsia="黑体"/>
    </w:rPr>
  </w:style>
  <w:style w:type="paragraph" w:customStyle="1" w:styleId="56">
    <w:name w:val="标准文件_标准正文"/>
    <w:basedOn w:val="1"/>
    <w:next w:val="57"/>
    <w:autoRedefine/>
    <w:qFormat/>
    <w:uiPriority w:val="0"/>
    <w:pPr>
      <w:snapToGrid w:val="0"/>
      <w:ind w:firstLine="200" w:firstLineChars="200"/>
    </w:pPr>
    <w:rPr>
      <w:kern w:val="0"/>
    </w:rPr>
  </w:style>
  <w:style w:type="paragraph" w:customStyle="1" w:styleId="57">
    <w:name w:val="标准文件_段"/>
    <w:link w:val="185"/>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autoRedefine/>
    <w:qFormat/>
    <w:uiPriority w:val="0"/>
    <w:pPr>
      <w:adjustRightInd/>
      <w:snapToGrid/>
      <w:ind w:firstLine="0" w:firstLineChars="0"/>
    </w:pPr>
    <w:rPr>
      <w:rFonts w:ascii="宋体" w:hAnsi="宋体"/>
      <w:kern w:val="2"/>
    </w:rPr>
  </w:style>
  <w:style w:type="paragraph" w:customStyle="1" w:styleId="59">
    <w:name w:val="标准文件_标准部门"/>
    <w:basedOn w:val="1"/>
    <w:autoRedefine/>
    <w:qFormat/>
    <w:uiPriority w:val="0"/>
    <w:pPr>
      <w:jc w:val="center"/>
    </w:pPr>
    <w:rPr>
      <w:rFonts w:ascii="黑体" w:eastAsia="黑体"/>
      <w:kern w:val="0"/>
      <w:sz w:val="44"/>
    </w:rPr>
  </w:style>
  <w:style w:type="paragraph" w:customStyle="1" w:styleId="60">
    <w:name w:val="标准文件_标准代替"/>
    <w:basedOn w:val="1"/>
    <w:next w:val="1"/>
    <w:autoRedefine/>
    <w:qFormat/>
    <w:uiPriority w:val="0"/>
    <w:pPr>
      <w:spacing w:line="310" w:lineRule="exact"/>
      <w:jc w:val="right"/>
    </w:pPr>
    <w:rPr>
      <w:rFonts w:ascii="宋体" w:hAnsi="宋体"/>
      <w:kern w:val="0"/>
    </w:rPr>
  </w:style>
  <w:style w:type="paragraph" w:customStyle="1" w:styleId="61">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autoRedefine/>
    <w:qFormat/>
    <w:uiPriority w:val="0"/>
    <w:pPr>
      <w:jc w:val="left"/>
    </w:pPr>
  </w:style>
  <w:style w:type="paragraph" w:customStyle="1" w:styleId="64">
    <w:name w:val="标准文件_参考文献标题"/>
    <w:basedOn w:val="1"/>
    <w:next w:val="1"/>
    <w:autoRedefine/>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5">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autoRedefine/>
    <w:qFormat/>
    <w:uiPriority w:val="0"/>
    <w:rPr>
      <w:rFonts w:ascii="黑体" w:eastAsia="黑体"/>
      <w:spacing w:val="0"/>
      <w:w w:val="100"/>
      <w:position w:val="3"/>
      <w:sz w:val="28"/>
    </w:rPr>
  </w:style>
  <w:style w:type="paragraph" w:customStyle="1" w:styleId="68">
    <w:name w:val="标准文件_方框数字列项"/>
    <w:basedOn w:val="57"/>
    <w:autoRedefine/>
    <w:qFormat/>
    <w:uiPriority w:val="0"/>
    <w:pPr>
      <w:numPr>
        <w:ilvl w:val="0"/>
        <w:numId w:val="3"/>
      </w:numPr>
      <w:ind w:firstLine="0" w:firstLineChars="0"/>
    </w:pPr>
  </w:style>
  <w:style w:type="paragraph" w:customStyle="1" w:styleId="69">
    <w:name w:val="标准文件_封面标准编号"/>
    <w:basedOn w:val="1"/>
    <w:next w:val="60"/>
    <w:autoRedefine/>
    <w:qFormat/>
    <w:uiPriority w:val="0"/>
    <w:pPr>
      <w:spacing w:line="310" w:lineRule="exact"/>
      <w:jc w:val="right"/>
    </w:pPr>
    <w:rPr>
      <w:rFonts w:ascii="黑体" w:eastAsia="黑体"/>
      <w:kern w:val="0"/>
      <w:sz w:val="28"/>
    </w:rPr>
  </w:style>
  <w:style w:type="paragraph" w:customStyle="1" w:styleId="70">
    <w:name w:val="标准文件_封面标准分类号"/>
    <w:basedOn w:val="1"/>
    <w:autoRedefine/>
    <w:qFormat/>
    <w:uiPriority w:val="0"/>
    <w:rPr>
      <w:rFonts w:ascii="黑体" w:eastAsia="黑体"/>
      <w:b/>
      <w:kern w:val="0"/>
      <w:sz w:val="28"/>
    </w:rPr>
  </w:style>
  <w:style w:type="paragraph" w:customStyle="1" w:styleId="71">
    <w:name w:val="标准文件_封面标准名称"/>
    <w:basedOn w:val="1"/>
    <w:autoRedefine/>
    <w:qFormat/>
    <w:uiPriority w:val="0"/>
    <w:pPr>
      <w:spacing w:line="240" w:lineRule="auto"/>
      <w:jc w:val="center"/>
    </w:pPr>
    <w:rPr>
      <w:rFonts w:ascii="黑体" w:eastAsia="黑体"/>
      <w:kern w:val="0"/>
      <w:sz w:val="52"/>
    </w:rPr>
  </w:style>
  <w:style w:type="paragraph" w:customStyle="1" w:styleId="72">
    <w:name w:val="标准文件_封面标准英文名称"/>
    <w:basedOn w:val="1"/>
    <w:autoRedefine/>
    <w:qFormat/>
    <w:uiPriority w:val="0"/>
    <w:pPr>
      <w:spacing w:line="240" w:lineRule="auto"/>
      <w:jc w:val="center"/>
    </w:pPr>
    <w:rPr>
      <w:rFonts w:ascii="黑体" w:eastAsia="黑体"/>
      <w:b/>
      <w:sz w:val="28"/>
    </w:rPr>
  </w:style>
  <w:style w:type="paragraph" w:customStyle="1" w:styleId="73">
    <w:name w:val="标准文件_封面发布日期"/>
    <w:basedOn w:val="1"/>
    <w:autoRedefine/>
    <w:qFormat/>
    <w:uiPriority w:val="0"/>
    <w:pPr>
      <w:spacing w:line="310" w:lineRule="exact"/>
    </w:pPr>
    <w:rPr>
      <w:rFonts w:ascii="黑体" w:eastAsia="黑体"/>
      <w:kern w:val="0"/>
      <w:sz w:val="28"/>
    </w:rPr>
  </w:style>
  <w:style w:type="paragraph" w:customStyle="1" w:styleId="74">
    <w:name w:val="标准文件_封面密级"/>
    <w:basedOn w:val="1"/>
    <w:autoRedefine/>
    <w:qFormat/>
    <w:uiPriority w:val="0"/>
    <w:rPr>
      <w:rFonts w:eastAsia="黑体"/>
      <w:sz w:val="32"/>
    </w:rPr>
  </w:style>
  <w:style w:type="paragraph" w:customStyle="1" w:styleId="75">
    <w:name w:val="标准文件_封面实施日期"/>
    <w:basedOn w:val="1"/>
    <w:autoRedefine/>
    <w:qFormat/>
    <w:uiPriority w:val="0"/>
    <w:pPr>
      <w:spacing w:line="310" w:lineRule="exact"/>
      <w:jc w:val="right"/>
    </w:pPr>
    <w:rPr>
      <w:rFonts w:ascii="黑体" w:eastAsia="黑体"/>
      <w:sz w:val="28"/>
    </w:rPr>
  </w:style>
  <w:style w:type="paragraph" w:customStyle="1" w:styleId="76">
    <w:name w:val="标准文件_封面抬头"/>
    <w:basedOn w:val="57"/>
    <w:autoRedefine/>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autoRedefine/>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autoRedefine/>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autoRedefine/>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autoRedefine/>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3"/>
    <w:autoRedefine/>
    <w:qFormat/>
    <w:uiPriority w:val="0"/>
    <w:rPr>
      <w:rFonts w:ascii="Times New Roman" w:hAnsi="Times New Roman" w:eastAsia="宋体" w:cs="Times New Roman"/>
      <w:szCs w:val="20"/>
    </w:rPr>
  </w:style>
  <w:style w:type="paragraph" w:customStyle="1" w:styleId="88">
    <w:name w:val="标准文件_附录章标题"/>
    <w:next w:val="57"/>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autoRedefine/>
    <w:qFormat/>
    <w:uiPriority w:val="0"/>
    <w:pPr>
      <w:ind w:left="488" w:leftChars="200" w:hanging="289" w:hangingChars="290"/>
    </w:pPr>
  </w:style>
  <w:style w:type="paragraph" w:customStyle="1" w:styleId="90">
    <w:name w:val="标准文件_前言、引言标题"/>
    <w:next w:val="1"/>
    <w:autoRedefine/>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autoRedefine/>
    <w:qFormat/>
    <w:uiPriority w:val="0"/>
    <w:pPr>
      <w:spacing w:line="460" w:lineRule="exact"/>
    </w:pPr>
  </w:style>
  <w:style w:type="paragraph" w:customStyle="1" w:styleId="92">
    <w:name w:val="标准文件_目录标题"/>
    <w:basedOn w:val="1"/>
    <w:autoRedefine/>
    <w:qFormat/>
    <w:uiPriority w:val="0"/>
    <w:pPr>
      <w:spacing w:after="150" w:afterLines="150" w:line="240" w:lineRule="auto"/>
      <w:jc w:val="center"/>
    </w:pPr>
    <w:rPr>
      <w:rFonts w:ascii="黑体" w:eastAsia="黑体"/>
      <w:sz w:val="32"/>
    </w:rPr>
  </w:style>
  <w:style w:type="paragraph" w:customStyle="1" w:styleId="93">
    <w:name w:val="标准文件_破折号列项"/>
    <w:autoRedefine/>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autoRedefine/>
    <w:qFormat/>
    <w:uiPriority w:val="0"/>
    <w:pPr>
      <w:numPr>
        <w:numId w:val="10"/>
      </w:numPr>
      <w:ind w:left="0" w:firstLine="200"/>
    </w:pPr>
  </w:style>
  <w:style w:type="paragraph" w:customStyle="1" w:styleId="95">
    <w:name w:val="标准文件_三级条标题"/>
    <w:basedOn w:val="66"/>
    <w:next w:val="57"/>
    <w:autoRedefine/>
    <w:qFormat/>
    <w:uiPriority w:val="0"/>
    <w:pPr>
      <w:widowControl/>
      <w:numPr>
        <w:ilvl w:val="4"/>
      </w:numPr>
      <w:outlineLvl w:val="3"/>
    </w:pPr>
  </w:style>
  <w:style w:type="character" w:customStyle="1" w:styleId="96">
    <w:name w:val="不明显参考1"/>
    <w:autoRedefine/>
    <w:qFormat/>
    <w:uiPriority w:val="31"/>
    <w:rPr>
      <w:smallCaps/>
      <w:color w:val="C0504D"/>
      <w:u w:val="single"/>
    </w:rPr>
  </w:style>
  <w:style w:type="paragraph" w:customStyle="1" w:styleId="97">
    <w:name w:val="标准文件_示例后续"/>
    <w:basedOn w:val="1"/>
    <w:autoRedefine/>
    <w:qFormat/>
    <w:uiPriority w:val="0"/>
    <w:pPr>
      <w:adjustRightInd/>
      <w:spacing w:line="240" w:lineRule="auto"/>
      <w:ind w:firstLine="200" w:firstLineChars="200"/>
    </w:pPr>
    <w:rPr>
      <w:sz w:val="18"/>
      <w:szCs w:val="24"/>
    </w:rPr>
  </w:style>
  <w:style w:type="paragraph" w:customStyle="1" w:styleId="98">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1"/>
    <w:autoRedefine/>
    <w:semiHidden/>
    <w:qFormat/>
    <w:uiPriority w:val="0"/>
    <w:rPr>
      <w:rFonts w:ascii="宋体" w:hAnsi="Times New Roman" w:eastAsia="宋体" w:cs="Times New Roman"/>
      <w:sz w:val="18"/>
      <w:szCs w:val="18"/>
    </w:rPr>
  </w:style>
  <w:style w:type="paragraph" w:customStyle="1" w:styleId="101">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autoRedefine/>
    <w:qFormat/>
    <w:uiPriority w:val="0"/>
    <w:pPr>
      <w:numPr>
        <w:ilvl w:val="0"/>
        <w:numId w:val="12"/>
      </w:numPr>
      <w:spacing w:line="240" w:lineRule="auto"/>
      <w:jc w:val="left"/>
    </w:pPr>
    <w:rPr>
      <w:rFonts w:ascii="宋体" w:hAnsi="宋体"/>
      <w:sz w:val="18"/>
    </w:rPr>
  </w:style>
  <w:style w:type="character" w:customStyle="1" w:styleId="103">
    <w:name w:val="标准文件_图表脚注内容"/>
    <w:autoRedefine/>
    <w:qFormat/>
    <w:uiPriority w:val="0"/>
    <w:rPr>
      <w:rFonts w:ascii="宋体" w:hAnsi="宋体" w:eastAsia="宋体" w:cs="Times New Roman"/>
      <w:spacing w:val="0"/>
      <w:sz w:val="18"/>
      <w:vertAlign w:val="superscript"/>
    </w:rPr>
  </w:style>
  <w:style w:type="paragraph" w:customStyle="1" w:styleId="104">
    <w:name w:val="标准文件_五级条标题"/>
    <w:next w:val="57"/>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link w:val="232"/>
    <w:autoRedefine/>
    <w:qFormat/>
    <w:uiPriority w:val="0"/>
    <w:pPr>
      <w:numPr>
        <w:ilvl w:val="2"/>
      </w:numPr>
      <w:spacing w:before="50" w:beforeLines="50" w:after="50" w:afterLines="50"/>
      <w:outlineLvl w:val="1"/>
    </w:pPr>
  </w:style>
  <w:style w:type="paragraph" w:customStyle="1" w:styleId="107">
    <w:name w:val="标准文件_一致程度"/>
    <w:basedOn w:val="1"/>
    <w:autoRedefine/>
    <w:qFormat/>
    <w:uiPriority w:val="0"/>
    <w:pPr>
      <w:spacing w:line="440" w:lineRule="exact"/>
      <w:jc w:val="center"/>
    </w:pPr>
    <w:rPr>
      <w:sz w:val="28"/>
    </w:rPr>
  </w:style>
  <w:style w:type="paragraph" w:customStyle="1" w:styleId="108">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autoRedefine/>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autoRedefine/>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autoRedefine/>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autoRedefine/>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0">
    <w:name w:val="发布部门"/>
    <w:next w:val="57"/>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autoRedefine/>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autoRedefine/>
    <w:qFormat/>
    <w:uiPriority w:val="0"/>
    <w:pPr>
      <w:outlineLvl w:val="4"/>
    </w:pPr>
  </w:style>
  <w:style w:type="paragraph" w:customStyle="1" w:styleId="131">
    <w:name w:val="附录四级无标题条"/>
    <w:basedOn w:val="130"/>
    <w:next w:val="57"/>
    <w:autoRedefine/>
    <w:qFormat/>
    <w:uiPriority w:val="0"/>
    <w:pPr>
      <w:outlineLvl w:val="5"/>
    </w:pPr>
  </w:style>
  <w:style w:type="paragraph" w:customStyle="1" w:styleId="132">
    <w:name w:val="附录图"/>
    <w:next w:val="57"/>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autoRedefine/>
    <w:qFormat/>
    <w:uiPriority w:val="0"/>
    <w:pPr>
      <w:outlineLvl w:val="6"/>
    </w:pPr>
  </w:style>
  <w:style w:type="paragraph" w:customStyle="1" w:styleId="135">
    <w:name w:val="附录性质"/>
    <w:basedOn w:val="1"/>
    <w:autoRedefine/>
    <w:qFormat/>
    <w:uiPriority w:val="0"/>
    <w:pPr>
      <w:widowControl/>
      <w:adjustRightInd/>
      <w:jc w:val="center"/>
    </w:pPr>
    <w:rPr>
      <w:rFonts w:ascii="黑体" w:eastAsia="黑体"/>
    </w:rPr>
  </w:style>
  <w:style w:type="paragraph" w:customStyle="1" w:styleId="136">
    <w:name w:val="附录一级无标题条"/>
    <w:basedOn w:val="88"/>
    <w:next w:val="57"/>
    <w:autoRedefine/>
    <w:qFormat/>
    <w:uiPriority w:val="0"/>
    <w:pPr>
      <w:autoSpaceDN w:val="0"/>
      <w:outlineLvl w:val="2"/>
    </w:pPr>
    <w:rPr>
      <w:rFonts w:ascii="宋体" w:hAnsi="宋体" w:eastAsia="宋体"/>
    </w:rPr>
  </w:style>
  <w:style w:type="character" w:customStyle="1" w:styleId="137">
    <w:name w:val="个人答复风格"/>
    <w:autoRedefine/>
    <w:qFormat/>
    <w:uiPriority w:val="0"/>
    <w:rPr>
      <w:rFonts w:ascii="Arial" w:hAnsi="Arial" w:eastAsia="宋体" w:cs="Arial"/>
      <w:color w:val="auto"/>
      <w:spacing w:val="0"/>
      <w:sz w:val="20"/>
    </w:rPr>
  </w:style>
  <w:style w:type="character" w:customStyle="1" w:styleId="138">
    <w:name w:val="个人撰写风格"/>
    <w:autoRedefine/>
    <w:qFormat/>
    <w:uiPriority w:val="0"/>
    <w:rPr>
      <w:rFonts w:ascii="Arial" w:hAnsi="Arial" w:eastAsia="宋体" w:cs="Arial"/>
      <w:color w:val="auto"/>
      <w:spacing w:val="0"/>
      <w:sz w:val="20"/>
    </w:rPr>
  </w:style>
  <w:style w:type="paragraph" w:customStyle="1" w:styleId="139">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autoRedefine/>
    <w:qFormat/>
    <w:uiPriority w:val="0"/>
    <w:pPr>
      <w:tabs>
        <w:tab w:val="left" w:pos="840"/>
      </w:tabs>
    </w:pPr>
  </w:style>
  <w:style w:type="paragraph" w:customStyle="1" w:styleId="142">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autoRedefine/>
    <w:qFormat/>
    <w:uiPriority w:val="0"/>
    <w:pPr>
      <w:framePr w:wrap="around"/>
      <w:spacing w:line="0" w:lineRule="atLeast"/>
    </w:pPr>
    <w:rPr>
      <w:rFonts w:ascii="黑体" w:eastAsia="黑体"/>
      <w:b w:val="0"/>
    </w:rPr>
  </w:style>
  <w:style w:type="paragraph" w:customStyle="1" w:styleId="153">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5">
    <w:name w:val="实施日期"/>
    <w:basedOn w:val="121"/>
    <w:autoRedefine/>
    <w:qFormat/>
    <w:uiPriority w:val="0"/>
    <w:pPr>
      <w:framePr w:hSpace="0" w:wrap="around" w:xAlign="right"/>
      <w:jc w:val="right"/>
    </w:pPr>
  </w:style>
  <w:style w:type="paragraph" w:customStyle="1" w:styleId="156">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7">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autoRedefine/>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autoRedefine/>
    <w:qFormat/>
    <w:uiPriority w:val="0"/>
    <w:pPr>
      <w:numPr>
        <w:ilvl w:val="6"/>
        <w:numId w:val="20"/>
      </w:numPr>
      <w:adjustRightInd/>
    </w:pPr>
    <w:rPr>
      <w:szCs w:val="24"/>
    </w:rPr>
  </w:style>
  <w:style w:type="paragraph" w:customStyle="1" w:styleId="160">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1">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autoRedefine/>
    <w:qFormat/>
    <w:uiPriority w:val="0"/>
    <w:pPr>
      <w:ind w:left="1406" w:leftChars="0" w:hanging="499" w:firstLineChars="0"/>
    </w:pPr>
  </w:style>
  <w:style w:type="paragraph" w:customStyle="1" w:styleId="163">
    <w:name w:val="标准文件_一级无标题"/>
    <w:basedOn w:val="106"/>
    <w:autoRedefine/>
    <w:qFormat/>
    <w:uiPriority w:val="0"/>
    <w:pPr>
      <w:spacing w:before="0" w:beforeLines="0" w:after="0" w:afterLines="0"/>
      <w:outlineLvl w:val="9"/>
    </w:pPr>
    <w:rPr>
      <w:rFonts w:ascii="宋体" w:eastAsia="宋体"/>
    </w:rPr>
  </w:style>
  <w:style w:type="paragraph" w:customStyle="1" w:styleId="164">
    <w:name w:val="标准文件_五级无标题"/>
    <w:basedOn w:val="104"/>
    <w:autoRedefine/>
    <w:qFormat/>
    <w:uiPriority w:val="0"/>
    <w:pPr>
      <w:spacing w:before="0" w:beforeLines="0" w:after="0" w:afterLines="0"/>
      <w:outlineLvl w:val="9"/>
    </w:pPr>
    <w:rPr>
      <w:rFonts w:ascii="宋体" w:eastAsia="宋体"/>
    </w:rPr>
  </w:style>
  <w:style w:type="paragraph" w:customStyle="1" w:styleId="165">
    <w:name w:val="标准文件_三级无标题"/>
    <w:basedOn w:val="95"/>
    <w:autoRedefine/>
    <w:qFormat/>
    <w:uiPriority w:val="0"/>
    <w:pPr>
      <w:spacing w:before="0" w:beforeLines="0" w:after="0" w:afterLines="0"/>
      <w:outlineLvl w:val="9"/>
    </w:pPr>
    <w:rPr>
      <w:rFonts w:ascii="宋体" w:eastAsia="宋体"/>
    </w:rPr>
  </w:style>
  <w:style w:type="paragraph" w:customStyle="1" w:styleId="166">
    <w:name w:val="标准文件_二级无标题"/>
    <w:basedOn w:val="66"/>
    <w:link w:val="231"/>
    <w:autoRedefine/>
    <w:qFormat/>
    <w:uiPriority w:val="0"/>
    <w:pPr>
      <w:spacing w:before="0" w:beforeLines="0" w:after="0" w:afterLines="0"/>
      <w:outlineLvl w:val="9"/>
    </w:pPr>
    <w:rPr>
      <w:rFonts w:ascii="宋体" w:eastAsia="宋体"/>
    </w:rPr>
  </w:style>
  <w:style w:type="paragraph" w:customStyle="1" w:styleId="167">
    <w:name w:val="标准_四级无标题"/>
    <w:basedOn w:val="99"/>
    <w:next w:val="57"/>
    <w:autoRedefine/>
    <w:qFormat/>
    <w:uiPriority w:val="0"/>
    <w:rPr>
      <w:rFonts w:eastAsia="宋体"/>
    </w:rPr>
  </w:style>
  <w:style w:type="paragraph" w:customStyle="1" w:styleId="168">
    <w:name w:val="标准文件_四级无标题"/>
    <w:basedOn w:val="99"/>
    <w:autoRedefine/>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autoRedefine/>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autoRedefine/>
    <w:qFormat/>
    <w:uiPriority w:val="0"/>
    <w:pPr>
      <w:numPr>
        <w:ilvl w:val="0"/>
        <w:numId w:val="24"/>
      </w:numPr>
      <w:ind w:firstLine="0" w:firstLineChars="0"/>
    </w:pPr>
    <w:rPr>
      <w:rFonts w:cs="Arial"/>
      <w:szCs w:val="28"/>
    </w:rPr>
  </w:style>
  <w:style w:type="paragraph" w:customStyle="1" w:styleId="171">
    <w:name w:val="标准文件_附录标题"/>
    <w:basedOn w:val="77"/>
    <w:autoRedefine/>
    <w:qFormat/>
    <w:uiPriority w:val="0"/>
    <w:pPr>
      <w:numPr>
        <w:numId w:val="0"/>
      </w:numPr>
      <w:spacing w:after="280"/>
      <w:outlineLvl w:val="9"/>
    </w:pPr>
  </w:style>
  <w:style w:type="paragraph" w:customStyle="1" w:styleId="172">
    <w:name w:val="标准文件_二级项"/>
    <w:autoRedefine/>
    <w:qFormat/>
    <w:uiPriority w:val="0"/>
    <w:rPr>
      <w:rFonts w:ascii="宋体" w:hAnsi="Times New Roman" w:eastAsia="宋体" w:cs="Times New Roman"/>
      <w:sz w:val="21"/>
      <w:lang w:val="en-US" w:eastAsia="zh-CN" w:bidi="ar-SA"/>
    </w:rPr>
  </w:style>
  <w:style w:type="paragraph" w:customStyle="1" w:styleId="173">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autoRedefine/>
    <w:qFormat/>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autoRedefine/>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autoRedefine/>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autoRedefine/>
    <w:qFormat/>
    <w:uiPriority w:val="0"/>
    <w:pPr>
      <w:ind w:firstLine="0" w:firstLineChars="0"/>
      <w:jc w:val="center"/>
    </w:pPr>
    <w:rPr>
      <w:sz w:val="18"/>
    </w:rPr>
  </w:style>
  <w:style w:type="paragraph" w:customStyle="1" w:styleId="180">
    <w:name w:val="标准文件_注："/>
    <w:next w:val="57"/>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autoRedefine/>
    <w:qFormat/>
    <w:uiPriority w:val="0"/>
    <w:pPr>
      <w:ind w:firstLine="420"/>
    </w:pPr>
    <w:rPr>
      <w:sz w:val="18"/>
    </w:rPr>
  </w:style>
  <w:style w:type="paragraph" w:customStyle="1" w:styleId="184">
    <w:name w:val="标准文件_示例×："/>
    <w:basedOn w:val="1"/>
    <w:next w:val="183"/>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autoRedefine/>
    <w:qFormat/>
    <w:uiPriority w:val="0"/>
    <w:rPr>
      <w:rFonts w:ascii="宋体" w:hAnsi="Times New Roman"/>
      <w:sz w:val="21"/>
    </w:rPr>
  </w:style>
  <w:style w:type="paragraph" w:customStyle="1" w:styleId="186">
    <w:name w:val="标准文件_表格续"/>
    <w:basedOn w:val="57"/>
    <w:next w:val="57"/>
    <w:autoRedefine/>
    <w:qFormat/>
    <w:uiPriority w:val="0"/>
    <w:pPr>
      <w:jc w:val="center"/>
    </w:pPr>
    <w:rPr>
      <w:rFonts w:ascii="黑体" w:hAnsi="黑体" w:eastAsia="黑体"/>
    </w:rPr>
  </w:style>
  <w:style w:type="character" w:styleId="187">
    <w:name w:val="Placeholder Text"/>
    <w:basedOn w:val="29"/>
    <w:autoRedefine/>
    <w:semiHidden/>
    <w:qFormat/>
    <w:uiPriority w:val="99"/>
    <w:rPr>
      <w:color w:val="808080"/>
    </w:rPr>
  </w:style>
  <w:style w:type="paragraph" w:customStyle="1" w:styleId="188">
    <w:name w:val="标准文件_二级项2"/>
    <w:basedOn w:val="57"/>
    <w:autoRedefine/>
    <w:qFormat/>
    <w:uiPriority w:val="0"/>
    <w:pPr>
      <w:numPr>
        <w:ilvl w:val="1"/>
        <w:numId w:val="21"/>
      </w:numPr>
      <w:ind w:left="1271" w:hanging="420" w:firstLineChars="0"/>
    </w:pPr>
  </w:style>
  <w:style w:type="paragraph" w:customStyle="1" w:styleId="189">
    <w:name w:val="标准文件_三级项2"/>
    <w:basedOn w:val="57"/>
    <w:autoRedefine/>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autoRedefine/>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autoRedefine/>
    <w:qFormat/>
    <w:uiPriority w:val="0"/>
    <w:pPr>
      <w:ind w:firstLine="420"/>
    </w:pPr>
    <w:rPr>
      <w:rFonts w:ascii="黑体" w:eastAsia="黑体"/>
    </w:rPr>
  </w:style>
  <w:style w:type="character" w:customStyle="1" w:styleId="192">
    <w:name w:val="标准文件_来源"/>
    <w:basedOn w:val="29"/>
    <w:autoRedefine/>
    <w:qFormat/>
    <w:uiPriority w:val="1"/>
    <w:rPr>
      <w:rFonts w:eastAsia="宋体"/>
      <w:sz w:val="21"/>
    </w:rPr>
  </w:style>
  <w:style w:type="paragraph" w:customStyle="1" w:styleId="193">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autoRedefine/>
    <w:qFormat/>
    <w:uiPriority w:val="0"/>
    <w:pPr>
      <w:framePr w:w="3997" w:h="471" w:hRule="exact" w:hSpace="0" w:vSpace="181" w:wrap="around" w:vAnchor="page" w:hAnchor="page" w:x="1419" w:y="14097"/>
    </w:pPr>
  </w:style>
  <w:style w:type="paragraph" w:customStyle="1" w:styleId="195">
    <w:name w:val="其他实施日期"/>
    <w:basedOn w:val="155"/>
    <w:autoRedefine/>
    <w:qFormat/>
    <w:uiPriority w:val="0"/>
    <w:pPr>
      <w:framePr w:w="3997" w:h="471" w:hRule="exact" w:vSpace="181" w:wrap="around" w:vAnchor="page" w:hAnchor="page" w:x="7089" w:y="14097"/>
    </w:pPr>
  </w:style>
  <w:style w:type="paragraph" w:customStyle="1" w:styleId="196">
    <w:name w:val="标准文件_文件编号"/>
    <w:basedOn w:val="57"/>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autoRedefine/>
    <w:qFormat/>
    <w:uiPriority w:val="0"/>
    <w:pPr>
      <w:framePr/>
      <w:spacing w:before="57"/>
    </w:pPr>
    <w:rPr>
      <w:sz w:val="21"/>
    </w:rPr>
  </w:style>
  <w:style w:type="paragraph" w:customStyle="1" w:styleId="198">
    <w:name w:val="标准文件_文件名称"/>
    <w:basedOn w:val="57"/>
    <w:next w:val="57"/>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autoRedefine/>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autoRedefine/>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autoRedefine/>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autoRedefine/>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autoRedefine/>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autoRedefine/>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autoRedefine/>
    <w:qFormat/>
    <w:uiPriority w:val="0"/>
    <w:pPr>
      <w:ind w:left="811" w:firstLine="0" w:firstLineChars="0"/>
    </w:pPr>
    <w:rPr>
      <w:sz w:val="18"/>
    </w:rPr>
  </w:style>
  <w:style w:type="paragraph" w:customStyle="1" w:styleId="207">
    <w:name w:val="标准文件_注X后"/>
    <w:basedOn w:val="57"/>
    <w:autoRedefine/>
    <w:qFormat/>
    <w:uiPriority w:val="0"/>
    <w:pPr>
      <w:ind w:left="811" w:firstLine="0" w:firstLineChars="0"/>
    </w:pPr>
    <w:rPr>
      <w:sz w:val="18"/>
    </w:rPr>
  </w:style>
  <w:style w:type="paragraph" w:customStyle="1" w:styleId="208">
    <w:name w:val="标准文件_示例后"/>
    <w:basedOn w:val="57"/>
    <w:autoRedefine/>
    <w:qFormat/>
    <w:uiPriority w:val="0"/>
    <w:pPr>
      <w:ind w:left="964" w:firstLine="0" w:firstLineChars="0"/>
    </w:pPr>
    <w:rPr>
      <w:sz w:val="18"/>
    </w:rPr>
  </w:style>
  <w:style w:type="paragraph" w:customStyle="1" w:styleId="209">
    <w:name w:val="标准文件_示例X后"/>
    <w:basedOn w:val="57"/>
    <w:link w:val="210"/>
    <w:autoRedefine/>
    <w:qFormat/>
    <w:uiPriority w:val="0"/>
    <w:pPr>
      <w:ind w:left="1049" w:firstLine="0" w:firstLineChars="0"/>
    </w:pPr>
    <w:rPr>
      <w:sz w:val="18"/>
    </w:rPr>
  </w:style>
  <w:style w:type="character" w:customStyle="1" w:styleId="210">
    <w:name w:val="标准文件_示例X后 字符"/>
    <w:basedOn w:val="185"/>
    <w:link w:val="209"/>
    <w:autoRedefine/>
    <w:qFormat/>
    <w:uiPriority w:val="0"/>
    <w:rPr>
      <w:rFonts w:ascii="宋体" w:hAnsi="Times New Roman"/>
      <w:sz w:val="18"/>
    </w:rPr>
  </w:style>
  <w:style w:type="paragraph" w:customStyle="1" w:styleId="211">
    <w:name w:val="标准文件_索引项"/>
    <w:basedOn w:val="57"/>
    <w:next w:val="57"/>
    <w:autoRedefine/>
    <w:qFormat/>
    <w:uiPriority w:val="0"/>
    <w:pPr>
      <w:tabs>
        <w:tab w:val="right" w:leader="dot" w:pos="9356"/>
      </w:tabs>
      <w:ind w:left="210" w:hanging="210" w:firstLineChars="0"/>
      <w:jc w:val="left"/>
    </w:pPr>
  </w:style>
  <w:style w:type="paragraph" w:customStyle="1" w:styleId="212">
    <w:name w:val="标准文件_附录一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autoRedefine/>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autoRedefine/>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autoRedefine/>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autoRedefine/>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autoRedefine/>
    <w:qFormat/>
    <w:uiPriority w:val="0"/>
    <w:pPr>
      <w:spacing w:before="0" w:beforeLines="0" w:after="0" w:afterLines="0" w:line="276" w:lineRule="auto"/>
    </w:pPr>
    <w:rPr>
      <w:rFonts w:ascii="宋体" w:eastAsia="宋体"/>
    </w:rPr>
  </w:style>
  <w:style w:type="paragraph" w:customStyle="1" w:styleId="219">
    <w:name w:val="标准文件_引言三级无标题"/>
    <w:basedOn w:val="203"/>
    <w:next w:val="57"/>
    <w:autoRedefine/>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autoRedefine/>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autoRedefine/>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autoRedefine/>
    <w:qFormat/>
    <w:uiPriority w:val="0"/>
    <w:rPr>
      <w:rFonts w:hAnsi="黑体"/>
    </w:rPr>
  </w:style>
  <w:style w:type="paragraph" w:customStyle="1" w:styleId="223">
    <w:name w:val="标准文件_脚注内容"/>
    <w:basedOn w:val="57"/>
    <w:autoRedefine/>
    <w:qFormat/>
    <w:uiPriority w:val="0"/>
    <w:pPr>
      <w:ind w:left="400" w:leftChars="200" w:hanging="200" w:hangingChars="200"/>
    </w:pPr>
    <w:rPr>
      <w:sz w:val="15"/>
    </w:rPr>
  </w:style>
  <w:style w:type="paragraph" w:customStyle="1" w:styleId="224">
    <w:name w:val="标准文件_术语条一"/>
    <w:basedOn w:val="163"/>
    <w:next w:val="57"/>
    <w:autoRedefine/>
    <w:qFormat/>
    <w:uiPriority w:val="0"/>
  </w:style>
  <w:style w:type="paragraph" w:customStyle="1" w:styleId="225">
    <w:name w:val="标准文件_术语条二"/>
    <w:basedOn w:val="166"/>
    <w:next w:val="57"/>
    <w:autoRedefine/>
    <w:qFormat/>
    <w:uiPriority w:val="0"/>
  </w:style>
  <w:style w:type="paragraph" w:customStyle="1" w:styleId="226">
    <w:name w:val="标准文件_术语条三"/>
    <w:basedOn w:val="165"/>
    <w:next w:val="57"/>
    <w:autoRedefine/>
    <w:qFormat/>
    <w:uiPriority w:val="0"/>
  </w:style>
  <w:style w:type="paragraph" w:customStyle="1" w:styleId="227">
    <w:name w:val="标准文件_术语条四"/>
    <w:basedOn w:val="168"/>
    <w:next w:val="57"/>
    <w:autoRedefine/>
    <w:qFormat/>
    <w:uiPriority w:val="0"/>
  </w:style>
  <w:style w:type="paragraph" w:customStyle="1" w:styleId="228">
    <w:name w:val="标准文件_术语条五"/>
    <w:basedOn w:val="164"/>
    <w:next w:val="57"/>
    <w:autoRedefine/>
    <w:qFormat/>
    <w:uiPriority w:val="0"/>
  </w:style>
  <w:style w:type="paragraph" w:customStyle="1" w:styleId="229">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autoRedefine/>
    <w:qFormat/>
    <w:uiPriority w:val="0"/>
    <w:rPr>
      <w:rFonts w:ascii="黑体" w:eastAsia="黑体"/>
      <w:spacing w:val="85"/>
      <w:w w:val="100"/>
      <w:position w:val="3"/>
      <w:sz w:val="28"/>
      <w:szCs w:val="28"/>
    </w:rPr>
  </w:style>
  <w:style w:type="character" w:customStyle="1" w:styleId="231">
    <w:name w:val="标准文件_二级无标题 Char"/>
    <w:link w:val="166"/>
    <w:autoRedefine/>
    <w:qFormat/>
    <w:uiPriority w:val="0"/>
    <w:rPr>
      <w:rFonts w:ascii="宋体" w:hAnsi="Times New Roman" w:eastAsia="宋体" w:cs="Times New Roman"/>
      <w:sz w:val="21"/>
      <w:lang w:val="en-US" w:eastAsia="zh-CN" w:bidi="ar-SA"/>
    </w:rPr>
  </w:style>
  <w:style w:type="character" w:customStyle="1" w:styleId="232">
    <w:name w:val="标准文件_一级条标题 Char"/>
    <w:link w:val="106"/>
    <w:autoRedefine/>
    <w:qFormat/>
    <w:uiPriority w:val="0"/>
  </w:style>
  <w:style w:type="paragraph" w:customStyle="1" w:styleId="233">
    <w:name w:val="段"/>
    <w:autoRedefine/>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lang w:val="en-US" w:eastAsia="zh-CN" w:bidi="ar-SA"/>
    </w:rPr>
  </w:style>
  <w:style w:type="paragraph" w:customStyle="1" w:styleId="23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glossaryDocument" Target="glossary/document.xml"/><Relationship Id="rId32" Type="http://schemas.openxmlformats.org/officeDocument/2006/relationships/fontTable" Target="fontTable.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image" Target="media/image2.jpeg"/><Relationship Id="rId28" Type="http://schemas.openxmlformats.org/officeDocument/2006/relationships/image" Target="media/image1.tiff"/><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921EC0F634C48DCB7402BE8D6425ABE"/>
        <w:style w:val=""/>
        <w:category>
          <w:name w:val="常规"/>
          <w:gallery w:val="placeholder"/>
        </w:category>
        <w:types>
          <w:type w:val="bbPlcHdr"/>
        </w:types>
        <w:behaviors>
          <w:behavior w:val="content"/>
        </w:behaviors>
        <w:description w:val=""/>
        <w:guid w:val="{86672BCD-A924-4F12-B73D-D62AD097B6C9}"/>
      </w:docPartPr>
      <w:docPartBody>
        <w:p w14:paraId="525098E1">
          <w:pPr>
            <w:pStyle w:val="5"/>
          </w:pPr>
          <w:r>
            <w:rPr>
              <w:rStyle w:val="4"/>
              <w:rFonts w:hint="eastAsia"/>
            </w:rPr>
            <w:t>单击或点击此处输入文字。</w:t>
          </w:r>
        </w:p>
      </w:docPartBody>
    </w:docPart>
    <w:docPart>
      <w:docPartPr>
        <w:name w:val="{f2ae0d4d-1399-4295-b760-bf66fcad6778}"/>
        <w:style w:val=""/>
        <w:category>
          <w:name w:val="常规"/>
          <w:gallery w:val="placeholder"/>
        </w:category>
        <w:types>
          <w:type w:val="bbPlcHdr"/>
        </w:types>
        <w:behaviors>
          <w:behavior w:val="content"/>
        </w:behaviors>
        <w:description w:val=""/>
        <w:guid w:val="{F2AE0D4D-1399-4295-B760-BF66FCAD6778}"/>
      </w:docPartPr>
      <w:docPartBody>
        <w:p w14:paraId="5F813FBB">
          <w:pPr>
            <w:pStyle w:val="6"/>
          </w:pPr>
          <w:r>
            <w:rPr>
              <w:rStyle w:val="4"/>
              <w:rFonts w:hint="eastAsia"/>
            </w:rPr>
            <w:t>选择一项。</w:t>
          </w:r>
        </w:p>
      </w:docPartBody>
    </w:docPart>
    <w:docPart>
      <w:docPartPr>
        <w:name w:val="{5553a059-abee-4eee-9921-df75e8ca9357}"/>
        <w:style w:val=""/>
        <w:category>
          <w:name w:val="常规"/>
          <w:gallery w:val="placeholder"/>
        </w:category>
        <w:types>
          <w:type w:val="bbPlcHdr"/>
        </w:types>
        <w:behaviors>
          <w:behavior w:val="content"/>
        </w:behaviors>
        <w:description w:val=""/>
        <w:guid w:val="{5553A059-ABEE-4EEE-9921-DF75E8CA9357}"/>
      </w:docPartPr>
      <w:docPartBody>
        <w:p w14:paraId="7143816B">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939"/>
    <w:rsid w:val="00012410"/>
    <w:rsid w:val="000864AC"/>
    <w:rsid w:val="00474123"/>
    <w:rsid w:val="004E27CB"/>
    <w:rsid w:val="00522939"/>
    <w:rsid w:val="00593064"/>
    <w:rsid w:val="006F4D08"/>
    <w:rsid w:val="00840B0D"/>
    <w:rsid w:val="008735C7"/>
    <w:rsid w:val="00884ECE"/>
    <w:rsid w:val="00A66154"/>
    <w:rsid w:val="00BC3888"/>
    <w:rsid w:val="00BD5421"/>
    <w:rsid w:val="00C45A56"/>
    <w:rsid w:val="00C758D8"/>
    <w:rsid w:val="00DB3C67"/>
    <w:rsid w:val="00DD147A"/>
    <w:rsid w:val="00E943DB"/>
    <w:rsid w:val="00EA297C"/>
    <w:rsid w:val="00FB31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F921EC0F634C48DCB7402BE8D6425ABE"/>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46A0867F7C084728B463AE19B06460A9"/>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D11DA2E4352A46D086D41405EFED2EF6"/>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12</Pages>
  <Words>6186</Words>
  <Characters>6808</Characters>
  <Lines>64</Lines>
  <Paragraphs>18</Paragraphs>
  <TotalTime>129</TotalTime>
  <ScaleCrop>false</ScaleCrop>
  <LinksUpToDate>false</LinksUpToDate>
  <CharactersWithSpaces>7087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2024-01-17T01:18:00Z</dcterms:created>
  <dc:creator>Administrator</dc:creator>
  <dc:description>&lt;config cover="true" show_menu="true" version="1.0.0" doctype="SDKXY"&gt;_x000d_
&lt;/config&gt;</dc:description>
  <cp:lastModifiedBy>zq</cp:lastModifiedBy>
  <cp:lastPrinted>2025-01-22T00:43:00Z</cp:lastPrinted>
  <dcterms:modified xsi:type="dcterms:W3CDTF">2025-03-17T00:45:39Z</dcterms:modified>
  <dc:title>地方标准</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2052-12.1.0.20305</vt:lpwstr>
  </property>
  <property fmtid="{D5CDD505-2E9C-101B-9397-08002B2CF9AE}" pid="15" name="ICV">
    <vt:lpwstr>2988DB4EBCC24989BAD18C10110C391A_12</vt:lpwstr>
  </property>
  <property fmtid="{D5CDD505-2E9C-101B-9397-08002B2CF9AE}" pid="16" name="DoublePage">
    <vt:lpwstr>true</vt:lpwstr>
  </property>
  <property fmtid="{D5CDD505-2E9C-101B-9397-08002B2CF9AE}" pid="17" name="KSOTemplateDocerSaveRecord">
    <vt:lpwstr>eyJoZGlkIjoiZGY4ZmE2YTc4NjM1MDMzN2RhNjg3MTUyMWZmZWZjOGMiLCJ1c2VySWQiOiI5NTgwOTEyOTkifQ==</vt:lpwstr>
  </property>
</Properties>
</file>