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spacing w:line="259" w:lineRule="auto"/>
        <w:rPr/>
      </w:pPr>
      <w:r/>
    </w:p>
    <w:p>
      <w:pPr>
        <w:pStyle w:val="BodyText"/>
        <w:spacing w:line="259" w:lineRule="auto"/>
        <w:rPr/>
      </w:pPr>
      <w:r/>
    </w:p>
    <w:p>
      <w:pPr>
        <w:pStyle w:val="BodyText"/>
        <w:spacing w:line="259" w:lineRule="auto"/>
        <w:rPr/>
      </w:pPr>
      <w:r/>
    </w:p>
    <w:p>
      <w:pPr>
        <w:ind w:left="867"/>
        <w:spacing w:before="247" w:line="221" w:lineRule="auto"/>
        <w:rPr>
          <w:rFonts w:ascii="SimHei" w:hAnsi="SimHei" w:eastAsia="SimHei" w:cs="SimHei"/>
          <w:sz w:val="76"/>
          <w:szCs w:val="76"/>
        </w:rPr>
      </w:pPr>
      <w:r>
        <w:rPr>
          <w:rFonts w:ascii="SimHei" w:hAnsi="SimHei" w:eastAsia="SimHei" w:cs="SimHei"/>
          <w:sz w:val="76"/>
          <w:szCs w:val="76"/>
          <w:spacing w:val="-29"/>
        </w:rPr>
        <w:t>团</w:t>
      </w:r>
      <w:r>
        <w:rPr>
          <w:rFonts w:ascii="SimHei" w:hAnsi="SimHei" w:eastAsia="SimHei" w:cs="SimHei"/>
          <w:sz w:val="76"/>
          <w:szCs w:val="76"/>
          <w:spacing w:val="42"/>
        </w:rPr>
        <w:t xml:space="preserve">    </w:t>
      </w:r>
      <w:r>
        <w:rPr>
          <w:rFonts w:ascii="SimHei" w:hAnsi="SimHei" w:eastAsia="SimHei" w:cs="SimHei"/>
          <w:sz w:val="76"/>
          <w:szCs w:val="76"/>
          <w:spacing w:val="-29"/>
        </w:rPr>
        <w:t>体</w:t>
      </w:r>
      <w:r>
        <w:rPr>
          <w:rFonts w:ascii="SimHei" w:hAnsi="SimHei" w:eastAsia="SimHei" w:cs="SimHei"/>
          <w:sz w:val="76"/>
          <w:szCs w:val="76"/>
          <w:spacing w:val="40"/>
        </w:rPr>
        <w:t xml:space="preserve">    </w:t>
      </w:r>
      <w:r>
        <w:rPr>
          <w:rFonts w:ascii="SimHei" w:hAnsi="SimHei" w:eastAsia="SimHei" w:cs="SimHei"/>
          <w:sz w:val="76"/>
          <w:szCs w:val="76"/>
          <w:spacing w:val="-29"/>
        </w:rPr>
        <w:t>标</w:t>
      </w:r>
      <w:r>
        <w:rPr>
          <w:rFonts w:ascii="SimHei" w:hAnsi="SimHei" w:eastAsia="SimHei" w:cs="SimHei"/>
          <w:sz w:val="76"/>
          <w:szCs w:val="76"/>
          <w:spacing w:val="44"/>
        </w:rPr>
        <w:t xml:space="preserve">    </w:t>
      </w:r>
      <w:r>
        <w:rPr>
          <w:rFonts w:ascii="SimHei" w:hAnsi="SimHei" w:eastAsia="SimHei" w:cs="SimHei"/>
          <w:sz w:val="76"/>
          <w:szCs w:val="76"/>
          <w:spacing w:val="-29"/>
        </w:rPr>
        <w:t>准</w:t>
      </w:r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4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>
        <w:pict>
          <v:shape id="_x0000_s2" style="position:absolute;margin-left:0.375pt;margin-top:3.14282pt;mso-position-vertical-relative:text;mso-position-horizontal-relative:text;width:470.1pt;height:0.75pt;z-index:251658240;" filled="false" strokecolor="#000000" strokeweight="0.75pt" coordsize="9402,15" coordorigin="0,0" path="m0,7l9401,7e">
            <v:stroke miterlimit="10"/>
          </v:shape>
        </w:pict>
      </w: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pStyle w:val="BodyText"/>
        <w:spacing w:line="245" w:lineRule="auto"/>
        <w:rPr/>
      </w:pPr>
      <w:r/>
    </w:p>
    <w:p>
      <w:pPr>
        <w:ind w:left="2736"/>
        <w:spacing w:before="169" w:line="218" w:lineRule="auto"/>
        <w:outlineLvl w:val="0"/>
        <w:rPr>
          <w:rFonts w:ascii="SimHei" w:hAnsi="SimHei" w:eastAsia="SimHei" w:cs="SimHei"/>
          <w:sz w:val="52"/>
          <w:szCs w:val="52"/>
        </w:rPr>
      </w:pPr>
      <w:r>
        <w:rPr>
          <w:rFonts w:ascii="SimHei" w:hAnsi="SimHei" w:eastAsia="SimHei" w:cs="SimHei"/>
          <w:sz w:val="52"/>
          <w:szCs w:val="52"/>
          <w:spacing w:val="-3"/>
        </w:rPr>
        <w:t>碳中和社区评价</w:t>
      </w:r>
    </w:p>
    <w:p>
      <w:pPr>
        <w:pStyle w:val="BodyText"/>
        <w:spacing w:line="253" w:lineRule="auto"/>
        <w:rPr/>
      </w:pPr>
      <w:r/>
    </w:p>
    <w:p>
      <w:pPr>
        <w:ind w:left="3715"/>
        <w:spacing w:before="78" w:line="220" w:lineRule="auto"/>
        <w:rPr>
          <w:rFonts w:ascii="SimSun" w:hAnsi="SimSun" w:eastAsia="SimSun" w:cs="SimSun"/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  <w:spacing w:val="-4"/>
        </w:rPr>
        <w:t>（征求意见稿）</w:t>
      </w:r>
    </w:p>
    <w:p>
      <w:pPr>
        <w:pStyle w:val="BodyText"/>
        <w:spacing w:line="253" w:lineRule="auto"/>
        <w:rPr/>
      </w:pPr>
      <w:r/>
    </w:p>
    <w:p>
      <w:pPr>
        <w:pStyle w:val="BodyText"/>
        <w:spacing w:line="253" w:lineRule="auto"/>
        <w:rPr/>
      </w:pPr>
      <w:r/>
    </w:p>
    <w:p>
      <w:pPr>
        <w:pStyle w:val="BodyText"/>
        <w:spacing w:line="254" w:lineRule="auto"/>
        <w:rPr/>
      </w:pPr>
      <w:r/>
    </w:p>
    <w:p>
      <w:pPr>
        <w:ind w:left="3514"/>
        <w:spacing w:before="169" w:line="218" w:lineRule="auto"/>
        <w:outlineLvl w:val="0"/>
        <w:rPr>
          <w:rFonts w:ascii="SimHei" w:hAnsi="SimHei" w:eastAsia="SimHei" w:cs="SimHei"/>
          <w:sz w:val="52"/>
          <w:szCs w:val="52"/>
        </w:rPr>
      </w:pPr>
      <w:r>
        <w:rPr>
          <w:rFonts w:ascii="SimHei" w:hAnsi="SimHei" w:eastAsia="SimHei" w:cs="SimHei"/>
          <w:sz w:val="52"/>
          <w:szCs w:val="52"/>
          <w:spacing w:val="-3"/>
        </w:rPr>
        <w:t>编制说明</w:t>
      </w:r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ind w:left="4025"/>
        <w:spacing w:before="68" w:line="241" w:lineRule="auto"/>
        <w:rPr>
          <w:rFonts w:ascii="SimSun" w:hAnsi="SimSun" w:eastAsia="SimSun" w:cs="SimSun"/>
          <w:sz w:val="21"/>
          <w:szCs w:val="21"/>
        </w:rPr>
      </w:pPr>
      <w:r>
        <w:rPr>
          <w:rFonts w:ascii="SimSun" w:hAnsi="SimSun" w:eastAsia="SimSun" w:cs="SimSun"/>
          <w:sz w:val="21"/>
          <w:szCs w:val="21"/>
          <w:spacing w:val="-1"/>
        </w:rPr>
        <w:t>2025-04-22</w:t>
      </w:r>
    </w:p>
    <w:p>
      <w:pPr>
        <w:spacing w:line="241" w:lineRule="auto"/>
        <w:sectPr>
          <w:pgSz w:w="11907" w:h="16839"/>
          <w:pgMar w:top="1431" w:right="1092" w:bottom="0" w:left="1413" w:header="0" w:footer="0" w:gutter="0"/>
        </w:sectPr>
        <w:rPr>
          <w:rFonts w:ascii="SimSun" w:hAnsi="SimSun" w:eastAsia="SimSun" w:cs="SimSun"/>
          <w:sz w:val="21"/>
          <w:szCs w:val="21"/>
        </w:rPr>
      </w:pPr>
    </w:p>
    <w:p>
      <w:pPr>
        <w:pStyle w:val="BodyText"/>
        <w:spacing w:line="373" w:lineRule="auto"/>
        <w:rPr/>
      </w:pPr>
      <w:r/>
    </w:p>
    <w:p>
      <w:pPr>
        <w:ind w:left="2697"/>
        <w:spacing w:before="97" w:line="412" w:lineRule="exact"/>
        <w:outlineLvl w:val="0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b/>
          <w:bCs/>
          <w:spacing w:val="-1"/>
          <w:position w:val="2"/>
        </w:rPr>
        <w:t>《碳中和社区评价技术规范》</w:t>
      </w:r>
    </w:p>
    <w:p>
      <w:pPr>
        <w:ind w:left="4078"/>
        <w:spacing w:before="44" w:line="220" w:lineRule="auto"/>
        <w:outlineLvl w:val="0"/>
        <w:rPr>
          <w:rFonts w:ascii="SimSun" w:hAnsi="SimSun" w:eastAsia="SimSun" w:cs="SimSun"/>
          <w:sz w:val="30"/>
          <w:szCs w:val="30"/>
        </w:rPr>
      </w:pPr>
      <w:r>
        <w:rPr>
          <w:rFonts w:ascii="SimSun" w:hAnsi="SimSun" w:eastAsia="SimSun" w:cs="SimSun"/>
          <w:sz w:val="30"/>
          <w:szCs w:val="30"/>
          <w:spacing w:val="-3"/>
        </w:rPr>
        <w:t>编制说明</w:t>
      </w:r>
    </w:p>
    <w:p>
      <w:pPr>
        <w:pStyle w:val="BodyText"/>
        <w:spacing w:line="302" w:lineRule="auto"/>
        <w:rPr/>
      </w:pPr>
      <w:r/>
    </w:p>
    <w:p>
      <w:pPr>
        <w:pStyle w:val="BodyText"/>
        <w:spacing w:line="302" w:lineRule="auto"/>
        <w:rPr/>
      </w:pPr>
      <w:r/>
    </w:p>
    <w:p>
      <w:pPr>
        <w:ind w:left="14"/>
        <w:spacing w:before="78" w:line="216" w:lineRule="auto"/>
        <w:outlineLvl w:val="1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b/>
          <w:bCs/>
          <w:spacing w:val="4"/>
        </w:rPr>
        <w:t>1</w:t>
      </w:r>
      <w:r>
        <w:rPr>
          <w:rFonts w:ascii="FangSong" w:hAnsi="FangSong" w:eastAsia="FangSong" w:cs="FangSong"/>
          <w:sz w:val="24"/>
          <w:szCs w:val="24"/>
          <w:spacing w:val="4"/>
        </w:rPr>
        <w:t xml:space="preserve">  </w:t>
      </w:r>
      <w:r>
        <w:rPr>
          <w:rFonts w:ascii="FangSong" w:hAnsi="FangSong" w:eastAsia="FangSong" w:cs="FangSong"/>
          <w:sz w:val="24"/>
          <w:szCs w:val="24"/>
          <w:b/>
          <w:bCs/>
          <w:spacing w:val="4"/>
        </w:rPr>
        <w:t>任务来源、协作单位</w:t>
      </w:r>
    </w:p>
    <w:p>
      <w:pPr>
        <w:ind w:left="14"/>
        <w:spacing w:before="108" w:line="217" w:lineRule="auto"/>
        <w:outlineLvl w:val="2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b/>
          <w:bCs/>
          <w:spacing w:val="-3"/>
        </w:rPr>
        <w:t>1.1</w:t>
      </w:r>
      <w:r>
        <w:rPr>
          <w:rFonts w:ascii="FangSong" w:hAnsi="FangSong" w:eastAsia="FangSong" w:cs="FangSong"/>
          <w:sz w:val="24"/>
          <w:szCs w:val="24"/>
          <w:spacing w:val="9"/>
        </w:rPr>
        <w:t xml:space="preserve">  </w:t>
      </w:r>
      <w:r>
        <w:rPr>
          <w:rFonts w:ascii="FangSong" w:hAnsi="FangSong" w:eastAsia="FangSong" w:cs="FangSong"/>
          <w:sz w:val="24"/>
          <w:szCs w:val="24"/>
          <w:b/>
          <w:bCs/>
          <w:spacing w:val="-3"/>
        </w:rPr>
        <w:t>任务来源</w:t>
      </w:r>
    </w:p>
    <w:p>
      <w:pPr>
        <w:ind w:left="35" w:right="103" w:firstLine="468"/>
        <w:spacing w:before="108" w:line="300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</w:rPr>
        <w:t>2024</w:t>
      </w:r>
      <w:r>
        <w:rPr>
          <w:rFonts w:ascii="FangSong" w:hAnsi="FangSong" w:eastAsia="FangSong" w:cs="FangSong"/>
          <w:sz w:val="24"/>
          <w:szCs w:val="24"/>
          <w:spacing w:val="-24"/>
        </w:rPr>
        <w:t xml:space="preserve"> </w:t>
      </w:r>
      <w:r>
        <w:rPr>
          <w:rFonts w:ascii="FangSong" w:hAnsi="FangSong" w:eastAsia="FangSong" w:cs="FangSong"/>
          <w:sz w:val="24"/>
          <w:szCs w:val="24"/>
        </w:rPr>
        <w:t>年</w:t>
      </w:r>
      <w:r>
        <w:rPr>
          <w:rFonts w:ascii="FangSong" w:hAnsi="FangSong" w:eastAsia="FangSong" w:cs="FangSong"/>
          <w:sz w:val="24"/>
          <w:szCs w:val="24"/>
          <w:spacing w:val="-37"/>
        </w:rPr>
        <w:t xml:space="preserve"> </w:t>
      </w:r>
      <w:r>
        <w:rPr>
          <w:rFonts w:ascii="FangSong" w:hAnsi="FangSong" w:eastAsia="FangSong" w:cs="FangSong"/>
          <w:sz w:val="24"/>
          <w:szCs w:val="24"/>
        </w:rPr>
        <w:t>9</w:t>
      </w:r>
      <w:r>
        <w:rPr>
          <w:rFonts w:ascii="FangSong" w:hAnsi="FangSong" w:eastAsia="FangSong" w:cs="FangSong"/>
          <w:sz w:val="24"/>
          <w:szCs w:val="24"/>
          <w:spacing w:val="-25"/>
        </w:rPr>
        <w:t xml:space="preserve"> </w:t>
      </w:r>
      <w:r>
        <w:rPr>
          <w:rFonts w:ascii="FangSong" w:hAnsi="FangSong" w:eastAsia="FangSong" w:cs="FangSong"/>
          <w:sz w:val="24"/>
          <w:szCs w:val="24"/>
        </w:rPr>
        <w:t>月，根据协会下达计划的批次，团体标准《碳中和社区评价》予以立项，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4"/>
        </w:rPr>
        <w:t>由中环联合（北京）认证中心有限公司提出，中国能源研究会碳</w:t>
      </w:r>
      <w:r>
        <w:rPr>
          <w:rFonts w:ascii="FangSong" w:hAnsi="FangSong" w:eastAsia="FangSong" w:cs="FangSong"/>
          <w:sz w:val="24"/>
          <w:szCs w:val="24"/>
          <w:spacing w:val="3"/>
        </w:rPr>
        <w:t>中和专委会技术归口。</w:t>
      </w:r>
    </w:p>
    <w:p>
      <w:pPr>
        <w:ind w:left="14"/>
        <w:spacing w:line="216" w:lineRule="auto"/>
        <w:outlineLvl w:val="2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b/>
          <w:bCs/>
          <w:spacing w:val="-1"/>
        </w:rPr>
        <w:t>1.2</w:t>
      </w:r>
      <w:r>
        <w:rPr>
          <w:rFonts w:ascii="FangSong" w:hAnsi="FangSong" w:eastAsia="FangSong" w:cs="FangSong"/>
          <w:sz w:val="24"/>
          <w:szCs w:val="24"/>
          <w:spacing w:val="24"/>
        </w:rPr>
        <w:t xml:space="preserve">  </w:t>
      </w:r>
      <w:r>
        <w:rPr>
          <w:rFonts w:ascii="FangSong" w:hAnsi="FangSong" w:eastAsia="FangSong" w:cs="FangSong"/>
          <w:sz w:val="24"/>
          <w:szCs w:val="24"/>
          <w:b/>
          <w:bCs/>
          <w:spacing w:val="-1"/>
        </w:rPr>
        <w:t>协作单位</w:t>
      </w:r>
    </w:p>
    <w:p>
      <w:pPr>
        <w:ind w:left="1" w:right="87" w:firstLine="507"/>
        <w:spacing w:before="108" w:line="300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5"/>
        </w:rPr>
        <w:t>本文件由中环联合（北京）认证中心有限公司、</w:t>
      </w:r>
      <w:r>
        <w:rPr>
          <w:rFonts w:ascii="FangSong" w:hAnsi="FangSong" w:eastAsia="FangSong" w:cs="FangSong"/>
          <w:sz w:val="24"/>
          <w:szCs w:val="24"/>
          <w:spacing w:val="4"/>
        </w:rPr>
        <w:t>知己集团、深石零碳科技（深圳）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8"/>
        </w:rPr>
        <w:t>有限公司、西北工业大学等单位共同编写。</w:t>
      </w:r>
    </w:p>
    <w:p>
      <w:pPr>
        <w:spacing w:before="1" w:line="215" w:lineRule="auto"/>
        <w:outlineLvl w:val="1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b/>
          <w:bCs/>
          <w:spacing w:val="-6"/>
        </w:rPr>
        <w:t>2</w:t>
      </w:r>
      <w:r>
        <w:rPr>
          <w:rFonts w:ascii="FangSong" w:hAnsi="FangSong" w:eastAsia="FangSong" w:cs="FangSong"/>
          <w:sz w:val="24"/>
          <w:szCs w:val="24"/>
          <w:spacing w:val="12"/>
        </w:rPr>
        <w:t xml:space="preserve">  </w:t>
      </w:r>
      <w:r>
        <w:rPr>
          <w:rFonts w:ascii="FangSong" w:hAnsi="FangSong" w:eastAsia="FangSong" w:cs="FangSong"/>
          <w:sz w:val="24"/>
          <w:szCs w:val="24"/>
          <w:b/>
          <w:bCs/>
          <w:spacing w:val="-6"/>
        </w:rPr>
        <w:t>编制工作组简况</w:t>
      </w:r>
    </w:p>
    <w:p>
      <w:pPr>
        <w:spacing w:before="111" w:line="216" w:lineRule="auto"/>
        <w:outlineLvl w:val="2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b/>
          <w:bCs/>
          <w:spacing w:val="-3"/>
        </w:rPr>
        <w:t>2.1</w:t>
      </w:r>
      <w:r>
        <w:rPr>
          <w:rFonts w:ascii="FangSong" w:hAnsi="FangSong" w:eastAsia="FangSong" w:cs="FangSong"/>
          <w:sz w:val="24"/>
          <w:szCs w:val="24"/>
          <w:spacing w:val="-3"/>
        </w:rPr>
        <w:t xml:space="preserve">  </w:t>
      </w:r>
      <w:r>
        <w:rPr>
          <w:rFonts w:ascii="FangSong" w:hAnsi="FangSong" w:eastAsia="FangSong" w:cs="FangSong"/>
          <w:sz w:val="24"/>
          <w:szCs w:val="24"/>
          <w:b/>
          <w:bCs/>
          <w:spacing w:val="-3"/>
        </w:rPr>
        <w:t>编制工作组及其成员情况</w:t>
      </w:r>
    </w:p>
    <w:p>
      <w:pPr>
        <w:ind w:left="5" w:right="70" w:firstLine="502"/>
        <w:spacing w:before="108" w:line="300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7"/>
        </w:rPr>
        <w:t>标准编制组长单位是中环联合（北京）认证中心有限公司</w:t>
      </w:r>
      <w:r>
        <w:rPr>
          <w:rFonts w:ascii="FangSong" w:hAnsi="FangSong" w:eastAsia="FangSong" w:cs="FangSong"/>
          <w:sz w:val="24"/>
          <w:szCs w:val="24"/>
          <w:spacing w:val="-68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7"/>
        </w:rPr>
        <w:t>,负责标准相关资料的搜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10"/>
        </w:rPr>
        <w:t>集与调研、标准框架编制、标准内容起草、反馈意见整理、组织协调等工作。</w:t>
      </w:r>
    </w:p>
    <w:p>
      <w:pPr>
        <w:ind w:left="7" w:right="124" w:firstLine="503"/>
        <w:spacing w:line="300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4"/>
        </w:rPr>
        <w:t>其中业主单位包括：知己集团、深石零碳科</w:t>
      </w:r>
      <w:r>
        <w:rPr>
          <w:rFonts w:ascii="FangSong" w:hAnsi="FangSong" w:eastAsia="FangSong" w:cs="FangSong"/>
          <w:sz w:val="24"/>
          <w:szCs w:val="24"/>
          <w:spacing w:val="3"/>
        </w:rPr>
        <w:t>技（深圳）有限公司；科研院所包括：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3"/>
        </w:rPr>
        <w:t>西北工业大学。</w:t>
      </w:r>
    </w:p>
    <w:p>
      <w:pPr>
        <w:spacing w:before="2" w:line="215" w:lineRule="auto"/>
        <w:outlineLvl w:val="2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b/>
          <w:bCs/>
          <w:spacing w:val="-3"/>
        </w:rPr>
        <w:t>2.2</w:t>
      </w:r>
      <w:r>
        <w:rPr>
          <w:rFonts w:ascii="FangSong" w:hAnsi="FangSong" w:eastAsia="FangSong" w:cs="FangSong"/>
          <w:sz w:val="24"/>
          <w:szCs w:val="24"/>
          <w:spacing w:val="-3"/>
        </w:rPr>
        <w:t xml:space="preserve">  </w:t>
      </w:r>
      <w:r>
        <w:rPr>
          <w:rFonts w:ascii="FangSong" w:hAnsi="FangSong" w:eastAsia="FangSong" w:cs="FangSong"/>
          <w:sz w:val="24"/>
          <w:szCs w:val="24"/>
          <w:b/>
          <w:bCs/>
          <w:spacing w:val="-3"/>
        </w:rPr>
        <w:t>标准主要起草人及其所做的工作</w:t>
      </w:r>
    </w:p>
    <w:p>
      <w:pPr>
        <w:ind w:left="3" w:right="62" w:firstLine="503"/>
        <w:spacing w:before="109" w:line="300" w:lineRule="auto"/>
        <w:jc w:val="both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12"/>
        </w:rPr>
        <w:t>标准编写组收集了近几年来绿色低碳社区评价方面的相关资料，通过对比整</w:t>
      </w:r>
      <w:r>
        <w:rPr>
          <w:rFonts w:ascii="FangSong" w:hAnsi="FangSong" w:eastAsia="FangSong" w:cs="FangSong"/>
          <w:sz w:val="24"/>
          <w:szCs w:val="24"/>
          <w:spacing w:val="11"/>
        </w:rPr>
        <w:t>理分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4"/>
        </w:rPr>
        <w:t>析确定了标准主要技术内容，</w:t>
      </w:r>
      <w:r>
        <w:rPr>
          <w:rFonts w:ascii="FangSong" w:hAnsi="FangSong" w:eastAsia="FangSong" w:cs="FangSong"/>
          <w:sz w:val="24"/>
          <w:szCs w:val="24"/>
          <w:spacing w:val="-29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4"/>
        </w:rPr>
        <w:t>由</w:t>
      </w:r>
      <w:r>
        <w:rPr>
          <w:rFonts w:ascii="FangSong" w:hAnsi="FangSong" w:eastAsia="FangSong" w:cs="FangSong"/>
          <w:sz w:val="24"/>
          <w:szCs w:val="24"/>
          <w:spacing w:val="-60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4"/>
        </w:rPr>
        <w:t>中环联合认证中</w:t>
      </w:r>
      <w:r>
        <w:rPr>
          <w:rFonts w:ascii="FangSong" w:hAnsi="FangSong" w:eastAsia="FangSong" w:cs="FangSong"/>
          <w:sz w:val="24"/>
          <w:szCs w:val="24"/>
          <w:spacing w:val="3"/>
        </w:rPr>
        <w:t>心牵头组织各单位完成标准初稿编制</w:t>
      </w:r>
      <w:r>
        <w:rPr>
          <w:rFonts w:ascii="FangSong" w:hAnsi="FangSong" w:eastAsia="FangSong" w:cs="FangSong"/>
          <w:sz w:val="24"/>
          <w:szCs w:val="24"/>
          <w:spacing w:val="-7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3"/>
        </w:rPr>
        <w:t>,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8"/>
        </w:rPr>
        <w:t>并收集各利益相关方的相关建议。</w:t>
      </w:r>
    </w:p>
    <w:p>
      <w:pPr>
        <w:ind w:left="7" w:right="80" w:firstLine="503"/>
        <w:spacing w:line="301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12"/>
        </w:rPr>
        <w:t>崔晓冬负责标准立项、文本方向和内容的把控；邓秋玮</w:t>
      </w:r>
      <w:r>
        <w:rPr>
          <w:rFonts w:ascii="FangSong" w:hAnsi="FangSong" w:eastAsia="FangSong" w:cs="FangSong"/>
          <w:sz w:val="24"/>
          <w:szCs w:val="24"/>
          <w:spacing w:val="11"/>
        </w:rPr>
        <w:t>、杨璐、晁凤芹等负责标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5"/>
        </w:rPr>
        <w:t>准的起草、修改以及全流程工作，其他起草人员负责对标准文本提出补</w:t>
      </w:r>
      <w:r>
        <w:rPr>
          <w:rFonts w:ascii="FangSong" w:hAnsi="FangSong" w:eastAsia="FangSong" w:cs="FangSong"/>
          <w:sz w:val="24"/>
          <w:szCs w:val="24"/>
          <w:spacing w:val="4"/>
        </w:rPr>
        <w:t>充和修改意见。</w:t>
      </w:r>
    </w:p>
    <w:p>
      <w:pPr>
        <w:ind w:left="1"/>
        <w:spacing w:before="60" w:line="216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b/>
          <w:bCs/>
          <w:spacing w:val="-3"/>
        </w:rPr>
        <w:t>3</w:t>
      </w:r>
      <w:r>
        <w:rPr>
          <w:rFonts w:ascii="FangSong" w:hAnsi="FangSong" w:eastAsia="FangSong" w:cs="FangSong"/>
          <w:sz w:val="24"/>
          <w:szCs w:val="24"/>
          <w:spacing w:val="-3"/>
        </w:rPr>
        <w:t xml:space="preserve">   </w:t>
      </w:r>
      <w:r>
        <w:rPr>
          <w:rFonts w:ascii="FangSong" w:hAnsi="FangSong" w:eastAsia="FangSong" w:cs="FangSong"/>
          <w:sz w:val="24"/>
          <w:szCs w:val="24"/>
          <w:b/>
          <w:bCs/>
          <w:spacing w:val="-3"/>
        </w:rPr>
        <w:t>起草阶段的主要工作内容</w:t>
      </w:r>
    </w:p>
    <w:p>
      <w:pPr>
        <w:ind w:left="46" w:right="71" w:firstLine="457"/>
        <w:spacing w:before="160" w:line="299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8"/>
        </w:rPr>
        <w:t>2024</w:t>
      </w:r>
      <w:r>
        <w:rPr>
          <w:rFonts w:ascii="FangSong" w:hAnsi="FangSong" w:eastAsia="FangSong" w:cs="FangSong"/>
          <w:sz w:val="24"/>
          <w:szCs w:val="24"/>
          <w:spacing w:val="8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8"/>
        </w:rPr>
        <w:t>年</w:t>
      </w:r>
      <w:r>
        <w:rPr>
          <w:rFonts w:ascii="FangSong" w:hAnsi="FangSong" w:eastAsia="FangSong" w:cs="FangSong"/>
          <w:sz w:val="24"/>
          <w:szCs w:val="24"/>
          <w:spacing w:val="8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8"/>
        </w:rPr>
        <w:t>10</w:t>
      </w:r>
      <w:r>
        <w:rPr>
          <w:rFonts w:ascii="FangSong" w:hAnsi="FangSong" w:eastAsia="FangSong" w:cs="FangSong"/>
          <w:sz w:val="24"/>
          <w:szCs w:val="24"/>
          <w:spacing w:val="8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8"/>
        </w:rPr>
        <w:t>月，根据中国能源研究会的管理规定</w:t>
      </w:r>
      <w:r>
        <w:rPr>
          <w:rFonts w:ascii="FangSong" w:hAnsi="FangSong" w:eastAsia="FangSong" w:cs="FangSong"/>
          <w:sz w:val="24"/>
          <w:szCs w:val="24"/>
          <w:spacing w:val="7"/>
        </w:rPr>
        <w:t>，完成《中国能源研究会标准项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1"/>
        </w:rPr>
        <w:t>目申请表》填写，</w:t>
      </w:r>
      <w:r>
        <w:rPr>
          <w:rFonts w:ascii="FangSong" w:hAnsi="FangSong" w:eastAsia="FangSong" w:cs="FangSong"/>
          <w:sz w:val="24"/>
          <w:szCs w:val="24"/>
          <w:spacing w:val="-59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1"/>
        </w:rPr>
        <w:t>完成申请工作。</w:t>
      </w:r>
    </w:p>
    <w:p>
      <w:pPr>
        <w:ind w:left="9" w:right="71" w:firstLine="494"/>
        <w:spacing w:before="1" w:line="300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8"/>
        </w:rPr>
        <w:t>2024</w:t>
      </w:r>
      <w:r>
        <w:rPr>
          <w:rFonts w:ascii="FangSong" w:hAnsi="FangSong" w:eastAsia="FangSong" w:cs="FangSong"/>
          <w:sz w:val="24"/>
          <w:szCs w:val="24"/>
          <w:spacing w:val="8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8"/>
        </w:rPr>
        <w:t>年</w:t>
      </w:r>
      <w:r>
        <w:rPr>
          <w:rFonts w:ascii="FangSong" w:hAnsi="FangSong" w:eastAsia="FangSong" w:cs="FangSong"/>
          <w:sz w:val="24"/>
          <w:szCs w:val="24"/>
          <w:spacing w:val="8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8"/>
        </w:rPr>
        <w:t>11</w:t>
      </w:r>
      <w:r>
        <w:rPr>
          <w:rFonts w:ascii="FangSong" w:hAnsi="FangSong" w:eastAsia="FangSong" w:cs="FangSong"/>
          <w:sz w:val="24"/>
          <w:szCs w:val="24"/>
          <w:spacing w:val="8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8"/>
        </w:rPr>
        <w:t>月，通过中国能源研究会专委会审核</w:t>
      </w:r>
      <w:r>
        <w:rPr>
          <w:rFonts w:ascii="FangSong" w:hAnsi="FangSong" w:eastAsia="FangSong" w:cs="FangSong"/>
          <w:sz w:val="24"/>
          <w:szCs w:val="24"/>
          <w:spacing w:val="7"/>
        </w:rPr>
        <w:t>。中国能源研究会正式下达《关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7"/>
        </w:rPr>
        <w:t>于</w:t>
      </w:r>
      <w:r>
        <w:rPr>
          <w:rFonts w:ascii="FangSong" w:hAnsi="FangSong" w:eastAsia="FangSong" w:cs="FangSong"/>
          <w:sz w:val="24"/>
          <w:szCs w:val="24"/>
          <w:spacing w:val="-2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7"/>
        </w:rPr>
        <w:t>2024</w:t>
      </w:r>
      <w:r>
        <w:rPr>
          <w:rFonts w:ascii="FangSong" w:hAnsi="FangSong" w:eastAsia="FangSong" w:cs="FangSong"/>
          <w:sz w:val="24"/>
          <w:szCs w:val="24"/>
          <w:spacing w:val="-3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7"/>
        </w:rPr>
        <w:t>年第一批中国能源研究会标准立项的通知》的标准计划。</w:t>
      </w:r>
    </w:p>
    <w:p>
      <w:pPr>
        <w:ind w:left="1" w:firstLine="478"/>
        <w:spacing w:before="49" w:line="300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-10"/>
        </w:rPr>
        <w:t>2025</w:t>
      </w:r>
      <w:r>
        <w:rPr>
          <w:rFonts w:ascii="FangSong" w:hAnsi="FangSong" w:eastAsia="FangSong" w:cs="FangSong"/>
          <w:sz w:val="24"/>
          <w:szCs w:val="24"/>
          <w:spacing w:val="-28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0"/>
        </w:rPr>
        <w:t>年</w:t>
      </w:r>
      <w:r>
        <w:rPr>
          <w:rFonts w:ascii="FangSong" w:hAnsi="FangSong" w:eastAsia="FangSong" w:cs="FangSong"/>
          <w:sz w:val="24"/>
          <w:szCs w:val="24"/>
          <w:spacing w:val="-3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0"/>
        </w:rPr>
        <w:t>1</w:t>
      </w:r>
      <w:r>
        <w:rPr>
          <w:rFonts w:ascii="FangSong" w:hAnsi="FangSong" w:eastAsia="FangSong" w:cs="FangSong"/>
          <w:sz w:val="24"/>
          <w:szCs w:val="24"/>
          <w:spacing w:val="-3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0"/>
        </w:rPr>
        <w:t>月，组建起草工作组，召集来自多领域的专业人才，以及相关行业协会代表、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1"/>
        </w:rPr>
        <w:t>社区运营方代表、科研机构人员等。确保工作组具备全面的知识体系和丰富的实践经验，</w:t>
      </w:r>
      <w:r>
        <w:rPr>
          <w:rFonts w:ascii="FangSong" w:hAnsi="FangSong" w:eastAsia="FangSong" w:cs="FangSong"/>
          <w:sz w:val="24"/>
          <w:szCs w:val="24"/>
          <w:spacing w:val="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5"/>
        </w:rPr>
        <w:t>能够从不同角度对标准进行深入研究和制定。明确各成员的具体职责，</w:t>
      </w:r>
      <w:r>
        <w:rPr>
          <w:rFonts w:ascii="FangSong" w:hAnsi="FangSong" w:eastAsia="FangSong" w:cs="FangSong"/>
          <w:sz w:val="24"/>
          <w:szCs w:val="24"/>
          <w:spacing w:val="65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6"/>
        </w:rPr>
        <w:t>如环境专家负责碳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6"/>
        </w:rPr>
        <w:t>排放核算、碳汇评估等方面的技术指导；</w:t>
      </w:r>
      <w:r>
        <w:rPr>
          <w:rFonts w:ascii="FangSong" w:hAnsi="FangSong" w:eastAsia="FangSong" w:cs="FangSong"/>
          <w:sz w:val="24"/>
          <w:szCs w:val="24"/>
          <w:spacing w:val="9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6"/>
        </w:rPr>
        <w:t>能源专家专注于能源利用效率提升、可再生能源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</w:rPr>
        <w:t>应用等内容；社区运营方代表提供社区实际运营</w:t>
      </w:r>
      <w:r>
        <w:rPr>
          <w:rFonts w:ascii="FangSong" w:hAnsi="FangSong" w:eastAsia="FangSong" w:cs="FangSong"/>
          <w:sz w:val="24"/>
          <w:szCs w:val="24"/>
          <w:spacing w:val="-1"/>
        </w:rPr>
        <w:t>管理的经验和需求；行业协会代表协调各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方利益，推动标准与行业发展相契合。</w:t>
      </w:r>
    </w:p>
    <w:p>
      <w:pPr>
        <w:ind w:left="480"/>
        <w:spacing w:before="48" w:line="217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-3"/>
        </w:rPr>
        <w:t>2024</w:t>
      </w:r>
      <w:r>
        <w:rPr>
          <w:rFonts w:ascii="FangSong" w:hAnsi="FangSong" w:eastAsia="FangSong" w:cs="FangSong"/>
          <w:sz w:val="24"/>
          <w:szCs w:val="24"/>
          <w:spacing w:val="-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年</w:t>
      </w:r>
      <w:r>
        <w:rPr>
          <w:rFonts w:ascii="FangSong" w:hAnsi="FangSong" w:eastAsia="FangSong" w:cs="FangSong"/>
          <w:sz w:val="24"/>
          <w:szCs w:val="24"/>
          <w:spacing w:val="-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12</w:t>
      </w:r>
      <w:r>
        <w:rPr>
          <w:rFonts w:ascii="FangSong" w:hAnsi="FangSong" w:eastAsia="FangSong" w:cs="FangSong"/>
          <w:sz w:val="24"/>
          <w:szCs w:val="24"/>
          <w:spacing w:val="-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月，项目调研，广泛收集国内外碳中和相关的政策</w:t>
      </w:r>
      <w:r>
        <w:rPr>
          <w:rFonts w:ascii="FangSong" w:hAnsi="FangSong" w:eastAsia="FangSong" w:cs="FangSong"/>
          <w:sz w:val="24"/>
          <w:szCs w:val="24"/>
          <w:spacing w:val="-4"/>
        </w:rPr>
        <w:t>法规、标准规范、研究</w:t>
      </w:r>
    </w:p>
    <w:p>
      <w:pPr>
        <w:spacing w:line="217" w:lineRule="auto"/>
        <w:sectPr>
          <w:pgSz w:w="11907" w:h="16839"/>
          <w:pgMar w:top="1431" w:right="1073" w:bottom="0" w:left="1430" w:header="0" w:footer="0" w:gutter="0"/>
        </w:sectPr>
        <w:rPr>
          <w:rFonts w:ascii="FangSong" w:hAnsi="FangSong" w:eastAsia="FangSong" w:cs="FangSong"/>
          <w:sz w:val="24"/>
          <w:szCs w:val="24"/>
        </w:rPr>
      </w:pPr>
    </w:p>
    <w:p>
      <w:pPr>
        <w:ind w:left="10"/>
        <w:spacing w:before="62" w:line="300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-6"/>
        </w:rPr>
        <w:t>报告、案例分析等资料，</w:t>
      </w:r>
      <w:r>
        <w:rPr>
          <w:rFonts w:ascii="FangSong" w:hAnsi="FangSong" w:eastAsia="FangSong" w:cs="FangSong"/>
          <w:sz w:val="24"/>
          <w:szCs w:val="24"/>
          <w:spacing w:val="9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6"/>
        </w:rPr>
        <w:t>了解碳中和领域的最新发展动态和趋势。重点关注其他地区</w:t>
      </w:r>
      <w:r>
        <w:rPr>
          <w:rFonts w:ascii="FangSong" w:hAnsi="FangSong" w:eastAsia="FangSong" w:cs="FangSong"/>
          <w:sz w:val="24"/>
          <w:szCs w:val="24"/>
          <w:spacing w:val="-7"/>
        </w:rPr>
        <w:t>碳中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和社区建设的成功经验和实践案例，分析其在能源管理、碳排放控制、碳汇建设等方面的</w:t>
      </w:r>
      <w:r>
        <w:rPr>
          <w:rFonts w:ascii="FangSong" w:hAnsi="FangSong" w:eastAsia="FangSong" w:cs="FangSong"/>
          <w:sz w:val="24"/>
          <w:szCs w:val="24"/>
          <w:spacing w:val="1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6"/>
        </w:rPr>
        <w:t>做法和成效，为标准制定提供参考。选取具有</w:t>
      </w:r>
      <w:r>
        <w:rPr>
          <w:rFonts w:ascii="FangSong" w:hAnsi="FangSong" w:eastAsia="FangSong" w:cs="FangSong"/>
          <w:sz w:val="24"/>
          <w:szCs w:val="24"/>
          <w:spacing w:val="-7"/>
        </w:rPr>
        <w:t>代表性的社区进行实地调研，包括不同规模、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</w:rPr>
        <w:t>不同类型（如新建社区、老旧社区）的社区</w:t>
      </w:r>
      <w:r>
        <w:rPr>
          <w:rFonts w:ascii="FangSong" w:hAnsi="FangSong" w:eastAsia="FangSong" w:cs="FangSong"/>
          <w:sz w:val="24"/>
          <w:szCs w:val="24"/>
          <w:spacing w:val="-1"/>
        </w:rPr>
        <w:t>。通过现场考察、问卷调查、访谈等方式，深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入了解社区在能源消耗、碳排放现状、基础设施建设、居民参与度等方面的实际情况。与</w:t>
      </w:r>
      <w:r>
        <w:rPr>
          <w:rFonts w:ascii="FangSong" w:hAnsi="FangSong" w:eastAsia="FangSong" w:cs="FangSong"/>
          <w:sz w:val="24"/>
          <w:szCs w:val="24"/>
          <w:spacing w:val="1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6"/>
        </w:rPr>
        <w:t>社区管理人员、居民、企业等相关利益方进行充分沟通，</w:t>
      </w:r>
      <w:r>
        <w:rPr>
          <w:rFonts w:ascii="FangSong" w:hAnsi="FangSong" w:eastAsia="FangSong" w:cs="FangSong"/>
          <w:sz w:val="24"/>
          <w:szCs w:val="24"/>
          <w:spacing w:val="9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6"/>
        </w:rPr>
        <w:t>听取他们对碳中和社区建设的需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6"/>
        </w:rPr>
        <w:t>求和建议。对收集到的资料和调研数据进行系统整理和分析，</w:t>
      </w:r>
      <w:r>
        <w:rPr>
          <w:rFonts w:ascii="FangSong" w:hAnsi="FangSong" w:eastAsia="FangSong" w:cs="FangSong"/>
          <w:sz w:val="24"/>
          <w:szCs w:val="24"/>
          <w:spacing w:val="9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6"/>
        </w:rPr>
        <w:t>总结社区在实现碳中和过程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5"/>
        </w:rPr>
        <w:t>中面临的问题和挑战。运用数据分析方法，</w:t>
      </w:r>
      <w:r>
        <w:rPr>
          <w:rFonts w:ascii="FangSong" w:hAnsi="FangSong" w:eastAsia="FangSong" w:cs="FangSong"/>
          <w:sz w:val="24"/>
          <w:szCs w:val="24"/>
          <w:spacing w:val="6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5"/>
        </w:rPr>
        <w:t>找出影响社区碳</w:t>
      </w:r>
      <w:r>
        <w:rPr>
          <w:rFonts w:ascii="FangSong" w:hAnsi="FangSong" w:eastAsia="FangSong" w:cs="FangSong"/>
          <w:sz w:val="24"/>
          <w:szCs w:val="24"/>
          <w:spacing w:val="-6"/>
        </w:rPr>
        <w:t>排放的关键因素，为制定针对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5"/>
        </w:rPr>
        <w:t>性的标准条款提供依据。同时，</w:t>
      </w:r>
      <w:r>
        <w:rPr>
          <w:rFonts w:ascii="FangSong" w:hAnsi="FangSong" w:eastAsia="FangSong" w:cs="FangSong"/>
          <w:sz w:val="24"/>
          <w:szCs w:val="24"/>
          <w:spacing w:val="65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5"/>
        </w:rPr>
        <w:t>对比国内外不同社区的</w:t>
      </w:r>
      <w:r>
        <w:rPr>
          <w:rFonts w:ascii="FangSong" w:hAnsi="FangSong" w:eastAsia="FangSong" w:cs="FangSong"/>
          <w:sz w:val="24"/>
          <w:szCs w:val="24"/>
          <w:spacing w:val="-6"/>
        </w:rPr>
        <w:t>指标数据，确定合理的标准值和技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9"/>
        </w:rPr>
        <w:t>术要求。</w:t>
      </w:r>
    </w:p>
    <w:p>
      <w:pPr>
        <w:ind w:left="10" w:right="1" w:firstLine="475"/>
        <w:spacing w:before="7" w:line="299" w:lineRule="auto"/>
        <w:jc w:val="both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-3"/>
        </w:rPr>
        <w:t>2025</w:t>
      </w:r>
      <w:r>
        <w:rPr>
          <w:rFonts w:ascii="FangSong" w:hAnsi="FangSong" w:eastAsia="FangSong" w:cs="FangSong"/>
          <w:sz w:val="24"/>
          <w:szCs w:val="24"/>
          <w:spacing w:val="-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年</w:t>
      </w:r>
      <w:r>
        <w:rPr>
          <w:rFonts w:ascii="FangSong" w:hAnsi="FangSong" w:eastAsia="FangSong" w:cs="FangSong"/>
          <w:sz w:val="24"/>
          <w:szCs w:val="24"/>
          <w:spacing w:val="-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1</w:t>
      </w:r>
      <w:r>
        <w:rPr>
          <w:rFonts w:ascii="FangSong" w:hAnsi="FangSong" w:eastAsia="FangSong" w:cs="FangSong"/>
          <w:sz w:val="24"/>
          <w:szCs w:val="24"/>
          <w:spacing w:val="-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月-3</w:t>
      </w:r>
      <w:r>
        <w:rPr>
          <w:rFonts w:ascii="FangSong" w:hAnsi="FangSong" w:eastAsia="FangSong" w:cs="FangSong"/>
          <w:sz w:val="24"/>
          <w:szCs w:val="24"/>
          <w:spacing w:val="-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月，标准起草，形成标准草案，根据调研结果和工</w:t>
      </w:r>
      <w:r>
        <w:rPr>
          <w:rFonts w:ascii="FangSong" w:hAnsi="FangSong" w:eastAsia="FangSong" w:cs="FangSong"/>
          <w:sz w:val="24"/>
          <w:szCs w:val="24"/>
          <w:spacing w:val="-4"/>
        </w:rPr>
        <w:t>作组成员的专业知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识，确定标准的框架结构和主要章节内容。标准框架涵盖碳中和社区的总体要求、规划设</w:t>
      </w:r>
      <w:r>
        <w:rPr>
          <w:rFonts w:ascii="FangSong" w:hAnsi="FangSong" w:eastAsia="FangSong" w:cs="FangSong"/>
          <w:sz w:val="24"/>
          <w:szCs w:val="24"/>
          <w:spacing w:val="16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计、能源管理、碳排放核算与监测、废弃物管理、交通出行、社区治理等方面，确保标准</w:t>
      </w:r>
      <w:r>
        <w:rPr>
          <w:rFonts w:ascii="FangSong" w:hAnsi="FangSong" w:eastAsia="FangSong" w:cs="FangSong"/>
          <w:sz w:val="24"/>
          <w:szCs w:val="24"/>
          <w:spacing w:val="17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5"/>
        </w:rPr>
        <w:t>内容的全面性和系统性。在起草过程中，注重标准条款的科</w:t>
      </w:r>
      <w:r>
        <w:rPr>
          <w:rFonts w:ascii="FangSong" w:hAnsi="FangSong" w:eastAsia="FangSong" w:cs="FangSong"/>
          <w:sz w:val="24"/>
          <w:szCs w:val="24"/>
          <w:spacing w:val="-6"/>
        </w:rPr>
        <w:t>学性、合理性和可操作性，</w:t>
      </w:r>
      <w:r>
        <w:rPr>
          <w:rFonts w:ascii="FangSong" w:hAnsi="FangSong" w:eastAsia="FangSong" w:cs="FangSong"/>
          <w:sz w:val="24"/>
          <w:szCs w:val="24"/>
          <w:spacing w:val="65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6"/>
        </w:rPr>
        <w:t>充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分听取各成员的意见和建议，对存在争议的问题进行充分讨论和协商，达成共识。根据讨</w:t>
      </w:r>
      <w:r>
        <w:rPr>
          <w:rFonts w:ascii="FangSong" w:hAnsi="FangSong" w:eastAsia="FangSong" w:cs="FangSong"/>
          <w:sz w:val="24"/>
          <w:szCs w:val="24"/>
          <w:spacing w:val="1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2"/>
        </w:rPr>
        <w:t>论结果，对标准草案进行修改和完善，确保标准的一致性和协调性。</w:t>
      </w:r>
    </w:p>
    <w:p>
      <w:pPr>
        <w:ind w:left="11" w:right="3" w:firstLine="474"/>
        <w:spacing w:before="3" w:line="299" w:lineRule="auto"/>
        <w:jc w:val="both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-3"/>
        </w:rPr>
        <w:t>2025</w:t>
      </w:r>
      <w:r>
        <w:rPr>
          <w:rFonts w:ascii="FangSong" w:hAnsi="FangSong" w:eastAsia="FangSong" w:cs="FangSong"/>
          <w:sz w:val="24"/>
          <w:szCs w:val="24"/>
          <w:spacing w:val="-39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年</w:t>
      </w:r>
      <w:r>
        <w:rPr>
          <w:rFonts w:ascii="FangSong" w:hAnsi="FangSong" w:eastAsia="FangSong" w:cs="FangSong"/>
          <w:sz w:val="24"/>
          <w:szCs w:val="24"/>
          <w:spacing w:val="-5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4</w:t>
      </w:r>
      <w:r>
        <w:rPr>
          <w:rFonts w:ascii="FangSong" w:hAnsi="FangSong" w:eastAsia="FangSong" w:cs="FangSong"/>
          <w:sz w:val="24"/>
          <w:szCs w:val="24"/>
          <w:spacing w:val="-3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月，内部研讨，形成标准意见征求稿</w:t>
      </w:r>
      <w:r>
        <w:rPr>
          <w:rFonts w:ascii="FangSong" w:hAnsi="FangSong" w:eastAsia="FangSong" w:cs="FangSong"/>
          <w:sz w:val="24"/>
          <w:szCs w:val="24"/>
          <w:spacing w:val="-4"/>
        </w:rPr>
        <w:t>，在标准草案的基础上，在碳中和专委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会的指导下对标准进行研讨完善，重点检查标准的内容是否符合法律法规和政策要求，技</w:t>
      </w:r>
      <w:r>
        <w:rPr>
          <w:rFonts w:ascii="FangSong" w:hAnsi="FangSong" w:eastAsia="FangSong" w:cs="FangSong"/>
          <w:sz w:val="24"/>
          <w:szCs w:val="24"/>
          <w:spacing w:val="15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术指标是否合理可行，语言表达是否准确规范。</w:t>
      </w:r>
    </w:p>
    <w:p>
      <w:pPr>
        <w:ind w:left="1"/>
        <w:spacing w:before="1" w:line="215" w:lineRule="auto"/>
        <w:outlineLvl w:val="1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b/>
          <w:bCs/>
          <w:spacing w:val="-2"/>
        </w:rPr>
        <w:t>4</w:t>
      </w:r>
      <w:r>
        <w:rPr>
          <w:rFonts w:ascii="FangSong" w:hAnsi="FangSong" w:eastAsia="FangSong" w:cs="FangSong"/>
          <w:sz w:val="24"/>
          <w:szCs w:val="24"/>
          <w:spacing w:val="-2"/>
        </w:rPr>
        <w:t xml:space="preserve">  </w:t>
      </w:r>
      <w:r>
        <w:rPr>
          <w:rFonts w:ascii="FangSong" w:hAnsi="FangSong" w:eastAsia="FangSong" w:cs="FangSong"/>
          <w:sz w:val="24"/>
          <w:szCs w:val="24"/>
          <w:b/>
          <w:bCs/>
          <w:spacing w:val="-2"/>
        </w:rPr>
        <w:t>标准编制原则及与国家法律法规和强制性标准及有关标准的关系</w:t>
      </w:r>
    </w:p>
    <w:p>
      <w:pPr>
        <w:ind w:left="1"/>
        <w:spacing w:before="110" w:line="217" w:lineRule="auto"/>
        <w:outlineLvl w:val="2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b/>
          <w:bCs/>
          <w:spacing w:val="-5"/>
        </w:rPr>
        <w:t>4.1</w:t>
      </w:r>
      <w:r>
        <w:rPr>
          <w:rFonts w:ascii="FangSong" w:hAnsi="FangSong" w:eastAsia="FangSong" w:cs="FangSong"/>
          <w:sz w:val="24"/>
          <w:szCs w:val="24"/>
          <w:spacing w:val="11"/>
        </w:rPr>
        <w:t xml:space="preserve">  </w:t>
      </w:r>
      <w:r>
        <w:rPr>
          <w:rFonts w:ascii="FangSong" w:hAnsi="FangSong" w:eastAsia="FangSong" w:cs="FangSong"/>
          <w:sz w:val="24"/>
          <w:szCs w:val="24"/>
          <w:b/>
          <w:bCs/>
          <w:spacing w:val="-5"/>
        </w:rPr>
        <w:t>标准编制原则</w:t>
      </w:r>
    </w:p>
    <w:p>
      <w:pPr>
        <w:ind w:left="515"/>
        <w:spacing w:before="106" w:line="217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5"/>
        </w:rPr>
        <w:t>本文件按以下原则进行编制：</w:t>
      </w:r>
    </w:p>
    <w:p>
      <w:pPr>
        <w:ind w:left="514"/>
        <w:spacing w:before="109" w:line="217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8"/>
        </w:rPr>
        <w:t>（1）遵循国家及能源行业等方面的规范和标准；</w:t>
      </w:r>
    </w:p>
    <w:p>
      <w:pPr>
        <w:ind w:left="514"/>
        <w:spacing w:before="107" w:line="216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9"/>
        </w:rPr>
        <w:t>（2）综合考虑碳中和社区建设的现状，技术规定具有可操作性；</w:t>
      </w:r>
    </w:p>
    <w:p>
      <w:pPr>
        <w:ind w:left="514"/>
        <w:spacing w:before="111" w:line="216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6"/>
        </w:rPr>
        <w:t>（3）内容符合统一性、协调性、适用性、</w:t>
      </w:r>
      <w:r>
        <w:rPr>
          <w:rFonts w:ascii="FangSong" w:hAnsi="FangSong" w:eastAsia="FangSong" w:cs="FangSong"/>
          <w:sz w:val="24"/>
          <w:szCs w:val="24"/>
          <w:spacing w:val="6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6"/>
        </w:rPr>
        <w:t>一致性、规范性规则要求</w:t>
      </w:r>
      <w:r>
        <w:rPr>
          <w:rFonts w:ascii="FangSong" w:hAnsi="FangSong" w:eastAsia="FangSong" w:cs="FangSong"/>
          <w:sz w:val="24"/>
          <w:szCs w:val="24"/>
          <w:spacing w:val="-57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6"/>
        </w:rPr>
        <w:t>;</w:t>
      </w:r>
    </w:p>
    <w:p>
      <w:pPr>
        <w:ind w:left="15" w:right="36" w:firstLine="499"/>
        <w:spacing w:before="107" w:line="260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9"/>
        </w:rPr>
        <w:t>（4）格式符合</w:t>
      </w:r>
      <w:r>
        <w:rPr>
          <w:rFonts w:ascii="FangSong" w:hAnsi="FangSong" w:eastAsia="FangSong" w:cs="FangSong"/>
          <w:sz w:val="24"/>
          <w:szCs w:val="24"/>
          <w:spacing w:val="68"/>
        </w:rPr>
        <w:t xml:space="preserve"> </w:t>
      </w:r>
      <w:r>
        <w:rPr>
          <w:rFonts w:ascii="FangSong" w:hAnsi="FangSong" w:eastAsia="FangSong" w:cs="FangSong"/>
          <w:sz w:val="24"/>
          <w:szCs w:val="24"/>
        </w:rPr>
        <w:t>GB</w:t>
      </w:r>
      <w:r>
        <w:rPr>
          <w:rFonts w:ascii="FangSong" w:hAnsi="FangSong" w:eastAsia="FangSong" w:cs="FangSong"/>
          <w:sz w:val="24"/>
          <w:szCs w:val="24"/>
          <w:spacing w:val="9"/>
        </w:rPr>
        <w:t>/T1.1-2020、《中</w:t>
      </w:r>
      <w:r>
        <w:rPr>
          <w:rFonts w:ascii="FangSong" w:hAnsi="FangSong" w:eastAsia="FangSong" w:cs="FangSong"/>
          <w:sz w:val="24"/>
          <w:szCs w:val="24"/>
          <w:spacing w:val="8"/>
        </w:rPr>
        <w:t>国能源研究会标准管理办法（修订稿）》等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7"/>
        </w:rPr>
        <w:t>要求。</w:t>
      </w:r>
    </w:p>
    <w:p>
      <w:pPr>
        <w:ind w:left="1"/>
        <w:spacing w:before="105" w:line="216" w:lineRule="auto"/>
        <w:outlineLvl w:val="2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b/>
          <w:bCs/>
          <w:spacing w:val="-4"/>
        </w:rPr>
        <w:t>4.2</w:t>
      </w:r>
      <w:r>
        <w:rPr>
          <w:rFonts w:ascii="FangSong" w:hAnsi="FangSong" w:eastAsia="FangSong" w:cs="FangSong"/>
          <w:sz w:val="24"/>
          <w:szCs w:val="24"/>
          <w:spacing w:val="47"/>
        </w:rPr>
        <w:t xml:space="preserve"> </w:t>
      </w:r>
      <w:r>
        <w:rPr>
          <w:rFonts w:ascii="FangSong" w:hAnsi="FangSong" w:eastAsia="FangSong" w:cs="FangSong"/>
          <w:sz w:val="24"/>
          <w:szCs w:val="24"/>
          <w:b/>
          <w:bCs/>
          <w:spacing w:val="-4"/>
        </w:rPr>
        <w:t>国家法律法规和强制性标准及有关标准的关系</w:t>
      </w:r>
    </w:p>
    <w:p>
      <w:pPr>
        <w:ind w:right="9" w:firstLine="515"/>
        <w:spacing w:before="110" w:line="300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5"/>
        </w:rPr>
        <w:t>本文件为团体标准，</w:t>
      </w:r>
      <w:r>
        <w:rPr>
          <w:rFonts w:ascii="FangSong" w:hAnsi="FangSong" w:eastAsia="FangSong" w:cs="FangSong"/>
          <w:sz w:val="24"/>
          <w:szCs w:val="24"/>
          <w:spacing w:val="-59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5"/>
        </w:rPr>
        <w:t>在编制过程中，参考了</w:t>
      </w:r>
      <w:r>
        <w:rPr>
          <w:rFonts w:ascii="FangSong" w:hAnsi="FangSong" w:eastAsia="FangSong" w:cs="FangSong"/>
          <w:sz w:val="24"/>
          <w:szCs w:val="24"/>
          <w:spacing w:val="-37"/>
        </w:rPr>
        <w:t xml:space="preserve"> </w:t>
      </w:r>
      <w:r>
        <w:rPr>
          <w:rFonts w:ascii="FangSong" w:hAnsi="FangSong" w:eastAsia="FangSong" w:cs="FangSong"/>
          <w:sz w:val="24"/>
          <w:szCs w:val="24"/>
        </w:rPr>
        <w:t>GB</w:t>
      </w:r>
      <w:r>
        <w:rPr>
          <w:rFonts w:ascii="FangSong" w:hAnsi="FangSong" w:eastAsia="FangSong" w:cs="FangSong"/>
          <w:sz w:val="24"/>
          <w:szCs w:val="24"/>
          <w:spacing w:val="5"/>
        </w:rPr>
        <w:t>/T32150-2</w:t>
      </w:r>
      <w:r>
        <w:rPr>
          <w:rFonts w:ascii="FangSong" w:hAnsi="FangSong" w:eastAsia="FangSong" w:cs="FangSong"/>
          <w:sz w:val="24"/>
          <w:szCs w:val="24"/>
          <w:spacing w:val="4"/>
        </w:rPr>
        <w:t>015</w:t>
      </w:r>
      <w:r>
        <w:rPr>
          <w:rFonts w:ascii="FangSong" w:hAnsi="FangSong" w:eastAsia="FangSong" w:cs="FangSong"/>
          <w:sz w:val="24"/>
          <w:szCs w:val="24"/>
          <w:spacing w:val="-30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4"/>
        </w:rPr>
        <w:t>工业企业温室气体排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4"/>
        </w:rPr>
        <w:t>放核算和报告通则、</w:t>
      </w:r>
      <w:r>
        <w:rPr>
          <w:rFonts w:ascii="FangSong" w:hAnsi="FangSong" w:eastAsia="FangSong" w:cs="FangSong"/>
          <w:sz w:val="24"/>
          <w:szCs w:val="24"/>
        </w:rPr>
        <w:t>GB</w:t>
      </w:r>
      <w:r>
        <w:rPr>
          <w:rFonts w:ascii="FangSong" w:hAnsi="FangSong" w:eastAsia="FangSong" w:cs="FangSong"/>
          <w:sz w:val="24"/>
          <w:szCs w:val="24"/>
          <w:spacing w:val="4"/>
        </w:rPr>
        <w:t>/T31490.1-2015</w:t>
      </w:r>
      <w:r>
        <w:rPr>
          <w:rFonts w:ascii="FangSong" w:hAnsi="FangSong" w:eastAsia="FangSong" w:cs="FangSong"/>
          <w:sz w:val="24"/>
          <w:szCs w:val="24"/>
          <w:spacing w:val="-37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4"/>
        </w:rPr>
        <w:t>社区信息</w:t>
      </w:r>
      <w:r>
        <w:rPr>
          <w:rFonts w:ascii="FangSong" w:hAnsi="FangSong" w:eastAsia="FangSong" w:cs="FangSong"/>
          <w:sz w:val="24"/>
          <w:szCs w:val="24"/>
          <w:spacing w:val="3"/>
        </w:rPr>
        <w:t>化第</w:t>
      </w:r>
      <w:r>
        <w:rPr>
          <w:rFonts w:ascii="FangSong" w:hAnsi="FangSong" w:eastAsia="FangSong" w:cs="FangSong"/>
          <w:sz w:val="24"/>
          <w:szCs w:val="24"/>
          <w:spacing w:val="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3"/>
        </w:rPr>
        <w:t>1</w:t>
      </w:r>
      <w:r>
        <w:rPr>
          <w:rFonts w:ascii="FangSong" w:hAnsi="FangSong" w:eastAsia="FangSong" w:cs="FangSong"/>
          <w:sz w:val="24"/>
          <w:szCs w:val="24"/>
          <w:spacing w:val="-36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3"/>
        </w:rPr>
        <w:t>部分：总则、</w:t>
      </w:r>
      <w:r>
        <w:rPr>
          <w:rFonts w:ascii="FangSong" w:hAnsi="FangSong" w:eastAsia="FangSong" w:cs="FangSong"/>
          <w:sz w:val="24"/>
          <w:szCs w:val="24"/>
        </w:rPr>
        <w:t>ISO</w:t>
      </w:r>
      <w:r>
        <w:rPr>
          <w:rFonts w:ascii="FangSong" w:hAnsi="FangSong" w:eastAsia="FangSong" w:cs="FangSong"/>
          <w:sz w:val="24"/>
          <w:szCs w:val="24"/>
          <w:spacing w:val="3"/>
        </w:rPr>
        <w:t>14064-1:2018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10"/>
        </w:rPr>
        <w:t>温室气体第</w:t>
      </w:r>
      <w:r>
        <w:rPr>
          <w:rFonts w:ascii="FangSong" w:hAnsi="FangSong" w:eastAsia="FangSong" w:cs="FangSong"/>
          <w:sz w:val="24"/>
          <w:szCs w:val="24"/>
          <w:spacing w:val="10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10"/>
        </w:rPr>
        <w:t>1</w:t>
      </w:r>
      <w:r>
        <w:rPr>
          <w:rFonts w:ascii="FangSong" w:hAnsi="FangSong" w:eastAsia="FangSong" w:cs="FangSong"/>
          <w:sz w:val="24"/>
          <w:szCs w:val="24"/>
          <w:spacing w:val="-2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10"/>
        </w:rPr>
        <w:t>部分：组织层次上对温室气体排</w:t>
      </w:r>
      <w:r>
        <w:rPr>
          <w:rFonts w:ascii="FangSong" w:hAnsi="FangSong" w:eastAsia="FangSong" w:cs="FangSong"/>
          <w:sz w:val="24"/>
          <w:szCs w:val="24"/>
          <w:spacing w:val="9"/>
        </w:rPr>
        <w:t>放和清除的量化与报告的规范及指南、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</w:rPr>
        <w:t>GB</w:t>
      </w:r>
      <w:r>
        <w:rPr>
          <w:rFonts w:ascii="FangSong" w:hAnsi="FangSong" w:eastAsia="FangSong" w:cs="FangSong"/>
          <w:sz w:val="24"/>
          <w:szCs w:val="24"/>
          <w:spacing w:val="11"/>
        </w:rPr>
        <w:t>/T24067</w:t>
      </w:r>
      <w:r>
        <w:rPr>
          <w:rFonts w:ascii="FangSong" w:hAnsi="FangSong" w:eastAsia="FangSong" w:cs="FangSong"/>
          <w:sz w:val="24"/>
          <w:szCs w:val="24"/>
          <w:spacing w:val="1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11"/>
        </w:rPr>
        <w:t>温室气体产品碳中和量化要求和指南等现有标准，并结合碳中和社区建设</w:t>
      </w:r>
      <w:r>
        <w:rPr>
          <w:rFonts w:ascii="FangSong" w:hAnsi="FangSong" w:eastAsia="FangSong" w:cs="FangSong"/>
          <w:sz w:val="24"/>
          <w:szCs w:val="24"/>
          <w:spacing w:val="17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12"/>
        </w:rPr>
        <w:t>现状进行了标准内容的定义。因此，本标准内容与现行的国家标准、行业标准是相协</w:t>
      </w:r>
      <w:r>
        <w:rPr>
          <w:rFonts w:ascii="FangSong" w:hAnsi="FangSong" w:eastAsia="FangSong" w:cs="FangSong"/>
          <w:sz w:val="24"/>
          <w:szCs w:val="24"/>
          <w:spacing w:val="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10"/>
        </w:rPr>
        <w:t>调的，并且符合国家有关法律、法规和相关强制性标准的要求。</w:t>
      </w:r>
    </w:p>
    <w:p>
      <w:pPr>
        <w:ind w:left="1"/>
        <w:spacing w:before="2" w:line="217" w:lineRule="auto"/>
        <w:outlineLvl w:val="2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b/>
          <w:bCs/>
          <w:spacing w:val="-2"/>
        </w:rPr>
        <w:t>4.3</w:t>
      </w:r>
      <w:r>
        <w:rPr>
          <w:rFonts w:ascii="FangSong" w:hAnsi="FangSong" w:eastAsia="FangSong" w:cs="FangSong"/>
          <w:sz w:val="24"/>
          <w:szCs w:val="24"/>
          <w:spacing w:val="-2"/>
        </w:rPr>
        <w:t xml:space="preserve"> </w:t>
      </w:r>
      <w:r>
        <w:rPr>
          <w:rFonts w:ascii="FangSong" w:hAnsi="FangSong" w:eastAsia="FangSong" w:cs="FangSong"/>
          <w:sz w:val="24"/>
          <w:szCs w:val="24"/>
          <w:b/>
          <w:bCs/>
          <w:spacing w:val="-2"/>
        </w:rPr>
        <w:t>本标准与上位标准或其他相关标准不同点</w:t>
      </w:r>
    </w:p>
    <w:p>
      <w:pPr>
        <w:ind w:left="514"/>
        <w:spacing w:before="106" w:line="217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9"/>
        </w:rPr>
        <w:t>碳中和社区方面暂无评价合规方面的标准，填补了空白。</w:t>
      </w:r>
    </w:p>
    <w:p>
      <w:pPr>
        <w:spacing w:line="217" w:lineRule="auto"/>
        <w:sectPr>
          <w:pgSz w:w="11907" w:h="16839"/>
          <w:pgMar w:top="1431" w:right="1129" w:bottom="0" w:left="1424" w:header="0" w:footer="0" w:gutter="0"/>
        </w:sectPr>
        <w:rPr>
          <w:rFonts w:ascii="FangSong" w:hAnsi="FangSong" w:eastAsia="FangSong" w:cs="FangSong"/>
          <w:sz w:val="24"/>
          <w:szCs w:val="24"/>
        </w:rPr>
      </w:pPr>
    </w:p>
    <w:p>
      <w:pPr>
        <w:ind w:left="3"/>
        <w:spacing w:before="62" w:line="218" w:lineRule="auto"/>
        <w:outlineLvl w:val="1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b/>
          <w:bCs/>
          <w:spacing w:val="-2"/>
        </w:rPr>
        <w:t>5</w:t>
      </w:r>
      <w:r>
        <w:rPr>
          <w:rFonts w:ascii="FangSong" w:hAnsi="FangSong" w:eastAsia="FangSong" w:cs="FangSong"/>
          <w:sz w:val="24"/>
          <w:szCs w:val="24"/>
          <w:spacing w:val="-2"/>
        </w:rPr>
        <w:t xml:space="preserve">  </w:t>
      </w:r>
      <w:r>
        <w:rPr>
          <w:rFonts w:ascii="FangSong" w:hAnsi="FangSong" w:eastAsia="FangSong" w:cs="FangSong"/>
          <w:sz w:val="24"/>
          <w:szCs w:val="24"/>
          <w:b/>
          <w:bCs/>
          <w:spacing w:val="-2"/>
        </w:rPr>
        <w:t>标准主要技术内容的论据或依据；修订标准时，应增加新、旧标准水平的对比情况</w:t>
      </w:r>
    </w:p>
    <w:p>
      <w:pPr>
        <w:ind w:left="3"/>
        <w:spacing w:before="105" w:line="218" w:lineRule="auto"/>
        <w:outlineLvl w:val="2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b/>
          <w:bCs/>
          <w:spacing w:val="-3"/>
        </w:rPr>
        <w:t>5.1</w:t>
      </w:r>
      <w:r>
        <w:rPr>
          <w:rFonts w:ascii="FangSong" w:hAnsi="FangSong" w:eastAsia="FangSong" w:cs="FangSong"/>
          <w:sz w:val="24"/>
          <w:szCs w:val="24"/>
          <w:spacing w:val="-3"/>
        </w:rPr>
        <w:t xml:space="preserve">  </w:t>
      </w:r>
      <w:r>
        <w:rPr>
          <w:rFonts w:ascii="FangSong" w:hAnsi="FangSong" w:eastAsia="FangSong" w:cs="FangSong"/>
          <w:sz w:val="24"/>
          <w:szCs w:val="24"/>
          <w:b/>
          <w:bCs/>
          <w:spacing w:val="-3"/>
        </w:rPr>
        <w:t>标准主要技术内容的论据或依据</w:t>
      </w:r>
    </w:p>
    <w:p>
      <w:pPr>
        <w:ind w:left="6" w:firstLine="480"/>
        <w:spacing w:before="107" w:line="300" w:lineRule="auto"/>
        <w:jc w:val="both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-1"/>
        </w:rPr>
        <w:t>本标准采用一确认边界、二核算、三减排、四评价的思路，规定了碳中和社区评价的</w:t>
      </w:r>
      <w:r>
        <w:rPr>
          <w:rFonts w:ascii="FangSong" w:hAnsi="FangSong" w:eastAsia="FangSong" w:cs="FangSong"/>
          <w:sz w:val="24"/>
          <w:szCs w:val="24"/>
          <w:spacing w:val="1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基本原则、管理边界和范围、碳排放核算与报告要求、评价指标体系、评价要求、评价方</w:t>
      </w:r>
      <w:r>
        <w:rPr>
          <w:rFonts w:ascii="FangSong" w:hAnsi="FangSong" w:eastAsia="FangSong" w:cs="FangSong"/>
          <w:sz w:val="24"/>
          <w:szCs w:val="24"/>
          <w:spacing w:val="1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法与结果、碳排放及碳中和评价报告编制等。标准以</w:t>
      </w:r>
      <w:r>
        <w:rPr>
          <w:rFonts w:ascii="FangSong" w:hAnsi="FangSong" w:eastAsia="FangSong" w:cs="FangSong"/>
          <w:sz w:val="24"/>
          <w:szCs w:val="24"/>
          <w:spacing w:val="-5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GB/T</w:t>
      </w:r>
      <w:r>
        <w:rPr>
          <w:rFonts w:ascii="FangSong" w:hAnsi="FangSong" w:eastAsia="FangSong" w:cs="FangSong"/>
          <w:sz w:val="24"/>
          <w:szCs w:val="24"/>
          <w:spacing w:val="-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32150、ISO</w:t>
      </w:r>
      <w:r>
        <w:rPr>
          <w:rFonts w:ascii="FangSong" w:hAnsi="FangSong" w:eastAsia="FangSong" w:cs="FangSong"/>
          <w:sz w:val="24"/>
          <w:szCs w:val="24"/>
          <w:spacing w:val="-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14064-1</w:t>
      </w:r>
      <w:r>
        <w:rPr>
          <w:rFonts w:ascii="FangSong" w:hAnsi="FangSong" w:eastAsia="FangSong" w:cs="FangSong"/>
          <w:sz w:val="24"/>
          <w:szCs w:val="24"/>
          <w:spacing w:val="-36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等标</w:t>
      </w:r>
      <w:r>
        <w:rPr>
          <w:rFonts w:ascii="FangSong" w:hAnsi="FangSong" w:eastAsia="FangSong" w:cs="FangSong"/>
          <w:sz w:val="24"/>
          <w:szCs w:val="24"/>
          <w:spacing w:val="-2"/>
        </w:rPr>
        <w:t>准为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依据，规定了社区碳排放核算的方法、评价指标要求等。</w:t>
      </w:r>
    </w:p>
    <w:p>
      <w:pPr>
        <w:ind w:left="5" w:right="1" w:firstLine="480"/>
        <w:spacing w:before="8" w:line="299" w:lineRule="auto"/>
        <w:jc w:val="both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-6"/>
        </w:rPr>
        <w:t>碳中和社区的实现基于物质和能量循环原理，通过优化社区内的能源、资源流动，</w:t>
      </w:r>
      <w:r>
        <w:rPr>
          <w:rFonts w:ascii="FangSong" w:hAnsi="FangSong" w:eastAsia="FangSong" w:cs="FangSong"/>
          <w:sz w:val="24"/>
          <w:szCs w:val="24"/>
          <w:spacing w:val="78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6"/>
        </w:rPr>
        <w:t>实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5"/>
        </w:rPr>
        <w:t>现碳排放与碳吸收的平衡。在能源供应方面，</w:t>
      </w:r>
      <w:r>
        <w:rPr>
          <w:rFonts w:ascii="FangSong" w:hAnsi="FangSong" w:eastAsia="FangSong" w:cs="FangSong"/>
          <w:sz w:val="24"/>
          <w:szCs w:val="24"/>
          <w:spacing w:val="67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5"/>
        </w:rPr>
        <w:t>鼓励采用可</w:t>
      </w:r>
      <w:r>
        <w:rPr>
          <w:rFonts w:ascii="FangSong" w:hAnsi="FangSong" w:eastAsia="FangSong" w:cs="FangSong"/>
          <w:sz w:val="24"/>
          <w:szCs w:val="24"/>
          <w:spacing w:val="-6"/>
        </w:rPr>
        <w:t>再生能源，如太阳能光伏发电利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用光生伏特效应将太阳能转化为电能，风能发电利用风力带动风轮机旋转进而发电，从根</w:t>
      </w:r>
      <w:r>
        <w:rPr>
          <w:rFonts w:ascii="FangSong" w:hAnsi="FangSong" w:eastAsia="FangSong" w:cs="FangSong"/>
          <w:sz w:val="24"/>
          <w:szCs w:val="24"/>
          <w:spacing w:val="18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本上减少对传统化石能源的依赖，降低碳排放。在碳捕获与储存方面，借鉴自然生态系统</w:t>
      </w:r>
      <w:r>
        <w:rPr>
          <w:rFonts w:ascii="FangSong" w:hAnsi="FangSong" w:eastAsia="FangSong" w:cs="FangSong"/>
          <w:sz w:val="24"/>
          <w:szCs w:val="24"/>
          <w:spacing w:val="16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的碳汇原理，鼓励增加社区内的植被覆盖，利用植物的光合作用吸收并固定二氧化碳，</w:t>
      </w:r>
      <w:r>
        <w:rPr>
          <w:rFonts w:ascii="FangSong" w:hAnsi="FangSong" w:eastAsia="FangSong" w:cs="FangSong"/>
          <w:sz w:val="24"/>
          <w:szCs w:val="24"/>
          <w:spacing w:val="-25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实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现碳的有效去除。同时，鼓励推行绿色交通方案，鼓励自行车出行和公共交通使用。同时</w:t>
      </w:r>
      <w:r>
        <w:rPr>
          <w:rFonts w:ascii="FangSong" w:hAnsi="FangSong" w:eastAsia="FangSong" w:cs="FangSong"/>
          <w:sz w:val="24"/>
          <w:szCs w:val="24"/>
          <w:spacing w:val="1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2"/>
        </w:rPr>
        <w:t>社区应有明确的治理机构，制定碳中和实施计划，开展碳中和宣教活动。</w:t>
      </w:r>
    </w:p>
    <w:p>
      <w:pPr>
        <w:ind w:left="3" w:firstLine="483"/>
        <w:spacing w:line="300" w:lineRule="auto"/>
        <w:jc w:val="both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-1"/>
        </w:rPr>
        <w:t>本标准适用于第三方机构实施社区碳中和评价。开展碳中和社区创建工作时也可参照</w:t>
      </w:r>
      <w:r>
        <w:rPr>
          <w:rFonts w:ascii="FangSong" w:hAnsi="FangSong" w:eastAsia="FangSong" w:cs="FangSong"/>
          <w:sz w:val="24"/>
          <w:szCs w:val="24"/>
          <w:spacing w:val="15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2"/>
        </w:rPr>
        <w:t>执行。主要内容包括：</w:t>
      </w:r>
      <w:r>
        <w:rPr>
          <w:rFonts w:ascii="FangSong" w:hAnsi="FangSong" w:eastAsia="FangSong" w:cs="FangSong"/>
          <w:sz w:val="24"/>
          <w:szCs w:val="24"/>
          <w:spacing w:val="-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2"/>
        </w:rPr>
        <w:t>1.</w:t>
      </w:r>
      <w:r>
        <w:rPr>
          <w:rFonts w:ascii="FangSong" w:hAnsi="FangSong" w:eastAsia="FangSong" w:cs="FangSong"/>
          <w:sz w:val="24"/>
          <w:szCs w:val="24"/>
          <w:spacing w:val="29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2"/>
        </w:rPr>
        <w:t>范围</w:t>
      </w:r>
      <w:r>
        <w:rPr>
          <w:rFonts w:ascii="FangSong" w:hAnsi="FangSong" w:eastAsia="FangSong" w:cs="FangSong"/>
          <w:sz w:val="24"/>
          <w:szCs w:val="24"/>
          <w:spacing w:val="-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2"/>
        </w:rPr>
        <w:t>2.</w:t>
      </w:r>
      <w:r>
        <w:rPr>
          <w:rFonts w:ascii="FangSong" w:hAnsi="FangSong" w:eastAsia="FangSong" w:cs="FangSong"/>
          <w:sz w:val="24"/>
          <w:szCs w:val="24"/>
          <w:spacing w:val="-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2"/>
        </w:rPr>
        <w:t>规范性引用文件</w:t>
      </w:r>
      <w:r>
        <w:rPr>
          <w:rFonts w:ascii="FangSong" w:hAnsi="FangSong" w:eastAsia="FangSong" w:cs="FangSong"/>
          <w:sz w:val="24"/>
          <w:szCs w:val="24"/>
          <w:spacing w:val="-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2"/>
        </w:rPr>
        <w:t>3</w:t>
      </w:r>
      <w:r>
        <w:rPr>
          <w:rFonts w:ascii="FangSong" w:hAnsi="FangSong" w:eastAsia="FangSong" w:cs="FangSong"/>
          <w:sz w:val="24"/>
          <w:szCs w:val="24"/>
          <w:spacing w:val="-3"/>
        </w:rPr>
        <w:t>.</w:t>
      </w:r>
      <w:r>
        <w:rPr>
          <w:rFonts w:ascii="FangSong" w:hAnsi="FangSong" w:eastAsia="FangSong" w:cs="FangSong"/>
          <w:sz w:val="24"/>
          <w:szCs w:val="24"/>
          <w:spacing w:val="17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术语和定义</w:t>
      </w:r>
      <w:r>
        <w:rPr>
          <w:rFonts w:ascii="FangSong" w:hAnsi="FangSong" w:eastAsia="FangSong" w:cs="FangSong"/>
          <w:sz w:val="24"/>
          <w:szCs w:val="24"/>
          <w:spacing w:val="8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4.</w:t>
      </w:r>
      <w:r>
        <w:rPr>
          <w:rFonts w:ascii="FangSong" w:hAnsi="FangSong" w:eastAsia="FangSong" w:cs="FangSong"/>
          <w:sz w:val="24"/>
          <w:szCs w:val="24"/>
          <w:spacing w:val="29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3"/>
        </w:rPr>
        <w:t>管理边界和范围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5.</w:t>
      </w:r>
      <w:r>
        <w:rPr>
          <w:rFonts w:ascii="FangSong" w:hAnsi="FangSong" w:eastAsia="FangSong" w:cs="FangSong"/>
          <w:sz w:val="24"/>
          <w:szCs w:val="24"/>
          <w:spacing w:val="3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碳排放核算与报告要求</w:t>
      </w:r>
      <w:r>
        <w:rPr>
          <w:rFonts w:ascii="FangSong" w:hAnsi="FangSong" w:eastAsia="FangSong" w:cs="FangSong"/>
          <w:sz w:val="24"/>
          <w:szCs w:val="24"/>
          <w:spacing w:val="-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6.</w:t>
      </w:r>
      <w:r>
        <w:rPr>
          <w:rFonts w:ascii="FangSong" w:hAnsi="FangSong" w:eastAsia="FangSong" w:cs="FangSong"/>
          <w:sz w:val="24"/>
          <w:szCs w:val="24"/>
          <w:spacing w:val="3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1"/>
        </w:rPr>
        <w:t>碳中和社区指标</w:t>
      </w:r>
      <w:r>
        <w:rPr>
          <w:rFonts w:ascii="FangSong" w:hAnsi="FangSong" w:eastAsia="FangSong" w:cs="FangSong"/>
          <w:sz w:val="24"/>
          <w:szCs w:val="24"/>
          <w:spacing w:val="-2"/>
        </w:rPr>
        <w:t>体系</w:t>
      </w:r>
      <w:r>
        <w:rPr>
          <w:rFonts w:ascii="FangSong" w:hAnsi="FangSong" w:eastAsia="FangSong" w:cs="FangSong"/>
          <w:sz w:val="24"/>
          <w:szCs w:val="24"/>
          <w:spacing w:val="3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2"/>
        </w:rPr>
        <w:t>7.</w:t>
      </w:r>
      <w:r>
        <w:rPr>
          <w:rFonts w:ascii="FangSong" w:hAnsi="FangSong" w:eastAsia="FangSong" w:cs="FangSong"/>
          <w:sz w:val="24"/>
          <w:szCs w:val="24"/>
          <w:spacing w:val="3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2"/>
        </w:rPr>
        <w:t>碳中和社区评价流程</w:t>
      </w:r>
      <w:r>
        <w:rPr>
          <w:rFonts w:ascii="FangSong" w:hAnsi="FangSong" w:eastAsia="FangSong" w:cs="FangSong"/>
          <w:sz w:val="24"/>
          <w:szCs w:val="24"/>
          <w:spacing w:val="-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2"/>
        </w:rPr>
        <w:t>8.</w:t>
      </w:r>
      <w:r>
        <w:rPr>
          <w:rFonts w:ascii="FangSong" w:hAnsi="FangSong" w:eastAsia="FangSong" w:cs="FangSong"/>
          <w:sz w:val="24"/>
          <w:szCs w:val="24"/>
          <w:spacing w:val="33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2"/>
        </w:rPr>
        <w:t>碳中和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-2"/>
        </w:rPr>
        <w:t>社区评价结果。</w:t>
      </w:r>
    </w:p>
    <w:p>
      <w:pPr>
        <w:ind w:left="517"/>
        <w:spacing w:line="218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2"/>
        </w:rPr>
        <w:t>主要技术内容如下：</w:t>
      </w:r>
    </w:p>
    <w:p>
      <w:pPr>
        <w:ind w:left="510"/>
        <w:spacing w:before="108" w:line="217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9"/>
        </w:rPr>
        <w:t>（1）碳排放核算与报告要求</w:t>
      </w:r>
    </w:p>
    <w:p>
      <w:pPr>
        <w:ind w:left="3" w:right="15" w:firstLine="505"/>
        <w:spacing w:before="106" w:line="300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9"/>
        </w:rPr>
        <w:t>从社区碳排放活动、温室气体排放量的计算方法</w:t>
      </w:r>
      <w:r>
        <w:rPr>
          <w:rFonts w:ascii="FangSong" w:hAnsi="FangSong" w:eastAsia="FangSong" w:cs="FangSong"/>
          <w:sz w:val="24"/>
          <w:szCs w:val="24"/>
          <w:spacing w:val="-65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9"/>
        </w:rPr>
        <w:t>、温室气体减排措施</w:t>
      </w:r>
      <w:r>
        <w:rPr>
          <w:rFonts w:ascii="FangSong" w:hAnsi="FangSong" w:eastAsia="FangSong" w:cs="FangSong"/>
          <w:sz w:val="24"/>
          <w:szCs w:val="24"/>
          <w:spacing w:val="-69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9"/>
        </w:rPr>
        <w:t>、温室气体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9"/>
        </w:rPr>
        <w:t>排放量的抵消、温室气体排放报告五方面进行描述。</w:t>
      </w:r>
    </w:p>
    <w:p>
      <w:pPr>
        <w:ind w:left="510"/>
        <w:spacing w:line="218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9"/>
        </w:rPr>
        <w:t>（2）碳中和社区指标体系</w:t>
      </w:r>
    </w:p>
    <w:p>
      <w:pPr>
        <w:ind w:left="8" w:right="15" w:firstLine="502"/>
        <w:spacing w:before="107" w:line="300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8"/>
        </w:rPr>
        <w:t>碳排放情况、社区建筑</w:t>
      </w:r>
      <w:r>
        <w:rPr>
          <w:rFonts w:ascii="FangSong" w:hAnsi="FangSong" w:eastAsia="FangSong" w:cs="FangSong"/>
          <w:sz w:val="24"/>
          <w:szCs w:val="24"/>
          <w:spacing w:val="-7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8"/>
        </w:rPr>
        <w:t>、社区公共设施、能源使用、</w:t>
      </w:r>
      <w:r>
        <w:rPr>
          <w:rFonts w:ascii="FangSong" w:hAnsi="FangSong" w:eastAsia="FangSong" w:cs="FangSong"/>
          <w:sz w:val="24"/>
          <w:szCs w:val="24"/>
          <w:spacing w:val="7"/>
        </w:rPr>
        <w:t>水资源利用</w:t>
      </w:r>
      <w:r>
        <w:rPr>
          <w:rFonts w:ascii="FangSong" w:hAnsi="FangSong" w:eastAsia="FangSong" w:cs="FangSong"/>
          <w:sz w:val="24"/>
          <w:szCs w:val="24"/>
          <w:spacing w:val="-70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7"/>
        </w:rPr>
        <w:t>、</w:t>
      </w:r>
      <w:r>
        <w:rPr>
          <w:rFonts w:ascii="FangSong" w:hAnsi="FangSong" w:eastAsia="FangSong" w:cs="FangSong"/>
          <w:sz w:val="24"/>
          <w:szCs w:val="24"/>
          <w:spacing w:val="-67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7"/>
        </w:rPr>
        <w:t>固体废弃物管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9"/>
        </w:rPr>
        <w:t>理、社区运营与治理、社区零碳生活</w:t>
      </w:r>
      <w:r>
        <w:rPr>
          <w:rFonts w:ascii="FangSong" w:hAnsi="FangSong" w:eastAsia="FangSong" w:cs="FangSong"/>
          <w:sz w:val="24"/>
          <w:szCs w:val="24"/>
          <w:spacing w:val="-12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9"/>
        </w:rPr>
        <w:t>8</w:t>
      </w:r>
      <w:r>
        <w:rPr>
          <w:rFonts w:ascii="FangSong" w:hAnsi="FangSong" w:eastAsia="FangSong" w:cs="FangSong"/>
          <w:sz w:val="24"/>
          <w:szCs w:val="24"/>
          <w:spacing w:val="-21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9"/>
        </w:rPr>
        <w:t>项一级指标，规范数据获取行为，本文件明确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7"/>
        </w:rPr>
        <w:t>了在收集数据时应遵守的要求。</w:t>
      </w:r>
    </w:p>
    <w:p>
      <w:pPr>
        <w:ind w:left="510"/>
        <w:spacing w:line="218" w:lineRule="auto"/>
        <w:outlineLvl w:val="3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9"/>
        </w:rPr>
        <w:t>（3）碳中和社区评价流程</w:t>
      </w:r>
    </w:p>
    <w:p>
      <w:pPr>
        <w:ind w:left="511"/>
        <w:spacing w:before="108" w:line="218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8"/>
        </w:rPr>
        <w:t>评价原则与方式、评价流程。</w:t>
      </w:r>
    </w:p>
    <w:p>
      <w:pPr>
        <w:ind w:left="510"/>
        <w:spacing w:before="106" w:line="218" w:lineRule="auto"/>
        <w:outlineLvl w:val="3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9"/>
        </w:rPr>
        <w:t>（4）碳中和社区评价结果</w:t>
      </w:r>
    </w:p>
    <w:p>
      <w:pPr>
        <w:ind w:left="507"/>
        <w:spacing w:before="107" w:line="219" w:lineRule="auto"/>
        <w:outlineLvl w:val="1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2"/>
        </w:rPr>
        <w:t>5</w:t>
      </w:r>
      <w:r>
        <w:rPr>
          <w:rFonts w:ascii="FangSong" w:hAnsi="FangSong" w:eastAsia="FangSong" w:cs="FangSong"/>
          <w:sz w:val="24"/>
          <w:szCs w:val="24"/>
          <w:spacing w:val="-17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2"/>
        </w:rPr>
        <w:t>个级别，分别</w:t>
      </w:r>
      <w:r>
        <w:rPr>
          <w:rFonts w:ascii="FangSong" w:hAnsi="FangSong" w:eastAsia="FangSong" w:cs="FangSong"/>
          <w:sz w:val="24"/>
          <w:szCs w:val="24"/>
          <w:spacing w:val="-42"/>
        </w:rPr>
        <w:t xml:space="preserve"> </w:t>
      </w:r>
      <w:r>
        <w:rPr>
          <w:rFonts w:ascii="FangSong" w:hAnsi="FangSong" w:eastAsia="FangSong" w:cs="FangSong"/>
          <w:sz w:val="24"/>
          <w:szCs w:val="24"/>
        </w:rPr>
        <w:t>AAA</w:t>
      </w:r>
      <w:r>
        <w:rPr>
          <w:rFonts w:ascii="FangSong" w:hAnsi="FangSong" w:eastAsia="FangSong" w:cs="FangSong"/>
          <w:sz w:val="24"/>
          <w:szCs w:val="24"/>
          <w:spacing w:val="-3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2"/>
        </w:rPr>
        <w:t>级、</w:t>
      </w:r>
      <w:r>
        <w:rPr>
          <w:rFonts w:ascii="FangSong" w:hAnsi="FangSong" w:eastAsia="FangSong" w:cs="FangSong"/>
          <w:sz w:val="24"/>
          <w:szCs w:val="24"/>
        </w:rPr>
        <w:t>AA</w:t>
      </w:r>
      <w:r>
        <w:rPr>
          <w:rFonts w:ascii="FangSong" w:hAnsi="FangSong" w:eastAsia="FangSong" w:cs="FangSong"/>
          <w:sz w:val="24"/>
          <w:szCs w:val="24"/>
          <w:spacing w:val="-3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2"/>
        </w:rPr>
        <w:t>级、A</w:t>
      </w:r>
      <w:r>
        <w:rPr>
          <w:rFonts w:ascii="FangSong" w:hAnsi="FangSong" w:eastAsia="FangSong" w:cs="FangSong"/>
          <w:sz w:val="24"/>
          <w:szCs w:val="24"/>
          <w:spacing w:val="-3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2"/>
        </w:rPr>
        <w:t>级、B</w:t>
      </w:r>
      <w:r>
        <w:rPr>
          <w:rFonts w:ascii="FangSong" w:hAnsi="FangSong" w:eastAsia="FangSong" w:cs="FangSong"/>
          <w:sz w:val="24"/>
          <w:szCs w:val="24"/>
          <w:spacing w:val="-3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2"/>
        </w:rPr>
        <w:t>级、C</w:t>
      </w:r>
      <w:r>
        <w:rPr>
          <w:rFonts w:ascii="FangSong" w:hAnsi="FangSong" w:eastAsia="FangSong" w:cs="FangSong"/>
          <w:sz w:val="24"/>
          <w:szCs w:val="24"/>
          <w:spacing w:val="-3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2"/>
        </w:rPr>
        <w:t>级。</w:t>
      </w:r>
    </w:p>
    <w:p>
      <w:pPr>
        <w:ind w:left="3"/>
        <w:spacing w:before="105" w:line="218" w:lineRule="auto"/>
        <w:outlineLvl w:val="2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b/>
          <w:bCs/>
          <w:spacing w:val="-2"/>
        </w:rPr>
        <w:t>5.2</w:t>
      </w:r>
      <w:r>
        <w:rPr>
          <w:rFonts w:ascii="FangSong" w:hAnsi="FangSong" w:eastAsia="FangSong" w:cs="FangSong"/>
          <w:sz w:val="24"/>
          <w:szCs w:val="24"/>
          <w:spacing w:val="-2"/>
        </w:rPr>
        <w:t xml:space="preserve">  </w:t>
      </w:r>
      <w:r>
        <w:rPr>
          <w:rFonts w:ascii="FangSong" w:hAnsi="FangSong" w:eastAsia="FangSong" w:cs="FangSong"/>
          <w:sz w:val="24"/>
          <w:szCs w:val="24"/>
          <w:b/>
          <w:bCs/>
          <w:spacing w:val="-2"/>
        </w:rPr>
        <w:t>修订标准时，应增加新、旧标准水平的</w:t>
      </w:r>
      <w:r>
        <w:rPr>
          <w:rFonts w:ascii="FangSong" w:hAnsi="FangSong" w:eastAsia="FangSong" w:cs="FangSong"/>
          <w:sz w:val="24"/>
          <w:szCs w:val="24"/>
          <w:b/>
          <w:bCs/>
          <w:spacing w:val="-3"/>
        </w:rPr>
        <w:t>对比</w:t>
      </w:r>
    </w:p>
    <w:p>
      <w:pPr>
        <w:ind w:left="511"/>
        <w:spacing w:before="107" w:line="217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9"/>
        </w:rPr>
        <w:t>本文件为新编标准，未替代或废止现行相关规范或标准。</w:t>
      </w:r>
    </w:p>
    <w:p>
      <w:pPr>
        <w:spacing w:before="107" w:line="217" w:lineRule="auto"/>
        <w:outlineLvl w:val="1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b/>
          <w:bCs/>
          <w:spacing w:val="-2"/>
        </w:rPr>
        <w:t>6</w:t>
      </w:r>
      <w:r>
        <w:rPr>
          <w:rFonts w:ascii="FangSong" w:hAnsi="FangSong" w:eastAsia="FangSong" w:cs="FangSong"/>
          <w:sz w:val="24"/>
          <w:szCs w:val="24"/>
          <w:spacing w:val="-2"/>
        </w:rPr>
        <w:t xml:space="preserve">  </w:t>
      </w:r>
      <w:r>
        <w:rPr>
          <w:rFonts w:ascii="FangSong" w:hAnsi="FangSong" w:eastAsia="FangSong" w:cs="FangSong"/>
          <w:sz w:val="24"/>
          <w:szCs w:val="24"/>
          <w:b/>
          <w:bCs/>
          <w:spacing w:val="-2"/>
        </w:rPr>
        <w:t>主要试验（验证）的分析、综述报告，技术经济论证，预期的经济效果</w:t>
      </w:r>
    </w:p>
    <w:p>
      <w:pPr>
        <w:ind w:left="511"/>
        <w:spacing w:before="71" w:line="217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10"/>
        </w:rPr>
        <w:t>本文件目前处于形成征求意见稿的阶段，目</w:t>
      </w:r>
      <w:r>
        <w:rPr>
          <w:rFonts w:ascii="FangSong" w:hAnsi="FangSong" w:eastAsia="FangSong" w:cs="FangSong"/>
          <w:sz w:val="24"/>
          <w:szCs w:val="24"/>
          <w:spacing w:val="9"/>
        </w:rPr>
        <w:t>前暂无试验结果。</w:t>
      </w:r>
    </w:p>
    <w:p>
      <w:pPr>
        <w:ind w:left="4"/>
        <w:spacing w:before="68" w:line="217" w:lineRule="auto"/>
        <w:outlineLvl w:val="1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b/>
          <w:bCs/>
          <w:spacing w:val="-3"/>
        </w:rPr>
        <w:t>7</w:t>
      </w:r>
      <w:r>
        <w:rPr>
          <w:rFonts w:ascii="FangSong" w:hAnsi="FangSong" w:eastAsia="FangSong" w:cs="FangSong"/>
          <w:sz w:val="24"/>
          <w:szCs w:val="24"/>
          <w:spacing w:val="-3"/>
        </w:rPr>
        <w:t xml:space="preserve">  </w:t>
      </w:r>
      <w:r>
        <w:rPr>
          <w:rFonts w:ascii="FangSong" w:hAnsi="FangSong" w:eastAsia="FangSong" w:cs="FangSong"/>
          <w:sz w:val="24"/>
          <w:szCs w:val="24"/>
          <w:b/>
          <w:bCs/>
          <w:spacing w:val="-3"/>
        </w:rPr>
        <w:t>采用国际标准的程度及水平的简要说明</w:t>
      </w:r>
    </w:p>
    <w:p>
      <w:pPr>
        <w:ind w:left="537"/>
        <w:spacing w:before="107" w:line="216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8"/>
        </w:rPr>
        <w:t>国际、国外尚未发布针对能源大数据</w:t>
      </w:r>
      <w:r>
        <w:rPr>
          <w:rFonts w:ascii="FangSong" w:hAnsi="FangSong" w:eastAsia="FangSong" w:cs="FangSong"/>
          <w:sz w:val="24"/>
          <w:szCs w:val="24"/>
          <w:spacing w:val="40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8"/>
        </w:rPr>
        <w:t>数据合规管理指南相关标准。</w:t>
      </w:r>
    </w:p>
    <w:p>
      <w:pPr>
        <w:spacing w:before="110" w:line="219" w:lineRule="auto"/>
        <w:outlineLvl w:val="1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b/>
          <w:bCs/>
          <w:spacing w:val="-2"/>
        </w:rPr>
        <w:t>8</w:t>
      </w:r>
      <w:r>
        <w:rPr>
          <w:rFonts w:ascii="FangSong" w:hAnsi="FangSong" w:eastAsia="FangSong" w:cs="FangSong"/>
          <w:sz w:val="24"/>
          <w:szCs w:val="24"/>
          <w:spacing w:val="-2"/>
        </w:rPr>
        <w:t xml:space="preserve">  </w:t>
      </w:r>
      <w:r>
        <w:rPr>
          <w:rFonts w:ascii="FangSong" w:hAnsi="FangSong" w:eastAsia="FangSong" w:cs="FangSong"/>
          <w:sz w:val="24"/>
          <w:szCs w:val="24"/>
          <w:b/>
          <w:bCs/>
          <w:spacing w:val="-2"/>
        </w:rPr>
        <w:t>重大分歧意见的处理经过和依据</w:t>
      </w:r>
    </w:p>
    <w:p>
      <w:pPr>
        <w:spacing w:line="219" w:lineRule="auto"/>
        <w:sectPr>
          <w:pgSz w:w="11907" w:h="16839"/>
          <w:pgMar w:top="1431" w:right="1130" w:bottom="0" w:left="1428" w:header="0" w:footer="0" w:gutter="0"/>
        </w:sectPr>
        <w:rPr>
          <w:rFonts w:ascii="FangSong" w:hAnsi="FangSong" w:eastAsia="FangSong" w:cs="FangSong"/>
          <w:sz w:val="24"/>
          <w:szCs w:val="24"/>
        </w:rPr>
      </w:pPr>
    </w:p>
    <w:p>
      <w:pPr>
        <w:ind w:left="509"/>
        <w:spacing w:before="62" w:line="217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8"/>
        </w:rPr>
        <w:t>标准研制过程中未涉及重大分歧意见。</w:t>
      </w:r>
    </w:p>
    <w:p>
      <w:pPr>
        <w:spacing w:before="106" w:line="218" w:lineRule="auto"/>
        <w:outlineLvl w:val="1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b/>
          <w:bCs/>
          <w:spacing w:val="-2"/>
        </w:rPr>
        <w:t>9</w:t>
      </w:r>
      <w:r>
        <w:rPr>
          <w:rFonts w:ascii="FangSong" w:hAnsi="FangSong" w:eastAsia="FangSong" w:cs="FangSong"/>
          <w:sz w:val="24"/>
          <w:szCs w:val="24"/>
          <w:spacing w:val="-2"/>
        </w:rPr>
        <w:t xml:space="preserve">  </w:t>
      </w:r>
      <w:r>
        <w:rPr>
          <w:rFonts w:ascii="FangSong" w:hAnsi="FangSong" w:eastAsia="FangSong" w:cs="FangSong"/>
          <w:sz w:val="24"/>
          <w:szCs w:val="24"/>
          <w:b/>
          <w:bCs/>
          <w:spacing w:val="-2"/>
        </w:rPr>
        <w:t>贯彻标准的要求和措施建议（包括组织措施、技术措施、过渡办法等</w:t>
      </w:r>
      <w:r>
        <w:rPr>
          <w:rFonts w:ascii="FangSong" w:hAnsi="FangSong" w:eastAsia="FangSong" w:cs="FangSong"/>
          <w:sz w:val="24"/>
          <w:szCs w:val="24"/>
          <w:b/>
          <w:bCs/>
          <w:spacing w:val="-3"/>
        </w:rPr>
        <w:t>内容）</w:t>
      </w:r>
    </w:p>
    <w:p>
      <w:pPr>
        <w:ind w:left="8" w:firstLine="503"/>
        <w:spacing w:before="107" w:line="300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12"/>
        </w:rPr>
        <w:t>本文件发布后可由对标准进行宣贯，并在相关地区进行推广。建议在实施</w:t>
      </w:r>
      <w:r>
        <w:rPr>
          <w:rFonts w:ascii="FangSong" w:hAnsi="FangSong" w:eastAsia="FangSong" w:cs="FangSong"/>
          <w:sz w:val="24"/>
          <w:szCs w:val="24"/>
          <w:spacing w:val="11"/>
        </w:rPr>
        <w:t>过程中</w:t>
      </w:r>
      <w:r>
        <w:rPr>
          <w:rFonts w:ascii="FangSong" w:hAnsi="FangSong" w:eastAsia="FangSong" w:cs="FangSong"/>
          <w:sz w:val="24"/>
          <w:szCs w:val="24"/>
        </w:rPr>
        <w:t xml:space="preserve"> </w:t>
      </w:r>
      <w:r>
        <w:rPr>
          <w:rFonts w:ascii="FangSong" w:hAnsi="FangSong" w:eastAsia="FangSong" w:cs="FangSong"/>
          <w:sz w:val="24"/>
          <w:szCs w:val="24"/>
          <w:spacing w:val="9"/>
        </w:rPr>
        <w:t>对发现的问题及时反馈，有助于标准的修订和完善。</w:t>
      </w:r>
    </w:p>
    <w:p>
      <w:pPr>
        <w:ind w:left="16"/>
        <w:spacing w:line="217" w:lineRule="auto"/>
        <w:outlineLvl w:val="1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b/>
          <w:bCs/>
          <w:spacing w:val="-3"/>
        </w:rPr>
        <w:t>10</w:t>
      </w:r>
      <w:r>
        <w:rPr>
          <w:rFonts w:ascii="FangSong" w:hAnsi="FangSong" w:eastAsia="FangSong" w:cs="FangSong"/>
          <w:sz w:val="24"/>
          <w:szCs w:val="24"/>
          <w:spacing w:val="-3"/>
        </w:rPr>
        <w:t xml:space="preserve">  </w:t>
      </w:r>
      <w:r>
        <w:rPr>
          <w:rFonts w:ascii="FangSong" w:hAnsi="FangSong" w:eastAsia="FangSong" w:cs="FangSong"/>
          <w:sz w:val="24"/>
          <w:szCs w:val="24"/>
          <w:b/>
          <w:bCs/>
          <w:spacing w:val="-3"/>
        </w:rPr>
        <w:t>其他应予说明的事项，如涉及专利的处理等</w:t>
      </w:r>
    </w:p>
    <w:p>
      <w:pPr>
        <w:ind w:left="513"/>
        <w:spacing w:before="106" w:line="221" w:lineRule="auto"/>
        <w:rPr>
          <w:rFonts w:ascii="FangSong" w:hAnsi="FangSong" w:eastAsia="FangSong" w:cs="FangSong"/>
          <w:sz w:val="24"/>
          <w:szCs w:val="24"/>
        </w:rPr>
      </w:pPr>
      <w:r>
        <w:rPr>
          <w:rFonts w:ascii="FangSong" w:hAnsi="FangSong" w:eastAsia="FangSong" w:cs="FangSong"/>
          <w:sz w:val="24"/>
          <w:szCs w:val="24"/>
          <w:spacing w:val="-10"/>
        </w:rPr>
        <w:t>无。</w:t>
      </w:r>
    </w:p>
    <w:sectPr>
      <w:pgSz w:w="11907" w:h="16839"/>
      <w:pgMar w:top="1431" w:right="1148" w:bottom="0" w:left="1428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Microsoft® Word 2021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标准名称</dc:title>
  <dc:creator>CNIS</dc:creator>
  <dcterms:created xsi:type="dcterms:W3CDTF">2025-04-29T14:56:54Z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2025-04-29T15:10:05</vt:filetime>
  </property>
</Properties>
</file>