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43C" w:rsidRDefault="00837FC7">
      <w:pPr>
        <w:pStyle w:val="af6"/>
        <w:framePr w:wrap="around"/>
      </w:pPr>
      <w:bookmarkStart w:id="0" w:name="WXFLH"/>
      <w:r>
        <w:rPr>
          <w:rFonts w:ascii="Times New Roman"/>
        </w:rPr>
        <w:t>ICS</w:t>
      </w:r>
      <w:r>
        <w:rPr>
          <w:rFonts w:hAnsi="黑体"/>
        </w:rPr>
        <w:t> </w:t>
      </w:r>
      <w:r>
        <w:t xml:space="preserve">03.100.01 </w:t>
      </w:r>
    </w:p>
    <w:p w:rsidR="005A643C" w:rsidRDefault="00837FC7">
      <w:pPr>
        <w:pStyle w:val="af6"/>
        <w:framePr w:wrap="around"/>
      </w:pPr>
      <w:r>
        <w:t>A 02</w:t>
      </w:r>
      <w:bookmarkEnd w:id="0"/>
    </w:p>
    <w:p w:rsidR="005A643C" w:rsidRDefault="005A643C">
      <w:pPr>
        <w:pStyle w:val="af6"/>
        <w:framePr w:wrap="around"/>
      </w:pPr>
    </w:p>
    <w:p w:rsidR="005A643C" w:rsidRDefault="00837FC7">
      <w:pPr>
        <w:pStyle w:val="af7"/>
        <w:framePr w:wrap="around"/>
      </w:pPr>
      <w:r>
        <w:t>DB</w:t>
      </w:r>
      <w:bookmarkStart w:id="1" w:name="c3"/>
      <w:r>
        <w:t>13</w:t>
      </w:r>
      <w:bookmarkEnd w:id="1"/>
    </w:p>
    <w:p w:rsidR="005A643C" w:rsidRDefault="00837FC7">
      <w:pPr>
        <w:pStyle w:val="af9"/>
        <w:framePr w:wrap="around"/>
      </w:pPr>
      <w:bookmarkStart w:id="2" w:name="c4"/>
      <w:r>
        <w:rPr>
          <w:rFonts w:hint="eastAsia"/>
        </w:rPr>
        <w:t>河北省</w:t>
      </w:r>
      <w:bookmarkEnd w:id="2"/>
      <w:r>
        <w:rPr>
          <w:rFonts w:hint="eastAsia"/>
        </w:rPr>
        <w:t>地方标准</w:t>
      </w:r>
    </w:p>
    <w:p w:rsidR="005A643C" w:rsidRDefault="00837FC7">
      <w:pPr>
        <w:pStyle w:val="22"/>
        <w:framePr w:wrap="around"/>
        <w:rPr>
          <w:rFonts w:hAnsi="黑体"/>
        </w:rPr>
      </w:pPr>
      <w:r>
        <w:rPr>
          <w:rFonts w:ascii="Times New Roman"/>
        </w:rPr>
        <w:t xml:space="preserve">DB </w:t>
      </w:r>
      <w:bookmarkStart w:id="3" w:name="StdNo0"/>
      <w:r w:rsidR="00ED18FE">
        <w:rPr>
          <w:rFonts w:hAnsi="黑体"/>
        </w:rPr>
        <w:fldChar w:fldCharType="begin">
          <w:ffData>
            <w:name w:val="StdNo0"/>
            <w:enabled/>
            <w:calcOnExit w:val="0"/>
            <w:textInput>
              <w:default w:val="XX"/>
              <w:maxLength w:val="2"/>
            </w:textInput>
          </w:ffData>
        </w:fldChar>
      </w:r>
      <w:r>
        <w:rPr>
          <w:rFonts w:hAnsi="黑体"/>
        </w:rPr>
        <w:instrText xml:space="preserve"> FORMTEXT </w:instrText>
      </w:r>
      <w:r w:rsidR="00ED18FE">
        <w:rPr>
          <w:rFonts w:hAnsi="黑体"/>
        </w:rPr>
      </w:r>
      <w:r w:rsidR="00ED18FE">
        <w:rPr>
          <w:rFonts w:hAnsi="黑体"/>
        </w:rPr>
        <w:fldChar w:fldCharType="separate"/>
      </w:r>
      <w:r>
        <w:rPr>
          <w:rFonts w:hAnsi="黑体"/>
        </w:rPr>
        <w:t>13</w:t>
      </w:r>
      <w:r w:rsidR="00ED18FE">
        <w:rPr>
          <w:rFonts w:hAnsi="黑体"/>
        </w:rPr>
        <w:fldChar w:fldCharType="end"/>
      </w:r>
      <w:bookmarkEnd w:id="3"/>
      <w:r>
        <w:rPr>
          <w:rFonts w:hAnsi="黑体"/>
        </w:rPr>
        <w:t xml:space="preserve">/T </w:t>
      </w:r>
      <w:r w:rsidR="00ED18FE">
        <w:rPr>
          <w:rFonts w:hAnsi="黑体"/>
        </w:rPr>
        <w:fldChar w:fldCharType="begin">
          <w:ffData>
            <w:name w:val="StdNo1"/>
            <w:enabled/>
            <w:calcOnExit w:val="0"/>
            <w:textInput>
              <w:default w:val="XXXX"/>
            </w:textInput>
          </w:ffData>
        </w:fldChar>
      </w:r>
      <w:bookmarkStart w:id="4" w:name="StdNo1"/>
      <w:r>
        <w:rPr>
          <w:rFonts w:hAnsi="黑体"/>
        </w:rPr>
        <w:instrText xml:space="preserve"> FORMTEXT </w:instrText>
      </w:r>
      <w:r w:rsidR="00ED18FE">
        <w:rPr>
          <w:rFonts w:hAnsi="黑体"/>
        </w:rPr>
      </w:r>
      <w:r w:rsidR="00ED18FE">
        <w:rPr>
          <w:rFonts w:hAnsi="黑体"/>
        </w:rPr>
        <w:fldChar w:fldCharType="separate"/>
      </w:r>
      <w:r>
        <w:rPr>
          <w:rFonts w:hAnsi="黑体"/>
        </w:rPr>
        <w:t>XXXX</w:t>
      </w:r>
      <w:r w:rsidR="00ED18FE">
        <w:rPr>
          <w:rFonts w:hAnsi="黑体"/>
        </w:rPr>
        <w:fldChar w:fldCharType="end"/>
      </w:r>
      <w:bookmarkEnd w:id="4"/>
      <w:r>
        <w:rPr>
          <w:rFonts w:hAnsi="黑体"/>
        </w:rPr>
        <w:t>—</w:t>
      </w:r>
      <w:bookmarkStart w:id="5" w:name="StdNo2"/>
      <w:r w:rsidR="00ED18FE">
        <w:rPr>
          <w:rFonts w:hAnsi="黑体"/>
        </w:rPr>
        <w:fldChar w:fldCharType="begin">
          <w:ffData>
            <w:name w:val="StdNo2"/>
            <w:enabled/>
            <w:calcOnExit w:val="0"/>
            <w:textInput>
              <w:default w:val="XXXX"/>
              <w:maxLength w:val="4"/>
            </w:textInput>
          </w:ffData>
        </w:fldChar>
      </w:r>
      <w:r>
        <w:rPr>
          <w:rFonts w:hAnsi="黑体"/>
        </w:rPr>
        <w:instrText xml:space="preserve"> FORMTEXT </w:instrText>
      </w:r>
      <w:r w:rsidR="00ED18FE">
        <w:rPr>
          <w:rFonts w:hAnsi="黑体"/>
        </w:rPr>
      </w:r>
      <w:r w:rsidR="00ED18FE">
        <w:rPr>
          <w:rFonts w:hAnsi="黑体"/>
        </w:rPr>
        <w:fldChar w:fldCharType="separate"/>
      </w:r>
      <w:r>
        <w:rPr>
          <w:rFonts w:hAnsi="黑体"/>
        </w:rPr>
        <w:t>XXXX</w:t>
      </w:r>
      <w:r w:rsidR="00ED18FE">
        <w:rPr>
          <w:rFonts w:hAnsi="黑体"/>
        </w:rPr>
        <w:fldChar w:fldCharType="end"/>
      </w:r>
      <w:bookmarkEnd w:id="5"/>
    </w:p>
    <w:tbl>
      <w:tblPr>
        <w:tblW w:w="9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140"/>
      </w:tblGrid>
      <w:tr w:rsidR="005A643C">
        <w:tc>
          <w:tcPr>
            <w:tcW w:w="9140" w:type="dxa"/>
            <w:tcBorders>
              <w:top w:val="nil"/>
              <w:left w:val="nil"/>
              <w:bottom w:val="nil"/>
              <w:right w:val="nil"/>
            </w:tcBorders>
            <w:shd w:val="clear" w:color="auto" w:fill="auto"/>
          </w:tcPr>
          <w:p w:rsidR="005A643C" w:rsidRDefault="00ED18FE">
            <w:pPr>
              <w:pStyle w:val="afa"/>
              <w:framePr w:wrap="around"/>
            </w:pPr>
            <w:bookmarkStart w:id="6" w:name="DT"/>
            <w:r>
              <w:pict>
                <v:rect id="DT" o:spid="_x0000_s1026" style="position:absolute;left:0;text-align:left;margin-left:372.8pt;margin-top:2.7pt;width:77.4pt;height:15.45pt;z-index:-251655168" o:gfxdata="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PUYaFdcAAAAIAQAADwAAAAAAAAABACAAAAAi&#10;AAAAZHJzL2Rvd25yZXYueG1sUEsBAhQAFAAAAAgAh07iQDQZ5mwLAgAAIAQAAA4AAAAAAAAAAQAg&#10;AAAAJgEAAGRycy9lMm9Eb2MueG1sUEsFBgAAAAAGAAYAWQEAAKMFAAAAAA==&#10;" stroked="f"/>
              </w:pict>
            </w:r>
            <w:r>
              <w:fldChar w:fldCharType="begin">
                <w:ffData>
                  <w:name w:val="DT"/>
                  <w:enabled/>
                  <w:calcOnExit w:val="0"/>
                  <w:textInput/>
                </w:ffData>
              </w:fldChar>
            </w:r>
            <w:r w:rsidR="00837FC7">
              <w:instrText xml:space="preserve"> FORMTEXT </w:instrText>
            </w:r>
            <w:r>
              <w:fldChar w:fldCharType="separate"/>
            </w:r>
            <w:r w:rsidR="00837FC7">
              <w:t>     </w:t>
            </w:r>
            <w:r>
              <w:fldChar w:fldCharType="end"/>
            </w:r>
            <w:bookmarkEnd w:id="6"/>
          </w:p>
        </w:tc>
      </w:tr>
    </w:tbl>
    <w:p w:rsidR="005A643C" w:rsidRDefault="005A643C">
      <w:pPr>
        <w:pStyle w:val="22"/>
        <w:framePr w:wrap="around"/>
        <w:rPr>
          <w:rFonts w:hAnsi="黑体"/>
        </w:rPr>
      </w:pPr>
    </w:p>
    <w:p w:rsidR="005A643C" w:rsidRDefault="005A643C">
      <w:pPr>
        <w:pStyle w:val="22"/>
        <w:framePr w:wrap="around"/>
        <w:rPr>
          <w:rFonts w:hAnsi="黑体"/>
        </w:rPr>
      </w:pPr>
    </w:p>
    <w:p w:rsidR="00D51477" w:rsidRDefault="00D51477">
      <w:pPr>
        <w:pStyle w:val="afb"/>
        <w:framePr w:wrap="around"/>
      </w:pPr>
      <w:bookmarkStart w:id="7" w:name="OLE_LINK12"/>
      <w:bookmarkStart w:id="8" w:name="OLE_LINK13"/>
      <w:bookmarkStart w:id="9" w:name="OLE_LINK20"/>
      <w:r w:rsidRPr="00D51477">
        <w:rPr>
          <w:rFonts w:hint="eastAsia"/>
        </w:rPr>
        <w:t>自来水制水单位产品综合能源消耗限额</w:t>
      </w:r>
    </w:p>
    <w:p w:rsidR="005A643C" w:rsidRDefault="00D51477">
      <w:pPr>
        <w:pStyle w:val="afb"/>
        <w:framePr w:wrap="around"/>
      </w:pPr>
      <w:r w:rsidRPr="00D51477">
        <w:rPr>
          <w:rFonts w:hint="eastAsia"/>
        </w:rPr>
        <w:t>引导性指标</w:t>
      </w:r>
      <w:bookmarkEnd w:id="7"/>
      <w:bookmarkEnd w:id="8"/>
      <w:bookmarkEnd w:id="9"/>
    </w:p>
    <w:p w:rsidR="005A643C" w:rsidRDefault="00D51477">
      <w:pPr>
        <w:pStyle w:val="afc"/>
        <w:framePr w:wrap="around"/>
      </w:pPr>
      <w:r w:rsidRPr="00D51477">
        <w:t>Guiding Indicators for the Comprehensive Energy Consumption Quota per Unit Product of Tap Water Production Units</w:t>
      </w:r>
    </w:p>
    <w:p w:rsidR="005A643C" w:rsidRDefault="00D85B86">
      <w:pPr>
        <w:pStyle w:val="afd"/>
        <w:framePr w:wrap="around"/>
      </w:pPr>
      <w:r>
        <w:rPr>
          <w:rFonts w:hint="eastAsia"/>
        </w:rPr>
        <w:t>（网上征求意见稿）</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639"/>
      </w:tblGrid>
      <w:tr w:rsidR="005A643C">
        <w:tc>
          <w:tcPr>
            <w:tcW w:w="9639" w:type="dxa"/>
            <w:tcBorders>
              <w:top w:val="nil"/>
              <w:left w:val="nil"/>
              <w:bottom w:val="nil"/>
              <w:right w:val="nil"/>
            </w:tcBorders>
            <w:shd w:val="clear" w:color="auto" w:fill="auto"/>
          </w:tcPr>
          <w:p w:rsidR="005A643C" w:rsidRDefault="00ED18FE" w:rsidP="00D51477">
            <w:pPr>
              <w:pStyle w:val="afe"/>
              <w:framePr w:wrap="around"/>
            </w:pPr>
            <w:r>
              <w:pict>
                <v:rect id="RQ" o:spid="_x0000_s1033" style="position:absolute;left:0;text-align:left;margin-left:173.3pt;margin-top:45.15pt;width:123pt;height:16.4pt;z-index:-251653120" o:gfxdata="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ra7pn1wAAAAoBAAAPAAAAAAAAAAEAIAAA&#10;ACIAAABkcnMvZG93bnJldi54bWxQSwECFAAUAAAACACHTuJAQXZ4aQ0CAAAhBAAADgAAAAAAAAAB&#10;ACAAAAAmAQAAZHJzL2Uyb0RvYy54bWxQSwUGAAAAAAYABgBZAQAApQUAAAAA&#10;" stroked="f">
                  <w10:anchorlock/>
                </v:rect>
              </w:pict>
            </w:r>
            <w:r>
              <w:pict>
                <v:rect id="LB" o:spid="_x0000_s1032" style="position:absolute;left:0;text-align:left;margin-left:193.3pt;margin-top:20.15pt;width:82pt;height:19.65pt;z-index:-251654144" o:gfxdata="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ioem3XAAAACQEAAA8AAAAAAAAAAQAgAAAA&#10;IgAAAGRycy9kb3ducmV2LnhtbFBLAQIUABQAAAAIAIdO4kBWo5GFDAIAACEEAAAOAAAAAAAAAAEA&#10;IAAAACYBAABkcnMvZTJvRG9jLnhtbFBLBQYAAAAABgAGAFkBAACkBQAAAAA=&#10;" stroked="f"/>
              </w:pict>
            </w:r>
          </w:p>
        </w:tc>
      </w:tr>
      <w:tr w:rsidR="005A643C">
        <w:tc>
          <w:tcPr>
            <w:tcW w:w="9639" w:type="dxa"/>
            <w:tcBorders>
              <w:top w:val="nil"/>
              <w:left w:val="nil"/>
              <w:bottom w:val="nil"/>
              <w:right w:val="nil"/>
            </w:tcBorders>
            <w:shd w:val="clear" w:color="auto" w:fill="auto"/>
          </w:tcPr>
          <w:p w:rsidR="005A643C" w:rsidRDefault="005A643C">
            <w:pPr>
              <w:pStyle w:val="aff"/>
              <w:framePr w:wrap="around"/>
            </w:pPr>
          </w:p>
        </w:tc>
      </w:tr>
    </w:tbl>
    <w:bookmarkStart w:id="10" w:name="FY"/>
    <w:p w:rsidR="005A643C" w:rsidRDefault="00ED18FE">
      <w:pPr>
        <w:pStyle w:val="aff0"/>
        <w:framePr w:wrap="around" w:hAnchor="page" w:x="1396" w:y="14191"/>
      </w:pPr>
      <w:r>
        <w:rPr>
          <w:rFonts w:ascii="黑体"/>
        </w:rPr>
        <w:fldChar w:fldCharType="begin">
          <w:ffData>
            <w:name w:val="FY"/>
            <w:enabled/>
            <w:calcOnExit w:val="0"/>
            <w:textInput>
              <w:default w:val="XXXX"/>
              <w:maxLength w:val="4"/>
            </w:textInput>
          </w:ffData>
        </w:fldChar>
      </w:r>
      <w:r w:rsidR="00837FC7">
        <w:rPr>
          <w:rFonts w:ascii="黑体"/>
        </w:rPr>
        <w:instrText xml:space="preserve"> FORMTEXT </w:instrText>
      </w:r>
      <w:r>
        <w:rPr>
          <w:rFonts w:ascii="黑体"/>
        </w:rPr>
      </w:r>
      <w:r>
        <w:rPr>
          <w:rFonts w:ascii="黑体"/>
        </w:rPr>
        <w:fldChar w:fldCharType="separate"/>
      </w:r>
      <w:r w:rsidR="00837FC7">
        <w:rPr>
          <w:rFonts w:ascii="黑体"/>
        </w:rPr>
        <w:t>XXXX</w:t>
      </w:r>
      <w:r>
        <w:rPr>
          <w:rFonts w:ascii="黑体"/>
        </w:rPr>
        <w:fldChar w:fldCharType="end"/>
      </w:r>
      <w:bookmarkEnd w:id="10"/>
      <w:r w:rsidR="00837FC7">
        <w:rPr>
          <w:rFonts w:ascii="黑体"/>
        </w:rPr>
        <w:t>-</w:t>
      </w:r>
      <w:r>
        <w:rPr>
          <w:rFonts w:ascii="黑体"/>
        </w:rPr>
        <w:fldChar w:fldCharType="begin">
          <w:ffData>
            <w:name w:val="FM"/>
            <w:enabled/>
            <w:calcOnExit w:val="0"/>
            <w:textInput>
              <w:default w:val="XX"/>
              <w:maxLength w:val="2"/>
            </w:textInput>
          </w:ffData>
        </w:fldChar>
      </w:r>
      <w:r w:rsidR="00837FC7">
        <w:rPr>
          <w:rFonts w:ascii="黑体"/>
        </w:rPr>
        <w:instrText xml:space="preserve"> FORMTEXT </w:instrText>
      </w:r>
      <w:r>
        <w:rPr>
          <w:rFonts w:ascii="黑体"/>
        </w:rPr>
      </w:r>
      <w:r>
        <w:rPr>
          <w:rFonts w:ascii="黑体"/>
        </w:rPr>
        <w:fldChar w:fldCharType="separate"/>
      </w:r>
      <w:r w:rsidR="00837FC7">
        <w:rPr>
          <w:rFonts w:ascii="黑体"/>
        </w:rPr>
        <w:t>XX</w:t>
      </w:r>
      <w:r>
        <w:rPr>
          <w:rFonts w:ascii="黑体"/>
        </w:rPr>
        <w:fldChar w:fldCharType="end"/>
      </w:r>
      <w:r w:rsidR="00837FC7">
        <w:rPr>
          <w:rFonts w:ascii="黑体"/>
        </w:rPr>
        <w:t>-</w:t>
      </w:r>
      <w:bookmarkStart w:id="11" w:name="FD"/>
      <w:r>
        <w:rPr>
          <w:rFonts w:ascii="黑体"/>
        </w:rPr>
        <w:fldChar w:fldCharType="begin">
          <w:ffData>
            <w:name w:val="FD"/>
            <w:enabled/>
            <w:calcOnExit w:val="0"/>
            <w:textInput>
              <w:default w:val="XX"/>
              <w:maxLength w:val="2"/>
            </w:textInput>
          </w:ffData>
        </w:fldChar>
      </w:r>
      <w:r w:rsidR="00837FC7">
        <w:rPr>
          <w:rFonts w:ascii="黑体"/>
        </w:rPr>
        <w:instrText xml:space="preserve"> FORMTEXT </w:instrText>
      </w:r>
      <w:r>
        <w:rPr>
          <w:rFonts w:ascii="黑体"/>
        </w:rPr>
      </w:r>
      <w:r>
        <w:rPr>
          <w:rFonts w:ascii="黑体"/>
        </w:rPr>
        <w:fldChar w:fldCharType="separate"/>
      </w:r>
      <w:r w:rsidR="00837FC7">
        <w:rPr>
          <w:rFonts w:ascii="黑体"/>
        </w:rPr>
        <w:t>XX</w:t>
      </w:r>
      <w:r>
        <w:rPr>
          <w:rFonts w:ascii="黑体"/>
        </w:rPr>
        <w:fldChar w:fldCharType="end"/>
      </w:r>
      <w:bookmarkEnd w:id="11"/>
      <w:r w:rsidR="00837FC7">
        <w:rPr>
          <w:rFonts w:hint="eastAsia"/>
        </w:rPr>
        <w:t>发布</w:t>
      </w:r>
    </w:p>
    <w:bookmarkStart w:id="12" w:name="SY"/>
    <w:p w:rsidR="005A643C" w:rsidRDefault="00ED18FE">
      <w:pPr>
        <w:pStyle w:val="aff2"/>
        <w:framePr w:wrap="around" w:hAnchor="page" w:x="7066" w:y="14116"/>
      </w:pPr>
      <w:r>
        <w:rPr>
          <w:rFonts w:ascii="黑体"/>
        </w:rPr>
        <w:fldChar w:fldCharType="begin">
          <w:ffData>
            <w:name w:val="SY"/>
            <w:enabled/>
            <w:calcOnExit w:val="0"/>
            <w:textInput>
              <w:default w:val="XXXX"/>
              <w:maxLength w:val="4"/>
            </w:textInput>
          </w:ffData>
        </w:fldChar>
      </w:r>
      <w:r w:rsidR="00837FC7">
        <w:rPr>
          <w:rFonts w:ascii="黑体"/>
        </w:rPr>
        <w:instrText xml:space="preserve"> FORMTEXT </w:instrText>
      </w:r>
      <w:r>
        <w:rPr>
          <w:rFonts w:ascii="黑体"/>
        </w:rPr>
      </w:r>
      <w:r>
        <w:rPr>
          <w:rFonts w:ascii="黑体"/>
        </w:rPr>
        <w:fldChar w:fldCharType="separate"/>
      </w:r>
      <w:r w:rsidR="00837FC7">
        <w:rPr>
          <w:rFonts w:ascii="黑体"/>
        </w:rPr>
        <w:t>XXXX</w:t>
      </w:r>
      <w:r>
        <w:rPr>
          <w:rFonts w:ascii="黑体"/>
        </w:rPr>
        <w:fldChar w:fldCharType="end"/>
      </w:r>
      <w:bookmarkEnd w:id="12"/>
      <w:r w:rsidR="00837FC7">
        <w:rPr>
          <w:rFonts w:ascii="黑体"/>
        </w:rPr>
        <w:t>-</w:t>
      </w:r>
      <w:bookmarkStart w:id="13" w:name="SM"/>
      <w:r>
        <w:rPr>
          <w:rFonts w:ascii="黑体"/>
        </w:rPr>
        <w:fldChar w:fldCharType="begin">
          <w:ffData>
            <w:name w:val="SM"/>
            <w:enabled/>
            <w:calcOnExit w:val="0"/>
            <w:textInput>
              <w:default w:val="XX"/>
              <w:maxLength w:val="2"/>
            </w:textInput>
          </w:ffData>
        </w:fldChar>
      </w:r>
      <w:r w:rsidR="00837FC7">
        <w:rPr>
          <w:rFonts w:ascii="黑体"/>
        </w:rPr>
        <w:instrText xml:space="preserve"> FORMTEXT </w:instrText>
      </w:r>
      <w:r>
        <w:rPr>
          <w:rFonts w:ascii="黑体"/>
        </w:rPr>
      </w:r>
      <w:r>
        <w:rPr>
          <w:rFonts w:ascii="黑体"/>
        </w:rPr>
        <w:fldChar w:fldCharType="separate"/>
      </w:r>
      <w:r w:rsidR="00837FC7">
        <w:rPr>
          <w:rFonts w:ascii="黑体"/>
        </w:rPr>
        <w:t>XX</w:t>
      </w:r>
      <w:r>
        <w:rPr>
          <w:rFonts w:ascii="黑体"/>
        </w:rPr>
        <w:fldChar w:fldCharType="end"/>
      </w:r>
      <w:bookmarkEnd w:id="13"/>
      <w:r w:rsidR="00837FC7">
        <w:rPr>
          <w:rFonts w:ascii="黑体"/>
        </w:rPr>
        <w:t>-</w:t>
      </w:r>
      <w:bookmarkStart w:id="14" w:name="SD"/>
      <w:r>
        <w:rPr>
          <w:rFonts w:ascii="黑体"/>
        </w:rPr>
        <w:fldChar w:fldCharType="begin">
          <w:ffData>
            <w:name w:val="SD"/>
            <w:enabled/>
            <w:calcOnExit w:val="0"/>
            <w:textInput>
              <w:default w:val="XX"/>
              <w:maxLength w:val="2"/>
            </w:textInput>
          </w:ffData>
        </w:fldChar>
      </w:r>
      <w:r w:rsidR="00837FC7">
        <w:rPr>
          <w:rFonts w:ascii="黑体"/>
        </w:rPr>
        <w:instrText xml:space="preserve"> FORMTEXT </w:instrText>
      </w:r>
      <w:r>
        <w:rPr>
          <w:rFonts w:ascii="黑体"/>
        </w:rPr>
      </w:r>
      <w:r>
        <w:rPr>
          <w:rFonts w:ascii="黑体"/>
        </w:rPr>
        <w:fldChar w:fldCharType="separate"/>
      </w:r>
      <w:r w:rsidR="00837FC7">
        <w:rPr>
          <w:rFonts w:ascii="黑体"/>
        </w:rPr>
        <w:t>XX</w:t>
      </w:r>
      <w:r>
        <w:rPr>
          <w:rFonts w:ascii="黑体"/>
        </w:rPr>
        <w:fldChar w:fldCharType="end"/>
      </w:r>
      <w:bookmarkEnd w:id="14"/>
      <w:r w:rsidR="00837FC7">
        <w:rPr>
          <w:rFonts w:hint="eastAsia"/>
        </w:rPr>
        <w:t>实施</w:t>
      </w:r>
    </w:p>
    <w:p w:rsidR="005A643C" w:rsidRDefault="00ED18FE">
      <w:pPr>
        <w:pStyle w:val="aff4"/>
        <w:framePr w:wrap="around"/>
        <w:sectPr w:rsidR="005A643C">
          <w:pgSz w:w="11906" w:h="16838"/>
          <w:pgMar w:top="567" w:right="850" w:bottom="1134" w:left="1418" w:header="0" w:footer="0" w:gutter="0"/>
          <w:pgNumType w:start="1"/>
          <w:cols w:space="425"/>
          <w:docGrid w:type="lines" w:linePitch="312"/>
        </w:sectPr>
      </w:pPr>
      <w:bookmarkStart w:id="15" w:name="fm"/>
      <w:r w:rsidRPr="00ED18FE">
        <w:pict>
          <v:line id="Line 11" o:spid="_x0000_s1031" style="position:absolute;left:0;text-align:left;z-index:251659264" from="-36.55pt,-552.9pt" to="440.85pt,-552.9pt" o:gfxdata="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HyZFzYAAAADwEAAA8AAAAAAAAAAQAgAAAAIgAAAGRycy9k&#10;b3ducmV2LnhtbFBLAQIUABQAAAAIAIdO4kB+6cenyQEAAKADAAAOAAAAAAAAAAEAIAAAACcBAABk&#10;cnMvZTJvRG9jLnhtbFBLBQYAAAAABgAGAFkBAABiBQAAAAA=&#10;"/>
        </w:pict>
      </w:r>
      <w:r w:rsidR="00837FC7">
        <w:rPr>
          <w:rFonts w:hint="eastAsia"/>
        </w:rPr>
        <w:t>河北省</w:t>
      </w:r>
      <w:r w:rsidRPr="00ED18FE">
        <w:pict>
          <v:line id="_x0000_s1030" style="position:absolute;left:0;text-align:left;z-index:251665408;mso-position-horizontal-relative:text;mso-position-vertical-relative:text" from="-36.6pt,-24.8pt" to="440.8pt,-24.8pt" o:gfxdata="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kUYGytcAAAALAQAADwAAAAAAAAABACAAAAAiAAAAZHJzL2Rv&#10;d25yZXYueG1sUEsBAhQAFAAAAAgAh07iQMqwRDrJAQAAoAMAAA4AAAAAAAAAAQAgAAAAJgEAAGRy&#10;cy9lMm9Eb2MueG1sUEsFBgAAAAAGAAYAWQEAAGEFAAAAAA==&#10;"/>
        </w:pict>
      </w:r>
      <w:r w:rsidR="00837FC7">
        <w:rPr>
          <w:rFonts w:hint="eastAsia"/>
        </w:rPr>
        <w:t>市场监督</w:t>
      </w:r>
      <w:r w:rsidR="00837FC7">
        <w:t>管理局</w:t>
      </w:r>
      <w:bookmarkEnd w:id="15"/>
      <w:r w:rsidR="00837FC7">
        <w:rPr>
          <w:rFonts w:hAnsi="黑体"/>
        </w:rPr>
        <w:t>   </w:t>
      </w:r>
      <w:r w:rsidR="00837FC7">
        <w:rPr>
          <w:rStyle w:val="aff6"/>
          <w:rFonts w:hint="eastAsia"/>
        </w:rPr>
        <w:t>发布</w:t>
      </w:r>
      <w:r w:rsidRPr="00ED18FE">
        <w:pict>
          <v:line id="_x0000_s1029" style="position:absolute;left:0;text-align:left;z-index:251664384;mso-position-horizontal-relative:text;mso-position-vertical-relative:text" from="-.1pt,712.3pt" to="477.3pt,712.3pt" o:gfxdata="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dRQVtYAAAALAQAADwAAAAAAAAABACAAAAAiAAAAZHJzL2Rv&#10;d25yZXYueG1sUEsBAhQAFAAAAAgAh07iQPt7ba7KAQAAoQMAAA4AAAAAAAAAAQAgAAAAJQEAAGRy&#10;cy9lMm9Eb2MueG1sUEsFBgAAAAAGAAYAWQEAAGEFAAAAAA==&#10;"/>
        </w:pict>
      </w:r>
      <w:r w:rsidRPr="00ED18FE">
        <w:pict>
          <v:line id="_x0000_s1028" style="position:absolute;left:0;text-align:left;z-index:251660288;mso-position-horizontal-relative:text;mso-position-vertical-relative:text" from="-.05pt,184.2pt" to="477.35pt,184.2pt" o:gfxdata="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KD6N77XAAAACQEAAA8AAAAAAAAAAQAgAAAAIgAAAGRycy9k&#10;b3ducmV2LnhtbFBLAQIUABQAAAAIAIdO4kDuz3hbygEAAKEDAAAOAAAAAAAAAAEAIAAAACYBAABk&#10;cnMvZTJvRG9jLnhtbFBLBQYAAAAABgAGAFkBAABiBQAAAAA=&#10;"/>
        </w:pict>
      </w:r>
    </w:p>
    <w:p w:rsidR="005A643C" w:rsidRDefault="00837FC7">
      <w:pPr>
        <w:pStyle w:val="af5"/>
      </w:pPr>
      <w:bookmarkStart w:id="16" w:name="_Toc774216963"/>
      <w:r>
        <w:rPr>
          <w:rFonts w:hint="eastAsia"/>
        </w:rPr>
        <w:lastRenderedPageBreak/>
        <w:t>前</w:t>
      </w:r>
      <w:bookmarkStart w:id="17" w:name="BKQY"/>
      <w:r>
        <w:rPr>
          <w:rFonts w:hint="eastAsia"/>
        </w:rPr>
        <w:t>  言</w:t>
      </w:r>
      <w:bookmarkEnd w:id="16"/>
      <w:bookmarkEnd w:id="17"/>
    </w:p>
    <w:p w:rsidR="00D51477" w:rsidRPr="00D51477" w:rsidRDefault="00D51477" w:rsidP="00D51477">
      <w:pPr>
        <w:ind w:firstLineChars="200" w:firstLine="420"/>
      </w:pPr>
      <w:bookmarkStart w:id="18" w:name="OLE_LINK15"/>
      <w:bookmarkStart w:id="19" w:name="OLE_LINK14"/>
      <w:r w:rsidRPr="00D51477">
        <w:rPr>
          <w:rFonts w:hint="eastAsia"/>
        </w:rPr>
        <w:t>本文件</w:t>
      </w:r>
      <w:bookmarkEnd w:id="18"/>
      <w:bookmarkEnd w:id="19"/>
      <w:r w:rsidRPr="00D51477">
        <w:rPr>
          <w:rFonts w:hint="eastAsia"/>
        </w:rPr>
        <w:t>按照</w:t>
      </w:r>
      <w:r w:rsidRPr="00D51477">
        <w:rPr>
          <w:rFonts w:hint="eastAsia"/>
        </w:rPr>
        <w:t>GB/T 1.1</w:t>
      </w:r>
      <w:r w:rsidRPr="00D51477">
        <w:rPr>
          <w:rFonts w:hint="eastAsia"/>
        </w:rPr>
        <w:t>—</w:t>
      </w:r>
      <w:r w:rsidRPr="00D51477">
        <w:rPr>
          <w:rFonts w:hint="eastAsia"/>
        </w:rPr>
        <w:t>2009</w:t>
      </w:r>
      <w:r w:rsidRPr="00D51477">
        <w:rPr>
          <w:rFonts w:hint="eastAsia"/>
        </w:rPr>
        <w:t>给出的规则起草。</w:t>
      </w:r>
    </w:p>
    <w:p w:rsidR="00D51477" w:rsidRPr="00D51477" w:rsidRDefault="00D51477" w:rsidP="00D51477">
      <w:pPr>
        <w:ind w:firstLineChars="200" w:firstLine="420"/>
      </w:pPr>
      <w:r w:rsidRPr="00D51477">
        <w:rPr>
          <w:rFonts w:hint="eastAsia"/>
        </w:rPr>
        <w:t>本文件由河北省发展和改革委员会提出。</w:t>
      </w:r>
    </w:p>
    <w:p w:rsidR="00D51477" w:rsidRPr="00D51477" w:rsidRDefault="00D51477" w:rsidP="00D51477">
      <w:pPr>
        <w:ind w:firstLineChars="200" w:firstLine="420"/>
      </w:pPr>
      <w:r w:rsidRPr="00D51477">
        <w:rPr>
          <w:rFonts w:hint="eastAsia"/>
        </w:rPr>
        <w:t>本文件起草单位：</w:t>
      </w:r>
      <w:bookmarkStart w:id="20" w:name="OLE_LINK17"/>
      <w:bookmarkStart w:id="21" w:name="OLE_LINK16"/>
      <w:r w:rsidRPr="00D51477">
        <w:rPr>
          <w:rFonts w:hint="eastAsia"/>
        </w:rPr>
        <w:t>秦皇岛市节能中心</w:t>
      </w:r>
      <w:bookmarkEnd w:id="20"/>
      <w:bookmarkEnd w:id="21"/>
      <w:r w:rsidRPr="00D51477">
        <w:rPr>
          <w:rFonts w:hint="eastAsia"/>
        </w:rPr>
        <w:t>、</w:t>
      </w:r>
      <w:r w:rsidRPr="00D51477">
        <w:rPr>
          <w:rFonts w:hint="eastAsia"/>
          <w:bCs/>
        </w:rPr>
        <w:t>河北省节能协会</w:t>
      </w:r>
      <w:r w:rsidRPr="00D51477">
        <w:rPr>
          <w:rFonts w:hint="eastAsia"/>
        </w:rPr>
        <w:t>。</w:t>
      </w:r>
    </w:p>
    <w:p w:rsidR="005A643C" w:rsidRDefault="00D51477" w:rsidP="00D51477">
      <w:pPr>
        <w:ind w:firstLineChars="200" w:firstLine="420"/>
        <w:rPr>
          <w:rFonts w:asciiTheme="minorEastAsia" w:eastAsiaTheme="minorEastAsia" w:hAnsiTheme="minorEastAsia" w:cstheme="minorEastAsia"/>
        </w:rPr>
      </w:pPr>
      <w:r w:rsidRPr="00D51477">
        <w:rPr>
          <w:rFonts w:hint="eastAsia"/>
        </w:rPr>
        <w:t>本文件主要起草人：</w:t>
      </w:r>
      <w:r w:rsidRPr="00D51477">
        <w:rPr>
          <w:rFonts w:hint="eastAsia"/>
          <w:bCs/>
        </w:rPr>
        <w:t>安涛、倪英男、马丽娜、于振闪、赵怡、刘继彪、庞玉婷、李海峰、丁玉欣</w:t>
      </w:r>
      <w:r w:rsidRPr="00D51477">
        <w:rPr>
          <w:rFonts w:hint="eastAsia"/>
        </w:rPr>
        <w:t>。</w:t>
      </w:r>
    </w:p>
    <w:p w:rsidR="005A643C" w:rsidRDefault="005A643C">
      <w:pPr>
        <w:ind w:firstLineChars="200" w:firstLine="420"/>
        <w:rPr>
          <w:rFonts w:ascii="宋体"/>
          <w:szCs w:val="21"/>
        </w:rPr>
      </w:pPr>
    </w:p>
    <w:p w:rsidR="005A643C" w:rsidRDefault="005A643C">
      <w:pPr>
        <w:jc w:val="center"/>
        <w:rPr>
          <w:rFonts w:ascii="黑体" w:eastAsia="黑体"/>
          <w:sz w:val="32"/>
          <w:szCs w:val="32"/>
        </w:rPr>
      </w:pPr>
    </w:p>
    <w:p w:rsidR="005A643C" w:rsidRDefault="005A643C">
      <w:pPr>
        <w:jc w:val="center"/>
        <w:rPr>
          <w:rFonts w:ascii="黑体" w:eastAsia="黑体"/>
          <w:sz w:val="32"/>
          <w:szCs w:val="32"/>
        </w:rPr>
      </w:pPr>
    </w:p>
    <w:p w:rsidR="005A643C" w:rsidRDefault="005A643C">
      <w:pPr>
        <w:jc w:val="center"/>
        <w:rPr>
          <w:rFonts w:ascii="黑体" w:eastAsia="黑体"/>
          <w:sz w:val="32"/>
          <w:szCs w:val="32"/>
        </w:rPr>
      </w:pPr>
    </w:p>
    <w:p w:rsidR="005A643C" w:rsidRDefault="005A643C">
      <w:pPr>
        <w:jc w:val="center"/>
        <w:rPr>
          <w:rFonts w:ascii="黑体" w:eastAsia="黑体"/>
          <w:sz w:val="32"/>
          <w:szCs w:val="32"/>
        </w:rPr>
      </w:pPr>
    </w:p>
    <w:p w:rsidR="005A643C" w:rsidRDefault="005A643C">
      <w:pPr>
        <w:jc w:val="center"/>
        <w:rPr>
          <w:rFonts w:ascii="黑体" w:eastAsia="黑体"/>
          <w:sz w:val="32"/>
          <w:szCs w:val="32"/>
        </w:rPr>
      </w:pPr>
    </w:p>
    <w:p w:rsidR="005A643C" w:rsidRDefault="005A643C">
      <w:pPr>
        <w:jc w:val="center"/>
        <w:rPr>
          <w:rFonts w:ascii="黑体" w:eastAsia="黑体"/>
          <w:sz w:val="32"/>
          <w:szCs w:val="32"/>
        </w:rPr>
      </w:pPr>
    </w:p>
    <w:p w:rsidR="005A643C" w:rsidRDefault="005A643C">
      <w:pPr>
        <w:jc w:val="center"/>
        <w:rPr>
          <w:rFonts w:ascii="黑体" w:eastAsia="黑体"/>
          <w:sz w:val="32"/>
          <w:szCs w:val="32"/>
        </w:rPr>
      </w:pPr>
    </w:p>
    <w:p w:rsidR="005A643C" w:rsidRDefault="005A643C">
      <w:pPr>
        <w:rPr>
          <w:rFonts w:ascii="黑体" w:eastAsia="黑体"/>
          <w:sz w:val="32"/>
          <w:szCs w:val="32"/>
        </w:rPr>
      </w:pPr>
    </w:p>
    <w:p w:rsidR="005A643C" w:rsidRDefault="005A643C">
      <w:pPr>
        <w:pStyle w:val="affa"/>
        <w:sectPr w:rsidR="005A643C">
          <w:headerReference w:type="default" r:id="rId8"/>
          <w:footerReference w:type="default" r:id="rId9"/>
          <w:pgSz w:w="11907" w:h="16840"/>
          <w:pgMar w:top="567" w:right="1134" w:bottom="1134" w:left="1418" w:header="1417" w:footer="1134" w:gutter="0"/>
          <w:pgNumType w:fmt="upperRoman"/>
          <w:cols w:space="720"/>
          <w:docGrid w:type="lines" w:linePitch="312"/>
        </w:sectPr>
      </w:pPr>
    </w:p>
    <w:p w:rsidR="005A643C" w:rsidRDefault="00D51477">
      <w:pPr>
        <w:pStyle w:val="affa"/>
        <w:rPr>
          <w:szCs w:val="32"/>
        </w:rPr>
      </w:pPr>
      <w:r w:rsidRPr="00D51477">
        <w:rPr>
          <w:rFonts w:hint="eastAsia"/>
        </w:rPr>
        <w:lastRenderedPageBreak/>
        <w:t>自来水制水单位产品综合能源消耗限额引导性指标</w:t>
      </w:r>
    </w:p>
    <w:p w:rsidR="005A643C" w:rsidRDefault="00837FC7">
      <w:pPr>
        <w:pStyle w:val="a0"/>
        <w:numPr>
          <w:ilvl w:val="0"/>
          <w:numId w:val="6"/>
        </w:numPr>
        <w:spacing w:before="312" w:after="312"/>
      </w:pPr>
      <w:bookmarkStart w:id="22" w:name="_Toc778294747"/>
      <w:r>
        <w:rPr>
          <w:rFonts w:hint="eastAsia"/>
        </w:rPr>
        <w:t>范围</w:t>
      </w:r>
      <w:bookmarkEnd w:id="22"/>
    </w:p>
    <w:p w:rsidR="00D51477" w:rsidRDefault="00D51477" w:rsidP="00D51477">
      <w:pPr>
        <w:ind w:firstLineChars="200" w:firstLine="420"/>
        <w:rPr>
          <w:rFonts w:ascii="宋体"/>
          <w:szCs w:val="21"/>
        </w:rPr>
      </w:pPr>
      <w:bookmarkStart w:id="23" w:name="OLE_LINK29"/>
      <w:bookmarkStart w:id="24" w:name="OLE_LINK28"/>
      <w:bookmarkStart w:id="25" w:name="OLE_LINK27"/>
      <w:bookmarkStart w:id="26" w:name="OLE_LINK26"/>
      <w:r>
        <w:rPr>
          <w:rFonts w:asciiTheme="majorEastAsia" w:eastAsiaTheme="majorEastAsia" w:hAnsiTheme="majorEastAsia" w:hint="eastAsia"/>
          <w:szCs w:val="21"/>
        </w:rPr>
        <w:t>本文件</w:t>
      </w:r>
      <w:r>
        <w:rPr>
          <w:rFonts w:ascii="宋体" w:hint="eastAsia"/>
          <w:szCs w:val="21"/>
        </w:rPr>
        <w:t>规定了自来水制水单位产品综合能源消耗（以下简称能耗）限额的技术要求、统计范围、计算方法及节能措施。</w:t>
      </w:r>
    </w:p>
    <w:bookmarkEnd w:id="23"/>
    <w:bookmarkEnd w:id="24"/>
    <w:p w:rsidR="005A643C" w:rsidRPr="00D51477" w:rsidRDefault="00D51477" w:rsidP="00D51477">
      <w:pPr>
        <w:ind w:firstLineChars="200" w:firstLine="420"/>
        <w:rPr>
          <w:rFonts w:ascii="宋体"/>
          <w:szCs w:val="21"/>
        </w:rPr>
      </w:pPr>
      <w:r>
        <w:rPr>
          <w:rFonts w:asciiTheme="majorEastAsia" w:eastAsiaTheme="majorEastAsia" w:hAnsiTheme="majorEastAsia" w:hint="eastAsia"/>
          <w:szCs w:val="21"/>
        </w:rPr>
        <w:t>本文件</w:t>
      </w:r>
      <w:r>
        <w:rPr>
          <w:rFonts w:ascii="宋体" w:hint="eastAsia"/>
          <w:szCs w:val="21"/>
        </w:rPr>
        <w:t>适用于河北省辖区内自来水制水企业能耗的计算、评价以及对扩建和改建项目的能耗控制。</w:t>
      </w:r>
      <w:bookmarkEnd w:id="25"/>
      <w:bookmarkEnd w:id="26"/>
    </w:p>
    <w:p w:rsidR="005A643C" w:rsidRDefault="00837FC7" w:rsidP="00D51477">
      <w:pPr>
        <w:pStyle w:val="a0"/>
        <w:spacing w:before="312" w:after="312"/>
      </w:pPr>
      <w:bookmarkStart w:id="27" w:name="_Toc1492023335"/>
      <w:r>
        <w:rPr>
          <w:rFonts w:hint="eastAsia"/>
        </w:rPr>
        <w:t>规范性引用文件</w:t>
      </w:r>
      <w:bookmarkEnd w:id="27"/>
    </w:p>
    <w:p w:rsidR="00D51477" w:rsidRDefault="00D51477" w:rsidP="00D51477">
      <w:pPr>
        <w:ind w:firstLineChars="200" w:firstLine="420"/>
        <w:rPr>
          <w:rFonts w:ascii="宋体"/>
          <w:szCs w:val="21"/>
        </w:rPr>
      </w:pPr>
      <w:r>
        <w:rPr>
          <w:rFonts w:ascii="宋体" w:hint="eastAsia"/>
          <w:szCs w:val="21"/>
        </w:rPr>
        <w:t>下列文件对于本文件的应用是必不可少的。凡是注日期的引用文件，仅所注日期的版本适用于本文件。凡是不注日期的引用文件，其最新版本（包括所有的修改单）适用于本文件。</w:t>
      </w:r>
    </w:p>
    <w:p w:rsidR="00D51477" w:rsidRDefault="00D51477" w:rsidP="00D51477">
      <w:pPr>
        <w:ind w:firstLineChars="200" w:firstLine="420"/>
        <w:rPr>
          <w:rFonts w:ascii="宋体"/>
          <w:szCs w:val="21"/>
        </w:rPr>
      </w:pPr>
      <w:r>
        <w:rPr>
          <w:rFonts w:ascii="宋体" w:hint="eastAsia"/>
          <w:szCs w:val="21"/>
        </w:rPr>
        <w:t>GB/T 2587用能设备能量平衡通则</w:t>
      </w:r>
    </w:p>
    <w:p w:rsidR="00D51477" w:rsidRDefault="00D51477" w:rsidP="00D51477">
      <w:pPr>
        <w:ind w:firstLineChars="200" w:firstLine="420"/>
        <w:rPr>
          <w:rFonts w:ascii="宋体"/>
          <w:szCs w:val="21"/>
        </w:rPr>
      </w:pPr>
      <w:r>
        <w:rPr>
          <w:rFonts w:ascii="宋体" w:hint="eastAsia"/>
          <w:szCs w:val="21"/>
        </w:rPr>
        <w:t xml:space="preserve">GB/T 2589 </w:t>
      </w:r>
      <w:bookmarkStart w:id="28" w:name="OLE_LINK7"/>
      <w:bookmarkStart w:id="29" w:name="OLE_LINK6"/>
      <w:r>
        <w:rPr>
          <w:rFonts w:ascii="宋体" w:hint="eastAsia"/>
          <w:szCs w:val="21"/>
        </w:rPr>
        <w:t>综合能耗计算通则</w:t>
      </w:r>
      <w:bookmarkEnd w:id="28"/>
      <w:bookmarkEnd w:id="29"/>
    </w:p>
    <w:p w:rsidR="00D51477" w:rsidRDefault="00D51477" w:rsidP="00D51477">
      <w:pPr>
        <w:ind w:firstLineChars="200" w:firstLine="420"/>
        <w:rPr>
          <w:rFonts w:ascii="宋体"/>
          <w:szCs w:val="21"/>
        </w:rPr>
      </w:pPr>
      <w:r>
        <w:rPr>
          <w:rFonts w:ascii="宋体" w:hint="eastAsia"/>
          <w:szCs w:val="21"/>
        </w:rPr>
        <w:t>GB/T 3484</w:t>
      </w:r>
      <w:bookmarkStart w:id="30" w:name="OLE_LINK9"/>
      <w:bookmarkStart w:id="31" w:name="OLE_LINK8"/>
      <w:r>
        <w:rPr>
          <w:rFonts w:ascii="宋体" w:hint="eastAsia"/>
          <w:szCs w:val="21"/>
        </w:rPr>
        <w:t xml:space="preserve"> 企业能量平衡通则</w:t>
      </w:r>
      <w:bookmarkEnd w:id="30"/>
      <w:bookmarkEnd w:id="31"/>
    </w:p>
    <w:p w:rsidR="00D51477" w:rsidRDefault="00D51477" w:rsidP="00D51477">
      <w:pPr>
        <w:ind w:firstLineChars="200" w:firstLine="420"/>
        <w:rPr>
          <w:rFonts w:ascii="宋体"/>
          <w:szCs w:val="21"/>
        </w:rPr>
      </w:pPr>
      <w:r>
        <w:rPr>
          <w:rFonts w:ascii="宋体" w:hint="eastAsia"/>
          <w:szCs w:val="21"/>
        </w:rPr>
        <w:t xml:space="preserve">GB/T 12723 </w:t>
      </w:r>
      <w:bookmarkStart w:id="32" w:name="OLE_LINK11"/>
      <w:bookmarkStart w:id="33" w:name="OLE_LINK10"/>
      <w:r>
        <w:rPr>
          <w:rFonts w:ascii="宋体" w:hint="eastAsia"/>
          <w:szCs w:val="21"/>
        </w:rPr>
        <w:t>单位产品能源消耗限额编制通则</w:t>
      </w:r>
      <w:bookmarkEnd w:id="32"/>
      <w:bookmarkEnd w:id="33"/>
    </w:p>
    <w:p w:rsidR="00D51477" w:rsidRDefault="00D51477" w:rsidP="00D51477">
      <w:pPr>
        <w:ind w:firstLineChars="200" w:firstLine="420"/>
        <w:rPr>
          <w:rFonts w:ascii="宋体"/>
          <w:szCs w:val="21"/>
        </w:rPr>
      </w:pPr>
      <w:r>
        <w:rPr>
          <w:rFonts w:ascii="宋体" w:hint="eastAsia"/>
          <w:szCs w:val="21"/>
        </w:rPr>
        <w:t>GB 17167 用能单位能源计量器具配备和管理通则</w:t>
      </w:r>
    </w:p>
    <w:p w:rsidR="00D51477" w:rsidRDefault="00D51477" w:rsidP="00D51477">
      <w:pPr>
        <w:ind w:firstLineChars="200" w:firstLine="420"/>
        <w:rPr>
          <w:rFonts w:ascii="宋体"/>
          <w:szCs w:val="21"/>
        </w:rPr>
      </w:pPr>
      <w:r>
        <w:rPr>
          <w:rFonts w:ascii="宋体" w:hint="eastAsia"/>
          <w:szCs w:val="21"/>
        </w:rPr>
        <w:t>GB/T 23331 能源管理体系 要求及使用指南</w:t>
      </w:r>
    </w:p>
    <w:p w:rsidR="00D51477" w:rsidRDefault="00D51477" w:rsidP="00D51477">
      <w:pPr>
        <w:ind w:firstLineChars="200" w:firstLine="420"/>
        <w:rPr>
          <w:rFonts w:ascii="宋体"/>
          <w:szCs w:val="21"/>
        </w:rPr>
      </w:pPr>
      <w:r>
        <w:rPr>
          <w:rFonts w:ascii="宋体" w:hint="eastAsia"/>
          <w:szCs w:val="21"/>
        </w:rPr>
        <w:t xml:space="preserve">GB 5749 </w:t>
      </w:r>
      <w:bookmarkStart w:id="34" w:name="OLE_LINK3"/>
      <w:bookmarkStart w:id="35" w:name="OLE_LINK2"/>
      <w:bookmarkStart w:id="36" w:name="OLE_LINK1"/>
      <w:r>
        <w:rPr>
          <w:rFonts w:ascii="宋体" w:hint="eastAsia"/>
          <w:szCs w:val="21"/>
        </w:rPr>
        <w:t>生活饮用水卫生标准</w:t>
      </w:r>
      <w:bookmarkEnd w:id="34"/>
      <w:bookmarkEnd w:id="35"/>
      <w:bookmarkEnd w:id="36"/>
    </w:p>
    <w:p w:rsidR="005A643C" w:rsidRPr="00D51477" w:rsidRDefault="00D51477" w:rsidP="00D51477">
      <w:pPr>
        <w:ind w:firstLineChars="200" w:firstLine="420"/>
        <w:rPr>
          <w:rFonts w:ascii="宋体"/>
          <w:szCs w:val="21"/>
        </w:rPr>
      </w:pPr>
      <w:r>
        <w:rPr>
          <w:rFonts w:ascii="宋体" w:hint="eastAsia"/>
          <w:szCs w:val="21"/>
        </w:rPr>
        <w:t xml:space="preserve">GB 50013 </w:t>
      </w:r>
      <w:bookmarkStart w:id="37" w:name="OLE_LINK5"/>
      <w:bookmarkStart w:id="38" w:name="OLE_LINK4"/>
      <w:r>
        <w:rPr>
          <w:rFonts w:ascii="宋体" w:hint="eastAsia"/>
          <w:szCs w:val="21"/>
        </w:rPr>
        <w:t>室外给水设计标准</w:t>
      </w:r>
      <w:bookmarkEnd w:id="37"/>
      <w:bookmarkEnd w:id="38"/>
    </w:p>
    <w:p w:rsidR="005A643C" w:rsidRDefault="00837FC7" w:rsidP="00D51477">
      <w:pPr>
        <w:pStyle w:val="a0"/>
        <w:spacing w:before="312" w:after="312"/>
      </w:pPr>
      <w:bookmarkStart w:id="39" w:name="_Toc343099473"/>
      <w:r>
        <w:rPr>
          <w:rFonts w:hint="eastAsia"/>
        </w:rPr>
        <w:t>术语和定义</w:t>
      </w:r>
      <w:bookmarkEnd w:id="39"/>
    </w:p>
    <w:p w:rsidR="005A643C" w:rsidRDefault="00837FC7" w:rsidP="00D51477">
      <w:pPr>
        <w:pStyle w:val="af1"/>
        <w:ind w:firstLine="420"/>
      </w:pPr>
      <w:r>
        <w:t>GB/T 12723 界定的以及下列术语和定义适用于本文件。</w:t>
      </w:r>
    </w:p>
    <w:p w:rsidR="005A643C" w:rsidRDefault="005A643C" w:rsidP="00D51477">
      <w:pPr>
        <w:pStyle w:val="affb"/>
        <w:numPr>
          <w:ilvl w:val="0"/>
          <w:numId w:val="0"/>
        </w:numPr>
      </w:pPr>
    </w:p>
    <w:p w:rsidR="00D51477" w:rsidRPr="00D81E3A" w:rsidRDefault="00D51477" w:rsidP="00D81E3A">
      <w:pPr>
        <w:pStyle w:val="a1"/>
        <w:spacing w:before="156" w:after="156"/>
        <w:ind w:left="0"/>
      </w:pPr>
      <w:bookmarkStart w:id="40" w:name="OLE_LINK36"/>
      <w:bookmarkStart w:id="41" w:name="OLE_LINK35"/>
      <w:bookmarkStart w:id="42" w:name="_Toc424858749"/>
      <w:r w:rsidRPr="00D81E3A">
        <w:rPr>
          <w:rFonts w:ascii="宋体" w:hint="eastAsia"/>
          <w:bCs/>
        </w:rPr>
        <w:t>自来水制水单位产品综合能耗</w:t>
      </w:r>
    </w:p>
    <w:p w:rsidR="00D51477" w:rsidRDefault="00D51477" w:rsidP="00D85B86">
      <w:pPr>
        <w:ind w:firstLineChars="200" w:firstLine="420"/>
        <w:rPr>
          <w:rFonts w:ascii="宋体"/>
          <w:szCs w:val="21"/>
        </w:rPr>
      </w:pPr>
      <w:r>
        <w:rPr>
          <w:rFonts w:ascii="宋体" w:hint="eastAsia"/>
          <w:szCs w:val="21"/>
        </w:rPr>
        <w:t>报告期内，自来水综合能源消耗与同期内产出自来水总量及供水平均压力的比值。</w:t>
      </w:r>
      <w:bookmarkEnd w:id="40"/>
      <w:bookmarkEnd w:id="41"/>
    </w:p>
    <w:p w:rsidR="00D51477" w:rsidRPr="00D81E3A" w:rsidRDefault="00D51477" w:rsidP="00D81E3A">
      <w:pPr>
        <w:pStyle w:val="a1"/>
        <w:spacing w:before="156" w:after="156"/>
        <w:ind w:left="0"/>
      </w:pPr>
      <w:r w:rsidRPr="00D81E3A">
        <w:rPr>
          <w:rFonts w:ascii="宋体" w:hint="eastAsia"/>
          <w:bCs/>
        </w:rPr>
        <w:t>自来水制水产量</w:t>
      </w:r>
    </w:p>
    <w:p w:rsidR="00D51477" w:rsidRDefault="00D51477" w:rsidP="00D85B86">
      <w:pPr>
        <w:ind w:firstLineChars="200" w:firstLine="420"/>
        <w:rPr>
          <w:rFonts w:ascii="宋体"/>
          <w:szCs w:val="21"/>
        </w:rPr>
      </w:pPr>
      <w:r>
        <w:rPr>
          <w:rFonts w:ascii="宋体" w:hint="eastAsia"/>
          <w:szCs w:val="21"/>
        </w:rPr>
        <w:t>报告期内，自来水制水生产出的符合国家饮用水标准的自来水总量。</w:t>
      </w:r>
    </w:p>
    <w:p w:rsidR="00D51477" w:rsidRPr="00D81E3A" w:rsidRDefault="00D51477" w:rsidP="00D81E3A">
      <w:pPr>
        <w:pStyle w:val="a1"/>
        <w:spacing w:before="156" w:after="156"/>
        <w:ind w:left="0"/>
      </w:pPr>
      <w:r w:rsidRPr="00D81E3A">
        <w:rPr>
          <w:rFonts w:ascii="宋体" w:hint="eastAsia"/>
          <w:bCs/>
        </w:rPr>
        <w:t>供水平均压力</w:t>
      </w:r>
    </w:p>
    <w:p w:rsidR="00D51477" w:rsidRPr="00D85B86" w:rsidRDefault="00D51477" w:rsidP="00D85B86">
      <w:pPr>
        <w:ind w:firstLineChars="200" w:firstLine="420"/>
        <w:rPr>
          <w:rFonts w:ascii="宋体"/>
          <w:szCs w:val="21"/>
        </w:rPr>
      </w:pPr>
      <w:r>
        <w:rPr>
          <w:rFonts w:ascii="宋体" w:hint="eastAsia"/>
          <w:szCs w:val="21"/>
        </w:rPr>
        <w:t>报告期内供水泵站出口平均压力。</w:t>
      </w:r>
    </w:p>
    <w:p w:rsidR="005A643C" w:rsidRDefault="00837FC7" w:rsidP="00D51477">
      <w:pPr>
        <w:pStyle w:val="a0"/>
        <w:spacing w:before="312" w:after="312"/>
      </w:pPr>
      <w:r>
        <w:rPr>
          <w:rFonts w:hint="eastAsia"/>
        </w:rPr>
        <w:t>能耗限额</w:t>
      </w:r>
      <w:bookmarkEnd w:id="42"/>
      <w:r>
        <w:rPr>
          <w:rFonts w:hint="eastAsia"/>
        </w:rPr>
        <w:t>引导性指标及技术要求</w:t>
      </w:r>
    </w:p>
    <w:p w:rsidR="00D51477" w:rsidRDefault="00D51477" w:rsidP="00D51477">
      <w:pPr>
        <w:pStyle w:val="a0"/>
        <w:numPr>
          <w:ilvl w:val="0"/>
          <w:numId w:val="0"/>
        </w:numPr>
        <w:spacing w:before="312" w:after="312"/>
      </w:pPr>
      <w:r>
        <w:rPr>
          <w:rFonts w:hint="eastAsia"/>
        </w:rPr>
        <w:t>4.1自来水制水生产单位产品综合能耗限额引导性指标</w:t>
      </w:r>
    </w:p>
    <w:p w:rsidR="00D51477" w:rsidRDefault="00D51477" w:rsidP="00D51477">
      <w:pPr>
        <w:ind w:firstLineChars="200" w:firstLine="420"/>
        <w:rPr>
          <w:rFonts w:ascii="宋体"/>
          <w:szCs w:val="21"/>
        </w:rPr>
      </w:pPr>
      <w:r>
        <w:rPr>
          <w:rFonts w:ascii="宋体" w:hint="eastAsia"/>
          <w:szCs w:val="21"/>
        </w:rPr>
        <w:t>自来水制水单位产品综合能耗限额引导性指标见表１，其限定值应不大于表中对应的数值，其中１级能耗最低。</w:t>
      </w:r>
    </w:p>
    <w:p w:rsidR="00D81E3A" w:rsidRDefault="00D81E3A" w:rsidP="00D51477">
      <w:pPr>
        <w:jc w:val="center"/>
        <w:rPr>
          <w:rFonts w:ascii="宋体"/>
          <w:szCs w:val="21"/>
        </w:rPr>
      </w:pPr>
    </w:p>
    <w:p w:rsidR="00D51477" w:rsidRDefault="00D51477" w:rsidP="00D51477">
      <w:pPr>
        <w:jc w:val="center"/>
        <w:rPr>
          <w:rFonts w:ascii="宋体"/>
          <w:szCs w:val="21"/>
        </w:rPr>
      </w:pPr>
      <w:r>
        <w:rPr>
          <w:rFonts w:ascii="宋体" w:hint="eastAsia"/>
          <w:szCs w:val="21"/>
        </w:rPr>
        <w:lastRenderedPageBreak/>
        <w:t>表1 自来水制水单位产品综合能耗限额引导性指标</w:t>
      </w:r>
    </w:p>
    <w:p w:rsidR="00D51477" w:rsidRDefault="00D51477" w:rsidP="00D51477">
      <w:pPr>
        <w:ind w:right="420"/>
        <w:jc w:val="center"/>
        <w:rPr>
          <w:rFonts w:ascii="宋体"/>
          <w:szCs w:val="21"/>
        </w:rPr>
      </w:pPr>
      <w:r>
        <w:rPr>
          <w:rFonts w:ascii="宋体" w:hint="eastAsia"/>
          <w:szCs w:val="21"/>
        </w:rPr>
        <w:t xml:space="preserve">                                                                  单位为kgce/ MP·km</w:t>
      </w:r>
      <w:r>
        <w:rPr>
          <w:rFonts w:ascii="宋体" w:hint="eastAsia"/>
          <w:szCs w:val="21"/>
          <w:vertAlign w:val="superscript"/>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9"/>
        <w:gridCol w:w="2082"/>
        <w:gridCol w:w="2268"/>
        <w:gridCol w:w="2410"/>
      </w:tblGrid>
      <w:tr w:rsidR="00D51477" w:rsidTr="00F912E1">
        <w:trPr>
          <w:trHeight w:val="301"/>
        </w:trPr>
        <w:tc>
          <w:tcPr>
            <w:tcW w:w="2279" w:type="dxa"/>
            <w:vMerge w:val="restart"/>
            <w:tcBorders>
              <w:top w:val="single" w:sz="4" w:space="0" w:color="auto"/>
              <w:left w:val="single" w:sz="4" w:space="0" w:color="auto"/>
              <w:bottom w:val="single" w:sz="4" w:space="0" w:color="auto"/>
              <w:right w:val="single" w:sz="4" w:space="0" w:color="auto"/>
            </w:tcBorders>
            <w:vAlign w:val="center"/>
            <w:hideMark/>
          </w:tcPr>
          <w:p w:rsidR="00D51477" w:rsidRDefault="00D51477" w:rsidP="00F912E1">
            <w:pPr>
              <w:jc w:val="center"/>
              <w:rPr>
                <w:rFonts w:ascii="宋体"/>
                <w:szCs w:val="21"/>
              </w:rPr>
            </w:pPr>
            <w:r>
              <w:rPr>
                <w:rFonts w:ascii="宋体" w:hint="eastAsia"/>
                <w:szCs w:val="21"/>
              </w:rPr>
              <w:t>类型</w:t>
            </w:r>
          </w:p>
        </w:tc>
        <w:tc>
          <w:tcPr>
            <w:tcW w:w="6760" w:type="dxa"/>
            <w:gridSpan w:val="3"/>
            <w:tcBorders>
              <w:top w:val="single" w:sz="4" w:space="0" w:color="auto"/>
              <w:left w:val="single" w:sz="4" w:space="0" w:color="auto"/>
              <w:bottom w:val="single" w:sz="4" w:space="0" w:color="auto"/>
              <w:right w:val="single" w:sz="4" w:space="0" w:color="auto"/>
            </w:tcBorders>
            <w:hideMark/>
          </w:tcPr>
          <w:p w:rsidR="00D51477" w:rsidRDefault="00D51477">
            <w:pPr>
              <w:jc w:val="center"/>
              <w:rPr>
                <w:rFonts w:ascii="宋体"/>
                <w:szCs w:val="21"/>
              </w:rPr>
            </w:pPr>
            <w:r>
              <w:rPr>
                <w:rFonts w:ascii="宋体" w:hint="eastAsia"/>
                <w:szCs w:val="21"/>
              </w:rPr>
              <w:t>综合能耗限额引导性指标</w:t>
            </w:r>
          </w:p>
        </w:tc>
      </w:tr>
      <w:tr w:rsidR="00D51477" w:rsidTr="00F912E1">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1477" w:rsidRDefault="00D51477" w:rsidP="00F912E1">
            <w:pPr>
              <w:widowControl/>
              <w:jc w:val="center"/>
              <w:rPr>
                <w:rFonts w:ascii="宋体"/>
                <w:szCs w:val="21"/>
              </w:rPr>
            </w:pPr>
          </w:p>
        </w:tc>
        <w:tc>
          <w:tcPr>
            <w:tcW w:w="2082" w:type="dxa"/>
            <w:tcBorders>
              <w:top w:val="single" w:sz="4" w:space="0" w:color="auto"/>
              <w:left w:val="single" w:sz="4" w:space="0" w:color="auto"/>
              <w:bottom w:val="single" w:sz="4" w:space="0" w:color="auto"/>
              <w:right w:val="single" w:sz="4" w:space="0" w:color="auto"/>
            </w:tcBorders>
            <w:hideMark/>
          </w:tcPr>
          <w:p w:rsidR="00D51477" w:rsidRDefault="00D51477">
            <w:pPr>
              <w:jc w:val="center"/>
              <w:rPr>
                <w:rFonts w:ascii="宋体"/>
                <w:szCs w:val="21"/>
              </w:rPr>
            </w:pPr>
            <w:r>
              <w:rPr>
                <w:rFonts w:ascii="宋体" w:hint="eastAsia"/>
                <w:szCs w:val="21"/>
              </w:rPr>
              <w:t>1</w:t>
            </w:r>
          </w:p>
        </w:tc>
        <w:tc>
          <w:tcPr>
            <w:tcW w:w="2268" w:type="dxa"/>
            <w:tcBorders>
              <w:top w:val="single" w:sz="4" w:space="0" w:color="auto"/>
              <w:left w:val="single" w:sz="4" w:space="0" w:color="auto"/>
              <w:bottom w:val="single" w:sz="4" w:space="0" w:color="auto"/>
              <w:right w:val="single" w:sz="4" w:space="0" w:color="auto"/>
            </w:tcBorders>
            <w:hideMark/>
          </w:tcPr>
          <w:p w:rsidR="00D51477" w:rsidRDefault="00D51477">
            <w:pPr>
              <w:jc w:val="center"/>
              <w:rPr>
                <w:rFonts w:ascii="宋体"/>
                <w:szCs w:val="21"/>
              </w:rPr>
            </w:pPr>
            <w:r>
              <w:rPr>
                <w:rFonts w:ascii="宋体" w:hint="eastAsia"/>
                <w:szCs w:val="21"/>
              </w:rPr>
              <w:t>2</w:t>
            </w:r>
          </w:p>
        </w:tc>
        <w:tc>
          <w:tcPr>
            <w:tcW w:w="2410" w:type="dxa"/>
            <w:tcBorders>
              <w:top w:val="single" w:sz="4" w:space="0" w:color="auto"/>
              <w:left w:val="single" w:sz="4" w:space="0" w:color="auto"/>
              <w:bottom w:val="single" w:sz="4" w:space="0" w:color="auto"/>
              <w:right w:val="single" w:sz="4" w:space="0" w:color="auto"/>
            </w:tcBorders>
            <w:hideMark/>
          </w:tcPr>
          <w:p w:rsidR="00D51477" w:rsidRDefault="00D51477">
            <w:pPr>
              <w:jc w:val="center"/>
              <w:rPr>
                <w:rFonts w:ascii="宋体"/>
                <w:szCs w:val="21"/>
              </w:rPr>
            </w:pPr>
            <w:r>
              <w:rPr>
                <w:rFonts w:ascii="宋体" w:hint="eastAsia"/>
                <w:szCs w:val="21"/>
              </w:rPr>
              <w:t>3</w:t>
            </w:r>
          </w:p>
        </w:tc>
      </w:tr>
      <w:tr w:rsidR="00D51477" w:rsidTr="00F912E1">
        <w:trPr>
          <w:trHeight w:val="458"/>
        </w:trPr>
        <w:tc>
          <w:tcPr>
            <w:tcW w:w="2279" w:type="dxa"/>
            <w:tcBorders>
              <w:top w:val="single" w:sz="4" w:space="0" w:color="auto"/>
              <w:left w:val="single" w:sz="4" w:space="0" w:color="auto"/>
              <w:bottom w:val="single" w:sz="4" w:space="0" w:color="auto"/>
              <w:right w:val="single" w:sz="4" w:space="0" w:color="auto"/>
            </w:tcBorders>
            <w:vAlign w:val="center"/>
            <w:hideMark/>
          </w:tcPr>
          <w:p w:rsidR="00D51477" w:rsidRDefault="00D51477" w:rsidP="00F912E1">
            <w:pPr>
              <w:jc w:val="center"/>
              <w:rPr>
                <w:rFonts w:ascii="宋体"/>
                <w:szCs w:val="21"/>
              </w:rPr>
            </w:pPr>
            <w:r>
              <w:rPr>
                <w:rFonts w:ascii="宋体" w:hint="eastAsia"/>
                <w:szCs w:val="21"/>
              </w:rPr>
              <w:t>自来水制水</w:t>
            </w:r>
          </w:p>
        </w:tc>
        <w:tc>
          <w:tcPr>
            <w:tcW w:w="2082" w:type="dxa"/>
            <w:tcBorders>
              <w:top w:val="single" w:sz="4" w:space="0" w:color="auto"/>
              <w:left w:val="single" w:sz="4" w:space="0" w:color="auto"/>
              <w:bottom w:val="single" w:sz="4" w:space="0" w:color="auto"/>
              <w:right w:val="single" w:sz="4" w:space="0" w:color="auto"/>
            </w:tcBorders>
            <w:hideMark/>
          </w:tcPr>
          <w:p w:rsidR="00D51477" w:rsidRDefault="00D51477">
            <w:pPr>
              <w:jc w:val="center"/>
              <w:rPr>
                <w:rFonts w:ascii="宋体"/>
                <w:szCs w:val="21"/>
              </w:rPr>
            </w:pPr>
            <w:r>
              <w:rPr>
                <w:rFonts w:ascii="宋体" w:hint="eastAsia"/>
                <w:szCs w:val="21"/>
              </w:rPr>
              <w:t>67.9（kgce/MP·km</w:t>
            </w:r>
            <w:r>
              <w:rPr>
                <w:rFonts w:ascii="宋体" w:hint="eastAsia"/>
                <w:szCs w:val="21"/>
                <w:vertAlign w:val="superscript"/>
              </w:rPr>
              <w:t>3</w:t>
            </w:r>
            <w:r>
              <w:rPr>
                <w:rFonts w:ascii="宋体" w:hint="eastAsia"/>
                <w:szCs w:val="21"/>
              </w:rPr>
              <w:t>）</w:t>
            </w:r>
          </w:p>
        </w:tc>
        <w:tc>
          <w:tcPr>
            <w:tcW w:w="2268" w:type="dxa"/>
            <w:tcBorders>
              <w:top w:val="single" w:sz="4" w:space="0" w:color="auto"/>
              <w:left w:val="single" w:sz="4" w:space="0" w:color="auto"/>
              <w:bottom w:val="single" w:sz="4" w:space="0" w:color="auto"/>
              <w:right w:val="single" w:sz="4" w:space="0" w:color="auto"/>
            </w:tcBorders>
            <w:hideMark/>
          </w:tcPr>
          <w:p w:rsidR="00D51477" w:rsidRDefault="00D51477">
            <w:pPr>
              <w:jc w:val="center"/>
              <w:rPr>
                <w:rFonts w:ascii="宋体"/>
                <w:szCs w:val="21"/>
              </w:rPr>
            </w:pPr>
            <w:r>
              <w:rPr>
                <w:rFonts w:ascii="宋体" w:hint="eastAsia"/>
                <w:szCs w:val="21"/>
              </w:rPr>
              <w:t>77.7</w:t>
            </w:r>
          </w:p>
          <w:p w:rsidR="00D51477" w:rsidRDefault="00D51477">
            <w:pPr>
              <w:jc w:val="center"/>
              <w:rPr>
                <w:rFonts w:ascii="宋体"/>
                <w:szCs w:val="21"/>
              </w:rPr>
            </w:pPr>
            <w:r>
              <w:rPr>
                <w:rFonts w:ascii="宋体" w:hint="eastAsia"/>
                <w:szCs w:val="21"/>
              </w:rPr>
              <w:t>（kgce/ MP·km</w:t>
            </w:r>
            <w:r>
              <w:rPr>
                <w:rFonts w:ascii="宋体" w:hint="eastAsia"/>
                <w:szCs w:val="21"/>
                <w:vertAlign w:val="superscript"/>
              </w:rPr>
              <w:t>3</w:t>
            </w:r>
            <w:r>
              <w:rPr>
                <w:rFonts w:ascii="宋体" w:hint="eastAsia"/>
                <w:szCs w:val="21"/>
              </w:rPr>
              <w:t>）</w:t>
            </w:r>
          </w:p>
        </w:tc>
        <w:tc>
          <w:tcPr>
            <w:tcW w:w="2410" w:type="dxa"/>
            <w:tcBorders>
              <w:top w:val="single" w:sz="4" w:space="0" w:color="auto"/>
              <w:left w:val="single" w:sz="4" w:space="0" w:color="auto"/>
              <w:bottom w:val="single" w:sz="4" w:space="0" w:color="auto"/>
              <w:right w:val="single" w:sz="4" w:space="0" w:color="auto"/>
            </w:tcBorders>
            <w:hideMark/>
          </w:tcPr>
          <w:p w:rsidR="00D51477" w:rsidRDefault="00D51477">
            <w:pPr>
              <w:jc w:val="center"/>
              <w:rPr>
                <w:rFonts w:ascii="宋体"/>
                <w:szCs w:val="21"/>
              </w:rPr>
            </w:pPr>
            <w:r>
              <w:rPr>
                <w:rFonts w:ascii="宋体" w:hint="eastAsia"/>
                <w:szCs w:val="21"/>
              </w:rPr>
              <w:t>108.85</w:t>
            </w:r>
          </w:p>
          <w:p w:rsidR="00D51477" w:rsidRDefault="00D51477">
            <w:pPr>
              <w:jc w:val="center"/>
              <w:rPr>
                <w:rFonts w:ascii="宋体"/>
                <w:szCs w:val="21"/>
              </w:rPr>
            </w:pPr>
            <w:r>
              <w:rPr>
                <w:rFonts w:ascii="宋体" w:hint="eastAsia"/>
                <w:szCs w:val="21"/>
              </w:rPr>
              <w:t>（kgce/ MP·km</w:t>
            </w:r>
            <w:r>
              <w:rPr>
                <w:rFonts w:ascii="宋体" w:hint="eastAsia"/>
                <w:szCs w:val="21"/>
                <w:vertAlign w:val="superscript"/>
              </w:rPr>
              <w:t>3</w:t>
            </w:r>
            <w:r>
              <w:rPr>
                <w:rFonts w:ascii="宋体" w:hint="eastAsia"/>
                <w:szCs w:val="21"/>
              </w:rPr>
              <w:t>）</w:t>
            </w:r>
          </w:p>
        </w:tc>
      </w:tr>
      <w:tr w:rsidR="00D51477" w:rsidTr="00F912E1">
        <w:trPr>
          <w:trHeight w:val="470"/>
        </w:trPr>
        <w:tc>
          <w:tcPr>
            <w:tcW w:w="9039" w:type="dxa"/>
            <w:gridSpan w:val="4"/>
            <w:tcBorders>
              <w:top w:val="single" w:sz="4" w:space="0" w:color="auto"/>
              <w:left w:val="single" w:sz="4" w:space="0" w:color="auto"/>
              <w:bottom w:val="single" w:sz="4" w:space="0" w:color="auto"/>
              <w:right w:val="single" w:sz="4" w:space="0" w:color="auto"/>
            </w:tcBorders>
            <w:vAlign w:val="center"/>
            <w:hideMark/>
          </w:tcPr>
          <w:p w:rsidR="00D51477" w:rsidRDefault="00D51477" w:rsidP="00F912E1">
            <w:pPr>
              <w:jc w:val="center"/>
              <w:rPr>
                <w:rFonts w:ascii="宋体"/>
                <w:szCs w:val="21"/>
              </w:rPr>
            </w:pPr>
            <w:r>
              <w:rPr>
                <w:rFonts w:ascii="宋体" w:hint="eastAsia"/>
                <w:szCs w:val="21"/>
              </w:rPr>
              <w:t>注：电力折标准煤系数取当量值0.1229kgce/kw·h。</w:t>
            </w:r>
          </w:p>
        </w:tc>
      </w:tr>
    </w:tbl>
    <w:p w:rsidR="00D51477" w:rsidRDefault="00D51477" w:rsidP="00D51477">
      <w:pPr>
        <w:ind w:firstLineChars="200" w:firstLine="420"/>
        <w:jc w:val="center"/>
        <w:rPr>
          <w:rFonts w:ascii="宋体"/>
          <w:szCs w:val="21"/>
        </w:rPr>
      </w:pPr>
    </w:p>
    <w:p w:rsidR="005A643C" w:rsidRDefault="00D51477" w:rsidP="00D51477">
      <w:pPr>
        <w:pStyle w:val="a1"/>
        <w:numPr>
          <w:ilvl w:val="0"/>
          <w:numId w:val="0"/>
        </w:numPr>
        <w:spacing w:before="156" w:after="156"/>
        <w:rPr>
          <w:rFonts w:hAnsi="黑体"/>
          <w:color w:val="000000" w:themeColor="text1"/>
          <w:szCs w:val="20"/>
        </w:rPr>
      </w:pPr>
      <w:r>
        <w:rPr>
          <w:rFonts w:hint="eastAsia"/>
        </w:rPr>
        <w:t>4.2</w:t>
      </w:r>
      <w:r w:rsidR="00837FC7">
        <w:rPr>
          <w:rFonts w:hint="eastAsia"/>
        </w:rPr>
        <w:t>技术要求</w:t>
      </w:r>
    </w:p>
    <w:p w:rsidR="00D51477" w:rsidRDefault="00D51477" w:rsidP="00D51477">
      <w:pPr>
        <w:rPr>
          <w:rFonts w:ascii="宋体"/>
          <w:b/>
          <w:bCs/>
          <w:szCs w:val="21"/>
        </w:rPr>
      </w:pPr>
      <w:bookmarkStart w:id="43" w:name="_Toc966941696"/>
      <w:r w:rsidRPr="00D51477">
        <w:rPr>
          <w:rFonts w:ascii="宋体" w:hint="eastAsia"/>
          <w:bCs/>
          <w:szCs w:val="21"/>
        </w:rPr>
        <w:t xml:space="preserve">4.2.1 </w:t>
      </w:r>
      <w:r>
        <w:rPr>
          <w:rFonts w:ascii="宋体" w:hint="eastAsia"/>
          <w:b/>
          <w:bCs/>
          <w:szCs w:val="21"/>
        </w:rPr>
        <w:t xml:space="preserve"> </w:t>
      </w:r>
      <w:r>
        <w:rPr>
          <w:rFonts w:ascii="宋体" w:hint="eastAsia"/>
          <w:szCs w:val="21"/>
        </w:rPr>
        <w:t>现有自来水制水生产企业的自来水制水单位产品综合能耗限定值应不大于表1中综合能耗限额引导性指标的3级要求。</w:t>
      </w:r>
    </w:p>
    <w:p w:rsidR="00D51477" w:rsidRDefault="00D51477" w:rsidP="00D51477">
      <w:pPr>
        <w:rPr>
          <w:rFonts w:ascii="宋体"/>
          <w:szCs w:val="21"/>
        </w:rPr>
      </w:pPr>
    </w:p>
    <w:p w:rsidR="00D51477" w:rsidRDefault="00D51477" w:rsidP="00D51477">
      <w:pPr>
        <w:rPr>
          <w:rFonts w:ascii="宋体"/>
          <w:b/>
          <w:bCs/>
          <w:szCs w:val="21"/>
        </w:rPr>
      </w:pPr>
      <w:r w:rsidRPr="00D51477">
        <w:rPr>
          <w:rFonts w:ascii="宋体" w:hint="eastAsia"/>
          <w:bCs/>
          <w:szCs w:val="21"/>
        </w:rPr>
        <w:t xml:space="preserve">4.2.2 </w:t>
      </w:r>
      <w:r>
        <w:rPr>
          <w:rFonts w:ascii="宋体" w:hint="eastAsia"/>
          <w:b/>
          <w:bCs/>
          <w:szCs w:val="21"/>
        </w:rPr>
        <w:t xml:space="preserve"> </w:t>
      </w:r>
      <w:r>
        <w:rPr>
          <w:rFonts w:ascii="宋体" w:hint="eastAsia"/>
          <w:szCs w:val="21"/>
        </w:rPr>
        <w:t>自来水制水生产企业新建或改扩建自来水制水单位产品综合能耗准入值应不大于表1中综合能耗限额引导性指标的2级要求。</w:t>
      </w:r>
    </w:p>
    <w:p w:rsidR="00D51477" w:rsidRDefault="00D51477" w:rsidP="00D51477">
      <w:pPr>
        <w:rPr>
          <w:rFonts w:ascii="宋体"/>
          <w:szCs w:val="21"/>
        </w:rPr>
      </w:pPr>
    </w:p>
    <w:p w:rsidR="00D51477" w:rsidRDefault="00D51477" w:rsidP="00D51477">
      <w:pPr>
        <w:rPr>
          <w:rFonts w:ascii="宋体"/>
          <w:b/>
          <w:bCs/>
          <w:szCs w:val="21"/>
        </w:rPr>
      </w:pPr>
      <w:r w:rsidRPr="00D51477">
        <w:rPr>
          <w:rFonts w:ascii="宋体" w:hint="eastAsia"/>
          <w:bCs/>
          <w:szCs w:val="21"/>
        </w:rPr>
        <w:t xml:space="preserve">4.2.3 </w:t>
      </w:r>
      <w:r>
        <w:rPr>
          <w:rFonts w:ascii="宋体" w:hint="eastAsia"/>
          <w:b/>
          <w:bCs/>
          <w:szCs w:val="21"/>
        </w:rPr>
        <w:t xml:space="preserve"> </w:t>
      </w:r>
      <w:r>
        <w:rPr>
          <w:rFonts w:ascii="宋体" w:hint="eastAsia"/>
          <w:szCs w:val="21"/>
        </w:rPr>
        <w:t>自来水制水生产企业应</w:t>
      </w:r>
      <w:r>
        <w:rPr>
          <w:rFonts w:ascii="宋体" w:cs="Tahoma" w:hint="eastAsia"/>
          <w:szCs w:val="21"/>
        </w:rPr>
        <w:t>通过节能技术改造和加强节能管理力争使其</w:t>
      </w:r>
      <w:r>
        <w:rPr>
          <w:rFonts w:ascii="宋体" w:hint="eastAsia"/>
          <w:szCs w:val="21"/>
        </w:rPr>
        <w:t>自来水制水单位产品综合能耗</w:t>
      </w:r>
      <w:r>
        <w:rPr>
          <w:rFonts w:ascii="宋体" w:cs="Tahoma" w:hint="eastAsia"/>
          <w:szCs w:val="21"/>
        </w:rPr>
        <w:t>值指标达到或优于表1</w:t>
      </w:r>
      <w:r>
        <w:rPr>
          <w:rFonts w:ascii="宋体" w:hint="eastAsia"/>
          <w:szCs w:val="21"/>
        </w:rPr>
        <w:t>中综合能耗限额引导性指标的1级要求。</w:t>
      </w:r>
    </w:p>
    <w:p w:rsidR="005A643C" w:rsidRDefault="00837FC7" w:rsidP="00D51477">
      <w:pPr>
        <w:pStyle w:val="a0"/>
        <w:spacing w:before="312" w:after="312"/>
      </w:pPr>
      <w:r>
        <w:rPr>
          <w:rFonts w:hint="eastAsia"/>
        </w:rPr>
        <w:t>统计范围和计算方法</w:t>
      </w:r>
      <w:bookmarkEnd w:id="43"/>
    </w:p>
    <w:p w:rsidR="005A643C" w:rsidRDefault="00D51477" w:rsidP="00D51477">
      <w:pPr>
        <w:pStyle w:val="a1"/>
        <w:numPr>
          <w:ilvl w:val="0"/>
          <w:numId w:val="0"/>
        </w:numPr>
        <w:spacing w:before="156" w:after="156"/>
      </w:pPr>
      <w:bookmarkStart w:id="44" w:name="_Toc705869038"/>
      <w:r>
        <w:rPr>
          <w:rFonts w:hint="eastAsia"/>
        </w:rPr>
        <w:t>5.1</w:t>
      </w:r>
      <w:r w:rsidR="00837FC7">
        <w:rPr>
          <w:rFonts w:hint="eastAsia"/>
        </w:rPr>
        <w:t>能耗统计范围及能源折标准煤系数取值原则</w:t>
      </w:r>
      <w:bookmarkEnd w:id="44"/>
    </w:p>
    <w:p w:rsidR="00D51477" w:rsidRPr="00D51477" w:rsidRDefault="00D51477" w:rsidP="00D51477">
      <w:pPr>
        <w:rPr>
          <w:rFonts w:ascii="宋体"/>
          <w:bCs/>
          <w:szCs w:val="21"/>
        </w:rPr>
      </w:pPr>
      <w:bookmarkStart w:id="45" w:name="_Toc1151054997"/>
      <w:r w:rsidRPr="00D51477">
        <w:rPr>
          <w:rFonts w:ascii="宋体" w:hint="eastAsia"/>
          <w:bCs/>
          <w:szCs w:val="21"/>
        </w:rPr>
        <w:t>5.1.1  综合能耗统计范围</w:t>
      </w:r>
    </w:p>
    <w:p w:rsidR="00D51477" w:rsidRDefault="00D51477" w:rsidP="00D51477">
      <w:pPr>
        <w:ind w:firstLine="422"/>
        <w:rPr>
          <w:rFonts w:ascii="宋体"/>
          <w:bCs/>
          <w:szCs w:val="21"/>
        </w:rPr>
      </w:pPr>
      <w:r>
        <w:rPr>
          <w:rFonts w:ascii="宋体" w:hint="eastAsia"/>
          <w:bCs/>
          <w:szCs w:val="21"/>
        </w:rPr>
        <w:t>自来水制水生产综合能耗包括生产系统（预处理、混凝沉淀、过滤、消毒、加压等常规处理）以及生产辅助系统（维修、办公、炊事、安防等）消耗的能源量。</w:t>
      </w:r>
    </w:p>
    <w:p w:rsidR="00D51477" w:rsidRDefault="00D51477" w:rsidP="00D51477">
      <w:pPr>
        <w:ind w:firstLine="422"/>
        <w:rPr>
          <w:rFonts w:ascii="宋体"/>
          <w:bCs/>
          <w:szCs w:val="21"/>
        </w:rPr>
      </w:pPr>
    </w:p>
    <w:p w:rsidR="00D51477" w:rsidRPr="00D51477" w:rsidRDefault="00D51477" w:rsidP="00D51477">
      <w:pPr>
        <w:rPr>
          <w:rFonts w:ascii="宋体"/>
          <w:bCs/>
          <w:szCs w:val="21"/>
        </w:rPr>
      </w:pPr>
      <w:r w:rsidRPr="00D51477">
        <w:rPr>
          <w:rFonts w:ascii="宋体" w:hint="eastAsia"/>
          <w:bCs/>
          <w:szCs w:val="21"/>
        </w:rPr>
        <w:t>5.1.2  能源折标准煤取值原则</w:t>
      </w:r>
    </w:p>
    <w:p w:rsidR="00D51477" w:rsidRDefault="00D51477" w:rsidP="00D51477">
      <w:pPr>
        <w:pStyle w:val="af1"/>
        <w:ind w:firstLine="420"/>
        <w:rPr>
          <w:szCs w:val="21"/>
        </w:rPr>
      </w:pPr>
      <w:r>
        <w:rPr>
          <w:rFonts w:hint="eastAsia"/>
        </w:rPr>
        <w:t>生产系统投入的各种能源及耗能工质消耗量应按照GB/T 2589的规定折算为标准煤计算。各种能源的热值应以企业在统计期内实测值为准。无实测值的，可参见附录A的折算系数进行折算。耗能工质折算系数参见附录B</w:t>
      </w:r>
      <w:r>
        <w:rPr>
          <w:rFonts w:hint="eastAsia"/>
          <w:szCs w:val="21"/>
        </w:rPr>
        <w:t>。</w:t>
      </w:r>
    </w:p>
    <w:p w:rsidR="005A643C" w:rsidRDefault="00D51477" w:rsidP="00D51477">
      <w:pPr>
        <w:pStyle w:val="a1"/>
        <w:numPr>
          <w:ilvl w:val="0"/>
          <w:numId w:val="0"/>
        </w:numPr>
        <w:spacing w:before="156" w:after="156"/>
      </w:pPr>
      <w:r>
        <w:rPr>
          <w:rFonts w:hint="eastAsia"/>
        </w:rPr>
        <w:t xml:space="preserve">5.2 </w:t>
      </w:r>
      <w:r w:rsidR="00837FC7">
        <w:rPr>
          <w:rFonts w:hint="eastAsia"/>
        </w:rPr>
        <w:t>计算方法</w:t>
      </w:r>
      <w:bookmarkEnd w:id="45"/>
    </w:p>
    <w:p w:rsidR="00D51477" w:rsidRDefault="00D51477" w:rsidP="00D51477">
      <w:pPr>
        <w:ind w:firstLineChars="200" w:firstLine="420"/>
        <w:rPr>
          <w:rFonts w:ascii="宋体"/>
          <w:szCs w:val="21"/>
        </w:rPr>
      </w:pPr>
      <w:bookmarkStart w:id="46" w:name="_Toc1848297798"/>
      <w:r>
        <w:rPr>
          <w:rFonts w:ascii="宋体" w:hint="eastAsia"/>
          <w:szCs w:val="21"/>
        </w:rPr>
        <w:t>自来水制水生产单位产品综合能耗应按式（1）计算：</w:t>
      </w:r>
    </w:p>
    <w:p w:rsidR="00D51477" w:rsidRDefault="00D51477" w:rsidP="00D51477">
      <w:pPr>
        <w:ind w:firstLineChars="1050" w:firstLine="2205"/>
        <w:rPr>
          <w:rFonts w:ascii="宋体"/>
          <w:szCs w:val="21"/>
        </w:rPr>
      </w:pPr>
      <w:r w:rsidRPr="00ED18FE">
        <w:rPr>
          <w:rFonts w:eastAsiaTheme="minorEastAsia"/>
          <w:position w:val="-30"/>
        </w:rPr>
        <w:object w:dxaOrig="21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4.5pt" o:ole="">
            <v:imagedata r:id="rId10" o:title=""/>
          </v:shape>
          <o:OLEObject Type="Embed" ProgID="Equation.3" ShapeID="_x0000_i1025" DrawAspect="Content" ObjectID="_1807339653" r:id="rId11"/>
        </w:object>
      </w:r>
      <w:r>
        <w:rPr>
          <w:rFonts w:ascii="宋体" w:hint="eastAsia"/>
          <w:szCs w:val="21"/>
        </w:rPr>
        <w:t>．．．．．．．．．．．．．．．．（1）</w:t>
      </w:r>
    </w:p>
    <w:p w:rsidR="00D51477" w:rsidRDefault="00D51477" w:rsidP="00D51477">
      <w:pPr>
        <w:ind w:firstLineChars="150" w:firstLine="315"/>
        <w:rPr>
          <w:rFonts w:ascii="宋体"/>
          <w:szCs w:val="21"/>
        </w:rPr>
      </w:pPr>
      <w:r>
        <w:rPr>
          <w:rFonts w:ascii="宋体" w:hint="eastAsia"/>
          <w:szCs w:val="21"/>
        </w:rPr>
        <w:t>式中：</w:t>
      </w:r>
    </w:p>
    <w:p w:rsidR="00D51477" w:rsidRDefault="00D51477" w:rsidP="00D51477">
      <w:pPr>
        <w:ind w:firstLineChars="200" w:firstLine="420"/>
        <w:rPr>
          <w:rFonts w:ascii="宋体"/>
          <w:szCs w:val="21"/>
        </w:rPr>
      </w:pPr>
      <w:r>
        <w:rPr>
          <w:rFonts w:ascii="宋体" w:hint="eastAsia"/>
          <w:szCs w:val="21"/>
        </w:rPr>
        <w:t>E</w:t>
      </w:r>
      <w:r>
        <w:rPr>
          <w:rFonts w:ascii="宋体" w:hint="eastAsia"/>
          <w:szCs w:val="21"/>
          <w:vertAlign w:val="subscript"/>
        </w:rPr>
        <w:t>ml</w:t>
      </w:r>
      <w:r>
        <w:rPr>
          <w:rFonts w:ascii="宋体" w:hint="eastAsia"/>
          <w:szCs w:val="21"/>
        </w:rPr>
        <w:t>——自来水制水生产单位产品综合能耗，单位为千克标准煤每兆帕每千立方米（kgce/（MP·km³））；</w:t>
      </w:r>
    </w:p>
    <w:p w:rsidR="00D51477" w:rsidRDefault="00D51477" w:rsidP="00D51477">
      <w:pPr>
        <w:ind w:firstLineChars="150" w:firstLine="315"/>
        <w:rPr>
          <w:rFonts w:ascii="宋体"/>
          <w:szCs w:val="21"/>
        </w:rPr>
      </w:pPr>
      <w:r>
        <w:rPr>
          <w:rFonts w:ascii="宋体" w:hint="eastAsia"/>
          <w:szCs w:val="21"/>
        </w:rPr>
        <w:t>e</w:t>
      </w:r>
      <w:r>
        <w:rPr>
          <w:rFonts w:ascii="宋体" w:hint="eastAsia"/>
          <w:szCs w:val="21"/>
          <w:vertAlign w:val="subscript"/>
        </w:rPr>
        <w:t>c</w:t>
      </w:r>
      <w:r>
        <w:rPr>
          <w:rFonts w:ascii="宋体" w:hint="eastAsia"/>
          <w:szCs w:val="21"/>
        </w:rPr>
        <w:t>——自来水制水直接生产消耗的能源量，单位为吨标准煤（tce）；</w:t>
      </w:r>
    </w:p>
    <w:p w:rsidR="00D51477" w:rsidRDefault="00D51477" w:rsidP="00D51477">
      <w:pPr>
        <w:ind w:firstLineChars="150" w:firstLine="315"/>
        <w:rPr>
          <w:rFonts w:ascii="宋体"/>
          <w:szCs w:val="21"/>
        </w:rPr>
      </w:pPr>
      <w:r>
        <w:rPr>
          <w:rFonts w:ascii="宋体" w:hint="eastAsia"/>
          <w:szCs w:val="21"/>
        </w:rPr>
        <w:t>e</w:t>
      </w:r>
      <w:r>
        <w:rPr>
          <w:rFonts w:ascii="宋体" w:hint="eastAsia"/>
          <w:szCs w:val="21"/>
          <w:vertAlign w:val="subscript"/>
        </w:rPr>
        <w:t>r</w:t>
      </w:r>
      <w:r>
        <w:rPr>
          <w:rFonts w:ascii="宋体" w:hint="eastAsia"/>
          <w:szCs w:val="21"/>
        </w:rPr>
        <w:t>——自来水制水辅助系统消耗的能源量，单位为吨标准煤（tce）；</w:t>
      </w:r>
    </w:p>
    <w:p w:rsidR="00D51477" w:rsidRDefault="00D51477" w:rsidP="00D51477">
      <w:pPr>
        <w:ind w:firstLineChars="150" w:firstLine="315"/>
        <w:rPr>
          <w:rFonts w:ascii="宋体"/>
          <w:szCs w:val="21"/>
        </w:rPr>
      </w:pPr>
      <w:r>
        <w:rPr>
          <w:rFonts w:ascii="宋体" w:hint="eastAsia"/>
          <w:szCs w:val="21"/>
        </w:rPr>
        <w:t>P</w:t>
      </w:r>
      <w:r>
        <w:rPr>
          <w:rFonts w:ascii="宋体" w:hint="eastAsia"/>
          <w:szCs w:val="21"/>
          <w:vertAlign w:val="subscript"/>
        </w:rPr>
        <w:t>ml</w:t>
      </w:r>
      <w:r>
        <w:rPr>
          <w:rFonts w:ascii="宋体" w:hint="eastAsia"/>
          <w:szCs w:val="21"/>
        </w:rPr>
        <w:t>——自来水制水产量，单位为千立方米（km³）；</w:t>
      </w:r>
    </w:p>
    <w:p w:rsidR="00D51477" w:rsidRDefault="00D51477" w:rsidP="00D51477">
      <w:pPr>
        <w:ind w:firstLineChars="150" w:firstLine="315"/>
        <w:rPr>
          <w:rFonts w:ascii="宋体"/>
          <w:szCs w:val="21"/>
        </w:rPr>
      </w:pPr>
      <w:r>
        <w:rPr>
          <w:rFonts w:ascii="宋体" w:hint="eastAsia"/>
          <w:szCs w:val="21"/>
        </w:rPr>
        <w:lastRenderedPageBreak/>
        <w:t>MP——自来水供水平均压力，单位为兆帕（MP）。</w:t>
      </w:r>
    </w:p>
    <w:p w:rsidR="00D51477" w:rsidRDefault="00D51477" w:rsidP="00D51477">
      <w:pPr>
        <w:ind w:firstLineChars="150" w:firstLine="315"/>
        <w:rPr>
          <w:rFonts w:ascii="宋体"/>
          <w:szCs w:val="21"/>
        </w:rPr>
      </w:pPr>
    </w:p>
    <w:p w:rsidR="005A643C" w:rsidRDefault="00837FC7" w:rsidP="00D51477">
      <w:pPr>
        <w:pStyle w:val="a0"/>
        <w:spacing w:before="312" w:after="312"/>
      </w:pPr>
      <w:r>
        <w:rPr>
          <w:rFonts w:hint="eastAsia"/>
        </w:rPr>
        <w:t>节能管理与技术措施</w:t>
      </w:r>
      <w:bookmarkEnd w:id="46"/>
    </w:p>
    <w:p w:rsidR="005A643C" w:rsidRDefault="00D51477" w:rsidP="00D51477">
      <w:pPr>
        <w:pStyle w:val="a1"/>
        <w:numPr>
          <w:ilvl w:val="0"/>
          <w:numId w:val="0"/>
        </w:numPr>
        <w:spacing w:before="156" w:after="156"/>
      </w:pPr>
      <w:bookmarkStart w:id="47" w:name="_Toc1783039361"/>
      <w:r>
        <w:rPr>
          <w:rFonts w:hint="eastAsia"/>
        </w:rPr>
        <w:t xml:space="preserve">6.1 </w:t>
      </w:r>
      <w:r w:rsidR="00837FC7">
        <w:rPr>
          <w:rFonts w:hint="eastAsia"/>
        </w:rPr>
        <w:t>节能管理措施</w:t>
      </w:r>
      <w:bookmarkEnd w:id="47"/>
    </w:p>
    <w:p w:rsidR="00D51477" w:rsidRDefault="00D51477" w:rsidP="00D51477">
      <w:pPr>
        <w:rPr>
          <w:rFonts w:ascii="宋体"/>
          <w:szCs w:val="21"/>
        </w:rPr>
      </w:pPr>
      <w:bookmarkStart w:id="48" w:name="_Toc1677597322"/>
      <w:r w:rsidRPr="00D51477">
        <w:rPr>
          <w:rFonts w:ascii="宋体" w:hint="eastAsia"/>
          <w:szCs w:val="21"/>
        </w:rPr>
        <w:t>6.1.1</w:t>
      </w:r>
      <w:r>
        <w:rPr>
          <w:rFonts w:ascii="宋体" w:hint="eastAsia"/>
          <w:szCs w:val="21"/>
        </w:rPr>
        <w:t xml:space="preserve"> </w:t>
      </w:r>
      <w:r>
        <w:rPr>
          <w:rFonts w:ascii="宋体" w:hint="eastAsia"/>
          <w:b/>
          <w:szCs w:val="21"/>
        </w:rPr>
        <w:t xml:space="preserve"> </w:t>
      </w:r>
      <w:r>
        <w:rPr>
          <w:rFonts w:ascii="宋体" w:hint="eastAsia"/>
          <w:szCs w:val="21"/>
        </w:rPr>
        <w:t>企业应建立和健全能源管理制度，定期制订能源规划。</w:t>
      </w:r>
    </w:p>
    <w:p w:rsidR="00D51477" w:rsidRDefault="00D51477" w:rsidP="00D51477">
      <w:pPr>
        <w:ind w:left="735" w:hangingChars="350" w:hanging="735"/>
        <w:rPr>
          <w:rFonts w:ascii="宋体"/>
          <w:szCs w:val="21"/>
        </w:rPr>
      </w:pPr>
      <w:r w:rsidRPr="00D51477">
        <w:rPr>
          <w:rFonts w:ascii="宋体" w:hint="eastAsia"/>
          <w:szCs w:val="21"/>
        </w:rPr>
        <w:t>6.1.2</w:t>
      </w:r>
      <w:r>
        <w:rPr>
          <w:rFonts w:ascii="宋体" w:hint="eastAsia"/>
          <w:szCs w:val="21"/>
        </w:rPr>
        <w:t xml:space="preserve">  企业应建立工序用能责任制，制定工序用能计划和能耗考核办法，定期进行考核，考核结果记录在案，并对文件进行受控管理。</w:t>
      </w:r>
    </w:p>
    <w:p w:rsidR="00D51477" w:rsidRDefault="00D51477" w:rsidP="00D51477">
      <w:pPr>
        <w:rPr>
          <w:rFonts w:ascii="宋体"/>
          <w:szCs w:val="21"/>
        </w:rPr>
      </w:pPr>
      <w:r w:rsidRPr="00D51477">
        <w:rPr>
          <w:rFonts w:ascii="宋体" w:hint="eastAsia"/>
          <w:szCs w:val="21"/>
        </w:rPr>
        <w:t>6.1.3</w:t>
      </w:r>
      <w:r>
        <w:rPr>
          <w:rFonts w:ascii="宋体" w:hint="eastAsia"/>
          <w:szCs w:val="21"/>
        </w:rPr>
        <w:t xml:space="preserve">  企业应建立和健全工序用能统计制度，建立工序用能台账。</w:t>
      </w:r>
    </w:p>
    <w:p w:rsidR="00D51477" w:rsidRDefault="00D51477" w:rsidP="00D51477">
      <w:pPr>
        <w:rPr>
          <w:rFonts w:ascii="宋体"/>
          <w:szCs w:val="21"/>
        </w:rPr>
      </w:pPr>
      <w:r w:rsidRPr="00D51477">
        <w:rPr>
          <w:rFonts w:ascii="宋体" w:hint="eastAsia"/>
          <w:szCs w:val="21"/>
        </w:rPr>
        <w:t>6.1.4</w:t>
      </w:r>
      <w:r>
        <w:rPr>
          <w:rFonts w:ascii="宋体" w:hint="eastAsia"/>
          <w:szCs w:val="21"/>
        </w:rPr>
        <w:t xml:space="preserve">  企业应根据GB 17167的要求配备能源计量器具并建立能源计量管理制度。</w:t>
      </w:r>
    </w:p>
    <w:p w:rsidR="00D51477" w:rsidRDefault="00D51477" w:rsidP="00D51477">
      <w:pPr>
        <w:rPr>
          <w:rFonts w:ascii="宋体"/>
          <w:szCs w:val="21"/>
        </w:rPr>
      </w:pPr>
      <w:r w:rsidRPr="00D51477">
        <w:rPr>
          <w:rFonts w:ascii="宋体" w:hint="eastAsia"/>
          <w:szCs w:val="21"/>
        </w:rPr>
        <w:t>6.1.5</w:t>
      </w:r>
      <w:r>
        <w:rPr>
          <w:rFonts w:ascii="宋体" w:hint="eastAsia"/>
          <w:szCs w:val="21"/>
        </w:rPr>
        <w:t xml:space="preserve">  企业应建立和完善能源折算系数的实测制度，对于大宗能源介质定期测定，并建立台账。</w:t>
      </w:r>
    </w:p>
    <w:p w:rsidR="00D51477" w:rsidRDefault="00D51477" w:rsidP="00D51477">
      <w:pPr>
        <w:rPr>
          <w:rFonts w:ascii="宋体"/>
          <w:szCs w:val="21"/>
        </w:rPr>
      </w:pPr>
      <w:r w:rsidRPr="00D51477">
        <w:rPr>
          <w:rFonts w:ascii="宋体" w:hint="eastAsia"/>
          <w:szCs w:val="21"/>
        </w:rPr>
        <w:t>6.1.6</w:t>
      </w:r>
      <w:r>
        <w:rPr>
          <w:rFonts w:ascii="宋体" w:hint="eastAsia"/>
          <w:szCs w:val="21"/>
        </w:rPr>
        <w:t xml:space="preserve">  企业宜定期开展能源审计工作，对能耗情况进行分析诊断。</w:t>
      </w:r>
    </w:p>
    <w:p w:rsidR="005A643C" w:rsidRDefault="00D51477" w:rsidP="00D51477">
      <w:pPr>
        <w:pStyle w:val="a1"/>
        <w:numPr>
          <w:ilvl w:val="0"/>
          <w:numId w:val="0"/>
        </w:numPr>
        <w:spacing w:before="156" w:after="156"/>
      </w:pPr>
      <w:r>
        <w:rPr>
          <w:rFonts w:hint="eastAsia"/>
        </w:rPr>
        <w:t>6.2</w:t>
      </w:r>
      <w:r w:rsidR="00837FC7">
        <w:rPr>
          <w:rFonts w:hint="eastAsia"/>
        </w:rPr>
        <w:t>节能技术措施</w:t>
      </w:r>
      <w:bookmarkEnd w:id="48"/>
    </w:p>
    <w:p w:rsidR="00D51477" w:rsidRPr="00D51477" w:rsidRDefault="00D51477" w:rsidP="00D51477">
      <w:pPr>
        <w:ind w:left="630" w:hangingChars="300" w:hanging="630"/>
        <w:rPr>
          <w:rFonts w:ascii="宋体" w:hAnsi="Times New Roman" w:cs="Times New Roman"/>
          <w:kern w:val="0"/>
          <w:szCs w:val="21"/>
        </w:rPr>
      </w:pPr>
      <w:r w:rsidRPr="00D51477">
        <w:rPr>
          <w:rFonts w:ascii="宋体" w:hAnsi="Times New Roman" w:cs="Times New Roman" w:hint="eastAsia"/>
          <w:bCs/>
          <w:kern w:val="0"/>
          <w:szCs w:val="21"/>
        </w:rPr>
        <w:t>6.2.1</w:t>
      </w:r>
      <w:r w:rsidRPr="00D51477">
        <w:rPr>
          <w:rFonts w:ascii="宋体" w:hAnsi="Times New Roman" w:cs="Times New Roman" w:hint="eastAsia"/>
          <w:b/>
          <w:bCs/>
          <w:kern w:val="0"/>
          <w:szCs w:val="21"/>
        </w:rPr>
        <w:t xml:space="preserve"> </w:t>
      </w:r>
      <w:r w:rsidRPr="00D51477">
        <w:rPr>
          <w:rFonts w:ascii="宋体" w:hAnsi="Times New Roman" w:cs="Times New Roman" w:hint="eastAsia"/>
          <w:kern w:val="0"/>
          <w:szCs w:val="21"/>
        </w:rPr>
        <w:t>企业应对耗能的主体设备进行整体结构的优化设计，实现工艺技术和生产操作协同优化，充分回收利用余热资源，提高能源利用效率，降低能源消耗。</w:t>
      </w:r>
    </w:p>
    <w:p w:rsidR="005A643C" w:rsidRDefault="00D51477" w:rsidP="00D51477">
      <w:pPr>
        <w:ind w:firstLineChars="300" w:firstLine="630"/>
      </w:pPr>
      <w:r w:rsidRPr="00D51477">
        <w:rPr>
          <w:rFonts w:ascii="宋体" w:hAnsi="Times New Roman" w:cs="Times New Roman" w:hint="eastAsia"/>
          <w:kern w:val="0"/>
          <w:szCs w:val="21"/>
        </w:rPr>
        <w:t>在生产过程中，应采取有效措施，使生产系统正常、连续和稳定运行，提高系统运转率。</w:t>
      </w:r>
    </w:p>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837FC7">
      <w:pPr>
        <w:pStyle w:val="a5"/>
        <w:tabs>
          <w:tab w:val="left" w:pos="360"/>
          <w:tab w:val="left" w:pos="6405"/>
        </w:tabs>
      </w:pPr>
      <w:bookmarkStart w:id="49" w:name="_Toc1573811859"/>
      <w:r>
        <w:lastRenderedPageBreak/>
        <w:br/>
      </w:r>
      <w:bookmarkStart w:id="50" w:name="_Toc48305699"/>
      <w:r>
        <w:rPr>
          <w:rFonts w:hint="eastAsia"/>
        </w:rPr>
        <w:t>（资料性附录）</w:t>
      </w:r>
      <w:r>
        <w:br/>
      </w:r>
      <w:bookmarkEnd w:id="50"/>
      <w:r>
        <w:rPr>
          <w:rFonts w:hint="eastAsia"/>
        </w:rPr>
        <w:t>常用能源品种折标准煤参考系数</w:t>
      </w:r>
      <w:bookmarkEnd w:id="49"/>
    </w:p>
    <w:p w:rsidR="005A643C" w:rsidRDefault="00837FC7" w:rsidP="00D51477">
      <w:pPr>
        <w:pStyle w:val="a6"/>
        <w:spacing w:before="312" w:after="312"/>
      </w:pPr>
      <w:bookmarkStart w:id="51" w:name="_Toc670640322"/>
      <w:r>
        <w:rPr>
          <w:rFonts w:hint="eastAsia"/>
        </w:rPr>
        <w:t>表A.1给出了常用能源品种折标准煤参考系数</w:t>
      </w:r>
      <w:bookmarkEnd w:id="51"/>
    </w:p>
    <w:p w:rsidR="005A643C" w:rsidRDefault="00837FC7">
      <w:pPr>
        <w:pStyle w:val="a4"/>
        <w:tabs>
          <w:tab w:val="left" w:pos="180"/>
        </w:tabs>
        <w:spacing w:before="156" w:after="156"/>
        <w:rPr>
          <w:rFonts w:hAnsi="Times New Roman" w:cs="Times New Roman"/>
        </w:rPr>
      </w:pPr>
      <w:r>
        <w:rPr>
          <w:rFonts w:hAnsi="Times New Roman" w:cs="Times New Roman" w:hint="eastAsia"/>
        </w:rPr>
        <w:t>常用能源品种折标准煤参考系数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8"/>
        <w:gridCol w:w="4140"/>
        <w:gridCol w:w="2520"/>
      </w:tblGrid>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能源名称</w:t>
            </w:r>
          </w:p>
        </w:tc>
        <w:tc>
          <w:tcPr>
            <w:tcW w:w="4140" w:type="dxa"/>
            <w:tcBorders>
              <w:tl2br w:val="nil"/>
              <w:tr2bl w:val="nil"/>
            </w:tcBorders>
          </w:tcPr>
          <w:p w:rsidR="005A643C" w:rsidRDefault="00837FC7">
            <w:pPr>
              <w:pStyle w:val="af1"/>
              <w:ind w:firstLineChars="0" w:firstLine="0"/>
              <w:jc w:val="center"/>
              <w:rPr>
                <w:sz w:val="18"/>
                <w:szCs w:val="16"/>
              </w:rPr>
            </w:pPr>
            <w:r>
              <w:rPr>
                <w:rFonts w:hint="eastAsia"/>
                <w:sz w:val="18"/>
                <w:szCs w:val="16"/>
              </w:rPr>
              <w:t>平均低位发热量</w:t>
            </w:r>
          </w:p>
        </w:tc>
        <w:tc>
          <w:tcPr>
            <w:tcW w:w="2520" w:type="dxa"/>
            <w:tcBorders>
              <w:tl2br w:val="nil"/>
              <w:tr2bl w:val="nil"/>
            </w:tcBorders>
          </w:tcPr>
          <w:p w:rsidR="005A643C" w:rsidRDefault="00837FC7">
            <w:pPr>
              <w:pStyle w:val="af1"/>
              <w:ind w:firstLineChars="0" w:firstLine="0"/>
              <w:jc w:val="center"/>
              <w:rPr>
                <w:sz w:val="18"/>
                <w:szCs w:val="16"/>
              </w:rPr>
            </w:pPr>
            <w:r>
              <w:rPr>
                <w:rFonts w:hint="eastAsia"/>
                <w:sz w:val="18"/>
                <w:szCs w:val="16"/>
              </w:rPr>
              <w:t>折标准煤系数</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原煤</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20 934 kJ/kg</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0.714 3 kgce/kg</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干洗精煤（灰分10%）</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29727 kJ/kg</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1.014 3 kgce/kg</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无烟煤</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25 120 kJ/kg</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0.8571 kgce/kg</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动力煤</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20 934 kJ/kg</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0.714 3 kgce/kg</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焦炭（灰分13.5%）</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28 469 kJ/kg</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0.9714 kgce/kg</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焦炉煤气</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16 746 kJ/m</w:t>
            </w:r>
            <w:r>
              <w:rPr>
                <w:rFonts w:hint="eastAsia"/>
                <w:sz w:val="18"/>
                <w:szCs w:val="16"/>
                <w:vertAlign w:val="superscript"/>
              </w:rPr>
              <w:t>3</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0.5714 kgce/m</w:t>
            </w:r>
            <w:r>
              <w:rPr>
                <w:rFonts w:hint="eastAsia"/>
                <w:sz w:val="18"/>
                <w:szCs w:val="16"/>
                <w:vertAlign w:val="superscript"/>
              </w:rPr>
              <w:t>3</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高炉煤气</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3 139 kJ/m</w:t>
            </w:r>
            <w:r>
              <w:rPr>
                <w:rFonts w:hint="eastAsia"/>
                <w:sz w:val="18"/>
                <w:szCs w:val="16"/>
                <w:vertAlign w:val="superscript"/>
              </w:rPr>
              <w:t>3</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0.1071 kgce/m</w:t>
            </w:r>
            <w:r>
              <w:rPr>
                <w:rFonts w:hint="eastAsia"/>
                <w:sz w:val="18"/>
                <w:szCs w:val="16"/>
                <w:vertAlign w:val="superscript"/>
              </w:rPr>
              <w:t>3</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转炉煤气</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7 327 kJ/m</w:t>
            </w:r>
            <w:r>
              <w:rPr>
                <w:rFonts w:hint="eastAsia"/>
                <w:sz w:val="18"/>
                <w:szCs w:val="16"/>
                <w:vertAlign w:val="superscript"/>
              </w:rPr>
              <w:t>3</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0.2500 kgce/m</w:t>
            </w:r>
            <w:r>
              <w:rPr>
                <w:rFonts w:hint="eastAsia"/>
                <w:sz w:val="18"/>
                <w:szCs w:val="16"/>
                <w:vertAlign w:val="superscript"/>
              </w:rPr>
              <w:t>3</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燃料油</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41 816 kJ/kg</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1.428 6 kgce/kg</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柴油</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42 652 kJ/kg</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1.457 1 kgce/kg</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汽油</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43 123 kJ/kg</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1.471 4 kgce/kg</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煤油</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43 123 kJ/kg</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1.471 4 kgce/kg</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焦油</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33496 kJ/kg</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1.1429 kgce/kg</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液化石油气</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50 242 kJ/kg</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1.714 3 kgce/kg</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液化天然气（液态）</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51 433 kJ/kg</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1.757 2 kgce/kg</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天然气（气态）</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35588  kJ/m</w:t>
            </w:r>
            <w:r>
              <w:rPr>
                <w:rFonts w:hint="eastAsia"/>
                <w:sz w:val="18"/>
                <w:szCs w:val="16"/>
                <w:vertAlign w:val="superscript"/>
              </w:rPr>
              <w:t>3</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1.2143 kgce/m</w:t>
            </w:r>
            <w:r>
              <w:rPr>
                <w:rFonts w:hint="eastAsia"/>
                <w:sz w:val="18"/>
                <w:szCs w:val="16"/>
                <w:vertAlign w:val="superscript"/>
              </w:rPr>
              <w:t>3</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蒸汽（中压）</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3 042 kJ/kg</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0.1038 kgce/kg</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蒸汽（低压）</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2 866 kJ/kg</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0.0978 kgce/kg</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电力（当量值）</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3 600 kJ/kWh</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0.122 9 kgce/(kW·h)</w:t>
            </w:r>
          </w:p>
        </w:tc>
      </w:tr>
      <w:tr w:rsidR="005A643C">
        <w:trPr>
          <w:jc w:val="center"/>
        </w:trPr>
        <w:tc>
          <w:tcPr>
            <w:tcW w:w="2088" w:type="dxa"/>
            <w:tcBorders>
              <w:tl2br w:val="nil"/>
              <w:tr2bl w:val="nil"/>
            </w:tcBorders>
          </w:tcPr>
          <w:p w:rsidR="005A643C" w:rsidRDefault="00837FC7">
            <w:pPr>
              <w:pStyle w:val="af1"/>
              <w:ind w:firstLineChars="0" w:firstLine="0"/>
              <w:jc w:val="center"/>
              <w:rPr>
                <w:sz w:val="18"/>
                <w:szCs w:val="16"/>
              </w:rPr>
            </w:pPr>
            <w:r>
              <w:rPr>
                <w:rFonts w:hint="eastAsia"/>
                <w:sz w:val="18"/>
                <w:szCs w:val="16"/>
              </w:rPr>
              <w:t>热力（当量值）</w:t>
            </w:r>
          </w:p>
        </w:tc>
        <w:tc>
          <w:tcPr>
            <w:tcW w:w="4140" w:type="dxa"/>
            <w:tcBorders>
              <w:tl2br w:val="nil"/>
              <w:tr2bl w:val="nil"/>
            </w:tcBorders>
          </w:tcPr>
          <w:p w:rsidR="005A643C" w:rsidRDefault="00837FC7" w:rsidP="00D51477">
            <w:pPr>
              <w:pStyle w:val="af1"/>
              <w:ind w:firstLine="360"/>
              <w:jc w:val="center"/>
              <w:rPr>
                <w:sz w:val="18"/>
                <w:szCs w:val="16"/>
              </w:rPr>
            </w:pPr>
            <w:r>
              <w:rPr>
                <w:rFonts w:hint="eastAsia"/>
                <w:sz w:val="18"/>
                <w:szCs w:val="16"/>
              </w:rPr>
              <w:t>__</w:t>
            </w:r>
          </w:p>
        </w:tc>
        <w:tc>
          <w:tcPr>
            <w:tcW w:w="2520" w:type="dxa"/>
            <w:tcBorders>
              <w:tl2br w:val="nil"/>
              <w:tr2bl w:val="nil"/>
            </w:tcBorders>
          </w:tcPr>
          <w:p w:rsidR="005A643C" w:rsidRDefault="00837FC7" w:rsidP="00D51477">
            <w:pPr>
              <w:pStyle w:val="af1"/>
              <w:ind w:firstLine="360"/>
              <w:jc w:val="center"/>
              <w:rPr>
                <w:sz w:val="18"/>
                <w:szCs w:val="16"/>
              </w:rPr>
            </w:pPr>
            <w:r>
              <w:rPr>
                <w:rFonts w:hint="eastAsia"/>
                <w:sz w:val="18"/>
                <w:szCs w:val="16"/>
              </w:rPr>
              <w:t>0.034 12 kgce/MJ</w:t>
            </w:r>
          </w:p>
        </w:tc>
      </w:tr>
      <w:tr w:rsidR="005A643C">
        <w:trPr>
          <w:jc w:val="center"/>
        </w:trPr>
        <w:tc>
          <w:tcPr>
            <w:tcW w:w="8748" w:type="dxa"/>
            <w:gridSpan w:val="3"/>
            <w:tcBorders>
              <w:tl2br w:val="nil"/>
              <w:tr2bl w:val="nil"/>
            </w:tcBorders>
          </w:tcPr>
          <w:p w:rsidR="005A643C" w:rsidRDefault="00837FC7">
            <w:pPr>
              <w:pStyle w:val="a8"/>
              <w:numPr>
                <w:ilvl w:val="0"/>
                <w:numId w:val="0"/>
              </w:numPr>
              <w:ind w:left="363"/>
            </w:pPr>
            <w:r>
              <w:rPr>
                <w:rFonts w:hint="eastAsia"/>
              </w:rPr>
              <w:t>注1：kgce与kJ的转换系数为29307.6，即1kgce对应29307.6kJ。</w:t>
            </w:r>
          </w:p>
          <w:p w:rsidR="005A643C" w:rsidRDefault="00837FC7">
            <w:pPr>
              <w:pStyle w:val="a8"/>
              <w:numPr>
                <w:ilvl w:val="0"/>
                <w:numId w:val="0"/>
              </w:numPr>
              <w:ind w:left="363"/>
            </w:pPr>
            <w:r>
              <w:rPr>
                <w:rFonts w:hint="eastAsia"/>
              </w:rPr>
              <w:t>注2：蒸汽折标煤系数按热值计。</w:t>
            </w:r>
          </w:p>
          <w:p w:rsidR="005A643C" w:rsidRDefault="00837FC7">
            <w:pPr>
              <w:pStyle w:val="a8"/>
              <w:numPr>
                <w:ilvl w:val="0"/>
                <w:numId w:val="0"/>
              </w:numPr>
              <w:ind w:left="363"/>
            </w:pPr>
            <w:r>
              <w:rPr>
                <w:rFonts w:hint="eastAsia"/>
              </w:rPr>
              <w:t>注3：本附录中折标煤系数如遇国家统计部门规定发生变化，能耗等级指标则应另行设定。</w:t>
            </w:r>
          </w:p>
          <w:p w:rsidR="005A643C" w:rsidRDefault="00837FC7">
            <w:pPr>
              <w:pStyle w:val="a8"/>
              <w:numPr>
                <w:ilvl w:val="0"/>
                <w:numId w:val="0"/>
              </w:numPr>
              <w:ind w:left="363"/>
              <w:rPr>
                <w:rFonts w:asciiTheme="minorEastAsia" w:eastAsiaTheme="minorEastAsia" w:hAnsiTheme="minorEastAsia" w:cstheme="minorEastAsia"/>
              </w:rPr>
            </w:pPr>
            <w:r>
              <w:rPr>
                <w:rFonts w:hint="eastAsia"/>
              </w:rPr>
              <w:t>注4：洗精煤或焦炭灰分每增加1%，热值相应减少334kJ/kg。</w:t>
            </w:r>
          </w:p>
        </w:tc>
      </w:tr>
    </w:tbl>
    <w:p w:rsidR="005A643C" w:rsidRDefault="005A643C">
      <w:pPr>
        <w:jc w:val="left"/>
        <w:rPr>
          <w:rFonts w:ascii="仿宋_GB2312" w:eastAsia="仿宋_GB2312" w:cs="仿宋_GB2312"/>
          <w:sz w:val="28"/>
          <w:szCs w:val="28"/>
        </w:rPr>
      </w:pPr>
    </w:p>
    <w:p w:rsidR="005A643C" w:rsidRDefault="005A643C">
      <w:pPr>
        <w:jc w:val="left"/>
        <w:rPr>
          <w:rFonts w:ascii="仿宋_GB2312" w:eastAsia="仿宋_GB2312" w:cs="仿宋_GB2312"/>
          <w:sz w:val="28"/>
          <w:szCs w:val="28"/>
        </w:rPr>
      </w:pPr>
    </w:p>
    <w:p w:rsidR="005A643C" w:rsidRDefault="00837FC7">
      <w:pPr>
        <w:pStyle w:val="a5"/>
        <w:tabs>
          <w:tab w:val="left" w:pos="360"/>
          <w:tab w:val="left" w:pos="6405"/>
        </w:tabs>
      </w:pPr>
      <w:r>
        <w:rPr>
          <w:rFonts w:ascii="仿宋_GB2312" w:eastAsia="仿宋_GB2312" w:cs="仿宋_GB2312"/>
          <w:sz w:val="28"/>
          <w:szCs w:val="28"/>
        </w:rPr>
        <w:br w:type="page"/>
      </w:r>
      <w:bookmarkStart w:id="52" w:name="_Toc577777595"/>
      <w:r>
        <w:rPr>
          <w:rFonts w:hint="eastAsia"/>
        </w:rPr>
        <w:lastRenderedPageBreak/>
        <w:t>(资料性附录)                                                                                常用耗能工质折算系数（按能源等价值计）推荐值</w:t>
      </w:r>
      <w:bookmarkEnd w:id="52"/>
    </w:p>
    <w:p w:rsidR="005A643C" w:rsidRDefault="00837FC7" w:rsidP="00D51477">
      <w:pPr>
        <w:pStyle w:val="a6"/>
        <w:spacing w:before="312" w:after="312"/>
      </w:pPr>
      <w:bookmarkStart w:id="53" w:name="_Toc1765634690"/>
      <w:r>
        <w:rPr>
          <w:rFonts w:hint="eastAsia"/>
        </w:rPr>
        <w:t>表B.1给出了常用耗能工质折算系数（按能源等价值计）推荐值</w:t>
      </w:r>
      <w:bookmarkEnd w:id="53"/>
    </w:p>
    <w:p w:rsidR="005A643C" w:rsidRDefault="00837FC7" w:rsidP="00D51477">
      <w:pPr>
        <w:pStyle w:val="a4"/>
        <w:numPr>
          <w:ilvl w:val="1"/>
          <w:numId w:val="0"/>
        </w:numPr>
        <w:spacing w:before="156" w:after="156"/>
      </w:pPr>
      <w:r>
        <w:rPr>
          <w:rFonts w:hint="eastAsia"/>
        </w:rPr>
        <w:t>表B.1 常</w:t>
      </w:r>
      <w:bookmarkStart w:id="54" w:name="_GoBack"/>
      <w:bookmarkEnd w:id="54"/>
      <w:r>
        <w:rPr>
          <w:rFonts w:hint="eastAsia"/>
        </w:rPr>
        <w:t>用耗能工质折算系数（按能源等价值计）推荐值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8"/>
        <w:gridCol w:w="4140"/>
        <w:gridCol w:w="2520"/>
      </w:tblGrid>
      <w:tr w:rsidR="005A643C">
        <w:trPr>
          <w:jc w:val="center"/>
        </w:trPr>
        <w:tc>
          <w:tcPr>
            <w:tcW w:w="2088"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品种</w:t>
            </w:r>
          </w:p>
        </w:tc>
        <w:tc>
          <w:tcPr>
            <w:tcW w:w="414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单位耗能工质耗能量</w:t>
            </w:r>
          </w:p>
        </w:tc>
        <w:tc>
          <w:tcPr>
            <w:tcW w:w="252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折标准煤系数</w:t>
            </w:r>
          </w:p>
        </w:tc>
      </w:tr>
      <w:tr w:rsidR="005A643C">
        <w:trPr>
          <w:jc w:val="center"/>
        </w:trPr>
        <w:tc>
          <w:tcPr>
            <w:tcW w:w="2088"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新水</w:t>
            </w:r>
          </w:p>
        </w:tc>
        <w:tc>
          <w:tcPr>
            <w:tcW w:w="414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 xml:space="preserve">7.54 MJ/t </w:t>
            </w:r>
          </w:p>
        </w:tc>
        <w:tc>
          <w:tcPr>
            <w:tcW w:w="252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0.2571 kgce/t</w:t>
            </w:r>
          </w:p>
        </w:tc>
      </w:tr>
      <w:tr w:rsidR="005A643C">
        <w:trPr>
          <w:jc w:val="center"/>
        </w:trPr>
        <w:tc>
          <w:tcPr>
            <w:tcW w:w="2088"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软水</w:t>
            </w:r>
          </w:p>
        </w:tc>
        <w:tc>
          <w:tcPr>
            <w:tcW w:w="414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 xml:space="preserve">14.24 MJ/t </w:t>
            </w:r>
          </w:p>
        </w:tc>
        <w:tc>
          <w:tcPr>
            <w:tcW w:w="252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0.485 7 kgce/t</w:t>
            </w:r>
          </w:p>
        </w:tc>
      </w:tr>
      <w:tr w:rsidR="005A643C">
        <w:trPr>
          <w:jc w:val="center"/>
        </w:trPr>
        <w:tc>
          <w:tcPr>
            <w:tcW w:w="2088"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除氧水</w:t>
            </w:r>
          </w:p>
        </w:tc>
        <w:tc>
          <w:tcPr>
            <w:tcW w:w="414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 xml:space="preserve">28.47 MJ/t </w:t>
            </w:r>
          </w:p>
        </w:tc>
        <w:tc>
          <w:tcPr>
            <w:tcW w:w="252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0.9714 kgce/t</w:t>
            </w:r>
          </w:p>
        </w:tc>
      </w:tr>
      <w:tr w:rsidR="005A643C">
        <w:trPr>
          <w:jc w:val="center"/>
        </w:trPr>
        <w:tc>
          <w:tcPr>
            <w:tcW w:w="2088"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压缩空气</w:t>
            </w:r>
          </w:p>
        </w:tc>
        <w:tc>
          <w:tcPr>
            <w:tcW w:w="414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1.17 MJ/m</w:t>
            </w:r>
            <w:r>
              <w:rPr>
                <w:rFonts w:hint="eastAsia"/>
                <w:sz w:val="18"/>
                <w:szCs w:val="16"/>
                <w:vertAlign w:val="superscript"/>
              </w:rPr>
              <w:t xml:space="preserve">3 </w:t>
            </w:r>
          </w:p>
        </w:tc>
        <w:tc>
          <w:tcPr>
            <w:tcW w:w="252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0.040 0 kgce/m</w:t>
            </w:r>
            <w:r>
              <w:rPr>
                <w:rFonts w:hint="eastAsia"/>
                <w:sz w:val="18"/>
                <w:szCs w:val="16"/>
                <w:vertAlign w:val="superscript"/>
              </w:rPr>
              <w:t>3</w:t>
            </w:r>
          </w:p>
        </w:tc>
      </w:tr>
      <w:tr w:rsidR="005A643C">
        <w:trPr>
          <w:jc w:val="center"/>
        </w:trPr>
        <w:tc>
          <w:tcPr>
            <w:tcW w:w="2088"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二氧化碳气</w:t>
            </w:r>
          </w:p>
        </w:tc>
        <w:tc>
          <w:tcPr>
            <w:tcW w:w="414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6.28 MJ/m</w:t>
            </w:r>
            <w:r>
              <w:rPr>
                <w:rFonts w:hint="eastAsia"/>
                <w:sz w:val="18"/>
                <w:szCs w:val="16"/>
                <w:vertAlign w:val="superscript"/>
              </w:rPr>
              <w:t>3</w:t>
            </w:r>
          </w:p>
        </w:tc>
        <w:tc>
          <w:tcPr>
            <w:tcW w:w="252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0.214 3 kgce/m</w:t>
            </w:r>
            <w:r>
              <w:rPr>
                <w:rFonts w:hint="eastAsia"/>
                <w:sz w:val="18"/>
                <w:szCs w:val="16"/>
                <w:vertAlign w:val="superscript"/>
              </w:rPr>
              <w:t>3</w:t>
            </w:r>
          </w:p>
        </w:tc>
      </w:tr>
      <w:tr w:rsidR="005A643C">
        <w:trPr>
          <w:jc w:val="center"/>
        </w:trPr>
        <w:tc>
          <w:tcPr>
            <w:tcW w:w="2088"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氧气</w:t>
            </w:r>
          </w:p>
        </w:tc>
        <w:tc>
          <w:tcPr>
            <w:tcW w:w="414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11.72 MJ/m</w:t>
            </w:r>
            <w:r>
              <w:rPr>
                <w:rFonts w:hint="eastAsia"/>
                <w:sz w:val="18"/>
                <w:szCs w:val="16"/>
                <w:vertAlign w:val="superscript"/>
              </w:rPr>
              <w:t>3</w:t>
            </w:r>
          </w:p>
        </w:tc>
        <w:tc>
          <w:tcPr>
            <w:tcW w:w="252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0.400 0 kgce/m</w:t>
            </w:r>
            <w:r>
              <w:rPr>
                <w:rFonts w:hint="eastAsia"/>
                <w:sz w:val="18"/>
                <w:szCs w:val="16"/>
                <w:vertAlign w:val="superscript"/>
              </w:rPr>
              <w:t>3</w:t>
            </w:r>
          </w:p>
        </w:tc>
      </w:tr>
      <w:tr w:rsidR="005A643C">
        <w:trPr>
          <w:jc w:val="center"/>
        </w:trPr>
        <w:tc>
          <w:tcPr>
            <w:tcW w:w="2088"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氮气</w:t>
            </w:r>
          </w:p>
        </w:tc>
        <w:tc>
          <w:tcPr>
            <w:tcW w:w="414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11.72 MJ/m</w:t>
            </w:r>
            <w:r>
              <w:rPr>
                <w:rFonts w:hint="eastAsia"/>
                <w:sz w:val="18"/>
                <w:szCs w:val="16"/>
                <w:vertAlign w:val="superscript"/>
              </w:rPr>
              <w:t>3</w:t>
            </w:r>
          </w:p>
        </w:tc>
        <w:tc>
          <w:tcPr>
            <w:tcW w:w="2520" w:type="dxa"/>
            <w:tcBorders>
              <w:tl2br w:val="nil"/>
              <w:tr2bl w:val="nil"/>
            </w:tcBorders>
            <w:vAlign w:val="center"/>
          </w:tcPr>
          <w:p w:rsidR="005A643C" w:rsidRDefault="00837FC7">
            <w:pPr>
              <w:pStyle w:val="af1"/>
              <w:ind w:firstLineChars="0" w:firstLine="0"/>
              <w:jc w:val="center"/>
              <w:rPr>
                <w:sz w:val="18"/>
                <w:szCs w:val="16"/>
              </w:rPr>
            </w:pPr>
            <w:r>
              <w:rPr>
                <w:rFonts w:hint="eastAsia"/>
                <w:sz w:val="18"/>
                <w:szCs w:val="16"/>
              </w:rPr>
              <w:t>0.400 0 kgce/m</w:t>
            </w:r>
            <w:r>
              <w:rPr>
                <w:rFonts w:hint="eastAsia"/>
                <w:sz w:val="18"/>
                <w:szCs w:val="16"/>
                <w:vertAlign w:val="superscript"/>
              </w:rPr>
              <w:t>3</w:t>
            </w:r>
          </w:p>
        </w:tc>
      </w:tr>
      <w:tr w:rsidR="005A643C">
        <w:trPr>
          <w:jc w:val="center"/>
        </w:trPr>
        <w:tc>
          <w:tcPr>
            <w:tcW w:w="8748" w:type="dxa"/>
            <w:gridSpan w:val="3"/>
            <w:tcBorders>
              <w:tl2br w:val="nil"/>
              <w:tr2bl w:val="nil"/>
            </w:tcBorders>
            <w:vAlign w:val="center"/>
          </w:tcPr>
          <w:p w:rsidR="005A643C" w:rsidRDefault="00837FC7">
            <w:pPr>
              <w:pStyle w:val="a"/>
              <w:numPr>
                <w:ilvl w:val="0"/>
                <w:numId w:val="0"/>
              </w:numPr>
              <w:ind w:left="363"/>
            </w:pPr>
            <w:r>
              <w:rPr>
                <w:rFonts w:hint="eastAsia"/>
              </w:rPr>
              <w:t>注1：kgce与MJ的转换系数为29.3076，即1kgce对应29.3076MJ。</w:t>
            </w:r>
          </w:p>
          <w:p w:rsidR="005A643C" w:rsidRDefault="00837FC7">
            <w:pPr>
              <w:pStyle w:val="a"/>
              <w:numPr>
                <w:ilvl w:val="0"/>
                <w:numId w:val="0"/>
              </w:numPr>
              <w:ind w:left="363"/>
            </w:pPr>
            <w:r>
              <w:rPr>
                <w:rFonts w:hint="eastAsia"/>
              </w:rPr>
              <w:t>注2：单位耗能工质耗能量和折标准煤系数是按照电厂发电标准煤耗为0.404kgce/(kW·</w:t>
            </w:r>
            <w:r>
              <w:t>h</w:t>
            </w:r>
            <w:r>
              <w:rPr>
                <w:rFonts w:hint="eastAsia"/>
              </w:rPr>
              <w:t>)计算的折标准煤系数。实际计算时，推荐考虑上年电厂发电标准煤耗和制备耗能工质设备效率等影响因素，对折标准煤系数进行修正。</w:t>
            </w:r>
          </w:p>
        </w:tc>
      </w:tr>
    </w:tbl>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ED18FE">
      <w:r>
        <w:pict>
          <v:line id="_x0000_s1027" style="position:absolute;left:0;text-align:left;z-index:251666432" from="147.7pt,13.45pt" to="308.95pt,13.45pt" o:gfxdata="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BlUhr1QAAAAkB&#10;AAAPAAAAAAAAAAEAIAAAACIAAABkcnMvZG93bnJldi54bWxQSwECFAAUAAAACACHTuJAmYWHmuUB&#10;AACmAwAADgAAAAAAAAABACAAAAAkAQAAZHJzL2Uyb0RvYy54bWxQSwUGAAAAAAYABgBZAQAAewUA&#10;AAAA&#10;" strokecolor="black [3213]" strokeweight=".5pt"/>
        </w:pict>
      </w:r>
    </w:p>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p w:rsidR="005A643C" w:rsidRDefault="005A643C"/>
    <w:sectPr w:rsidR="005A643C" w:rsidSect="005A643C">
      <w:footerReference w:type="default" r:id="rId12"/>
      <w:pgSz w:w="11907" w:h="16840"/>
      <w:pgMar w:top="567" w:right="1134" w:bottom="1134" w:left="1418" w:header="1417" w:footer="1134"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0AA" w:rsidRDefault="00AD40AA" w:rsidP="005A643C">
      <w:r>
        <w:separator/>
      </w:r>
    </w:p>
  </w:endnote>
  <w:endnote w:type="continuationSeparator" w:id="1">
    <w:p w:rsidR="00AD40AA" w:rsidRDefault="00AD40AA" w:rsidP="005A643C">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43C" w:rsidRDefault="00ED18FE">
    <w:pPr>
      <w:pStyle w:val="ad"/>
      <w:ind w:right="360"/>
    </w:pPr>
    <w:r>
      <w:pict>
        <v:shapetype id="_x0000_t202" coordsize="21600,21600" o:spt="202" path="m,l,21600r21600,l21600,xe">
          <v:stroke joinstyle="miter"/>
          <v:path gradientshapeok="t" o:connecttype="rect"/>
        </v:shapetype>
        <v:shape id="_x0000_s2050" type="#_x0000_t202" style="position:absolute;margin-left:208pt;margin-top:0;width:2in;height:2in;z-index:251660288;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filled="f" stroked="f" strokeweight=".5pt">
          <v:textbox style="mso-fit-shape-to-text:t" inset="0,0,0,0">
            <w:txbxContent>
              <w:p w:rsidR="005A643C" w:rsidRDefault="00ED18FE">
                <w:pPr>
                  <w:pStyle w:val="aff9"/>
                </w:pPr>
                <w:r>
                  <w:fldChar w:fldCharType="begin"/>
                </w:r>
                <w:r w:rsidR="00837FC7">
                  <w:instrText>Page</w:instrText>
                </w:r>
                <w:r>
                  <w:fldChar w:fldCharType="separate"/>
                </w:r>
                <w:r w:rsidR="00F912E1">
                  <w:rPr>
                    <w:noProof/>
                  </w:rPr>
                  <w:t>II</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43C" w:rsidRDefault="00ED18FE">
    <w:pPr>
      <w:pStyle w:val="ad"/>
      <w:ind w:right="360"/>
    </w:pPr>
    <w:r>
      <w:pict>
        <v:shapetype id="_x0000_t202" coordsize="21600,21600" o:spt="202" path="m,l,21600r21600,l21600,xe">
          <v:stroke joinstyle="miter"/>
          <v:path gradientshapeok="t" o:connecttype="rect"/>
        </v:shapetype>
        <v:shape id="_x0000_s2049" type="#_x0000_t202" style="position:absolute;margin-left:208pt;margin-top:0;width:2in;height:2in;z-index:251662336;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filled="f" stroked="f" strokeweight=".5pt">
          <v:textbox style="mso-fit-shape-to-text:t" inset="0,0,0,0">
            <w:txbxContent>
              <w:p w:rsidR="005A643C" w:rsidRDefault="00ED18FE">
                <w:pPr>
                  <w:pStyle w:val="aff9"/>
                </w:pPr>
                <w:r>
                  <w:fldChar w:fldCharType="begin"/>
                </w:r>
                <w:r w:rsidR="00837FC7">
                  <w:instrText>Page</w:instrText>
                </w:r>
                <w:r>
                  <w:fldChar w:fldCharType="separate"/>
                </w:r>
                <w:r w:rsidR="00F912E1">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0AA" w:rsidRDefault="00AD40AA" w:rsidP="005A643C">
      <w:r>
        <w:separator/>
      </w:r>
    </w:p>
  </w:footnote>
  <w:footnote w:type="continuationSeparator" w:id="1">
    <w:p w:rsidR="00AD40AA" w:rsidRDefault="00AD40AA" w:rsidP="005A64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43C" w:rsidRDefault="00837FC7">
    <w:pPr>
      <w:pStyle w:val="aff8"/>
    </w:pPr>
    <w:r>
      <w:rPr>
        <w:rFonts w:hint="eastAsia"/>
      </w:rPr>
      <w:t>DB13/T XXXX—XXXX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EF75951"/>
    <w:multiLevelType w:val="multilevel"/>
    <w:tmpl w:val="BEF75951"/>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4A93320E"/>
    <w:multiLevelType w:val="multilevel"/>
    <w:tmpl w:val="4A93320E"/>
    <w:lvl w:ilvl="0">
      <w:start w:val="1"/>
      <w:numFmt w:val="decimal"/>
      <w:pStyle w:val="a0"/>
      <w:suff w:val="space"/>
      <w:lvlText w:val="%1 "/>
      <w:lvlJc w:val="left"/>
      <w:pPr>
        <w:ind w:left="0" w:firstLine="0"/>
      </w:pPr>
      <w:rPr>
        <w:rFonts w:eastAsia="黑体" w:hint="eastAsia"/>
        <w:sz w:val="21"/>
      </w:rPr>
    </w:lvl>
    <w:lvl w:ilvl="1">
      <w:start w:val="1"/>
      <w:numFmt w:val="decimal"/>
      <w:pStyle w:val="a1"/>
      <w:suff w:val="space"/>
      <w:lvlText w:val="%1.%2 "/>
      <w:lvlJc w:val="left"/>
      <w:pPr>
        <w:ind w:left="284" w:firstLine="0"/>
      </w:pPr>
      <w:rPr>
        <w:rFonts w:hint="eastAsia"/>
      </w:rPr>
    </w:lvl>
    <w:lvl w:ilvl="2">
      <w:start w:val="1"/>
      <w:numFmt w:val="decimal"/>
      <w:pStyle w:val="a2"/>
      <w:suff w:val="space"/>
      <w:lvlText w:val="%1.%2.%3 "/>
      <w:lvlJc w:val="left"/>
      <w:pPr>
        <w:ind w:left="0" w:firstLine="0"/>
      </w:pPr>
      <w:rPr>
        <w:rFonts w:hint="eastAsia"/>
      </w:rPr>
    </w:lvl>
    <w:lvl w:ilvl="3">
      <w:start w:val="1"/>
      <w:numFmt w:val="decimal"/>
      <w:pStyle w:val="a3"/>
      <w:suff w:val="space"/>
      <w:lvlText w:val="%1.%2.%3.%4 "/>
      <w:lvlJc w:val="left"/>
      <w:pPr>
        <w:ind w:left="0" w:firstLine="0"/>
      </w:pPr>
      <w:rPr>
        <w:rFonts w:hint="eastAsia"/>
      </w:rPr>
    </w:lvl>
    <w:lvl w:ilvl="4">
      <w:start w:val="1"/>
      <w:numFmt w:val="decimal"/>
      <w:suff w:val="space"/>
      <w:lvlText w:val="%1.%2.%3.%4.%5 "/>
      <w:lvlJc w:val="left"/>
      <w:pPr>
        <w:ind w:left="0" w:firstLine="0"/>
      </w:pPr>
      <w:rPr>
        <w:rFonts w:hint="eastAsia"/>
      </w:rPr>
    </w:lvl>
    <w:lvl w:ilvl="5">
      <w:start w:val="1"/>
      <w:numFmt w:val="decimal"/>
      <w:suff w:val="space"/>
      <w:lvlText w:val="%1.%2.%3.%4.%5.%6 "/>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4"/>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
    <w:nsid w:val="657D3FBC"/>
    <w:multiLevelType w:val="multilevel"/>
    <w:tmpl w:val="657D3FBC"/>
    <w:lvl w:ilvl="0">
      <w:start w:val="1"/>
      <w:numFmt w:val="upperLetter"/>
      <w:pStyle w:val="a5"/>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7"/>
      <w:suff w:val="nothing"/>
      <w:lvlText w:val="%1.%2.%3　"/>
      <w:lvlJc w:val="left"/>
      <w:pPr>
        <w:ind w:left="993"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nsid w:val="6DBF04F4"/>
    <w:multiLevelType w:val="multilevel"/>
    <w:tmpl w:val="6DBF04F4"/>
    <w:lvl w:ilvl="0">
      <w:start w:val="1"/>
      <w:numFmt w:val="none"/>
      <w:pStyle w:val="a8"/>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
  </w:num>
  <w:num w:numId="2">
    <w:abstractNumId w:val="4"/>
  </w:num>
  <w:num w:numId="3">
    <w:abstractNumId w:val="3"/>
  </w:num>
  <w:num w:numId="4">
    <w:abstractNumId w:val="2"/>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noPunctuationKerning/>
  <w:characterSpacingControl w:val="doNotCompress"/>
  <w:noLineBreaksAfter w:lang="zh-CN" w:val="$([{£¥·‘“〈《「『【〔〖〝﹙﹛﹝＄（．［｛￡￥"/>
  <w:noLineBreaksBefore w:lang="zh-CN" w:val="!%),.:;&gt;?]}¢¨°·ˇˉ―‖’”…‰′″›℃∶、。〃〉》」』】〕〗〞︶︺︾﹀﹄﹚﹜﹞！＂％＇），．：；？］｀｜｝～￠"/>
  <w:hdrShapeDefaults>
    <o:shapedefaults v:ext="edit" spidmax="5122"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ulTrailSpace/>
    <w:doNotExpandShiftReturn/>
    <w:adjustLineHeightInTable/>
    <w:useFELayout/>
  </w:compat>
  <w:docVars>
    <w:docVar w:name="commondata" w:val="eyJoZGlkIjoiM2NlNzIzY2U1Zjc0ZGZkMTc5ZTk0NGY5MTNkMTljYjEifQ=="/>
  </w:docVars>
  <w:rsids>
    <w:rsidRoot w:val="005A643C"/>
    <w:rsid w:val="BBBFCBB9"/>
    <w:rsid w:val="DFCE0921"/>
    <w:rsid w:val="EC7D3D9E"/>
    <w:rsid w:val="EDFE50A4"/>
    <w:rsid w:val="EEBE9673"/>
    <w:rsid w:val="F59B8F4B"/>
    <w:rsid w:val="F5FEA423"/>
    <w:rsid w:val="F7E7E354"/>
    <w:rsid w:val="FAFBDD7B"/>
    <w:rsid w:val="FBBBC185"/>
    <w:rsid w:val="FEED3F82"/>
    <w:rsid w:val="FF7B9111"/>
    <w:rsid w:val="FF7F945E"/>
    <w:rsid w:val="FFBFC6BE"/>
    <w:rsid w:val="FFBFFCDE"/>
    <w:rsid w:val="001A2968"/>
    <w:rsid w:val="005A643C"/>
    <w:rsid w:val="00837FC7"/>
    <w:rsid w:val="00AD40AA"/>
    <w:rsid w:val="00D51477"/>
    <w:rsid w:val="00D81E3A"/>
    <w:rsid w:val="00D85B86"/>
    <w:rsid w:val="00ED18FE"/>
    <w:rsid w:val="00F912E1"/>
    <w:rsid w:val="01695955"/>
    <w:rsid w:val="01FE2B3E"/>
    <w:rsid w:val="0434636C"/>
    <w:rsid w:val="0506170D"/>
    <w:rsid w:val="060F3C66"/>
    <w:rsid w:val="0731167A"/>
    <w:rsid w:val="08470072"/>
    <w:rsid w:val="0A016F5C"/>
    <w:rsid w:val="0B971310"/>
    <w:rsid w:val="0CD41CD5"/>
    <w:rsid w:val="0E806D5E"/>
    <w:rsid w:val="0E9E4764"/>
    <w:rsid w:val="0EAA5121"/>
    <w:rsid w:val="0FB50690"/>
    <w:rsid w:val="0FEFC486"/>
    <w:rsid w:val="0FF86139"/>
    <w:rsid w:val="10F20D97"/>
    <w:rsid w:val="121A05A5"/>
    <w:rsid w:val="13F07810"/>
    <w:rsid w:val="14515DD5"/>
    <w:rsid w:val="156C55BC"/>
    <w:rsid w:val="163231EB"/>
    <w:rsid w:val="1707615D"/>
    <w:rsid w:val="171B8741"/>
    <w:rsid w:val="178A2DBE"/>
    <w:rsid w:val="190823A1"/>
    <w:rsid w:val="1A3441CE"/>
    <w:rsid w:val="1B08157D"/>
    <w:rsid w:val="1B2C08A2"/>
    <w:rsid w:val="1B754A9E"/>
    <w:rsid w:val="1BFE1B6A"/>
    <w:rsid w:val="1C4A6B93"/>
    <w:rsid w:val="1E7157AB"/>
    <w:rsid w:val="202A6FC4"/>
    <w:rsid w:val="23694EE9"/>
    <w:rsid w:val="24C0322E"/>
    <w:rsid w:val="25F5515A"/>
    <w:rsid w:val="26543C2E"/>
    <w:rsid w:val="26663961"/>
    <w:rsid w:val="27277595"/>
    <w:rsid w:val="27C4384D"/>
    <w:rsid w:val="28E90FB8"/>
    <w:rsid w:val="292F0982"/>
    <w:rsid w:val="29323FCF"/>
    <w:rsid w:val="29A0362E"/>
    <w:rsid w:val="29BD6B93"/>
    <w:rsid w:val="2B2636BF"/>
    <w:rsid w:val="2C9D353E"/>
    <w:rsid w:val="2FF50D48"/>
    <w:rsid w:val="2FFF1E7E"/>
    <w:rsid w:val="30ED53AB"/>
    <w:rsid w:val="30F229C1"/>
    <w:rsid w:val="30F2476F"/>
    <w:rsid w:val="319307BD"/>
    <w:rsid w:val="31BA2149"/>
    <w:rsid w:val="3304078A"/>
    <w:rsid w:val="332D7CE1"/>
    <w:rsid w:val="336B0809"/>
    <w:rsid w:val="33DB2DCE"/>
    <w:rsid w:val="34605FA8"/>
    <w:rsid w:val="37621F23"/>
    <w:rsid w:val="37735EDE"/>
    <w:rsid w:val="383E029A"/>
    <w:rsid w:val="395B30CE"/>
    <w:rsid w:val="39B7BACF"/>
    <w:rsid w:val="39F552D0"/>
    <w:rsid w:val="3B699F51"/>
    <w:rsid w:val="3BFD221A"/>
    <w:rsid w:val="3C472619"/>
    <w:rsid w:val="3EAB0654"/>
    <w:rsid w:val="3F553734"/>
    <w:rsid w:val="40D6344B"/>
    <w:rsid w:val="4290203A"/>
    <w:rsid w:val="42F00D2B"/>
    <w:rsid w:val="433724B6"/>
    <w:rsid w:val="449E657A"/>
    <w:rsid w:val="4545710C"/>
    <w:rsid w:val="46731A57"/>
    <w:rsid w:val="4743767B"/>
    <w:rsid w:val="488C15D6"/>
    <w:rsid w:val="49137A1D"/>
    <w:rsid w:val="4A90739B"/>
    <w:rsid w:val="4B7324F9"/>
    <w:rsid w:val="4CDAB2D1"/>
    <w:rsid w:val="4E9C3B15"/>
    <w:rsid w:val="4F075432"/>
    <w:rsid w:val="4F7E0844"/>
    <w:rsid w:val="51A72EFC"/>
    <w:rsid w:val="52BB6335"/>
    <w:rsid w:val="532372E8"/>
    <w:rsid w:val="54183680"/>
    <w:rsid w:val="543C0C79"/>
    <w:rsid w:val="54DB77DE"/>
    <w:rsid w:val="55F04E72"/>
    <w:rsid w:val="5609445F"/>
    <w:rsid w:val="570A1F63"/>
    <w:rsid w:val="576C0528"/>
    <w:rsid w:val="585B3330"/>
    <w:rsid w:val="58C148A4"/>
    <w:rsid w:val="5D4F5B34"/>
    <w:rsid w:val="5F214BBC"/>
    <w:rsid w:val="5FEB0458"/>
    <w:rsid w:val="61B81661"/>
    <w:rsid w:val="643F0A6B"/>
    <w:rsid w:val="64405216"/>
    <w:rsid w:val="647749B0"/>
    <w:rsid w:val="64833355"/>
    <w:rsid w:val="65DC2D1D"/>
    <w:rsid w:val="67214B77"/>
    <w:rsid w:val="676B4AD5"/>
    <w:rsid w:val="68CA77A4"/>
    <w:rsid w:val="691636B0"/>
    <w:rsid w:val="69CE6E20"/>
    <w:rsid w:val="6A6F1503"/>
    <w:rsid w:val="6BEC5C84"/>
    <w:rsid w:val="6C7812C6"/>
    <w:rsid w:val="6CD26C28"/>
    <w:rsid w:val="6D364D2E"/>
    <w:rsid w:val="6DE14850"/>
    <w:rsid w:val="6E6E780C"/>
    <w:rsid w:val="6FD64C81"/>
    <w:rsid w:val="70B054D2"/>
    <w:rsid w:val="73C5B536"/>
    <w:rsid w:val="73DD4830"/>
    <w:rsid w:val="741A021E"/>
    <w:rsid w:val="7460720F"/>
    <w:rsid w:val="74736F42"/>
    <w:rsid w:val="74EE24F4"/>
    <w:rsid w:val="74FD680C"/>
    <w:rsid w:val="74FF0812"/>
    <w:rsid w:val="753D0FCD"/>
    <w:rsid w:val="75D92DD5"/>
    <w:rsid w:val="76A01F7B"/>
    <w:rsid w:val="76A333E3"/>
    <w:rsid w:val="776E55D0"/>
    <w:rsid w:val="7793C330"/>
    <w:rsid w:val="786933D5"/>
    <w:rsid w:val="79537342"/>
    <w:rsid w:val="7A0147F0"/>
    <w:rsid w:val="7A4850CB"/>
    <w:rsid w:val="7B5805D1"/>
    <w:rsid w:val="7BAF7847"/>
    <w:rsid w:val="7BC57958"/>
    <w:rsid w:val="7BDDBDF5"/>
    <w:rsid w:val="7C8E60CD"/>
    <w:rsid w:val="7CE87DA1"/>
    <w:rsid w:val="7DBD2FDC"/>
    <w:rsid w:val="7DFF89F2"/>
    <w:rsid w:val="7E68119A"/>
    <w:rsid w:val="7E97B76D"/>
    <w:rsid w:val="7F9B25CE"/>
    <w:rsid w:val="7FAE70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toc 8" w:qFormat="1"/>
    <w:lsdException w:name="header" w:qFormat="1"/>
    <w:lsdException w:name="footer" w:qFormat="1"/>
    <w:lsdException w:name="caption" w:semiHidden="1" w:unhideWhenUsed="1" w:qFormat="1"/>
    <w:lsdException w:name="page number" w:qFormat="1"/>
    <w:lsdException w:name="List 2" w:qFormat="1"/>
    <w:lsdException w:name="List 4" w:qFormat="1"/>
    <w:lsdException w:name="Title" w:qFormat="1"/>
    <w:lsdException w:name="Default Paragraph Fon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9">
    <w:name w:val="Normal"/>
    <w:qFormat/>
    <w:rsid w:val="005A643C"/>
    <w:pPr>
      <w:widowControl w:val="0"/>
      <w:jc w:val="both"/>
    </w:pPr>
    <w:rPr>
      <w:rFonts w:ascii="Calibri" w:hAnsi="Calibri" w:cs="Arial"/>
      <w:kern w:val="2"/>
      <w:sz w:val="21"/>
      <w:szCs w:val="22"/>
    </w:rPr>
  </w:style>
  <w:style w:type="paragraph" w:styleId="1">
    <w:name w:val="heading 1"/>
    <w:basedOn w:val="a9"/>
    <w:next w:val="a9"/>
    <w:qFormat/>
    <w:rsid w:val="005A643C"/>
    <w:pPr>
      <w:keepNext/>
      <w:keepLines/>
      <w:spacing w:before="340" w:after="330" w:line="578" w:lineRule="auto"/>
      <w:outlineLvl w:val="0"/>
    </w:pPr>
    <w:rPr>
      <w:b/>
      <w:bCs/>
      <w:kern w:val="44"/>
      <w:sz w:val="44"/>
      <w:szCs w:val="44"/>
    </w:rPr>
  </w:style>
  <w:style w:type="paragraph" w:styleId="2">
    <w:name w:val="heading 2"/>
    <w:basedOn w:val="a9"/>
    <w:next w:val="a9"/>
    <w:qFormat/>
    <w:rsid w:val="005A643C"/>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a9"/>
    <w:next w:val="a9"/>
    <w:qFormat/>
    <w:rsid w:val="005A643C"/>
    <w:pPr>
      <w:keepNext/>
      <w:keepLines/>
      <w:spacing w:before="260" w:after="260" w:line="415" w:lineRule="auto"/>
      <w:outlineLvl w:val="2"/>
    </w:pPr>
    <w:rPr>
      <w:b/>
      <w:bCs/>
      <w:sz w:val="32"/>
      <w:szCs w:val="32"/>
    </w:rPr>
  </w:style>
  <w:style w:type="character" w:default="1" w:styleId="aa">
    <w:name w:val="Default Paragraph Font"/>
    <w:uiPriority w:val="1"/>
    <w:semiHidden/>
    <w:unhideWhenUsed/>
  </w:style>
  <w:style w:type="table" w:default="1" w:styleId="ab">
    <w:name w:val="Normal Table"/>
    <w:uiPriority w:val="99"/>
    <w:semiHidden/>
    <w:unhideWhenUsed/>
    <w:qFormat/>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20">
    <w:name w:val="List 2"/>
    <w:basedOn w:val="a9"/>
    <w:link w:val="2Char"/>
    <w:autoRedefine/>
    <w:qFormat/>
    <w:rsid w:val="005A643C"/>
    <w:pPr>
      <w:ind w:left="840" w:hanging="420"/>
    </w:pPr>
  </w:style>
  <w:style w:type="paragraph" w:styleId="8">
    <w:name w:val="toc 8"/>
    <w:basedOn w:val="a9"/>
    <w:next w:val="a9"/>
    <w:autoRedefine/>
    <w:qFormat/>
    <w:rsid w:val="005A643C"/>
    <w:pPr>
      <w:ind w:left="2940"/>
    </w:pPr>
  </w:style>
  <w:style w:type="paragraph" w:styleId="ad">
    <w:name w:val="footer"/>
    <w:basedOn w:val="a9"/>
    <w:autoRedefine/>
    <w:qFormat/>
    <w:rsid w:val="005A643C"/>
    <w:pPr>
      <w:tabs>
        <w:tab w:val="center" w:pos="4153"/>
        <w:tab w:val="right" w:pos="8307"/>
      </w:tabs>
      <w:snapToGrid w:val="0"/>
      <w:jc w:val="left"/>
    </w:pPr>
    <w:rPr>
      <w:sz w:val="18"/>
      <w:szCs w:val="18"/>
    </w:rPr>
  </w:style>
  <w:style w:type="paragraph" w:styleId="ae">
    <w:name w:val="header"/>
    <w:basedOn w:val="a9"/>
    <w:autoRedefine/>
    <w:qFormat/>
    <w:rsid w:val="005A643C"/>
    <w:pPr>
      <w:pBdr>
        <w:bottom w:val="single" w:sz="6" w:space="1" w:color="auto"/>
      </w:pBdr>
      <w:tabs>
        <w:tab w:val="center" w:pos="4153"/>
        <w:tab w:val="right" w:pos="8307"/>
      </w:tabs>
      <w:snapToGrid w:val="0"/>
      <w:jc w:val="center"/>
    </w:pPr>
    <w:rPr>
      <w:sz w:val="18"/>
      <w:szCs w:val="18"/>
    </w:rPr>
  </w:style>
  <w:style w:type="paragraph" w:styleId="10">
    <w:name w:val="toc 1"/>
    <w:basedOn w:val="a9"/>
    <w:next w:val="a9"/>
    <w:autoRedefine/>
    <w:uiPriority w:val="39"/>
    <w:qFormat/>
    <w:rsid w:val="005A643C"/>
    <w:pPr>
      <w:tabs>
        <w:tab w:val="right" w:leader="dot" w:pos="9242"/>
      </w:tabs>
      <w:spacing w:beforeLines="25" w:afterLines="25"/>
      <w:jc w:val="left"/>
    </w:pPr>
    <w:rPr>
      <w:rFonts w:ascii="宋体"/>
      <w:szCs w:val="21"/>
    </w:rPr>
  </w:style>
  <w:style w:type="paragraph" w:styleId="21">
    <w:name w:val="toc 2"/>
    <w:basedOn w:val="a9"/>
    <w:next w:val="a9"/>
    <w:autoRedefine/>
    <w:qFormat/>
    <w:rsid w:val="005A643C"/>
    <w:pPr>
      <w:ind w:left="420"/>
    </w:pPr>
  </w:style>
  <w:style w:type="paragraph" w:styleId="4">
    <w:name w:val="List 4"/>
    <w:basedOn w:val="a9"/>
    <w:autoRedefine/>
    <w:qFormat/>
    <w:rsid w:val="005A643C"/>
    <w:pPr>
      <w:ind w:left="1680" w:hanging="420"/>
    </w:pPr>
  </w:style>
  <w:style w:type="character" w:styleId="af">
    <w:name w:val="page number"/>
    <w:basedOn w:val="aa"/>
    <w:autoRedefine/>
    <w:qFormat/>
    <w:rsid w:val="005A643C"/>
  </w:style>
  <w:style w:type="character" w:styleId="af0">
    <w:name w:val="Hyperlink"/>
    <w:autoRedefine/>
    <w:uiPriority w:val="99"/>
    <w:qFormat/>
    <w:rsid w:val="005A643C"/>
    <w:rPr>
      <w:color w:val="0000FF"/>
      <w:spacing w:val="0"/>
      <w:w w:val="100"/>
      <w:szCs w:val="21"/>
      <w:u w:val="single"/>
    </w:rPr>
  </w:style>
  <w:style w:type="paragraph" w:customStyle="1" w:styleId="af1">
    <w:name w:val="段"/>
    <w:link w:val="Char"/>
    <w:autoRedefine/>
    <w:qFormat/>
    <w:rsid w:val="005A643C"/>
    <w:pPr>
      <w:tabs>
        <w:tab w:val="center" w:pos="4201"/>
        <w:tab w:val="right" w:leader="dot" w:pos="9298"/>
      </w:tabs>
      <w:autoSpaceDE w:val="0"/>
      <w:autoSpaceDN w:val="0"/>
      <w:ind w:firstLineChars="200" w:firstLine="200"/>
      <w:jc w:val="both"/>
    </w:pPr>
    <w:rPr>
      <w:rFonts w:ascii="宋体"/>
      <w:sz w:val="21"/>
    </w:rPr>
  </w:style>
  <w:style w:type="paragraph" w:customStyle="1" w:styleId="af2">
    <w:name w:val="二级无"/>
    <w:basedOn w:val="a2"/>
    <w:link w:val="Char0"/>
    <w:autoRedefine/>
    <w:qFormat/>
    <w:rsid w:val="005A643C"/>
    <w:rPr>
      <w:rFonts w:ascii="宋体" w:eastAsia="宋体"/>
    </w:rPr>
  </w:style>
  <w:style w:type="paragraph" w:customStyle="1" w:styleId="a2">
    <w:name w:val="二级条标题"/>
    <w:basedOn w:val="a1"/>
    <w:next w:val="af1"/>
    <w:link w:val="Char1"/>
    <w:autoRedefine/>
    <w:qFormat/>
    <w:rsid w:val="005A643C"/>
    <w:pPr>
      <w:numPr>
        <w:ilvl w:val="2"/>
      </w:numPr>
      <w:outlineLvl w:val="3"/>
    </w:pPr>
  </w:style>
  <w:style w:type="paragraph" w:customStyle="1" w:styleId="a1">
    <w:name w:val="一级条标题"/>
    <w:next w:val="af1"/>
    <w:autoRedefine/>
    <w:qFormat/>
    <w:rsid w:val="005A643C"/>
    <w:pPr>
      <w:numPr>
        <w:ilvl w:val="1"/>
        <w:numId w:val="1"/>
      </w:numPr>
      <w:spacing w:beforeLines="50" w:afterLines="50"/>
      <w:outlineLvl w:val="2"/>
    </w:pPr>
    <w:rPr>
      <w:rFonts w:ascii="黑体" w:eastAsia="黑体"/>
      <w:sz w:val="21"/>
      <w:szCs w:val="21"/>
    </w:rPr>
  </w:style>
  <w:style w:type="paragraph" w:customStyle="1" w:styleId="af3">
    <w:name w:val="三级无"/>
    <w:basedOn w:val="a3"/>
    <w:link w:val="Char2"/>
    <w:autoRedefine/>
    <w:qFormat/>
    <w:rsid w:val="005A643C"/>
    <w:rPr>
      <w:rFonts w:ascii="宋体" w:eastAsia="宋体"/>
    </w:rPr>
  </w:style>
  <w:style w:type="paragraph" w:customStyle="1" w:styleId="a3">
    <w:name w:val="三级条标题"/>
    <w:basedOn w:val="a2"/>
    <w:next w:val="af1"/>
    <w:autoRedefine/>
    <w:qFormat/>
    <w:rsid w:val="005A643C"/>
    <w:pPr>
      <w:numPr>
        <w:ilvl w:val="3"/>
      </w:numPr>
      <w:outlineLvl w:val="4"/>
    </w:pPr>
  </w:style>
  <w:style w:type="paragraph" w:customStyle="1" w:styleId="af4">
    <w:name w:val="正文表标题"/>
    <w:autoRedefine/>
    <w:qFormat/>
    <w:rsid w:val="005A643C"/>
    <w:pPr>
      <w:tabs>
        <w:tab w:val="left" w:pos="360"/>
      </w:tabs>
      <w:spacing w:beforeLines="50" w:afterLines="50"/>
      <w:jc w:val="center"/>
    </w:pPr>
    <w:rPr>
      <w:rFonts w:ascii="黑体" w:eastAsia="黑体"/>
      <w:sz w:val="21"/>
    </w:rPr>
  </w:style>
  <w:style w:type="character" w:customStyle="1" w:styleId="Bodytext3MingLiU">
    <w:name w:val="Body text (3) + MingLiU"/>
    <w:autoRedefine/>
    <w:qFormat/>
    <w:rsid w:val="005A643C"/>
    <w:rPr>
      <w:rFonts w:ascii="MingLiU" w:eastAsia="MingLiU" w:cs="MingLiU"/>
      <w:b/>
      <w:bCs/>
      <w:color w:val="000000"/>
      <w:spacing w:val="0"/>
      <w:w w:val="100"/>
      <w:position w:val="0"/>
      <w:sz w:val="19"/>
      <w:szCs w:val="19"/>
      <w:u w:val="none"/>
      <w:lang w:val="zh-TW" w:eastAsia="zh-TW" w:bidi="ar-SA"/>
    </w:rPr>
  </w:style>
  <w:style w:type="character" w:customStyle="1" w:styleId="BodytextAngsanaUPC">
    <w:name w:val="Body text + AngsanaUPC"/>
    <w:autoRedefine/>
    <w:qFormat/>
    <w:rsid w:val="005A643C"/>
    <w:rPr>
      <w:rFonts w:ascii="AngsanaUPC" w:eastAsia="AngsanaUPC" w:hAnsi="AngsanaUPC" w:cs="AngsanaUPC"/>
      <w:b/>
      <w:bCs/>
      <w:color w:val="000000"/>
      <w:spacing w:val="0"/>
      <w:w w:val="100"/>
      <w:position w:val="0"/>
      <w:sz w:val="31"/>
      <w:szCs w:val="31"/>
      <w:u w:val="none"/>
      <w:lang w:val="en-US" w:eastAsia="en-US" w:bidi="ar-SA"/>
    </w:rPr>
  </w:style>
  <w:style w:type="paragraph" w:customStyle="1" w:styleId="af5">
    <w:name w:val="前言、引言标题"/>
    <w:next w:val="af1"/>
    <w:autoRedefine/>
    <w:qFormat/>
    <w:rsid w:val="005A643C"/>
    <w:pPr>
      <w:keepNext/>
      <w:pageBreakBefore/>
      <w:shd w:val="clear" w:color="FFFFFF" w:fill="FFFFFF"/>
      <w:spacing w:before="640" w:after="560"/>
      <w:jc w:val="center"/>
      <w:outlineLvl w:val="0"/>
    </w:pPr>
    <w:rPr>
      <w:rFonts w:ascii="黑体" w:eastAsia="黑体"/>
      <w:sz w:val="32"/>
    </w:rPr>
  </w:style>
  <w:style w:type="paragraph" w:customStyle="1" w:styleId="af6">
    <w:name w:val="文献分类号"/>
    <w:autoRedefine/>
    <w:qFormat/>
    <w:rsid w:val="005A643C"/>
    <w:pPr>
      <w:framePr w:hSpace="180" w:vSpace="180" w:wrap="around" w:hAnchor="margin" w:y="1" w:anchorLock="1"/>
      <w:widowControl w:val="0"/>
      <w:textAlignment w:val="center"/>
    </w:pPr>
    <w:rPr>
      <w:rFonts w:ascii="黑体" w:eastAsia="黑体"/>
      <w:sz w:val="21"/>
      <w:szCs w:val="21"/>
    </w:rPr>
  </w:style>
  <w:style w:type="paragraph" w:customStyle="1" w:styleId="af7">
    <w:name w:val="其他标准标志"/>
    <w:basedOn w:val="af8"/>
    <w:autoRedefine/>
    <w:qFormat/>
    <w:rsid w:val="005A643C"/>
    <w:pPr>
      <w:framePr w:w="6101" w:wrap="around" w:vAnchor="page" w:hAnchor="page" w:x="4673" w:y="942"/>
    </w:pPr>
    <w:rPr>
      <w:w w:val="130"/>
    </w:rPr>
  </w:style>
  <w:style w:type="paragraph" w:customStyle="1" w:styleId="af8">
    <w:name w:val="标准标志"/>
    <w:next w:val="a9"/>
    <w:autoRedefine/>
    <w:qFormat/>
    <w:rsid w:val="005A643C"/>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9">
    <w:name w:val="其他标准称谓"/>
    <w:next w:val="a9"/>
    <w:autoRedefine/>
    <w:qFormat/>
    <w:rsid w:val="005A643C"/>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22">
    <w:name w:val="封面标准号2"/>
    <w:autoRedefine/>
    <w:qFormat/>
    <w:rsid w:val="005A643C"/>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a">
    <w:name w:val="封面标准代替信息"/>
    <w:autoRedefine/>
    <w:qFormat/>
    <w:rsid w:val="005A643C"/>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b">
    <w:name w:val="封面标准名称"/>
    <w:autoRedefine/>
    <w:qFormat/>
    <w:rsid w:val="005A643C"/>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c">
    <w:name w:val="封面标准英文名称"/>
    <w:basedOn w:val="afb"/>
    <w:autoRedefine/>
    <w:qFormat/>
    <w:rsid w:val="005A643C"/>
    <w:pPr>
      <w:framePr w:wrap="around"/>
      <w:spacing w:before="370" w:line="400" w:lineRule="exact"/>
    </w:pPr>
    <w:rPr>
      <w:rFonts w:ascii="Times New Roman"/>
      <w:sz w:val="28"/>
      <w:szCs w:val="28"/>
    </w:rPr>
  </w:style>
  <w:style w:type="paragraph" w:customStyle="1" w:styleId="afd">
    <w:name w:val="封面一致性程度标识"/>
    <w:basedOn w:val="afc"/>
    <w:autoRedefine/>
    <w:qFormat/>
    <w:rsid w:val="005A643C"/>
    <w:pPr>
      <w:framePr w:wrap="around"/>
      <w:spacing w:before="440"/>
    </w:pPr>
    <w:rPr>
      <w:rFonts w:ascii="宋体" w:eastAsia="宋体"/>
    </w:rPr>
  </w:style>
  <w:style w:type="paragraph" w:customStyle="1" w:styleId="afe">
    <w:name w:val="封面标准文稿类别"/>
    <w:basedOn w:val="afd"/>
    <w:autoRedefine/>
    <w:qFormat/>
    <w:rsid w:val="005A643C"/>
    <w:pPr>
      <w:framePr w:wrap="around"/>
      <w:spacing w:after="160" w:line="240" w:lineRule="auto"/>
    </w:pPr>
    <w:rPr>
      <w:sz w:val="24"/>
    </w:rPr>
  </w:style>
  <w:style w:type="paragraph" w:customStyle="1" w:styleId="aff">
    <w:name w:val="封面标准文稿编辑信息"/>
    <w:basedOn w:val="afe"/>
    <w:autoRedefine/>
    <w:qFormat/>
    <w:rsid w:val="005A643C"/>
    <w:pPr>
      <w:framePr w:wrap="around"/>
      <w:spacing w:before="180" w:line="180" w:lineRule="exact"/>
    </w:pPr>
    <w:rPr>
      <w:sz w:val="21"/>
    </w:rPr>
  </w:style>
  <w:style w:type="paragraph" w:customStyle="1" w:styleId="aff0">
    <w:name w:val="其他发布日期"/>
    <w:basedOn w:val="aff1"/>
    <w:autoRedefine/>
    <w:qFormat/>
    <w:rsid w:val="005A643C"/>
    <w:pPr>
      <w:framePr w:wrap="around" w:vAnchor="page" w:hAnchor="text" w:x="1419"/>
    </w:pPr>
  </w:style>
  <w:style w:type="paragraph" w:customStyle="1" w:styleId="aff1">
    <w:name w:val="发布日期"/>
    <w:autoRedefine/>
    <w:qFormat/>
    <w:rsid w:val="005A643C"/>
    <w:pPr>
      <w:framePr w:w="3997" w:h="471" w:hRule="exact" w:vSpace="181" w:wrap="around" w:hAnchor="page" w:x="7089" w:y="14097" w:anchorLock="1"/>
    </w:pPr>
    <w:rPr>
      <w:rFonts w:eastAsia="黑体"/>
      <w:sz w:val="28"/>
    </w:rPr>
  </w:style>
  <w:style w:type="paragraph" w:customStyle="1" w:styleId="aff2">
    <w:name w:val="其他实施日期"/>
    <w:basedOn w:val="aff3"/>
    <w:autoRedefine/>
    <w:qFormat/>
    <w:rsid w:val="005A643C"/>
    <w:pPr>
      <w:framePr w:wrap="around"/>
    </w:pPr>
  </w:style>
  <w:style w:type="paragraph" w:customStyle="1" w:styleId="aff3">
    <w:name w:val="实施日期"/>
    <w:basedOn w:val="aff1"/>
    <w:autoRedefine/>
    <w:qFormat/>
    <w:rsid w:val="005A643C"/>
    <w:pPr>
      <w:framePr w:wrap="around" w:vAnchor="page" w:hAnchor="text"/>
      <w:jc w:val="right"/>
    </w:pPr>
  </w:style>
  <w:style w:type="paragraph" w:customStyle="1" w:styleId="aff4">
    <w:name w:val="其他发布部门"/>
    <w:basedOn w:val="aff5"/>
    <w:autoRedefine/>
    <w:qFormat/>
    <w:rsid w:val="005A643C"/>
    <w:pPr>
      <w:framePr w:wrap="around" w:y="15310"/>
      <w:spacing w:line="0" w:lineRule="atLeast"/>
    </w:pPr>
    <w:rPr>
      <w:rFonts w:ascii="黑体" w:eastAsia="黑体"/>
      <w:b w:val="0"/>
    </w:rPr>
  </w:style>
  <w:style w:type="paragraph" w:customStyle="1" w:styleId="aff5">
    <w:name w:val="发布部门"/>
    <w:next w:val="af1"/>
    <w:autoRedefine/>
    <w:qFormat/>
    <w:rsid w:val="005A643C"/>
    <w:pPr>
      <w:framePr w:w="7938" w:h="1134" w:hRule="exact" w:hSpace="125" w:vSpace="181" w:wrap="around" w:vAnchor="page" w:hAnchor="page" w:x="2150" w:y="14630" w:anchorLock="1"/>
      <w:jc w:val="center"/>
    </w:pPr>
    <w:rPr>
      <w:rFonts w:ascii="宋体"/>
      <w:b/>
      <w:spacing w:val="20"/>
      <w:w w:val="135"/>
      <w:sz w:val="28"/>
    </w:rPr>
  </w:style>
  <w:style w:type="character" w:customStyle="1" w:styleId="aff6">
    <w:name w:val="发布"/>
    <w:autoRedefine/>
    <w:qFormat/>
    <w:rsid w:val="005A643C"/>
    <w:rPr>
      <w:rFonts w:ascii="黑体" w:eastAsia="黑体"/>
      <w:spacing w:val="85"/>
      <w:w w:val="100"/>
      <w:position w:val="3"/>
      <w:sz w:val="28"/>
      <w:szCs w:val="28"/>
    </w:rPr>
  </w:style>
  <w:style w:type="paragraph" w:customStyle="1" w:styleId="aff7">
    <w:name w:val="终结线"/>
    <w:basedOn w:val="a9"/>
    <w:autoRedefine/>
    <w:qFormat/>
    <w:rsid w:val="005A643C"/>
    <w:pPr>
      <w:framePr w:hSpace="181" w:vSpace="181" w:wrap="around" w:vAnchor="text" w:hAnchor="margin" w:xAlign="center" w:y="285"/>
    </w:pPr>
  </w:style>
  <w:style w:type="paragraph" w:customStyle="1" w:styleId="aff8">
    <w:name w:val="标准书眉_奇数页"/>
    <w:next w:val="a9"/>
    <w:autoRedefine/>
    <w:qFormat/>
    <w:rsid w:val="005A643C"/>
    <w:pPr>
      <w:tabs>
        <w:tab w:val="center" w:pos="4154"/>
        <w:tab w:val="right" w:pos="8306"/>
      </w:tabs>
      <w:spacing w:after="220"/>
      <w:jc w:val="right"/>
    </w:pPr>
    <w:rPr>
      <w:rFonts w:ascii="黑体" w:eastAsia="黑体"/>
      <w:sz w:val="21"/>
      <w:szCs w:val="21"/>
    </w:rPr>
  </w:style>
  <w:style w:type="paragraph" w:customStyle="1" w:styleId="aff9">
    <w:name w:val="标准书脚_奇数页"/>
    <w:autoRedefine/>
    <w:qFormat/>
    <w:rsid w:val="005A643C"/>
    <w:pPr>
      <w:spacing w:before="120"/>
      <w:ind w:right="198"/>
      <w:jc w:val="right"/>
    </w:pPr>
    <w:rPr>
      <w:rFonts w:ascii="宋体"/>
      <w:sz w:val="18"/>
      <w:szCs w:val="18"/>
    </w:rPr>
  </w:style>
  <w:style w:type="paragraph" w:customStyle="1" w:styleId="affa">
    <w:name w:val="目次、标准名称标题"/>
    <w:basedOn w:val="a9"/>
    <w:next w:val="af1"/>
    <w:autoRedefine/>
    <w:qFormat/>
    <w:rsid w:val="005A643C"/>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章标题"/>
    <w:next w:val="af1"/>
    <w:autoRedefine/>
    <w:qFormat/>
    <w:rsid w:val="005A643C"/>
    <w:pPr>
      <w:numPr>
        <w:numId w:val="1"/>
      </w:numPr>
      <w:spacing w:beforeLines="100" w:afterLines="100"/>
      <w:jc w:val="both"/>
      <w:outlineLvl w:val="1"/>
    </w:pPr>
    <w:rPr>
      <w:rFonts w:ascii="黑体" w:eastAsia="黑体"/>
      <w:sz w:val="21"/>
    </w:rPr>
  </w:style>
  <w:style w:type="paragraph" w:customStyle="1" w:styleId="affb">
    <w:name w:val="一级无"/>
    <w:basedOn w:val="a1"/>
    <w:link w:val="Char3"/>
    <w:autoRedefine/>
    <w:qFormat/>
    <w:rsid w:val="005A643C"/>
    <w:pPr>
      <w:spacing w:beforeLines="0" w:afterLines="0"/>
    </w:pPr>
    <w:rPr>
      <w:rFonts w:ascii="宋体" w:eastAsia="宋体"/>
    </w:rPr>
  </w:style>
  <w:style w:type="character" w:customStyle="1" w:styleId="Char">
    <w:name w:val="段 Char"/>
    <w:link w:val="af1"/>
    <w:autoRedefine/>
    <w:qFormat/>
    <w:rsid w:val="005A643C"/>
    <w:rPr>
      <w:rFonts w:ascii="宋体" w:eastAsia="宋体" w:hAnsi="Times New Roman" w:cs="Times New Roman"/>
      <w:sz w:val="21"/>
      <w:szCs w:val="20"/>
      <w:lang w:val="en-US" w:eastAsia="zh-CN" w:bidi="ar-SA"/>
    </w:rPr>
  </w:style>
  <w:style w:type="paragraph" w:customStyle="1" w:styleId="a8">
    <w:name w:val="注："/>
    <w:next w:val="af1"/>
    <w:autoRedefine/>
    <w:qFormat/>
    <w:rsid w:val="005A643C"/>
    <w:pPr>
      <w:widowControl w:val="0"/>
      <w:numPr>
        <w:numId w:val="2"/>
      </w:numPr>
      <w:autoSpaceDE w:val="0"/>
      <w:autoSpaceDN w:val="0"/>
      <w:jc w:val="both"/>
    </w:pPr>
    <w:rPr>
      <w:rFonts w:ascii="宋体"/>
      <w:sz w:val="18"/>
      <w:szCs w:val="18"/>
    </w:rPr>
  </w:style>
  <w:style w:type="character" w:customStyle="1" w:styleId="2Char">
    <w:name w:val="列表 2 Char"/>
    <w:link w:val="20"/>
    <w:autoRedefine/>
    <w:qFormat/>
    <w:rsid w:val="005A643C"/>
  </w:style>
  <w:style w:type="character" w:customStyle="1" w:styleId="Char3">
    <w:name w:val="一级无 Char"/>
    <w:link w:val="affb"/>
    <w:autoRedefine/>
    <w:qFormat/>
    <w:rsid w:val="005A643C"/>
    <w:rPr>
      <w:rFonts w:ascii="宋体" w:eastAsia="宋体"/>
    </w:rPr>
  </w:style>
  <w:style w:type="character" w:customStyle="1" w:styleId="Char2">
    <w:name w:val="三级无 Char"/>
    <w:link w:val="af3"/>
    <w:autoRedefine/>
    <w:qFormat/>
    <w:rsid w:val="005A643C"/>
    <w:rPr>
      <w:rFonts w:ascii="宋体" w:eastAsia="宋体" w:cs="Times New Roman"/>
      <w:kern w:val="0"/>
      <w:sz w:val="21"/>
      <w:szCs w:val="21"/>
      <w:lang w:val="en-US" w:eastAsia="zh-CN" w:bidi="ar-SA"/>
    </w:rPr>
  </w:style>
  <w:style w:type="character" w:customStyle="1" w:styleId="Char0">
    <w:name w:val="二级无 Char"/>
    <w:link w:val="af2"/>
    <w:autoRedefine/>
    <w:qFormat/>
    <w:rsid w:val="005A643C"/>
    <w:rPr>
      <w:rFonts w:ascii="宋体" w:eastAsia="宋体" w:cs="Times New Roman"/>
      <w:sz w:val="21"/>
      <w:szCs w:val="21"/>
      <w:lang w:val="en-US" w:eastAsia="zh-CN" w:bidi="ar-SA"/>
    </w:rPr>
  </w:style>
  <w:style w:type="paragraph" w:customStyle="1" w:styleId="a5">
    <w:name w:val="附录标识"/>
    <w:basedOn w:val="a9"/>
    <w:next w:val="af1"/>
    <w:autoRedefine/>
    <w:qFormat/>
    <w:rsid w:val="005A643C"/>
    <w:pPr>
      <w:keepNext/>
      <w:widowControl/>
      <w:numPr>
        <w:numId w:val="3"/>
      </w:numPr>
      <w:shd w:val="clear" w:color="FFFFFF" w:fill="FFFFFF"/>
      <w:spacing w:before="640" w:after="280"/>
      <w:jc w:val="center"/>
      <w:outlineLvl w:val="0"/>
    </w:pPr>
    <w:rPr>
      <w:rFonts w:ascii="黑体" w:eastAsia="黑体"/>
      <w:kern w:val="0"/>
      <w:szCs w:val="20"/>
    </w:rPr>
  </w:style>
  <w:style w:type="paragraph" w:customStyle="1" w:styleId="affc">
    <w:name w:val="附录一级无"/>
    <w:basedOn w:val="a7"/>
    <w:autoRedefine/>
    <w:qFormat/>
    <w:rsid w:val="005A643C"/>
    <w:pPr>
      <w:spacing w:beforeLines="0" w:afterLines="0"/>
    </w:pPr>
    <w:rPr>
      <w:rFonts w:ascii="宋体" w:eastAsia="宋体"/>
      <w:szCs w:val="21"/>
    </w:rPr>
  </w:style>
  <w:style w:type="paragraph" w:customStyle="1" w:styleId="a7">
    <w:name w:val="附录一级条标题"/>
    <w:basedOn w:val="a6"/>
    <w:next w:val="af1"/>
    <w:autoRedefine/>
    <w:qFormat/>
    <w:rsid w:val="005A643C"/>
    <w:pPr>
      <w:numPr>
        <w:ilvl w:val="2"/>
      </w:numPr>
      <w:autoSpaceDN w:val="0"/>
      <w:spacing w:beforeLines="50" w:afterLines="50"/>
      <w:ind w:left="0"/>
      <w:outlineLvl w:val="2"/>
    </w:pPr>
  </w:style>
  <w:style w:type="paragraph" w:customStyle="1" w:styleId="a6">
    <w:name w:val="附录章标题"/>
    <w:next w:val="af1"/>
    <w:link w:val="Char4"/>
    <w:autoRedefine/>
    <w:qFormat/>
    <w:rsid w:val="005A643C"/>
    <w:pPr>
      <w:numPr>
        <w:ilvl w:val="1"/>
        <w:numId w:val="3"/>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4">
    <w:name w:val="附录表标题"/>
    <w:basedOn w:val="a9"/>
    <w:next w:val="af1"/>
    <w:autoRedefine/>
    <w:qFormat/>
    <w:rsid w:val="005A643C"/>
    <w:pPr>
      <w:numPr>
        <w:ilvl w:val="1"/>
        <w:numId w:val="4"/>
      </w:numPr>
      <w:spacing w:beforeLines="50" w:afterLines="50"/>
      <w:ind w:left="0" w:firstLine="0"/>
      <w:jc w:val="center"/>
    </w:pPr>
    <w:rPr>
      <w:rFonts w:ascii="黑体" w:eastAsia="黑体"/>
      <w:szCs w:val="21"/>
    </w:rPr>
  </w:style>
  <w:style w:type="paragraph" w:customStyle="1" w:styleId="a">
    <w:name w:val="注×："/>
    <w:autoRedefine/>
    <w:qFormat/>
    <w:rsid w:val="005A643C"/>
    <w:pPr>
      <w:widowControl w:val="0"/>
      <w:numPr>
        <w:numId w:val="5"/>
      </w:numPr>
      <w:autoSpaceDE w:val="0"/>
      <w:autoSpaceDN w:val="0"/>
      <w:jc w:val="both"/>
    </w:pPr>
    <w:rPr>
      <w:rFonts w:ascii="宋体"/>
      <w:sz w:val="18"/>
      <w:szCs w:val="18"/>
    </w:rPr>
  </w:style>
  <w:style w:type="character" w:customStyle="1" w:styleId="Char4">
    <w:name w:val="附录章标题 Char"/>
    <w:link w:val="a6"/>
    <w:autoRedefine/>
    <w:qFormat/>
    <w:rsid w:val="005A643C"/>
    <w:rPr>
      <w:rFonts w:ascii="黑体" w:eastAsia="黑体" w:hAnsi="Times New Roman" w:cs="Times New Roman"/>
      <w:kern w:val="21"/>
      <w:sz w:val="21"/>
      <w:lang w:val="en-US" w:eastAsia="zh-CN" w:bidi="ar-SA"/>
    </w:rPr>
  </w:style>
  <w:style w:type="character" w:customStyle="1" w:styleId="Char1">
    <w:name w:val="二级条标题 Char"/>
    <w:link w:val="a2"/>
    <w:autoRedefine/>
    <w:qFormat/>
    <w:rsid w:val="005A643C"/>
  </w:style>
  <w:style w:type="paragraph" w:styleId="affd">
    <w:name w:val="Balloon Text"/>
    <w:basedOn w:val="a9"/>
    <w:link w:val="Char5"/>
    <w:rsid w:val="00D51477"/>
    <w:rPr>
      <w:sz w:val="18"/>
      <w:szCs w:val="18"/>
    </w:rPr>
  </w:style>
  <w:style w:type="character" w:customStyle="1" w:styleId="Char5">
    <w:name w:val="批注框文本 Char"/>
    <w:basedOn w:val="aa"/>
    <w:link w:val="affd"/>
    <w:rsid w:val="00D51477"/>
    <w:rPr>
      <w:rFonts w:ascii="Calibri" w:hAnsi="Calibri" w:cs="Arial"/>
      <w:kern w:val="2"/>
      <w:sz w:val="18"/>
      <w:szCs w:val="18"/>
    </w:rPr>
  </w:style>
</w:styles>
</file>

<file path=word/webSettings.xml><?xml version="1.0" encoding="utf-8"?>
<w:webSettings xmlns:r="http://schemas.openxmlformats.org/officeDocument/2006/relationships" xmlns:w="http://schemas.openxmlformats.org/wordprocessingml/2006/main">
  <w:divs>
    <w:div w:id="32923976">
      <w:bodyDiv w:val="1"/>
      <w:marLeft w:val="0"/>
      <w:marRight w:val="0"/>
      <w:marTop w:val="0"/>
      <w:marBottom w:val="0"/>
      <w:divBdr>
        <w:top w:val="none" w:sz="0" w:space="0" w:color="auto"/>
        <w:left w:val="none" w:sz="0" w:space="0" w:color="auto"/>
        <w:bottom w:val="none" w:sz="0" w:space="0" w:color="auto"/>
        <w:right w:val="none" w:sz="0" w:space="0" w:color="auto"/>
      </w:divBdr>
    </w:div>
    <w:div w:id="44525135">
      <w:bodyDiv w:val="1"/>
      <w:marLeft w:val="0"/>
      <w:marRight w:val="0"/>
      <w:marTop w:val="0"/>
      <w:marBottom w:val="0"/>
      <w:divBdr>
        <w:top w:val="none" w:sz="0" w:space="0" w:color="auto"/>
        <w:left w:val="none" w:sz="0" w:space="0" w:color="auto"/>
        <w:bottom w:val="none" w:sz="0" w:space="0" w:color="auto"/>
        <w:right w:val="none" w:sz="0" w:space="0" w:color="auto"/>
      </w:divBdr>
    </w:div>
    <w:div w:id="46035713">
      <w:bodyDiv w:val="1"/>
      <w:marLeft w:val="0"/>
      <w:marRight w:val="0"/>
      <w:marTop w:val="0"/>
      <w:marBottom w:val="0"/>
      <w:divBdr>
        <w:top w:val="none" w:sz="0" w:space="0" w:color="auto"/>
        <w:left w:val="none" w:sz="0" w:space="0" w:color="auto"/>
        <w:bottom w:val="none" w:sz="0" w:space="0" w:color="auto"/>
        <w:right w:val="none" w:sz="0" w:space="0" w:color="auto"/>
      </w:divBdr>
    </w:div>
    <w:div w:id="158809310">
      <w:bodyDiv w:val="1"/>
      <w:marLeft w:val="0"/>
      <w:marRight w:val="0"/>
      <w:marTop w:val="0"/>
      <w:marBottom w:val="0"/>
      <w:divBdr>
        <w:top w:val="none" w:sz="0" w:space="0" w:color="auto"/>
        <w:left w:val="none" w:sz="0" w:space="0" w:color="auto"/>
        <w:bottom w:val="none" w:sz="0" w:space="0" w:color="auto"/>
        <w:right w:val="none" w:sz="0" w:space="0" w:color="auto"/>
      </w:divBdr>
    </w:div>
    <w:div w:id="164832047">
      <w:bodyDiv w:val="1"/>
      <w:marLeft w:val="0"/>
      <w:marRight w:val="0"/>
      <w:marTop w:val="0"/>
      <w:marBottom w:val="0"/>
      <w:divBdr>
        <w:top w:val="none" w:sz="0" w:space="0" w:color="auto"/>
        <w:left w:val="none" w:sz="0" w:space="0" w:color="auto"/>
        <w:bottom w:val="none" w:sz="0" w:space="0" w:color="auto"/>
        <w:right w:val="none" w:sz="0" w:space="0" w:color="auto"/>
      </w:divBdr>
    </w:div>
    <w:div w:id="257101368">
      <w:bodyDiv w:val="1"/>
      <w:marLeft w:val="0"/>
      <w:marRight w:val="0"/>
      <w:marTop w:val="0"/>
      <w:marBottom w:val="0"/>
      <w:divBdr>
        <w:top w:val="none" w:sz="0" w:space="0" w:color="auto"/>
        <w:left w:val="none" w:sz="0" w:space="0" w:color="auto"/>
        <w:bottom w:val="none" w:sz="0" w:space="0" w:color="auto"/>
        <w:right w:val="none" w:sz="0" w:space="0" w:color="auto"/>
      </w:divBdr>
    </w:div>
    <w:div w:id="288558066">
      <w:bodyDiv w:val="1"/>
      <w:marLeft w:val="0"/>
      <w:marRight w:val="0"/>
      <w:marTop w:val="0"/>
      <w:marBottom w:val="0"/>
      <w:divBdr>
        <w:top w:val="none" w:sz="0" w:space="0" w:color="auto"/>
        <w:left w:val="none" w:sz="0" w:space="0" w:color="auto"/>
        <w:bottom w:val="none" w:sz="0" w:space="0" w:color="auto"/>
        <w:right w:val="none" w:sz="0" w:space="0" w:color="auto"/>
      </w:divBdr>
    </w:div>
    <w:div w:id="300156289">
      <w:bodyDiv w:val="1"/>
      <w:marLeft w:val="0"/>
      <w:marRight w:val="0"/>
      <w:marTop w:val="0"/>
      <w:marBottom w:val="0"/>
      <w:divBdr>
        <w:top w:val="none" w:sz="0" w:space="0" w:color="auto"/>
        <w:left w:val="none" w:sz="0" w:space="0" w:color="auto"/>
        <w:bottom w:val="none" w:sz="0" w:space="0" w:color="auto"/>
        <w:right w:val="none" w:sz="0" w:space="0" w:color="auto"/>
      </w:divBdr>
    </w:div>
    <w:div w:id="367414691">
      <w:bodyDiv w:val="1"/>
      <w:marLeft w:val="0"/>
      <w:marRight w:val="0"/>
      <w:marTop w:val="0"/>
      <w:marBottom w:val="0"/>
      <w:divBdr>
        <w:top w:val="none" w:sz="0" w:space="0" w:color="auto"/>
        <w:left w:val="none" w:sz="0" w:space="0" w:color="auto"/>
        <w:bottom w:val="none" w:sz="0" w:space="0" w:color="auto"/>
        <w:right w:val="none" w:sz="0" w:space="0" w:color="auto"/>
      </w:divBdr>
    </w:div>
    <w:div w:id="515196167">
      <w:bodyDiv w:val="1"/>
      <w:marLeft w:val="0"/>
      <w:marRight w:val="0"/>
      <w:marTop w:val="0"/>
      <w:marBottom w:val="0"/>
      <w:divBdr>
        <w:top w:val="none" w:sz="0" w:space="0" w:color="auto"/>
        <w:left w:val="none" w:sz="0" w:space="0" w:color="auto"/>
        <w:bottom w:val="none" w:sz="0" w:space="0" w:color="auto"/>
        <w:right w:val="none" w:sz="0" w:space="0" w:color="auto"/>
      </w:divBdr>
    </w:div>
    <w:div w:id="547185164">
      <w:bodyDiv w:val="1"/>
      <w:marLeft w:val="0"/>
      <w:marRight w:val="0"/>
      <w:marTop w:val="0"/>
      <w:marBottom w:val="0"/>
      <w:divBdr>
        <w:top w:val="none" w:sz="0" w:space="0" w:color="auto"/>
        <w:left w:val="none" w:sz="0" w:space="0" w:color="auto"/>
        <w:bottom w:val="none" w:sz="0" w:space="0" w:color="auto"/>
        <w:right w:val="none" w:sz="0" w:space="0" w:color="auto"/>
      </w:divBdr>
    </w:div>
    <w:div w:id="658463543">
      <w:bodyDiv w:val="1"/>
      <w:marLeft w:val="0"/>
      <w:marRight w:val="0"/>
      <w:marTop w:val="0"/>
      <w:marBottom w:val="0"/>
      <w:divBdr>
        <w:top w:val="none" w:sz="0" w:space="0" w:color="auto"/>
        <w:left w:val="none" w:sz="0" w:space="0" w:color="auto"/>
        <w:bottom w:val="none" w:sz="0" w:space="0" w:color="auto"/>
        <w:right w:val="none" w:sz="0" w:space="0" w:color="auto"/>
      </w:divBdr>
    </w:div>
    <w:div w:id="791216210">
      <w:bodyDiv w:val="1"/>
      <w:marLeft w:val="0"/>
      <w:marRight w:val="0"/>
      <w:marTop w:val="0"/>
      <w:marBottom w:val="0"/>
      <w:divBdr>
        <w:top w:val="none" w:sz="0" w:space="0" w:color="auto"/>
        <w:left w:val="none" w:sz="0" w:space="0" w:color="auto"/>
        <w:bottom w:val="none" w:sz="0" w:space="0" w:color="auto"/>
        <w:right w:val="none" w:sz="0" w:space="0" w:color="auto"/>
      </w:divBdr>
    </w:div>
    <w:div w:id="836771039">
      <w:bodyDiv w:val="1"/>
      <w:marLeft w:val="0"/>
      <w:marRight w:val="0"/>
      <w:marTop w:val="0"/>
      <w:marBottom w:val="0"/>
      <w:divBdr>
        <w:top w:val="none" w:sz="0" w:space="0" w:color="auto"/>
        <w:left w:val="none" w:sz="0" w:space="0" w:color="auto"/>
        <w:bottom w:val="none" w:sz="0" w:space="0" w:color="auto"/>
        <w:right w:val="none" w:sz="0" w:space="0" w:color="auto"/>
      </w:divBdr>
    </w:div>
    <w:div w:id="872503160">
      <w:bodyDiv w:val="1"/>
      <w:marLeft w:val="0"/>
      <w:marRight w:val="0"/>
      <w:marTop w:val="0"/>
      <w:marBottom w:val="0"/>
      <w:divBdr>
        <w:top w:val="none" w:sz="0" w:space="0" w:color="auto"/>
        <w:left w:val="none" w:sz="0" w:space="0" w:color="auto"/>
        <w:bottom w:val="none" w:sz="0" w:space="0" w:color="auto"/>
        <w:right w:val="none" w:sz="0" w:space="0" w:color="auto"/>
      </w:divBdr>
    </w:div>
    <w:div w:id="976643901">
      <w:bodyDiv w:val="1"/>
      <w:marLeft w:val="0"/>
      <w:marRight w:val="0"/>
      <w:marTop w:val="0"/>
      <w:marBottom w:val="0"/>
      <w:divBdr>
        <w:top w:val="none" w:sz="0" w:space="0" w:color="auto"/>
        <w:left w:val="none" w:sz="0" w:space="0" w:color="auto"/>
        <w:bottom w:val="none" w:sz="0" w:space="0" w:color="auto"/>
        <w:right w:val="none" w:sz="0" w:space="0" w:color="auto"/>
      </w:divBdr>
    </w:div>
    <w:div w:id="1002320898">
      <w:bodyDiv w:val="1"/>
      <w:marLeft w:val="0"/>
      <w:marRight w:val="0"/>
      <w:marTop w:val="0"/>
      <w:marBottom w:val="0"/>
      <w:divBdr>
        <w:top w:val="none" w:sz="0" w:space="0" w:color="auto"/>
        <w:left w:val="none" w:sz="0" w:space="0" w:color="auto"/>
        <w:bottom w:val="none" w:sz="0" w:space="0" w:color="auto"/>
        <w:right w:val="none" w:sz="0" w:space="0" w:color="auto"/>
      </w:divBdr>
    </w:div>
    <w:div w:id="1058210295">
      <w:bodyDiv w:val="1"/>
      <w:marLeft w:val="0"/>
      <w:marRight w:val="0"/>
      <w:marTop w:val="0"/>
      <w:marBottom w:val="0"/>
      <w:divBdr>
        <w:top w:val="none" w:sz="0" w:space="0" w:color="auto"/>
        <w:left w:val="none" w:sz="0" w:space="0" w:color="auto"/>
        <w:bottom w:val="none" w:sz="0" w:space="0" w:color="auto"/>
        <w:right w:val="none" w:sz="0" w:space="0" w:color="auto"/>
      </w:divBdr>
    </w:div>
    <w:div w:id="1069768918">
      <w:bodyDiv w:val="1"/>
      <w:marLeft w:val="0"/>
      <w:marRight w:val="0"/>
      <w:marTop w:val="0"/>
      <w:marBottom w:val="0"/>
      <w:divBdr>
        <w:top w:val="none" w:sz="0" w:space="0" w:color="auto"/>
        <w:left w:val="none" w:sz="0" w:space="0" w:color="auto"/>
        <w:bottom w:val="none" w:sz="0" w:space="0" w:color="auto"/>
        <w:right w:val="none" w:sz="0" w:space="0" w:color="auto"/>
      </w:divBdr>
    </w:div>
    <w:div w:id="1082527209">
      <w:bodyDiv w:val="1"/>
      <w:marLeft w:val="0"/>
      <w:marRight w:val="0"/>
      <w:marTop w:val="0"/>
      <w:marBottom w:val="0"/>
      <w:divBdr>
        <w:top w:val="none" w:sz="0" w:space="0" w:color="auto"/>
        <w:left w:val="none" w:sz="0" w:space="0" w:color="auto"/>
        <w:bottom w:val="none" w:sz="0" w:space="0" w:color="auto"/>
        <w:right w:val="none" w:sz="0" w:space="0" w:color="auto"/>
      </w:divBdr>
    </w:div>
    <w:div w:id="1261136477">
      <w:bodyDiv w:val="1"/>
      <w:marLeft w:val="0"/>
      <w:marRight w:val="0"/>
      <w:marTop w:val="0"/>
      <w:marBottom w:val="0"/>
      <w:divBdr>
        <w:top w:val="none" w:sz="0" w:space="0" w:color="auto"/>
        <w:left w:val="none" w:sz="0" w:space="0" w:color="auto"/>
        <w:bottom w:val="none" w:sz="0" w:space="0" w:color="auto"/>
        <w:right w:val="none" w:sz="0" w:space="0" w:color="auto"/>
      </w:divBdr>
    </w:div>
    <w:div w:id="1367213631">
      <w:bodyDiv w:val="1"/>
      <w:marLeft w:val="0"/>
      <w:marRight w:val="0"/>
      <w:marTop w:val="0"/>
      <w:marBottom w:val="0"/>
      <w:divBdr>
        <w:top w:val="none" w:sz="0" w:space="0" w:color="auto"/>
        <w:left w:val="none" w:sz="0" w:space="0" w:color="auto"/>
        <w:bottom w:val="none" w:sz="0" w:space="0" w:color="auto"/>
        <w:right w:val="none" w:sz="0" w:space="0" w:color="auto"/>
      </w:divBdr>
    </w:div>
    <w:div w:id="1406418770">
      <w:bodyDiv w:val="1"/>
      <w:marLeft w:val="0"/>
      <w:marRight w:val="0"/>
      <w:marTop w:val="0"/>
      <w:marBottom w:val="0"/>
      <w:divBdr>
        <w:top w:val="none" w:sz="0" w:space="0" w:color="auto"/>
        <w:left w:val="none" w:sz="0" w:space="0" w:color="auto"/>
        <w:bottom w:val="none" w:sz="0" w:space="0" w:color="auto"/>
        <w:right w:val="none" w:sz="0" w:space="0" w:color="auto"/>
      </w:divBdr>
    </w:div>
    <w:div w:id="1572809064">
      <w:bodyDiv w:val="1"/>
      <w:marLeft w:val="0"/>
      <w:marRight w:val="0"/>
      <w:marTop w:val="0"/>
      <w:marBottom w:val="0"/>
      <w:divBdr>
        <w:top w:val="none" w:sz="0" w:space="0" w:color="auto"/>
        <w:left w:val="none" w:sz="0" w:space="0" w:color="auto"/>
        <w:bottom w:val="none" w:sz="0" w:space="0" w:color="auto"/>
        <w:right w:val="none" w:sz="0" w:space="0" w:color="auto"/>
      </w:divBdr>
    </w:div>
    <w:div w:id="1618876680">
      <w:bodyDiv w:val="1"/>
      <w:marLeft w:val="0"/>
      <w:marRight w:val="0"/>
      <w:marTop w:val="0"/>
      <w:marBottom w:val="0"/>
      <w:divBdr>
        <w:top w:val="none" w:sz="0" w:space="0" w:color="auto"/>
        <w:left w:val="none" w:sz="0" w:space="0" w:color="auto"/>
        <w:bottom w:val="none" w:sz="0" w:space="0" w:color="auto"/>
        <w:right w:val="none" w:sz="0" w:space="0" w:color="auto"/>
      </w:divBdr>
    </w:div>
    <w:div w:id="1709144301">
      <w:bodyDiv w:val="1"/>
      <w:marLeft w:val="0"/>
      <w:marRight w:val="0"/>
      <w:marTop w:val="0"/>
      <w:marBottom w:val="0"/>
      <w:divBdr>
        <w:top w:val="none" w:sz="0" w:space="0" w:color="auto"/>
        <w:left w:val="none" w:sz="0" w:space="0" w:color="auto"/>
        <w:bottom w:val="none" w:sz="0" w:space="0" w:color="auto"/>
        <w:right w:val="none" w:sz="0" w:space="0" w:color="auto"/>
      </w:divBdr>
    </w:div>
    <w:div w:id="1865171624">
      <w:bodyDiv w:val="1"/>
      <w:marLeft w:val="0"/>
      <w:marRight w:val="0"/>
      <w:marTop w:val="0"/>
      <w:marBottom w:val="0"/>
      <w:divBdr>
        <w:top w:val="none" w:sz="0" w:space="0" w:color="auto"/>
        <w:left w:val="none" w:sz="0" w:space="0" w:color="auto"/>
        <w:bottom w:val="none" w:sz="0" w:space="0" w:color="auto"/>
        <w:right w:val="none" w:sz="0" w:space="0" w:color="auto"/>
      </w:divBdr>
    </w:div>
    <w:div w:id="1890680610">
      <w:bodyDiv w:val="1"/>
      <w:marLeft w:val="0"/>
      <w:marRight w:val="0"/>
      <w:marTop w:val="0"/>
      <w:marBottom w:val="0"/>
      <w:divBdr>
        <w:top w:val="none" w:sz="0" w:space="0" w:color="auto"/>
        <w:left w:val="none" w:sz="0" w:space="0" w:color="auto"/>
        <w:bottom w:val="none" w:sz="0" w:space="0" w:color="auto"/>
        <w:right w:val="none" w:sz="0" w:space="0" w:color="auto"/>
      </w:divBdr>
    </w:div>
    <w:div w:id="1900701413">
      <w:bodyDiv w:val="1"/>
      <w:marLeft w:val="0"/>
      <w:marRight w:val="0"/>
      <w:marTop w:val="0"/>
      <w:marBottom w:val="0"/>
      <w:divBdr>
        <w:top w:val="none" w:sz="0" w:space="0" w:color="auto"/>
        <w:left w:val="none" w:sz="0" w:space="0" w:color="auto"/>
        <w:bottom w:val="none" w:sz="0" w:space="0" w:color="auto"/>
        <w:right w:val="none" w:sz="0" w:space="0" w:color="auto"/>
      </w:divBdr>
    </w:div>
    <w:div w:id="1999796954">
      <w:bodyDiv w:val="1"/>
      <w:marLeft w:val="0"/>
      <w:marRight w:val="0"/>
      <w:marTop w:val="0"/>
      <w:marBottom w:val="0"/>
      <w:divBdr>
        <w:top w:val="none" w:sz="0" w:space="0" w:color="auto"/>
        <w:left w:val="none" w:sz="0" w:space="0" w:color="auto"/>
        <w:bottom w:val="none" w:sz="0" w:space="0" w:color="auto"/>
        <w:right w:val="none" w:sz="0" w:space="0" w:color="auto"/>
      </w:divBdr>
    </w:div>
    <w:div w:id="2041122115">
      <w:bodyDiv w:val="1"/>
      <w:marLeft w:val="0"/>
      <w:marRight w:val="0"/>
      <w:marTop w:val="0"/>
      <w:marBottom w:val="0"/>
      <w:divBdr>
        <w:top w:val="none" w:sz="0" w:space="0" w:color="auto"/>
        <w:left w:val="none" w:sz="0" w:space="0" w:color="auto"/>
        <w:bottom w:val="none" w:sz="0" w:space="0" w:color="auto"/>
        <w:right w:val="none" w:sz="0" w:space="0" w:color="auto"/>
      </w:divBdr>
    </w:div>
    <w:div w:id="2044090054">
      <w:bodyDiv w:val="1"/>
      <w:marLeft w:val="0"/>
      <w:marRight w:val="0"/>
      <w:marTop w:val="0"/>
      <w:marBottom w:val="0"/>
      <w:divBdr>
        <w:top w:val="none" w:sz="0" w:space="0" w:color="auto"/>
        <w:left w:val="none" w:sz="0" w:space="0" w:color="auto"/>
        <w:bottom w:val="none" w:sz="0" w:space="0" w:color="auto"/>
        <w:right w:val="none" w:sz="0" w:space="0" w:color="auto"/>
      </w:divBdr>
    </w:div>
    <w:div w:id="2050178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599</Words>
  <Characters>3419</Characters>
  <Application>Microsoft Office Word</Application>
  <DocSecurity>0</DocSecurity>
  <Lines>28</Lines>
  <Paragraphs>8</Paragraphs>
  <ScaleCrop>false</ScaleCrop>
  <Company>Yozosoft</Company>
  <LinksUpToDate>false</LinksUpToDate>
  <CharactersWithSpaces>4010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User274</dc:creator>
  <cp:lastModifiedBy>dell</cp:lastModifiedBy>
  <cp:revision>5</cp:revision>
  <cp:lastPrinted>2023-04-12T06:56:00Z</cp:lastPrinted>
  <dcterms:created xsi:type="dcterms:W3CDTF">2021-05-09T07:28:00Z</dcterms:created>
  <dcterms:modified xsi:type="dcterms:W3CDTF">2025-04-28T02:01:00Z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A1C05BA853ED47F8818C86B9E0858192_13</vt:lpwstr>
  </property>
</Properties>
</file>