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553BF">
      <w:pPr>
        <w:pStyle w:val="5"/>
        <w:shd w:val="clear" w:color="auto" w:fill="FFFFFF"/>
        <w:spacing w:before="0" w:beforeAutospacing="0" w:after="0" w:afterAutospacing="0" w:line="360" w:lineRule="auto"/>
        <w:jc w:val="center"/>
        <w:rPr>
          <w:b/>
          <w:bCs/>
          <w:sz w:val="36"/>
          <w:szCs w:val="36"/>
        </w:rPr>
      </w:pPr>
      <w:r>
        <w:rPr>
          <w:rFonts w:hint="eastAsia"/>
          <w:b/>
          <w:bCs/>
          <w:sz w:val="36"/>
          <w:szCs w:val="36"/>
        </w:rPr>
        <w:t>《信息通信基础设施工程规划设计规范》编制说明</w:t>
      </w:r>
    </w:p>
    <w:p w14:paraId="5E2BB962">
      <w:pPr>
        <w:pStyle w:val="6"/>
        <w:numPr>
          <w:ilvl w:val="0"/>
          <w:numId w:val="1"/>
        </w:numPr>
        <w:spacing w:before="0" w:after="0"/>
        <w:ind w:hanging="153"/>
        <w:rPr>
          <w:rFonts w:ascii="黑体" w:hAnsi="黑体" w:eastAsia="黑体"/>
        </w:rPr>
      </w:pPr>
      <w:r>
        <w:rPr>
          <w:rFonts w:hint="eastAsia" w:ascii="黑体" w:hAnsi="黑体" w:eastAsia="黑体"/>
        </w:rPr>
        <w:t>工作简况</w:t>
      </w:r>
    </w:p>
    <w:p w14:paraId="452973A2">
      <w:pPr>
        <w:pStyle w:val="6"/>
        <w:spacing w:before="0" w:after="0"/>
        <w:ind w:left="720"/>
      </w:pPr>
      <w:r>
        <w:rPr>
          <w:rFonts w:hint="eastAsia"/>
        </w:rPr>
        <w:t>（一）任务来源</w:t>
      </w:r>
    </w:p>
    <w:p w14:paraId="1F6F15E6">
      <w:pPr>
        <w:pStyle w:val="5"/>
        <w:shd w:val="clear" w:color="auto" w:fill="FFFFFF"/>
        <w:spacing w:before="0" w:beforeAutospacing="0" w:after="0" w:afterAutospacing="0" w:line="360" w:lineRule="auto"/>
        <w:ind w:firstLine="560" w:firstLineChars="200"/>
        <w:jc w:val="both"/>
        <w:rPr>
          <w:sz w:val="27"/>
          <w:szCs w:val="27"/>
        </w:rPr>
      </w:pPr>
      <w:r>
        <w:rPr>
          <w:rFonts w:hint="eastAsia" w:ascii="仿宋" w:hAnsi="仿宋" w:eastAsia="仿宋"/>
          <w:sz w:val="28"/>
          <w:szCs w:val="28"/>
        </w:rPr>
        <w:t>为贯彻落实《粤港澳大湾区发展规划纲要》《国家标准化发展纲要》以及《贯彻实施&lt;国家标准化发展纲要&gt;行动计划》有关要求，省市场监督管理局大力推进“湾区标准”体系建设工作，将该项工作列入《广东省市场监管现代化“十四五”规划》。信息通信技术是</w:t>
      </w:r>
      <w:r>
        <w:rPr>
          <w:rFonts w:ascii="仿宋" w:hAnsi="仿宋" w:eastAsia="仿宋"/>
          <w:sz w:val="28"/>
          <w:szCs w:val="28"/>
        </w:rPr>
        <w:t>21世纪社会发展的最强有力动力之一，并将迅速成为世界经济增长的重要动力；</w:t>
      </w:r>
      <w:r>
        <w:rPr>
          <w:rFonts w:hint="eastAsia" w:ascii="仿宋" w:hAnsi="仿宋" w:eastAsia="仿宋"/>
          <w:sz w:val="28"/>
          <w:szCs w:val="28"/>
        </w:rPr>
        <w:t>先进</w:t>
      </w:r>
      <w:r>
        <w:rPr>
          <w:rFonts w:ascii="仿宋" w:hAnsi="仿宋" w:eastAsia="仿宋"/>
          <w:sz w:val="28"/>
          <w:szCs w:val="28"/>
        </w:rPr>
        <w:t>信息通信</w:t>
      </w:r>
      <w:r>
        <w:rPr>
          <w:rFonts w:hint="eastAsia" w:ascii="仿宋" w:hAnsi="仿宋" w:eastAsia="仿宋"/>
          <w:sz w:val="28"/>
          <w:szCs w:val="28"/>
        </w:rPr>
        <w:t>技术对城市</w:t>
      </w:r>
      <w:r>
        <w:rPr>
          <w:rFonts w:ascii="仿宋" w:hAnsi="仿宋" w:eastAsia="仿宋"/>
          <w:sz w:val="28"/>
          <w:szCs w:val="28"/>
        </w:rPr>
        <w:t>基础设施</w:t>
      </w:r>
      <w:r>
        <w:rPr>
          <w:rFonts w:hint="eastAsia" w:ascii="仿宋" w:hAnsi="仿宋" w:eastAsia="仿宋"/>
          <w:sz w:val="28"/>
          <w:szCs w:val="28"/>
        </w:rPr>
        <w:t>需求基本相同。近年来，随着5</w:t>
      </w:r>
      <w:r>
        <w:rPr>
          <w:rFonts w:ascii="仿宋" w:hAnsi="仿宋" w:eastAsia="仿宋"/>
          <w:sz w:val="28"/>
          <w:szCs w:val="28"/>
        </w:rPr>
        <w:t>G</w:t>
      </w:r>
      <w:r>
        <w:rPr>
          <w:rFonts w:hint="eastAsia" w:ascii="仿宋" w:hAnsi="仿宋" w:eastAsia="仿宋"/>
          <w:sz w:val="28"/>
          <w:szCs w:val="28"/>
        </w:rPr>
        <w:t>和人工智能等技术发展，急需新型信息通信基础设施来支撑技术发展；但广东省、香港、澳门在工程建设的法规、做法有一定差异，建设信息通信基础设施的内容、深度等有一定差异，可编制信息通信基础设施标准，吸收粤港澳大湾区城市在信息通信基础设施方面的优势和好做法，建设共建共享、互联互通的信息通信基础设施，这在粤港澳大湾区战略和协同发展的大背景下，具有十分明显的现实意义。结合“湾区标准”研制计划，本课题由深圳市城市规划设计研究院股份有限公司提出，经广东省粤港澳大湾区标准促进会批准并按《关于信息通信基础设施规划设计规范团体标准立项的通知》（湾促会〔</w:t>
      </w:r>
      <w:r>
        <w:rPr>
          <w:rFonts w:ascii="仿宋" w:hAnsi="仿宋" w:eastAsia="仿宋"/>
          <w:sz w:val="28"/>
          <w:szCs w:val="28"/>
        </w:rPr>
        <w:t>2023〕6号）</w:t>
      </w:r>
      <w:r>
        <w:rPr>
          <w:rFonts w:hint="eastAsia" w:ascii="仿宋" w:hAnsi="仿宋" w:eastAsia="仿宋"/>
          <w:sz w:val="28"/>
          <w:szCs w:val="28"/>
        </w:rPr>
        <w:t>立项。</w:t>
      </w:r>
    </w:p>
    <w:p w14:paraId="5933CA97">
      <w:pPr>
        <w:pStyle w:val="6"/>
        <w:spacing w:before="0" w:after="0"/>
        <w:ind w:left="720"/>
      </w:pPr>
      <w:r>
        <w:rPr>
          <w:rFonts w:hint="eastAsia"/>
        </w:rPr>
        <w:t>（二）起草单位及分工</w:t>
      </w:r>
    </w:p>
    <w:p w14:paraId="4C9E9E2E">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本标准的牵头机构是</w:t>
      </w:r>
      <w:bookmarkStart w:id="0" w:name="_Hlk164933431"/>
      <w:r>
        <w:rPr>
          <w:rFonts w:hint="eastAsia" w:ascii="仿宋" w:hAnsi="仿宋" w:eastAsia="仿宋"/>
          <w:sz w:val="28"/>
          <w:szCs w:val="28"/>
        </w:rPr>
        <w:t>深圳市城市规划设计研究院股份有限公司和广东省电信规划设计院有限公司</w:t>
      </w:r>
      <w:bookmarkEnd w:id="0"/>
      <w:r>
        <w:rPr>
          <w:rFonts w:hint="eastAsia" w:ascii="仿宋" w:hAnsi="仿宋" w:eastAsia="仿宋"/>
          <w:sz w:val="28"/>
          <w:szCs w:val="28"/>
        </w:rPr>
        <w:t>，参加起草的机构包括国内技术研究院、政府主管部门以及通信运营商以及香港、澳门共1</w:t>
      </w:r>
      <w:r>
        <w:rPr>
          <w:rFonts w:ascii="仿宋" w:hAnsi="仿宋" w:eastAsia="仿宋"/>
          <w:sz w:val="28"/>
          <w:szCs w:val="28"/>
        </w:rPr>
        <w:t>1</w:t>
      </w:r>
      <w:r>
        <w:rPr>
          <w:rFonts w:hint="eastAsia" w:ascii="仿宋" w:hAnsi="仿宋" w:eastAsia="仿宋"/>
          <w:sz w:val="28"/>
          <w:szCs w:val="28"/>
        </w:rPr>
        <w:t>家，具体包括</w:t>
      </w:r>
      <w:bookmarkStart w:id="1" w:name="_Hlk164933566"/>
      <w:r>
        <w:rPr>
          <w:rFonts w:hint="eastAsia" w:ascii="仿宋" w:hAnsi="仿宋" w:eastAsia="仿宋"/>
          <w:sz w:val="28"/>
          <w:szCs w:val="28"/>
        </w:rPr>
        <w:t>中国信息通信研究院、深圳市工业和信息化局、广东省粤港澳大湾区标准促进会、中国移动通信集团广东有限公司深圳分公司、艾奕康有限公司（</w:t>
      </w:r>
      <w:r>
        <w:rPr>
          <w:rFonts w:ascii="仿宋" w:hAnsi="仿宋" w:eastAsia="仿宋"/>
          <w:sz w:val="28"/>
          <w:szCs w:val="28"/>
        </w:rPr>
        <w:t>AECOM Asia Company Limited）</w:t>
      </w:r>
      <w:r>
        <w:rPr>
          <w:rFonts w:hint="eastAsia" w:ascii="仿宋" w:hAnsi="仿宋" w:eastAsia="仿宋"/>
          <w:sz w:val="28"/>
          <w:szCs w:val="28"/>
        </w:rPr>
        <w:t>、中国电信（澳门）有限公司</w:t>
      </w:r>
      <w:r>
        <w:rPr>
          <w:rFonts w:ascii="仿宋" w:hAnsi="仿宋" w:eastAsia="仿宋"/>
          <w:sz w:val="28"/>
          <w:szCs w:val="28"/>
        </w:rPr>
        <w:t>(China Telecom (Macau) Company Limited)</w:t>
      </w:r>
      <w:r>
        <w:rPr>
          <w:rFonts w:hint="eastAsia" w:ascii="仿宋" w:hAnsi="仿宋" w:eastAsia="仿宋"/>
          <w:sz w:val="28"/>
          <w:szCs w:val="28"/>
        </w:rPr>
        <w:t>、科进顾问（亚洲）有限公司（</w:t>
      </w:r>
      <w:r>
        <w:rPr>
          <w:rFonts w:ascii="仿宋" w:hAnsi="仿宋" w:eastAsia="仿宋"/>
          <w:sz w:val="28"/>
          <w:szCs w:val="28"/>
        </w:rPr>
        <w:t>WSP (Asia) Limited）</w:t>
      </w:r>
      <w:r>
        <w:rPr>
          <w:rFonts w:hint="eastAsia" w:ascii="仿宋" w:hAnsi="仿宋" w:eastAsia="仿宋"/>
          <w:sz w:val="28"/>
          <w:szCs w:val="28"/>
        </w:rPr>
        <w:t>、深圳市天威视讯股份有限公司、深圳市广播电视技术中心、深圳市建筑设计研究总院有限公司、深圳市市政设计研究院有限公司</w:t>
      </w:r>
      <w:bookmarkEnd w:id="1"/>
      <w:r>
        <w:rPr>
          <w:rFonts w:hint="eastAsia" w:ascii="仿宋" w:hAnsi="仿宋" w:eastAsia="仿宋"/>
          <w:sz w:val="28"/>
          <w:szCs w:val="28"/>
        </w:rPr>
        <w:t>。</w:t>
      </w:r>
    </w:p>
    <w:p w14:paraId="0208A54F">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在上述起草机构中，两家牵头起草单位主要确定标准的框架及主要内容；中国信通院是工信部直属研究院，从宏观角度提出建议，必要时与工信部沟通，市工信局从政府部门角度来把控技术标准，湾促会从标准管理角度提供编制标准的指导；深圳移动、澳门电信从通信运营商角度为基础设施提供技术支撑，A</w:t>
      </w:r>
      <w:r>
        <w:rPr>
          <w:rFonts w:ascii="仿宋" w:hAnsi="仿宋" w:eastAsia="仿宋"/>
          <w:sz w:val="28"/>
          <w:szCs w:val="28"/>
        </w:rPr>
        <w:t>ECOM</w:t>
      </w:r>
      <w:r>
        <w:rPr>
          <w:rFonts w:hint="eastAsia" w:ascii="仿宋" w:hAnsi="仿宋" w:eastAsia="仿宋"/>
          <w:sz w:val="28"/>
          <w:szCs w:val="28"/>
        </w:rPr>
        <w:t>、W</w:t>
      </w:r>
      <w:r>
        <w:rPr>
          <w:rFonts w:ascii="仿宋" w:hAnsi="仿宋" w:eastAsia="仿宋"/>
          <w:sz w:val="28"/>
          <w:szCs w:val="28"/>
        </w:rPr>
        <w:t>SP</w:t>
      </w:r>
      <w:r>
        <w:rPr>
          <w:rFonts w:hint="eastAsia" w:ascii="仿宋" w:hAnsi="仿宋" w:eastAsia="仿宋"/>
          <w:sz w:val="28"/>
          <w:szCs w:val="28"/>
        </w:rPr>
        <w:t>两家国际工程咨询公司提供香港、澳门工程建设方面法规及技术支撑，天威视讯、广播电视技术中心分别对有线电视、无线广播电视提供技术支撑，建筑总院和市政院分别从建筑和市政角度提出本标准技术支撑。</w:t>
      </w:r>
    </w:p>
    <w:p w14:paraId="21D1603A">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另外，为保障标准具有广泛代表性，邀请香港、上海、珠海有经验的技术人员以个人身份参编；相关起草人员参见标准文本。</w:t>
      </w:r>
    </w:p>
    <w:p w14:paraId="793B4E9C">
      <w:pPr>
        <w:pStyle w:val="6"/>
        <w:numPr>
          <w:ilvl w:val="0"/>
          <w:numId w:val="1"/>
        </w:numPr>
        <w:spacing w:before="0" w:after="0"/>
        <w:ind w:hanging="153"/>
        <w:rPr>
          <w:rFonts w:ascii="黑体" w:hAnsi="黑体" w:eastAsia="黑体"/>
        </w:rPr>
      </w:pPr>
      <w:r>
        <w:rPr>
          <w:rFonts w:hint="eastAsia" w:ascii="黑体" w:hAnsi="黑体" w:eastAsia="黑体"/>
        </w:rPr>
        <w:t>标准立项的必要性，拟解决的问题</w:t>
      </w:r>
    </w:p>
    <w:p w14:paraId="4C0D1A98">
      <w:pPr>
        <w:pStyle w:val="6"/>
        <w:spacing w:before="0" w:after="0"/>
        <w:ind w:left="720"/>
      </w:pPr>
      <w:r>
        <w:rPr>
          <w:rFonts w:hint="eastAsia"/>
        </w:rPr>
        <w:t>（一）立项的必要性</w:t>
      </w:r>
    </w:p>
    <w:p w14:paraId="4635FD0E">
      <w:pPr>
        <w:pStyle w:val="5"/>
        <w:shd w:val="clear" w:color="auto" w:fill="FFFFFF"/>
        <w:spacing w:before="0" w:beforeAutospacing="0" w:after="0" w:afterAutospacing="0" w:line="360" w:lineRule="auto"/>
        <w:ind w:firstLine="562" w:firstLineChars="200"/>
        <w:rPr>
          <w:b/>
          <w:bCs/>
          <w:sz w:val="28"/>
          <w:szCs w:val="28"/>
        </w:rPr>
      </w:pPr>
      <w:r>
        <w:rPr>
          <w:rFonts w:hint="eastAsia"/>
          <w:b/>
          <w:bCs/>
          <w:sz w:val="28"/>
          <w:szCs w:val="28"/>
        </w:rPr>
        <w:t>（</w:t>
      </w:r>
      <w:r>
        <w:rPr>
          <w:b/>
          <w:bCs/>
          <w:sz w:val="28"/>
          <w:szCs w:val="28"/>
        </w:rPr>
        <w:t>1）抓住粤港澳大湾区协同发展的历史机遇，满足粤港澳大湾区相互分享先进做法和信息通信基础设施互联互通、共建共享的需求</w:t>
      </w:r>
    </w:p>
    <w:p w14:paraId="2039CD8A">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粤港澳大湾区是新时期国家推出的重大发展战略，正面临全新的发展机遇；粤港澳大湾区城市建设区域以及香港北部地区、前海粤港合作区、横琴粤澳深度合作区，还面临城市化发展机遇。以信息通信技术为基础的新产业和数字经济，正深刻影响现代化城市和信息社会发展，由此产生的新型基础设施需要融入城市基础设施建设发展之中。</w:t>
      </w:r>
    </w:p>
    <w:p w14:paraId="648EFD99">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上述多重要素共振发展，如通过技术标准相互推广粤港澳大湾区城市先进做法，发挥各自优势，对促进粤港澳协同发展能起到事半功倍的功效；香港数据中心、广东省接入基础设施均具有良好的发展基础，粤港澳大湾区在秉承信息通信网络是全球性互联互通网络的基础上，共同推动关键信息通信基础设施互联互通、区域性基础设施共建共享、接入基础设施科学合理地建设，能为粤港澳大湾区信息通信行业发展奠定十分宽厚的基础。</w:t>
      </w:r>
    </w:p>
    <w:p w14:paraId="5CA3C7F2">
      <w:pPr>
        <w:pStyle w:val="5"/>
        <w:shd w:val="clear" w:color="auto" w:fill="FFFFFF"/>
        <w:spacing w:before="0" w:beforeAutospacing="0" w:after="0" w:afterAutospacing="0" w:line="360" w:lineRule="auto"/>
        <w:ind w:firstLine="562" w:firstLineChars="200"/>
        <w:rPr>
          <w:b/>
          <w:bCs/>
          <w:sz w:val="28"/>
          <w:szCs w:val="28"/>
        </w:rPr>
      </w:pPr>
      <w:r>
        <w:rPr>
          <w:rFonts w:hint="eastAsia"/>
          <w:b/>
          <w:bCs/>
          <w:sz w:val="28"/>
          <w:szCs w:val="28"/>
        </w:rPr>
        <w:t>（</w:t>
      </w:r>
      <w:r>
        <w:rPr>
          <w:b/>
          <w:bCs/>
          <w:sz w:val="28"/>
          <w:szCs w:val="28"/>
        </w:rPr>
        <w:t>2）顺应信息通信技术发展需求，满足粤港澳大湾区高质量发展和高标准建设对信息通信基础设施的需求</w:t>
      </w:r>
    </w:p>
    <w:p w14:paraId="123A884D">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信息通信技术发展到当下，产生了以基站、机房、接入管道等为代表的接入基础设施，也产生了以数据中心为代表的新型基础设施，这些新出现的基础设施和存量通信基础设施尚未在粤港澳三地形成体系和技术标准，有待有效纳入城市规划建设。在城市化进程和新改（扩）建设工程中，落实或配套建设接入基础设施，是时代赋予粤港澳大湾区城市建设的历史机遇，也将是粤港澳大湾区在信息通信基础设施建设方面超越欧美国家的难得机遇（欧美国家已完成城市化建设）。</w:t>
      </w:r>
    </w:p>
    <w:p w14:paraId="6A8BAF56">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作为信息社会和现代化城市的中枢神经系统，信息通信是实现粤港澳大湾区高质量发展和高标准建设的关键技术；在城市基础设施中，信息通信基础设施因承载各种信息通信设备和传输线路，与对应信息通信技术密切相关，具有迭代更新快、技术含量高等特点，加上行业内多家运营商平等竞争、多网并存的独特特点，对信息通信基础设施科学合理地建设提出挑战。随着信息通信网络日趋庞大、建设重心不断下沉，以及受智慧城市建设影响，仅采用市场化方式推动信息通信基础设施建设，存在选址难、站址不稳定等困局，无论是数量还是质量均远不能满足其发展需求；十分有必要建立技术标准，通过规划、设计等路径，将新型基础设施完全纳入城市规划建设，并实现与通信机楼、通信管道等存量基础设施协调发展，满足粤港澳大湾区高质量发展对信息通信的基本需求。</w:t>
      </w:r>
    </w:p>
    <w:p w14:paraId="0BD26D62">
      <w:pPr>
        <w:pStyle w:val="5"/>
        <w:shd w:val="clear" w:color="auto" w:fill="FFFFFF"/>
        <w:spacing w:before="0" w:beforeAutospacing="0" w:after="0" w:afterAutospacing="0" w:line="360" w:lineRule="auto"/>
        <w:ind w:firstLine="562" w:firstLineChars="200"/>
        <w:rPr>
          <w:b/>
          <w:bCs/>
          <w:sz w:val="28"/>
          <w:szCs w:val="28"/>
        </w:rPr>
      </w:pPr>
      <w:r>
        <w:rPr>
          <w:rFonts w:hint="eastAsia"/>
          <w:b/>
          <w:bCs/>
          <w:sz w:val="28"/>
          <w:szCs w:val="28"/>
        </w:rPr>
        <w:t>（</w:t>
      </w:r>
      <w:r>
        <w:rPr>
          <w:b/>
          <w:bCs/>
          <w:sz w:val="28"/>
          <w:szCs w:val="28"/>
        </w:rPr>
        <w:t>3）紧扣数字经济的发展脉络，满足新产业孵化、存量产业提质增效和市民生产生活对信息通信的基本需求</w:t>
      </w:r>
    </w:p>
    <w:p w14:paraId="22BAF4BD">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“数字中国”以及</w:t>
      </w:r>
      <w:r>
        <w:rPr>
          <w:rFonts w:ascii="仿宋" w:hAnsi="仿宋" w:eastAsia="仿宋"/>
          <w:sz w:val="28"/>
          <w:szCs w:val="28"/>
        </w:rPr>
        <w:t xml:space="preserve"> “宽带中国”、“大数据”和“网络强国”四大国家战略，已清晰奠定了信息通信在国民经济和社会发展中重要地位；我国近30多年新经济的持续高速发展，也清晰地显示以网络为代表的新经济的强大活力和创造力，无论是诞生于30多年前的华为技术有限公司，还是成立于20多年前的BAT（百度、阿里、腾讯）企业，以及出生于2010年左右的字节跳动、美团等新生企业，其成长为独角兽或国际IT巨头的历程，十分完美诠释了信息通信对新经济的巨大影响力。</w:t>
      </w:r>
    </w:p>
    <w:p w14:paraId="794BA99C">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这种影响还正在持续演绎中，以大数据、人工智能等新一代信息通信技术为基础的新产业集群已经被成功孵化，正在茁壮成长过程中；滚动持续的创新动力，促进信息通信成为国家支柱性产业；支持以信息通信为基础的数字经济新产业发展，已成为各地城市政府的共识，也成为粤港澳大湾区协同创新的关键基础。除此之外，信息通信对三大传统产业的提质增效、城市公共服务和政务管理水平提升、丰富市民生活等也具有十分巨大帮助作用；受新冠疫情的影响，各行各业及城市管理正加速向“网上”和“数字孪生”转变。</w:t>
      </w:r>
    </w:p>
    <w:p w14:paraId="5EEB4B71">
      <w:pPr>
        <w:pStyle w:val="5"/>
        <w:shd w:val="clear" w:color="auto" w:fill="FFFFFF"/>
        <w:spacing w:before="0" w:beforeAutospacing="0" w:after="0" w:afterAutospacing="0" w:line="360" w:lineRule="auto"/>
        <w:ind w:firstLine="560" w:firstLineChars="200"/>
        <w:jc w:val="both"/>
        <w:rPr>
          <w:sz w:val="27"/>
          <w:szCs w:val="27"/>
        </w:rPr>
      </w:pPr>
      <w:r>
        <w:rPr>
          <w:rFonts w:hint="eastAsia" w:ascii="仿宋" w:hAnsi="仿宋" w:eastAsia="仿宋"/>
          <w:sz w:val="28"/>
          <w:szCs w:val="28"/>
        </w:rPr>
        <w:t>综合而言，以信息通信基础设施为支撑的信息通信网络及互联互通，既是粤港澳大湾区信息通信行业发展的共同需求，也是粤港澳大湾区新产业协同创新、城市群融合发展的共同基础，十分有必要建立高水平发展的技术标准，打通不同模式下基础设施的建设路径，促进信息通信基础设施科学合理布局、集约高效建设，将其融入城市规划建设中，并使之成为超越欧美国家的新基础。</w:t>
      </w:r>
    </w:p>
    <w:p w14:paraId="124F0D32">
      <w:pPr>
        <w:pStyle w:val="6"/>
        <w:spacing w:before="0" w:after="0"/>
        <w:ind w:left="720"/>
      </w:pPr>
      <w:r>
        <w:rPr>
          <w:rFonts w:hint="eastAsia"/>
        </w:rPr>
        <w:t>（二）拟解决的问题</w:t>
      </w:r>
    </w:p>
    <w:p w14:paraId="7305A46F">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（1）统一粤港澳大湾区城市信息通信基础设施工程建设标准</w:t>
      </w:r>
    </w:p>
    <w:p w14:paraId="775260C1">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信息通信技术具有变化快、内容新和种类繁多、数量庞大、分布广以及不断拓展等特点，也因此决定了信息通信基础设施也需要不断滚动更新，形成新标准，并融入城乡规划建设中；但由于粤港澳三地城市工程建设的基础、方法和依据法规存在差异，在信息通信基础设施建设方面各有优点和不足，需要吸纳各自优点，建立统一、普遍适用的技术标准，促进信息通信基础设施适度超前建设，在互联互通的基础上进一步实现共享、共用。</w:t>
      </w:r>
    </w:p>
    <w:p w14:paraId="542542F2">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（2）推动接入基础设施与主体工程同步建设，解决接入基础设施选址难、建设难和管理难</w:t>
      </w:r>
    </w:p>
    <w:p w14:paraId="6E4FD2FA">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信息通信技术发展产生了大量以基站、机房为代表的新型基础设施，这些基础设施体量小、数量多、分布广泛，必须附设在建筑工程、市政工程建设。现在由通信运营商采取市场化方式建设，存在如下问题：首先，受位置不一定合适、需业主同意、价格高等因素制约，在现状建筑内选址十分困难，特别是建筑面积超过1</w:t>
      </w:r>
      <w:r>
        <w:rPr>
          <w:rFonts w:ascii="仿宋" w:hAnsi="仿宋" w:eastAsia="仿宋"/>
          <w:sz w:val="28"/>
          <w:szCs w:val="28"/>
        </w:rPr>
        <w:t>00</w:t>
      </w:r>
      <w:r>
        <w:rPr>
          <w:rFonts w:hint="eastAsia" w:ascii="仿宋" w:hAnsi="仿宋" w:eastAsia="仿宋"/>
          <w:sz w:val="28"/>
          <w:szCs w:val="28"/>
        </w:rPr>
        <w:t>平方米的机房和有一定辐射的宏基站，选址更是困难；其次，即使与业主达成协议，也存在层高、接地、荷载、对外管道等功能达不到技术要求的难题；再者，即使克服各种困难建设完成，因建设手续不合规，容易被逼迁，对信息通信网络稳定运行造成极大的困扰。</w:t>
      </w:r>
    </w:p>
    <w:p w14:paraId="19526161">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因此，必须将上述接入基础设施与主体工程同步建设，满足城市建设完成就能提供移动信号覆盖等基本需求，也能支撑未来2</w:t>
      </w:r>
      <w:r>
        <w:rPr>
          <w:rFonts w:ascii="仿宋" w:hAnsi="仿宋" w:eastAsia="仿宋"/>
          <w:sz w:val="28"/>
          <w:szCs w:val="28"/>
        </w:rPr>
        <w:t>0-30</w:t>
      </w:r>
      <w:r>
        <w:rPr>
          <w:rFonts w:hint="eastAsia" w:ascii="仿宋" w:hAnsi="仿宋" w:eastAsia="仿宋"/>
          <w:sz w:val="28"/>
          <w:szCs w:val="28"/>
        </w:rPr>
        <w:t>年信息通信网络对建筑物、城市道路的建设需求。</w:t>
      </w:r>
    </w:p>
    <w:p w14:paraId="7DCD9856">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（3）筑牢粤港澳大湾区城市生命线和神经系统</w:t>
      </w:r>
    </w:p>
    <w:p w14:paraId="2C99750A">
      <w:pPr>
        <w:pStyle w:val="5"/>
        <w:shd w:val="clear" w:color="auto" w:fill="FFFFFF"/>
        <w:spacing w:before="0" w:beforeAutospacing="0" w:after="0" w:afterAutospacing="0" w:line="360" w:lineRule="auto"/>
        <w:ind w:firstLine="560" w:firstLineChars="200"/>
        <w:jc w:val="both"/>
        <w:rPr>
          <w:sz w:val="27"/>
          <w:szCs w:val="27"/>
        </w:rPr>
      </w:pPr>
      <w:r>
        <w:rPr>
          <w:rFonts w:hint="eastAsia" w:ascii="仿宋" w:hAnsi="仿宋" w:eastAsia="仿宋" w:cs="仿宋"/>
          <w:kern w:val="2"/>
          <w:sz w:val="28"/>
          <w:szCs w:val="28"/>
        </w:rPr>
        <w:t>信息通信系统是现代化城市的重要基础设施，也是城市生命线的重要组成部分；信息通信不仅能为市民提供便捷的沟通、交流渠道，提供丰富多彩的通信终端和生活内容，而且能有效提高各行各业生产效率、提升城市管理水平并实现精细化管理，将</w:t>
      </w:r>
      <w:r>
        <w:rPr>
          <w:rFonts w:ascii="仿宋" w:hAnsi="仿宋" w:eastAsia="仿宋" w:cs="仿宋"/>
          <w:kern w:val="2"/>
          <w:sz w:val="28"/>
          <w:szCs w:val="28"/>
        </w:rPr>
        <w:t>粤港澳</w:t>
      </w:r>
      <w:r>
        <w:rPr>
          <w:rFonts w:hint="eastAsia" w:ascii="仿宋" w:hAnsi="仿宋" w:eastAsia="仿宋" w:cs="仿宋"/>
          <w:kern w:val="2"/>
          <w:sz w:val="28"/>
          <w:szCs w:val="28"/>
        </w:rPr>
        <w:t>城市群</w:t>
      </w:r>
      <w:r>
        <w:rPr>
          <w:rFonts w:ascii="仿宋" w:hAnsi="仿宋" w:eastAsia="仿宋" w:cs="仿宋"/>
          <w:kern w:val="2"/>
          <w:sz w:val="28"/>
          <w:szCs w:val="28"/>
        </w:rPr>
        <w:t>连接</w:t>
      </w:r>
      <w:r>
        <w:rPr>
          <w:rFonts w:hint="eastAsia" w:ascii="仿宋" w:hAnsi="仿宋" w:eastAsia="仿宋" w:cs="仿宋"/>
          <w:kern w:val="2"/>
          <w:sz w:val="28"/>
          <w:szCs w:val="28"/>
        </w:rPr>
        <w:t>为有机整体，对城市稳定运行发挥着不可替代的作用；特别是在城市面对紧急状况或自然灾害等特殊情况更是如此，信息通信成为城市应急指挥的中枢神经系统和灾备管理的重要手段。</w:t>
      </w:r>
    </w:p>
    <w:p w14:paraId="2FD1B209">
      <w:pPr>
        <w:pStyle w:val="6"/>
        <w:numPr>
          <w:ilvl w:val="0"/>
          <w:numId w:val="1"/>
        </w:numPr>
        <w:spacing w:before="0" w:after="0"/>
        <w:ind w:hanging="153"/>
        <w:rPr>
          <w:rFonts w:ascii="黑体" w:hAnsi="黑体" w:eastAsia="黑体"/>
        </w:rPr>
      </w:pPr>
      <w:r>
        <w:rPr>
          <w:rFonts w:hint="eastAsia" w:ascii="黑体" w:hAnsi="黑体" w:eastAsia="黑体"/>
        </w:rPr>
        <w:t>标准编制的原则、主要内容及其确定的依据</w:t>
      </w:r>
    </w:p>
    <w:p w14:paraId="2B63B3FB">
      <w:pPr>
        <w:pStyle w:val="6"/>
        <w:spacing w:before="0" w:after="0"/>
        <w:ind w:left="720"/>
      </w:pPr>
      <w:r>
        <w:rPr>
          <w:rFonts w:hint="eastAsia"/>
        </w:rPr>
        <w:t>（一）标准编制原则</w:t>
      </w:r>
    </w:p>
    <w:p w14:paraId="558CF0BF">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本</w:t>
      </w:r>
      <w:r>
        <w:rPr>
          <w:rFonts w:ascii="仿宋" w:hAnsi="仿宋" w:eastAsia="仿宋" w:cs="仿宋"/>
          <w:kern w:val="2"/>
          <w:sz w:val="28"/>
          <w:szCs w:val="28"/>
        </w:rPr>
        <w:t>标准</w:t>
      </w:r>
      <w:r>
        <w:rPr>
          <w:rFonts w:hint="eastAsia" w:ascii="仿宋" w:hAnsi="仿宋" w:eastAsia="仿宋" w:cs="仿宋"/>
          <w:kern w:val="2"/>
          <w:sz w:val="28"/>
          <w:szCs w:val="28"/>
        </w:rPr>
        <w:t>编制</w:t>
      </w:r>
      <w:r>
        <w:rPr>
          <w:rFonts w:ascii="仿宋" w:hAnsi="仿宋" w:eastAsia="仿宋" w:cs="仿宋"/>
          <w:kern w:val="2"/>
          <w:sz w:val="28"/>
          <w:szCs w:val="28"/>
        </w:rPr>
        <w:t>符合《团体标准管理规定》相关要求</w:t>
      </w:r>
      <w:r>
        <w:rPr>
          <w:rFonts w:hint="eastAsia" w:ascii="仿宋" w:hAnsi="仿宋" w:eastAsia="仿宋" w:cs="仿宋"/>
          <w:kern w:val="2"/>
          <w:sz w:val="28"/>
          <w:szCs w:val="28"/>
        </w:rPr>
        <w:t>的基础上，</w:t>
      </w:r>
      <w:r>
        <w:rPr>
          <w:rFonts w:ascii="仿宋" w:hAnsi="仿宋" w:eastAsia="仿宋" w:cs="仿宋"/>
          <w:kern w:val="2"/>
          <w:sz w:val="28"/>
          <w:szCs w:val="28"/>
        </w:rPr>
        <w:t>具备科学性、先进性等</w:t>
      </w:r>
      <w:r>
        <w:rPr>
          <w:rFonts w:hint="eastAsia" w:ascii="仿宋" w:hAnsi="仿宋" w:eastAsia="仿宋" w:cs="仿宋"/>
          <w:kern w:val="2"/>
          <w:sz w:val="28"/>
          <w:szCs w:val="28"/>
        </w:rPr>
        <w:t>原则；另外，信息通信基础设施遵守以下原则：</w:t>
      </w:r>
    </w:p>
    <w:p w14:paraId="69AAB91D">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功能主导：信息通信基础设施具有十分明确的主导功能，规划设计时首先必须满足其主导功能的技术需求，以此为主线纳入粤港澳大湾区城市规划建设过程中，推动其他功能和配套设施的建设。</w:t>
      </w:r>
    </w:p>
    <w:p w14:paraId="0812EC48">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稳定可靠：信息通信基础设施既是现代化城市正常生产、生活的支撑条件，也是自然灾害等非常状况下最先必须恢复和保障的必要条件，承担城市的神经、指挥等功能，安全、稳定、可靠、持续是信息通信基础设施规划设计时必须坚持的重要原则。</w:t>
      </w:r>
    </w:p>
    <w:p w14:paraId="5238EEB0">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共建共享：信息通信基础设施具有多种类别、多个分项，城市有多家通信运营商均需要建设信息通信基础设施；受城市公共资源有限的限制，信息通信基础设施必须满足多种公共通信网络以及专用通信网络和城市公共服务需求，秉承共建共享的基本原则。</w:t>
      </w:r>
    </w:p>
    <w:p w14:paraId="730719F0">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适度超前：信息通信基础设施工程纳入城市规划建设时，除了满足当下技术需求外，还要洞悉信息通信技术发展趋势，满足可预见的相关技术发展需求，适度超前地开展建设，并应预留可能出现的扩展需求。</w:t>
      </w:r>
    </w:p>
    <w:p w14:paraId="727DCDC4">
      <w:pPr>
        <w:pStyle w:val="5"/>
        <w:shd w:val="clear" w:color="auto" w:fill="FFFFFF"/>
        <w:spacing w:before="0" w:beforeAutospacing="0" w:after="0" w:afterAutospacing="0" w:line="360" w:lineRule="auto"/>
        <w:ind w:firstLine="560" w:firstLineChars="200"/>
        <w:jc w:val="both"/>
        <w:rPr>
          <w:rFonts w:ascii="仿宋" w:hAnsi="仿宋" w:eastAsia="仿宋" w:cs="仿宋"/>
          <w:sz w:val="28"/>
          <w:szCs w:val="28"/>
        </w:rPr>
      </w:pPr>
      <w:r>
        <w:rPr>
          <w:rFonts w:hint="eastAsia" w:ascii="仿宋" w:hAnsi="仿宋" w:eastAsia="仿宋" w:cs="仿宋"/>
          <w:kern w:val="2"/>
          <w:sz w:val="28"/>
          <w:szCs w:val="28"/>
        </w:rPr>
        <w:t>因地制宜</w:t>
      </w:r>
      <w:r>
        <w:rPr>
          <w:rFonts w:hint="eastAsia" w:ascii="仿宋" w:hAnsi="仿宋" w:eastAsia="仿宋" w:cs="仿宋"/>
          <w:sz w:val="28"/>
          <w:szCs w:val="28"/>
        </w:rPr>
        <w:t>：在满足主要功能要求的前提下，根据粤港澳大湾区已建信息通信基础设施的基础情况以及地方法规制度等具体情况，选取适合本地的规划设计条文和建设方式，规划设计满足多家通信运营商需求的信息通信基础设施。</w:t>
      </w:r>
    </w:p>
    <w:p w14:paraId="7AB16B6C">
      <w:pPr>
        <w:pStyle w:val="5"/>
        <w:shd w:val="clear" w:color="auto" w:fill="FFFFFF"/>
        <w:spacing w:before="0" w:beforeAutospacing="0" w:after="0" w:afterAutospacing="0" w:line="360" w:lineRule="auto"/>
        <w:ind w:firstLine="560" w:firstLineChars="200"/>
        <w:jc w:val="both"/>
        <w:rPr>
          <w:rFonts w:ascii="仿宋" w:hAnsi="仿宋" w:eastAsia="仿宋" w:cs="仿宋"/>
          <w:kern w:val="2"/>
          <w:sz w:val="28"/>
          <w:szCs w:val="28"/>
        </w:rPr>
      </w:pPr>
      <w:r>
        <w:rPr>
          <w:rFonts w:hint="eastAsia" w:ascii="仿宋" w:hAnsi="仿宋" w:eastAsia="仿宋" w:cs="仿宋"/>
          <w:kern w:val="2"/>
          <w:sz w:val="28"/>
          <w:szCs w:val="28"/>
        </w:rPr>
        <w:t>同步建设：以基站、机房为代表的信息通信接入基础设施已成为城市基础设施重要组成部分，其附设在建筑工程、市政工程的建设特征，决定了接入基础设施应与主体工程同步设计、同步建设、同步验收；建筑级基础设施和城区级基础设施同步建设的内容存在差异；与主体工程同步建设，能满足信息通信全程全网、及时通信的基本需求。</w:t>
      </w:r>
    </w:p>
    <w:p w14:paraId="5448E624">
      <w:pPr>
        <w:pStyle w:val="5"/>
        <w:shd w:val="clear" w:color="auto" w:fill="FFFFFF"/>
        <w:spacing w:line="360" w:lineRule="auto"/>
        <w:ind w:firstLine="560" w:firstLineChars="200"/>
        <w:rPr>
          <w:rFonts w:ascii="仿宋" w:hAnsi="仿宋" w:eastAsia="仿宋" w:cs="仿宋"/>
          <w:kern w:val="2"/>
          <w:sz w:val="28"/>
          <w:szCs w:val="28"/>
        </w:rPr>
      </w:pPr>
      <w:r>
        <w:rPr>
          <w:rFonts w:ascii="仿宋" w:hAnsi="仿宋" w:eastAsia="仿宋" w:cs="仿宋"/>
          <w:kern w:val="2"/>
          <w:sz w:val="28"/>
          <w:szCs w:val="28"/>
        </w:rPr>
        <w:t>绿色环保</w:t>
      </w:r>
      <w:r>
        <w:rPr>
          <w:rFonts w:hint="eastAsia" w:ascii="仿宋" w:hAnsi="仿宋" w:eastAsia="仿宋" w:cs="仿宋"/>
          <w:kern w:val="2"/>
          <w:sz w:val="28"/>
          <w:szCs w:val="28"/>
        </w:rPr>
        <w:t>：信息通信基础设施应采取集约建设方式，提高资源利用效率，积极采用绿色清洁能源和可持续材料，减少能源和资源消耗及污染排放，保护生态环境。</w:t>
      </w:r>
    </w:p>
    <w:p w14:paraId="5A6527FA">
      <w:pPr>
        <w:pStyle w:val="6"/>
        <w:spacing w:before="0" w:after="0"/>
        <w:ind w:left="720"/>
      </w:pPr>
      <w:r>
        <w:rPr>
          <w:rFonts w:hint="eastAsia"/>
        </w:rPr>
        <w:t>（二）主要内容</w:t>
      </w:r>
    </w:p>
    <w:p w14:paraId="481F47B0">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主要技术内容参见下表；其中无线通信台站、数据中心、通信机楼及机房和基站、通信管道及通信通道是本标准的四个核心章节。借助信息通信用户预测、业务预测和密度分区，建立四大类信息通信基础设施的规划设计的设置条件、设置规模和设置要求；各章重要内容和普适性内容凝练至总体要求内，各章共性内容、公共内容凝练至各章的一般要求中。基站（宏基站、微基站、室内分布系统）、数据中心（国际级和国家级、市级、区级）、通信机房（区域机房、片区机房、单元机房以及通信设备机房）是本标准的重要内容，对城市移动通信以及高价值、低时延的业务发展有十分重要的影响。</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5182"/>
      </w:tblGrid>
      <w:tr w14:paraId="0B25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6" w:type="dxa"/>
          </w:tcPr>
          <w:p w14:paraId="00780207">
            <w:pPr>
              <w:pStyle w:val="5"/>
              <w:spacing w:before="0" w:beforeAutospacing="0" w:after="0" w:afterAutospacing="0" w:line="360" w:lineRule="auto"/>
              <w:jc w:val="both"/>
              <w:rPr>
                <w:rFonts w:ascii="黑体" w:hAnsi="黑体" w:eastAsia="黑体"/>
                <w:sz w:val="28"/>
                <w:szCs w:val="28"/>
              </w:rPr>
            </w:pPr>
            <w:r>
              <w:rPr>
                <w:rFonts w:hint="eastAsia" w:ascii="黑体" w:hAnsi="黑体" w:eastAsia="黑体"/>
                <w:sz w:val="28"/>
                <w:szCs w:val="28"/>
              </w:rPr>
              <w:t>章节</w:t>
            </w:r>
          </w:p>
        </w:tc>
        <w:tc>
          <w:tcPr>
            <w:tcW w:w="2268" w:type="dxa"/>
          </w:tcPr>
          <w:p w14:paraId="16F26F28">
            <w:pPr>
              <w:pStyle w:val="5"/>
              <w:spacing w:before="0" w:beforeAutospacing="0" w:after="0" w:afterAutospacing="0" w:line="360" w:lineRule="auto"/>
              <w:jc w:val="both"/>
              <w:rPr>
                <w:rFonts w:ascii="黑体" w:hAnsi="黑体" w:eastAsia="黑体"/>
                <w:sz w:val="28"/>
                <w:szCs w:val="28"/>
              </w:rPr>
            </w:pPr>
            <w:r>
              <w:rPr>
                <w:rFonts w:hint="eastAsia" w:ascii="黑体" w:hAnsi="黑体" w:eastAsia="黑体"/>
                <w:sz w:val="28"/>
                <w:szCs w:val="28"/>
              </w:rPr>
              <w:t>标题</w:t>
            </w:r>
          </w:p>
        </w:tc>
        <w:tc>
          <w:tcPr>
            <w:tcW w:w="5182" w:type="dxa"/>
          </w:tcPr>
          <w:p w14:paraId="6D9F163D">
            <w:pPr>
              <w:pStyle w:val="5"/>
              <w:spacing w:before="0" w:beforeAutospacing="0" w:after="0" w:afterAutospacing="0" w:line="360" w:lineRule="auto"/>
              <w:jc w:val="both"/>
              <w:rPr>
                <w:rFonts w:ascii="黑体" w:hAnsi="黑体" w:eastAsia="黑体"/>
                <w:sz w:val="28"/>
                <w:szCs w:val="28"/>
              </w:rPr>
            </w:pPr>
            <w:r>
              <w:rPr>
                <w:rFonts w:hint="eastAsia" w:ascii="黑体" w:hAnsi="黑体" w:eastAsia="黑体"/>
                <w:sz w:val="28"/>
                <w:szCs w:val="28"/>
              </w:rPr>
              <w:t>主要技术内容</w:t>
            </w:r>
          </w:p>
        </w:tc>
      </w:tr>
      <w:tr w14:paraId="5194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9DC547C">
            <w:pPr>
              <w:pStyle w:val="5"/>
              <w:spacing w:before="0" w:beforeAutospacing="0" w:after="0" w:afterAutospacing="0" w:line="360" w:lineRule="auto"/>
              <w:jc w:val="both"/>
            </w:pPr>
            <w:r>
              <w:rPr>
                <w:rFonts w:hint="eastAsia"/>
              </w:rPr>
              <w:t>1</w:t>
            </w:r>
          </w:p>
        </w:tc>
        <w:tc>
          <w:tcPr>
            <w:tcW w:w="2268" w:type="dxa"/>
          </w:tcPr>
          <w:p w14:paraId="04A1E16E">
            <w:pPr>
              <w:pStyle w:val="5"/>
              <w:spacing w:before="0" w:beforeAutospacing="0" w:after="0" w:afterAutospacing="0" w:line="360" w:lineRule="auto"/>
              <w:jc w:val="both"/>
            </w:pPr>
            <w:r>
              <w:rPr>
                <w:rFonts w:hint="eastAsia"/>
              </w:rPr>
              <w:t>范围</w:t>
            </w:r>
          </w:p>
        </w:tc>
        <w:tc>
          <w:tcPr>
            <w:tcW w:w="5182" w:type="dxa"/>
          </w:tcPr>
          <w:p w14:paraId="5151FE45">
            <w:pPr>
              <w:pStyle w:val="5"/>
              <w:spacing w:before="0" w:beforeAutospacing="0" w:after="0" w:afterAutospacing="0" w:line="360" w:lineRule="auto"/>
              <w:jc w:val="both"/>
            </w:pPr>
            <w:r>
              <w:rPr>
                <w:rFonts w:hint="eastAsia"/>
              </w:rPr>
              <w:t>明确本文件的主要内容与适用范围</w:t>
            </w:r>
          </w:p>
        </w:tc>
      </w:tr>
      <w:tr w14:paraId="4308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7BC52CA">
            <w:pPr>
              <w:pStyle w:val="5"/>
              <w:spacing w:before="0" w:beforeAutospacing="0" w:after="0" w:afterAutospacing="0" w:line="360" w:lineRule="auto"/>
              <w:jc w:val="both"/>
            </w:pPr>
            <w:r>
              <w:rPr>
                <w:rFonts w:hint="eastAsia"/>
              </w:rPr>
              <w:t>2</w:t>
            </w:r>
          </w:p>
        </w:tc>
        <w:tc>
          <w:tcPr>
            <w:tcW w:w="2268" w:type="dxa"/>
          </w:tcPr>
          <w:p w14:paraId="1EC0EA0C">
            <w:pPr>
              <w:pStyle w:val="5"/>
              <w:spacing w:before="0" w:beforeAutospacing="0" w:after="0" w:afterAutospacing="0" w:line="360" w:lineRule="auto"/>
              <w:jc w:val="both"/>
            </w:pPr>
            <w:r>
              <w:rPr>
                <w:rFonts w:hint="eastAsia"/>
              </w:rPr>
              <w:t>规范性引用文件</w:t>
            </w:r>
          </w:p>
        </w:tc>
        <w:tc>
          <w:tcPr>
            <w:tcW w:w="5182" w:type="dxa"/>
          </w:tcPr>
          <w:p w14:paraId="69DF9FF4">
            <w:pPr>
              <w:pStyle w:val="5"/>
              <w:spacing w:before="0" w:beforeAutospacing="0" w:after="0" w:afterAutospacing="0" w:line="360" w:lineRule="auto"/>
              <w:jc w:val="both"/>
            </w:pPr>
            <w:r>
              <w:rPr>
                <w:rFonts w:hint="eastAsia"/>
              </w:rPr>
              <w:t>规范性引用文件</w:t>
            </w:r>
          </w:p>
        </w:tc>
      </w:tr>
      <w:tr w14:paraId="4AA9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068C3F2">
            <w:pPr>
              <w:pStyle w:val="5"/>
              <w:spacing w:before="0" w:beforeAutospacing="0" w:after="0" w:afterAutospacing="0" w:line="360" w:lineRule="auto"/>
              <w:jc w:val="both"/>
            </w:pPr>
            <w:r>
              <w:rPr>
                <w:rFonts w:hint="eastAsia"/>
              </w:rPr>
              <w:t>3</w:t>
            </w:r>
          </w:p>
        </w:tc>
        <w:tc>
          <w:tcPr>
            <w:tcW w:w="2268" w:type="dxa"/>
          </w:tcPr>
          <w:p w14:paraId="3E31E64B">
            <w:pPr>
              <w:pStyle w:val="5"/>
              <w:spacing w:before="0" w:beforeAutospacing="0" w:after="0" w:afterAutospacing="0" w:line="360" w:lineRule="auto"/>
              <w:jc w:val="both"/>
            </w:pPr>
            <w:r>
              <w:rPr>
                <w:rFonts w:hint="eastAsia"/>
              </w:rPr>
              <w:t>术语和定义</w:t>
            </w:r>
          </w:p>
        </w:tc>
        <w:tc>
          <w:tcPr>
            <w:tcW w:w="5182" w:type="dxa"/>
          </w:tcPr>
          <w:p w14:paraId="1B5C9ABF">
            <w:pPr>
              <w:pStyle w:val="5"/>
              <w:spacing w:before="0" w:beforeAutospacing="0" w:after="0" w:afterAutospacing="0" w:line="360" w:lineRule="auto"/>
              <w:jc w:val="both"/>
            </w:pPr>
            <w:r>
              <w:rPr>
                <w:rFonts w:hint="eastAsia"/>
              </w:rPr>
              <w:t>各类信息通信基础设施的定义</w:t>
            </w:r>
          </w:p>
        </w:tc>
      </w:tr>
      <w:tr w14:paraId="7F30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EE8543C">
            <w:pPr>
              <w:pStyle w:val="5"/>
              <w:spacing w:before="0" w:beforeAutospacing="0" w:after="0" w:afterAutospacing="0" w:line="360" w:lineRule="auto"/>
              <w:jc w:val="both"/>
            </w:pPr>
            <w:r>
              <w:rPr>
                <w:rFonts w:hint="eastAsia"/>
              </w:rPr>
              <w:t>4</w:t>
            </w:r>
          </w:p>
        </w:tc>
        <w:tc>
          <w:tcPr>
            <w:tcW w:w="2268" w:type="dxa"/>
          </w:tcPr>
          <w:p w14:paraId="11F4690D">
            <w:pPr>
              <w:pStyle w:val="5"/>
              <w:spacing w:before="0" w:beforeAutospacing="0" w:after="0" w:afterAutospacing="0" w:line="360" w:lineRule="auto"/>
              <w:jc w:val="both"/>
            </w:pPr>
            <w:r>
              <w:rPr>
                <w:rFonts w:hint="eastAsia"/>
              </w:rPr>
              <w:t>缩略语</w:t>
            </w:r>
          </w:p>
        </w:tc>
        <w:tc>
          <w:tcPr>
            <w:tcW w:w="5182" w:type="dxa"/>
          </w:tcPr>
          <w:p w14:paraId="686ED6BC">
            <w:pPr>
              <w:pStyle w:val="5"/>
              <w:spacing w:before="0" w:beforeAutospacing="0" w:after="0" w:afterAutospacing="0" w:line="360" w:lineRule="auto"/>
              <w:jc w:val="both"/>
            </w:pPr>
            <w:r>
              <w:rPr>
                <w:rFonts w:hint="eastAsia"/>
              </w:rPr>
              <w:t>专业英语词汇的简写</w:t>
            </w:r>
          </w:p>
        </w:tc>
      </w:tr>
      <w:tr w14:paraId="749C3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13F7215">
            <w:pPr>
              <w:pStyle w:val="5"/>
              <w:spacing w:before="0" w:beforeAutospacing="0" w:after="0" w:afterAutospacing="0" w:line="360" w:lineRule="auto"/>
              <w:jc w:val="both"/>
            </w:pPr>
            <w:r>
              <w:rPr>
                <w:rFonts w:hint="eastAsia"/>
              </w:rPr>
              <w:t>5</w:t>
            </w:r>
          </w:p>
        </w:tc>
        <w:tc>
          <w:tcPr>
            <w:tcW w:w="2268" w:type="dxa"/>
          </w:tcPr>
          <w:p w14:paraId="4A084AE6">
            <w:pPr>
              <w:pStyle w:val="5"/>
              <w:spacing w:before="0" w:beforeAutospacing="0" w:after="0" w:afterAutospacing="0" w:line="360" w:lineRule="auto"/>
              <w:jc w:val="both"/>
            </w:pPr>
            <w:r>
              <w:rPr>
                <w:rFonts w:hint="eastAsia"/>
              </w:rPr>
              <w:t>总体要求</w:t>
            </w:r>
          </w:p>
        </w:tc>
        <w:tc>
          <w:tcPr>
            <w:tcW w:w="5182" w:type="dxa"/>
          </w:tcPr>
          <w:p w14:paraId="3B2E2708">
            <w:pPr>
              <w:pStyle w:val="5"/>
              <w:spacing w:before="0" w:beforeAutospacing="0" w:after="0" w:afterAutospacing="0" w:line="360" w:lineRule="auto"/>
              <w:jc w:val="both"/>
            </w:pPr>
            <w:r>
              <w:rPr>
                <w:rFonts w:hint="eastAsia"/>
              </w:rPr>
              <w:t>目标、原则、技术路径、规划内容及要求、设计内容及要求、因地制宜注意事项</w:t>
            </w:r>
          </w:p>
        </w:tc>
      </w:tr>
      <w:tr w14:paraId="7E9C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7053838">
            <w:pPr>
              <w:pStyle w:val="5"/>
              <w:spacing w:before="0" w:beforeAutospacing="0" w:after="0" w:afterAutospacing="0" w:line="360" w:lineRule="auto"/>
              <w:jc w:val="both"/>
            </w:pPr>
            <w:r>
              <w:rPr>
                <w:rFonts w:hint="eastAsia"/>
              </w:rPr>
              <w:t>6</w:t>
            </w:r>
          </w:p>
        </w:tc>
        <w:tc>
          <w:tcPr>
            <w:tcW w:w="2268" w:type="dxa"/>
          </w:tcPr>
          <w:p w14:paraId="0E4A731F">
            <w:pPr>
              <w:pStyle w:val="5"/>
              <w:spacing w:before="0" w:beforeAutospacing="0" w:after="0" w:afterAutospacing="0" w:line="360" w:lineRule="auto"/>
              <w:jc w:val="both"/>
            </w:pPr>
            <w:r>
              <w:rPr>
                <w:rFonts w:hint="eastAsia"/>
              </w:rPr>
              <w:t>信息通信用户预测及密度分区</w:t>
            </w:r>
          </w:p>
        </w:tc>
        <w:tc>
          <w:tcPr>
            <w:tcW w:w="5182" w:type="dxa"/>
          </w:tcPr>
          <w:p w14:paraId="592F1745">
            <w:pPr>
              <w:pStyle w:val="5"/>
              <w:spacing w:before="0" w:beforeAutospacing="0" w:after="0" w:afterAutospacing="0" w:line="360" w:lineRule="auto"/>
              <w:jc w:val="both"/>
            </w:pPr>
            <w:r>
              <w:rPr>
                <w:rFonts w:hint="eastAsia"/>
              </w:rPr>
              <w:t>一般要求、</w:t>
            </w:r>
            <w:r>
              <w:t>移动通信用户及业务预测</w:t>
            </w:r>
            <w:r>
              <w:rPr>
                <w:rFonts w:hint="eastAsia"/>
              </w:rPr>
              <w:t>、</w:t>
            </w:r>
            <w:r>
              <w:t>固定宽带用户预测</w:t>
            </w:r>
            <w:r>
              <w:rPr>
                <w:rFonts w:hint="eastAsia"/>
              </w:rPr>
              <w:t>、</w:t>
            </w:r>
            <w:r>
              <w:t>有线电视用户预测</w:t>
            </w:r>
            <w:r>
              <w:rPr>
                <w:rFonts w:hint="eastAsia"/>
              </w:rPr>
              <w:t>、</w:t>
            </w:r>
            <w:r>
              <w:t>物联终端预测</w:t>
            </w:r>
          </w:p>
        </w:tc>
      </w:tr>
      <w:tr w14:paraId="188C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D0C7A5B">
            <w:pPr>
              <w:pStyle w:val="5"/>
              <w:spacing w:before="0" w:beforeAutospacing="0" w:after="0" w:afterAutospacing="0" w:line="360" w:lineRule="auto"/>
              <w:jc w:val="both"/>
            </w:pPr>
            <w:r>
              <w:rPr>
                <w:rFonts w:hint="eastAsia"/>
              </w:rPr>
              <w:t>7</w:t>
            </w:r>
          </w:p>
        </w:tc>
        <w:tc>
          <w:tcPr>
            <w:tcW w:w="2268" w:type="dxa"/>
          </w:tcPr>
          <w:p w14:paraId="52BEAEE7">
            <w:pPr>
              <w:pStyle w:val="5"/>
              <w:spacing w:before="0" w:beforeAutospacing="0" w:after="0" w:afterAutospacing="0" w:line="360" w:lineRule="auto"/>
              <w:jc w:val="both"/>
            </w:pPr>
            <w:r>
              <w:rPr>
                <w:rFonts w:hint="eastAsia"/>
              </w:rPr>
              <w:t>无线通信台站</w:t>
            </w:r>
          </w:p>
        </w:tc>
        <w:tc>
          <w:tcPr>
            <w:tcW w:w="5182" w:type="dxa"/>
          </w:tcPr>
          <w:p w14:paraId="7848B672">
            <w:pPr>
              <w:pStyle w:val="5"/>
              <w:spacing w:before="0" w:beforeAutospacing="0" w:after="0" w:afterAutospacing="0" w:line="360" w:lineRule="auto"/>
              <w:jc w:val="both"/>
            </w:pPr>
            <w:r>
              <w:rPr>
                <w:rFonts w:hint="eastAsia"/>
              </w:rPr>
              <w:t>一般要求、无线通信监测站、微波通道、其他无线基础设施、配套设施</w:t>
            </w:r>
          </w:p>
        </w:tc>
      </w:tr>
      <w:tr w14:paraId="4D0F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90A3B29">
            <w:pPr>
              <w:pStyle w:val="5"/>
              <w:spacing w:before="0" w:beforeAutospacing="0" w:after="0" w:afterAutospacing="0" w:line="360" w:lineRule="auto"/>
              <w:jc w:val="both"/>
            </w:pPr>
            <w:r>
              <w:rPr>
                <w:rFonts w:hint="eastAsia"/>
              </w:rPr>
              <w:t>8</w:t>
            </w:r>
          </w:p>
        </w:tc>
        <w:tc>
          <w:tcPr>
            <w:tcW w:w="2268" w:type="dxa"/>
          </w:tcPr>
          <w:p w14:paraId="288C60D9">
            <w:pPr>
              <w:pStyle w:val="5"/>
              <w:spacing w:before="0" w:beforeAutospacing="0" w:after="0" w:afterAutospacing="0" w:line="360" w:lineRule="auto"/>
              <w:jc w:val="both"/>
            </w:pPr>
            <w:r>
              <w:rPr>
                <w:rFonts w:hint="eastAsia"/>
              </w:rPr>
              <w:t>数据中心</w:t>
            </w:r>
          </w:p>
        </w:tc>
        <w:tc>
          <w:tcPr>
            <w:tcW w:w="5182" w:type="dxa"/>
          </w:tcPr>
          <w:p w14:paraId="2C6C2D37">
            <w:pPr>
              <w:pStyle w:val="5"/>
              <w:spacing w:before="0" w:beforeAutospacing="0" w:after="0" w:afterAutospacing="0" w:line="360" w:lineRule="auto"/>
              <w:jc w:val="both"/>
            </w:pPr>
            <w:r>
              <w:rPr>
                <w:rFonts w:hint="eastAsia"/>
              </w:rPr>
              <w:t>一般要求，</w:t>
            </w:r>
            <w:r>
              <w:t>国际级、国家级及跨境数据中心</w:t>
            </w:r>
            <w:r>
              <w:rPr>
                <w:rFonts w:hint="eastAsia"/>
              </w:rPr>
              <w:t>，市级数据中心、区级数据中心、建筑级数据中心、配套设施</w:t>
            </w:r>
          </w:p>
        </w:tc>
      </w:tr>
      <w:tr w14:paraId="2AD6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6D6530">
            <w:pPr>
              <w:pStyle w:val="5"/>
              <w:spacing w:before="0" w:beforeAutospacing="0" w:after="0" w:afterAutospacing="0" w:line="360" w:lineRule="auto"/>
              <w:jc w:val="both"/>
            </w:pPr>
            <w:r>
              <w:rPr>
                <w:rFonts w:hint="eastAsia"/>
              </w:rPr>
              <w:t>9</w:t>
            </w:r>
          </w:p>
        </w:tc>
        <w:tc>
          <w:tcPr>
            <w:tcW w:w="2268" w:type="dxa"/>
          </w:tcPr>
          <w:p w14:paraId="0ECFC2CC">
            <w:pPr>
              <w:pStyle w:val="5"/>
              <w:spacing w:before="0" w:beforeAutospacing="0" w:after="0" w:afterAutospacing="0" w:line="360" w:lineRule="auto"/>
              <w:jc w:val="both"/>
            </w:pPr>
            <w:r>
              <w:rPr>
                <w:rFonts w:hint="eastAsia"/>
              </w:rPr>
              <w:t>通信机楼及机房和基站</w:t>
            </w:r>
          </w:p>
        </w:tc>
        <w:tc>
          <w:tcPr>
            <w:tcW w:w="5182" w:type="dxa"/>
          </w:tcPr>
          <w:p w14:paraId="5370D636">
            <w:pPr>
              <w:pStyle w:val="5"/>
              <w:spacing w:before="0" w:beforeAutospacing="0" w:after="0" w:afterAutospacing="0" w:line="360" w:lineRule="auto"/>
              <w:jc w:val="both"/>
            </w:pPr>
            <w:r>
              <w:rPr>
                <w:rFonts w:hint="eastAsia"/>
              </w:rPr>
              <w:t>一般要求、通信机楼、通信机房、移动通信基站、其他设施</w:t>
            </w:r>
          </w:p>
        </w:tc>
      </w:tr>
      <w:tr w14:paraId="0C56E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006689F">
            <w:pPr>
              <w:pStyle w:val="5"/>
              <w:spacing w:before="0" w:beforeAutospacing="0" w:after="0" w:afterAutospacing="0" w:line="360" w:lineRule="auto"/>
              <w:jc w:val="both"/>
            </w:pPr>
            <w:r>
              <w:rPr>
                <w:rFonts w:hint="eastAsia"/>
              </w:rPr>
              <w:t>1</w:t>
            </w:r>
            <w:r>
              <w:t>0</w:t>
            </w:r>
          </w:p>
        </w:tc>
        <w:tc>
          <w:tcPr>
            <w:tcW w:w="2268" w:type="dxa"/>
          </w:tcPr>
          <w:p w14:paraId="30E84C8B">
            <w:pPr>
              <w:pStyle w:val="5"/>
              <w:spacing w:before="0" w:beforeAutospacing="0" w:after="0" w:afterAutospacing="0" w:line="360" w:lineRule="auto"/>
              <w:jc w:val="both"/>
            </w:pPr>
            <w:r>
              <w:rPr>
                <w:rFonts w:hint="eastAsia"/>
              </w:rPr>
              <w:t>通信管道及通信通道</w:t>
            </w:r>
          </w:p>
        </w:tc>
        <w:tc>
          <w:tcPr>
            <w:tcW w:w="5182" w:type="dxa"/>
          </w:tcPr>
          <w:p w14:paraId="5ACD2D7D">
            <w:pPr>
              <w:pStyle w:val="5"/>
              <w:spacing w:before="0" w:beforeAutospacing="0" w:after="0" w:afterAutospacing="0" w:line="360" w:lineRule="auto"/>
              <w:jc w:val="both"/>
            </w:pPr>
            <w:r>
              <w:rPr>
                <w:rFonts w:hint="eastAsia"/>
              </w:rPr>
              <w:t>一般要求、城市间通信管道、市政通信管道、通信接入管道及通道、配套设施</w:t>
            </w:r>
          </w:p>
        </w:tc>
      </w:tr>
      <w:tr w14:paraId="450E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5A6E6EC">
            <w:pPr>
              <w:pStyle w:val="5"/>
              <w:spacing w:before="0" w:beforeAutospacing="0" w:after="0" w:afterAutospacing="0" w:line="360" w:lineRule="auto"/>
              <w:jc w:val="both"/>
            </w:pPr>
          </w:p>
        </w:tc>
        <w:tc>
          <w:tcPr>
            <w:tcW w:w="2268" w:type="dxa"/>
          </w:tcPr>
          <w:p w14:paraId="5EF5B982">
            <w:pPr>
              <w:pStyle w:val="5"/>
              <w:spacing w:before="0" w:beforeAutospacing="0" w:after="0" w:afterAutospacing="0" w:line="360" w:lineRule="auto"/>
              <w:jc w:val="both"/>
            </w:pPr>
            <w:r>
              <w:rPr>
                <w:rFonts w:hint="eastAsia"/>
              </w:rPr>
              <w:t>附录A</w:t>
            </w:r>
          </w:p>
        </w:tc>
        <w:tc>
          <w:tcPr>
            <w:tcW w:w="5182" w:type="dxa"/>
          </w:tcPr>
          <w:p w14:paraId="13DA9EE6">
            <w:pPr>
              <w:pStyle w:val="5"/>
              <w:spacing w:before="0" w:beforeAutospacing="0" w:after="0" w:afterAutospacing="0" w:line="360" w:lineRule="auto"/>
              <w:jc w:val="both"/>
            </w:pPr>
            <w:r>
              <w:rPr>
                <w:rFonts w:hint="eastAsia"/>
              </w:rPr>
              <w:t>某通信运营商文体场馆室内覆盖业务量及扇区数预测方法</w:t>
            </w:r>
          </w:p>
        </w:tc>
      </w:tr>
      <w:tr w14:paraId="64B0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AAD2F84">
            <w:pPr>
              <w:pStyle w:val="5"/>
              <w:spacing w:before="0" w:beforeAutospacing="0" w:after="0" w:afterAutospacing="0" w:line="360" w:lineRule="auto"/>
              <w:jc w:val="both"/>
            </w:pPr>
          </w:p>
        </w:tc>
        <w:tc>
          <w:tcPr>
            <w:tcW w:w="2268" w:type="dxa"/>
          </w:tcPr>
          <w:p w14:paraId="51049911">
            <w:pPr>
              <w:pStyle w:val="5"/>
              <w:spacing w:before="0" w:beforeAutospacing="0" w:after="0" w:afterAutospacing="0" w:line="360" w:lineRule="auto"/>
              <w:jc w:val="both"/>
            </w:pPr>
            <w:r>
              <w:rPr>
                <w:rFonts w:hint="eastAsia"/>
              </w:rPr>
              <w:t>附录B</w:t>
            </w:r>
          </w:p>
        </w:tc>
        <w:tc>
          <w:tcPr>
            <w:tcW w:w="5182" w:type="dxa"/>
          </w:tcPr>
          <w:p w14:paraId="38711145">
            <w:pPr>
              <w:pStyle w:val="5"/>
              <w:spacing w:before="0" w:beforeAutospacing="0" w:after="0" w:afterAutospacing="0" w:line="360" w:lineRule="auto"/>
              <w:jc w:val="both"/>
            </w:pPr>
            <w:r>
              <w:rPr>
                <w:rFonts w:hint="eastAsia"/>
              </w:rPr>
              <w:t>微波通道保护空间计算方法</w:t>
            </w:r>
          </w:p>
        </w:tc>
      </w:tr>
      <w:tr w14:paraId="239D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831439F">
            <w:pPr>
              <w:pStyle w:val="5"/>
              <w:spacing w:before="0" w:beforeAutospacing="0" w:after="0" w:afterAutospacing="0" w:line="360" w:lineRule="auto"/>
              <w:jc w:val="both"/>
            </w:pPr>
          </w:p>
        </w:tc>
        <w:tc>
          <w:tcPr>
            <w:tcW w:w="2268" w:type="dxa"/>
          </w:tcPr>
          <w:p w14:paraId="74FC1B60">
            <w:pPr>
              <w:pStyle w:val="5"/>
              <w:spacing w:before="0" w:beforeAutospacing="0" w:after="0" w:afterAutospacing="0" w:line="360" w:lineRule="auto"/>
              <w:jc w:val="both"/>
            </w:pPr>
            <w:r>
              <w:rPr>
                <w:rFonts w:hint="eastAsia"/>
              </w:rPr>
              <w:t>附录C</w:t>
            </w:r>
          </w:p>
        </w:tc>
        <w:tc>
          <w:tcPr>
            <w:tcW w:w="5182" w:type="dxa"/>
          </w:tcPr>
          <w:p w14:paraId="06B3324E">
            <w:pPr>
              <w:pStyle w:val="5"/>
              <w:spacing w:before="0" w:beforeAutospacing="0" w:after="0" w:afterAutospacing="0" w:line="360" w:lineRule="auto"/>
              <w:jc w:val="both"/>
            </w:pPr>
            <w:r>
              <w:rPr>
                <w:rFonts w:hint="eastAsia"/>
              </w:rPr>
              <w:t>数据中心面积计算方法</w:t>
            </w:r>
          </w:p>
        </w:tc>
      </w:tr>
    </w:tbl>
    <w:p w14:paraId="0C405B64">
      <w:pPr>
        <w:pStyle w:val="6"/>
        <w:spacing w:before="0" w:after="0"/>
        <w:ind w:left="720"/>
      </w:pPr>
      <w:r>
        <w:rPr>
          <w:rFonts w:hint="eastAsia"/>
        </w:rPr>
        <w:t>（三）编制依据</w:t>
      </w:r>
    </w:p>
    <w:p w14:paraId="544133E7">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）香港特别行政区政府规划署《香港规划标准与准则》（2</w:t>
      </w:r>
      <w:r>
        <w:rPr>
          <w:rFonts w:ascii="仿宋" w:hAnsi="仿宋" w:eastAsia="仿宋"/>
          <w:sz w:val="28"/>
          <w:szCs w:val="28"/>
        </w:rPr>
        <w:t>019</w:t>
      </w:r>
      <w:r>
        <w:rPr>
          <w:rFonts w:hint="eastAsia" w:ascii="仿宋" w:hAnsi="仿宋" w:eastAsia="仿宋"/>
          <w:sz w:val="28"/>
          <w:szCs w:val="28"/>
        </w:rPr>
        <w:t>年）</w:t>
      </w:r>
    </w:p>
    <w:p w14:paraId="647117C8">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（2）香港特别行政区立法会《建筑物（规划）规例》（2</w:t>
      </w:r>
      <w:r>
        <w:rPr>
          <w:rFonts w:ascii="仿宋" w:hAnsi="仿宋" w:eastAsia="仿宋"/>
          <w:sz w:val="28"/>
          <w:szCs w:val="28"/>
        </w:rPr>
        <w:t>012</w:t>
      </w:r>
      <w:r>
        <w:rPr>
          <w:rFonts w:hint="eastAsia" w:ascii="仿宋" w:hAnsi="仿宋" w:eastAsia="仿宋"/>
          <w:sz w:val="28"/>
          <w:szCs w:val="28"/>
        </w:rPr>
        <w:t>年）</w:t>
      </w:r>
    </w:p>
    <w:p w14:paraId="61AA3EF4">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）深圳市人民政府《深圳城市规划标准与准则》（2</w:t>
      </w:r>
      <w:r>
        <w:rPr>
          <w:rFonts w:ascii="仿宋" w:hAnsi="仿宋" w:eastAsia="仿宋"/>
          <w:sz w:val="28"/>
          <w:szCs w:val="28"/>
        </w:rPr>
        <w:t>021</w:t>
      </w:r>
      <w:r>
        <w:rPr>
          <w:rFonts w:hint="eastAsia" w:ascii="仿宋" w:hAnsi="仿宋" w:eastAsia="仿宋"/>
          <w:sz w:val="28"/>
          <w:szCs w:val="28"/>
        </w:rPr>
        <w:t>年）</w:t>
      </w:r>
    </w:p>
    <w:p w14:paraId="5B3DF4AD">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w:t>
      </w:r>
      <w:r>
        <w:rPr>
          <w:rFonts w:ascii="仿宋" w:hAnsi="仿宋" w:eastAsia="仿宋"/>
          <w:sz w:val="28"/>
          <w:szCs w:val="28"/>
        </w:rPr>
        <w:t xml:space="preserve"> GB 50289</w:t>
      </w:r>
      <w:r>
        <w:rPr>
          <w:rFonts w:hint="eastAsia" w:ascii="仿宋" w:hAnsi="仿宋" w:eastAsia="仿宋"/>
          <w:sz w:val="28"/>
          <w:szCs w:val="28"/>
        </w:rPr>
        <w:t>—</w:t>
      </w:r>
      <w:r>
        <w:rPr>
          <w:rFonts w:ascii="仿宋" w:hAnsi="仿宋" w:eastAsia="仿宋"/>
          <w:sz w:val="28"/>
          <w:szCs w:val="28"/>
        </w:rPr>
        <w:t>20</w:t>
      </w:r>
      <w:r>
        <w:rPr>
          <w:rFonts w:hint="eastAsia" w:ascii="仿宋" w:hAnsi="仿宋" w:eastAsia="仿宋"/>
          <w:sz w:val="28"/>
          <w:szCs w:val="28"/>
        </w:rPr>
        <w:t>16</w:t>
      </w:r>
      <w:r>
        <w:rPr>
          <w:rFonts w:ascii="仿宋" w:hAnsi="仿宋" w:eastAsia="仿宋"/>
          <w:sz w:val="28"/>
          <w:szCs w:val="28"/>
        </w:rPr>
        <w:t xml:space="preserve">  </w:t>
      </w:r>
      <w:r>
        <w:rPr>
          <w:rFonts w:hint="eastAsia" w:ascii="仿宋" w:hAnsi="仿宋" w:eastAsia="仿宋"/>
          <w:sz w:val="28"/>
          <w:szCs w:val="28"/>
        </w:rPr>
        <w:t>城市工程管线综合规划规范</w:t>
      </w:r>
    </w:p>
    <w:p w14:paraId="72E0691C">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5</w:t>
      </w:r>
      <w:r>
        <w:rPr>
          <w:rFonts w:hint="eastAsia" w:ascii="仿宋" w:hAnsi="仿宋" w:eastAsia="仿宋"/>
          <w:sz w:val="28"/>
          <w:szCs w:val="28"/>
        </w:rPr>
        <w:t>）</w:t>
      </w:r>
      <w:r>
        <w:rPr>
          <w:rFonts w:ascii="仿宋" w:hAnsi="仿宋" w:eastAsia="仿宋"/>
          <w:sz w:val="28"/>
          <w:szCs w:val="28"/>
        </w:rPr>
        <w:t xml:space="preserve"> GB 50846</w:t>
      </w:r>
      <w:r>
        <w:rPr>
          <w:rFonts w:hint="eastAsia" w:ascii="仿宋" w:hAnsi="仿宋" w:eastAsia="仿宋"/>
          <w:sz w:val="28"/>
          <w:szCs w:val="28"/>
        </w:rPr>
        <w:t>—</w:t>
      </w:r>
      <w:r>
        <w:rPr>
          <w:rFonts w:ascii="仿宋" w:hAnsi="仿宋" w:eastAsia="仿宋"/>
          <w:sz w:val="28"/>
          <w:szCs w:val="28"/>
        </w:rPr>
        <w:t>20</w:t>
      </w:r>
      <w:r>
        <w:rPr>
          <w:rFonts w:hint="eastAsia" w:ascii="仿宋" w:hAnsi="仿宋" w:eastAsia="仿宋"/>
          <w:sz w:val="28"/>
          <w:szCs w:val="28"/>
        </w:rPr>
        <w:t>12</w:t>
      </w:r>
      <w:r>
        <w:rPr>
          <w:rFonts w:ascii="仿宋" w:hAnsi="仿宋" w:eastAsia="仿宋"/>
          <w:sz w:val="28"/>
          <w:szCs w:val="28"/>
        </w:rPr>
        <w:t xml:space="preserve">  </w:t>
      </w:r>
      <w:r>
        <w:rPr>
          <w:rFonts w:hint="eastAsia" w:ascii="仿宋" w:hAnsi="仿宋" w:eastAsia="仿宋"/>
          <w:sz w:val="28"/>
          <w:szCs w:val="28"/>
        </w:rPr>
        <w:t>住宅区和住宅建筑内光纤到户通信设施工程设计规范</w:t>
      </w:r>
    </w:p>
    <w:p w14:paraId="262D5654">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6</w:t>
      </w:r>
      <w:r>
        <w:rPr>
          <w:rFonts w:hint="eastAsia" w:ascii="仿宋" w:hAnsi="仿宋" w:eastAsia="仿宋"/>
          <w:sz w:val="28"/>
          <w:szCs w:val="28"/>
        </w:rPr>
        <w:t>）</w:t>
      </w:r>
      <w:r>
        <w:rPr>
          <w:rFonts w:ascii="仿宋" w:hAnsi="仿宋" w:eastAsia="仿宋"/>
          <w:sz w:val="28"/>
          <w:szCs w:val="28"/>
        </w:rPr>
        <w:t xml:space="preserve"> GB 51433</w:t>
      </w:r>
      <w:r>
        <w:rPr>
          <w:rFonts w:hint="eastAsia" w:ascii="仿宋" w:hAnsi="仿宋" w:eastAsia="仿宋"/>
          <w:sz w:val="28"/>
          <w:szCs w:val="28"/>
        </w:rPr>
        <w:t>—</w:t>
      </w:r>
      <w:r>
        <w:rPr>
          <w:rFonts w:ascii="仿宋" w:hAnsi="仿宋" w:eastAsia="仿宋"/>
          <w:sz w:val="28"/>
          <w:szCs w:val="28"/>
        </w:rPr>
        <w:t>20</w:t>
      </w:r>
      <w:r>
        <w:rPr>
          <w:rFonts w:hint="eastAsia" w:ascii="仿宋" w:hAnsi="仿宋" w:eastAsia="仿宋"/>
          <w:sz w:val="28"/>
          <w:szCs w:val="28"/>
        </w:rPr>
        <w:t>20</w:t>
      </w:r>
      <w:r>
        <w:rPr>
          <w:rFonts w:ascii="仿宋" w:hAnsi="仿宋" w:eastAsia="仿宋"/>
          <w:sz w:val="28"/>
          <w:szCs w:val="28"/>
        </w:rPr>
        <w:t xml:space="preserve">  </w:t>
      </w:r>
      <w:r>
        <w:rPr>
          <w:rFonts w:hint="eastAsia" w:ascii="仿宋" w:hAnsi="仿宋" w:eastAsia="仿宋"/>
          <w:sz w:val="28"/>
          <w:szCs w:val="28"/>
        </w:rPr>
        <w:t>公共建筑光纤宽带接入工程技术标准</w:t>
      </w:r>
    </w:p>
    <w:p w14:paraId="3455916F">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7</w:t>
      </w:r>
      <w:r>
        <w:rPr>
          <w:rFonts w:hint="eastAsia" w:ascii="仿宋" w:hAnsi="仿宋" w:eastAsia="仿宋"/>
          <w:sz w:val="28"/>
          <w:szCs w:val="28"/>
        </w:rPr>
        <w:t>）</w:t>
      </w:r>
      <w:r>
        <w:rPr>
          <w:rFonts w:ascii="仿宋" w:hAnsi="仿宋" w:eastAsia="仿宋"/>
          <w:sz w:val="28"/>
          <w:szCs w:val="28"/>
        </w:rPr>
        <w:t xml:space="preserve"> </w:t>
      </w:r>
      <w:r>
        <w:rPr>
          <w:rFonts w:hint="eastAsia" w:ascii="仿宋" w:hAnsi="仿宋" w:eastAsia="仿宋"/>
          <w:sz w:val="28"/>
          <w:szCs w:val="28"/>
        </w:rPr>
        <w:t xml:space="preserve">中华人民共和国建设部国家土地管理局建标〔1998〕18 号 </w:t>
      </w:r>
      <w:r>
        <w:rPr>
          <w:rFonts w:ascii="仿宋" w:hAnsi="仿宋" w:eastAsia="仿宋"/>
          <w:sz w:val="28"/>
          <w:szCs w:val="28"/>
        </w:rPr>
        <w:t xml:space="preserve"> </w:t>
      </w:r>
      <w:r>
        <w:rPr>
          <w:rFonts w:hint="eastAsia" w:ascii="仿宋" w:hAnsi="仿宋" w:eastAsia="仿宋"/>
          <w:sz w:val="28"/>
          <w:szCs w:val="28"/>
        </w:rPr>
        <w:t>广播电视工程项目建设用地指标</w:t>
      </w:r>
    </w:p>
    <w:p w14:paraId="111AA03D">
      <w:pPr>
        <w:pStyle w:val="5"/>
        <w:shd w:val="clear" w:color="auto" w:fill="FFFFFF"/>
        <w:spacing w:before="0" w:beforeAutospacing="0" w:after="0" w:afterAutospacing="0" w:line="360" w:lineRule="auto"/>
        <w:ind w:firstLine="560" w:firstLineChars="200"/>
        <w:jc w:val="both"/>
        <w:rPr>
          <w:rFonts w:ascii="仿宋" w:hAnsi="仿宋" w:eastAsia="仿宋"/>
          <w:color w:val="FF0000"/>
          <w:sz w:val="28"/>
          <w:szCs w:val="28"/>
        </w:rPr>
      </w:pPr>
      <w:r>
        <w:rPr>
          <w:rFonts w:hint="eastAsia" w:ascii="仿宋" w:hAnsi="仿宋" w:eastAsia="仿宋"/>
          <w:sz w:val="28"/>
          <w:szCs w:val="28"/>
        </w:rPr>
        <w:t>注：澳门无现行规范或政府文件指导信息通信及广播电视基础设施的规划建设。</w:t>
      </w:r>
    </w:p>
    <w:p w14:paraId="5F9D5B5B">
      <w:pPr>
        <w:pStyle w:val="6"/>
        <w:numPr>
          <w:ilvl w:val="0"/>
          <w:numId w:val="1"/>
        </w:numPr>
        <w:spacing w:before="0" w:after="0"/>
        <w:ind w:left="0" w:firstLine="567"/>
        <w:rPr>
          <w:rFonts w:ascii="黑体" w:hAnsi="黑体" w:eastAsia="黑体"/>
        </w:rPr>
      </w:pPr>
      <w:r>
        <w:rPr>
          <w:rFonts w:hint="eastAsia" w:ascii="黑体" w:hAnsi="黑体" w:eastAsia="黑体"/>
        </w:rPr>
        <w:t>标准先进性或特色与现行法律法规、强制性标准等上位标准关系</w:t>
      </w:r>
    </w:p>
    <w:p w14:paraId="3E8A98CD">
      <w:pPr>
        <w:pStyle w:val="6"/>
        <w:spacing w:before="0" w:after="0"/>
        <w:ind w:left="720"/>
      </w:pPr>
      <w:r>
        <w:rPr>
          <w:rFonts w:hint="eastAsia"/>
        </w:rPr>
        <w:t>（一）先进性</w:t>
      </w:r>
    </w:p>
    <w:p w14:paraId="2026C042">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（1）</w:t>
      </w:r>
      <w:r>
        <w:rPr>
          <w:rFonts w:hint="eastAsia" w:cs="Times New Roman"/>
          <w:b/>
          <w:bCs/>
          <w:kern w:val="2"/>
          <w:sz w:val="28"/>
          <w:szCs w:val="28"/>
        </w:rPr>
        <w:t>建立横向涵盖信息通信所有基础设施、纵向覆盖规划和设计两个层次的工程标准</w:t>
      </w:r>
    </w:p>
    <w:p w14:paraId="09AA70B5">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cs="Times New Roman"/>
          <w:kern w:val="2"/>
          <w:sz w:val="28"/>
          <w:szCs w:val="28"/>
        </w:rPr>
        <w:t>信息通信技术含量高、迭代更新快等特点，对基础设施需求也不断递增，增加编制信息通信基础设施标准的难度；国内较常见的工程标准多侧重光纤、移动通信等某个分项工程设计，使得信息通信基础设施建设面临推广十分缓慢，错失很多与主体工程同步建设的机遇。本标准编制组集合政府主管部门以及城市规划、通信运营商、电信专业院、建筑设计、市政设计和广东省、香港、澳门三地技术力量，建立横向覆盖无线通信、数据中心、通信机楼和机房及基站、通信管道及通道四大类别，每类又包括多种基础设施，纵向覆盖规划和设计两个层次的基础设施体系，能快速促进信息通信基础设施全面融入城市规划建设</w:t>
      </w:r>
      <w:r>
        <w:rPr>
          <w:rFonts w:hint="eastAsia" w:ascii="仿宋" w:hAnsi="仿宋" w:eastAsia="仿宋"/>
          <w:sz w:val="28"/>
          <w:szCs w:val="28"/>
        </w:rPr>
        <w:t>。</w:t>
      </w:r>
    </w:p>
    <w:p w14:paraId="5D61401B">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（2）系统建立从物联终端预测到科学布置数据机房以及数据中心的方法</w:t>
      </w:r>
    </w:p>
    <w:p w14:paraId="76E52532">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物联网是近几年逐步出现工程建设中，与之相关标准尚处于发展变化过程中；物联终端数量巨大，对传输和存储差异较大，本标准抓住对空间和通道影响较大的视频类，以此为主线，建立一套比较完整和系统的计算方法；结合三地政府的不同需求，以主要需求、主机房为主线，确定不同层次数据中心的规模需求差异以及分区、分层布置的方法。</w:t>
      </w:r>
    </w:p>
    <w:p w14:paraId="4FD0E3C0">
      <w:pPr>
        <w:pStyle w:val="5"/>
        <w:shd w:val="clear" w:color="auto" w:fill="FFFFFF"/>
        <w:spacing w:before="0" w:beforeAutospacing="0" w:after="0" w:afterAutospacing="0" w:line="360" w:lineRule="auto"/>
        <w:ind w:firstLine="542" w:firstLineChars="200"/>
        <w:rPr>
          <w:b/>
          <w:bCs/>
          <w:sz w:val="27"/>
          <w:szCs w:val="27"/>
        </w:rPr>
      </w:pPr>
      <w:r>
        <w:rPr>
          <w:rFonts w:hint="eastAsia"/>
          <w:b/>
          <w:bCs/>
          <w:sz w:val="27"/>
          <w:szCs w:val="27"/>
        </w:rPr>
        <w:t>（3）建设互联互通以及共享、共用的信息通信基础设施</w:t>
      </w:r>
    </w:p>
    <w:p w14:paraId="1BBE2EDE">
      <w:pPr>
        <w:pStyle w:val="5"/>
        <w:shd w:val="clear" w:color="auto" w:fill="FFFFFF"/>
        <w:spacing w:before="0" w:beforeAutospacing="0" w:after="0" w:afterAutospacing="0" w:line="360" w:lineRule="auto"/>
        <w:ind w:firstLine="540" w:firstLineChars="200"/>
        <w:rPr>
          <w:rFonts w:ascii="仿宋" w:hAnsi="仿宋" w:eastAsia="仿宋"/>
          <w:sz w:val="27"/>
          <w:szCs w:val="27"/>
        </w:rPr>
      </w:pPr>
      <w:r>
        <w:rPr>
          <w:rFonts w:hint="eastAsia" w:ascii="仿宋" w:hAnsi="仿宋" w:eastAsia="仿宋"/>
          <w:sz w:val="27"/>
          <w:szCs w:val="27"/>
        </w:rPr>
        <w:t>尽</w:t>
      </w:r>
      <w:r>
        <w:rPr>
          <w:rFonts w:hint="eastAsia" w:ascii="仿宋" w:hAnsi="仿宋" w:eastAsia="仿宋" w:cs="Times New Roman"/>
          <w:kern w:val="2"/>
          <w:sz w:val="27"/>
          <w:szCs w:val="27"/>
        </w:rPr>
        <w:t>管先进信息通信对基础设施需求基本一致，但由于粤港澳大湾区城市发展历程及行政管理体制上有一定差异性，在信息通信基础设施建设方面各有优势。本标准以信息通信基础设施普适性设置规律为基础，建立适合广东省、香港、澳门共同适用的技术标准；另外，为促进大湾区一体化发展，本标准还利用三地地理位置比邻及各自优势，建设国际级和国家级数据中心、跨境数据中心、国家级监测站等共享性基础设施，并通过通信管道及传输光缆实现大湾区信息通信基础设施互联互通</w:t>
      </w:r>
      <w:r>
        <w:rPr>
          <w:rFonts w:hint="eastAsia" w:ascii="仿宋" w:hAnsi="仿宋" w:eastAsia="仿宋"/>
          <w:sz w:val="27"/>
          <w:szCs w:val="27"/>
        </w:rPr>
        <w:t>。</w:t>
      </w:r>
    </w:p>
    <w:p w14:paraId="6A18C6A0">
      <w:pPr>
        <w:pStyle w:val="5"/>
        <w:shd w:val="clear" w:color="auto" w:fill="FFFFFF"/>
        <w:spacing w:before="0" w:beforeAutospacing="0" w:after="0" w:afterAutospacing="0" w:line="360" w:lineRule="auto"/>
        <w:ind w:firstLine="562" w:firstLineChars="200"/>
        <w:rPr>
          <w:b/>
          <w:bCs/>
          <w:sz w:val="28"/>
          <w:szCs w:val="28"/>
        </w:rPr>
      </w:pPr>
      <w:r>
        <w:rPr>
          <w:rFonts w:hint="eastAsia"/>
          <w:b/>
          <w:bCs/>
          <w:sz w:val="28"/>
          <w:szCs w:val="28"/>
        </w:rPr>
        <w:t>（4）建立多层次措施推动接入基础设施全面融入城市规划建设</w:t>
      </w:r>
    </w:p>
    <w:p w14:paraId="1A054DEB">
      <w:pPr>
        <w:ind w:firstLine="540" w:firstLineChars="200"/>
      </w:pPr>
      <w:r>
        <w:rPr>
          <w:rFonts w:hint="eastAsia" w:ascii="仿宋" w:hAnsi="仿宋" w:eastAsia="仿宋"/>
          <w:sz w:val="27"/>
          <w:szCs w:val="27"/>
        </w:rPr>
        <w:t>先进信息通信技术对通信机楼、城市通信管道等大型基础设施需求相对容易满足，其建设难点和广泛性需求更多地体现在接入基础设施上，且必须随建筑工程、市政工程同步建设；本标准结合三地城乡规划建设的常规做法，紧扣先进技术的需求特点，建立规划引导、分层次推进、综合推进等多条技术路径，利用城市化机会快速推动信息通信接入基础设施融入城乡规划建设，缓解接入基础设施严重缺乏和后期补建难度十分大的困境。</w:t>
      </w:r>
    </w:p>
    <w:p w14:paraId="0BF78544">
      <w:pPr>
        <w:pStyle w:val="6"/>
        <w:spacing w:before="0" w:after="0"/>
        <w:ind w:left="720"/>
      </w:pPr>
      <w:r>
        <w:rPr>
          <w:rFonts w:hint="eastAsia"/>
        </w:rPr>
        <w:t>（二）特色</w:t>
      </w:r>
    </w:p>
    <w:p w14:paraId="6B8C1487">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（1）内容新、覆盖广及可操作性强</w:t>
      </w:r>
    </w:p>
    <w:p w14:paraId="1ED236E0">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标准集合国内城市规划、电信专业院、通信运营商、建筑设计、市政设计以及香港、澳门通信运营商及国际工程公司等多种专业机构力量，吸收广东省及香港在信息通信基础设施方面好的做法，提炼出覆盖贯通规划、设计的一体化设置条件、设置要求、设置规模，确定新技术形势下无线通信及无线广播电视塔站、数据中心、通信机楼及机房和基站、通信管道及通信通道四大类全系列信息通信基础设施规划设计标准，不仅确保基础设施能快速融入城市建设，而且与现行相关国家标准衔接、与规划设计机制结合，明确单独占地式以及附设式（城区级、建筑级）基础设施对配套设施差异化要求，可快速复制和推广，具有较强可操作性，普通的规划、建筑、市政设计机构均能很快很好的运用本标准。</w:t>
      </w:r>
    </w:p>
    <w:p w14:paraId="2D60A6C6">
      <w:pPr>
        <w:pStyle w:val="5"/>
        <w:shd w:val="clear" w:color="auto" w:fill="FFFFFF"/>
        <w:spacing w:before="0" w:beforeAutospacing="0" w:after="0" w:afterAutospacing="0" w:line="360" w:lineRule="auto"/>
        <w:ind w:firstLine="542" w:firstLineChars="200"/>
        <w:jc w:val="both"/>
        <w:rPr>
          <w:b/>
          <w:bCs/>
          <w:sz w:val="27"/>
          <w:szCs w:val="27"/>
        </w:rPr>
      </w:pPr>
      <w:r>
        <w:rPr>
          <w:rFonts w:hint="eastAsia"/>
          <w:b/>
          <w:bCs/>
          <w:sz w:val="27"/>
          <w:szCs w:val="27"/>
        </w:rPr>
        <w:t>（2）具有较好的经济合理性</w:t>
      </w:r>
    </w:p>
    <w:p w14:paraId="72EBFD85">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标准抓住我国城市化和信息通信同步快速发展的机遇，促进信息通信接入基础设施与主体工程同步建设，避免各运营商分散建设、多次改造现状建筑（也很难达到接入基础设施的功能要求），能极大地节省投资、节约时间，经济效益、社会效益十分明显。就</w:t>
      </w:r>
      <w:r>
        <w:rPr>
          <w:rFonts w:ascii="仿宋" w:hAnsi="仿宋" w:eastAsia="仿宋"/>
          <w:sz w:val="28"/>
          <w:szCs w:val="28"/>
        </w:rPr>
        <w:t>3万m</w:t>
      </w:r>
      <w:r>
        <w:rPr>
          <w:rFonts w:ascii="仿宋" w:hAnsi="仿宋" w:eastAsia="仿宋"/>
          <w:sz w:val="28"/>
          <w:szCs w:val="28"/>
          <w:vertAlign w:val="superscript"/>
        </w:rPr>
        <w:t>2</w:t>
      </w:r>
      <w:r>
        <w:rPr>
          <w:rFonts w:ascii="仿宋" w:hAnsi="仿宋" w:eastAsia="仿宋"/>
          <w:sz w:val="28"/>
          <w:szCs w:val="28"/>
        </w:rPr>
        <w:t>办公楼或10万m</w:t>
      </w:r>
      <w:r>
        <w:rPr>
          <w:rFonts w:ascii="仿宋" w:hAnsi="仿宋" w:eastAsia="仿宋"/>
          <w:sz w:val="28"/>
          <w:szCs w:val="28"/>
          <w:vertAlign w:val="superscript"/>
        </w:rPr>
        <w:t>2</w:t>
      </w:r>
      <w:r>
        <w:rPr>
          <w:rFonts w:ascii="仿宋" w:hAnsi="仿宋" w:eastAsia="仿宋"/>
          <w:sz w:val="28"/>
          <w:szCs w:val="28"/>
        </w:rPr>
        <w:t>住宅小区来说，接入基础设施与主体建筑同步建设与分次改造建设相比，可节约改造费用约60-120万元，节约网络建设时间约3－6个月；若全面推广到</w:t>
      </w:r>
      <w:r>
        <w:rPr>
          <w:rFonts w:hint="eastAsia" w:ascii="仿宋" w:hAnsi="仿宋" w:eastAsia="仿宋"/>
          <w:sz w:val="28"/>
          <w:szCs w:val="28"/>
        </w:rPr>
        <w:t>粤港澳大湾区</w:t>
      </w:r>
      <w:r>
        <w:rPr>
          <w:rFonts w:ascii="仿宋" w:hAnsi="仿宋" w:eastAsia="仿宋"/>
          <w:sz w:val="28"/>
          <w:szCs w:val="28"/>
        </w:rPr>
        <w:t>城市建设，其效益将更加显著。</w:t>
      </w:r>
    </w:p>
    <w:p w14:paraId="68275E55">
      <w:pPr>
        <w:pStyle w:val="6"/>
        <w:spacing w:before="0" w:after="0"/>
        <w:ind w:left="720"/>
      </w:pPr>
      <w:r>
        <w:rPr>
          <w:rFonts w:hint="eastAsia"/>
        </w:rPr>
        <w:t>（三）与现行法律法规的关系</w:t>
      </w:r>
    </w:p>
    <w:p w14:paraId="7BA8081F">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粤港澳大湾区广东省内城市一般按国家《电信条例》执行，广东省还颁布《广东省通信设施建设与保护规定》，本标准是基础设施技术标准，是支撑各类设施运行的基础，没有抵触矛盾之处；香港按《电讯条例》推动电讯、广播业务发展，本标准是技术性基础设施，是支撑业务发展的基础，没有抵触矛盾之处。</w:t>
      </w:r>
    </w:p>
    <w:p w14:paraId="28E5021F">
      <w:pPr>
        <w:pStyle w:val="6"/>
        <w:spacing w:before="0" w:after="0"/>
        <w:ind w:left="720"/>
      </w:pPr>
      <w:r>
        <w:rPr>
          <w:rFonts w:hint="eastAsia"/>
        </w:rPr>
        <w:t>（四）与国家标准的关系</w:t>
      </w:r>
    </w:p>
    <w:p w14:paraId="5089DC2D">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目前，国家尚未颁布信息通信基础设施规划设计方面的有系统和有意义的标准，已颁布《城市通信工程规划规范》G</w:t>
      </w:r>
      <w:r>
        <w:rPr>
          <w:rFonts w:ascii="仿宋" w:hAnsi="仿宋" w:eastAsia="仿宋"/>
          <w:sz w:val="28"/>
          <w:szCs w:val="28"/>
        </w:rPr>
        <w:t>B/T50853</w:t>
      </w:r>
      <w:r>
        <w:rPr>
          <w:rFonts w:hint="eastAsia" w:ascii="仿宋" w:hAnsi="仿宋" w:eastAsia="仿宋"/>
          <w:sz w:val="28"/>
          <w:szCs w:val="28"/>
        </w:rPr>
        <w:t>、</w:t>
      </w:r>
      <w:r>
        <w:rPr>
          <w:rFonts w:ascii="仿宋" w:hAnsi="仿宋" w:eastAsia="仿宋"/>
          <w:sz w:val="28"/>
          <w:szCs w:val="28"/>
        </w:rPr>
        <w:t>《建筑物移动通信基础设施工程技术标准》GB 51456</w:t>
      </w:r>
      <w:r>
        <w:rPr>
          <w:rFonts w:hint="eastAsia" w:ascii="仿宋" w:hAnsi="仿宋" w:eastAsia="仿宋"/>
          <w:sz w:val="28"/>
          <w:szCs w:val="28"/>
        </w:rPr>
        <w:t>等某项基础设施标准；本标准与已颁布的标准进行完整的对接，对建筑内部分机房进行优化、整合，更有利于建筑级基础设施建设；对相关设施建设起到更好的支撑作用，没有矛盾抵触之处。</w:t>
      </w:r>
    </w:p>
    <w:p w14:paraId="0088E155">
      <w:pPr>
        <w:pStyle w:val="6"/>
        <w:spacing w:before="0" w:after="0"/>
        <w:ind w:left="720"/>
      </w:pPr>
      <w:r>
        <w:rPr>
          <w:rFonts w:hint="eastAsia"/>
        </w:rPr>
        <w:t>（五）与香港规例、澳门行政法规的关系</w:t>
      </w:r>
    </w:p>
    <w:p w14:paraId="0F889086">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本标准与《香港规划标准与准则》（</w:t>
      </w:r>
      <w:r>
        <w:rPr>
          <w:rFonts w:ascii="仿宋" w:hAnsi="仿宋" w:eastAsia="仿宋"/>
          <w:sz w:val="28"/>
          <w:szCs w:val="28"/>
        </w:rPr>
        <w:t>2019年）</w:t>
      </w:r>
      <w:r>
        <w:rPr>
          <w:rFonts w:hint="eastAsia" w:ascii="仿宋" w:hAnsi="仿宋" w:eastAsia="仿宋"/>
          <w:sz w:val="28"/>
          <w:szCs w:val="28"/>
        </w:rPr>
        <w:t>、《建筑物（规划）规例》（</w:t>
      </w:r>
      <w:r>
        <w:rPr>
          <w:rFonts w:ascii="仿宋" w:hAnsi="仿宋" w:eastAsia="仿宋"/>
          <w:sz w:val="28"/>
          <w:szCs w:val="28"/>
        </w:rPr>
        <w:t>2012年）</w:t>
      </w:r>
      <w:r>
        <w:rPr>
          <w:rFonts w:hint="eastAsia" w:ascii="仿宋" w:hAnsi="仿宋" w:eastAsia="仿宋"/>
          <w:sz w:val="28"/>
          <w:szCs w:val="28"/>
        </w:rPr>
        <w:t>进行对接。《香港规划标准与准则》中内容是二十年前编制的，2</w:t>
      </w:r>
      <w:r>
        <w:rPr>
          <w:rFonts w:ascii="仿宋" w:hAnsi="仿宋" w:eastAsia="仿宋"/>
          <w:sz w:val="28"/>
          <w:szCs w:val="28"/>
        </w:rPr>
        <w:t>019</w:t>
      </w:r>
      <w:r>
        <w:rPr>
          <w:rFonts w:hint="eastAsia" w:ascii="仿宋" w:hAnsi="仿宋" w:eastAsia="仿宋"/>
          <w:sz w:val="28"/>
          <w:szCs w:val="28"/>
        </w:rPr>
        <w:t>年修订过，电话服务、电台及广播通讯两部分内容基本未变，与现在信息通信技术要求有较大差距，本标准与其对接。《建筑物（规划）规例》内容有一些建设电讯及广播室的好内容，本标准将其适当扩展综合通信机房，使其有更广泛的适用性。澳门采用万国标准，哪个标准好用就采用相应标准；本标准也将澳门综合接入机房建设纳入本标准，比较合适尚未编制规划、也未分层建设的城市基础设施建设。</w:t>
      </w:r>
    </w:p>
    <w:p w14:paraId="49442BFB">
      <w:pPr>
        <w:pStyle w:val="6"/>
        <w:numPr>
          <w:ilvl w:val="0"/>
          <w:numId w:val="1"/>
        </w:numPr>
        <w:spacing w:before="0" w:after="0"/>
        <w:ind w:left="0" w:firstLine="567"/>
        <w:rPr>
          <w:rFonts w:ascii="黑体" w:hAnsi="黑体" w:eastAsia="黑体"/>
        </w:rPr>
      </w:pPr>
      <w:r>
        <w:rPr>
          <w:rFonts w:hint="eastAsia" w:ascii="黑体" w:hAnsi="黑体" w:eastAsia="黑体"/>
        </w:rPr>
        <w:t>标准在粤港澳三地调研研讨、征求意见及邀请三地专家审定的情况</w:t>
      </w:r>
    </w:p>
    <w:p w14:paraId="158D41F2">
      <w:pPr>
        <w:pStyle w:val="6"/>
        <w:spacing w:before="0" w:after="0"/>
        <w:ind w:left="720"/>
      </w:pPr>
      <w:r>
        <w:rPr>
          <w:rFonts w:hint="eastAsia"/>
        </w:rPr>
        <w:t>（一）成立工作组</w:t>
      </w:r>
    </w:p>
    <w:p w14:paraId="75DEC1B4">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继标准立项批准后，主编单位于2</w:t>
      </w:r>
      <w:r>
        <w:rPr>
          <w:rFonts w:ascii="仿宋" w:hAnsi="仿宋" w:eastAsia="仿宋"/>
          <w:sz w:val="28"/>
          <w:szCs w:val="28"/>
        </w:rPr>
        <w:t>023</w:t>
      </w:r>
      <w:r>
        <w:rPr>
          <w:rFonts w:hint="eastAsia" w:ascii="仿宋" w:hAnsi="仿宋" w:eastAsia="仿宋"/>
          <w:sz w:val="28"/>
          <w:szCs w:val="28"/>
        </w:rPr>
        <w:t>年7月中旬成立项目组，并于7月2</w:t>
      </w:r>
      <w:r>
        <w:rPr>
          <w:rFonts w:ascii="仿宋" w:hAnsi="仿宋" w:eastAsia="仿宋"/>
          <w:sz w:val="28"/>
          <w:szCs w:val="28"/>
        </w:rPr>
        <w:t>8</w:t>
      </w:r>
      <w:r>
        <w:rPr>
          <w:rFonts w:hint="eastAsia" w:ascii="仿宋" w:hAnsi="仿宋" w:eastAsia="仿宋"/>
          <w:sz w:val="28"/>
          <w:szCs w:val="28"/>
        </w:rPr>
        <w:t>日举行启动会，会后编写会议纪要，将相关结论做好记录；并将工作大纲、编制大纲、调研大纲同时跟所有起草单位和人员一起商量，确定初步指导性文件，明确各单位主要工作内容，确定后续讨论交流的内容及时间节点。</w:t>
      </w:r>
    </w:p>
    <w:p w14:paraId="63DCBB2D">
      <w:pPr>
        <w:pStyle w:val="6"/>
        <w:spacing w:before="0" w:after="0"/>
        <w:ind w:left="720"/>
      </w:pPr>
      <w:r>
        <w:rPr>
          <w:rFonts w:hint="eastAsia"/>
        </w:rPr>
        <w:t>（二）收集资料</w:t>
      </w:r>
    </w:p>
    <w:p w14:paraId="58D04CB4">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继启动会确定调研大纲后，请粤港澳三地起草单位利用2个月时间，收集本地相关资料；通过中移香港、澳门电信等通信运营商收集香港基础资料以及基础设施的基本做法；深规院也与香港、澳门的通信主管部门建立联系，并收集相关资料。同时，在第二次会议重点对收集资料进行分析，明确下一步各分项工作的重点和要解决的问题，编写备忘录。</w:t>
      </w:r>
    </w:p>
    <w:p w14:paraId="1CF3B4AA">
      <w:pPr>
        <w:pStyle w:val="6"/>
        <w:spacing w:before="0" w:after="0"/>
        <w:ind w:left="720"/>
      </w:pPr>
      <w:r>
        <w:rPr>
          <w:rFonts w:hint="eastAsia"/>
        </w:rPr>
        <w:t>（三）起草初稿</w:t>
      </w:r>
    </w:p>
    <w:p w14:paraId="17290D99">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在随后时间内，编制组每1</w:t>
      </w:r>
      <w:r>
        <w:rPr>
          <w:rFonts w:ascii="仿宋" w:hAnsi="仿宋" w:eastAsia="仿宋"/>
          <w:sz w:val="28"/>
          <w:szCs w:val="28"/>
        </w:rPr>
        <w:t>-2</w:t>
      </w:r>
      <w:r>
        <w:rPr>
          <w:rFonts w:hint="eastAsia" w:ascii="仿宋" w:hAnsi="仿宋" w:eastAsia="仿宋"/>
          <w:sz w:val="28"/>
          <w:szCs w:val="28"/>
        </w:rPr>
        <w:t>个月，就编制大纲中重要章节进行逐章讨论，共讨论5次；每次讨论完成后，深规院将讨论结论性内容编写备忘录（共编写6次备忘录），指导各分项的下一步工作，明确需要优化、努力的内容，安排下一节工作。</w:t>
      </w:r>
    </w:p>
    <w:p w14:paraId="67FF279E">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于2</w:t>
      </w:r>
      <w:r>
        <w:rPr>
          <w:rFonts w:ascii="仿宋" w:hAnsi="仿宋" w:eastAsia="仿宋"/>
          <w:sz w:val="28"/>
          <w:szCs w:val="28"/>
        </w:rPr>
        <w:t>024</w:t>
      </w:r>
      <w:r>
        <w:rPr>
          <w:rFonts w:hint="eastAsia" w:ascii="仿宋" w:hAnsi="仿宋" w:eastAsia="仿宋"/>
          <w:sz w:val="28"/>
          <w:szCs w:val="28"/>
        </w:rPr>
        <w:t>年3月，编制组基本完成初稿，进行统稿和优化；主编单位又组织2次会议，对初稿内容进行优化；于2</w:t>
      </w:r>
      <w:r>
        <w:rPr>
          <w:rFonts w:ascii="仿宋" w:hAnsi="仿宋" w:eastAsia="仿宋"/>
          <w:sz w:val="28"/>
          <w:szCs w:val="28"/>
        </w:rPr>
        <w:t>024</w:t>
      </w:r>
      <w:r>
        <w:rPr>
          <w:rFonts w:hint="eastAsia" w:ascii="仿宋" w:hAnsi="仿宋" w:eastAsia="仿宋"/>
          <w:sz w:val="28"/>
          <w:szCs w:val="28"/>
        </w:rPr>
        <w:t>年4月按格式进行优化，于4月底形成征求意见稿。</w:t>
      </w:r>
    </w:p>
    <w:p w14:paraId="1CD891F0">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对于数据中心计算方法，以广东省最复杂的需求为基础确定计算方法，香港、澳门根据行政区划及政府管理方式选取对应的比例来控制数据中心规模；对于单独占地式的数据中心和通信机楼，在控制用地规模和建筑规模的基础上，容积率、建筑覆盖率分别按三地标准执行；通信机房在沿用广东省技术标准的三级分类的基础上，借鉴香港、澳门以及珠海等地建设通信综合机房的做法，对机房体系及建设方式予以补充，形成两种方式并存的技术标准，可结合城市具体情况选择；基站借鉴广东省的好做法，将基站纳入城市规划体系，同时补充在建筑、市政设计阶段增补设置基站技术标准。初稿中含无线广播电视台站，同时，针对有线电视、街道级和社区级数据中心等广东省特有信息基础设施，采取特殊说明的方式予以注明。</w:t>
      </w:r>
    </w:p>
    <w:p w14:paraId="1A95F118">
      <w:pPr>
        <w:pStyle w:val="6"/>
        <w:spacing w:before="0" w:after="0"/>
        <w:ind w:left="720"/>
      </w:pPr>
      <w:r>
        <w:rPr>
          <w:rFonts w:hint="eastAsia"/>
        </w:rPr>
        <w:t>（四）征求意见</w:t>
      </w:r>
    </w:p>
    <w:p w14:paraId="398F139A">
      <w:pPr>
        <w:pStyle w:val="5"/>
        <w:shd w:val="clear" w:color="auto" w:fill="FFFFFF"/>
        <w:spacing w:line="360" w:lineRule="auto"/>
        <w:ind w:firstLine="560" w:firstLineChars="200"/>
        <w:rPr>
          <w:rFonts w:ascii="仿宋" w:hAnsi="仿宋" w:eastAsia="仿宋"/>
          <w:sz w:val="28"/>
          <w:szCs w:val="28"/>
        </w:rPr>
      </w:pPr>
      <w:r>
        <w:rPr>
          <w:rFonts w:hint="eastAsia" w:ascii="仿宋" w:hAnsi="仿宋" w:eastAsia="仿宋"/>
          <w:sz w:val="28"/>
          <w:szCs w:val="28"/>
        </w:rPr>
        <w:t>于4月2</w:t>
      </w:r>
      <w:r>
        <w:rPr>
          <w:rFonts w:ascii="仿宋" w:hAnsi="仿宋" w:eastAsia="仿宋"/>
          <w:sz w:val="28"/>
          <w:szCs w:val="28"/>
        </w:rPr>
        <w:t>5</w:t>
      </w:r>
      <w:r>
        <w:rPr>
          <w:rFonts w:hint="eastAsia" w:ascii="仿宋" w:hAnsi="仿宋" w:eastAsia="仿宋"/>
          <w:sz w:val="28"/>
          <w:szCs w:val="28"/>
        </w:rPr>
        <w:t>日，编制组开始在内部征求意见（含香港、澳门起草单位），同时征求定向专家的意见，以及征求香港通讯事务管理办公室和澳门邮电局两个主管部门意见；于5月7日由湾促会在国家团体标准信息平台和广东省标准化研究院正式挂网公开征求意见。</w:t>
      </w:r>
    </w:p>
    <w:p w14:paraId="526A6B2B">
      <w:pPr>
        <w:pStyle w:val="5"/>
        <w:shd w:val="clear" w:color="auto" w:fill="FFFFFF"/>
        <w:spacing w:line="360" w:lineRule="auto"/>
        <w:ind w:firstLine="560" w:firstLineChars="200"/>
        <w:rPr>
          <w:rFonts w:ascii="仿宋" w:hAnsi="仿宋" w:eastAsia="仿宋"/>
          <w:sz w:val="28"/>
          <w:szCs w:val="28"/>
        </w:rPr>
      </w:pPr>
      <w:r>
        <w:rPr>
          <w:rFonts w:hint="eastAsia" w:ascii="仿宋" w:hAnsi="仿宋" w:eastAsia="仿宋"/>
          <w:sz w:val="28"/>
          <w:szCs w:val="28"/>
        </w:rPr>
        <w:t>截至2</w:t>
      </w:r>
      <w:r>
        <w:rPr>
          <w:rFonts w:ascii="仿宋" w:hAnsi="仿宋" w:eastAsia="仿宋"/>
          <w:sz w:val="28"/>
          <w:szCs w:val="28"/>
        </w:rPr>
        <w:t>024</w:t>
      </w:r>
      <w:r>
        <w:rPr>
          <w:rFonts w:hint="eastAsia" w:ascii="仿宋" w:hAnsi="仿宋" w:eastAsia="仿宋"/>
          <w:sz w:val="28"/>
          <w:szCs w:val="28"/>
        </w:rPr>
        <w:t>年6月8日，编制组共</w:t>
      </w:r>
      <w:r>
        <w:rPr>
          <w:rFonts w:ascii="仿宋" w:hAnsi="仿宋" w:eastAsia="仿宋"/>
          <w:sz w:val="28"/>
          <w:szCs w:val="28"/>
        </w:rPr>
        <w:t>收到征求意见的单位数及专家数26个（位）</w:t>
      </w:r>
      <w:r>
        <w:rPr>
          <w:rFonts w:hint="eastAsia" w:ascii="仿宋" w:hAnsi="仿宋" w:eastAsia="仿宋"/>
          <w:sz w:val="28"/>
          <w:szCs w:val="28"/>
        </w:rPr>
        <w:t>，无公开征求意见的回复意见</w:t>
      </w:r>
      <w:r>
        <w:rPr>
          <w:rFonts w:ascii="仿宋" w:hAnsi="仿宋" w:eastAsia="仿宋"/>
          <w:sz w:val="28"/>
          <w:szCs w:val="28"/>
        </w:rPr>
        <w:t>，其中编制组内回函单位及专家数10个（位），编制组外单位及专家数16个（位）</w:t>
      </w:r>
      <w:r>
        <w:rPr>
          <w:rFonts w:hint="eastAsia" w:ascii="仿宋" w:hAnsi="仿宋" w:eastAsia="仿宋"/>
          <w:sz w:val="28"/>
          <w:szCs w:val="28"/>
        </w:rPr>
        <w:t>；</w:t>
      </w:r>
      <w:r>
        <w:rPr>
          <w:rFonts w:ascii="仿宋" w:hAnsi="仿宋" w:eastAsia="仿宋"/>
          <w:sz w:val="28"/>
          <w:szCs w:val="28"/>
        </w:rPr>
        <w:t>收到征求意见表后回函并有建议或意见的单位数24个（位），无意见单位数</w:t>
      </w:r>
      <w:r>
        <w:rPr>
          <w:rFonts w:hint="eastAsia" w:ascii="仿宋" w:hAnsi="仿宋" w:eastAsia="仿宋"/>
          <w:sz w:val="28"/>
          <w:szCs w:val="28"/>
        </w:rPr>
        <w:t>（香港通讯事务管理办公室和澳门邮电局）</w:t>
      </w:r>
      <w:r>
        <w:rPr>
          <w:rFonts w:ascii="仿宋" w:hAnsi="仿宋" w:eastAsia="仿宋"/>
          <w:sz w:val="28"/>
          <w:szCs w:val="28"/>
        </w:rPr>
        <w:t>2个。</w:t>
      </w:r>
    </w:p>
    <w:p w14:paraId="7512E16D">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ascii="仿宋" w:hAnsi="仿宋" w:eastAsia="仿宋"/>
          <w:sz w:val="28"/>
          <w:szCs w:val="28"/>
        </w:rPr>
        <w:t>经整理，</w:t>
      </w:r>
      <w:r>
        <w:rPr>
          <w:rFonts w:hint="eastAsia" w:ascii="仿宋" w:hAnsi="仿宋" w:eastAsia="仿宋"/>
          <w:sz w:val="28"/>
          <w:szCs w:val="28"/>
        </w:rPr>
        <w:t>本次征求意见</w:t>
      </w:r>
      <w:r>
        <w:rPr>
          <w:rFonts w:ascii="仿宋" w:hAnsi="仿宋" w:eastAsia="仿宋"/>
          <w:sz w:val="28"/>
          <w:szCs w:val="28"/>
        </w:rPr>
        <w:t>共收到意见173条（意见相同的整合为一项）</w:t>
      </w:r>
      <w:r>
        <w:rPr>
          <w:rFonts w:hint="eastAsia" w:ascii="仿宋" w:hAnsi="仿宋" w:eastAsia="仿宋"/>
          <w:sz w:val="28"/>
          <w:szCs w:val="28"/>
        </w:rPr>
        <w:t>；编制组认真研读意见，对意见进行分析、处理，并形成征求意见汇总处理表；在1</w:t>
      </w:r>
      <w:r>
        <w:rPr>
          <w:rFonts w:ascii="仿宋" w:hAnsi="仿宋" w:eastAsia="仿宋"/>
          <w:sz w:val="28"/>
          <w:szCs w:val="28"/>
        </w:rPr>
        <w:t>73</w:t>
      </w:r>
      <w:r>
        <w:rPr>
          <w:rFonts w:hint="eastAsia" w:ascii="仿宋" w:hAnsi="仿宋" w:eastAsia="仿宋"/>
          <w:sz w:val="28"/>
          <w:szCs w:val="28"/>
        </w:rPr>
        <w:t>条意见中，</w:t>
      </w:r>
      <w:r>
        <w:rPr>
          <w:rFonts w:ascii="仿宋" w:hAnsi="仿宋" w:eastAsia="仿宋"/>
          <w:sz w:val="28"/>
          <w:szCs w:val="28"/>
        </w:rPr>
        <w:t>采纳128条，部分采纳15条，不采纳30条</w:t>
      </w:r>
      <w:r>
        <w:rPr>
          <w:rFonts w:hint="eastAsia" w:ascii="仿宋" w:hAnsi="仿宋" w:eastAsia="仿宋"/>
          <w:sz w:val="28"/>
          <w:szCs w:val="28"/>
        </w:rPr>
        <w:t>；部分采纳、不采纳意见均在处理表中给予原因说明</w:t>
      </w:r>
      <w:r>
        <w:rPr>
          <w:rFonts w:ascii="仿宋" w:hAnsi="仿宋" w:eastAsia="仿宋"/>
          <w:sz w:val="28"/>
          <w:szCs w:val="28"/>
        </w:rPr>
        <w:t>。</w:t>
      </w:r>
      <w:r>
        <w:rPr>
          <w:rFonts w:hint="eastAsia" w:ascii="仿宋" w:hAnsi="仿宋" w:eastAsia="仿宋"/>
          <w:sz w:val="28"/>
          <w:szCs w:val="28"/>
        </w:rPr>
        <w:t>同时，按意见处理情况进行修改，于6月1</w:t>
      </w:r>
      <w:r>
        <w:rPr>
          <w:rFonts w:ascii="仿宋" w:hAnsi="仿宋" w:eastAsia="仿宋"/>
          <w:sz w:val="28"/>
          <w:szCs w:val="28"/>
        </w:rPr>
        <w:t>1</w:t>
      </w:r>
      <w:r>
        <w:rPr>
          <w:rFonts w:hint="eastAsia" w:ascii="仿宋" w:hAnsi="仿宋" w:eastAsia="仿宋"/>
          <w:sz w:val="28"/>
          <w:szCs w:val="28"/>
        </w:rPr>
        <w:t>日形成专家评审稿，报请湾促会审定。</w:t>
      </w:r>
    </w:p>
    <w:p w14:paraId="054ED59A">
      <w:pPr>
        <w:pStyle w:val="6"/>
        <w:spacing w:before="0" w:after="0"/>
        <w:ind w:left="720"/>
      </w:pPr>
      <w:r>
        <w:rPr>
          <w:rFonts w:hint="eastAsia"/>
        </w:rPr>
        <w:t>（五）专家评审</w:t>
      </w:r>
    </w:p>
    <w:p w14:paraId="06E31C5E">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经编制组和湾促会共同推荐，形成7人组成的专家评审组，其中香港专家、澳门专家各1名，主审标准化的专家1名；在专家评审组中，有3位正高级工程师，副高级工程师（技术主管）4人。湾促会审查批准，于6月2</w:t>
      </w:r>
      <w:r>
        <w:rPr>
          <w:rFonts w:ascii="仿宋" w:hAnsi="仿宋" w:eastAsia="仿宋"/>
          <w:sz w:val="28"/>
          <w:szCs w:val="28"/>
        </w:rPr>
        <w:t>1</w:t>
      </w:r>
      <w:r>
        <w:rPr>
          <w:rFonts w:hint="eastAsia" w:ascii="仿宋" w:hAnsi="仿宋" w:eastAsia="仿宋"/>
          <w:sz w:val="28"/>
          <w:szCs w:val="28"/>
        </w:rPr>
        <w:t>日在深圳市南山区留仙洞片区举行专家评审。专家评审会由湾促会张定康秘书长主持，会期一天；7位专家对条文逐条审查，并形成3条专家评审意见；编制组对会上意见进行详细记录，共形成</w:t>
      </w:r>
      <w:r>
        <w:rPr>
          <w:rFonts w:ascii="仿宋" w:hAnsi="仿宋" w:eastAsia="仿宋"/>
          <w:sz w:val="28"/>
          <w:szCs w:val="28"/>
        </w:rPr>
        <w:t>36</w:t>
      </w:r>
      <w:r>
        <w:rPr>
          <w:rFonts w:hint="eastAsia" w:ascii="仿宋" w:hAnsi="仿宋" w:eastAsia="仿宋"/>
          <w:sz w:val="28"/>
          <w:szCs w:val="28"/>
        </w:rPr>
        <w:t>条意见。</w:t>
      </w:r>
    </w:p>
    <w:p w14:paraId="5799214B">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专家评审会经过讨论，对标准部分内容及表达进行统一：首先，明确标准主要制定适合三地共同需求的技术标准，仅适用某地的内容均取消，如有线电视机房仅适用广东省，街道级和社区级数据中心仅适用广东省，相关内容均取消。其次，对广东省与香港、澳门的广播电视传输方式不同引起的用地规模的差异内容，予以区别对待。再次，对相关技术指标的差异性及其与现状指标衔接，在编制说明予以补充。对粤港澳三地共同需求的其他基础设施的设置标准及处理方法（参见本节起草初稿中相关描述），予以保留。另外，编制组认真学习大湾区标准的指引文件，在专家评审稿的基础上，补充或强化了互联互通以及共享、共用类基础设施，如国际级、国家级数据中心，国家级监测站、城市间通信管道以及一线口岸间通信管道等内容。</w:t>
      </w:r>
    </w:p>
    <w:p w14:paraId="23105DA1">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编制组对专家评审意见和记录意见进行认真研读、分析和处理，跟专家建立专门修改群；经过讨论、修改，共采纳意见</w:t>
      </w:r>
      <w:r>
        <w:rPr>
          <w:rFonts w:ascii="仿宋" w:hAnsi="仿宋" w:eastAsia="仿宋"/>
          <w:sz w:val="28"/>
          <w:szCs w:val="28"/>
        </w:rPr>
        <w:t>30</w:t>
      </w:r>
      <w:r>
        <w:rPr>
          <w:rFonts w:hint="eastAsia" w:ascii="仿宋" w:hAnsi="仿宋" w:eastAsia="仿宋"/>
          <w:sz w:val="28"/>
          <w:szCs w:val="28"/>
        </w:rPr>
        <w:t>条，部分采纳</w:t>
      </w:r>
      <w:r>
        <w:rPr>
          <w:rFonts w:ascii="仿宋" w:hAnsi="仿宋" w:eastAsia="仿宋"/>
          <w:sz w:val="28"/>
          <w:szCs w:val="28"/>
        </w:rPr>
        <w:t>5</w:t>
      </w:r>
      <w:r>
        <w:rPr>
          <w:rFonts w:hint="eastAsia" w:ascii="仿宋" w:hAnsi="仿宋" w:eastAsia="仿宋"/>
          <w:sz w:val="28"/>
          <w:szCs w:val="28"/>
        </w:rPr>
        <w:t>条，不采纳意见1条，并由专家们签字确认；同时，形成专家评审意见处理汇总表以及标准修改稿。修改稿再次征求专家意见，4位专家提出1</w:t>
      </w:r>
      <w:r>
        <w:rPr>
          <w:rFonts w:ascii="仿宋" w:hAnsi="仿宋" w:eastAsia="仿宋"/>
          <w:sz w:val="28"/>
          <w:szCs w:val="28"/>
        </w:rPr>
        <w:t>2</w:t>
      </w:r>
      <w:r>
        <w:rPr>
          <w:rFonts w:hint="eastAsia" w:ascii="仿宋" w:hAnsi="仿宋" w:eastAsia="仿宋"/>
          <w:sz w:val="28"/>
          <w:szCs w:val="28"/>
        </w:rPr>
        <w:t>条修改完善意见，采纳1</w:t>
      </w:r>
      <w:r>
        <w:rPr>
          <w:rFonts w:ascii="仿宋" w:hAnsi="仿宋" w:eastAsia="仿宋"/>
          <w:sz w:val="28"/>
          <w:szCs w:val="28"/>
        </w:rPr>
        <w:t>1</w:t>
      </w:r>
      <w:r>
        <w:rPr>
          <w:rFonts w:hint="eastAsia" w:ascii="仿宋" w:hAnsi="仿宋" w:eastAsia="仿宋"/>
          <w:sz w:val="28"/>
          <w:szCs w:val="28"/>
        </w:rPr>
        <w:t>条，1条部分采纳，形成报批稿。</w:t>
      </w:r>
    </w:p>
    <w:p w14:paraId="484D7FD8">
      <w:pPr>
        <w:pStyle w:val="6"/>
        <w:spacing w:before="0" w:after="0"/>
        <w:ind w:left="720"/>
      </w:pPr>
      <w:r>
        <w:rPr>
          <w:rFonts w:hint="eastAsia"/>
        </w:rPr>
        <w:t>（六）报批</w:t>
      </w:r>
    </w:p>
    <w:p w14:paraId="10312462">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在团体标准报批过程中，收到广东省标准化研究院的复核意见共1</w:t>
      </w:r>
      <w:r>
        <w:rPr>
          <w:rFonts w:ascii="仿宋" w:hAnsi="仿宋" w:eastAsia="仿宋"/>
          <w:sz w:val="28"/>
          <w:szCs w:val="28"/>
        </w:rPr>
        <w:t>2</w:t>
      </w:r>
      <w:r>
        <w:rPr>
          <w:rFonts w:hint="eastAsia" w:ascii="仿宋" w:hAnsi="仿宋" w:eastAsia="仿宋"/>
          <w:sz w:val="28"/>
          <w:szCs w:val="28"/>
        </w:rPr>
        <w:t>条，经过交流、沟通，相关意见在报批稿中全部采纳，并进行修改。</w:t>
      </w:r>
    </w:p>
    <w:p w14:paraId="15C0F8AA">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p>
    <w:p w14:paraId="292FA0A5">
      <w:pPr>
        <w:pStyle w:val="6"/>
        <w:numPr>
          <w:ilvl w:val="0"/>
          <w:numId w:val="1"/>
        </w:numPr>
        <w:spacing w:before="0" w:after="0"/>
        <w:ind w:hanging="153"/>
        <w:rPr>
          <w:rFonts w:ascii="黑体" w:hAnsi="黑体" w:eastAsia="黑体"/>
        </w:rPr>
      </w:pPr>
      <w:r>
        <w:rPr>
          <w:rFonts w:hint="eastAsia" w:ascii="黑体" w:hAnsi="黑体" w:eastAsia="黑体"/>
        </w:rPr>
        <w:t>重大分歧意见处理情况</w:t>
      </w:r>
    </w:p>
    <w:p w14:paraId="434C06AC">
      <w:pPr>
        <w:pStyle w:val="5"/>
        <w:shd w:val="clear" w:color="auto" w:fill="FFFFFF"/>
        <w:spacing w:before="0" w:beforeAutospacing="0" w:after="0" w:afterAutospacing="0" w:line="360" w:lineRule="auto"/>
        <w:ind w:firstLine="560" w:firstLineChars="200"/>
        <w:rPr>
          <w:rFonts w:ascii="仿宋" w:hAnsi="仿宋" w:eastAsia="仿宋"/>
          <w:sz w:val="28"/>
          <w:szCs w:val="28"/>
        </w:rPr>
      </w:pPr>
      <w:r>
        <w:rPr>
          <w:rFonts w:hint="eastAsia" w:ascii="仿宋" w:hAnsi="仿宋" w:eastAsia="仿宋"/>
          <w:sz w:val="28"/>
          <w:szCs w:val="28"/>
        </w:rPr>
        <w:t>本标准无重大分歧意见。</w:t>
      </w:r>
    </w:p>
    <w:p w14:paraId="47FF9376">
      <w:pPr>
        <w:pStyle w:val="5"/>
        <w:shd w:val="clear" w:color="auto" w:fill="FFFFFF"/>
        <w:spacing w:before="0" w:beforeAutospacing="0" w:after="0" w:afterAutospacing="0" w:line="360" w:lineRule="auto"/>
        <w:ind w:firstLine="560" w:firstLineChars="200"/>
        <w:rPr>
          <w:rFonts w:ascii="仿宋" w:hAnsi="仿宋" w:eastAsia="仿宋"/>
          <w:sz w:val="28"/>
          <w:szCs w:val="28"/>
        </w:rPr>
      </w:pPr>
      <w:bookmarkStart w:id="2" w:name="_GoBack"/>
      <w:r>
        <w:rPr>
          <w:rFonts w:hint="eastAsia" w:ascii="仿宋" w:hAnsi="仿宋" w:eastAsia="仿宋"/>
          <w:sz w:val="28"/>
          <w:szCs w:val="28"/>
        </w:rPr>
        <w:t>在专家评审会上形成的确定粤港澳三地共同需求的基础设施标准、复核量化指标两条意见，对完善本标准有较好的帮助作用；同时，在编制说明中补充相关指标的出处、与现状指标衔接。</w:t>
      </w:r>
    </w:p>
    <w:bookmarkEnd w:id="2"/>
    <w:p w14:paraId="5D286055">
      <w:pPr>
        <w:pStyle w:val="6"/>
        <w:numPr>
          <w:ilvl w:val="0"/>
          <w:numId w:val="1"/>
        </w:numPr>
        <w:spacing w:before="0" w:after="0"/>
        <w:ind w:hanging="153"/>
        <w:rPr>
          <w:rFonts w:ascii="黑体" w:hAnsi="黑体" w:eastAsia="黑体"/>
        </w:rPr>
      </w:pPr>
      <w:r>
        <w:rPr>
          <w:rFonts w:hint="eastAsia" w:ascii="黑体" w:hAnsi="黑体" w:eastAsia="黑体"/>
        </w:rPr>
        <w:t>技术指标设置的科学性和可行性</w:t>
      </w:r>
    </w:p>
    <w:p w14:paraId="124DC67E">
      <w:pPr>
        <w:pStyle w:val="5"/>
        <w:shd w:val="clear" w:color="auto" w:fill="FFFFFF"/>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标准内重要指标是在与现状相关数据衔接的基础上，以技术发展需求和趋势为基础，考虑广东省、香港、澳门的差异，同时借鉴相关国家标准、广东省地方标准确定；信息通信基础设施做法以已经开始实施的项目经验为基础，吸纳不同城市的优势而确定，建立粤港澳大湾区共同适用的信息通信基础设施规划设计标准，相关指标和控制参数简易、可行。各项主要指标及推导情况如下：</w:t>
      </w:r>
    </w:p>
    <w:p w14:paraId="4CC498FA">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移动电话渗透率：</w:t>
      </w:r>
      <w:r>
        <w:rPr>
          <w:rFonts w:hint="eastAsia" w:ascii="仿宋" w:hAnsi="仿宋" w:eastAsia="仿宋"/>
          <w:sz w:val="28"/>
          <w:szCs w:val="28"/>
        </w:rPr>
        <w:t>广东省</w:t>
      </w:r>
      <w:r>
        <w:rPr>
          <w:rFonts w:ascii="仿宋" w:hAnsi="仿宋" w:eastAsia="仿宋"/>
          <w:sz w:val="28"/>
          <w:szCs w:val="28"/>
        </w:rPr>
        <w:t>2023年底，渗透率为134.1%，高于全国标准122%；澳门普及率为187%；香港2019年167%，近几年下降；上述指标已基本饱和。本次有效用户跟常规统计口径略有不同，从对基站等基础设施影响角度考虑，一机双卡仅按1个用户考虑，指标约降10%左右；以此复核各级城市的渗透率。</w:t>
      </w:r>
    </w:p>
    <w:p w14:paraId="2D2D9A6B">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固定宽带普及率：</w:t>
      </w:r>
      <w:r>
        <w:rPr>
          <w:rFonts w:hint="eastAsia" w:ascii="仿宋" w:hAnsi="仿宋" w:eastAsia="仿宋"/>
          <w:sz w:val="28"/>
          <w:szCs w:val="28"/>
        </w:rPr>
        <w:t>固定宽带普及率由电话主线普及率发展而来，随带宽的提高而不断完善。电话主线普及率饱和值约为</w:t>
      </w:r>
      <w:r>
        <w:rPr>
          <w:rFonts w:ascii="仿宋" w:hAnsi="仿宋" w:eastAsia="仿宋"/>
          <w:sz w:val="28"/>
          <w:szCs w:val="28"/>
        </w:rPr>
        <w:t>63%左右；随着移动电话日趋普及，电话主线的数量逐步下降。另外，随着光纤到户普及，住宅光纤普及率按住户计算达97-100%；而办公宽带用户逐步体现为以单位为基础的大宽带用户，随着电脑日趋普及和固定电话的减少，导致固定宽带用户的普及率降低。广东省固定宽带的普及率约为37.4%，深圳市约为38.66%左右，城市之间差别缩小；香港、澳门的指标因现状建筑较难，指标较低，宜以广东省相关指标作为发展目标；按照上述基础数据对固定宽带指标进行调整。</w:t>
      </w:r>
    </w:p>
    <w:p w14:paraId="4989CE6A">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分类用地及建筑指标：</w:t>
      </w:r>
      <w:r>
        <w:rPr>
          <w:rFonts w:hint="eastAsia" w:ascii="仿宋" w:hAnsi="仿宋" w:eastAsia="仿宋"/>
          <w:sz w:val="28"/>
          <w:szCs w:val="28"/>
        </w:rPr>
        <w:t>详细规划及建筑设计阶段，用地和建筑分类指标以《广东省信息通信接入基础设施规划设计标准》中各类通信用户指标为基础，结合总体规划指标以及指标发展趋势综合确定；因移动通信普及和移动终端功能强大，光纤普及、办公电脑等技术发展，宽带用户较电话主线需求呈现下降趋势，按此趋势对相关分类指标进行调整。</w:t>
      </w:r>
    </w:p>
    <w:p w14:paraId="67C62EF4">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无线电监测站的控制规模：</w:t>
      </w:r>
      <w:r>
        <w:rPr>
          <w:rFonts w:hint="eastAsia" w:ascii="仿宋" w:hAnsi="仿宋" w:eastAsia="仿宋"/>
          <w:sz w:val="28"/>
          <w:szCs w:val="28"/>
        </w:rPr>
        <w:t>按照香港、深圳的相关做法，推行无线电监测站建设。</w:t>
      </w:r>
    </w:p>
    <w:p w14:paraId="39044220">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数据中心的控制规模：</w:t>
      </w:r>
      <w:r>
        <w:rPr>
          <w:rFonts w:hint="eastAsia" w:ascii="仿宋" w:hAnsi="仿宋" w:eastAsia="仿宋"/>
          <w:sz w:val="28"/>
          <w:szCs w:val="28"/>
        </w:rPr>
        <w:t>粤港澳大湾区的市级、区级两级需求是共同需求，本标准按这两级建立标准，其中澳门堂区相当于广东省和香港的市辖区；以广东省最复杂需求为基础，确定基本规模；香港、澳门按照缺少内容比对，按比例控制规模。</w:t>
      </w:r>
    </w:p>
    <w:p w14:paraId="73698649">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通信建筑的控制规模：</w:t>
      </w:r>
      <w:r>
        <w:rPr>
          <w:rFonts w:hint="eastAsia" w:ascii="仿宋" w:hAnsi="仿宋" w:eastAsia="仿宋"/>
          <w:sz w:val="28"/>
          <w:szCs w:val="28"/>
        </w:rPr>
        <w:t>广东省的通信机楼已按照“少局址、大容量”全面开展建设，以此作为基础确定用地面积和建筑面积；可与数据中心联合建设；香港电话机楼的建筑覆盖率指标较高，新建机楼的用地面积可参考广东省的要求确定，体现现行通信网络发展趋势。</w:t>
      </w:r>
    </w:p>
    <w:p w14:paraId="3251955B">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通信机房的控制规模：</w:t>
      </w:r>
      <w:r>
        <w:rPr>
          <w:rFonts w:hint="eastAsia" w:ascii="仿宋" w:hAnsi="仿宋" w:eastAsia="仿宋"/>
          <w:sz w:val="28"/>
          <w:szCs w:val="28"/>
        </w:rPr>
        <w:t>城区级三类通信机房和建筑级通信机房的面积均含通信运营商对数据需求。片区机房、区域机房的面积引自</w:t>
      </w:r>
      <w:r>
        <w:rPr>
          <w:rFonts w:ascii="仿宋" w:hAnsi="仿宋" w:eastAsia="仿宋"/>
          <w:sz w:val="28"/>
          <w:szCs w:val="28"/>
        </w:rPr>
        <w:t>DBJ/T 15-219-2021对应条款的规定，单元机房结合室内分布系统建设，建筑面积比DBJ/T 15-219-2021数值低10%；三类机房的设置条件也结合大湾区需求略作调整。</w:t>
      </w:r>
    </w:p>
    <w:p w14:paraId="7EDBA131">
      <w:pPr>
        <w:pStyle w:val="5"/>
        <w:shd w:val="clear" w:color="auto" w:fill="FFFFFF"/>
        <w:spacing w:before="0" w:beforeAutospacing="0" w:after="0" w:afterAutospacing="0" w:line="360" w:lineRule="auto"/>
        <w:ind w:firstLine="562" w:firstLineChars="200"/>
        <w:jc w:val="both"/>
        <w:rPr>
          <w:rFonts w:ascii="仿宋" w:hAnsi="仿宋" w:eastAsia="仿宋"/>
          <w:sz w:val="28"/>
          <w:szCs w:val="28"/>
        </w:rPr>
      </w:pPr>
      <w:r>
        <w:rPr>
          <w:rFonts w:hint="eastAsia" w:ascii="仿宋" w:hAnsi="仿宋" w:eastAsia="仿宋"/>
          <w:b/>
          <w:bCs/>
          <w:sz w:val="28"/>
          <w:szCs w:val="28"/>
        </w:rPr>
        <w:t>基站控制参数：</w:t>
      </w:r>
      <w:r>
        <w:rPr>
          <w:rFonts w:hint="eastAsia" w:ascii="仿宋" w:hAnsi="仿宋" w:eastAsia="仿宋"/>
          <w:sz w:val="28"/>
          <w:szCs w:val="28"/>
        </w:rPr>
        <w:t>宏基站的控制参数参考</w:t>
      </w:r>
      <w:r>
        <w:rPr>
          <w:rFonts w:ascii="仿宋" w:hAnsi="仿宋" w:eastAsia="仿宋"/>
          <w:sz w:val="28"/>
          <w:szCs w:val="28"/>
        </w:rPr>
        <w:t>DBJ/T 15-219-2021中表6.2.2数值，部分指标结合近年业务发展略作调整。宏基站、微基站、室内分布系统的设置条件参考DBJ/T 15-219-2021，少量设置条件结合近年国内建设而相应调整；室内分布系统设置场所及分类结合国标《建筑物移动通信基础设施技术规范》做了大量调整，同时增加了体育场馆等高强模式下天线的计算方法。</w:t>
      </w:r>
    </w:p>
    <w:p w14:paraId="0E2CA8E1">
      <w:pPr>
        <w:ind w:firstLine="562" w:firstLineChars="200"/>
      </w:pPr>
      <w:r>
        <w:rPr>
          <w:rFonts w:hint="eastAsia" w:ascii="仿宋" w:hAnsi="仿宋" w:eastAsia="仿宋"/>
          <w:b/>
          <w:bCs/>
          <w:sz w:val="28"/>
          <w:szCs w:val="28"/>
        </w:rPr>
        <w:t>通信管道及通信通道：</w:t>
      </w:r>
      <w:r>
        <w:rPr>
          <w:rFonts w:hint="eastAsia" w:ascii="仿宋" w:hAnsi="仿宋" w:eastAsia="仿宋"/>
          <w:sz w:val="28"/>
          <w:szCs w:val="28"/>
        </w:rPr>
        <w:t>通信管道在借鉴国际电联推荐计算方法的基础上，建立市政通信管道的体系，确定计算方法；通信接入管道及通道是在借鉴</w:t>
      </w:r>
      <w:r>
        <w:rPr>
          <w:rFonts w:ascii="仿宋" w:hAnsi="仿宋" w:eastAsia="仿宋"/>
          <w:sz w:val="28"/>
          <w:szCs w:val="28"/>
        </w:rPr>
        <w:t>DBJ/T 15-219-2021</w:t>
      </w:r>
      <w:r>
        <w:rPr>
          <w:rFonts w:hint="eastAsia" w:ascii="仿宋" w:hAnsi="仿宋" w:eastAsia="仿宋"/>
          <w:sz w:val="28"/>
          <w:szCs w:val="28"/>
        </w:rPr>
        <w:t>的基础上，结合5</w:t>
      </w:r>
      <w:r>
        <w:rPr>
          <w:rFonts w:ascii="仿宋" w:hAnsi="仿宋" w:eastAsia="仿宋"/>
          <w:sz w:val="28"/>
          <w:szCs w:val="28"/>
        </w:rPr>
        <w:t>G</w:t>
      </w:r>
      <w:r>
        <w:rPr>
          <w:rFonts w:hint="eastAsia" w:ascii="仿宋" w:hAnsi="仿宋" w:eastAsia="仿宋"/>
          <w:sz w:val="28"/>
          <w:szCs w:val="28"/>
        </w:rPr>
        <w:t>室内分布系统推广而优化，确定各种场景管道容量。</w:t>
      </w:r>
    </w:p>
    <w:p w14:paraId="5314840F">
      <w:pPr>
        <w:pStyle w:val="6"/>
        <w:numPr>
          <w:ilvl w:val="0"/>
          <w:numId w:val="1"/>
        </w:numPr>
        <w:spacing w:before="0" w:after="0"/>
        <w:ind w:hanging="153"/>
        <w:rPr>
          <w:rFonts w:ascii="黑体" w:hAnsi="黑体" w:eastAsia="黑体"/>
        </w:rPr>
      </w:pPr>
      <w:r>
        <w:rPr>
          <w:rFonts w:hint="eastAsia" w:ascii="黑体" w:hAnsi="黑体" w:eastAsia="黑体"/>
        </w:rPr>
        <w:t>标准对比及采标情况</w:t>
      </w:r>
    </w:p>
    <w:p w14:paraId="0C3B0624">
      <w:pPr>
        <w:pStyle w:val="6"/>
        <w:spacing w:before="0" w:after="0"/>
        <w:ind w:left="720"/>
      </w:pPr>
      <w:r>
        <w:rPr>
          <w:rFonts w:hint="eastAsia"/>
        </w:rPr>
        <w:t>（一）标准对比</w:t>
      </w:r>
    </w:p>
    <w:p w14:paraId="238ACA24">
      <w:pPr>
        <w:ind w:firstLine="560" w:firstLineChars="200"/>
        <w:rPr>
          <w:rFonts w:ascii="仿宋" w:hAnsi="仿宋" w:eastAsia="仿宋"/>
          <w:sz w:val="28"/>
          <w:szCs w:val="28"/>
        </w:rPr>
      </w:pPr>
      <w:r>
        <w:rPr>
          <w:rFonts w:hint="eastAsia" w:ascii="仿宋" w:hAnsi="仿宋" w:eastAsia="仿宋"/>
          <w:sz w:val="28"/>
          <w:szCs w:val="28"/>
        </w:rPr>
        <w:t>国际上没有此类基础设施规划设计标准。因信息通信基础设施是信息通信技术发展到当下产生的新型基础设施，欧美国家已完成城市化，没有与新建建筑同步建设基础设施类别的标准。</w:t>
      </w:r>
    </w:p>
    <w:p w14:paraId="186E2C56">
      <w:pPr>
        <w:ind w:firstLine="560" w:firstLineChars="200"/>
      </w:pPr>
      <w:r>
        <w:rPr>
          <w:rFonts w:hint="eastAsia" w:ascii="仿宋" w:hAnsi="仿宋" w:eastAsia="仿宋"/>
          <w:sz w:val="28"/>
          <w:szCs w:val="28"/>
        </w:rPr>
        <w:t>城市规划行业，国家已颁布《城市通信工程规划规范》G</w:t>
      </w:r>
      <w:r>
        <w:rPr>
          <w:rFonts w:ascii="仿宋" w:hAnsi="仿宋" w:eastAsia="仿宋"/>
          <w:sz w:val="28"/>
          <w:szCs w:val="28"/>
        </w:rPr>
        <w:t>B/T 50853-2013</w:t>
      </w:r>
      <w:r>
        <w:rPr>
          <w:rFonts w:hint="eastAsia" w:ascii="仿宋" w:hAnsi="仿宋" w:eastAsia="仿宋"/>
          <w:sz w:val="28"/>
          <w:szCs w:val="28"/>
        </w:rPr>
        <w:t>，内有广播电视、通信局所、通信管道、邮政等内容，所含具体内容相对较少，缺少无线监测站、数据中心等内容，以及基站、通信机房、通信接入管道等接入基础设施。国家颁布《</w:t>
      </w:r>
      <w:r>
        <w:rPr>
          <w:rFonts w:ascii="仿宋" w:hAnsi="仿宋" w:eastAsia="仿宋"/>
          <w:sz w:val="28"/>
          <w:szCs w:val="28"/>
        </w:rPr>
        <w:t>数据中心设计规范</w:t>
      </w:r>
      <w:r>
        <w:rPr>
          <w:rFonts w:hint="eastAsia" w:ascii="仿宋" w:hAnsi="仿宋" w:eastAsia="仿宋"/>
          <w:sz w:val="28"/>
          <w:szCs w:val="28"/>
        </w:rPr>
        <w:t>》</w:t>
      </w:r>
      <w:r>
        <w:rPr>
          <w:rFonts w:ascii="仿宋" w:hAnsi="仿宋" w:eastAsia="仿宋"/>
          <w:sz w:val="28"/>
          <w:szCs w:val="28"/>
        </w:rPr>
        <w:t>GB 50174-2017</w:t>
      </w:r>
      <w:r>
        <w:rPr>
          <w:rFonts w:hint="eastAsia" w:ascii="仿宋" w:hAnsi="仿宋" w:eastAsia="仿宋"/>
          <w:sz w:val="28"/>
          <w:szCs w:val="28"/>
        </w:rPr>
        <w:t>、</w:t>
      </w:r>
      <w:r>
        <w:rPr>
          <w:rFonts w:ascii="仿宋" w:hAnsi="仿宋" w:eastAsia="仿宋"/>
          <w:sz w:val="28"/>
          <w:szCs w:val="28"/>
        </w:rPr>
        <w:t>《建筑物移动通信基础设施工程技术标准》GB 51456-2023</w:t>
      </w:r>
      <w:r>
        <w:rPr>
          <w:rFonts w:hint="eastAsia" w:ascii="仿宋" w:hAnsi="仿宋" w:eastAsia="仿宋"/>
          <w:sz w:val="28"/>
          <w:szCs w:val="28"/>
        </w:rPr>
        <w:t>、《</w:t>
      </w:r>
      <w:r>
        <w:rPr>
          <w:rFonts w:ascii="仿宋" w:hAnsi="仿宋" w:eastAsia="仿宋"/>
          <w:sz w:val="28"/>
          <w:szCs w:val="28"/>
        </w:rPr>
        <w:t>住宅区和住宅建筑内光纤到户通信设施工程设计规范</w:t>
      </w:r>
      <w:r>
        <w:rPr>
          <w:rFonts w:hint="eastAsia" w:ascii="仿宋" w:hAnsi="仿宋" w:eastAsia="仿宋"/>
          <w:sz w:val="28"/>
          <w:szCs w:val="28"/>
        </w:rPr>
        <w:t>》</w:t>
      </w:r>
      <w:r>
        <w:rPr>
          <w:rFonts w:ascii="仿宋" w:hAnsi="仿宋" w:eastAsia="仿宋"/>
          <w:sz w:val="28"/>
          <w:szCs w:val="28"/>
        </w:rPr>
        <w:t>GB 50846—2012</w:t>
      </w:r>
      <w:r>
        <w:rPr>
          <w:rFonts w:hint="eastAsia" w:ascii="仿宋" w:hAnsi="仿宋" w:eastAsia="仿宋"/>
          <w:sz w:val="28"/>
          <w:szCs w:val="28"/>
        </w:rPr>
        <w:t>、《</w:t>
      </w:r>
      <w:r>
        <w:rPr>
          <w:rFonts w:ascii="仿宋" w:hAnsi="仿宋" w:eastAsia="仿宋"/>
          <w:sz w:val="28"/>
          <w:szCs w:val="28"/>
        </w:rPr>
        <w:t>综合布线系统工程设计规范</w:t>
      </w:r>
      <w:r>
        <w:rPr>
          <w:rFonts w:hint="eastAsia" w:ascii="仿宋" w:hAnsi="仿宋" w:eastAsia="仿宋"/>
          <w:sz w:val="28"/>
          <w:szCs w:val="28"/>
        </w:rPr>
        <w:t>》</w:t>
      </w:r>
      <w:r>
        <w:rPr>
          <w:rFonts w:ascii="仿宋" w:hAnsi="仿宋" w:eastAsia="仿宋"/>
          <w:sz w:val="28"/>
          <w:szCs w:val="28"/>
        </w:rPr>
        <w:t>GB 50311-2016</w:t>
      </w:r>
      <w:r>
        <w:rPr>
          <w:rFonts w:hint="eastAsia" w:ascii="仿宋" w:hAnsi="仿宋" w:eastAsia="仿宋"/>
          <w:sz w:val="28"/>
          <w:szCs w:val="28"/>
        </w:rPr>
        <w:t>等相关设计标准，针对某类建筑、某项基础设施的标准；通信行业颁布《</w:t>
      </w:r>
      <w:r>
        <w:rPr>
          <w:rFonts w:ascii="仿宋" w:hAnsi="仿宋" w:eastAsia="仿宋"/>
          <w:sz w:val="28"/>
          <w:szCs w:val="28"/>
        </w:rPr>
        <w:t>通信建筑工程设计规范</w:t>
      </w:r>
      <w:r>
        <w:rPr>
          <w:rFonts w:hint="eastAsia" w:ascii="仿宋" w:hAnsi="仿宋" w:eastAsia="仿宋"/>
          <w:sz w:val="28"/>
          <w:szCs w:val="28"/>
        </w:rPr>
        <w:t>》</w:t>
      </w:r>
      <w:r>
        <w:rPr>
          <w:rFonts w:ascii="仿宋" w:hAnsi="仿宋" w:eastAsia="仿宋"/>
          <w:sz w:val="28"/>
          <w:szCs w:val="28"/>
        </w:rPr>
        <w:t>YD 5003</w:t>
      </w:r>
      <w:r>
        <w:rPr>
          <w:rFonts w:hint="eastAsia" w:ascii="仿宋" w:hAnsi="仿宋" w:eastAsia="仿宋"/>
          <w:sz w:val="28"/>
          <w:szCs w:val="28"/>
        </w:rPr>
        <w:t>等行业设计标准；上述两类设计标准均缺少相关设施的规划布局等内容。</w:t>
      </w:r>
    </w:p>
    <w:p w14:paraId="453EE402">
      <w:pPr>
        <w:pStyle w:val="6"/>
        <w:spacing w:before="0" w:after="0"/>
        <w:ind w:left="720"/>
      </w:pPr>
      <w:r>
        <w:rPr>
          <w:rFonts w:hint="eastAsia"/>
        </w:rPr>
        <w:t>（二）采标情况</w:t>
      </w:r>
    </w:p>
    <w:p w14:paraId="19C5823B">
      <w:pPr>
        <w:ind w:firstLine="560" w:firstLineChars="200"/>
      </w:pPr>
      <w:r>
        <w:rPr>
          <w:rFonts w:hint="eastAsia" w:ascii="仿宋" w:hAnsi="仿宋" w:eastAsia="仿宋"/>
          <w:sz w:val="28"/>
          <w:szCs w:val="28"/>
        </w:rPr>
        <w:t>本标准的片区机房、区域机房的建筑面积采用《</w:t>
      </w:r>
      <w:r>
        <w:rPr>
          <w:rFonts w:ascii="仿宋" w:hAnsi="仿宋" w:eastAsia="仿宋"/>
          <w:sz w:val="28"/>
          <w:szCs w:val="28"/>
        </w:rPr>
        <w:t>广东省信息通信接入基础设施规划设计标准</w:t>
      </w:r>
      <w:r>
        <w:rPr>
          <w:rFonts w:hint="eastAsia" w:ascii="仿宋" w:hAnsi="仿宋" w:eastAsia="仿宋"/>
          <w:sz w:val="28"/>
          <w:szCs w:val="28"/>
        </w:rPr>
        <w:t>》</w:t>
      </w:r>
      <w:r>
        <w:rPr>
          <w:rFonts w:ascii="仿宋" w:hAnsi="仿宋" w:eastAsia="仿宋"/>
          <w:sz w:val="28"/>
          <w:szCs w:val="28"/>
        </w:rPr>
        <w:t>DBT/T 15-219-2021</w:t>
      </w:r>
      <w:r>
        <w:rPr>
          <w:rFonts w:hint="eastAsia" w:ascii="仿宋" w:hAnsi="仿宋" w:eastAsia="仿宋"/>
          <w:sz w:val="28"/>
          <w:szCs w:val="28"/>
        </w:rPr>
        <w:t>，通信用户的预测指标、基站设置参数等在《</w:t>
      </w:r>
      <w:r>
        <w:rPr>
          <w:rFonts w:ascii="仿宋" w:hAnsi="仿宋" w:eastAsia="仿宋"/>
          <w:sz w:val="28"/>
          <w:szCs w:val="28"/>
        </w:rPr>
        <w:t>广东省信息通信接入基础设施规划设计标准</w:t>
      </w:r>
      <w:r>
        <w:rPr>
          <w:rFonts w:hint="eastAsia" w:ascii="仿宋" w:hAnsi="仿宋" w:eastAsia="仿宋"/>
          <w:sz w:val="28"/>
          <w:szCs w:val="28"/>
        </w:rPr>
        <w:t>》的基础上进行优化。通信综合机房的分级及控制规模在香港《建筑物（规划）规例》（</w:t>
      </w:r>
      <w:r>
        <w:rPr>
          <w:rFonts w:ascii="仿宋" w:hAnsi="仿宋" w:eastAsia="仿宋"/>
          <w:sz w:val="28"/>
          <w:szCs w:val="28"/>
        </w:rPr>
        <w:t>2012年）</w:t>
      </w:r>
      <w:r>
        <w:rPr>
          <w:rFonts w:hint="eastAsia" w:ascii="仿宋" w:hAnsi="仿宋" w:eastAsia="仿宋"/>
          <w:sz w:val="28"/>
          <w:szCs w:val="28"/>
        </w:rPr>
        <w:t>的基础上进行优化。</w:t>
      </w:r>
    </w:p>
    <w:p w14:paraId="5B0D4A8F">
      <w:pPr>
        <w:pStyle w:val="6"/>
        <w:numPr>
          <w:ilvl w:val="0"/>
          <w:numId w:val="1"/>
        </w:numPr>
        <w:spacing w:before="0" w:after="0"/>
        <w:ind w:hanging="153"/>
        <w:rPr>
          <w:rFonts w:ascii="黑体" w:hAnsi="黑体" w:eastAsia="黑体"/>
        </w:rPr>
      </w:pPr>
      <w:r>
        <w:rPr>
          <w:rFonts w:hint="eastAsia" w:ascii="黑体" w:hAnsi="黑体" w:eastAsia="黑体"/>
        </w:rPr>
        <w:t>涉及专利的有关说明</w:t>
      </w:r>
    </w:p>
    <w:p w14:paraId="761F26AE">
      <w:pPr>
        <w:spacing w:line="360" w:lineRule="auto"/>
        <w:ind w:firstLine="560" w:firstLineChars="200"/>
        <w:rPr>
          <w:rFonts w:ascii="宋体" w:hAnsi="宋体" w:eastAsia="宋体" w:cs="仿宋"/>
          <w:b/>
          <w:sz w:val="28"/>
          <w:szCs w:val="28"/>
        </w:rPr>
      </w:pPr>
      <w:r>
        <w:rPr>
          <w:rFonts w:hint="eastAsia" w:ascii="仿宋" w:hAnsi="仿宋" w:eastAsia="仿宋" w:cs="仿宋"/>
          <w:bCs/>
          <w:sz w:val="28"/>
          <w:szCs w:val="28"/>
        </w:rPr>
        <w:t>本标准以城市规划、建筑设计、市政设计为载体，对信息通信基础设施的空间和通道需求进行标准化，内容和结果是十分普适的工程建设类指标和参数；就编制组目前了解的情况，未直接涉及专利。</w:t>
      </w:r>
    </w:p>
    <w:p w14:paraId="5160F15B">
      <w:pPr>
        <w:pStyle w:val="6"/>
        <w:numPr>
          <w:ilvl w:val="0"/>
          <w:numId w:val="1"/>
        </w:numPr>
        <w:spacing w:before="0" w:after="0"/>
        <w:ind w:hanging="153"/>
        <w:rPr>
          <w:rFonts w:ascii="黑体" w:hAnsi="黑体" w:eastAsia="黑体"/>
        </w:rPr>
      </w:pPr>
      <w:r>
        <w:rPr>
          <w:rFonts w:hint="eastAsia" w:ascii="黑体" w:hAnsi="黑体" w:eastAsia="黑体"/>
        </w:rPr>
        <w:t>标准信息变更说明</w:t>
      </w:r>
    </w:p>
    <w:p w14:paraId="0D3D2343">
      <w:pPr>
        <w:pStyle w:val="5"/>
        <w:shd w:val="clear" w:color="auto" w:fill="FFFFFF"/>
        <w:spacing w:before="0" w:beforeAutospacing="0" w:after="0" w:afterAutospacing="0" w:line="360" w:lineRule="auto"/>
        <w:ind w:firstLine="560" w:firstLineChars="200"/>
        <w:jc w:val="both"/>
        <w:rPr>
          <w:rFonts w:ascii="仿宋" w:hAnsi="仿宋" w:eastAsia="仿宋" w:cs="仿宋"/>
          <w:bCs/>
          <w:kern w:val="2"/>
          <w:sz w:val="28"/>
          <w:szCs w:val="28"/>
        </w:rPr>
      </w:pPr>
      <w:r>
        <w:rPr>
          <w:rFonts w:hint="eastAsia" w:ascii="仿宋" w:hAnsi="仿宋" w:eastAsia="仿宋" w:cs="仿宋"/>
          <w:bCs/>
          <w:kern w:val="2"/>
          <w:sz w:val="28"/>
          <w:szCs w:val="28"/>
        </w:rPr>
        <w:t>无。</w:t>
      </w:r>
    </w:p>
    <w:p w14:paraId="30AA16E0">
      <w:pPr>
        <w:pStyle w:val="6"/>
        <w:numPr>
          <w:ilvl w:val="0"/>
          <w:numId w:val="1"/>
        </w:numPr>
        <w:spacing w:before="0" w:after="0"/>
        <w:ind w:hanging="153"/>
        <w:rPr>
          <w:rFonts w:ascii="黑体" w:hAnsi="黑体" w:eastAsia="黑体"/>
        </w:rPr>
      </w:pPr>
      <w:r>
        <w:rPr>
          <w:rFonts w:hint="eastAsia" w:ascii="黑体" w:hAnsi="黑体" w:eastAsia="黑体"/>
        </w:rPr>
        <w:t>其他说明事项</w:t>
      </w:r>
    </w:p>
    <w:p w14:paraId="46AAC956">
      <w:pPr>
        <w:pStyle w:val="5"/>
        <w:shd w:val="clear" w:color="auto" w:fill="FFFFFF"/>
        <w:spacing w:before="0" w:beforeAutospacing="0" w:after="0" w:afterAutospacing="0" w:line="360" w:lineRule="auto"/>
        <w:ind w:firstLine="540" w:firstLineChars="200"/>
        <w:jc w:val="both"/>
        <w:rPr>
          <w:sz w:val="27"/>
          <w:szCs w:val="27"/>
        </w:rPr>
      </w:pPr>
      <w:r>
        <w:rPr>
          <w:rFonts w:hint="eastAsia"/>
          <w:sz w:val="27"/>
          <w:szCs w:val="27"/>
        </w:rPr>
        <w:t>本标准有4位起草人员以个人身份参加编制。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B02B97"/>
    <w:multiLevelType w:val="multilevel"/>
    <w:tmpl w:val="49B02B9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065"/>
    <w:rsid w:val="000015CC"/>
    <w:rsid w:val="00004990"/>
    <w:rsid w:val="00007B77"/>
    <w:rsid w:val="00012DA3"/>
    <w:rsid w:val="00032C8E"/>
    <w:rsid w:val="000411B9"/>
    <w:rsid w:val="00063FF3"/>
    <w:rsid w:val="000935FA"/>
    <w:rsid w:val="000A1CC3"/>
    <w:rsid w:val="000B7DB0"/>
    <w:rsid w:val="000C51BF"/>
    <w:rsid w:val="000C526E"/>
    <w:rsid w:val="000C792D"/>
    <w:rsid w:val="000E0110"/>
    <w:rsid w:val="000F735E"/>
    <w:rsid w:val="0010124B"/>
    <w:rsid w:val="00127A04"/>
    <w:rsid w:val="001354AC"/>
    <w:rsid w:val="00141667"/>
    <w:rsid w:val="00152B8A"/>
    <w:rsid w:val="00154D21"/>
    <w:rsid w:val="00194593"/>
    <w:rsid w:val="001A5337"/>
    <w:rsid w:val="001B0944"/>
    <w:rsid w:val="001B2B41"/>
    <w:rsid w:val="001C5080"/>
    <w:rsid w:val="001E60ED"/>
    <w:rsid w:val="00201A71"/>
    <w:rsid w:val="0022545A"/>
    <w:rsid w:val="002352CF"/>
    <w:rsid w:val="002443DD"/>
    <w:rsid w:val="00267382"/>
    <w:rsid w:val="0027610C"/>
    <w:rsid w:val="00281527"/>
    <w:rsid w:val="00294233"/>
    <w:rsid w:val="002A0B6C"/>
    <w:rsid w:val="002A2D71"/>
    <w:rsid w:val="002B2859"/>
    <w:rsid w:val="002B44DD"/>
    <w:rsid w:val="002C20EB"/>
    <w:rsid w:val="002D6E4C"/>
    <w:rsid w:val="002E0A97"/>
    <w:rsid w:val="002E2376"/>
    <w:rsid w:val="00302A01"/>
    <w:rsid w:val="0030594A"/>
    <w:rsid w:val="00314DBF"/>
    <w:rsid w:val="003369D6"/>
    <w:rsid w:val="003419FE"/>
    <w:rsid w:val="00351FBC"/>
    <w:rsid w:val="00356FCE"/>
    <w:rsid w:val="003612C8"/>
    <w:rsid w:val="00363C24"/>
    <w:rsid w:val="00372F08"/>
    <w:rsid w:val="003742E1"/>
    <w:rsid w:val="00377CE0"/>
    <w:rsid w:val="003B6B6A"/>
    <w:rsid w:val="003C5A10"/>
    <w:rsid w:val="003F0394"/>
    <w:rsid w:val="00431BC1"/>
    <w:rsid w:val="004413C2"/>
    <w:rsid w:val="00452333"/>
    <w:rsid w:val="00455629"/>
    <w:rsid w:val="00465AF6"/>
    <w:rsid w:val="00487D2F"/>
    <w:rsid w:val="0049198C"/>
    <w:rsid w:val="004B7B6D"/>
    <w:rsid w:val="004C3D64"/>
    <w:rsid w:val="004D3821"/>
    <w:rsid w:val="004D66B7"/>
    <w:rsid w:val="004E433C"/>
    <w:rsid w:val="004F62AA"/>
    <w:rsid w:val="005167BA"/>
    <w:rsid w:val="005170C4"/>
    <w:rsid w:val="005256FE"/>
    <w:rsid w:val="00562EA4"/>
    <w:rsid w:val="00581838"/>
    <w:rsid w:val="00585A98"/>
    <w:rsid w:val="0059051E"/>
    <w:rsid w:val="00592AD5"/>
    <w:rsid w:val="00597B5E"/>
    <w:rsid w:val="005A0C26"/>
    <w:rsid w:val="005A272B"/>
    <w:rsid w:val="005C0155"/>
    <w:rsid w:val="005C3E4C"/>
    <w:rsid w:val="005C72B0"/>
    <w:rsid w:val="005D7A00"/>
    <w:rsid w:val="00600A66"/>
    <w:rsid w:val="00632866"/>
    <w:rsid w:val="00643AFF"/>
    <w:rsid w:val="00664106"/>
    <w:rsid w:val="00666F76"/>
    <w:rsid w:val="0069054E"/>
    <w:rsid w:val="006972CD"/>
    <w:rsid w:val="006A15E3"/>
    <w:rsid w:val="006B1298"/>
    <w:rsid w:val="006B5CE9"/>
    <w:rsid w:val="006C2179"/>
    <w:rsid w:val="006F3F45"/>
    <w:rsid w:val="00723CEA"/>
    <w:rsid w:val="00726F51"/>
    <w:rsid w:val="007327E8"/>
    <w:rsid w:val="0073745E"/>
    <w:rsid w:val="00744923"/>
    <w:rsid w:val="0074621F"/>
    <w:rsid w:val="00761376"/>
    <w:rsid w:val="007827D5"/>
    <w:rsid w:val="0078597F"/>
    <w:rsid w:val="007D49EB"/>
    <w:rsid w:val="007D5F95"/>
    <w:rsid w:val="007D665F"/>
    <w:rsid w:val="007E2AF8"/>
    <w:rsid w:val="007E5A7C"/>
    <w:rsid w:val="007F6735"/>
    <w:rsid w:val="008221F8"/>
    <w:rsid w:val="00823013"/>
    <w:rsid w:val="00832B1D"/>
    <w:rsid w:val="00832D7C"/>
    <w:rsid w:val="00862997"/>
    <w:rsid w:val="00870502"/>
    <w:rsid w:val="00890CC6"/>
    <w:rsid w:val="008915E8"/>
    <w:rsid w:val="008A45CE"/>
    <w:rsid w:val="008C16D0"/>
    <w:rsid w:val="008D322C"/>
    <w:rsid w:val="008E0291"/>
    <w:rsid w:val="00900C77"/>
    <w:rsid w:val="009012E7"/>
    <w:rsid w:val="00922065"/>
    <w:rsid w:val="009344A0"/>
    <w:rsid w:val="009459C8"/>
    <w:rsid w:val="00975F7D"/>
    <w:rsid w:val="00995149"/>
    <w:rsid w:val="009A6D59"/>
    <w:rsid w:val="009B7542"/>
    <w:rsid w:val="009B79B0"/>
    <w:rsid w:val="009D22AB"/>
    <w:rsid w:val="00A16167"/>
    <w:rsid w:val="00A279E2"/>
    <w:rsid w:val="00A713C9"/>
    <w:rsid w:val="00A72666"/>
    <w:rsid w:val="00A77F67"/>
    <w:rsid w:val="00A8223B"/>
    <w:rsid w:val="00AA1FC5"/>
    <w:rsid w:val="00AB4B4D"/>
    <w:rsid w:val="00AD3E0A"/>
    <w:rsid w:val="00AE444B"/>
    <w:rsid w:val="00AE6E87"/>
    <w:rsid w:val="00AF5118"/>
    <w:rsid w:val="00B003BE"/>
    <w:rsid w:val="00B037F5"/>
    <w:rsid w:val="00B178F5"/>
    <w:rsid w:val="00B24A9C"/>
    <w:rsid w:val="00B435C6"/>
    <w:rsid w:val="00B47F35"/>
    <w:rsid w:val="00B72D95"/>
    <w:rsid w:val="00B8377C"/>
    <w:rsid w:val="00B84238"/>
    <w:rsid w:val="00BB08E7"/>
    <w:rsid w:val="00BB78B6"/>
    <w:rsid w:val="00BB7E89"/>
    <w:rsid w:val="00BE3983"/>
    <w:rsid w:val="00C04538"/>
    <w:rsid w:val="00C07444"/>
    <w:rsid w:val="00C11FA2"/>
    <w:rsid w:val="00C162DC"/>
    <w:rsid w:val="00C40E46"/>
    <w:rsid w:val="00C43A42"/>
    <w:rsid w:val="00C51920"/>
    <w:rsid w:val="00C72FF6"/>
    <w:rsid w:val="00C839CE"/>
    <w:rsid w:val="00CA0288"/>
    <w:rsid w:val="00CB1602"/>
    <w:rsid w:val="00CB4177"/>
    <w:rsid w:val="00CB7D50"/>
    <w:rsid w:val="00CC724D"/>
    <w:rsid w:val="00CC7C19"/>
    <w:rsid w:val="00D06B1A"/>
    <w:rsid w:val="00D37799"/>
    <w:rsid w:val="00D433A7"/>
    <w:rsid w:val="00D4419F"/>
    <w:rsid w:val="00D448A1"/>
    <w:rsid w:val="00D64301"/>
    <w:rsid w:val="00DB1EE4"/>
    <w:rsid w:val="00DB2591"/>
    <w:rsid w:val="00DC0B35"/>
    <w:rsid w:val="00DC35DC"/>
    <w:rsid w:val="00DE1844"/>
    <w:rsid w:val="00E02070"/>
    <w:rsid w:val="00E04DBF"/>
    <w:rsid w:val="00E077FF"/>
    <w:rsid w:val="00E14D40"/>
    <w:rsid w:val="00E22CC4"/>
    <w:rsid w:val="00E329F3"/>
    <w:rsid w:val="00E47B74"/>
    <w:rsid w:val="00E80900"/>
    <w:rsid w:val="00E81558"/>
    <w:rsid w:val="00EC01CE"/>
    <w:rsid w:val="00ED34F7"/>
    <w:rsid w:val="00EE3664"/>
    <w:rsid w:val="00F05679"/>
    <w:rsid w:val="00F10768"/>
    <w:rsid w:val="00F37218"/>
    <w:rsid w:val="00F66911"/>
    <w:rsid w:val="00F77992"/>
    <w:rsid w:val="00F80E1D"/>
    <w:rsid w:val="00F96F3D"/>
    <w:rsid w:val="00FB3C0C"/>
    <w:rsid w:val="00FD5ED6"/>
    <w:rsid w:val="00FE6635"/>
    <w:rsid w:val="275B0FEC"/>
    <w:rsid w:val="54FF5376"/>
    <w:rsid w:val="62B17737"/>
    <w:rsid w:val="71ED0060"/>
    <w:rsid w:val="76886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footer"/>
    <w:basedOn w:val="1"/>
    <w:link w:val="10"/>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line="360" w:lineRule="auto"/>
      <w:jc w:val="left"/>
      <w:outlineLvl w:val="0"/>
    </w:pPr>
    <w:rPr>
      <w:rFonts w:eastAsia="仿宋" w:asciiTheme="majorHAnsi" w:hAnsiTheme="majorHAnsi" w:cstheme="majorBidi"/>
      <w:b/>
      <w:bCs/>
      <w:sz w:val="32"/>
      <w:szCs w:val="32"/>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脚 字符"/>
    <w:basedOn w:val="9"/>
    <w:link w:val="3"/>
    <w:qFormat/>
    <w:uiPriority w:val="99"/>
    <w:rPr>
      <w:rFonts w:ascii="Times New Roman" w:hAnsi="Times New Roman" w:eastAsia="宋体" w:cs="Times New Roman"/>
      <w:sz w:val="18"/>
      <w:szCs w:val="18"/>
    </w:rPr>
  </w:style>
  <w:style w:type="character" w:customStyle="1" w:styleId="11">
    <w:name w:val="标题 字符"/>
    <w:basedOn w:val="9"/>
    <w:link w:val="6"/>
    <w:qFormat/>
    <w:uiPriority w:val="10"/>
    <w:rPr>
      <w:rFonts w:eastAsia="仿宋" w:asciiTheme="majorHAnsi" w:hAnsiTheme="majorHAnsi" w:cstheme="majorBidi"/>
      <w:b/>
      <w:bCs/>
      <w:sz w:val="32"/>
      <w:szCs w:val="32"/>
    </w:rPr>
  </w:style>
  <w:style w:type="character" w:customStyle="1" w:styleId="12">
    <w:name w:val="页眉 字符"/>
    <w:basedOn w:val="9"/>
    <w:link w:val="4"/>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1267</Words>
  <Characters>1341</Characters>
  <Lines>88</Lines>
  <Paragraphs>25</Paragraphs>
  <TotalTime>1008</TotalTime>
  <ScaleCrop>false</ScaleCrop>
  <LinksUpToDate>false</LinksUpToDate>
  <CharactersWithSpaces>1350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2024-04-24T08:21:00Z</dcterms:created>
  <dc:creator>updis</dc:creator>
  <cp:lastModifiedBy>丰华</cp:lastModifiedBy>
  <dcterms:modified xsi:type="dcterms:W3CDTF">2025-05-06T06:59:19Z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eyJoZGlkIjoiOWFiMDhkZDRkZDBjZmMzYTNhODc0Y2ZhM2EzMzUxYzEiLCJ1c2VySWQiOiI1NzU4MDMyODAifQ==</vt:lpwstr>
  </property>
  <property fmtid="{D5CDD505-2E9C-101B-9397-08002B2CF9AE}" pid="3" name="KSOProductBuildVer">
    <vt:lpwstr>2052-12.1.0.20784</vt:lpwstr>
  </property>
  <property fmtid="{D5CDD505-2E9C-101B-9397-08002B2CF9AE}" pid="4" name="ICV">
    <vt:lpwstr>C84713EAF8B74981A973FB004E531303_12</vt:lpwstr>
  </property>
</Properties>
</file>