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F47B6">
      <w:pPr>
        <w:spacing w:line="560" w:lineRule="exact"/>
        <w:jc w:val="center"/>
        <w:rPr>
          <w:rFonts w:hint="eastAsia" w:ascii="微软雅黑" w:hAnsi="微软雅黑" w:eastAsia="微软雅黑" w:cs="微软雅黑"/>
          <w:sz w:val="44"/>
          <w:szCs w:val="44"/>
        </w:rPr>
      </w:pPr>
      <w:bookmarkStart w:id="9" w:name="_GoBack"/>
      <w:bookmarkEnd w:id="9"/>
      <w:r>
        <w:rPr>
          <w:rFonts w:hint="eastAsia" w:ascii="微软雅黑" w:hAnsi="微软雅黑" w:eastAsia="微软雅黑" w:cs="微软雅黑"/>
          <w:sz w:val="44"/>
          <w:szCs w:val="44"/>
        </w:rPr>
        <w:t>团体标准《桥岛隧一体化建（构）筑物防雷技术规范》编制说明</w:t>
      </w:r>
    </w:p>
    <w:p w14:paraId="1B8EB828">
      <w:pPr>
        <w:jc w:val="center"/>
        <w:rPr>
          <w:rFonts w:ascii="仿宋_GB2312" w:eastAsia="仿宋_GB2312"/>
          <w:b/>
          <w:sz w:val="28"/>
          <w:szCs w:val="28"/>
        </w:rPr>
      </w:pPr>
    </w:p>
    <w:p w14:paraId="4D3BA25C">
      <w:pPr>
        <w:pStyle w:val="9"/>
        <w:spacing w:line="500" w:lineRule="exact"/>
        <w:ind w:firstLine="640"/>
        <w:jc w:val="left"/>
        <w:rPr>
          <w:rFonts w:hint="eastAsia" w:ascii="黑体" w:hAnsi="黑体" w:eastAsia="黑体" w:cs="黑体"/>
          <w:kern w:val="0"/>
          <w:sz w:val="32"/>
          <w:szCs w:val="32"/>
        </w:rPr>
      </w:pPr>
      <w:r>
        <w:rPr>
          <w:rFonts w:hint="eastAsia" w:ascii="黑体" w:hAnsi="黑体" w:eastAsia="黑体" w:cs="黑体"/>
          <w:kern w:val="0"/>
          <w:sz w:val="32"/>
          <w:szCs w:val="32"/>
        </w:rPr>
        <w:t>一、工作简况</w:t>
      </w:r>
    </w:p>
    <w:p w14:paraId="03D0765F">
      <w:pPr>
        <w:spacing w:line="560" w:lineRule="exact"/>
        <w:ind w:firstLine="640" w:firstLineChars="200"/>
        <w:rPr>
          <w:rFonts w:hint="eastAsia" w:ascii="仿宋_GB2312" w:hAnsi="仿宋_GB2312" w:eastAsia="仿宋_GB2312" w:cs="仿宋_GB2312"/>
          <w:sz w:val="32"/>
          <w:szCs w:val="32"/>
        </w:rPr>
      </w:pPr>
      <w:bookmarkStart w:id="0" w:name="OLE_LINK4"/>
      <w:r>
        <w:rPr>
          <w:rFonts w:hint="eastAsia" w:ascii="楷体_GB2312" w:hAnsi="楷体_GB2312" w:eastAsia="楷体_GB2312" w:cs="楷体_GB2312"/>
          <w:bCs/>
          <w:sz w:val="32"/>
          <w:szCs w:val="32"/>
        </w:rPr>
        <w:t>（一）任务来源：</w:t>
      </w:r>
      <w:r>
        <w:rPr>
          <w:rFonts w:hint="eastAsia" w:ascii="仿宋_GB2312" w:hAnsi="仿宋_GB2312" w:eastAsia="仿宋_GB2312" w:cs="仿宋_GB2312"/>
          <w:sz w:val="32"/>
          <w:szCs w:val="32"/>
        </w:rPr>
        <w:t>团体标准项目《桥岛隧一体化建（构）筑物防雷技术规范》是根据协会《关于桥岛隧一体化建（构）筑物防雷技术规范团体标准制立项的通知》(粤气协会〔2023〕2号)文的要求进行编制的。下达任务名称为《桥岛隧一体化建（构）筑物防雷技术规范》。</w:t>
      </w:r>
    </w:p>
    <w:p w14:paraId="6F59D0E8">
      <w:pPr>
        <w:spacing w:line="560" w:lineRule="exact"/>
        <w:ind w:firstLine="640" w:firstLineChars="200"/>
        <w:rPr>
          <w:rFonts w:hint="eastAsia" w:ascii="仿宋_GB2312" w:hAnsi="仿宋_GB2312" w:eastAsia="仿宋_GB2312" w:cs="仿宋_GB2312"/>
          <w:color w:val="000000"/>
          <w:sz w:val="32"/>
          <w:szCs w:val="32"/>
        </w:rPr>
      </w:pPr>
      <w:r>
        <w:rPr>
          <w:rFonts w:hint="eastAsia" w:ascii="楷体_GB2312" w:hAnsi="楷体_GB2312" w:eastAsia="楷体_GB2312" w:cs="楷体_GB2312"/>
          <w:bCs/>
          <w:sz w:val="32"/>
          <w:szCs w:val="32"/>
        </w:rPr>
        <w:t>（二）协作单位：</w:t>
      </w:r>
      <w:r>
        <w:rPr>
          <w:rFonts w:hint="eastAsia" w:ascii="仿宋_GB2312" w:hAnsi="仿宋_GB2312" w:eastAsia="仿宋_GB2312" w:cs="仿宋_GB2312"/>
          <w:color w:val="000000"/>
          <w:sz w:val="32"/>
          <w:szCs w:val="32"/>
        </w:rPr>
        <w:t>本标准由</w:t>
      </w:r>
      <w:r>
        <w:rPr>
          <w:rFonts w:hint="eastAsia" w:ascii="仿宋_GB2312" w:hAnsi="仿宋_GB2312" w:eastAsia="仿宋_GB2312" w:cs="仿宋_GB2312"/>
          <w:sz w:val="32"/>
          <w:szCs w:val="32"/>
        </w:rPr>
        <w:t>广东省气象防灾减灾协会</w:t>
      </w:r>
      <w:r>
        <w:rPr>
          <w:rFonts w:hint="eastAsia" w:ascii="仿宋_GB2312" w:hAnsi="仿宋_GB2312" w:eastAsia="仿宋_GB2312" w:cs="仿宋_GB2312"/>
          <w:color w:val="000000"/>
          <w:sz w:val="32"/>
          <w:szCs w:val="32"/>
        </w:rPr>
        <w:t>（T/GAMDPM）提出并归口，由深中通道管理中心、广东省气候中心、广东华信智能交通科技有限公司、广东新粤交通投资有限公司、广东路路通有限公司、富邦工程有限公司、香港东宏电子贸易有限公司等单位组成的工作组对技术规范进行研讨，负责《</w:t>
      </w:r>
      <w:r>
        <w:rPr>
          <w:rFonts w:hint="eastAsia" w:ascii="仿宋_GB2312" w:hAnsi="仿宋_GB2312" w:eastAsia="仿宋_GB2312" w:cs="仿宋_GB2312"/>
          <w:sz w:val="32"/>
          <w:szCs w:val="32"/>
        </w:rPr>
        <w:t>桥岛隧一体化建（构）筑物防雷技术规范</w:t>
      </w:r>
      <w:r>
        <w:rPr>
          <w:rFonts w:hint="eastAsia" w:ascii="仿宋_GB2312" w:hAnsi="仿宋_GB2312" w:eastAsia="仿宋_GB2312" w:cs="仿宋_GB2312"/>
          <w:color w:val="000000"/>
          <w:sz w:val="32"/>
          <w:szCs w:val="32"/>
        </w:rPr>
        <w:t>》的起草编制工作。</w:t>
      </w:r>
      <w:bookmarkEnd w:id="0"/>
    </w:p>
    <w:p w14:paraId="63B04F89">
      <w:pPr>
        <w:spacing w:line="560" w:lineRule="exact"/>
        <w:ind w:firstLine="640" w:firstLineChars="200"/>
        <w:rPr>
          <w:rFonts w:hint="eastAsia" w:ascii="仿宋_GB2312" w:hAnsi="仿宋_GB2312" w:eastAsia="仿宋_GB2312" w:cs="仿宋_GB2312"/>
          <w:color w:val="000000"/>
          <w:sz w:val="32"/>
          <w:szCs w:val="32"/>
        </w:rPr>
      </w:pPr>
      <w:r>
        <w:rPr>
          <w:rFonts w:hint="eastAsia" w:ascii="楷体_GB2312" w:hAnsi="楷体_GB2312" w:eastAsia="楷体_GB2312" w:cs="楷体_GB2312"/>
          <w:bCs/>
          <w:color w:val="auto"/>
          <w:sz w:val="32"/>
          <w:szCs w:val="32"/>
        </w:rPr>
        <w:t>（三）</w:t>
      </w:r>
      <w:r>
        <w:rPr>
          <w:rFonts w:hint="eastAsia" w:ascii="楷体_GB2312" w:hAnsi="楷体_GB2312" w:eastAsia="楷体_GB2312" w:cs="楷体_GB2312"/>
          <w:bCs/>
          <w:sz w:val="32"/>
          <w:szCs w:val="32"/>
        </w:rPr>
        <w:t>单位</w:t>
      </w:r>
      <w:r>
        <w:rPr>
          <w:rFonts w:hint="eastAsia" w:ascii="楷体_GB2312" w:hAnsi="楷体_GB2312" w:eastAsia="楷体_GB2312" w:cs="楷体_GB2312"/>
          <w:bCs/>
          <w:color w:val="auto"/>
          <w:sz w:val="32"/>
          <w:szCs w:val="32"/>
        </w:rPr>
        <w:t>分工：</w:t>
      </w:r>
      <w:r>
        <w:rPr>
          <w:rFonts w:hint="eastAsia" w:ascii="楷体_GB2312" w:hAnsi="楷体_GB2312" w:eastAsia="楷体_GB2312" w:cs="楷体_GB2312"/>
          <w:bCs/>
          <w:sz w:val="32"/>
          <w:szCs w:val="32"/>
        </w:rPr>
        <w:t>（1）</w:t>
      </w:r>
      <w:r>
        <w:rPr>
          <w:rFonts w:hint="eastAsia" w:ascii="仿宋_GB2312" w:hAnsi="仿宋_GB2312" w:eastAsia="仿宋_GB2312" w:cs="仿宋_GB2312"/>
          <w:color w:val="000000"/>
          <w:sz w:val="32"/>
          <w:szCs w:val="32"/>
        </w:rPr>
        <w:t>广东新粤交通投资有限公司：负责标准范围、规范性引用文件的编写；</w:t>
      </w:r>
      <w:r>
        <w:rPr>
          <w:rFonts w:hint="eastAsia" w:ascii="楷体_GB2312" w:hAnsi="楷体_GB2312" w:eastAsia="楷体_GB2312" w:cs="楷体_GB2312"/>
          <w:bCs/>
          <w:color w:val="auto"/>
          <w:sz w:val="32"/>
          <w:szCs w:val="32"/>
        </w:rPr>
        <w:t>（2）</w:t>
      </w:r>
      <w:r>
        <w:rPr>
          <w:rFonts w:hint="eastAsia" w:ascii="仿宋_GB2312" w:hAnsi="仿宋_GB2312" w:eastAsia="仿宋_GB2312" w:cs="仿宋_GB2312"/>
          <w:color w:val="000000"/>
          <w:sz w:val="32"/>
          <w:szCs w:val="32"/>
        </w:rPr>
        <w:t>广东路路通有限公司：负责标准术语和定义、一般规定的编写；</w:t>
      </w:r>
      <w:r>
        <w:rPr>
          <w:rFonts w:hint="eastAsia" w:ascii="楷体_GB2312" w:hAnsi="楷体_GB2312" w:eastAsia="楷体_GB2312" w:cs="楷体_GB2312"/>
          <w:bCs/>
          <w:sz w:val="32"/>
          <w:szCs w:val="32"/>
        </w:rPr>
        <w:t>（3）</w:t>
      </w:r>
      <w:r>
        <w:rPr>
          <w:rFonts w:hint="eastAsia" w:ascii="仿宋_GB2312" w:hAnsi="仿宋_GB2312" w:eastAsia="仿宋_GB2312" w:cs="仿宋_GB2312"/>
          <w:color w:val="000000"/>
          <w:sz w:val="32"/>
          <w:szCs w:val="32"/>
        </w:rPr>
        <w:t>深中通道管理中心：负责直击雷防护研究中接地装置方面的研究工作，组织并参与相关试验、数据分析以及部分标准条款的起草工作；</w:t>
      </w:r>
      <w:r>
        <w:rPr>
          <w:rFonts w:hint="eastAsia" w:ascii="楷体_GB2312" w:hAnsi="楷体_GB2312" w:eastAsia="楷体_GB2312" w:cs="楷体_GB2312"/>
          <w:bCs/>
          <w:color w:val="auto"/>
          <w:sz w:val="32"/>
          <w:szCs w:val="32"/>
        </w:rPr>
        <w:t>（4）</w:t>
      </w:r>
      <w:r>
        <w:rPr>
          <w:rFonts w:hint="eastAsia" w:ascii="仿宋_GB2312" w:hAnsi="仿宋_GB2312" w:eastAsia="仿宋_GB2312" w:cs="仿宋_GB2312"/>
          <w:color w:val="000000"/>
          <w:sz w:val="32"/>
          <w:szCs w:val="32"/>
        </w:rPr>
        <w:t>香港东宏电子贸易有限公司：负责直击雷防护研究中引下线、接闪器等方面的研究工作；</w:t>
      </w:r>
      <w:r>
        <w:rPr>
          <w:rFonts w:hint="eastAsia" w:ascii="楷体_GB2312" w:hAnsi="楷体_GB2312" w:eastAsia="楷体_GB2312" w:cs="楷体_GB2312"/>
          <w:bCs/>
          <w:color w:val="auto"/>
          <w:sz w:val="32"/>
          <w:szCs w:val="32"/>
        </w:rPr>
        <w:t>（5）</w:t>
      </w:r>
      <w:r>
        <w:rPr>
          <w:rFonts w:hint="eastAsia" w:ascii="仿宋_GB2312" w:hAnsi="仿宋_GB2312" w:eastAsia="仿宋_GB2312" w:cs="仿宋_GB2312"/>
          <w:color w:val="000000"/>
          <w:sz w:val="32"/>
          <w:szCs w:val="32"/>
        </w:rPr>
        <w:t>富邦工程有限公司：负责雷击电磁脉冲防护研究，包括研究等电位连接、屏蔽、电涌保护器（SPD）等内容；</w:t>
      </w:r>
      <w:r>
        <w:rPr>
          <w:rFonts w:hint="eastAsia" w:ascii="楷体_GB2312" w:hAnsi="楷体_GB2312" w:eastAsia="楷体_GB2312" w:cs="楷体_GB2312"/>
          <w:bCs/>
          <w:sz w:val="32"/>
          <w:szCs w:val="32"/>
        </w:rPr>
        <w:t>（6）</w:t>
      </w:r>
      <w:r>
        <w:rPr>
          <w:rFonts w:hint="eastAsia" w:ascii="仿宋_GB2312" w:hAnsi="仿宋_GB2312" w:eastAsia="仿宋_GB2312" w:cs="仿宋_GB2312"/>
          <w:color w:val="000000"/>
          <w:sz w:val="32"/>
          <w:szCs w:val="32"/>
        </w:rPr>
        <w:t>广东华信智能交通科技有限公司：负责基于雷电监测设备的临近预警研究。主要负责确定预警指标、等级、防御指引以及系统的安装与维护等工作；</w:t>
      </w:r>
      <w:r>
        <w:rPr>
          <w:rFonts w:hint="eastAsia" w:ascii="楷体_GB2312" w:hAnsi="楷体_GB2312" w:eastAsia="楷体_GB2312" w:cs="楷体_GB2312"/>
          <w:bCs/>
          <w:color w:val="auto"/>
          <w:sz w:val="32"/>
          <w:szCs w:val="32"/>
        </w:rPr>
        <w:t>（7）</w:t>
      </w:r>
      <w:r>
        <w:rPr>
          <w:rFonts w:hint="eastAsia" w:ascii="仿宋_GB2312" w:hAnsi="仿宋_GB2312" w:eastAsia="仿宋_GB2312" w:cs="仿宋_GB2312"/>
          <w:color w:val="000000"/>
          <w:sz w:val="32"/>
          <w:szCs w:val="32"/>
        </w:rPr>
        <w:t>广东省气候中心：主要负责雷电防护装置检测研究，制定检测方法、流程和技术要求；</w:t>
      </w:r>
      <w:r>
        <w:rPr>
          <w:rFonts w:hint="eastAsia" w:ascii="楷体_GB2312" w:hAnsi="楷体_GB2312" w:eastAsia="楷体_GB2312" w:cs="楷体_GB2312"/>
          <w:bCs/>
          <w:color w:val="auto"/>
          <w:sz w:val="32"/>
          <w:szCs w:val="32"/>
        </w:rPr>
        <w:t>（8）</w:t>
      </w:r>
      <w:r>
        <w:rPr>
          <w:rFonts w:hint="eastAsia" w:ascii="仿宋_GB2312" w:hAnsi="仿宋_GB2312" w:eastAsia="仿宋_GB2312" w:cs="仿宋_GB2312"/>
          <w:color w:val="000000"/>
          <w:sz w:val="32"/>
          <w:szCs w:val="32"/>
        </w:rPr>
        <w:t>其他单位：负责防雷安全标志等其他标准内容。同时参与标准整体框架的构建和部分条款的编写，确保标准内容的系统性和完整性。</w:t>
      </w:r>
    </w:p>
    <w:p w14:paraId="7DE83353">
      <w:pPr>
        <w:pStyle w:val="9"/>
        <w:spacing w:line="560" w:lineRule="exact"/>
        <w:ind w:firstLine="640"/>
        <w:jc w:val="left"/>
        <w:rPr>
          <w:rFonts w:hint="eastAsia" w:ascii="黑体" w:hAnsi="黑体" w:eastAsia="黑体" w:cs="黑体"/>
          <w:kern w:val="0"/>
          <w:sz w:val="32"/>
          <w:szCs w:val="32"/>
        </w:rPr>
      </w:pPr>
      <w:r>
        <w:rPr>
          <w:rFonts w:hint="eastAsia" w:ascii="黑体" w:hAnsi="黑体" w:eastAsia="黑体" w:cs="黑体"/>
          <w:kern w:val="0"/>
          <w:sz w:val="32"/>
          <w:szCs w:val="32"/>
        </w:rPr>
        <w:t>二、立项的必要性</w:t>
      </w:r>
    </w:p>
    <w:p w14:paraId="116D7E89">
      <w:pPr>
        <w:spacing w:line="240" w:lineRule="auto"/>
        <w:ind w:firstLine="640" w:firstLineChars="200"/>
        <w:jc w:val="left"/>
        <w:rPr>
          <w:rFonts w:hint="eastAsia" w:ascii="楷体_GB2312" w:hAnsi="楷体_GB2312" w:eastAsia="楷体_GB2312" w:cs="楷体_GB2312"/>
          <w:bCs/>
          <w:sz w:val="32"/>
          <w:szCs w:val="32"/>
        </w:rPr>
      </w:pPr>
      <w:bookmarkStart w:id="1" w:name="OLE_LINK5"/>
      <w:r>
        <w:rPr>
          <w:rFonts w:hint="eastAsia" w:ascii="楷体_GB2312" w:hAnsi="楷体_GB2312" w:eastAsia="楷体_GB2312" w:cs="楷体_GB2312"/>
          <w:bCs/>
          <w:sz w:val="32"/>
          <w:szCs w:val="32"/>
        </w:rPr>
        <w:t>（一）粤港澳大湾区桥岛隧行业发展现状与痛点</w:t>
      </w:r>
    </w:p>
    <w:p w14:paraId="309BF5C8">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粤港澳大湾区基础设施建设的快速发展，桥岛隧作为跨越江河、海峡及解决城市交通的关键基础设施，其规模和数量不断增加。然而，桥岛隧大多位于沿江或海面等空旷地域，主塔高、跨度大，受地形等因素影响，极易遭受雷击破坏。例如，已建成的港珠澳大桥、深圳至中山跨江通道（深中通道）等项目，在雷电活动频繁的地区，雷击概率和强度明显大于周边区域。公路交通尤其是桥岛隧线路一旦遭受雷击，可能导致设备损坏、通信中断、交通瘫痪等问题，严重影响公路交通的正常运行，给司乘人员安全和经济发展带来巨大隐患。目前，针对桥岛隧一体化建（构）筑物防雷技术规范在国内尚不完善，许多技术问题处于探索阶段，缺乏统一的标准指导防雷设计、施工和检测工作。</w:t>
      </w:r>
    </w:p>
    <w:p w14:paraId="6A30D358">
      <w:pPr>
        <w:spacing w:line="240" w:lineRule="auto"/>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（二）标准拟解决的问题</w:t>
      </w:r>
    </w:p>
    <w:p w14:paraId="6E28C11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旨在填补桥岛隧一体化建（构）筑物防雷技术规范的空白，为粤港澳大湾区桥岛隧建（构）筑物提供系统、科学的防雷技术指导。通过明确防雷装置的设计、施工、检测及监测预警等要求，提高桥岛隧防雷工程的质量和可靠性，减少雷击事故的发生，保障桥岛隧交通的安全畅通。标准实施后，将有助于规范防雷技术措施，降低雷电对桥岛隧一体化建（构）筑物的损害风险，提高公路交通的安全性和可靠性，促进粤港澳大湾区交通基础设施的互联互通和融合发展。</w:t>
      </w:r>
    </w:p>
    <w:bookmarkEnd w:id="1"/>
    <w:p w14:paraId="2C838ACF">
      <w:pPr>
        <w:pStyle w:val="9"/>
        <w:numPr>
          <w:ilvl w:val="255"/>
          <w:numId w:val="0"/>
        </w:numPr>
        <w:spacing w:line="560" w:lineRule="exact"/>
        <w:ind w:firstLine="640"/>
        <w:jc w:val="left"/>
        <w:rPr>
          <w:rFonts w:hint="eastAsia" w:ascii="黑体" w:hAnsi="黑体" w:eastAsia="黑体" w:cs="黑体"/>
          <w:kern w:val="0"/>
          <w:sz w:val="32"/>
          <w:szCs w:val="32"/>
        </w:rPr>
      </w:pPr>
      <w:r>
        <w:rPr>
          <w:rFonts w:hint="eastAsia" w:ascii="黑体" w:hAnsi="黑体" w:eastAsia="黑体" w:cs="黑体"/>
          <w:kern w:val="0"/>
          <w:sz w:val="32"/>
          <w:szCs w:val="32"/>
        </w:rPr>
        <w:t>三、标准编制原则、主要内容及其确定依据。</w:t>
      </w:r>
    </w:p>
    <w:p w14:paraId="4D70F4C0">
      <w:pPr>
        <w:spacing w:line="560" w:lineRule="exact"/>
        <w:ind w:firstLine="640" w:firstLineChars="200"/>
        <w:jc w:val="left"/>
        <w:rPr>
          <w:rFonts w:hint="eastAsia" w:ascii="楷体_GB2312" w:hAnsi="楷体_GB2312" w:eastAsia="楷体_GB2312" w:cs="楷体_GB2312"/>
          <w:bCs/>
          <w:kern w:val="0"/>
          <w:sz w:val="32"/>
          <w:szCs w:val="32"/>
        </w:rPr>
      </w:pPr>
      <w:r>
        <w:rPr>
          <w:rFonts w:hint="eastAsia" w:ascii="楷体_GB2312" w:hAnsi="楷体_GB2312" w:eastAsia="楷体_GB2312" w:cs="楷体_GB2312"/>
          <w:bCs/>
          <w:kern w:val="0"/>
          <w:sz w:val="32"/>
          <w:szCs w:val="32"/>
        </w:rPr>
        <w:t>（一）编制原则</w:t>
      </w:r>
    </w:p>
    <w:p w14:paraId="016A4385">
      <w:pPr>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本标准的编制严格遵循《团体标准管理规定》相关要求，确保标准的制定程序合法合规，内容符合国家法律法规和政策导向。</w:t>
      </w:r>
    </w:p>
    <w:p w14:paraId="64ACE9A8">
      <w:pPr>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科学性与先进性：在充分调研国内外防雷技术发展现状的基础上，结合桥岛隧一体化建（构）筑物的特点，采用先进的防雷技术和理念，确保标准内容具有科学性、先进性。通过引入最新的研究成果和实践经验，使标准能够适应行业发展需求，为桥岛隧防雷工程提供可靠的技术支持。</w:t>
      </w:r>
    </w:p>
    <w:p w14:paraId="588CAF8B">
      <w:pPr>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实用性与可操作性：标准的编制注重实用性和可操作性，充分考虑桥岛隧建设和运营过程中的实际情况，确保各项技术要求明确、具体，便于工程技术人员理解和执行。同时，结合粤港澳大湾区的地域特点和工程实践，制定切实可行的防雷方案，提高标准的应用价值。</w:t>
      </w:r>
    </w:p>
    <w:p w14:paraId="283740D0">
      <w:pPr>
        <w:spacing w:line="560" w:lineRule="exact"/>
        <w:ind w:firstLine="640" w:firstLineChars="200"/>
        <w:jc w:val="left"/>
        <w:rPr>
          <w:rFonts w:hint="eastAsia" w:ascii="楷体_GB2312" w:hAnsi="楷体_GB2312" w:eastAsia="楷体_GB2312" w:cs="楷体_GB2312"/>
          <w:bCs/>
          <w:kern w:val="0"/>
          <w:sz w:val="32"/>
          <w:szCs w:val="32"/>
        </w:rPr>
      </w:pPr>
      <w:r>
        <w:rPr>
          <w:rFonts w:hint="eastAsia" w:ascii="楷体_GB2312" w:hAnsi="楷体_GB2312" w:eastAsia="楷体_GB2312" w:cs="楷体_GB2312"/>
          <w:bCs/>
          <w:sz w:val="32"/>
          <w:szCs w:val="32"/>
        </w:rPr>
        <w:t>（二）</w:t>
      </w:r>
      <w:r>
        <w:rPr>
          <w:rFonts w:hint="eastAsia" w:ascii="楷体_GB2312" w:hAnsi="楷体_GB2312" w:eastAsia="楷体_GB2312" w:cs="楷体_GB2312"/>
          <w:bCs/>
          <w:kern w:val="0"/>
          <w:sz w:val="32"/>
          <w:szCs w:val="32"/>
        </w:rPr>
        <w:t>主要内容</w:t>
      </w:r>
    </w:p>
    <w:tbl>
      <w:tblPr>
        <w:tblStyle w:val="6"/>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4378"/>
        <w:gridCol w:w="4472"/>
      </w:tblGrid>
      <w:tr w14:paraId="68145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8" w:type="dxa"/>
          </w:tcPr>
          <w:p w14:paraId="6ABE32D1">
            <w:pPr>
              <w:numPr>
                <w:ilvl w:val="255"/>
                <w:numId w:val="0"/>
              </w:numPr>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章节</w:t>
            </w:r>
          </w:p>
        </w:tc>
        <w:tc>
          <w:tcPr>
            <w:tcW w:w="4378" w:type="dxa"/>
          </w:tcPr>
          <w:p w14:paraId="1DB0722A">
            <w:pPr>
              <w:numPr>
                <w:ilvl w:val="255"/>
                <w:numId w:val="0"/>
              </w:numPr>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标题</w:t>
            </w:r>
          </w:p>
        </w:tc>
        <w:tc>
          <w:tcPr>
            <w:tcW w:w="4472" w:type="dxa"/>
          </w:tcPr>
          <w:p w14:paraId="151880DD">
            <w:pPr>
              <w:numPr>
                <w:ilvl w:val="255"/>
                <w:numId w:val="0"/>
              </w:numPr>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主要技术内容</w:t>
            </w:r>
          </w:p>
        </w:tc>
      </w:tr>
      <w:tr w14:paraId="4E4C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68" w:type="dxa"/>
            <w:vAlign w:val="center"/>
          </w:tcPr>
          <w:p w14:paraId="7026C546">
            <w:pPr>
              <w:numPr>
                <w:ilvl w:val="255"/>
                <w:numId w:val="0"/>
              </w:numPr>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4378" w:type="dxa"/>
            <w:vAlign w:val="center"/>
          </w:tcPr>
          <w:p w14:paraId="1A6B0891">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范围</w:t>
            </w:r>
          </w:p>
        </w:tc>
        <w:tc>
          <w:tcPr>
            <w:tcW w:w="4472" w:type="dxa"/>
          </w:tcPr>
          <w:p w14:paraId="17345927">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明确本文件的主要内容与适用范围</w:t>
            </w:r>
          </w:p>
        </w:tc>
      </w:tr>
      <w:tr w14:paraId="0D90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8" w:type="dxa"/>
            <w:vAlign w:val="center"/>
          </w:tcPr>
          <w:p w14:paraId="76A0881E">
            <w:pPr>
              <w:numPr>
                <w:ilvl w:val="255"/>
                <w:numId w:val="0"/>
              </w:numPr>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w:t>
            </w:r>
          </w:p>
        </w:tc>
        <w:tc>
          <w:tcPr>
            <w:tcW w:w="4378" w:type="dxa"/>
            <w:vAlign w:val="center"/>
          </w:tcPr>
          <w:p w14:paraId="0792EA7A">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规范性引用文件</w:t>
            </w:r>
          </w:p>
        </w:tc>
        <w:tc>
          <w:tcPr>
            <w:tcW w:w="4472" w:type="dxa"/>
          </w:tcPr>
          <w:p w14:paraId="2A39FC4D">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规范性引用文件</w:t>
            </w:r>
          </w:p>
        </w:tc>
      </w:tr>
      <w:tr w14:paraId="30188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8" w:type="dxa"/>
            <w:vAlign w:val="center"/>
          </w:tcPr>
          <w:p w14:paraId="0770283C">
            <w:pPr>
              <w:numPr>
                <w:ilvl w:val="255"/>
                <w:numId w:val="0"/>
              </w:numPr>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w:t>
            </w:r>
          </w:p>
        </w:tc>
        <w:tc>
          <w:tcPr>
            <w:tcW w:w="4378" w:type="dxa"/>
            <w:vAlign w:val="center"/>
          </w:tcPr>
          <w:p w14:paraId="74C44C87">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术语和定义</w:t>
            </w:r>
          </w:p>
        </w:tc>
        <w:tc>
          <w:tcPr>
            <w:tcW w:w="4472" w:type="dxa"/>
          </w:tcPr>
          <w:p w14:paraId="29B8C2DE">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术语的定义</w:t>
            </w:r>
          </w:p>
        </w:tc>
      </w:tr>
      <w:tr w14:paraId="2159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8" w:type="dxa"/>
            <w:vAlign w:val="center"/>
          </w:tcPr>
          <w:p w14:paraId="37126DF3">
            <w:pPr>
              <w:numPr>
                <w:ilvl w:val="255"/>
                <w:numId w:val="0"/>
              </w:numPr>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c>
          <w:tcPr>
            <w:tcW w:w="4378" w:type="dxa"/>
            <w:vAlign w:val="center"/>
          </w:tcPr>
          <w:p w14:paraId="5910DA91">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一般规定</w:t>
            </w:r>
          </w:p>
        </w:tc>
        <w:tc>
          <w:tcPr>
            <w:tcW w:w="4472" w:type="dxa"/>
          </w:tcPr>
          <w:p w14:paraId="769DDDF7">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给出原则性要求</w:t>
            </w:r>
          </w:p>
        </w:tc>
      </w:tr>
      <w:tr w14:paraId="0547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868" w:type="dxa"/>
            <w:vAlign w:val="center"/>
          </w:tcPr>
          <w:p w14:paraId="77D8565D">
            <w:pPr>
              <w:numPr>
                <w:ilvl w:val="255"/>
                <w:numId w:val="0"/>
              </w:numPr>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c>
          <w:tcPr>
            <w:tcW w:w="4378" w:type="dxa"/>
            <w:vAlign w:val="center"/>
          </w:tcPr>
          <w:p w14:paraId="41762B84">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直击雷防护</w:t>
            </w:r>
          </w:p>
        </w:tc>
        <w:tc>
          <w:tcPr>
            <w:tcW w:w="4472" w:type="dxa"/>
          </w:tcPr>
          <w:p w14:paraId="6D7038FF">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对直击雷防护相关设施的设置、材料等提出技术要求</w:t>
            </w:r>
          </w:p>
        </w:tc>
      </w:tr>
      <w:tr w14:paraId="4FE4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8" w:type="dxa"/>
            <w:vAlign w:val="center"/>
          </w:tcPr>
          <w:p w14:paraId="24A746C9">
            <w:pPr>
              <w:numPr>
                <w:ilvl w:val="255"/>
                <w:numId w:val="0"/>
              </w:numPr>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w:t>
            </w:r>
          </w:p>
        </w:tc>
        <w:tc>
          <w:tcPr>
            <w:tcW w:w="4378" w:type="dxa"/>
            <w:vAlign w:val="center"/>
          </w:tcPr>
          <w:p w14:paraId="40534238">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雷击电磁脉冲防护</w:t>
            </w:r>
          </w:p>
        </w:tc>
        <w:tc>
          <w:tcPr>
            <w:tcW w:w="4472" w:type="dxa"/>
          </w:tcPr>
          <w:p w14:paraId="552036D5">
            <w:pPr>
              <w:numPr>
                <w:ilvl w:val="255"/>
                <w:numId w:val="0"/>
              </w:numPr>
              <w:rPr>
                <w:rFonts w:hint="eastAsia" w:ascii="仿宋_GB2312" w:hAnsi="仿宋_GB2312" w:eastAsia="仿宋_GB2312" w:cs="仿宋_GB2312"/>
                <w:kern w:val="0"/>
                <w:sz w:val="28"/>
                <w:szCs w:val="28"/>
              </w:rPr>
            </w:pPr>
            <w:r>
              <w:rPr>
                <w:rFonts w:ascii="仿宋_GB2312" w:hAnsi="仿宋_GB2312" w:eastAsia="仿宋_GB2312" w:cs="仿宋_GB2312"/>
                <w:kern w:val="0"/>
                <w:sz w:val="28"/>
                <w:szCs w:val="28"/>
              </w:rPr>
              <w:t>规定金属构件等电位连接要求，明确等电位连接导体最小截面，对 SPD 选择、安装等提出要求</w:t>
            </w:r>
          </w:p>
        </w:tc>
      </w:tr>
      <w:tr w14:paraId="5D33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8" w:type="dxa"/>
            <w:vAlign w:val="center"/>
          </w:tcPr>
          <w:p w14:paraId="0AB8EABF">
            <w:pPr>
              <w:numPr>
                <w:ilvl w:val="255"/>
                <w:numId w:val="0"/>
              </w:numPr>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w:t>
            </w:r>
          </w:p>
        </w:tc>
        <w:tc>
          <w:tcPr>
            <w:tcW w:w="4378" w:type="dxa"/>
            <w:vAlign w:val="center"/>
          </w:tcPr>
          <w:p w14:paraId="731268DE">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雷电防护装置检测</w:t>
            </w:r>
          </w:p>
        </w:tc>
        <w:tc>
          <w:tcPr>
            <w:tcW w:w="4472" w:type="dxa"/>
          </w:tcPr>
          <w:p w14:paraId="244DF16E">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规范雷电防护装置检测的过程</w:t>
            </w:r>
          </w:p>
        </w:tc>
      </w:tr>
      <w:tr w14:paraId="65A72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8" w:type="dxa"/>
            <w:vAlign w:val="center"/>
          </w:tcPr>
          <w:p w14:paraId="269711ED">
            <w:pPr>
              <w:numPr>
                <w:ilvl w:val="255"/>
                <w:numId w:val="0"/>
              </w:numPr>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w:t>
            </w:r>
          </w:p>
        </w:tc>
        <w:tc>
          <w:tcPr>
            <w:tcW w:w="4378" w:type="dxa"/>
            <w:vAlign w:val="center"/>
          </w:tcPr>
          <w:p w14:paraId="0C978B8A">
            <w:pPr>
              <w:numPr>
                <w:ilvl w:val="255"/>
                <w:numId w:val="0"/>
              </w:num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基于雷电检测设备的临近预警</w:t>
            </w:r>
          </w:p>
        </w:tc>
        <w:tc>
          <w:tcPr>
            <w:tcW w:w="4472" w:type="dxa"/>
          </w:tcPr>
          <w:p w14:paraId="2CD0E9D4">
            <w:pPr>
              <w:numPr>
                <w:ilvl w:val="255"/>
                <w:numId w:val="0"/>
              </w:numPr>
              <w:rPr>
                <w:rFonts w:hint="eastAsia" w:ascii="仿宋_GB2312" w:hAnsi="仿宋_GB2312" w:eastAsia="仿宋_GB2312" w:cs="仿宋_GB2312"/>
                <w:kern w:val="0"/>
                <w:sz w:val="28"/>
                <w:szCs w:val="28"/>
              </w:rPr>
            </w:pPr>
            <w:r>
              <w:rPr>
                <w:rFonts w:ascii="仿宋_GB2312" w:hAnsi="仿宋_GB2312" w:eastAsia="仿宋_GB2312" w:cs="仿宋_GB2312"/>
                <w:kern w:val="0"/>
                <w:sz w:val="28"/>
                <w:szCs w:val="28"/>
              </w:rPr>
              <w:t>规定雷电临近预警流程、等级划分、防御指引及安装维护要求</w:t>
            </w:r>
          </w:p>
        </w:tc>
      </w:tr>
      <w:tr w14:paraId="4ED89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868" w:type="dxa"/>
            <w:vAlign w:val="center"/>
          </w:tcPr>
          <w:p w14:paraId="57E0F3E9">
            <w:pPr>
              <w:numPr>
                <w:ilvl w:val="255"/>
                <w:numId w:val="0"/>
              </w:numPr>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9</w:t>
            </w:r>
          </w:p>
        </w:tc>
        <w:tc>
          <w:tcPr>
            <w:tcW w:w="4378" w:type="dxa"/>
            <w:vAlign w:val="center"/>
          </w:tcPr>
          <w:p w14:paraId="6BFA0796">
            <w:pPr>
              <w:numPr>
                <w:ilvl w:val="255"/>
                <w:numId w:val="0"/>
              </w:numP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28"/>
                <w:szCs w:val="28"/>
              </w:rPr>
              <w:t>防雷安全标志</w:t>
            </w:r>
          </w:p>
        </w:tc>
        <w:tc>
          <w:tcPr>
            <w:tcW w:w="4472" w:type="dxa"/>
          </w:tcPr>
          <w:p w14:paraId="7201EC71">
            <w:pPr>
              <w:numPr>
                <w:ilvl w:val="255"/>
                <w:numId w:val="0"/>
              </w:numPr>
              <w:rPr>
                <w:rFonts w:hint="eastAsia" w:ascii="仿宋_GB2312" w:hAnsi="仿宋_GB2312" w:eastAsia="仿宋_GB2312" w:cs="仿宋_GB2312"/>
                <w:kern w:val="0"/>
                <w:sz w:val="28"/>
                <w:szCs w:val="28"/>
              </w:rPr>
            </w:pPr>
            <w:r>
              <w:rPr>
                <w:rFonts w:ascii="仿宋_GB2312" w:hAnsi="仿宋_GB2312" w:eastAsia="仿宋_GB2312" w:cs="仿宋_GB2312"/>
                <w:kern w:val="0"/>
                <w:sz w:val="28"/>
                <w:szCs w:val="28"/>
              </w:rPr>
              <w:t>规定防雷安全标志的方式、作用、设置要求及应设置的区域和对象。</w:t>
            </w:r>
          </w:p>
        </w:tc>
      </w:tr>
    </w:tbl>
    <w:p w14:paraId="66C1CA4B">
      <w:pPr>
        <w:spacing w:line="560" w:lineRule="exact"/>
        <w:ind w:firstLine="640" w:firstLineChars="200"/>
        <w:jc w:val="left"/>
        <w:rPr>
          <w:rFonts w:hint="eastAsia" w:ascii="楷体_GB2312" w:hAnsi="楷体_GB2312" w:eastAsia="楷体_GB2312" w:cs="楷体_GB2312"/>
          <w:bCs/>
          <w:kern w:val="0"/>
          <w:sz w:val="32"/>
          <w:szCs w:val="32"/>
        </w:rPr>
      </w:pPr>
      <w:r>
        <w:rPr>
          <w:rFonts w:hint="eastAsia" w:ascii="楷体_GB2312" w:hAnsi="楷体_GB2312" w:eastAsia="楷体_GB2312" w:cs="楷体_GB2312"/>
          <w:bCs/>
          <w:kern w:val="0"/>
          <w:sz w:val="32"/>
          <w:szCs w:val="32"/>
        </w:rPr>
        <w:t>（三）确定依据</w:t>
      </w:r>
    </w:p>
    <w:p w14:paraId="337A8766">
      <w:pPr>
        <w:numPr>
          <w:ilvl w:val="255"/>
          <w:numId w:val="0"/>
        </w:numPr>
        <w:spacing w:line="560" w:lineRule="exact"/>
        <w:ind w:firstLine="640" w:firstLineChars="200"/>
        <w:jc w:val="left"/>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本标准编制过程中参考了粤港澳三地相关的法律法规、政策文件，以及国内外先进的防雷技术标准和规范。如</w:t>
      </w:r>
      <w:r>
        <w:rPr>
          <w:rFonts w:hint="eastAsia" w:ascii="仿宋_GB2312" w:hAnsi="仿宋_GB2312" w:eastAsia="仿宋_GB2312" w:cs="仿宋_GB2312"/>
          <w:kern w:val="0"/>
          <w:sz w:val="32"/>
          <w:szCs w:val="32"/>
        </w:rPr>
        <w:t>《</w:t>
      </w:r>
      <w:r>
        <w:rPr>
          <w:rFonts w:ascii="仿宋_GB2312" w:hAnsi="仿宋_GB2312" w:eastAsia="仿宋_GB2312" w:cs="仿宋_GB2312"/>
          <w:kern w:val="0"/>
          <w:sz w:val="32"/>
          <w:szCs w:val="32"/>
        </w:rPr>
        <w:t>广东省防御雷电灾害管理规定》（广东省人民政府令第284号）</w:t>
      </w:r>
      <w:r>
        <w:rPr>
          <w:rFonts w:hint="eastAsia" w:ascii="仿宋_GB2312" w:hAnsi="仿宋_GB2312" w:eastAsia="仿宋_GB2312" w:cs="仿宋_GB2312"/>
          <w:kern w:val="0"/>
          <w:sz w:val="32"/>
          <w:szCs w:val="32"/>
        </w:rPr>
        <w:t>第三章要求</w:t>
      </w:r>
      <w:r>
        <w:rPr>
          <w:rFonts w:ascii="仿宋_GB2312" w:hAnsi="仿宋_GB2312" w:eastAsia="仿宋_GB2312" w:cs="仿宋_GB2312"/>
          <w:kern w:val="0"/>
          <w:sz w:val="32"/>
          <w:szCs w:val="32"/>
        </w:rPr>
        <w:t>、《香港天文台条例》、《澳门特别行政区基本法》</w:t>
      </w:r>
      <w:r>
        <w:rPr>
          <w:rFonts w:hint="eastAsia" w:ascii="仿宋_GB2312" w:hAnsi="仿宋_GB2312" w:eastAsia="仿宋_GB2312" w:cs="仿宋_GB2312"/>
          <w:kern w:val="0"/>
          <w:sz w:val="32"/>
          <w:szCs w:val="32"/>
        </w:rPr>
        <w:t>等相关法律法规；</w:t>
      </w:r>
      <w:r>
        <w:rPr>
          <w:rFonts w:ascii="仿宋_GB2312" w:hAnsi="仿宋_GB2312" w:eastAsia="仿宋_GB2312" w:cs="仿宋_GB2312"/>
          <w:kern w:val="0"/>
          <w:sz w:val="32"/>
          <w:szCs w:val="32"/>
        </w:rPr>
        <w:t>GB 50057 - 2010《建筑物防雷设计规范》、GB 50343《建筑物电子信息系统防雷技术规范》</w:t>
      </w:r>
      <w:r>
        <w:rPr>
          <w:rFonts w:hint="eastAsia" w:ascii="仿宋_GB2312" w:hAnsi="仿宋_GB2312" w:eastAsia="仿宋_GB2312" w:cs="仿宋_GB2312"/>
          <w:kern w:val="0"/>
          <w:sz w:val="32"/>
          <w:szCs w:val="32"/>
        </w:rPr>
        <w:t>、GB/T 31067—2014《桥梁防雷技术规范》</w:t>
      </w:r>
      <w:r>
        <w:rPr>
          <w:rFonts w:ascii="仿宋_GB2312" w:hAnsi="仿宋_GB2312" w:eastAsia="仿宋_GB2312" w:cs="仿宋_GB2312"/>
          <w:kern w:val="0"/>
          <w:sz w:val="32"/>
          <w:szCs w:val="32"/>
        </w:rPr>
        <w:t>等国家标准，以及国际电工委员会IEC</w:t>
      </w:r>
      <w:r>
        <w:rPr>
          <w:rFonts w:hint="eastAsia" w:ascii="仿宋_GB2312" w:hAnsi="仿宋_GB2312" w:eastAsia="仿宋_GB2312" w:cs="仿宋_GB2312"/>
          <w:kern w:val="0"/>
          <w:sz w:val="32"/>
          <w:szCs w:val="32"/>
        </w:rPr>
        <w:t xml:space="preserve"> 61643（对应GB/T 18802）《低压电涌保护器》、</w:t>
      </w:r>
      <w:r>
        <w:rPr>
          <w:rFonts w:ascii="仿宋_GB2312" w:hAnsi="仿宋_GB2312" w:eastAsia="仿宋_GB2312" w:cs="仿宋_GB2312"/>
          <w:kern w:val="0"/>
          <w:sz w:val="32"/>
          <w:szCs w:val="32"/>
        </w:rPr>
        <w:t>IEC</w:t>
      </w:r>
      <w:r>
        <w:rPr>
          <w:rFonts w:hint="eastAsia" w:ascii="仿宋_GB2312" w:hAnsi="仿宋_GB2312" w:eastAsia="仿宋_GB2312" w:cs="仿宋_GB2312"/>
          <w:kern w:val="0"/>
          <w:sz w:val="32"/>
          <w:szCs w:val="32"/>
        </w:rPr>
        <w:t xml:space="preserve"> 62305（对应GB/T 21714）《雷电防护》、</w:t>
      </w:r>
      <w:r>
        <w:rPr>
          <w:rFonts w:ascii="仿宋_GB2312" w:hAnsi="仿宋_GB2312" w:eastAsia="仿宋_GB2312" w:cs="仿宋_GB2312"/>
          <w:kern w:val="0"/>
          <w:sz w:val="32"/>
          <w:szCs w:val="32"/>
        </w:rPr>
        <w:t>IEC</w:t>
      </w:r>
      <w:r>
        <w:rPr>
          <w:rFonts w:hint="eastAsia" w:ascii="仿宋_GB2312" w:hAnsi="仿宋_GB2312" w:eastAsia="仿宋_GB2312" w:cs="仿宋_GB2312"/>
          <w:kern w:val="0"/>
          <w:sz w:val="32"/>
          <w:szCs w:val="32"/>
        </w:rPr>
        <w:t xml:space="preserve"> 62561（对应GB/T 33588）《雷电防护系统部件（LPSC）》、</w:t>
      </w:r>
      <w:r>
        <w:rPr>
          <w:rFonts w:ascii="仿宋_GB2312" w:hAnsi="仿宋_GB2312" w:eastAsia="仿宋_GB2312" w:cs="仿宋_GB2312"/>
          <w:kern w:val="0"/>
          <w:sz w:val="32"/>
          <w:szCs w:val="32"/>
        </w:rPr>
        <w:t>IEC</w:t>
      </w:r>
      <w:r>
        <w:rPr>
          <w:rFonts w:hint="eastAsia" w:ascii="仿宋_GB2312" w:hAnsi="仿宋_GB2312" w:eastAsia="仿宋_GB2312" w:cs="仿宋_GB2312"/>
          <w:kern w:val="0"/>
          <w:sz w:val="32"/>
          <w:szCs w:val="32"/>
        </w:rPr>
        <w:t xml:space="preserve"> 62793（对应GB/T 38121）《雷电防护 雷暴预警系统》</w:t>
      </w:r>
      <w:r>
        <w:rPr>
          <w:rFonts w:ascii="仿宋_GB2312" w:hAnsi="仿宋_GB2312" w:eastAsia="仿宋_GB2312" w:cs="仿宋_GB2312"/>
          <w:kern w:val="0"/>
          <w:sz w:val="32"/>
          <w:szCs w:val="32"/>
        </w:rPr>
        <w:t>等，确保标准内容与国内外先进水平接轨，同时结合粤港澳大湾区桥岛隧工程的实际情况，制定出符合当地需求的防雷技术规范。</w:t>
      </w:r>
    </w:p>
    <w:p w14:paraId="4F077380">
      <w:pPr>
        <w:pStyle w:val="9"/>
        <w:spacing w:line="560" w:lineRule="exact"/>
        <w:ind w:firstLine="640"/>
        <w:jc w:val="left"/>
        <w:rPr>
          <w:rFonts w:hint="eastAsia" w:ascii="黑体" w:hAnsi="黑体" w:eastAsia="黑体" w:cs="黑体"/>
          <w:kern w:val="0"/>
          <w:sz w:val="32"/>
          <w:szCs w:val="32"/>
        </w:rPr>
      </w:pPr>
      <w:r>
        <w:rPr>
          <w:rFonts w:hint="eastAsia" w:ascii="黑体" w:hAnsi="黑体" w:eastAsia="黑体" w:cs="黑体"/>
          <w:kern w:val="0"/>
          <w:sz w:val="32"/>
          <w:szCs w:val="32"/>
        </w:rPr>
        <w:t>四、标准的先进性和特色性</w:t>
      </w:r>
    </w:p>
    <w:p w14:paraId="6BE6D841">
      <w:pPr>
        <w:spacing w:line="560" w:lineRule="exact"/>
        <w:ind w:firstLine="640" w:firstLineChars="200"/>
        <w:jc w:val="left"/>
        <w:rPr>
          <w:rFonts w:hint="eastAsia" w:ascii="仿宋_GB2312" w:hAnsi="仿宋_GB2312" w:eastAsia="仿宋_GB2312" w:cs="仿宋_GB2312"/>
          <w:sz w:val="32"/>
          <w:szCs w:val="32"/>
        </w:rPr>
      </w:pPr>
      <w:bookmarkStart w:id="2" w:name="OLE_LINK6"/>
      <w:r>
        <w:rPr>
          <w:rFonts w:hint="eastAsia" w:ascii="楷体_GB2312" w:hAnsi="楷体_GB2312" w:eastAsia="楷体_GB2312" w:cs="楷体_GB2312"/>
          <w:bCs/>
          <w:kern w:val="2"/>
          <w:sz w:val="32"/>
          <w:szCs w:val="32"/>
        </w:rPr>
        <w:t>（一）</w:t>
      </w:r>
      <w:r>
        <w:rPr>
          <w:rFonts w:hint="eastAsia" w:ascii="楷体_GB2312" w:hAnsi="楷体_GB2312" w:eastAsia="楷体_GB2312" w:cs="楷体_GB2312"/>
          <w:bCs/>
          <w:sz w:val="32"/>
          <w:szCs w:val="32"/>
        </w:rPr>
        <w:t>填补技术空白</w:t>
      </w:r>
      <w:r>
        <w:rPr>
          <w:rFonts w:hint="eastAsia" w:ascii="楷体_GB2312" w:hAnsi="楷体_GB2312" w:eastAsia="楷体_GB2312" w:cs="楷体_GB2312"/>
          <w:bCs/>
          <w:sz w:val="32"/>
          <w:szCs w:val="32"/>
        </w:rPr>
        <w:t>。</w:t>
      </w:r>
      <w:r>
        <w:rPr>
          <w:rFonts w:hint="eastAsia" w:ascii="仿宋_GB2312" w:hAnsi="仿宋_GB2312" w:eastAsia="仿宋_GB2312" w:cs="仿宋_GB2312"/>
          <w:sz w:val="32"/>
          <w:szCs w:val="32"/>
        </w:rPr>
        <w:t>本标准是国内首个针对桥岛隧一体化建（构）筑物防雷的技术规范，填补了该领域的技术空白。系统地规定了桥岛隧防雷的各个方面，从直击雷防护、雷击电磁脉冲防护到雷电防护装置检测和临近预警，为桥岛隧防雷工程提供了全面、科学的技术指导。</w:t>
      </w:r>
    </w:p>
    <w:p w14:paraId="12031EE4">
      <w:pPr>
        <w:spacing w:line="560" w:lineRule="exact"/>
        <w:ind w:firstLine="640"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Cs/>
          <w:sz w:val="32"/>
          <w:szCs w:val="32"/>
        </w:rPr>
        <w:t>（二）创新防雷技术</w:t>
      </w:r>
      <w:r>
        <w:rPr>
          <w:rFonts w:hint="eastAsia" w:ascii="楷体_GB2312" w:hAnsi="楷体_GB2312" w:eastAsia="楷体_GB2312" w:cs="楷体_GB2312"/>
          <w:bCs/>
          <w:sz w:val="32"/>
          <w:szCs w:val="32"/>
        </w:rPr>
        <w:t>。</w:t>
      </w:r>
      <w:r>
        <w:rPr>
          <w:rFonts w:hint="eastAsia" w:ascii="仿宋_GB2312" w:hAnsi="仿宋_GB2312" w:eastAsia="仿宋_GB2312" w:cs="仿宋_GB2312"/>
          <w:sz w:val="32"/>
          <w:szCs w:val="32"/>
        </w:rPr>
        <w:t>提出了一系列创新的防雷技术和方法。例如，在接地装置方面，通过对建筑物钢筋连接点冲击和工频电流试验、钢筋混凝土导电性能研究等，确定了适宜的接地装置型式和参数；在雷击电磁脉冲防护方面，创建了基于气象要素的单站式雷电监测预警系统，实现对雷电活动的实时监测、全方位感知和三级临近预警；在水上桥墩基础装置防雷检测方面，采用了接地阻值检测借用法，解决了常规检测方法不适用于水上桥墩的难题。</w:t>
      </w:r>
    </w:p>
    <w:p w14:paraId="1CC4CC40">
      <w:pPr>
        <w:spacing w:line="560" w:lineRule="exact"/>
        <w:ind w:firstLine="640"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Cs/>
          <w:sz w:val="32"/>
          <w:szCs w:val="32"/>
        </w:rPr>
        <w:t>（三）结合工程实际。</w:t>
      </w:r>
      <w:r>
        <w:rPr>
          <w:rFonts w:hint="eastAsia" w:ascii="仿宋_GB2312" w:hAnsi="仿宋_GB2312" w:eastAsia="仿宋_GB2312" w:cs="仿宋_GB2312"/>
          <w:sz w:val="32"/>
          <w:szCs w:val="32"/>
        </w:rPr>
        <w:t>紧密结合粤港澳大湾区桥岛隧工程建设和运营的实际需求，充分考虑了当地的气候、地形、地质等因素，以及桥岛隧一体化建（构）筑物的结构特点和功能要求。标准中的各项技术要求和措施具有很强的针对性和实用性，能够有效指导工程实践，提高桥岛隧防雷工程的质量和效果。</w:t>
      </w:r>
    </w:p>
    <w:p w14:paraId="44DC684D">
      <w:pPr>
        <w:spacing w:line="560" w:lineRule="exact"/>
        <w:ind w:firstLine="640"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Cs/>
          <w:sz w:val="32"/>
          <w:szCs w:val="32"/>
        </w:rPr>
        <w:t>（四）注重综合防护。</w:t>
      </w:r>
      <w:r>
        <w:rPr>
          <w:rFonts w:hint="eastAsia" w:ascii="仿宋_GB2312" w:hAnsi="仿宋_GB2312" w:eastAsia="仿宋_GB2312" w:cs="仿宋_GB2312"/>
          <w:sz w:val="32"/>
          <w:szCs w:val="32"/>
        </w:rPr>
        <w:t>强调防雷的综合防护理念，不仅关注外部防雷装置（接闪器、引下线、接地装置）的设计和施工，还重视内部防雷装置（等电位连接、屏蔽、电涌保护器）的作用，以及雷电监测预警和防雷安全标志等方面的内容。通过全方位、多层次的防护措施，提高桥岛隧一体化建（构）筑物整体的防雷能力。</w:t>
      </w:r>
    </w:p>
    <w:bookmarkEnd w:id="2"/>
    <w:p w14:paraId="569A1C86">
      <w:pPr>
        <w:pStyle w:val="9"/>
        <w:spacing w:line="560" w:lineRule="exact"/>
        <w:ind w:firstLine="640"/>
        <w:jc w:val="left"/>
        <w:rPr>
          <w:rFonts w:hint="eastAsia" w:ascii="黑体" w:hAnsi="黑体" w:eastAsia="黑体" w:cs="黑体"/>
          <w:kern w:val="0"/>
          <w:sz w:val="32"/>
          <w:szCs w:val="32"/>
        </w:rPr>
      </w:pPr>
      <w:r>
        <w:rPr>
          <w:rFonts w:hint="eastAsia" w:ascii="黑体" w:hAnsi="黑体" w:eastAsia="黑体" w:cs="黑体"/>
          <w:kern w:val="0"/>
          <w:sz w:val="32"/>
          <w:szCs w:val="32"/>
        </w:rPr>
        <w:t>五、</w:t>
      </w:r>
      <w:bookmarkStart w:id="3" w:name="OLE_LINK1"/>
      <w:r>
        <w:rPr>
          <w:rFonts w:hint="eastAsia" w:ascii="黑体" w:hAnsi="黑体" w:eastAsia="黑体" w:cs="黑体"/>
          <w:kern w:val="0"/>
          <w:sz w:val="32"/>
          <w:szCs w:val="32"/>
        </w:rPr>
        <w:t>标准调研、研讨、征求意见情况</w:t>
      </w:r>
      <w:bookmarkEnd w:id="3"/>
    </w:p>
    <w:p w14:paraId="7145369D">
      <w:pPr>
        <w:spacing w:line="56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sz w:val="32"/>
          <w:szCs w:val="32"/>
        </w:rPr>
        <w:t>（一）</w:t>
      </w:r>
      <w:bookmarkStart w:id="4" w:name="OLE_LINK8"/>
      <w:r>
        <w:rPr>
          <w:rFonts w:hint="eastAsia" w:ascii="楷体_GB2312" w:hAnsi="楷体_GB2312" w:eastAsia="楷体_GB2312" w:cs="楷体_GB2312"/>
          <w:bCs/>
          <w:sz w:val="32"/>
          <w:szCs w:val="32"/>
        </w:rPr>
        <w:t>2022年5月中旬，成立工作组。</w:t>
      </w:r>
      <w:bookmarkStart w:id="5" w:name="OLE_LINK9"/>
      <w:r>
        <w:rPr>
          <w:rFonts w:hint="eastAsia" w:ascii="仿宋_GB2312" w:hAnsi="仿宋_GB2312" w:eastAsia="仿宋_GB2312" w:cs="仿宋_GB2312"/>
          <w:sz w:val="32"/>
          <w:szCs w:val="32"/>
        </w:rPr>
        <w:t>工作组于2022年5月18日在中山市召开会议，明确了标准编写计划以及各单位的技术分工。与会者就本标准的范围、术语和定义、内容和期望等充分表达了意见，并提出许多有益的建议</w:t>
      </w:r>
      <w:bookmarkEnd w:id="4"/>
      <w:r>
        <w:rPr>
          <w:rFonts w:hint="eastAsia" w:ascii="仿宋_GB2312" w:hAnsi="仿宋_GB2312" w:eastAsia="仿宋_GB2312" w:cs="仿宋_GB2312"/>
          <w:sz w:val="32"/>
          <w:szCs w:val="32"/>
        </w:rPr>
        <w:t>。</w:t>
      </w:r>
    </w:p>
    <w:bookmarkEnd w:id="5"/>
    <w:p w14:paraId="074D217F">
      <w:pPr>
        <w:spacing w:line="560" w:lineRule="exact"/>
        <w:ind w:firstLine="640"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Cs/>
          <w:sz w:val="32"/>
          <w:szCs w:val="32"/>
        </w:rPr>
        <w:t>（二）2023年6月中旬，标准技术分析及确定标准框架。</w:t>
      </w:r>
      <w:r>
        <w:rPr>
          <w:rFonts w:hint="eastAsia" w:ascii="仿宋_GB2312" w:hAnsi="仿宋_GB2312" w:eastAsia="仿宋_GB2312" w:cs="仿宋_GB2312"/>
          <w:sz w:val="32"/>
          <w:szCs w:val="32"/>
        </w:rPr>
        <w:t>工作小组开始资料搜集工作调研，汇总整理相关材料及国内外相关标准，结合桥岛隧一体化建（构）筑物雷电防护装置的法律法规，进行深入研究分析，并对相关标准的主要技术问题进行分析、对比，初步确定本标准的框架，形成标准讨论稿。</w:t>
      </w:r>
    </w:p>
    <w:p w14:paraId="350AAD60">
      <w:pPr>
        <w:spacing w:line="560" w:lineRule="exact"/>
        <w:ind w:firstLine="640"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Cs/>
          <w:sz w:val="32"/>
          <w:szCs w:val="32"/>
        </w:rPr>
        <w:t>（三）2023年8月上旬，标准调研。</w:t>
      </w:r>
      <w:r>
        <w:rPr>
          <w:rFonts w:hint="eastAsia" w:ascii="仿宋_GB2312" w:hAnsi="仿宋_GB2312" w:eastAsia="仿宋_GB2312" w:cs="仿宋_GB2312"/>
          <w:sz w:val="32"/>
          <w:szCs w:val="32"/>
        </w:rPr>
        <w:t>工作小组开展了相关调研工作，组织专家对桥岛隧一体化建（构）筑物雷电防护装置的现状进行现场深入调研。</w:t>
      </w:r>
    </w:p>
    <w:p w14:paraId="75AA041A">
      <w:pPr>
        <w:spacing w:line="560" w:lineRule="exact"/>
        <w:ind w:firstLine="640"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工作小组在标准讨论稿大纲、工作调研和试验验证的基础上，开展修正并完善标准讨论稿细节工作，形成标准征求意见稿。</w:t>
      </w:r>
    </w:p>
    <w:p w14:paraId="166C5D8C">
      <w:pPr>
        <w:spacing w:line="56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sz w:val="32"/>
          <w:szCs w:val="32"/>
        </w:rPr>
        <w:t>（四）2024年8月中下旬，</w:t>
      </w:r>
      <w:bookmarkStart w:id="6" w:name="OLE_LINK10"/>
      <w:r>
        <w:rPr>
          <w:rFonts w:hint="eastAsia" w:ascii="楷体_GB2312" w:hAnsi="楷体_GB2312" w:eastAsia="楷体_GB2312" w:cs="楷体_GB2312"/>
          <w:bCs/>
          <w:sz w:val="32"/>
          <w:szCs w:val="32"/>
        </w:rPr>
        <w:t>形成标准征求意见稿。</w:t>
      </w:r>
      <w:bookmarkEnd w:id="6"/>
      <w:r>
        <w:rPr>
          <w:rFonts w:hint="eastAsia" w:ascii="仿宋_GB2312" w:hAnsi="仿宋_GB2312" w:eastAsia="仿宋_GB2312" w:cs="仿宋_GB2312"/>
          <w:sz w:val="32"/>
          <w:szCs w:val="32"/>
        </w:rPr>
        <w:t>标准工作小组将标准《征求意见稿》发送给多家相关企业、研究机构、交通系统和专家，公开征求意见。</w:t>
      </w:r>
    </w:p>
    <w:p w14:paraId="564D8053">
      <w:pPr>
        <w:spacing w:line="56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sz w:val="32"/>
          <w:szCs w:val="32"/>
        </w:rPr>
        <w:t>（五）2024年9月下旬，形成标准送审稿。</w:t>
      </w:r>
      <w:r>
        <w:rPr>
          <w:rFonts w:hint="eastAsia" w:ascii="仿宋_GB2312" w:hAnsi="仿宋_GB2312" w:eastAsia="仿宋_GB2312" w:cs="仿宋_GB2312"/>
          <w:sz w:val="32"/>
          <w:szCs w:val="32"/>
        </w:rPr>
        <w:t>工作小组针对标准《征求意见稿》收集到的反馈意见，召开工作组会议进行研究、分析，确定处理意见。针对标准的整体协调性、用语一致性及雷电防护特性等方面存在的问题，进一步研讨和完善。本标准经修改后，形成《送审稿》。</w:t>
      </w:r>
    </w:p>
    <w:p w14:paraId="7640E064">
      <w:pPr>
        <w:spacing w:line="56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bCs/>
          <w:sz w:val="32"/>
          <w:szCs w:val="32"/>
        </w:rPr>
        <w:t>（六）2024年10月中旬，通过团体标准审批会。</w:t>
      </w:r>
      <w:r>
        <w:rPr>
          <w:rFonts w:hint="eastAsia" w:ascii="仿宋_GB2312" w:hAnsi="仿宋_GB2312" w:eastAsia="仿宋_GB2312" w:cs="仿宋_GB2312"/>
          <w:bCs w:val="0"/>
          <w:sz w:val="32"/>
          <w:szCs w:val="32"/>
        </w:rPr>
        <w:t>在广州组织召开了标准的审批会，</w:t>
      </w:r>
      <w:r>
        <w:rPr>
          <w:rFonts w:hint="eastAsia" w:ascii="仿宋_GB2312" w:hAnsi="仿宋_GB2312" w:eastAsia="仿宋_GB2312" w:cs="仿宋_GB2312"/>
          <w:sz w:val="32"/>
          <w:szCs w:val="32"/>
        </w:rPr>
        <w:t>与会</w:t>
      </w:r>
      <w:r>
        <w:rPr>
          <w:rFonts w:hint="eastAsia" w:ascii="仿宋_GB2312" w:hAnsi="仿宋_GB2312" w:eastAsia="仿宋_GB2312" w:cs="仿宋_GB2312"/>
          <w:bCs w:val="0"/>
          <w:sz w:val="32"/>
          <w:szCs w:val="32"/>
        </w:rPr>
        <w:t>专家对标准文本及相关资料进行了审查和质询，一致同意该标准通过审批。</w:t>
      </w:r>
    </w:p>
    <w:p w14:paraId="31ED6047">
      <w:pPr>
        <w:spacing w:line="56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（七）2024年10月下旬，团体标准通过并予以公告。</w:t>
      </w:r>
      <w:r>
        <w:rPr>
          <w:rFonts w:hint="eastAsia" w:ascii="仿宋_GB2312" w:hAnsi="仿宋_GB2312" w:eastAsia="仿宋_GB2312" w:cs="仿宋_GB2312"/>
          <w:bCs w:val="0"/>
          <w:sz w:val="32"/>
          <w:szCs w:val="32"/>
        </w:rPr>
        <w:t>广东省气象防灾减灾协会</w:t>
      </w:r>
      <w:r>
        <w:rPr>
          <w:rFonts w:hint="eastAsia" w:ascii="仿宋_GB2312" w:hAnsi="仿宋_GB2312" w:eastAsia="仿宋_GB2312" w:cs="仿宋_GB2312"/>
          <w:sz w:val="32"/>
          <w:szCs w:val="32"/>
        </w:rPr>
        <w:t>发布粤气协会</w:t>
      </w:r>
      <w:r>
        <w:rPr>
          <w:rFonts w:hint="eastAsia" w:ascii="Times New Roman" w:hAnsi="Times New Roman" w:eastAsia="仿宋_GB2312" w:cs="Times New Roman"/>
          <w:sz w:val="32"/>
          <w:szCs w:val="32"/>
        </w:rPr>
        <w:t>[2024] 2</w:t>
      </w:r>
      <w:r>
        <w:rPr>
          <w:rFonts w:hint="eastAsia" w:ascii="仿宋_GB2312" w:hAnsi="仿宋_GB2312" w:eastAsia="仿宋_GB2312" w:cs="仿宋_GB2312"/>
          <w:sz w:val="32"/>
          <w:szCs w:val="32"/>
        </w:rPr>
        <w:t>号文，</w:t>
      </w:r>
      <w:r>
        <w:rPr>
          <w:rFonts w:hint="eastAsia" w:ascii="仿宋_GB2312" w:hAnsi="仿宋_GB2312" w:eastAsia="仿宋_GB2312" w:cs="仿宋_GB2312"/>
          <w:bCs w:val="0"/>
          <w:sz w:val="32"/>
          <w:szCs w:val="32"/>
        </w:rPr>
        <w:t>团体标准</w:t>
      </w:r>
      <w:r>
        <w:rPr>
          <w:rFonts w:hint="eastAsia" w:ascii="Times New Roman" w:hAnsi="Times New Roman" w:eastAsia="仿宋_GB2312" w:cs="Times New Roman"/>
          <w:bCs w:val="0"/>
          <w:sz w:val="32"/>
          <w:szCs w:val="32"/>
        </w:rPr>
        <w:t>T/GAMDPM016-2024</w:t>
      </w:r>
      <w:r>
        <w:rPr>
          <w:rFonts w:hint="eastAsia" w:ascii="仿宋_GB2312" w:hAnsi="仿宋_GB2312" w:eastAsia="仿宋_GB2312" w:cs="仿宋_GB2312"/>
          <w:sz w:val="32"/>
          <w:szCs w:val="32"/>
        </w:rPr>
        <w:t>《桥岛隧一体化建（构）筑物防雷技术规范》通过协会团体标准化委员会审议，并予公告。</w:t>
      </w:r>
    </w:p>
    <w:p w14:paraId="470DF262">
      <w:pPr>
        <w:pStyle w:val="9"/>
        <w:spacing w:line="560" w:lineRule="exact"/>
        <w:ind w:firstLine="640"/>
        <w:jc w:val="left"/>
        <w:rPr>
          <w:rFonts w:hint="eastAsia" w:ascii="黑体" w:hAnsi="黑体" w:eastAsia="黑体" w:cs="黑体"/>
          <w:kern w:val="0"/>
          <w:sz w:val="32"/>
          <w:szCs w:val="32"/>
        </w:rPr>
      </w:pPr>
      <w:r>
        <w:rPr>
          <w:rFonts w:hint="eastAsia" w:ascii="黑体" w:hAnsi="黑体" w:eastAsia="黑体" w:cs="黑体"/>
          <w:kern w:val="0"/>
          <w:sz w:val="32"/>
          <w:szCs w:val="32"/>
        </w:rPr>
        <w:t>六、重大分歧意见的处理经过和依据</w:t>
      </w:r>
    </w:p>
    <w:p w14:paraId="7D187EAD">
      <w:pPr>
        <w:spacing w:line="560" w:lineRule="exact"/>
        <w:ind w:firstLine="640" w:firstLineChars="200"/>
        <w:jc w:val="left"/>
        <w:rPr>
          <w:rFonts w:hint="eastAsia" w:ascii="仿宋_GB2312" w:hAnsi="仿宋_GB2312" w:eastAsia="仿宋_GB2312" w:cs="仿宋_GB2312"/>
          <w:sz w:val="32"/>
          <w:szCs w:val="32"/>
        </w:rPr>
      </w:pPr>
      <w:bookmarkStart w:id="7" w:name="OLE_LINK11"/>
      <w:r>
        <w:rPr>
          <w:rFonts w:hint="eastAsia" w:ascii="仿宋_GB2312" w:hAnsi="仿宋_GB2312" w:eastAsia="仿宋_GB2312" w:cs="仿宋_GB2312"/>
          <w:sz w:val="32"/>
          <w:szCs w:val="32"/>
        </w:rPr>
        <w:t>在征求意见和专家审定过程中，未出现重大分歧意见。对于个别单位和专家提出的不同意见和建议，编制组进行了认真的研究和分析，与提出方进行了充分的沟通和交流，达成了一致意见。对于一些技术细节问题，通过进一步的试验研究和数据分析，确定了合理的解决方案，确保标准内容科学、合理、可行。</w:t>
      </w:r>
    </w:p>
    <w:bookmarkEnd w:id="7"/>
    <w:p w14:paraId="2FC0B453">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七、</w:t>
      </w:r>
      <w:bookmarkStart w:id="8" w:name="OLE_LINK12"/>
      <w:r>
        <w:rPr>
          <w:rFonts w:hint="eastAsia" w:ascii="黑体" w:hAnsi="黑体" w:eastAsia="黑体" w:cs="黑体"/>
          <w:kern w:val="0"/>
          <w:sz w:val="32"/>
          <w:szCs w:val="32"/>
        </w:rPr>
        <w:t>标准对比及采集情况分析</w:t>
      </w:r>
    </w:p>
    <w:p w14:paraId="0ED2A933">
      <w:pPr>
        <w:spacing w:line="560" w:lineRule="exact"/>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（一）国际标准</w:t>
      </w:r>
    </w:p>
    <w:p w14:paraId="42B1C339">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国际电工委员会（IEC）相关防雷标准相比，本标准在一些技术要求上与其保持一致，如防雷分区的概念、部分防雷装置的设置原则等。但在桥岛隧一体化建（构）筑物的特殊场景下，本标准根据粤港澳大湾区的实际情况，在接地装置、引下线、接闪器等方面进行了更详细的规定，以适应本地复杂的地理环境和高防雷要求。例如，在接地体最小长度的确定上，结合了本地土壤电阻率特点和桥岛隧结构特点进行优化；在接闪器布置方面，针对桥岛隧的不同部位和区域，提出了更具针对性的方案。</w:t>
      </w:r>
    </w:p>
    <w:p w14:paraId="389B364D">
      <w:pPr>
        <w:spacing w:line="560" w:lineRule="exact"/>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（二）国家标准</w:t>
      </w:r>
    </w:p>
    <w:p w14:paraId="357F0496">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相较于 GB 50057 - 2010《建筑物防雷设计规范》、 GB 50343《建筑物电子信息系统防雷技术规范》和GB/T 31067 - 2014《桥梁防雷技术规范》等国家标准，本标准在遵循其基本原则的基础上，针对桥岛隧一体化建（构）筑物的特殊性进行了拓展和细化。在直击雷防护方面，对桥岛隧的接闪器类型、布置位置及材料规格等规定更加具体，充分考虑了桥岛隧的结构形式和所处环境；在雷击电磁脉冲防护方面，结合桥岛隧内设备的特点，对电涌保护器（SPD）的配置选型、有效电压保护水平等提出了更严格的要求，以确保设备的安全运行。</w:t>
      </w:r>
    </w:p>
    <w:p w14:paraId="64DFB573">
      <w:pPr>
        <w:spacing w:line="560" w:lineRule="exact"/>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（三）行业标准</w:t>
      </w:r>
    </w:p>
    <w:p w14:paraId="7540D723">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与公路交通相关行业标准如 QX/T 729-2024《高速公路交通安全管控天气风险预警等级》和</w:t>
      </w:r>
      <w:r>
        <w:rPr>
          <w:rFonts w:hint="eastAsia" w:ascii="仿宋_GB2312" w:hAnsi="仿宋_GB2312" w:eastAsia="仿宋_GB2312" w:cs="仿宋_GB2312"/>
          <w:sz w:val="32"/>
          <w:szCs w:val="32"/>
          <w:highlight w:val="none"/>
        </w:rPr>
        <w:t>TG/T 3661</w:t>
      </w:r>
      <w:r>
        <w:rPr>
          <w:rFonts w:hint="eastAsia" w:ascii="仿宋_GB2312" w:hAnsi="仿宋_GB2312" w:eastAsia="仿宋_GB2312" w:cs="仿宋_GB2312"/>
          <w:sz w:val="32"/>
          <w:szCs w:val="32"/>
        </w:rPr>
        <w:t>《公路隧道交通工程与附属设施施工技术规范》相比，本标准在涵盖桥梁防雷内容的基础上，增加了隧道、人工岛等部分的防雷技术要求，形成了更全面的桥岛隧一体化防雷体系。同时，在防雷监测预警方面，本标准提出了更先进的基于气象要素的单站式雷电监测预警系统，实现了更精准的雷电监测和更及时有效的预警，提升了整个桥岛隧工程的防雷能力。</w:t>
      </w:r>
    </w:p>
    <w:p w14:paraId="538A5C2A">
      <w:pPr>
        <w:spacing w:line="560" w:lineRule="exact"/>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（四）其他省同类标准</w:t>
      </w:r>
    </w:p>
    <w:p w14:paraId="7DFE9A3C">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调研，其他省份目前尚未有专门针对桥岛隧一体化建（构）筑物防雷的标准。本标准的制定填补了这一领域的空白，在技术内容上结合粤港澳大湾区的特点，为桥岛隧防雷工程提供了全面、系统且具有地方特色的技术规范，对其他地区类似工程的防雷工作具有一定的参考价值。</w:t>
      </w:r>
    </w:p>
    <w:p w14:paraId="2B6FEDFA">
      <w:pPr>
        <w:spacing w:line="560" w:lineRule="exact"/>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（五）采标情况</w:t>
      </w:r>
    </w:p>
    <w:p w14:paraId="7420A695">
      <w:pPr>
        <w:spacing w:line="560" w:lineRule="exact"/>
        <w:ind w:firstLine="640" w:firstLineChars="200"/>
        <w:jc w:val="left"/>
        <w:rPr>
          <w:rFonts w:hint="eastAsia" w:ascii="黑体" w:hAnsi="黑体" w:eastAsia="黑体" w:cs="黑体"/>
          <w:kern w:val="0"/>
          <w:sz w:val="32"/>
          <w:szCs w:val="32"/>
        </w:rPr>
      </w:pPr>
      <w:r>
        <w:rPr>
          <w:rFonts w:hint="eastAsia" w:ascii="仿宋_GB2312" w:hAnsi="仿宋_GB2312" w:eastAsia="仿宋_GB2312" w:cs="仿宋_GB2312"/>
          <w:sz w:val="32"/>
          <w:szCs w:val="32"/>
        </w:rPr>
        <w:t>本标准在编制过程中，充分参考了国内外相关标准的先进技术和理念，但未直接采用或引用国际国外标准。而是根据粤港澳大湾区桥岛隧一体化建（构）筑物的实际情况，进行了自主创新和优化，确保标准内容符合本地工程需求，具有更强的针对性和实用性。</w:t>
      </w:r>
      <w:bookmarkEnd w:id="8"/>
    </w:p>
    <w:p w14:paraId="23A38AF5">
      <w:pPr>
        <w:pStyle w:val="9"/>
        <w:spacing w:line="560" w:lineRule="exact"/>
        <w:ind w:firstLine="640"/>
        <w:jc w:val="left"/>
        <w:rPr>
          <w:rFonts w:hint="eastAsia" w:ascii="黑体" w:hAnsi="黑体" w:eastAsia="黑体" w:cs="黑体"/>
          <w:kern w:val="0"/>
          <w:sz w:val="32"/>
          <w:szCs w:val="32"/>
        </w:rPr>
      </w:pPr>
      <w:r>
        <w:rPr>
          <w:rFonts w:hint="eastAsia" w:ascii="黑体" w:hAnsi="黑体" w:eastAsia="黑体" w:cs="黑体"/>
          <w:kern w:val="0"/>
          <w:sz w:val="32"/>
          <w:szCs w:val="32"/>
        </w:rPr>
        <w:t>八、涉及专利的有关说明</w:t>
      </w:r>
    </w:p>
    <w:p w14:paraId="659D9FD4">
      <w:pPr>
        <w:spacing w:line="240" w:lineRule="auto"/>
        <w:ind w:firstLine="640" w:firstLineChars="200"/>
        <w:jc w:val="both"/>
        <w:rPr>
          <w:rFonts w:hint="eastAsia" w:ascii="黑体" w:hAnsi="黑体" w:eastAsia="黑体" w:cs="黑体"/>
          <w:kern w:val="0"/>
          <w:sz w:val="32"/>
          <w:szCs w:val="32"/>
        </w:rPr>
      </w:pPr>
      <w:r>
        <w:rPr>
          <w:rFonts w:hint="eastAsia" w:ascii="楷体_GB2312" w:hAnsi="楷体_GB2312" w:eastAsia="楷体_GB2312" w:cs="楷体_GB2312"/>
          <w:bCs/>
          <w:sz w:val="32"/>
          <w:szCs w:val="32"/>
        </w:rPr>
        <w:t>无</w:t>
      </w:r>
    </w:p>
    <w:p w14:paraId="6B0975DC">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九、标准信息变更说明</w:t>
      </w:r>
    </w:p>
    <w:p w14:paraId="64FB5DB3">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1A4681B5">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b w:val="0"/>
          <w:bCs w:val="0"/>
          <w:kern w:val="0"/>
          <w:sz w:val="32"/>
          <w:szCs w:val="32"/>
        </w:rPr>
        <w:t>十、其他说明事项</w:t>
      </w:r>
    </w:p>
    <w:p w14:paraId="1DEAC2E4">
      <w:pPr>
        <w:spacing w:line="560" w:lineRule="exact"/>
        <w:ind w:firstLine="640" w:firstLineChars="200"/>
        <w:jc w:val="left"/>
        <w:rPr>
          <w:rFonts w:ascii="仿宋_GB2312" w:hAnsi="仿宋_GB2312" w:eastAsia="仿宋_GB2312" w:cs="仿宋_GB2312"/>
          <w:b w:val="0"/>
          <w:bCs w:val="0"/>
          <w:sz w:val="32"/>
          <w:szCs w:val="32"/>
        </w:rPr>
      </w:pPr>
      <w:r>
        <w:rPr>
          <w:rFonts w:hint="eastAsia" w:ascii="仿宋_GB2312" w:hAnsi="仿宋_GB2312" w:eastAsia="仿宋_GB2312" w:cs="仿宋_GB2312"/>
          <w:kern w:val="2"/>
          <w:sz w:val="32"/>
          <w:szCs w:val="32"/>
        </w:rPr>
        <w:t>无</w:t>
      </w:r>
    </w:p>
    <w:p w14:paraId="7CB678F8">
      <w:pPr>
        <w:spacing w:line="500" w:lineRule="exact"/>
        <w:ind w:firstLine="0" w:firstLineChars="0"/>
        <w:jc w:val="left"/>
        <w:rPr>
          <w:rFonts w:hint="eastAsia" w:ascii="仿宋_GB2312" w:hAnsi="仿宋_GB2312" w:eastAsia="仿宋_GB2312" w:cs="仿宋_GB2312"/>
          <w:sz w:val="32"/>
          <w:szCs w:val="32"/>
        </w:rPr>
      </w:pPr>
    </w:p>
    <w:p w14:paraId="7F4BC73D">
      <w:pPr>
        <w:spacing w:line="500" w:lineRule="exact"/>
        <w:ind w:right="-58"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标准工作小组</w:t>
      </w:r>
    </w:p>
    <w:p w14:paraId="192766D3">
      <w:pPr>
        <w:spacing w:line="240" w:lineRule="auto"/>
        <w:ind w:right="-58"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rPr>
        <w:t>年1</w:t>
      </w:r>
      <w:r>
        <w:rPr>
          <w:rFonts w:hint="eastAsia" w:ascii="仿宋_GB2312" w:hAnsi="仿宋_GB2312" w:eastAsia="仿宋_GB2312" w:cs="仿宋_GB2312"/>
          <w:sz w:val="32"/>
          <w:szCs w:val="32"/>
          <w:highlight w:val="none"/>
        </w:rPr>
        <w:t>0</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rPr>
        <w:t>日</w:t>
      </w:r>
    </w:p>
    <w:sectPr>
      <w:headerReference r:id="rId3" w:type="default"/>
      <w:footerReference r:id="rId4" w:type="default"/>
      <w:pgSz w:w="11906" w:h="16838"/>
      <w:pgMar w:top="2041" w:right="1531" w:bottom="187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8992C2-86F4-4FC3-9865-A32B4D9B9C3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embedRegular r:id="rId2" w:fontKey="{44F499D9-9D84-4A63-9F06-8BBAB86CB49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3" w:fontKey="{57C6C48E-C579-4C6D-9EAE-3D981B79BA5D}"/>
  </w:font>
  <w:font w:name="楷体_GB2312">
    <w:panose1 w:val="02010609030101010101"/>
    <w:charset w:val="86"/>
    <w:family w:val="auto"/>
    <w:pitch w:val="default"/>
    <w:sig w:usb0="00000001" w:usb1="080E0000" w:usb2="00000000" w:usb3="00000000" w:csb0="00040000" w:csb1="00000000"/>
    <w:embedRegular r:id="rId4" w:fontKey="{E8595118-1D11-4C4A-95DA-EE2775E47F0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032AF">
    <w:pPr>
      <w:pStyle w:val="3"/>
      <w:jc w:val="center"/>
    </w:pPr>
    <w:r>
      <w:fldChar w:fldCharType="begin"/>
    </w:r>
    <w:r>
      <w:instrText xml:space="preserve"> PAGE   \* MERGEFORMAT </w:instrText>
    </w:r>
    <w:r>
      <w:fldChar w:fldCharType="separate"/>
    </w:r>
    <w:r>
      <w:rPr>
        <w:lang w:val="zh-CN"/>
      </w:rPr>
      <w:t>6</w:t>
    </w:r>
    <w:r>
      <w:fldChar w:fldCharType="end"/>
    </w:r>
  </w:p>
  <w:p w14:paraId="01255A31">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11C3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0YzE2OGE2MTU5ZDE2NTg4YzNmMGIxMjEyNWM5ZGYifQ=="/>
  </w:docVars>
  <w:rsids>
    <w:rsidRoot w:val="00535392"/>
    <w:rsid w:val="001401AD"/>
    <w:rsid w:val="00535392"/>
    <w:rsid w:val="00580721"/>
    <w:rsid w:val="00836BF8"/>
    <w:rsid w:val="00880491"/>
    <w:rsid w:val="00AD398B"/>
    <w:rsid w:val="00D95A0A"/>
    <w:rsid w:val="00FC3E1B"/>
    <w:rsid w:val="01086C64"/>
    <w:rsid w:val="04253689"/>
    <w:rsid w:val="0539563E"/>
    <w:rsid w:val="056C144F"/>
    <w:rsid w:val="0635502C"/>
    <w:rsid w:val="06471FDD"/>
    <w:rsid w:val="06623A4E"/>
    <w:rsid w:val="07FD6DF7"/>
    <w:rsid w:val="083D1273"/>
    <w:rsid w:val="085F360E"/>
    <w:rsid w:val="08E92ED7"/>
    <w:rsid w:val="097924AD"/>
    <w:rsid w:val="09AF4121"/>
    <w:rsid w:val="0A586566"/>
    <w:rsid w:val="0AA277E2"/>
    <w:rsid w:val="0CCD48BE"/>
    <w:rsid w:val="0D18022F"/>
    <w:rsid w:val="0D6E42F3"/>
    <w:rsid w:val="0DBA3094"/>
    <w:rsid w:val="0E26072A"/>
    <w:rsid w:val="0EAD7CFF"/>
    <w:rsid w:val="0FCE2E27"/>
    <w:rsid w:val="12EA7F78"/>
    <w:rsid w:val="13D05B9A"/>
    <w:rsid w:val="16753FFC"/>
    <w:rsid w:val="168A74AD"/>
    <w:rsid w:val="17C74D2B"/>
    <w:rsid w:val="180F222F"/>
    <w:rsid w:val="18133ACD"/>
    <w:rsid w:val="181A30AD"/>
    <w:rsid w:val="190607B4"/>
    <w:rsid w:val="1998697F"/>
    <w:rsid w:val="1B53057B"/>
    <w:rsid w:val="1C69015F"/>
    <w:rsid w:val="1DB621BC"/>
    <w:rsid w:val="1DFE6FCD"/>
    <w:rsid w:val="1E6F3A27"/>
    <w:rsid w:val="1EDA5344"/>
    <w:rsid w:val="1FAB0A8F"/>
    <w:rsid w:val="21D8176B"/>
    <w:rsid w:val="21E53AE9"/>
    <w:rsid w:val="22CF5BC8"/>
    <w:rsid w:val="230E4F29"/>
    <w:rsid w:val="2452597D"/>
    <w:rsid w:val="245C2C9F"/>
    <w:rsid w:val="27DA63B5"/>
    <w:rsid w:val="290179D1"/>
    <w:rsid w:val="292A511A"/>
    <w:rsid w:val="296B5D50"/>
    <w:rsid w:val="29D07A70"/>
    <w:rsid w:val="2B4C1378"/>
    <w:rsid w:val="2BF13CCD"/>
    <w:rsid w:val="2C3160F7"/>
    <w:rsid w:val="2CB847EB"/>
    <w:rsid w:val="2D157E8F"/>
    <w:rsid w:val="2F8A6913"/>
    <w:rsid w:val="30375B88"/>
    <w:rsid w:val="31605CE4"/>
    <w:rsid w:val="32695199"/>
    <w:rsid w:val="35337105"/>
    <w:rsid w:val="35F9034E"/>
    <w:rsid w:val="36031C9C"/>
    <w:rsid w:val="360B0F9C"/>
    <w:rsid w:val="38044D88"/>
    <w:rsid w:val="39616B31"/>
    <w:rsid w:val="397D3044"/>
    <w:rsid w:val="39FA28E7"/>
    <w:rsid w:val="3A0B0650"/>
    <w:rsid w:val="3AFB06C4"/>
    <w:rsid w:val="3B181276"/>
    <w:rsid w:val="41377F7D"/>
    <w:rsid w:val="41566655"/>
    <w:rsid w:val="41FC108A"/>
    <w:rsid w:val="42611755"/>
    <w:rsid w:val="432A5FEB"/>
    <w:rsid w:val="44476729"/>
    <w:rsid w:val="44D704B5"/>
    <w:rsid w:val="44E977E0"/>
    <w:rsid w:val="45285218"/>
    <w:rsid w:val="45AF0860"/>
    <w:rsid w:val="45FB3C6E"/>
    <w:rsid w:val="46C027C2"/>
    <w:rsid w:val="46ED4A66"/>
    <w:rsid w:val="478A52AA"/>
    <w:rsid w:val="48592ECE"/>
    <w:rsid w:val="48D80297"/>
    <w:rsid w:val="498F4DFA"/>
    <w:rsid w:val="49E60792"/>
    <w:rsid w:val="4A262150"/>
    <w:rsid w:val="4A7C622C"/>
    <w:rsid w:val="4AB32D6A"/>
    <w:rsid w:val="4AB663B6"/>
    <w:rsid w:val="4BD00767"/>
    <w:rsid w:val="4C57161E"/>
    <w:rsid w:val="4CB86415"/>
    <w:rsid w:val="4D9329DF"/>
    <w:rsid w:val="4D9B379F"/>
    <w:rsid w:val="4E0A0EF3"/>
    <w:rsid w:val="4E6A2668"/>
    <w:rsid w:val="4E792669"/>
    <w:rsid w:val="4EA824BA"/>
    <w:rsid w:val="4F310701"/>
    <w:rsid w:val="4F604B42"/>
    <w:rsid w:val="508605D9"/>
    <w:rsid w:val="50FE48CB"/>
    <w:rsid w:val="51330760"/>
    <w:rsid w:val="518C08BF"/>
    <w:rsid w:val="5190321F"/>
    <w:rsid w:val="51954F77"/>
    <w:rsid w:val="51BA678C"/>
    <w:rsid w:val="52B23907"/>
    <w:rsid w:val="52C378C2"/>
    <w:rsid w:val="5358625C"/>
    <w:rsid w:val="541A1764"/>
    <w:rsid w:val="55452810"/>
    <w:rsid w:val="5596306C"/>
    <w:rsid w:val="55C67DF5"/>
    <w:rsid w:val="56A666FC"/>
    <w:rsid w:val="56F34697"/>
    <w:rsid w:val="574D00A2"/>
    <w:rsid w:val="57C02622"/>
    <w:rsid w:val="59CA3C2C"/>
    <w:rsid w:val="5A4122D6"/>
    <w:rsid w:val="5A53777D"/>
    <w:rsid w:val="5A640CB2"/>
    <w:rsid w:val="5AAC3332"/>
    <w:rsid w:val="5AAF1C1A"/>
    <w:rsid w:val="5AD14B46"/>
    <w:rsid w:val="5AF745AD"/>
    <w:rsid w:val="5B152F67"/>
    <w:rsid w:val="5B161986"/>
    <w:rsid w:val="5B962018"/>
    <w:rsid w:val="5C7165E1"/>
    <w:rsid w:val="5CC410AE"/>
    <w:rsid w:val="5E4C10B3"/>
    <w:rsid w:val="60213E7A"/>
    <w:rsid w:val="60EF5211"/>
    <w:rsid w:val="611B15CB"/>
    <w:rsid w:val="61F70513"/>
    <w:rsid w:val="64234664"/>
    <w:rsid w:val="64517018"/>
    <w:rsid w:val="66B9305E"/>
    <w:rsid w:val="69164798"/>
    <w:rsid w:val="69827EF8"/>
    <w:rsid w:val="6B234F4A"/>
    <w:rsid w:val="6C354F35"/>
    <w:rsid w:val="6E71421E"/>
    <w:rsid w:val="6E7307D7"/>
    <w:rsid w:val="6E9028F6"/>
    <w:rsid w:val="6EA445F4"/>
    <w:rsid w:val="6ED674F6"/>
    <w:rsid w:val="70067C59"/>
    <w:rsid w:val="707F70C6"/>
    <w:rsid w:val="71025602"/>
    <w:rsid w:val="7480340D"/>
    <w:rsid w:val="7496678D"/>
    <w:rsid w:val="74F14015"/>
    <w:rsid w:val="75FF0362"/>
    <w:rsid w:val="7657019E"/>
    <w:rsid w:val="788D7EA7"/>
    <w:rsid w:val="78FA19E0"/>
    <w:rsid w:val="7A456C8B"/>
    <w:rsid w:val="7A4F18B8"/>
    <w:rsid w:val="7A8D23E0"/>
    <w:rsid w:val="7CC83BA3"/>
    <w:rsid w:val="7D2708CA"/>
    <w:rsid w:val="7F160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styleId="9">
    <w:name w:val="List Paragraph"/>
    <w:basedOn w:val="1"/>
    <w:qFormat/>
    <w:uiPriority w:val="0"/>
    <w:pPr>
      <w:ind w:firstLine="420" w:firstLineChars="200"/>
    </w:pPr>
    <w:rPr>
      <w:rFonts w:ascii="Calibri" w:hAnsi="Calibri"/>
      <w:szCs w:val="22"/>
    </w:rPr>
  </w:style>
  <w:style w:type="paragraph" w:customStyle="1" w:styleId="10">
    <w:name w:val="段"/>
    <w:basedOn w:val="1"/>
    <w:qFormat/>
    <w:uiPriority w:val="0"/>
    <w:pPr>
      <w:widowControl/>
      <w:tabs>
        <w:tab w:val="center" w:pos="4201"/>
        <w:tab w:val="right" w:leader="dot" w:pos="9298"/>
      </w:tabs>
      <w:autoSpaceDE w:val="0"/>
      <w:autoSpaceDN w:val="0"/>
      <w:ind w:firstLine="420" w:firstLineChars="200"/>
    </w:pPr>
    <w:rPr>
      <w:rFonts w:ascii="宋体" w:hAnsi="宋体"/>
      <w:kern w:val="0"/>
      <w:szCs w:val="20"/>
    </w:rPr>
  </w:style>
  <w:style w:type="paragraph" w:customStyle="1" w:styleId="1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6606</Words>
  <Characters>6844</Characters>
  <Lines>50</Lines>
  <Paragraphs>14</Paragraphs>
  <TotalTime>10</TotalTime>
  <ScaleCrop>false</ScaleCrop>
  <LinksUpToDate>false</LinksUpToDate>
  <CharactersWithSpaces>6935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2023-04-19T08:36:00Z</dcterms:created>
  <dc:creator>s</dc:creator>
  <cp:lastModifiedBy>丰华</cp:lastModifiedBy>
  <cp:lastPrinted>2025-04-27T09:32:00Z</cp:lastPrinted>
  <dcterms:modified xsi:type="dcterms:W3CDTF">2025-05-06T06:55:11Z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BE0D257315B34B749BC84B7D5E054DDA_13</vt:lpwstr>
  </property>
  <property fmtid="{D5CDD505-2E9C-101B-9397-08002B2CF9AE}" pid="4" name="KSOTemplateDocerSaveRecord">
    <vt:lpwstr>eyJoZGlkIjoiOWFiMDhkZDRkZDBjZmMzYTNhODc0Y2ZhM2EzMzUxYzEiLCJ1c2VySWQiOiI1NzU4MDMyODAifQ==</vt:lpwstr>
  </property>
</Properties>
</file>