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auto"/>
        <w:jc w:val="center"/>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《法人和其他组织跨境身份认证技术规范》</w:t>
      </w:r>
    </w:p>
    <w:p>
      <w:pPr>
        <w:snapToGrid w:val="0"/>
        <w:spacing w:line="240" w:lineRule="auto"/>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编制说明</w:t>
      </w:r>
    </w:p>
    <w:p>
      <w:pPr>
        <w:pStyle w:val="2"/>
        <w:keepNext/>
        <w:keepLines/>
        <w:pageBreakBefore w:val="0"/>
        <w:widowControl w:val="0"/>
        <w:kinsoku/>
        <w:wordWrap/>
        <w:overflowPunct/>
        <w:topLinePunct w:val="0"/>
        <w:autoSpaceDE/>
        <w:autoSpaceDN/>
        <w:bidi w:val="0"/>
        <w:adjustRightInd/>
        <w:snapToGrid/>
        <w:spacing w:before="0" w:after="0" w:line="240" w:lineRule="auto"/>
        <w:ind w:firstLine="640" w:firstLineChars="200"/>
        <w:textAlignment w:val="auto"/>
        <w:rPr>
          <w:rFonts w:hint="eastAsia" w:ascii="方正黑体简体" w:hAnsi="方正黑体简体" w:eastAsia="方正黑体简体" w:cs="方正黑体简体"/>
          <w:b w:val="0"/>
          <w:bCs/>
          <w:sz w:val="32"/>
          <w:szCs w:val="32"/>
        </w:rPr>
      </w:pPr>
      <w:r>
        <w:rPr>
          <w:rFonts w:hint="eastAsia" w:ascii="方正黑体简体" w:hAnsi="方正黑体简体" w:eastAsia="方正黑体简体" w:cs="方正黑体简体"/>
          <w:b w:val="0"/>
          <w:bCs/>
          <w:sz w:val="32"/>
          <w:szCs w:val="32"/>
          <w:lang w:val="en-US" w:eastAsia="zh-CN"/>
        </w:rPr>
        <w:t>工作简况</w:t>
      </w:r>
    </w:p>
    <w:p>
      <w:pPr>
        <w:widowControl/>
        <w:wordWrap w:val="0"/>
        <w:spacing w:line="240" w:lineRule="auto"/>
        <w:ind w:firstLine="640" w:firstLineChars="200"/>
        <w:rPr>
          <w:rFonts w:hint="eastAsia" w:ascii="方正楷体简体" w:hAnsi="方正楷体简体" w:eastAsia="方正楷体简体" w:cs="方正楷体简体"/>
          <w:b w:val="0"/>
          <w:bCs w:val="0"/>
          <w:sz w:val="32"/>
          <w:szCs w:val="32"/>
          <w:lang w:eastAsia="zh-CN"/>
        </w:rPr>
      </w:pPr>
      <w:r>
        <w:rPr>
          <w:rFonts w:hint="eastAsia" w:ascii="方正楷体简体" w:hAnsi="方正楷体简体" w:eastAsia="方正楷体简体" w:cs="方正楷体简体"/>
          <w:b w:val="0"/>
          <w:bCs w:val="0"/>
          <w:sz w:val="32"/>
          <w:szCs w:val="32"/>
          <w:lang w:val="en-US" w:eastAsia="zh-CN"/>
        </w:rPr>
        <w:t>（一）任务来源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rPr>
      </w:pPr>
      <w:r>
        <w:rPr>
          <w:rFonts w:hint="eastAsia" w:ascii="Times New Roman" w:hAnsi="Times New Roman" w:eastAsia="方正仿宋简体" w:cs="Times New Roman"/>
          <w:kern w:val="0"/>
          <w:sz w:val="32"/>
          <w:szCs w:val="32"/>
          <w:lang w:eastAsia="zh-CN"/>
        </w:rPr>
        <w:t>由</w:t>
      </w:r>
      <w:r>
        <w:rPr>
          <w:rFonts w:hint="eastAsia" w:ascii="Times New Roman" w:hAnsi="Times New Roman" w:eastAsia="方正仿宋简体" w:cs="Times New Roman"/>
          <w:kern w:val="0"/>
          <w:sz w:val="32"/>
          <w:szCs w:val="32"/>
        </w:rPr>
        <w:t>广东省标准研究院与广东省电子商务认证有限公司共同申请</w:t>
      </w:r>
      <w:r>
        <w:rPr>
          <w:rFonts w:hint="eastAsia" w:ascii="Times New Roman" w:hAnsi="Times New Roman" w:eastAsia="方正仿宋简体" w:cs="Times New Roman"/>
          <w:kern w:val="0"/>
          <w:sz w:val="32"/>
          <w:szCs w:val="32"/>
          <w:lang w:eastAsia="zh-CN"/>
        </w:rPr>
        <w:t>并成功立项的</w:t>
      </w:r>
      <w:r>
        <w:rPr>
          <w:rFonts w:hint="eastAsia" w:ascii="Times New Roman" w:hAnsi="Times New Roman" w:eastAsia="方正仿宋简体" w:cs="Times New Roman"/>
          <w:kern w:val="0"/>
          <w:sz w:val="32"/>
          <w:szCs w:val="32"/>
        </w:rPr>
        <w:t>国家市场监督管理总局2023年科技计划项目《粤港澳大湾区法人和其他组织跨境身份认证关键技术研究》</w:t>
      </w:r>
      <w:r>
        <w:rPr>
          <w:rFonts w:hint="eastAsia" w:ascii="Times New Roman" w:hAnsi="Times New Roman" w:eastAsia="方正仿宋简体" w:cs="Times New Roman"/>
          <w:kern w:val="0"/>
          <w:sz w:val="32"/>
          <w:szCs w:val="32"/>
          <w:lang w:eastAsia="zh-CN"/>
        </w:rPr>
        <w:t>（项目编号：2022MK099）</w:t>
      </w:r>
      <w:r>
        <w:rPr>
          <w:rFonts w:hint="eastAsia" w:ascii="Times New Roman" w:hAnsi="Times New Roman" w:eastAsia="方正仿宋简体" w:cs="Times New Roman"/>
          <w:kern w:val="0"/>
          <w:sz w:val="32"/>
          <w:szCs w:val="32"/>
        </w:rPr>
        <w:t>，《法人和其他组织跨境身份认证技术规范》</w:t>
      </w:r>
      <w:r>
        <w:rPr>
          <w:rFonts w:hint="eastAsia" w:ascii="Times New Roman" w:hAnsi="Times New Roman" w:eastAsia="方正仿宋简体" w:cs="Times New Roman"/>
          <w:kern w:val="0"/>
          <w:sz w:val="32"/>
          <w:szCs w:val="32"/>
          <w:lang w:eastAsia="zh-CN"/>
        </w:rPr>
        <w:t>作为</w:t>
      </w:r>
      <w:r>
        <w:rPr>
          <w:rFonts w:hint="eastAsia" w:ascii="Times New Roman" w:hAnsi="Times New Roman" w:eastAsia="方正仿宋简体" w:cs="Times New Roman"/>
          <w:kern w:val="0"/>
          <w:sz w:val="32"/>
          <w:szCs w:val="32"/>
        </w:rPr>
        <w:t>项目</w:t>
      </w:r>
      <w:r>
        <w:rPr>
          <w:rFonts w:hint="eastAsia" w:ascii="Times New Roman" w:hAnsi="Times New Roman" w:eastAsia="方正仿宋简体" w:cs="Times New Roman"/>
          <w:kern w:val="0"/>
          <w:sz w:val="32"/>
          <w:szCs w:val="32"/>
          <w:lang w:val="en-US" w:eastAsia="zh-CN"/>
        </w:rPr>
        <w:t>重要</w:t>
      </w:r>
      <w:r>
        <w:rPr>
          <w:rFonts w:hint="eastAsia" w:ascii="Times New Roman" w:hAnsi="Times New Roman" w:eastAsia="方正仿宋简体" w:cs="Times New Roman"/>
          <w:kern w:val="0"/>
          <w:sz w:val="32"/>
          <w:szCs w:val="32"/>
        </w:rPr>
        <w:t>技术指标</w:t>
      </w:r>
      <w:r>
        <w:rPr>
          <w:rFonts w:hint="eastAsia" w:ascii="Times New Roman" w:hAnsi="Times New Roman" w:eastAsia="方正仿宋简体" w:cs="Times New Roman"/>
          <w:kern w:val="0"/>
          <w:sz w:val="32"/>
          <w:szCs w:val="32"/>
          <w:lang w:eastAsia="zh-CN"/>
        </w:rPr>
        <w:t>，对</w:t>
      </w:r>
      <w:r>
        <w:rPr>
          <w:rFonts w:hint="eastAsia" w:ascii="Times New Roman" w:hAnsi="Times New Roman" w:eastAsia="方正仿宋简体" w:cs="Times New Roman"/>
          <w:kern w:val="0"/>
          <w:sz w:val="32"/>
          <w:szCs w:val="32"/>
          <w:lang w:val="en-US" w:eastAsia="zh-CN"/>
        </w:rPr>
        <w:t>为</w:t>
      </w:r>
      <w:r>
        <w:rPr>
          <w:rFonts w:hint="eastAsia" w:ascii="Times New Roman" w:hAnsi="Times New Roman" w:eastAsia="方正仿宋简体" w:cs="Times New Roman"/>
          <w:kern w:val="0"/>
          <w:sz w:val="32"/>
          <w:szCs w:val="32"/>
          <w:lang w:eastAsia="zh-CN"/>
        </w:rPr>
        <w:t>粤港澳大湾区</w:t>
      </w:r>
      <w:r>
        <w:rPr>
          <w:rFonts w:hint="eastAsia" w:ascii="Times New Roman" w:hAnsi="Times New Roman" w:eastAsia="方正仿宋简体" w:cs="Times New Roman"/>
          <w:kern w:val="0"/>
          <w:sz w:val="32"/>
          <w:szCs w:val="32"/>
          <w:lang w:val="en-US" w:eastAsia="zh-CN"/>
        </w:rPr>
        <w:t>跨境应用系统提供</w:t>
      </w:r>
      <w:r>
        <w:rPr>
          <w:rFonts w:hint="eastAsia" w:ascii="Times New Roman" w:hAnsi="Times New Roman" w:eastAsia="方正仿宋简体" w:cs="Times New Roman"/>
          <w:kern w:val="0"/>
          <w:sz w:val="32"/>
          <w:szCs w:val="32"/>
          <w:lang w:eastAsia="zh-CN"/>
        </w:rPr>
        <w:t>法人和其他组织身份认证</w:t>
      </w:r>
      <w:r>
        <w:rPr>
          <w:rFonts w:hint="eastAsia" w:ascii="Times New Roman" w:hAnsi="Times New Roman" w:eastAsia="方正仿宋简体" w:cs="Times New Roman"/>
          <w:kern w:val="0"/>
          <w:sz w:val="32"/>
          <w:szCs w:val="32"/>
          <w:lang w:val="en-US" w:eastAsia="zh-CN"/>
        </w:rPr>
        <w:t>服务</w:t>
      </w:r>
      <w:r>
        <w:rPr>
          <w:rFonts w:hint="eastAsia" w:ascii="Times New Roman" w:hAnsi="Times New Roman" w:eastAsia="方正仿宋简体" w:cs="Times New Roman"/>
          <w:kern w:val="0"/>
          <w:sz w:val="32"/>
          <w:szCs w:val="32"/>
          <w:lang w:eastAsia="zh-CN"/>
        </w:rPr>
        <w:t>的</w:t>
      </w:r>
      <w:r>
        <w:rPr>
          <w:rFonts w:hint="eastAsia" w:ascii="Times New Roman" w:hAnsi="Times New Roman" w:eastAsia="方正仿宋简体" w:cs="Times New Roman"/>
          <w:kern w:val="0"/>
          <w:sz w:val="32"/>
          <w:szCs w:val="32"/>
          <w:lang w:val="en-US" w:eastAsia="zh-CN"/>
        </w:rPr>
        <w:t>总体</w:t>
      </w:r>
      <w:r>
        <w:rPr>
          <w:rFonts w:hint="eastAsia" w:ascii="Times New Roman" w:hAnsi="Times New Roman" w:eastAsia="方正仿宋简体" w:cs="Times New Roman"/>
          <w:kern w:val="0"/>
          <w:sz w:val="32"/>
          <w:szCs w:val="32"/>
          <w:lang w:eastAsia="zh-CN"/>
        </w:rPr>
        <w:t>要求、技术要求、接口规范等内容进行了规定</w:t>
      </w:r>
      <w:r>
        <w:rPr>
          <w:rFonts w:hint="eastAsia" w:ascii="Times New Roman" w:hAnsi="Times New Roman" w:eastAsia="方正仿宋简体" w:cs="Times New Roman"/>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eastAsia="方正仿宋简体" w:cs="Times New Roman"/>
          <w:kern w:val="0"/>
          <w:sz w:val="32"/>
          <w:szCs w:val="32"/>
          <w:lang w:val="en-US" w:eastAsia="zh-CN"/>
        </w:rPr>
      </w:pPr>
      <w:r>
        <w:rPr>
          <w:rFonts w:hint="eastAsia" w:ascii="Times New Roman" w:hAnsi="Times New Roman" w:eastAsia="方正仿宋简体" w:cs="Times New Roman"/>
          <w:kern w:val="0"/>
          <w:sz w:val="32"/>
          <w:szCs w:val="32"/>
          <w:lang w:val="en-US" w:eastAsia="zh-CN"/>
        </w:rPr>
        <w:t>本标准于2024年3月正式立项，由</w:t>
      </w:r>
      <w:r>
        <w:rPr>
          <w:rFonts w:hint="eastAsia" w:ascii="Times New Roman" w:hAnsi="Times New Roman" w:eastAsia="方正仿宋简体" w:cs="Times New Roman"/>
          <w:kern w:val="0"/>
          <w:sz w:val="32"/>
          <w:szCs w:val="32"/>
          <w:lang w:eastAsia="zh-CN"/>
        </w:rPr>
        <w:t>广东省电子商务认证有限公司</w:t>
      </w:r>
      <w:r>
        <w:rPr>
          <w:rFonts w:hint="eastAsia" w:ascii="Times New Roman" w:hAnsi="Times New Roman" w:eastAsia="方正仿宋简体" w:cs="Times New Roman"/>
          <w:kern w:val="0"/>
          <w:sz w:val="32"/>
          <w:szCs w:val="32"/>
          <w:lang w:val="en-US" w:eastAsia="zh-CN"/>
        </w:rPr>
        <w:t>提出，由广州市南沙区跨境信用促进会归口。</w:t>
      </w:r>
    </w:p>
    <w:p>
      <w:pPr>
        <w:widowControl/>
        <w:wordWrap w:val="0"/>
        <w:spacing w:line="240" w:lineRule="auto"/>
        <w:ind w:firstLine="640" w:firstLineChars="200"/>
        <w:rPr>
          <w:rFonts w:hint="eastAsia" w:ascii="方正楷体简体" w:hAnsi="方正楷体简体" w:eastAsia="方正楷体简体" w:cs="方正楷体简体"/>
          <w:b w:val="0"/>
          <w:bCs w:val="0"/>
          <w:sz w:val="32"/>
          <w:szCs w:val="32"/>
          <w:lang w:val="en-US" w:eastAsia="zh-CN"/>
        </w:rPr>
      </w:pPr>
      <w:r>
        <w:rPr>
          <w:rFonts w:hint="eastAsia" w:ascii="方正楷体简体" w:hAnsi="方正楷体简体" w:eastAsia="方正楷体简体" w:cs="方正楷体简体"/>
          <w:b w:val="0"/>
          <w:bCs w:val="0"/>
          <w:sz w:val="32"/>
          <w:szCs w:val="32"/>
          <w:lang w:val="en-US" w:eastAsia="zh-CN"/>
        </w:rPr>
        <w:t>（二）参编单位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广东省电子商务认证有限公司、广东省标准研究院、中国通信服务香港有限公司、</w:t>
      </w:r>
      <w:r>
        <w:rPr>
          <w:rFonts w:hint="eastAsia" w:ascii="Times New Roman" w:hAnsi="Times New Roman" w:eastAsia="方正仿宋简体" w:cs="Times New Roman"/>
          <w:kern w:val="0"/>
          <w:sz w:val="32"/>
          <w:szCs w:val="32"/>
          <w:lang w:val="en-US" w:eastAsia="zh-CN"/>
        </w:rPr>
        <w:t>信飛科技有限公司、中国通信服务澳门有限公司、深圳市信飞合创科技有限公司。</w:t>
      </w:r>
    </w:p>
    <w:p>
      <w:pPr>
        <w:widowControl/>
        <w:wordWrap w:val="0"/>
        <w:spacing w:line="240" w:lineRule="auto"/>
        <w:ind w:firstLine="640" w:firstLineChars="200"/>
        <w:rPr>
          <w:rFonts w:hint="eastAsia" w:ascii="方正楷体简体" w:hAnsi="方正楷体简体" w:eastAsia="方正楷体简体" w:cs="方正楷体简体"/>
          <w:b w:val="0"/>
          <w:bCs w:val="0"/>
          <w:sz w:val="32"/>
          <w:szCs w:val="32"/>
          <w:lang w:val="en-US" w:eastAsia="zh-CN"/>
        </w:rPr>
      </w:pPr>
      <w:r>
        <w:rPr>
          <w:rFonts w:hint="eastAsia" w:ascii="方正楷体简体" w:hAnsi="方正楷体简体" w:eastAsia="方正楷体简体" w:cs="方正楷体简体"/>
          <w:b w:val="0"/>
          <w:bCs w:val="0"/>
          <w:sz w:val="32"/>
          <w:szCs w:val="32"/>
          <w:lang w:val="en-US" w:eastAsia="zh-CN"/>
        </w:rPr>
        <w:t>（三）分工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本标准由</w:t>
      </w:r>
      <w:r>
        <w:rPr>
          <w:rFonts w:hint="eastAsia" w:ascii="Times New Roman" w:hAnsi="Times New Roman" w:eastAsia="方正仿宋简体" w:cs="Times New Roman"/>
          <w:kern w:val="0"/>
          <w:sz w:val="32"/>
          <w:szCs w:val="32"/>
          <w:lang w:val="en-US" w:eastAsia="zh-CN"/>
        </w:rPr>
        <w:t>粤港澳三地共同起草，具体编制分工如下表所示</w:t>
      </w:r>
      <w:r>
        <w:rPr>
          <w:rFonts w:hint="eastAsia" w:ascii="Times New Roman" w:hAnsi="Times New Roman" w:eastAsia="方正仿宋简体" w:cs="Times New Roman"/>
          <w:kern w:val="0"/>
          <w:sz w:val="32"/>
          <w:szCs w:val="32"/>
          <w:lang w:eastAsia="zh-CN"/>
        </w:rPr>
        <w:t>。</w:t>
      </w:r>
    </w:p>
    <w:tbl>
      <w:tblPr>
        <w:tblStyle w:val="10"/>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3567"/>
        <w:gridCol w:w="639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356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方正仿宋简体" w:cs="Times New Roman"/>
                <w:kern w:val="0"/>
                <w:sz w:val="28"/>
                <w:szCs w:val="28"/>
                <w:lang w:val="en-US" w:eastAsia="zh-CN"/>
              </w:rPr>
            </w:pPr>
            <w:r>
              <w:rPr>
                <w:rFonts w:hint="eastAsia" w:ascii="Times New Roman" w:hAnsi="Times New Roman" w:eastAsia="方正仿宋简体" w:cs="Times New Roman"/>
                <w:kern w:val="0"/>
                <w:sz w:val="28"/>
                <w:szCs w:val="28"/>
                <w:lang w:val="en-US" w:eastAsia="zh-CN"/>
              </w:rPr>
              <w:t>任务划分</w:t>
            </w:r>
          </w:p>
        </w:tc>
        <w:tc>
          <w:tcPr>
            <w:tcW w:w="639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方正仿宋简体" w:cs="Times New Roman"/>
                <w:kern w:val="0"/>
                <w:sz w:val="28"/>
                <w:szCs w:val="28"/>
                <w:lang w:val="en-US" w:eastAsia="zh-CN"/>
              </w:rPr>
            </w:pPr>
            <w:r>
              <w:rPr>
                <w:rFonts w:hint="eastAsia" w:ascii="Times New Roman" w:hAnsi="Times New Roman" w:eastAsia="方正仿宋简体" w:cs="Times New Roman"/>
                <w:kern w:val="0"/>
                <w:sz w:val="28"/>
                <w:szCs w:val="28"/>
                <w:lang w:val="en-US" w:eastAsia="zh-CN"/>
              </w:rPr>
              <w:t>编制单位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356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方正仿宋简体" w:cs="Times New Roman"/>
                <w:kern w:val="0"/>
                <w:sz w:val="28"/>
                <w:szCs w:val="28"/>
                <w:lang w:val="en-US" w:eastAsia="zh-CN"/>
              </w:rPr>
            </w:pPr>
            <w:r>
              <w:rPr>
                <w:rFonts w:hint="eastAsia" w:ascii="Times New Roman" w:hAnsi="Times New Roman" w:eastAsia="方正仿宋简体" w:cs="Times New Roman"/>
                <w:kern w:val="0"/>
                <w:sz w:val="28"/>
                <w:szCs w:val="28"/>
                <w:lang w:val="en-US" w:eastAsia="zh-CN"/>
              </w:rPr>
              <w:t>标准立项、标准执行协调、标准研制实施方案、标准大纲、标准目标与编制原则起草</w:t>
            </w:r>
          </w:p>
        </w:tc>
        <w:tc>
          <w:tcPr>
            <w:tcW w:w="639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方正仿宋简体" w:cs="Times New Roman"/>
                <w:kern w:val="0"/>
                <w:sz w:val="28"/>
                <w:szCs w:val="28"/>
                <w:lang w:val="en-US" w:eastAsia="zh-CN"/>
              </w:rPr>
            </w:pPr>
            <w:r>
              <w:rPr>
                <w:rFonts w:hint="eastAsia" w:ascii="Times New Roman" w:hAnsi="Times New Roman" w:eastAsia="方正仿宋简体" w:cs="Times New Roman"/>
                <w:kern w:val="0"/>
                <w:sz w:val="28"/>
                <w:szCs w:val="28"/>
                <w:lang w:val="en-US" w:eastAsia="zh-CN"/>
              </w:rPr>
              <w:t>广东省电子商务认证有限公司、广东省标准研究院</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356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方正仿宋简体" w:cs="Times New Roman"/>
                <w:kern w:val="0"/>
                <w:sz w:val="28"/>
                <w:szCs w:val="28"/>
                <w:lang w:val="en-US" w:eastAsia="zh-CN"/>
              </w:rPr>
            </w:pPr>
            <w:r>
              <w:rPr>
                <w:rFonts w:hint="eastAsia" w:ascii="Times New Roman" w:hAnsi="Times New Roman" w:eastAsia="方正仿宋简体" w:cs="Times New Roman"/>
                <w:kern w:val="0"/>
                <w:sz w:val="28"/>
                <w:szCs w:val="28"/>
                <w:lang w:val="en-US" w:eastAsia="zh-CN"/>
              </w:rPr>
              <w:t>技术要求、安全要求、接口规范、附录A等内容编制</w:t>
            </w:r>
          </w:p>
        </w:tc>
        <w:tc>
          <w:tcPr>
            <w:tcW w:w="639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方正仿宋简体" w:cs="Times New Roman"/>
                <w:kern w:val="0"/>
                <w:sz w:val="28"/>
                <w:szCs w:val="28"/>
                <w:lang w:val="en-US" w:eastAsia="zh-CN"/>
              </w:rPr>
            </w:pPr>
            <w:r>
              <w:rPr>
                <w:rFonts w:hint="eastAsia" w:ascii="Times New Roman" w:hAnsi="Times New Roman" w:eastAsia="方正仿宋简体" w:cs="Times New Roman"/>
                <w:kern w:val="0"/>
                <w:sz w:val="28"/>
                <w:szCs w:val="28"/>
                <w:lang w:val="en-US" w:eastAsia="zh-CN"/>
              </w:rPr>
              <w:t>广东省电子商务认证有限公司、广东省标准研究院、中国通信服务香港有限公司、信飛科技有限公司、中国通信服务澳门有限公司、深圳市信飞合创科技有限公司</w:t>
            </w:r>
          </w:p>
        </w:tc>
      </w:tr>
    </w:tbl>
    <w:p>
      <w:pPr>
        <w:pStyle w:val="2"/>
        <w:keepNext/>
        <w:keepLines/>
        <w:pageBreakBefore w:val="0"/>
        <w:widowControl w:val="0"/>
        <w:kinsoku/>
        <w:wordWrap/>
        <w:overflowPunct/>
        <w:topLinePunct w:val="0"/>
        <w:autoSpaceDE/>
        <w:autoSpaceDN/>
        <w:bidi w:val="0"/>
        <w:adjustRightInd/>
        <w:snapToGrid/>
        <w:spacing w:before="0" w:after="0" w:line="240" w:lineRule="auto"/>
        <w:ind w:firstLine="640" w:firstLineChars="200"/>
        <w:textAlignment w:val="auto"/>
        <w:rPr>
          <w:rFonts w:hint="eastAsia" w:ascii="方正黑体简体" w:hAnsi="方正黑体简体" w:eastAsia="方正黑体简体" w:cs="方正黑体简体"/>
          <w:b w:val="0"/>
          <w:bCs/>
          <w:sz w:val="32"/>
          <w:szCs w:val="32"/>
          <w:lang w:val="en-US" w:eastAsia="zh-CN"/>
        </w:rPr>
      </w:pPr>
      <w:r>
        <w:rPr>
          <w:rFonts w:hint="eastAsia" w:ascii="方正黑体简体" w:hAnsi="方正黑体简体" w:eastAsia="方正黑体简体" w:cs="方正黑体简体"/>
          <w:b w:val="0"/>
          <w:bCs/>
          <w:sz w:val="32"/>
          <w:szCs w:val="32"/>
          <w:lang w:val="en-US" w:eastAsia="zh-CN"/>
        </w:rPr>
        <w:t>立项的必要性与拟解决的问题</w:t>
      </w:r>
    </w:p>
    <w:p>
      <w:pPr>
        <w:widowControl/>
        <w:wordWrap w:val="0"/>
        <w:spacing w:line="240" w:lineRule="auto"/>
        <w:ind w:firstLine="640" w:firstLineChars="200"/>
        <w:rPr>
          <w:rFonts w:hint="eastAsia" w:ascii="方正楷体简体" w:hAnsi="方正楷体简体" w:eastAsia="方正楷体简体" w:cs="方正楷体简体"/>
          <w:b w:val="0"/>
          <w:bCs w:val="0"/>
          <w:sz w:val="32"/>
          <w:szCs w:val="32"/>
          <w:lang w:val="en-US" w:eastAsia="zh-CN"/>
        </w:rPr>
      </w:pPr>
      <w:r>
        <w:rPr>
          <w:rFonts w:hint="eastAsia" w:ascii="方正楷体简体" w:hAnsi="方正楷体简体" w:eastAsia="方正楷体简体" w:cs="方正楷体简体"/>
          <w:b w:val="0"/>
          <w:bCs w:val="0"/>
          <w:sz w:val="32"/>
          <w:szCs w:val="32"/>
          <w:lang w:val="en-US" w:eastAsia="zh-CN"/>
        </w:rPr>
        <w:t>（一）立项的必要性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val="en-US" w:eastAsia="zh-CN"/>
        </w:rPr>
        <w:t>国务院陆续发布了</w:t>
      </w:r>
      <w:r>
        <w:rPr>
          <w:rFonts w:hint="eastAsia" w:ascii="Times New Roman" w:hAnsi="Times New Roman" w:eastAsia="方正仿宋简体" w:cs="Times New Roman"/>
          <w:kern w:val="0"/>
          <w:sz w:val="32"/>
          <w:szCs w:val="32"/>
          <w:lang w:eastAsia="zh-CN"/>
        </w:rPr>
        <w:t>《粤港澳大湾区发展规划纲要》、《关于印发“十四五”市场监管现代化规划的通知》</w:t>
      </w:r>
      <w:r>
        <w:rPr>
          <w:rFonts w:hint="eastAsia" w:ascii="Times New Roman" w:hAnsi="Times New Roman" w:eastAsia="方正仿宋简体" w:cs="Times New Roman"/>
          <w:kern w:val="0"/>
          <w:sz w:val="32"/>
          <w:szCs w:val="32"/>
          <w:lang w:val="en-US" w:eastAsia="zh-CN"/>
        </w:rPr>
        <w:t>等文件，其</w:t>
      </w:r>
      <w:r>
        <w:rPr>
          <w:rFonts w:hint="eastAsia" w:ascii="Times New Roman" w:hAnsi="Times New Roman" w:eastAsia="方正仿宋简体" w:cs="Times New Roman"/>
          <w:kern w:val="0"/>
          <w:sz w:val="32"/>
          <w:szCs w:val="32"/>
          <w:lang w:eastAsia="zh-CN"/>
        </w:rPr>
        <w:t>中</w:t>
      </w:r>
      <w:r>
        <w:rPr>
          <w:rFonts w:hint="eastAsia" w:ascii="Times New Roman" w:hAnsi="Times New Roman" w:eastAsia="方正仿宋简体" w:cs="Times New Roman"/>
          <w:kern w:val="0"/>
          <w:sz w:val="32"/>
          <w:szCs w:val="32"/>
          <w:lang w:val="en-US" w:eastAsia="zh-CN"/>
        </w:rPr>
        <w:t>均提出</w:t>
      </w:r>
      <w:r>
        <w:rPr>
          <w:rFonts w:hint="eastAsia" w:ascii="Times New Roman" w:hAnsi="Times New Roman" w:eastAsia="方正仿宋简体" w:cs="Times New Roman"/>
          <w:kern w:val="0"/>
          <w:sz w:val="32"/>
          <w:szCs w:val="32"/>
          <w:lang w:eastAsia="zh-CN"/>
        </w:rPr>
        <w:t>“构建跨区域的统一身份实名认证互认”要求，粤港澳大湾区是一个横跨二个制度的世界级城市群，目前尚处于发展的初期阶段，各区域的协调发展，统筹兼顾是大湾区不断增强发展的基本原则。基于此原则，粤港澳大湾区内法人和组织机构的统一协调发展，互联互通尤为关键。由于港澳与内地体制不一致的原因，湾区内法人和组织机构登记管理模式、注册模式、法律法规管理机制、数据采集定义等尚未达成统一标准。自《纲要》提出以来，针对个人的粤港澳三地统一身份认证平台</w:t>
      </w:r>
      <w:r>
        <w:rPr>
          <w:rFonts w:hint="eastAsia" w:ascii="Times New Roman" w:hAnsi="Times New Roman" w:eastAsia="方正仿宋简体" w:cs="Times New Roman"/>
          <w:kern w:val="0"/>
          <w:sz w:val="32"/>
          <w:szCs w:val="32"/>
          <w:lang w:val="en-US" w:eastAsia="zh-CN"/>
        </w:rPr>
        <w:t>在</w:t>
      </w:r>
      <w:r>
        <w:rPr>
          <w:rFonts w:hint="eastAsia" w:ascii="Times New Roman" w:hAnsi="Times New Roman" w:eastAsia="方正仿宋简体" w:cs="Times New Roman"/>
          <w:kern w:val="0"/>
          <w:sz w:val="32"/>
          <w:szCs w:val="32"/>
          <w:lang w:eastAsia="zh-CN"/>
        </w:rPr>
        <w:t>逐步建立，面向法人和其他组织的湾区机构身份认证机制也有一定基础，随着粤港澳大湾区合作交流需求的不断上升，湾区机构之间信息互认机制也会成为必要。</w:t>
      </w:r>
    </w:p>
    <w:p>
      <w:pPr>
        <w:widowControl/>
        <w:wordWrap w:val="0"/>
        <w:spacing w:line="240" w:lineRule="auto"/>
        <w:ind w:firstLine="640" w:firstLineChars="200"/>
        <w:rPr>
          <w:rFonts w:hint="eastAsia" w:ascii="方正楷体简体" w:hAnsi="方正楷体简体" w:eastAsia="方正楷体简体" w:cs="方正楷体简体"/>
          <w:b w:val="0"/>
          <w:bCs w:val="0"/>
          <w:sz w:val="32"/>
          <w:szCs w:val="32"/>
          <w:lang w:val="en-US" w:eastAsia="zh-CN"/>
        </w:rPr>
      </w:pPr>
      <w:r>
        <w:rPr>
          <w:rFonts w:hint="eastAsia" w:ascii="方正楷体简体" w:hAnsi="方正楷体简体" w:eastAsia="方正楷体简体" w:cs="方正楷体简体"/>
          <w:b w:val="0"/>
          <w:bCs w:val="0"/>
          <w:sz w:val="32"/>
          <w:szCs w:val="32"/>
          <w:lang w:val="en-US" w:eastAsia="zh-CN"/>
        </w:rPr>
        <w:t>（二）拟解决的问题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研究大湾区法人及其他组织机构之间的身份认证机制，形成统一的身份认证标准，达到“三地”身份互认目的，为大湾区法人和其他组织之间的业务往来提供便利，完善身份认证技术体系建设。</w:t>
      </w:r>
    </w:p>
    <w:p>
      <w:pPr>
        <w:pStyle w:val="2"/>
        <w:keepNext/>
        <w:keepLines/>
        <w:pageBreakBefore w:val="0"/>
        <w:widowControl w:val="0"/>
        <w:kinsoku/>
        <w:wordWrap/>
        <w:overflowPunct/>
        <w:topLinePunct w:val="0"/>
        <w:autoSpaceDE/>
        <w:autoSpaceDN/>
        <w:bidi w:val="0"/>
        <w:adjustRightInd/>
        <w:snapToGrid/>
        <w:spacing w:before="0" w:after="0" w:line="240" w:lineRule="auto"/>
        <w:ind w:firstLine="640" w:firstLineChars="200"/>
        <w:textAlignment w:val="auto"/>
        <w:rPr>
          <w:rFonts w:hint="eastAsia" w:ascii="方正黑体简体" w:hAnsi="方正黑体简体" w:eastAsia="方正黑体简体" w:cs="方正黑体简体"/>
          <w:b w:val="0"/>
          <w:bCs/>
          <w:sz w:val="32"/>
          <w:szCs w:val="32"/>
          <w:lang w:val="en-US" w:eastAsia="zh-CN"/>
        </w:rPr>
      </w:pPr>
      <w:r>
        <w:rPr>
          <w:rFonts w:hint="eastAsia" w:ascii="方正黑体简体" w:hAnsi="方正黑体简体" w:eastAsia="方正黑体简体" w:cs="方正黑体简体"/>
          <w:b w:val="0"/>
          <w:bCs/>
          <w:sz w:val="32"/>
          <w:szCs w:val="32"/>
          <w:lang w:val="en-US" w:eastAsia="zh-CN"/>
        </w:rPr>
        <w:t>标准编制原则、主要内容及其确定依据</w:t>
      </w:r>
    </w:p>
    <w:p>
      <w:pPr>
        <w:widowControl/>
        <w:wordWrap w:val="0"/>
        <w:spacing w:line="240" w:lineRule="auto"/>
        <w:ind w:firstLine="640" w:firstLineChars="200"/>
        <w:rPr>
          <w:rFonts w:hint="eastAsia" w:ascii="方正楷体简体" w:hAnsi="方正楷体简体" w:eastAsia="方正楷体简体" w:cs="方正楷体简体"/>
          <w:b w:val="0"/>
          <w:bCs w:val="0"/>
          <w:sz w:val="32"/>
          <w:szCs w:val="32"/>
          <w:lang w:val="en-US" w:eastAsia="zh-CN"/>
        </w:rPr>
      </w:pPr>
      <w:r>
        <w:rPr>
          <w:rFonts w:hint="eastAsia" w:ascii="方正楷体简体" w:hAnsi="方正楷体简体" w:eastAsia="方正楷体简体" w:cs="方正楷体简体"/>
          <w:b w:val="0"/>
          <w:bCs w:val="0"/>
          <w:sz w:val="32"/>
          <w:szCs w:val="32"/>
          <w:lang w:val="en-US" w:eastAsia="zh-CN"/>
        </w:rPr>
        <w:t>（一）编制原则</w:t>
      </w:r>
    </w:p>
    <w:p>
      <w:pPr>
        <w:widowControl/>
        <w:wordWrap w:val="0"/>
        <w:spacing w:line="240" w:lineRule="auto"/>
        <w:ind w:firstLine="640" w:firstLineChars="200"/>
        <w:rPr>
          <w:rFonts w:hint="eastAsia" w:ascii="方正楷体简体" w:hAnsi="方正楷体简体" w:eastAsia="方正楷体简体" w:cs="方正楷体简体"/>
          <w:b w:val="0"/>
          <w:bCs w:val="0"/>
          <w:sz w:val="32"/>
          <w:szCs w:val="32"/>
          <w:lang w:val="en-US" w:eastAsia="zh-CN"/>
        </w:rPr>
      </w:pPr>
      <w:r>
        <w:rPr>
          <w:rFonts w:hint="eastAsia" w:ascii="Times New Roman" w:hAnsi="Times New Roman" w:eastAsia="方正仿宋简体" w:cs="Times New Roman"/>
          <w:kern w:val="0"/>
          <w:sz w:val="32"/>
          <w:szCs w:val="32"/>
          <w:lang w:val="en-US" w:eastAsia="zh-CN"/>
        </w:rPr>
        <w:t>1.</w:t>
      </w:r>
      <w:r>
        <w:rPr>
          <w:rFonts w:hint="eastAsia" w:ascii="方正楷体简体" w:hAnsi="方正楷体简体" w:eastAsia="方正楷体简体" w:cs="方正楷体简体"/>
          <w:b w:val="0"/>
          <w:bCs w:val="0"/>
          <w:sz w:val="32"/>
          <w:szCs w:val="32"/>
          <w:lang w:val="en-US" w:eastAsia="zh-CN"/>
        </w:rPr>
        <w:t>规范性原则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本标准按照 GB/T 1.1-2020《标准化工作导则第 1 部分：标准化文件的结构和起草规则》的要求和规定编写，保证标准的编写质量；标准编写过程中参考了GB/T 35273-2020《信息安全技术 个人信息安全规范》、GB/T 37932-2019《信息安全技术 数据交易服务安全要求》、GB/T 37973-2019《信息安全技术 大数据安全管理指南》、GB/T 37988-2019《信息安全技术 数据安全能力成熟度模型》、GB/T 39477-2020《信息安全技术 政务信息共享 数据安全技术要求》、ISO/IEC 19790-2012 Information technology — Security techniques — Security requirements for cryptographic modules等标准。本标准条文力求做到清晰明确，无模棱两可、含糊其辞或易于产生歧义的表达。</w:t>
      </w:r>
    </w:p>
    <w:p>
      <w:pPr>
        <w:widowControl/>
        <w:wordWrap w:val="0"/>
        <w:spacing w:line="240" w:lineRule="auto"/>
        <w:ind w:firstLine="640" w:firstLineChars="200"/>
        <w:rPr>
          <w:rFonts w:hint="eastAsia" w:ascii="方正楷体简体" w:hAnsi="方正楷体简体" w:eastAsia="方正楷体简体" w:cs="方正楷体简体"/>
          <w:b w:val="0"/>
          <w:bCs w:val="0"/>
          <w:sz w:val="32"/>
          <w:szCs w:val="32"/>
          <w:lang w:val="en-US" w:eastAsia="zh-CN"/>
        </w:rPr>
      </w:pPr>
      <w:r>
        <w:rPr>
          <w:rFonts w:hint="eastAsia" w:ascii="Times New Roman" w:hAnsi="Times New Roman" w:eastAsia="方正仿宋简体" w:cs="Times New Roman"/>
          <w:kern w:val="0"/>
          <w:sz w:val="32"/>
          <w:szCs w:val="32"/>
          <w:lang w:val="en-US" w:eastAsia="zh-CN"/>
        </w:rPr>
        <w:t>2.</w:t>
      </w:r>
      <w:r>
        <w:rPr>
          <w:rFonts w:hint="eastAsia" w:ascii="方正楷体简体" w:hAnsi="方正楷体简体" w:eastAsia="方正楷体简体" w:cs="方正楷体简体"/>
          <w:b w:val="0"/>
          <w:bCs w:val="0"/>
          <w:sz w:val="32"/>
          <w:szCs w:val="32"/>
          <w:lang w:val="en-US" w:eastAsia="zh-CN"/>
        </w:rPr>
        <w:t>适用性原则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《法人和其他组织跨境身份认证技术规范》定位为团体标准，是指导和规范</w:t>
      </w:r>
      <w:r>
        <w:rPr>
          <w:rFonts w:hint="eastAsia" w:ascii="Times New Roman" w:hAnsi="Times New Roman" w:eastAsia="方正仿宋简体" w:cs="Times New Roman"/>
          <w:kern w:val="0"/>
          <w:sz w:val="32"/>
          <w:szCs w:val="32"/>
          <w:lang w:val="en-US" w:eastAsia="zh-CN"/>
        </w:rPr>
        <w:t>粤港澳大湾区法人和其他组织信息互认</w:t>
      </w:r>
      <w:r>
        <w:rPr>
          <w:rFonts w:hint="eastAsia" w:ascii="Times New Roman" w:hAnsi="Times New Roman" w:eastAsia="方正仿宋简体" w:cs="Times New Roman"/>
          <w:kern w:val="0"/>
          <w:sz w:val="32"/>
          <w:szCs w:val="32"/>
          <w:lang w:eastAsia="zh-CN"/>
        </w:rPr>
        <w:t>的基础性技术文件。粤港澳大湾区经贸往来密切、人员交流频繁，机构对跨境业务办理有较大需求，广东地区与港澳地区法人和其他组织机构从注册到规范管理都有完整的法律体系和规章制度作为支撑，面向法人和其他组织的湾区机构身份认证机制也有一定基础，</w:t>
      </w:r>
      <w:r>
        <w:rPr>
          <w:rFonts w:hint="eastAsia" w:ascii="Times New Roman" w:hAnsi="Times New Roman" w:eastAsia="方正仿宋简体" w:cs="Times New Roman"/>
          <w:kern w:val="0"/>
          <w:sz w:val="32"/>
          <w:szCs w:val="32"/>
          <w:lang w:val="en-US" w:eastAsia="zh-CN"/>
        </w:rPr>
        <w:t>本标准需</w:t>
      </w:r>
      <w:r>
        <w:rPr>
          <w:rFonts w:hint="eastAsia" w:ascii="Times New Roman" w:hAnsi="Times New Roman" w:eastAsia="方正仿宋简体" w:cs="Times New Roman"/>
          <w:kern w:val="0"/>
          <w:sz w:val="32"/>
          <w:szCs w:val="32"/>
          <w:lang w:eastAsia="zh-CN"/>
        </w:rPr>
        <w:t>通过身份认证的良好实践，形成</w:t>
      </w:r>
      <w:r>
        <w:rPr>
          <w:rFonts w:hint="eastAsia" w:ascii="Times New Roman" w:hAnsi="Times New Roman" w:eastAsia="方正仿宋简体" w:cs="Times New Roman"/>
          <w:kern w:val="0"/>
          <w:sz w:val="32"/>
          <w:szCs w:val="32"/>
          <w:lang w:val="en-US" w:eastAsia="zh-CN"/>
        </w:rPr>
        <w:t>粤港澳大湾区法人和其他组织</w:t>
      </w:r>
      <w:r>
        <w:rPr>
          <w:rFonts w:hint="eastAsia" w:ascii="Times New Roman" w:hAnsi="Times New Roman" w:eastAsia="方正仿宋简体" w:cs="Times New Roman"/>
          <w:kern w:val="0"/>
          <w:sz w:val="32"/>
          <w:szCs w:val="32"/>
          <w:lang w:eastAsia="zh-CN"/>
        </w:rPr>
        <w:t>统一的身份认证标准，达到“三地”身份互认目的，为大湾区法人和其他组织之间的业务往来提供便利，将有效促进三地之间的政务、商务、物流等业务的互联互通，融合发展，进一步促进统一大市场的形成。</w:t>
      </w:r>
    </w:p>
    <w:p>
      <w:pPr>
        <w:widowControl/>
        <w:wordWrap w:val="0"/>
        <w:spacing w:line="240" w:lineRule="auto"/>
        <w:ind w:firstLine="640" w:firstLineChars="200"/>
        <w:rPr>
          <w:rFonts w:hint="eastAsia" w:ascii="方正楷体简体" w:hAnsi="方正楷体简体" w:eastAsia="方正楷体简体" w:cs="方正楷体简体"/>
          <w:b w:val="0"/>
          <w:bCs w:val="0"/>
          <w:sz w:val="32"/>
          <w:szCs w:val="32"/>
          <w:lang w:val="en-US" w:eastAsia="zh-CN"/>
        </w:rPr>
      </w:pPr>
      <w:r>
        <w:rPr>
          <w:rFonts w:hint="eastAsia" w:ascii="方正楷体简体" w:hAnsi="方正楷体简体" w:eastAsia="方正楷体简体" w:cs="方正楷体简体"/>
          <w:b w:val="0"/>
          <w:bCs w:val="0"/>
          <w:sz w:val="32"/>
          <w:szCs w:val="32"/>
          <w:lang w:val="en-US" w:eastAsia="zh-CN"/>
        </w:rPr>
        <w:t>（二）主要内容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本标准规定了粤港澳大湾区法人和其他组织身份认证过程中涉及的数据要素、数据格式、数据交换安全要求、服务接口协议、跨境数据安全要求等相关的技术规范。为数据各参与方能在安全的环境下完成身份认证提供指导。</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本标准为跨境数据供应方、需求方管理以及身份服务平台的安全管理提供指导，也为信息安全职能部门或第三方评估机构对数据交易服务进行监督、检查和指导提供依据。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第五章主要对粤港澳大湾区法人和其他组织身份认证的总体框架和总体流程以及认证过程中涉及的通用安全要求做了说明。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第六章主要对跨境身份服务平台的功能要求、性能要求以及安全要求做了规定。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第七章主要对跨境身份数据提供方的功能要求以及安全要求做了规定。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第八章主要对跨境身份数据需求方的功能要求以及安全要求做了规定。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第九章主要对身份凭证签发中心的资质要求、服务要求和接口要求做了规定。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第十章主要对跨境数据接口的协议及安全要求、数据格式、数据要素、身份数据源接口、身份数据应用接口做了规定，其中数据要素主要包括了粤港澳三地法人和其他组织身份信息数据项映射关系。</w:t>
      </w:r>
    </w:p>
    <w:p>
      <w:pPr>
        <w:widowControl/>
        <w:wordWrap w:val="0"/>
        <w:spacing w:line="240" w:lineRule="auto"/>
        <w:ind w:firstLine="640" w:firstLineChars="200"/>
        <w:rPr>
          <w:rFonts w:hint="eastAsia" w:ascii="方正楷体简体" w:hAnsi="方正楷体简体" w:eastAsia="方正楷体简体" w:cs="方正楷体简体"/>
          <w:b w:val="0"/>
          <w:bCs w:val="0"/>
          <w:sz w:val="32"/>
          <w:szCs w:val="32"/>
          <w:lang w:val="en-US" w:eastAsia="zh-CN"/>
        </w:rPr>
      </w:pPr>
      <w:r>
        <w:rPr>
          <w:rFonts w:hint="eastAsia" w:ascii="方正楷体简体" w:hAnsi="方正楷体简体" w:eastAsia="方正楷体简体" w:cs="方正楷体简体"/>
          <w:b w:val="0"/>
          <w:bCs w:val="0"/>
          <w:sz w:val="32"/>
          <w:szCs w:val="32"/>
          <w:lang w:val="en-US" w:eastAsia="zh-CN"/>
        </w:rPr>
        <w:t>（三）编制依据</w:t>
      </w:r>
    </w:p>
    <w:p>
      <w:pPr>
        <w:pStyle w:val="4"/>
        <w:keepNext/>
        <w:keepLines/>
        <w:pageBreakBefore w:val="0"/>
        <w:widowControl w:val="0"/>
        <w:numPr>
          <w:ilvl w:val="2"/>
          <w:numId w:val="0"/>
        </w:numPr>
        <w:kinsoku/>
        <w:wordWrap/>
        <w:overflowPunct/>
        <w:topLinePunct w:val="0"/>
        <w:autoSpaceDE/>
        <w:autoSpaceDN/>
        <w:bidi w:val="0"/>
        <w:adjustRightInd/>
        <w:snapToGrid/>
        <w:spacing w:before="0" w:after="0" w:line="413" w:lineRule="auto"/>
        <w:ind w:left="0" w:leftChars="0" w:firstLine="640" w:firstLineChars="200"/>
        <w:textAlignment w:val="auto"/>
        <w:rPr>
          <w:rFonts w:hint="eastAsia" w:ascii="方正楷体简体" w:hAnsi="方正楷体简体" w:eastAsia="方正楷体简体" w:cs="方正楷体简体"/>
          <w:b w:val="0"/>
          <w:bCs w:val="0"/>
          <w:kern w:val="2"/>
          <w:sz w:val="32"/>
          <w:szCs w:val="32"/>
          <w:lang w:val="en-US" w:eastAsia="zh-CN" w:bidi="ar-SA"/>
        </w:rPr>
      </w:pPr>
      <w:r>
        <w:rPr>
          <w:rFonts w:hint="eastAsia" w:ascii="Times New Roman" w:hAnsi="Times New Roman" w:eastAsia="方正仿宋简体" w:cs="Times New Roman"/>
          <w:b w:val="0"/>
          <w:kern w:val="0"/>
          <w:sz w:val="32"/>
          <w:szCs w:val="32"/>
          <w:lang w:val="en-US" w:eastAsia="zh-CN" w:bidi="ar-SA"/>
        </w:rPr>
        <w:t>1.</w:t>
      </w:r>
      <w:r>
        <w:rPr>
          <w:rFonts w:hint="eastAsia" w:ascii="方正楷体简体" w:hAnsi="方正楷体简体" w:eastAsia="方正楷体简体" w:cs="方正楷体简体"/>
          <w:b w:val="0"/>
          <w:bCs w:val="0"/>
          <w:kern w:val="2"/>
          <w:sz w:val="32"/>
          <w:szCs w:val="32"/>
          <w:lang w:val="en-US" w:eastAsia="zh-CN" w:bidi="ar-SA"/>
        </w:rPr>
        <w:t>法律法规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——《中华人民共和国标准化法》；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w:t>
      </w:r>
      <w:r>
        <w:rPr>
          <w:rFonts w:hint="eastAsia" w:ascii="Times New Roman" w:hAnsi="Times New Roman" w:eastAsia="方正仿宋简体" w:cs="Times New Roman"/>
          <w:kern w:val="0"/>
          <w:sz w:val="32"/>
          <w:szCs w:val="32"/>
          <w:lang w:val="en-US" w:eastAsia="zh-CN"/>
        </w:rPr>
        <w:t>中华人民共和国网络安全法</w:t>
      </w:r>
      <w:r>
        <w:rPr>
          <w:rFonts w:hint="eastAsia" w:ascii="Times New Roman" w:hAnsi="Times New Roman" w:eastAsia="方正仿宋简体"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w:t>
      </w:r>
      <w:r>
        <w:rPr>
          <w:rFonts w:hint="eastAsia" w:ascii="Times New Roman" w:hAnsi="Times New Roman" w:eastAsia="方正仿宋简体" w:cs="Times New Roman"/>
          <w:kern w:val="0"/>
          <w:sz w:val="32"/>
          <w:szCs w:val="32"/>
          <w:lang w:val="en-US" w:eastAsia="zh-CN"/>
        </w:rPr>
        <w:t>中华人民共和国数据安全法</w:t>
      </w:r>
      <w:r>
        <w:rPr>
          <w:rFonts w:hint="eastAsia" w:ascii="Times New Roman" w:hAnsi="Times New Roman" w:eastAsia="方正仿宋简体"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——《中华人民共和国电子签名法》；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w:t>
      </w:r>
      <w:r>
        <w:rPr>
          <w:rFonts w:hint="eastAsia" w:ascii="Times New Roman" w:hAnsi="Times New Roman" w:eastAsia="方正仿宋简体" w:cs="Times New Roman"/>
          <w:kern w:val="0"/>
          <w:sz w:val="32"/>
          <w:szCs w:val="32"/>
          <w:lang w:val="en-US" w:eastAsia="zh-CN"/>
        </w:rPr>
        <w:t>中华人民共和国个人信息保护法</w:t>
      </w:r>
      <w:r>
        <w:rPr>
          <w:rFonts w:hint="eastAsia" w:ascii="Times New Roman" w:hAnsi="Times New Roman" w:eastAsia="方正仿宋简体"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w:t>
      </w:r>
      <w:r>
        <w:rPr>
          <w:rFonts w:hint="eastAsia" w:ascii="Times New Roman" w:hAnsi="Times New Roman" w:eastAsia="方正仿宋简体" w:cs="Times New Roman"/>
          <w:kern w:val="0"/>
          <w:sz w:val="32"/>
          <w:szCs w:val="32"/>
          <w:lang w:val="en-US" w:eastAsia="zh-CN"/>
        </w:rPr>
        <w:t>中华人民共和国澳门特别行政区</w:t>
      </w:r>
      <w:r>
        <w:rPr>
          <w:rFonts w:hint="eastAsia" w:ascii="Times New Roman" w:hAnsi="Times New Roman" w:eastAsia="方正仿宋简体" w:cs="Times New Roman"/>
          <w:kern w:val="0"/>
          <w:sz w:val="32"/>
          <w:szCs w:val="32"/>
          <w:lang w:eastAsia="zh-CN"/>
        </w:rPr>
        <w:t>《</w:t>
      </w:r>
      <w:r>
        <w:rPr>
          <w:rFonts w:hint="eastAsia" w:ascii="Times New Roman" w:hAnsi="Times New Roman" w:eastAsia="方正仿宋简体" w:cs="Times New Roman"/>
          <w:kern w:val="0"/>
          <w:sz w:val="32"/>
          <w:szCs w:val="32"/>
          <w:lang w:val="en-US" w:eastAsia="zh-CN"/>
        </w:rPr>
        <w:t>个人资料保护法</w:t>
      </w:r>
      <w:r>
        <w:rPr>
          <w:rFonts w:hint="eastAsia" w:ascii="Times New Roman" w:hAnsi="Times New Roman" w:eastAsia="方正仿宋简体"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w:t>
      </w:r>
      <w:r>
        <w:rPr>
          <w:rFonts w:hint="eastAsia" w:ascii="Times New Roman" w:hAnsi="Times New Roman" w:eastAsia="方正仿宋简体" w:cs="Times New Roman"/>
          <w:kern w:val="0"/>
          <w:sz w:val="32"/>
          <w:szCs w:val="32"/>
          <w:lang w:val="en-US" w:eastAsia="zh-CN"/>
        </w:rPr>
        <w:t>中华人民共和国香港特别行政区</w:t>
      </w:r>
      <w:r>
        <w:rPr>
          <w:rFonts w:hint="eastAsia" w:ascii="Times New Roman" w:hAnsi="Times New Roman" w:eastAsia="方正仿宋简体" w:cs="Times New Roman"/>
          <w:kern w:val="0"/>
          <w:sz w:val="32"/>
          <w:szCs w:val="32"/>
          <w:lang w:eastAsia="zh-CN"/>
        </w:rPr>
        <w:t>《</w:t>
      </w:r>
      <w:r>
        <w:rPr>
          <w:rFonts w:hint="eastAsia" w:ascii="Times New Roman" w:hAnsi="Times New Roman" w:eastAsia="方正仿宋简体" w:cs="Times New Roman"/>
          <w:kern w:val="0"/>
          <w:sz w:val="32"/>
          <w:szCs w:val="32"/>
          <w:lang w:val="en-US" w:eastAsia="zh-CN"/>
        </w:rPr>
        <w:t>个人资料（私隐）条例</w:t>
      </w:r>
      <w:r>
        <w:rPr>
          <w:rFonts w:hint="eastAsia" w:ascii="Times New Roman" w:hAnsi="Times New Roman" w:eastAsia="方正仿宋简体"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——《团体标准管理规定》；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——《广东省标准化条例》；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——《广州市南沙区跨境信用促进会团体标准管理办法》。</w:t>
      </w:r>
    </w:p>
    <w:p>
      <w:pPr>
        <w:pStyle w:val="4"/>
        <w:keepNext/>
        <w:keepLines/>
        <w:pageBreakBefore w:val="0"/>
        <w:widowControl w:val="0"/>
        <w:numPr>
          <w:ilvl w:val="2"/>
          <w:numId w:val="0"/>
        </w:numPr>
        <w:kinsoku/>
        <w:wordWrap/>
        <w:overflowPunct/>
        <w:topLinePunct w:val="0"/>
        <w:autoSpaceDE/>
        <w:autoSpaceDN/>
        <w:bidi w:val="0"/>
        <w:adjustRightInd/>
        <w:snapToGrid/>
        <w:spacing w:before="0" w:after="0" w:line="413" w:lineRule="auto"/>
        <w:ind w:left="0" w:leftChars="0" w:firstLine="640" w:firstLineChars="200"/>
        <w:textAlignment w:val="auto"/>
        <w:rPr>
          <w:rFonts w:hint="eastAsia" w:ascii="方正楷体简体" w:hAnsi="方正楷体简体" w:eastAsia="方正楷体简体" w:cs="方正楷体简体"/>
          <w:b w:val="0"/>
          <w:bCs w:val="0"/>
          <w:kern w:val="2"/>
          <w:sz w:val="32"/>
          <w:szCs w:val="32"/>
          <w:lang w:val="en-US" w:eastAsia="zh-CN" w:bidi="ar-SA"/>
        </w:rPr>
      </w:pPr>
      <w:r>
        <w:rPr>
          <w:rFonts w:hint="eastAsia" w:ascii="Times New Roman" w:hAnsi="Times New Roman" w:eastAsia="方正仿宋简体" w:cs="Times New Roman"/>
          <w:b w:val="0"/>
          <w:kern w:val="0"/>
          <w:sz w:val="32"/>
          <w:szCs w:val="32"/>
          <w:lang w:val="en-US" w:eastAsia="zh-CN" w:bidi="ar-SA"/>
        </w:rPr>
        <w:t>2.</w:t>
      </w:r>
      <w:r>
        <w:rPr>
          <w:rFonts w:hint="eastAsia" w:ascii="方正楷体简体" w:hAnsi="方正楷体简体" w:eastAsia="方正楷体简体" w:cs="方正楷体简体"/>
          <w:b w:val="0"/>
          <w:bCs w:val="0"/>
          <w:kern w:val="2"/>
          <w:sz w:val="32"/>
          <w:szCs w:val="32"/>
          <w:lang w:val="en-US" w:eastAsia="zh-CN" w:bidi="ar-SA"/>
        </w:rPr>
        <w:t>政策文件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——中共中央 国务院《粤港澳大湾区发展规划纲要》；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——中共中央 国务院《国务院关于印发广州南沙深化面向世界的粤港澳全面合作总体方案的通知》；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w:t>
      </w:r>
      <w:r>
        <w:rPr>
          <w:rFonts w:hint="eastAsia" w:ascii="Times New Roman" w:hAnsi="Times New Roman" w:eastAsia="方正仿宋简体" w:cs="Times New Roman"/>
          <w:kern w:val="0"/>
          <w:sz w:val="32"/>
          <w:szCs w:val="32"/>
          <w:lang w:val="en-US" w:eastAsia="zh-CN"/>
        </w:rPr>
        <w:t>广东省人民政府</w:t>
      </w:r>
      <w:r>
        <w:rPr>
          <w:rFonts w:hint="eastAsia" w:ascii="Times New Roman" w:hAnsi="Times New Roman" w:eastAsia="方正仿宋简体" w:cs="Times New Roman"/>
          <w:kern w:val="0"/>
          <w:sz w:val="32"/>
          <w:szCs w:val="32"/>
          <w:lang w:eastAsia="zh-CN"/>
        </w:rPr>
        <w:t>《粤港两地电子签名证书互认办法》；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w:t>
      </w:r>
      <w:r>
        <w:rPr>
          <w:rFonts w:hint="eastAsia" w:ascii="Times New Roman" w:hAnsi="Times New Roman" w:eastAsia="方正仿宋简体" w:cs="Times New Roman"/>
          <w:kern w:val="0"/>
          <w:sz w:val="32"/>
          <w:szCs w:val="32"/>
          <w:lang w:val="en-US" w:eastAsia="zh-CN"/>
        </w:rPr>
        <w:t>广东省经济和信息化委</w:t>
      </w:r>
      <w:r>
        <w:rPr>
          <w:rFonts w:hint="eastAsia" w:ascii="Times New Roman" w:hAnsi="Times New Roman" w:eastAsia="方正仿宋简体" w:cs="Times New Roman"/>
          <w:kern w:val="0"/>
          <w:sz w:val="32"/>
          <w:szCs w:val="32"/>
          <w:lang w:eastAsia="zh-CN"/>
        </w:rPr>
        <w:t>《粤港电子签名证书互认证书策略》；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w:t>
      </w:r>
      <w:r>
        <w:rPr>
          <w:rFonts w:hint="eastAsia" w:ascii="Times New Roman" w:hAnsi="Times New Roman" w:eastAsia="方正仿宋简体" w:cs="Times New Roman"/>
          <w:kern w:val="0"/>
          <w:sz w:val="32"/>
          <w:szCs w:val="32"/>
          <w:lang w:val="en-US" w:eastAsia="zh-CN"/>
        </w:rPr>
        <w:t>中华人民共和国香港特别行政区</w:t>
      </w:r>
      <w:r>
        <w:rPr>
          <w:rFonts w:hint="eastAsia" w:ascii="Times New Roman" w:hAnsi="Times New Roman" w:eastAsia="方正仿宋简体" w:cs="Times New Roman"/>
          <w:kern w:val="0"/>
          <w:sz w:val="32"/>
          <w:szCs w:val="32"/>
          <w:lang w:eastAsia="zh-CN"/>
        </w:rPr>
        <w:t>《基准信息技术安全政策》；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w:t>
      </w:r>
      <w:r>
        <w:rPr>
          <w:rFonts w:hint="eastAsia" w:ascii="Times New Roman" w:hAnsi="Times New Roman" w:eastAsia="方正仿宋简体" w:cs="Times New Roman"/>
          <w:kern w:val="0"/>
          <w:sz w:val="32"/>
          <w:szCs w:val="32"/>
          <w:lang w:val="en-US" w:eastAsia="zh-CN"/>
        </w:rPr>
        <w:t>中华人民共和国香港特别行政区</w:t>
      </w:r>
      <w:r>
        <w:rPr>
          <w:rFonts w:hint="eastAsia" w:ascii="Times New Roman" w:hAnsi="Times New Roman" w:eastAsia="方正仿宋简体" w:cs="Times New Roman"/>
          <w:kern w:val="0"/>
          <w:sz w:val="32"/>
          <w:szCs w:val="32"/>
          <w:lang w:eastAsia="zh-CN"/>
        </w:rPr>
        <w:t>《信息技术安全指南》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w:t>
      </w:r>
      <w:r>
        <w:rPr>
          <w:rFonts w:hint="eastAsia" w:ascii="Times New Roman" w:hAnsi="Times New Roman" w:eastAsia="方正仿宋简体" w:cs="Times New Roman"/>
          <w:kern w:val="0"/>
          <w:sz w:val="32"/>
          <w:szCs w:val="32"/>
          <w:lang w:val="en-US" w:eastAsia="zh-CN"/>
        </w:rPr>
        <w:t>中华人民共和国香港特别行政区</w:t>
      </w:r>
      <w:r>
        <w:rPr>
          <w:rFonts w:hint="eastAsia" w:ascii="Times New Roman" w:hAnsi="Times New Roman" w:eastAsia="方正仿宋简体" w:cs="Times New Roman"/>
          <w:kern w:val="0"/>
          <w:sz w:val="32"/>
          <w:szCs w:val="32"/>
          <w:lang w:eastAsia="zh-CN"/>
        </w:rPr>
        <w:t>《香港促进数据流通及保障数据安全的政策宣言》。</w:t>
      </w:r>
    </w:p>
    <w:p>
      <w:pPr>
        <w:pStyle w:val="4"/>
        <w:keepNext/>
        <w:keepLines/>
        <w:pageBreakBefore w:val="0"/>
        <w:widowControl w:val="0"/>
        <w:numPr>
          <w:ilvl w:val="2"/>
          <w:numId w:val="0"/>
        </w:numPr>
        <w:kinsoku/>
        <w:wordWrap/>
        <w:overflowPunct/>
        <w:topLinePunct w:val="0"/>
        <w:autoSpaceDE/>
        <w:autoSpaceDN/>
        <w:bidi w:val="0"/>
        <w:adjustRightInd/>
        <w:snapToGrid/>
        <w:spacing w:before="0" w:after="0" w:line="413" w:lineRule="auto"/>
        <w:ind w:left="0" w:leftChars="0" w:firstLine="640" w:firstLineChars="200"/>
        <w:textAlignment w:val="auto"/>
        <w:rPr>
          <w:rFonts w:hint="eastAsia" w:ascii="方正楷体简体" w:hAnsi="方正楷体简体" w:eastAsia="方正楷体简体" w:cs="方正楷体简体"/>
          <w:b w:val="0"/>
          <w:bCs w:val="0"/>
          <w:kern w:val="2"/>
          <w:sz w:val="32"/>
          <w:szCs w:val="32"/>
          <w:lang w:val="en-US" w:eastAsia="zh-CN" w:bidi="ar-SA"/>
        </w:rPr>
      </w:pPr>
      <w:r>
        <w:rPr>
          <w:rFonts w:hint="eastAsia" w:ascii="Times New Roman" w:hAnsi="Times New Roman" w:eastAsia="方正仿宋简体" w:cs="Times New Roman"/>
          <w:b w:val="0"/>
          <w:kern w:val="0"/>
          <w:sz w:val="32"/>
          <w:szCs w:val="32"/>
          <w:lang w:val="en-US" w:eastAsia="zh-CN" w:bidi="ar-SA"/>
        </w:rPr>
        <w:t>3.</w:t>
      </w:r>
      <w:r>
        <w:rPr>
          <w:rFonts w:hint="eastAsia" w:ascii="方正楷体简体" w:hAnsi="方正楷体简体" w:eastAsia="方正楷体简体" w:cs="方正楷体简体"/>
          <w:b w:val="0"/>
          <w:bCs w:val="0"/>
          <w:kern w:val="2"/>
          <w:sz w:val="32"/>
          <w:szCs w:val="32"/>
          <w:lang w:val="en-US" w:eastAsia="zh-CN" w:bidi="ar-SA"/>
        </w:rPr>
        <w:t>相关标准、专著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——GB 32100-2015 法人和其他组织统一社会信用代码编码规则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——GB/T 19714-2005 信息技术安全技术公钥基础设施证书管理协议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——GB/T 22239-2019 信息安全技术 网络安全等级保护基本要求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——GB/T 25000.23-2019 系统与软件工程 系统与软件质量要求和评价(SQuaRE) 第23部分:系统与软件产品质量测量</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——GB/T 25056-2018 信息安全技术 证书认证系统密码及其相关安全技术规范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——GB/T 33780.2-2017 基于云计算的电子政务公共平台技术规范第2部分:功能和性能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——GB/T 35273-2020 信息安全技术 个人信息安全规范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——GB/T 39477-2020 信息安全技术 政务信息共享 数据安全技术要求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——GB/T 39786-2021 信息安全技术 信息系统密码应用基本要求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——IETF RFC 4210 Internet X.509 Public Key Infrastructure Certificate Management Protocol (CMP)</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——IETF RFC 6960 X.509 Internet Public Key Infrastructure Online Certificate Status Protocol</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——IETF RFC 7515 JSON Web Signature (JWS)</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pPr>
      <w:r>
        <w:rPr>
          <w:rFonts w:hint="eastAsia" w:ascii="Times New Roman" w:hAnsi="Times New Roman" w:eastAsia="方正仿宋简体" w:cs="Times New Roman"/>
          <w:kern w:val="0"/>
          <w:sz w:val="32"/>
          <w:szCs w:val="32"/>
          <w:lang w:eastAsia="zh-CN"/>
        </w:rPr>
        <w:t>——IETF RFC 7617 The 'Basic' HTTP Authentication Scheme</w:t>
      </w:r>
    </w:p>
    <w:p>
      <w:pPr>
        <w:pStyle w:val="2"/>
        <w:keepNext/>
        <w:keepLines/>
        <w:pageBreakBefore w:val="0"/>
        <w:widowControl w:val="0"/>
        <w:kinsoku/>
        <w:wordWrap/>
        <w:overflowPunct/>
        <w:topLinePunct w:val="0"/>
        <w:autoSpaceDE/>
        <w:autoSpaceDN/>
        <w:bidi w:val="0"/>
        <w:adjustRightInd/>
        <w:snapToGrid/>
        <w:spacing w:before="0" w:after="0" w:line="240" w:lineRule="auto"/>
        <w:ind w:firstLine="640" w:firstLineChars="200"/>
        <w:textAlignment w:val="auto"/>
        <w:rPr>
          <w:rFonts w:hint="eastAsia" w:ascii="方正黑体简体" w:hAnsi="方正黑体简体" w:eastAsia="方正黑体简体" w:cs="方正黑体简体"/>
          <w:b w:val="0"/>
          <w:bCs/>
          <w:sz w:val="32"/>
          <w:szCs w:val="32"/>
          <w:lang w:val="en-US" w:eastAsia="zh-CN"/>
        </w:rPr>
      </w:pPr>
      <w:r>
        <w:rPr>
          <w:rFonts w:hint="eastAsia" w:ascii="方正黑体简体" w:hAnsi="方正黑体简体" w:eastAsia="方正黑体简体" w:cs="方正黑体简体"/>
          <w:b w:val="0"/>
          <w:bCs/>
          <w:sz w:val="32"/>
          <w:szCs w:val="32"/>
          <w:lang w:val="en-US" w:eastAsia="zh-CN"/>
        </w:rPr>
        <w:t>标准有何先进性或特色性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val="en-US" w:eastAsia="zh-CN"/>
        </w:rPr>
      </w:pPr>
      <w:r>
        <w:rPr>
          <w:rFonts w:hint="eastAsia" w:ascii="Times New Roman" w:hAnsi="Times New Roman" w:eastAsia="方正仿宋简体" w:cs="Times New Roman"/>
          <w:kern w:val="0"/>
          <w:sz w:val="32"/>
          <w:szCs w:val="32"/>
          <w:lang w:val="en-US" w:eastAsia="zh-CN"/>
        </w:rPr>
        <w:t>1.本标准对粤港澳大湾区法人和其他组织的身份互认进行统一规定，规定了粤港澳大湾区法人和其他组织身份认证过程中涉及的通用安全要求、服务平台技术要求、数据提供方技术要求、数据需求方技术要求和数据接口规范等内容，促进了互认的一致性和协调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val="en-US" w:eastAsia="zh-CN"/>
        </w:rPr>
      </w:pPr>
      <w:r>
        <w:rPr>
          <w:rFonts w:hint="eastAsia" w:ascii="Times New Roman" w:hAnsi="Times New Roman" w:eastAsia="方正仿宋简体" w:cs="Times New Roman"/>
          <w:kern w:val="0"/>
          <w:sz w:val="32"/>
          <w:szCs w:val="32"/>
          <w:lang w:val="en-US" w:eastAsia="zh-CN"/>
        </w:rPr>
        <w:t>2.本标准设计了跨境身份应用服务平台原型，在粤港澳大湾区三地进行了试点应用落地，并通过大量的实践与摸索，协调三地身份数据相关方的对接情况，规范了模型在跨境身份应用场景下的应用要求，增加了标准的可用性和实用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val="en-US" w:eastAsia="zh-CN"/>
        </w:rPr>
        <w:t>3.</w:t>
      </w:r>
      <w:r>
        <w:rPr>
          <w:rFonts w:hint="eastAsia" w:ascii="Times New Roman" w:hAnsi="Times New Roman" w:eastAsia="方正仿宋简体" w:cs="Times New Roman"/>
          <w:kern w:val="0"/>
          <w:sz w:val="32"/>
          <w:szCs w:val="32"/>
          <w:lang w:eastAsia="zh-CN"/>
        </w:rPr>
        <w:t>目前尚未有粤港澳大湾区身份认证技术标准机制出台，本标准弥补了该领域规范的空白。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val="en-US" w:eastAsia="zh-CN"/>
        </w:rPr>
        <w:t>4.在粤港澳</w:t>
      </w:r>
      <w:r>
        <w:rPr>
          <w:rFonts w:hint="eastAsia" w:ascii="Times New Roman" w:hAnsi="Times New Roman" w:eastAsia="方正仿宋简体" w:cs="Times New Roman"/>
          <w:kern w:val="0"/>
          <w:sz w:val="32"/>
          <w:szCs w:val="32"/>
          <w:lang w:eastAsia="zh-CN"/>
        </w:rPr>
        <w:t>三地共识性</w:t>
      </w:r>
      <w:r>
        <w:rPr>
          <w:rFonts w:hint="eastAsia" w:ascii="Times New Roman" w:hAnsi="Times New Roman" w:eastAsia="方正仿宋简体" w:cs="Times New Roman"/>
          <w:kern w:val="0"/>
          <w:sz w:val="32"/>
          <w:szCs w:val="32"/>
          <w:lang w:val="en-US" w:eastAsia="zh-CN"/>
        </w:rPr>
        <w:t>上，本</w:t>
      </w:r>
      <w:r>
        <w:rPr>
          <w:rFonts w:hint="eastAsia" w:ascii="Times New Roman" w:hAnsi="Times New Roman" w:eastAsia="方正仿宋简体" w:cs="Times New Roman"/>
          <w:kern w:val="0"/>
          <w:sz w:val="32"/>
          <w:szCs w:val="32"/>
          <w:lang w:eastAsia="zh-CN"/>
        </w:rPr>
        <w:t>标准是在粤港澳三地系统调研和</w:t>
      </w:r>
      <w:r>
        <w:rPr>
          <w:rFonts w:hint="eastAsia" w:ascii="Times New Roman" w:hAnsi="Times New Roman" w:eastAsia="方正仿宋简体" w:cs="Times New Roman"/>
          <w:kern w:val="0"/>
          <w:sz w:val="32"/>
          <w:szCs w:val="32"/>
          <w:lang w:val="en-US" w:eastAsia="zh-CN"/>
        </w:rPr>
        <w:t>试点应用</w:t>
      </w:r>
      <w:r>
        <w:rPr>
          <w:rFonts w:hint="eastAsia" w:ascii="Times New Roman" w:hAnsi="Times New Roman" w:eastAsia="方正仿宋简体" w:cs="Times New Roman"/>
          <w:kern w:val="0"/>
          <w:sz w:val="32"/>
          <w:szCs w:val="32"/>
          <w:lang w:eastAsia="zh-CN"/>
        </w:rPr>
        <w:t>的基础上完成的，紧密结合了粤港澳三地的现状与发展需求。标准编制过程中多次广泛征求粤港澳三地相关</w:t>
      </w:r>
      <w:r>
        <w:rPr>
          <w:rFonts w:hint="eastAsia" w:ascii="Times New Roman" w:hAnsi="Times New Roman" w:eastAsia="方正仿宋简体" w:cs="Times New Roman"/>
          <w:kern w:val="0"/>
          <w:sz w:val="32"/>
          <w:szCs w:val="32"/>
          <w:lang w:val="en-US" w:eastAsia="zh-CN"/>
        </w:rPr>
        <w:t>企业机构</w:t>
      </w:r>
      <w:r>
        <w:rPr>
          <w:rFonts w:hint="eastAsia" w:ascii="Times New Roman" w:hAnsi="Times New Roman" w:eastAsia="方正仿宋简体" w:cs="Times New Roman"/>
          <w:kern w:val="0"/>
          <w:sz w:val="32"/>
          <w:szCs w:val="32"/>
          <w:lang w:eastAsia="zh-CN"/>
        </w:rPr>
        <w:t>的意见，促使本标准在编写格式上日趋规范，在核心内容方面亦日臻完善和成熟。</w:t>
      </w:r>
    </w:p>
    <w:p>
      <w:pPr>
        <w:pStyle w:val="2"/>
        <w:keepNext/>
        <w:keepLines/>
        <w:pageBreakBefore w:val="0"/>
        <w:widowControl w:val="0"/>
        <w:kinsoku/>
        <w:wordWrap/>
        <w:overflowPunct/>
        <w:topLinePunct w:val="0"/>
        <w:autoSpaceDE/>
        <w:autoSpaceDN/>
        <w:bidi w:val="0"/>
        <w:adjustRightInd/>
        <w:snapToGrid/>
        <w:spacing w:before="0" w:after="0" w:line="240" w:lineRule="auto"/>
        <w:ind w:firstLine="640" w:firstLineChars="200"/>
        <w:textAlignment w:val="auto"/>
        <w:rPr>
          <w:rFonts w:hint="eastAsia" w:ascii="方正黑体简体" w:hAnsi="方正黑体简体" w:eastAsia="方正黑体简体" w:cs="方正黑体简体"/>
          <w:b w:val="0"/>
          <w:bCs/>
          <w:sz w:val="32"/>
          <w:szCs w:val="32"/>
          <w:lang w:val="en-US" w:eastAsia="zh-CN"/>
        </w:rPr>
      </w:pPr>
      <w:r>
        <w:rPr>
          <w:rFonts w:hint="eastAsia" w:ascii="方正黑体简体" w:hAnsi="方正黑体简体" w:eastAsia="方正黑体简体" w:cs="方正黑体简体"/>
          <w:b w:val="0"/>
          <w:bCs/>
          <w:sz w:val="32"/>
          <w:szCs w:val="32"/>
          <w:lang w:val="en-US" w:eastAsia="zh-CN"/>
        </w:rPr>
        <w:t>标准调研、研讨、征求意见及邀请三地专家审定的情况</w:t>
      </w:r>
    </w:p>
    <w:p>
      <w:pPr>
        <w:widowControl/>
        <w:wordWrap w:val="0"/>
        <w:spacing w:line="240" w:lineRule="auto"/>
        <w:ind w:firstLine="640" w:firstLineChars="200"/>
        <w:rPr>
          <w:rFonts w:hint="eastAsia" w:ascii="方正楷体简体" w:hAnsi="方正楷体简体" w:eastAsia="方正楷体简体" w:cs="方正楷体简体"/>
          <w:b w:val="0"/>
          <w:bCs w:val="0"/>
          <w:sz w:val="32"/>
          <w:szCs w:val="32"/>
          <w:lang w:val="en-US" w:eastAsia="zh-CN"/>
        </w:rPr>
      </w:pPr>
      <w:r>
        <w:rPr>
          <w:rFonts w:hint="eastAsia" w:ascii="方正楷体简体" w:hAnsi="方正楷体简体" w:eastAsia="方正楷体简体" w:cs="方正楷体简体"/>
          <w:b w:val="0"/>
          <w:bCs w:val="0"/>
          <w:sz w:val="32"/>
          <w:szCs w:val="32"/>
          <w:lang w:val="en-US" w:eastAsia="zh-CN"/>
        </w:rPr>
        <w:t>（一）调研与稿件研讨情况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eastAsia="zh-CN"/>
        </w:rPr>
      </w:pPr>
      <w:r>
        <w:rPr>
          <w:rFonts w:hint="eastAsia" w:ascii="Times New Roman" w:hAnsi="Times New Roman" w:eastAsia="方正仿宋简体" w:cs="Times New Roman"/>
          <w:kern w:val="0"/>
          <w:sz w:val="32"/>
          <w:szCs w:val="32"/>
          <w:lang w:eastAsia="zh-CN"/>
        </w:rPr>
        <w:t>2023年8月，起草单位经过多次研讨，确定了标准的主题、方向和基本框架。2023年10月-12月，起草单位成立了由专业人员组成的编制工作组，启动标准编制工作，对相关的法律法规、标准规范等资料进行收集和整理，通过对资料的分析拟定了标准框架，并就标准主要内容</w:t>
      </w:r>
      <w:r>
        <w:rPr>
          <w:rFonts w:hint="eastAsia" w:ascii="Times New Roman" w:hAnsi="Times New Roman" w:eastAsia="方正仿宋简体" w:cs="Times New Roman"/>
          <w:kern w:val="0"/>
          <w:sz w:val="32"/>
          <w:szCs w:val="32"/>
          <w:lang w:val="en-US" w:eastAsia="zh-CN"/>
        </w:rPr>
        <w:t>开展研讨以及标准草案稿的编制工作</w:t>
      </w:r>
      <w:r>
        <w:rPr>
          <w:rFonts w:hint="eastAsia" w:ascii="Times New Roman" w:hAnsi="Times New Roman" w:eastAsia="方正仿宋简体" w:cs="Times New Roman"/>
          <w:kern w:val="0"/>
          <w:sz w:val="32"/>
          <w:szCs w:val="32"/>
          <w:lang w:eastAsia="zh-CN"/>
        </w:rPr>
        <w:t>。</w:t>
      </w:r>
      <w:r>
        <w:rPr>
          <w:rFonts w:hint="eastAsia" w:ascii="Times New Roman" w:hAnsi="Times New Roman" w:eastAsia="方正仿宋简体" w:cs="Times New Roman"/>
          <w:kern w:val="0"/>
          <w:sz w:val="32"/>
          <w:szCs w:val="32"/>
          <w:lang w:val="en-US" w:eastAsia="zh-CN"/>
        </w:rPr>
        <w:t>2024年2月，</w:t>
      </w:r>
      <w:r>
        <w:rPr>
          <w:rFonts w:hint="eastAsia" w:ascii="Times New Roman" w:hAnsi="Times New Roman" w:eastAsia="方正仿宋简体" w:cs="Times New Roman"/>
          <w:kern w:val="0"/>
          <w:sz w:val="32"/>
          <w:szCs w:val="32"/>
          <w:lang w:eastAsia="zh-CN"/>
        </w:rPr>
        <w:t>起草单位对</w:t>
      </w:r>
      <w:r>
        <w:rPr>
          <w:rFonts w:hint="eastAsia" w:ascii="Times New Roman" w:hAnsi="Times New Roman" w:eastAsia="方正仿宋简体" w:cs="Times New Roman"/>
          <w:kern w:val="0"/>
          <w:sz w:val="32"/>
          <w:szCs w:val="32"/>
          <w:lang w:val="en-US" w:eastAsia="zh-CN"/>
        </w:rPr>
        <w:t>标准草案稿进行了讨论，对各章节的内容从专业性、合理性以及科学性进行了全面梳理，将相关章节的共性内容进行了提炼，并按照GB/T 1.1—2020《标准化工作导则  第1部分：标准化文件的结构和起草规则》要求对标准格式进行了调整，使标准框架逻辑更加合理，内容更加通顺。</w:t>
      </w:r>
    </w:p>
    <w:p>
      <w:pPr>
        <w:widowControl/>
        <w:wordWrap w:val="0"/>
        <w:spacing w:line="240" w:lineRule="auto"/>
        <w:ind w:firstLine="640" w:firstLineChars="200"/>
        <w:rPr>
          <w:rFonts w:hint="eastAsia" w:ascii="方正楷体简体" w:hAnsi="方正楷体简体" w:eastAsia="方正楷体简体" w:cs="方正楷体简体"/>
          <w:b w:val="0"/>
          <w:bCs w:val="0"/>
          <w:sz w:val="32"/>
          <w:szCs w:val="32"/>
          <w:lang w:val="en-US" w:eastAsia="zh-CN"/>
        </w:rPr>
      </w:pPr>
      <w:r>
        <w:rPr>
          <w:rFonts w:hint="eastAsia" w:ascii="方正楷体简体" w:hAnsi="方正楷体简体" w:eastAsia="方正楷体简体" w:cs="方正楷体简体"/>
          <w:b w:val="0"/>
          <w:bCs w:val="0"/>
          <w:sz w:val="32"/>
          <w:szCs w:val="32"/>
          <w:lang w:val="en-US" w:eastAsia="zh-CN"/>
        </w:rPr>
        <w:t>（二）立项情况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eastAsia="方正仿宋简体" w:cs="Times New Roman"/>
          <w:kern w:val="0"/>
          <w:sz w:val="32"/>
          <w:szCs w:val="32"/>
          <w:lang w:val="en-US" w:eastAsia="zh-CN"/>
        </w:rPr>
      </w:pPr>
      <w:r>
        <w:rPr>
          <w:rFonts w:hint="eastAsia" w:ascii="Times New Roman" w:hAnsi="Times New Roman" w:eastAsia="方正仿宋简体" w:cs="Times New Roman"/>
          <w:kern w:val="0"/>
          <w:sz w:val="32"/>
          <w:szCs w:val="32"/>
          <w:lang w:eastAsia="zh-CN"/>
        </w:rPr>
        <w:t>2024年3月初，起草单位整理了标准立项任务书并向广州市南沙区跨境信用促进会</w:t>
      </w:r>
      <w:r>
        <w:rPr>
          <w:rFonts w:hint="eastAsia" w:ascii="Times New Roman" w:hAnsi="Times New Roman" w:eastAsia="方正仿宋简体" w:cs="Times New Roman"/>
          <w:kern w:val="0"/>
          <w:sz w:val="32"/>
          <w:szCs w:val="32"/>
          <w:lang w:val="en-US" w:eastAsia="zh-CN"/>
        </w:rPr>
        <w:t>提出立项申请，广州市南沙区跨境信用促进会对《法人和其他组织跨境身份认证技术规范》团体标准立项进行审查，3月21日，广州市南沙区跨境信用促进会发布了《法人和其他组织跨境身份认证技术规范》（原《粤港澳大湾区法人和其他组织身份认证技术规范》）团体标准立项公告，标准正式批准立项。</w:t>
      </w:r>
    </w:p>
    <w:p>
      <w:pPr>
        <w:widowControl/>
        <w:wordWrap w:val="0"/>
        <w:spacing w:line="240" w:lineRule="auto"/>
        <w:ind w:firstLine="640" w:firstLineChars="200"/>
        <w:rPr>
          <w:rFonts w:hint="eastAsia" w:ascii="方正楷体简体" w:hAnsi="方正楷体简体" w:eastAsia="方正楷体简体" w:cs="方正楷体简体"/>
          <w:b w:val="0"/>
          <w:bCs w:val="0"/>
          <w:sz w:val="32"/>
          <w:szCs w:val="32"/>
          <w:lang w:val="en-US" w:eastAsia="zh-CN"/>
        </w:rPr>
      </w:pPr>
      <w:r>
        <w:rPr>
          <w:rFonts w:hint="eastAsia" w:ascii="方正楷体简体" w:hAnsi="方正楷体简体" w:eastAsia="方正楷体简体" w:cs="方正楷体简体"/>
          <w:b w:val="0"/>
          <w:bCs w:val="0"/>
          <w:sz w:val="32"/>
          <w:szCs w:val="32"/>
          <w:lang w:val="en-US" w:eastAsia="zh-CN"/>
        </w:rPr>
        <w:t>（三）标准中技术指标的确定依据</w:t>
      </w:r>
    </w:p>
    <w:p>
      <w:pPr>
        <w:widowControl/>
        <w:wordWrap w:val="0"/>
        <w:spacing w:line="240" w:lineRule="auto"/>
        <w:ind w:firstLine="640" w:firstLineChars="200"/>
        <w:rPr>
          <w:rFonts w:hint="eastAsia" w:ascii="方正楷体简体" w:hAnsi="方正楷体简体" w:eastAsia="方正楷体简体" w:cs="方正楷体简体"/>
          <w:b w:val="0"/>
          <w:bCs w:val="0"/>
          <w:sz w:val="32"/>
          <w:szCs w:val="32"/>
          <w:lang w:val="en-US" w:eastAsia="zh-CN"/>
        </w:rPr>
      </w:pPr>
      <w:r>
        <w:rPr>
          <w:rFonts w:hint="eastAsia" w:ascii="Times New Roman" w:hAnsi="Times New Roman" w:eastAsia="方正仿宋简体" w:cs="Times New Roman"/>
          <w:b w:val="0"/>
          <w:kern w:val="0"/>
          <w:sz w:val="32"/>
          <w:szCs w:val="32"/>
          <w:lang w:val="en-US" w:eastAsia="zh-CN" w:bidi="ar-SA"/>
        </w:rPr>
        <w:t>1.</w:t>
      </w:r>
      <w:r>
        <w:rPr>
          <w:rFonts w:hint="eastAsia" w:ascii="方正楷体简体" w:hAnsi="方正楷体简体" w:eastAsia="方正楷体简体" w:cs="方正楷体简体"/>
          <w:b w:val="0"/>
          <w:bCs w:val="0"/>
          <w:sz w:val="32"/>
          <w:szCs w:val="32"/>
          <w:lang w:val="en-US" w:eastAsia="zh-CN"/>
        </w:rPr>
        <w:t>术语和定义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val="en-US" w:eastAsia="zh-CN"/>
        </w:rPr>
      </w:pPr>
      <w:r>
        <w:rPr>
          <w:rFonts w:hint="eastAsia" w:ascii="Times New Roman" w:hAnsi="Times New Roman" w:eastAsia="方正仿宋简体" w:cs="Times New Roman"/>
          <w:kern w:val="0"/>
          <w:sz w:val="32"/>
          <w:szCs w:val="32"/>
          <w:lang w:val="en-US" w:eastAsia="zh-CN"/>
        </w:rPr>
        <w:t>本标准所采用的术语和定义主要引用</w:t>
      </w:r>
      <w:r>
        <w:rPr>
          <w:rFonts w:hint="eastAsia" w:ascii="Times New Roman" w:hAnsi="Times New Roman" w:eastAsia="方正仿宋简体" w:cs="Times New Roman"/>
          <w:kern w:val="0"/>
          <w:sz w:val="32"/>
          <w:szCs w:val="32"/>
          <w:lang w:eastAsia="zh-CN"/>
        </w:rPr>
        <w:t>GB/T 19714-2005</w:t>
      </w:r>
      <w:r>
        <w:rPr>
          <w:rFonts w:hint="eastAsia" w:ascii="Times New Roman" w:hAnsi="Times New Roman" w:eastAsia="方正仿宋简体" w:cs="Times New Roman"/>
          <w:kern w:val="0"/>
          <w:sz w:val="32"/>
          <w:szCs w:val="32"/>
          <w:lang w:val="en-US" w:eastAsia="zh-CN"/>
        </w:rPr>
        <w:t>《信息技术安全技术公钥基础设施证书管理协议》等标准，增加“身份即服务”、“身份服务平台”等术语。</w:t>
      </w:r>
    </w:p>
    <w:p>
      <w:pPr>
        <w:widowControl/>
        <w:wordWrap w:val="0"/>
        <w:spacing w:line="240" w:lineRule="auto"/>
        <w:ind w:firstLine="640" w:firstLineChars="200"/>
        <w:rPr>
          <w:rFonts w:hint="default" w:ascii="方正楷体简体" w:hAnsi="方正楷体简体" w:eastAsia="方正楷体简体" w:cs="方正楷体简体"/>
          <w:b w:val="0"/>
          <w:bCs w:val="0"/>
          <w:sz w:val="32"/>
          <w:szCs w:val="32"/>
          <w:lang w:val="en-US" w:eastAsia="zh-CN"/>
        </w:rPr>
      </w:pPr>
      <w:r>
        <w:rPr>
          <w:rFonts w:hint="eastAsia" w:ascii="Times New Roman" w:hAnsi="Times New Roman" w:eastAsia="方正仿宋简体" w:cs="Times New Roman"/>
          <w:b w:val="0"/>
          <w:kern w:val="0"/>
          <w:sz w:val="32"/>
          <w:szCs w:val="32"/>
          <w:lang w:val="en-US" w:eastAsia="zh-CN" w:bidi="ar-SA"/>
        </w:rPr>
        <w:t>2.</w:t>
      </w:r>
      <w:r>
        <w:rPr>
          <w:rFonts w:hint="eastAsia" w:ascii="方正楷体简体" w:hAnsi="方正楷体简体" w:eastAsia="方正楷体简体" w:cs="方正楷体简体"/>
          <w:b w:val="0"/>
          <w:bCs w:val="0"/>
          <w:sz w:val="32"/>
          <w:szCs w:val="32"/>
          <w:lang w:val="en-US" w:eastAsia="zh-CN"/>
        </w:rPr>
        <w:t>通用安全要求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eastAsia="方正仿宋简体" w:cs="Times New Roman"/>
          <w:kern w:val="0"/>
          <w:sz w:val="32"/>
          <w:szCs w:val="32"/>
          <w:lang w:val="en-US" w:eastAsia="zh-CN"/>
        </w:rPr>
      </w:pPr>
      <w:r>
        <w:rPr>
          <w:rFonts w:hint="eastAsia" w:ascii="Times New Roman" w:hAnsi="Times New Roman" w:eastAsia="方正仿宋简体" w:cs="Times New Roman"/>
          <w:kern w:val="0"/>
          <w:sz w:val="32"/>
          <w:szCs w:val="32"/>
          <w:lang w:val="en-US" w:eastAsia="zh-CN"/>
        </w:rPr>
        <w:t>通用安全要求主要参考GB/T 22239-2019《信息安全技术 网络安全等级保护基本要求》、GB/T 39786-2021《信息安全技术 信息系统密码应用基本要求》、GB/T 35273-2020《信息安全技术 个人信息安全规范》、39477-2020《信息安全技术 政务信息共享 数据安全技术要求》等规范对等级保护要求、密码应用要求和数据安全要求进行了规定。</w:t>
      </w:r>
    </w:p>
    <w:p>
      <w:pPr>
        <w:widowControl/>
        <w:wordWrap w:val="0"/>
        <w:spacing w:line="240" w:lineRule="auto"/>
        <w:ind w:firstLine="640" w:firstLineChars="200"/>
        <w:rPr>
          <w:rFonts w:hint="default" w:ascii="方正楷体简体" w:hAnsi="方正楷体简体" w:eastAsia="方正楷体简体" w:cs="方正楷体简体"/>
          <w:b w:val="0"/>
          <w:bCs w:val="0"/>
          <w:sz w:val="32"/>
          <w:szCs w:val="32"/>
          <w:lang w:val="en-US" w:eastAsia="zh-CN"/>
        </w:rPr>
      </w:pPr>
      <w:r>
        <w:rPr>
          <w:rFonts w:hint="eastAsia" w:ascii="Times New Roman" w:hAnsi="Times New Roman" w:eastAsia="方正仿宋简体" w:cs="Times New Roman"/>
          <w:b w:val="0"/>
          <w:kern w:val="0"/>
          <w:sz w:val="32"/>
          <w:szCs w:val="32"/>
          <w:lang w:val="en-US" w:eastAsia="zh-CN" w:bidi="ar-SA"/>
        </w:rPr>
        <w:t>3.</w:t>
      </w:r>
      <w:r>
        <w:rPr>
          <w:rFonts w:hint="eastAsia" w:ascii="方正楷体简体" w:hAnsi="方正楷体简体" w:eastAsia="方正楷体简体" w:cs="方正楷体简体"/>
          <w:b w:val="0"/>
          <w:bCs w:val="0"/>
          <w:sz w:val="32"/>
          <w:szCs w:val="32"/>
          <w:lang w:val="en-US" w:eastAsia="zh-CN"/>
        </w:rPr>
        <w:t>跨境身份服务平台技术要求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eastAsia="方正仿宋简体" w:cs="Times New Roman"/>
          <w:kern w:val="0"/>
          <w:sz w:val="32"/>
          <w:szCs w:val="32"/>
          <w:lang w:val="en-US" w:eastAsia="zh-CN"/>
        </w:rPr>
      </w:pPr>
      <w:r>
        <w:rPr>
          <w:rFonts w:hint="eastAsia" w:ascii="Times New Roman" w:hAnsi="Times New Roman" w:eastAsia="方正仿宋简体" w:cs="Times New Roman"/>
          <w:kern w:val="0"/>
          <w:sz w:val="32"/>
          <w:szCs w:val="32"/>
          <w:lang w:val="en-US" w:eastAsia="zh-CN"/>
        </w:rPr>
        <w:t>跨境身份服务平台的技术要求主要参考GB/T 25000.23-2019《系统与软件工程 系统与软件质量要求和评价(SQuaRE) 第23部分:系统与软件产品质量测量》规范对身份服务平台的性能要求进行了规定。</w:t>
      </w:r>
    </w:p>
    <w:p>
      <w:pPr>
        <w:widowControl/>
        <w:wordWrap w:val="0"/>
        <w:spacing w:line="240" w:lineRule="auto"/>
        <w:ind w:firstLine="640" w:firstLineChars="200"/>
        <w:rPr>
          <w:rFonts w:hint="default" w:ascii="方正楷体简体" w:hAnsi="方正楷体简体" w:eastAsia="方正楷体简体" w:cs="方正楷体简体"/>
          <w:b w:val="0"/>
          <w:bCs w:val="0"/>
          <w:sz w:val="32"/>
          <w:szCs w:val="32"/>
          <w:lang w:val="en-US" w:eastAsia="zh-CN"/>
        </w:rPr>
      </w:pPr>
      <w:r>
        <w:rPr>
          <w:rFonts w:hint="eastAsia" w:ascii="Times New Roman" w:hAnsi="Times New Roman" w:eastAsia="方正仿宋简体" w:cs="Times New Roman"/>
          <w:b w:val="0"/>
          <w:kern w:val="0"/>
          <w:sz w:val="32"/>
          <w:szCs w:val="32"/>
          <w:lang w:val="en-US" w:eastAsia="zh-CN" w:bidi="ar-SA"/>
        </w:rPr>
        <w:t>4.</w:t>
      </w:r>
      <w:r>
        <w:rPr>
          <w:rFonts w:hint="eastAsia" w:ascii="方正楷体简体" w:hAnsi="方正楷体简体" w:eastAsia="方正楷体简体" w:cs="方正楷体简体"/>
          <w:b w:val="0"/>
          <w:bCs w:val="0"/>
          <w:sz w:val="32"/>
          <w:szCs w:val="32"/>
          <w:lang w:val="en-US" w:eastAsia="zh-CN"/>
        </w:rPr>
        <w:t>跨境数据接口规范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eastAsia="方正仿宋简体" w:cs="Times New Roman"/>
          <w:kern w:val="0"/>
          <w:sz w:val="32"/>
          <w:szCs w:val="32"/>
          <w:lang w:val="en-US" w:eastAsia="zh-CN"/>
        </w:rPr>
      </w:pPr>
      <w:r>
        <w:rPr>
          <w:rFonts w:hint="eastAsia" w:ascii="Times New Roman" w:hAnsi="Times New Roman" w:eastAsia="方正仿宋简体" w:cs="Times New Roman"/>
          <w:kern w:val="0"/>
          <w:sz w:val="32"/>
          <w:szCs w:val="32"/>
          <w:lang w:val="en-US" w:eastAsia="zh-CN"/>
        </w:rPr>
        <w:t>跨境数据接口规范主要参考JWS标准（IETF RFC 7515）规范对数据格式中关键的请求和响应数据的电子签名格式进行了规定。</w:t>
      </w:r>
    </w:p>
    <w:p>
      <w:pPr>
        <w:widowControl/>
        <w:wordWrap w:val="0"/>
        <w:spacing w:line="240" w:lineRule="auto"/>
        <w:ind w:firstLine="640" w:firstLineChars="200"/>
        <w:rPr>
          <w:rFonts w:hint="default" w:ascii="方正楷体简体" w:hAnsi="方正楷体简体" w:eastAsia="方正楷体简体" w:cs="方正楷体简体"/>
          <w:b w:val="0"/>
          <w:bCs w:val="0"/>
          <w:sz w:val="32"/>
          <w:szCs w:val="32"/>
          <w:lang w:val="en-US" w:eastAsia="zh-CN"/>
        </w:rPr>
      </w:pPr>
      <w:r>
        <w:rPr>
          <w:rFonts w:hint="eastAsia" w:ascii="Times New Roman" w:hAnsi="Times New Roman" w:eastAsia="方正仿宋简体" w:cs="Times New Roman"/>
          <w:b w:val="0"/>
          <w:kern w:val="0"/>
          <w:sz w:val="32"/>
          <w:szCs w:val="32"/>
          <w:lang w:val="en-US" w:eastAsia="zh-CN" w:bidi="ar-SA"/>
        </w:rPr>
        <w:t>5.</w:t>
      </w:r>
      <w:r>
        <w:rPr>
          <w:rFonts w:hint="eastAsia" w:ascii="方正楷体简体" w:hAnsi="方正楷体简体" w:eastAsia="方正楷体简体" w:cs="方正楷体简体"/>
          <w:b w:val="0"/>
          <w:bCs w:val="0"/>
          <w:sz w:val="32"/>
          <w:szCs w:val="32"/>
          <w:lang w:val="en-US" w:eastAsia="zh-CN"/>
        </w:rPr>
        <w:t>身份凭证签发中心示例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val="en-US" w:eastAsia="zh-CN"/>
        </w:rPr>
      </w:pPr>
      <w:r>
        <w:rPr>
          <w:rFonts w:hint="default" w:ascii="Times New Roman" w:hAnsi="Times New Roman" w:eastAsia="方正仿宋简体" w:cs="Times New Roman"/>
          <w:kern w:val="0"/>
          <w:sz w:val="32"/>
          <w:szCs w:val="32"/>
          <w:lang w:val="en-US" w:eastAsia="zh-CN"/>
        </w:rPr>
        <w:t>身份凭证签发中心示例</w:t>
      </w:r>
      <w:r>
        <w:rPr>
          <w:rFonts w:hint="eastAsia" w:ascii="Times New Roman" w:hAnsi="Times New Roman" w:eastAsia="方正仿宋简体" w:cs="Times New Roman"/>
          <w:kern w:val="0"/>
          <w:sz w:val="32"/>
          <w:szCs w:val="32"/>
          <w:lang w:val="en-US" w:eastAsia="zh-CN"/>
        </w:rPr>
        <w:t>主要参考《粤港两地电子签名证书互认证书策略》、《粤港两地电子签名证书互认办法》、《港澳兩地電子簽名證書互認的框架性意見》等政策和IETF RFC 6960、GB/T 19714—2005《信息技术安全技术公钥基础设施证书管理协议》等规范对身份凭证签发中心的资质要求和服务要求进行了规定。</w:t>
      </w:r>
    </w:p>
    <w:p>
      <w:pPr>
        <w:widowControl/>
        <w:wordWrap w:val="0"/>
        <w:ind w:firstLine="640" w:firstLineChars="200"/>
        <w:rPr>
          <w:rFonts w:hint="eastAsia" w:ascii="方正楷体简体" w:hAnsi="方正楷体简体" w:eastAsia="方正楷体简体" w:cs="方正楷体简体"/>
          <w:b w:val="0"/>
          <w:bCs w:val="0"/>
          <w:sz w:val="32"/>
          <w:szCs w:val="32"/>
          <w:lang w:eastAsia="zh-CN"/>
        </w:rPr>
      </w:pPr>
      <w:r>
        <w:rPr>
          <w:rFonts w:hint="eastAsia" w:ascii="方正楷体简体" w:hAnsi="方正楷体简体" w:eastAsia="方正楷体简体" w:cs="方正楷体简体"/>
          <w:b w:val="0"/>
          <w:bCs w:val="0"/>
          <w:sz w:val="32"/>
          <w:szCs w:val="32"/>
          <w:lang w:eastAsia="zh-CN"/>
        </w:rPr>
        <w:t>（四）征求意见情况</w:t>
      </w:r>
    </w:p>
    <w:p>
      <w:pPr>
        <w:keepNext w:val="0"/>
        <w:keepLines w:val="0"/>
        <w:pageBreakBefore w:val="0"/>
        <w:widowControl/>
        <w:kinsoku/>
        <w:wordWrap w:val="0"/>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val="en-US" w:eastAsia="zh-CN"/>
        </w:rPr>
      </w:pPr>
      <w:r>
        <w:rPr>
          <w:rFonts w:hint="default" w:ascii="Times New Roman" w:hAnsi="Times New Roman" w:eastAsia="方正仿宋简体" w:cs="Times New Roman"/>
          <w:kern w:val="0"/>
          <w:sz w:val="32"/>
          <w:szCs w:val="32"/>
          <w:lang w:val="en-US" w:eastAsia="zh-CN"/>
        </w:rPr>
        <w:t>2024年</w:t>
      </w:r>
      <w:r>
        <w:rPr>
          <w:rFonts w:hint="eastAsia" w:ascii="Times New Roman" w:hAnsi="Times New Roman" w:eastAsia="方正仿宋简体" w:cs="Times New Roman"/>
          <w:kern w:val="0"/>
          <w:sz w:val="32"/>
          <w:szCs w:val="32"/>
          <w:lang w:val="en-US" w:eastAsia="zh-CN"/>
        </w:rPr>
        <w:t>4</w:t>
      </w:r>
      <w:r>
        <w:rPr>
          <w:rFonts w:hint="default" w:ascii="Times New Roman" w:hAnsi="Times New Roman" w:eastAsia="方正仿宋简体" w:cs="Times New Roman"/>
          <w:kern w:val="0"/>
          <w:sz w:val="32"/>
          <w:szCs w:val="32"/>
          <w:lang w:val="en-US" w:eastAsia="zh-CN"/>
        </w:rPr>
        <w:t>月</w:t>
      </w:r>
      <w:r>
        <w:rPr>
          <w:rFonts w:hint="eastAsia" w:ascii="Times New Roman" w:hAnsi="Times New Roman" w:eastAsia="方正仿宋简体" w:cs="Times New Roman"/>
          <w:kern w:val="0"/>
          <w:sz w:val="32"/>
          <w:szCs w:val="32"/>
          <w:lang w:val="en-US" w:eastAsia="zh-CN"/>
        </w:rPr>
        <w:t>11</w:t>
      </w:r>
      <w:r>
        <w:rPr>
          <w:rFonts w:hint="default" w:ascii="Times New Roman" w:hAnsi="Times New Roman" w:eastAsia="方正仿宋简体" w:cs="Times New Roman"/>
          <w:kern w:val="0"/>
          <w:sz w:val="32"/>
          <w:szCs w:val="32"/>
          <w:lang w:val="en-US" w:eastAsia="zh-CN"/>
        </w:rPr>
        <w:t>日，广州市南沙区跨境信用促进会</w:t>
      </w:r>
      <w:r>
        <w:rPr>
          <w:rFonts w:hint="eastAsia" w:ascii="Times New Roman" w:hAnsi="Times New Roman" w:eastAsia="方正仿宋简体" w:cs="Times New Roman"/>
          <w:kern w:val="0"/>
          <w:sz w:val="32"/>
          <w:szCs w:val="32"/>
          <w:lang w:val="en-US" w:eastAsia="zh-CN"/>
        </w:rPr>
        <w:t>通过官网发布标准公开征求意见的通知，此次征求意见共收到广州市标准化研究院、广州软件应用技术研究院、诺华诚信有限公司（香港）、澳门网络及数据安全学会等单位提出的25条意见和建议。标准起草小组根据征集的25条意见和建议，逐条进行梳理和讨论，其中共采纳18条，部分采纳1条，未采纳6条，对未采纳的意见说明了不采纳理由，对标准内容进行同步修改完善。</w:t>
      </w:r>
    </w:p>
    <w:p>
      <w:pPr>
        <w:keepNext w:val="0"/>
        <w:keepLines w:val="0"/>
        <w:pageBreakBefore w:val="0"/>
        <w:widowControl/>
        <w:kinsoku/>
        <w:wordWrap w:val="0"/>
        <w:overflowPunct/>
        <w:topLinePunct w:val="0"/>
        <w:autoSpaceDE/>
        <w:autoSpaceDN/>
        <w:bidi w:val="0"/>
        <w:adjustRightInd/>
        <w:snapToGrid/>
        <w:spacing w:line="240" w:lineRule="auto"/>
        <w:ind w:firstLine="640" w:firstLineChars="200"/>
        <w:textAlignment w:val="auto"/>
        <w:rPr>
          <w:rFonts w:hint="default" w:ascii="Times New Roman" w:hAnsi="Times New Roman" w:eastAsia="方正仿宋简体" w:cs="Times New Roman"/>
          <w:kern w:val="0"/>
          <w:sz w:val="32"/>
          <w:szCs w:val="32"/>
          <w:lang w:val="en-US" w:eastAsia="zh-CN"/>
        </w:rPr>
      </w:pPr>
      <w:r>
        <w:rPr>
          <w:rFonts w:hint="eastAsia" w:ascii="Times New Roman" w:hAnsi="Times New Roman" w:eastAsia="方正仿宋简体" w:cs="Times New Roman"/>
          <w:kern w:val="0"/>
          <w:sz w:val="32"/>
          <w:szCs w:val="32"/>
          <w:lang w:val="en-US" w:eastAsia="zh-CN"/>
        </w:rPr>
        <w:t>无重大意见分歧。</w:t>
      </w:r>
    </w:p>
    <w:p>
      <w:pPr>
        <w:pStyle w:val="2"/>
        <w:keepNext/>
        <w:keepLines/>
        <w:pageBreakBefore w:val="0"/>
        <w:widowControl w:val="0"/>
        <w:kinsoku/>
        <w:wordWrap/>
        <w:overflowPunct/>
        <w:topLinePunct w:val="0"/>
        <w:autoSpaceDE/>
        <w:autoSpaceDN/>
        <w:bidi w:val="0"/>
        <w:adjustRightInd/>
        <w:snapToGrid/>
        <w:spacing w:before="0" w:after="0" w:line="240" w:lineRule="auto"/>
        <w:ind w:firstLine="640" w:firstLineChars="200"/>
        <w:textAlignment w:val="auto"/>
        <w:rPr>
          <w:rFonts w:hint="eastAsia" w:ascii="方正黑体简体" w:hAnsi="方正黑体简体" w:eastAsia="方正黑体简体" w:cs="方正黑体简体"/>
          <w:b w:val="0"/>
          <w:bCs/>
          <w:sz w:val="32"/>
          <w:szCs w:val="32"/>
          <w:lang w:val="en-US" w:eastAsia="zh-CN"/>
        </w:rPr>
      </w:pPr>
      <w:r>
        <w:rPr>
          <w:rFonts w:hint="eastAsia" w:ascii="方正黑体简体" w:hAnsi="方正黑体简体" w:eastAsia="方正黑体简体" w:cs="方正黑体简体"/>
          <w:b w:val="0"/>
          <w:bCs/>
          <w:sz w:val="32"/>
          <w:szCs w:val="32"/>
          <w:lang w:val="en-US" w:eastAsia="zh-CN"/>
        </w:rPr>
        <w:t>技术指标设置的科学性和可行性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eastAsia="方正仿宋简体" w:cs="Times New Roman"/>
          <w:kern w:val="0"/>
          <w:sz w:val="32"/>
          <w:szCs w:val="32"/>
          <w:lang w:val="en-US" w:eastAsia="zh-CN"/>
        </w:rPr>
      </w:pPr>
      <w:r>
        <w:rPr>
          <w:rFonts w:hint="eastAsia" w:ascii="Times New Roman" w:hAnsi="Times New Roman" w:eastAsia="方正仿宋简体" w:cs="Times New Roman"/>
          <w:kern w:val="0"/>
          <w:sz w:val="32"/>
          <w:szCs w:val="32"/>
          <w:lang w:val="en-US" w:eastAsia="zh-CN"/>
        </w:rPr>
        <w:t>无。</w:t>
      </w:r>
    </w:p>
    <w:p>
      <w:pPr>
        <w:pStyle w:val="2"/>
        <w:keepNext/>
        <w:keepLines/>
        <w:pageBreakBefore w:val="0"/>
        <w:widowControl w:val="0"/>
        <w:kinsoku/>
        <w:wordWrap/>
        <w:overflowPunct/>
        <w:topLinePunct w:val="0"/>
        <w:autoSpaceDE/>
        <w:autoSpaceDN/>
        <w:bidi w:val="0"/>
        <w:adjustRightInd/>
        <w:snapToGrid/>
        <w:spacing w:before="0" w:after="0" w:line="240" w:lineRule="auto"/>
        <w:ind w:firstLine="640" w:firstLineChars="200"/>
        <w:textAlignment w:val="auto"/>
        <w:rPr>
          <w:rFonts w:hint="eastAsia" w:ascii="方正黑体简体" w:hAnsi="方正黑体简体" w:eastAsia="方正黑体简体" w:cs="方正黑体简体"/>
          <w:b w:val="0"/>
          <w:bCs/>
          <w:sz w:val="32"/>
          <w:szCs w:val="32"/>
          <w:lang w:val="en-US" w:eastAsia="zh-CN"/>
        </w:rPr>
      </w:pPr>
      <w:r>
        <w:rPr>
          <w:rFonts w:hint="eastAsia" w:ascii="方正黑体简体" w:hAnsi="方正黑体简体" w:eastAsia="方正黑体简体" w:cs="方正黑体简体"/>
          <w:b w:val="0"/>
          <w:bCs/>
          <w:sz w:val="32"/>
          <w:szCs w:val="32"/>
          <w:lang w:val="en-US" w:eastAsia="zh-CN"/>
        </w:rPr>
        <w:t>标准对比及彩标情况分析</w:t>
      </w:r>
    </w:p>
    <w:p>
      <w:pPr>
        <w:pStyle w:val="3"/>
        <w:keepNext/>
        <w:keepLines/>
        <w:pageBreakBefore w:val="0"/>
        <w:widowControl w:val="0"/>
        <w:numPr>
          <w:ilvl w:val="1"/>
          <w:numId w:val="0"/>
        </w:numPr>
        <w:kinsoku/>
        <w:wordWrap/>
        <w:overflowPunct/>
        <w:topLinePunct w:val="0"/>
        <w:autoSpaceDE/>
        <w:autoSpaceDN/>
        <w:bidi w:val="0"/>
        <w:adjustRightInd/>
        <w:snapToGrid/>
        <w:spacing w:before="0" w:after="0" w:line="240" w:lineRule="auto"/>
        <w:ind w:firstLine="640" w:firstLineChars="200"/>
        <w:textAlignment w:val="auto"/>
        <w:rPr>
          <w:rFonts w:hint="eastAsia" w:ascii="方正楷体简体" w:hAnsi="方正楷体简体" w:eastAsia="方正楷体简体" w:cs="方正楷体简体"/>
          <w:b w:val="0"/>
          <w:bCs w:val="0"/>
          <w:kern w:val="2"/>
          <w:sz w:val="32"/>
          <w:szCs w:val="32"/>
          <w:lang w:val="en-US" w:eastAsia="zh-CN" w:bidi="ar-SA"/>
        </w:rPr>
      </w:pPr>
      <w:r>
        <w:rPr>
          <w:rFonts w:hint="eastAsia" w:ascii="方正楷体简体" w:hAnsi="方正楷体简体" w:eastAsia="方正楷体简体" w:cs="方正楷体简体"/>
          <w:b w:val="0"/>
          <w:bCs w:val="0"/>
          <w:kern w:val="2"/>
          <w:sz w:val="32"/>
          <w:szCs w:val="32"/>
          <w:lang w:val="en-US" w:eastAsia="zh-CN" w:bidi="ar-SA"/>
        </w:rPr>
        <w:t>（一）与现行法律法规、强制性标准等上位标准关系</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val="en-US" w:eastAsia="zh-CN"/>
        </w:rPr>
      </w:pPr>
      <w:r>
        <w:rPr>
          <w:rFonts w:hint="eastAsia" w:ascii="Times New Roman" w:hAnsi="Times New Roman" w:eastAsia="方正仿宋简体" w:cs="Times New Roman"/>
          <w:kern w:val="0"/>
          <w:sz w:val="32"/>
          <w:szCs w:val="32"/>
          <w:lang w:val="en-US" w:eastAsia="zh-CN"/>
        </w:rPr>
        <w:t>本标准在《粤港澳大湾区发展规划纲要》、《国务院关于印发广州南沙深化面向世界的粤港澳全面合作总体方案的通知》、《粤港两地电子签名证书互认办法》、《粤港电子签名证书互认证书策略》的基础上，提供粤港澳湾区法人和其他组织数据互认的参考依据，参照《深圳经济特区数字经济产业促进条例》要求，按照区域数据共享需要，建立数据资源目录、基础库、专题库、主题库、数据共享、数据质量和安全管理等互认技术规范，促进数据资源共享和利用。同时落实《中华人民共和国个人信息保护法》、香港《个人资料（隐私）条例》、澳门《个人资料保护法》等数据保护基本原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val="en-US" w:eastAsia="zh-CN"/>
        </w:rPr>
      </w:pPr>
      <w:r>
        <w:rPr>
          <w:rFonts w:hint="eastAsia" w:ascii="Times New Roman" w:hAnsi="Times New Roman" w:eastAsia="方正仿宋简体" w:cs="Times New Roman"/>
          <w:kern w:val="0"/>
          <w:sz w:val="32"/>
          <w:szCs w:val="32"/>
          <w:lang w:val="en-US" w:eastAsia="zh-CN"/>
        </w:rPr>
        <w:t>技术标准方面，国际标准有《金融服务 法人机构识别编码》（ISO 17442:2012）等国家标准和行业标准包括《信息安全技术 政务信息共享 数据安全技术要求》(GB/T 39477-2020)、《信息安全技术 数据交易服务安全要求》（GB/T 37932-2019）、《信息安全技术 个人信息安全规范》(GB/T 35273)等。本标准基于以上政策法规、技术标准，进行因地制宜地、取长补短地参考和借鉴。</w:t>
      </w:r>
    </w:p>
    <w:p>
      <w:pPr>
        <w:pStyle w:val="3"/>
        <w:keepNext/>
        <w:keepLines/>
        <w:pageBreakBefore w:val="0"/>
        <w:widowControl w:val="0"/>
        <w:numPr>
          <w:ilvl w:val="1"/>
          <w:numId w:val="0"/>
        </w:numPr>
        <w:kinsoku/>
        <w:wordWrap/>
        <w:overflowPunct/>
        <w:topLinePunct w:val="0"/>
        <w:autoSpaceDE/>
        <w:autoSpaceDN/>
        <w:bidi w:val="0"/>
        <w:adjustRightInd/>
        <w:snapToGrid/>
        <w:spacing w:before="0" w:after="0" w:line="240" w:lineRule="auto"/>
        <w:ind w:firstLine="640" w:firstLineChars="200"/>
        <w:textAlignment w:val="auto"/>
        <w:rPr>
          <w:rFonts w:hint="eastAsia" w:ascii="方正楷体简体" w:hAnsi="方正楷体简体" w:eastAsia="方正楷体简体" w:cs="方正楷体简体"/>
          <w:b w:val="0"/>
          <w:bCs w:val="0"/>
          <w:kern w:val="2"/>
          <w:sz w:val="32"/>
          <w:szCs w:val="32"/>
          <w:lang w:val="en-US" w:eastAsia="zh-CN" w:bidi="ar-SA"/>
        </w:rPr>
      </w:pPr>
      <w:r>
        <w:rPr>
          <w:rFonts w:hint="eastAsia" w:ascii="方正楷体简体" w:hAnsi="方正楷体简体" w:eastAsia="方正楷体简体" w:cs="方正楷体简体"/>
          <w:b w:val="0"/>
          <w:bCs w:val="0"/>
          <w:kern w:val="2"/>
          <w:sz w:val="32"/>
          <w:szCs w:val="32"/>
          <w:lang w:val="en-US" w:eastAsia="zh-CN" w:bidi="ar-SA"/>
        </w:rPr>
        <w:t>（二）与现行法律法规、强制性标准不一致的内容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val="en-US" w:eastAsia="zh-CN"/>
        </w:rPr>
      </w:pPr>
      <w:r>
        <w:rPr>
          <w:rFonts w:hint="eastAsia" w:ascii="Times New Roman" w:hAnsi="Times New Roman" w:eastAsia="方正仿宋简体" w:cs="Times New Roman"/>
          <w:kern w:val="0"/>
          <w:sz w:val="32"/>
          <w:szCs w:val="32"/>
          <w:lang w:val="en-US" w:eastAsia="zh-CN"/>
        </w:rPr>
        <w:t>已经发布的国家标准和地方标准中，尚无粤港澳大湾区身份认证技术标准机制出台，本标准与现行法律法规和强制性标准不存在不一致的内容，无矛盾冲突。</w:t>
      </w:r>
    </w:p>
    <w:p>
      <w:pPr>
        <w:pStyle w:val="3"/>
        <w:keepNext/>
        <w:keepLines/>
        <w:pageBreakBefore w:val="0"/>
        <w:widowControl w:val="0"/>
        <w:numPr>
          <w:ilvl w:val="1"/>
          <w:numId w:val="0"/>
        </w:numPr>
        <w:kinsoku/>
        <w:wordWrap/>
        <w:overflowPunct/>
        <w:topLinePunct w:val="0"/>
        <w:autoSpaceDE/>
        <w:autoSpaceDN/>
        <w:bidi w:val="0"/>
        <w:adjustRightInd/>
        <w:snapToGrid/>
        <w:spacing w:before="0" w:after="0" w:line="240" w:lineRule="auto"/>
        <w:ind w:firstLine="640" w:firstLineChars="200"/>
        <w:textAlignment w:val="auto"/>
        <w:rPr>
          <w:rFonts w:hint="eastAsia" w:ascii="方正楷体简体" w:hAnsi="方正楷体简体" w:eastAsia="方正楷体简体" w:cs="方正楷体简体"/>
          <w:b w:val="0"/>
          <w:bCs w:val="0"/>
          <w:kern w:val="2"/>
          <w:sz w:val="32"/>
          <w:szCs w:val="32"/>
          <w:lang w:val="en-US" w:eastAsia="zh-CN" w:bidi="ar-SA"/>
        </w:rPr>
      </w:pPr>
      <w:r>
        <w:rPr>
          <w:rFonts w:hint="eastAsia" w:ascii="方正楷体简体" w:hAnsi="方正楷体简体" w:eastAsia="方正楷体简体" w:cs="方正楷体简体"/>
          <w:b w:val="0"/>
          <w:bCs w:val="0"/>
          <w:kern w:val="2"/>
          <w:sz w:val="32"/>
          <w:szCs w:val="32"/>
          <w:lang w:val="en-US" w:eastAsia="zh-CN" w:bidi="ar-SA"/>
        </w:rPr>
        <w:t>（三）与港澳标准和技术法规的异同</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val="en-US" w:eastAsia="zh-CN"/>
        </w:rPr>
      </w:pPr>
      <w:r>
        <w:rPr>
          <w:rFonts w:hint="eastAsia" w:ascii="Times New Roman" w:hAnsi="Times New Roman" w:eastAsia="方正仿宋简体" w:cs="Times New Roman"/>
          <w:kern w:val="0"/>
          <w:sz w:val="32"/>
          <w:szCs w:val="32"/>
          <w:lang w:val="en-US" w:eastAsia="zh-CN"/>
        </w:rPr>
        <w:t>港澳标准和技术法规中，尚无针对粤港澳大湾区身份认证技术的标准。</w:t>
      </w:r>
    </w:p>
    <w:p>
      <w:pPr>
        <w:pStyle w:val="2"/>
        <w:keepNext/>
        <w:keepLines/>
        <w:pageBreakBefore w:val="0"/>
        <w:widowControl w:val="0"/>
        <w:kinsoku/>
        <w:wordWrap/>
        <w:overflowPunct/>
        <w:topLinePunct w:val="0"/>
        <w:autoSpaceDE/>
        <w:autoSpaceDN/>
        <w:bidi w:val="0"/>
        <w:adjustRightInd/>
        <w:snapToGrid/>
        <w:spacing w:before="0" w:after="0" w:line="240" w:lineRule="auto"/>
        <w:ind w:firstLine="640" w:firstLineChars="200"/>
        <w:textAlignment w:val="auto"/>
        <w:rPr>
          <w:rFonts w:hint="eastAsia" w:ascii="方正黑体简体" w:hAnsi="方正黑体简体" w:eastAsia="方正黑体简体" w:cs="方正黑体简体"/>
          <w:b w:val="0"/>
          <w:bCs/>
          <w:sz w:val="32"/>
          <w:szCs w:val="32"/>
          <w:lang w:val="en-US" w:eastAsia="zh-CN"/>
        </w:rPr>
      </w:pPr>
      <w:r>
        <w:rPr>
          <w:rFonts w:hint="eastAsia" w:ascii="方正黑体简体" w:hAnsi="方正黑体简体" w:eastAsia="方正黑体简体" w:cs="方正黑体简体"/>
          <w:b w:val="0"/>
          <w:bCs/>
          <w:sz w:val="32"/>
          <w:szCs w:val="32"/>
          <w:lang w:val="en-US" w:eastAsia="zh-CN"/>
        </w:rPr>
        <w:t>涉及专利的有关说明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val="en-US" w:eastAsia="zh-CN"/>
        </w:rPr>
      </w:pPr>
      <w:r>
        <w:rPr>
          <w:rFonts w:hint="eastAsia" w:ascii="Times New Roman" w:hAnsi="Times New Roman" w:eastAsia="方正仿宋简体" w:cs="Times New Roman"/>
          <w:kern w:val="0"/>
          <w:sz w:val="32"/>
          <w:szCs w:val="32"/>
          <w:lang w:val="en-US" w:eastAsia="zh-CN"/>
        </w:rPr>
        <w:t>无。</w:t>
      </w:r>
    </w:p>
    <w:p>
      <w:pPr>
        <w:pStyle w:val="2"/>
        <w:keepNext/>
        <w:keepLines/>
        <w:pageBreakBefore w:val="0"/>
        <w:widowControl w:val="0"/>
        <w:kinsoku/>
        <w:wordWrap/>
        <w:overflowPunct/>
        <w:topLinePunct w:val="0"/>
        <w:autoSpaceDE/>
        <w:autoSpaceDN/>
        <w:bidi w:val="0"/>
        <w:adjustRightInd/>
        <w:snapToGrid/>
        <w:spacing w:before="0" w:after="0" w:line="240" w:lineRule="auto"/>
        <w:ind w:firstLine="640" w:firstLineChars="200"/>
        <w:textAlignment w:val="auto"/>
        <w:rPr>
          <w:rFonts w:hint="eastAsia" w:ascii="方正黑体简体" w:hAnsi="方正黑体简体" w:eastAsia="方正黑体简体" w:cs="方正黑体简体"/>
          <w:b w:val="0"/>
          <w:bCs/>
          <w:sz w:val="32"/>
          <w:szCs w:val="32"/>
          <w:lang w:val="en-US" w:eastAsia="zh-CN"/>
        </w:rPr>
      </w:pPr>
      <w:r>
        <w:rPr>
          <w:rFonts w:hint="eastAsia" w:ascii="方正黑体简体" w:hAnsi="方正黑体简体" w:eastAsia="方正黑体简体" w:cs="方正黑体简体"/>
          <w:b w:val="0"/>
          <w:bCs/>
          <w:sz w:val="32"/>
          <w:szCs w:val="32"/>
          <w:lang w:val="en-US" w:eastAsia="zh-CN"/>
        </w:rPr>
        <w:t>标准信息变更说明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方正仿宋简体" w:cs="Times New Roman"/>
          <w:kern w:val="0"/>
          <w:sz w:val="32"/>
          <w:szCs w:val="32"/>
          <w:lang w:val="en-US" w:eastAsia="zh-CN"/>
        </w:rPr>
      </w:pPr>
      <w:r>
        <w:rPr>
          <w:rFonts w:hint="eastAsia" w:ascii="Times New Roman" w:hAnsi="Times New Roman" w:eastAsia="方正仿宋简体" w:cs="Times New Roman"/>
          <w:kern w:val="0"/>
          <w:sz w:val="32"/>
          <w:szCs w:val="32"/>
          <w:lang w:val="en-US" w:eastAsia="zh-CN"/>
        </w:rPr>
        <w:t>本标准立项申报的名称为“粤港澳大湾区法人和其他组织身份认证技术规范”，适用于指导和规范粤港澳大湾区法人和其他组织跨境身份认证的相关工作，在标准研讨过程中和征求意见阶段，为了更好的规范标准名称，进一步凸显标准在跨境身份认证方面的应用，根据相关专家建议将标准名称修改为“法人和其他组织跨境身份认证技术规范”，更加符合标准立项目的和行业发展的需要。</w:t>
      </w:r>
    </w:p>
    <w:p>
      <w:pPr>
        <w:pStyle w:val="2"/>
        <w:keepNext/>
        <w:keepLines/>
        <w:pageBreakBefore w:val="0"/>
        <w:widowControl w:val="0"/>
        <w:kinsoku/>
        <w:wordWrap/>
        <w:overflowPunct/>
        <w:topLinePunct w:val="0"/>
        <w:autoSpaceDE/>
        <w:autoSpaceDN/>
        <w:bidi w:val="0"/>
        <w:adjustRightInd/>
        <w:snapToGrid/>
        <w:spacing w:before="0" w:after="0" w:line="240" w:lineRule="auto"/>
        <w:ind w:firstLine="640" w:firstLineChars="200"/>
        <w:textAlignment w:val="auto"/>
        <w:rPr>
          <w:rFonts w:hint="eastAsia" w:ascii="方正黑体简体" w:hAnsi="方正黑体简体" w:eastAsia="方正黑体简体" w:cs="方正黑体简体"/>
          <w:b w:val="0"/>
          <w:bCs/>
          <w:sz w:val="32"/>
          <w:szCs w:val="32"/>
          <w:lang w:val="en-US" w:eastAsia="zh-CN"/>
        </w:rPr>
      </w:pPr>
      <w:r>
        <w:rPr>
          <w:rFonts w:hint="eastAsia" w:ascii="方正黑体简体" w:hAnsi="方正黑体简体" w:eastAsia="方正黑体简体" w:cs="方正黑体简体"/>
          <w:b w:val="0"/>
          <w:bCs/>
          <w:sz w:val="32"/>
          <w:szCs w:val="32"/>
          <w:lang w:val="en-US" w:eastAsia="zh-CN"/>
        </w:rPr>
        <w:t>其他应予以说明的事项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eastAsia="方正仿宋简体" w:cs="Times New Roman"/>
          <w:kern w:val="0"/>
          <w:sz w:val="32"/>
          <w:szCs w:val="32"/>
          <w:lang w:val="en-US" w:eastAsia="zh-CN"/>
        </w:rPr>
      </w:pPr>
      <w:r>
        <w:rPr>
          <w:rFonts w:hint="eastAsia" w:ascii="Times New Roman" w:hAnsi="Times New Roman" w:eastAsia="方正仿宋简体" w:cs="Times New Roman"/>
          <w:kern w:val="0"/>
          <w:sz w:val="32"/>
          <w:szCs w:val="32"/>
          <w:lang w:val="en-US" w:eastAsia="zh-CN"/>
        </w:rPr>
        <w:t>无。</w:t>
      </w:r>
    </w:p>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embedRegular r:id="rId1" w:fontKey="{16FFDB28-826C-4768-87F1-762C46AFE37A}"/>
  </w:font>
  <w:font w:name="方正黑体简体">
    <w:panose1 w:val="02000000000000000000"/>
    <w:charset w:val="86"/>
    <w:family w:val="auto"/>
    <w:pitch w:val="default"/>
    <w:sig w:usb0="A00002BF" w:usb1="184F6CFA" w:usb2="00000012" w:usb3="00000000" w:csb0="00040001" w:csb1="00000000"/>
    <w:embedRegular r:id="rId2" w:fontKey="{56670AF3-2F59-4EEC-9EBE-ABFC5FDE8CBE}"/>
  </w:font>
  <w:font w:name="方正楷体简体">
    <w:panose1 w:val="02000000000000000000"/>
    <w:charset w:val="86"/>
    <w:family w:val="auto"/>
    <w:pitch w:val="default"/>
    <w:sig w:usb0="A00002BF" w:usb1="184F6CFA" w:usb2="00000012" w:usb3="00000000" w:csb0="00040001" w:csb1="00000000"/>
    <w:embedRegular r:id="rId3" w:fontKey="{A7C3738D-817B-4539-BA22-337762F270BC}"/>
  </w:font>
  <w:font w:name="方正仿宋简体">
    <w:panose1 w:val="02000000000000000000"/>
    <w:charset w:val="86"/>
    <w:family w:val="auto"/>
    <w:pitch w:val="default"/>
    <w:sig w:usb0="A00002BF" w:usb1="184F6CFA" w:usb2="00000012" w:usb3="00000000" w:csb0="00040001" w:csb1="00000000"/>
    <w:embedRegular r:id="rId4" w:fontKey="{79731FED-38BD-4143-810B-9F0789F4EAD5}"/>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3AC861"/>
    <w:multiLevelType w:val="multilevel"/>
    <w:tmpl w:val="0E3AC861"/>
    <w:lvl w:ilvl="0" w:tentative="0">
      <w:start w:val="1"/>
      <w:numFmt w:val="chineseCounting"/>
      <w:pStyle w:val="2"/>
      <w:suff w:val="nothing"/>
      <w:lvlText w:val="%1、"/>
      <w:lvlJc w:val="left"/>
      <w:pPr>
        <w:tabs>
          <w:tab w:val="left" w:pos="0"/>
        </w:tabs>
        <w:ind w:left="0" w:firstLine="402"/>
      </w:pPr>
      <w:rPr>
        <w:rFonts w:hint="eastAsia" w:ascii="宋体" w:hAnsi="宋体" w:eastAsia="宋体" w:cs="宋体"/>
      </w:rPr>
    </w:lvl>
    <w:lvl w:ilvl="1" w:tentative="0">
      <w:start w:val="1"/>
      <w:numFmt w:val="decimal"/>
      <w:pStyle w:val="3"/>
      <w:suff w:val="nothing"/>
      <w:lvlText w:val="%2 "/>
      <w:lvlJc w:val="left"/>
      <w:pPr>
        <w:tabs>
          <w:tab w:val="left" w:pos="0"/>
        </w:tabs>
        <w:ind w:left="0" w:firstLine="402"/>
      </w:pPr>
      <w:rPr>
        <w:rFonts w:hint="eastAsia" w:ascii="宋体" w:hAnsi="宋体" w:eastAsia="宋体" w:cs="宋体"/>
      </w:rPr>
    </w:lvl>
    <w:lvl w:ilvl="2" w:tentative="0">
      <w:start w:val="1"/>
      <w:numFmt w:val="decimal"/>
      <w:pStyle w:val="4"/>
      <w:suff w:val="nothing"/>
      <w:lvlText w:val="%2.%3 "/>
      <w:lvlJc w:val="left"/>
      <w:pPr>
        <w:ind w:left="0" w:firstLine="402"/>
      </w:pPr>
      <w:rPr>
        <w:rFonts w:hint="eastAsia"/>
      </w:rPr>
    </w:lvl>
    <w:lvl w:ilvl="3" w:tentative="0">
      <w:start w:val="1"/>
      <w:numFmt w:val="decimal"/>
      <w:pStyle w:val="5"/>
      <w:suff w:val="nothing"/>
      <w:lvlText w:val="%2.%3.%4 "/>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jYzBkNTI1ZDFiY2Q3YjE5MmZjMmMwNWEzY2RlNGMifQ=="/>
  </w:docVars>
  <w:rsids>
    <w:rsidRoot w:val="00000000"/>
    <w:rsid w:val="00562BC3"/>
    <w:rsid w:val="06223BFA"/>
    <w:rsid w:val="07FC1CBC"/>
    <w:rsid w:val="0CD8398F"/>
    <w:rsid w:val="0D664883"/>
    <w:rsid w:val="0F443F2E"/>
    <w:rsid w:val="126F07F7"/>
    <w:rsid w:val="1B0D412A"/>
    <w:rsid w:val="1DE015C5"/>
    <w:rsid w:val="1F2D3295"/>
    <w:rsid w:val="253A6EAF"/>
    <w:rsid w:val="2A4E5012"/>
    <w:rsid w:val="2DFE0C89"/>
    <w:rsid w:val="2EDE648B"/>
    <w:rsid w:val="2F08492F"/>
    <w:rsid w:val="339E473B"/>
    <w:rsid w:val="363505D8"/>
    <w:rsid w:val="385E3406"/>
    <w:rsid w:val="4A727E72"/>
    <w:rsid w:val="4A80295D"/>
    <w:rsid w:val="4E5A73E7"/>
    <w:rsid w:val="5222770F"/>
    <w:rsid w:val="56592679"/>
    <w:rsid w:val="583D13BB"/>
    <w:rsid w:val="5B684BA6"/>
    <w:rsid w:val="5BE865EB"/>
    <w:rsid w:val="5F474F95"/>
    <w:rsid w:val="64FC2CA1"/>
    <w:rsid w:val="6EB5372D"/>
    <w:rsid w:val="7AB92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eastAsia="宋体" w:asciiTheme="minorAscii" w:hAnsiTheme="minorAscii" w:cstheme="minorBidi"/>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beforeLines="0" w:beforeAutospacing="0" w:after="330" w:afterLines="0" w:afterAutospacing="0" w:line="576" w:lineRule="auto"/>
      <w:ind w:firstLine="402"/>
      <w:outlineLvl w:val="0"/>
    </w:pPr>
    <w:rPr>
      <w:rFonts w:eastAsia="黑体" w:asciiTheme="minorAscii" w:hAnsiTheme="minorAscii"/>
      <w:b/>
      <w:kern w:val="44"/>
      <w:sz w:val="32"/>
    </w:rPr>
  </w:style>
  <w:style w:type="paragraph" w:styleId="3">
    <w:name w:val="heading 2"/>
    <w:basedOn w:val="1"/>
    <w:next w:val="1"/>
    <w:unhideWhenUsed/>
    <w:qFormat/>
    <w:uiPriority w:val="0"/>
    <w:pPr>
      <w:keepNext/>
      <w:keepLines/>
      <w:numPr>
        <w:ilvl w:val="1"/>
        <w:numId w:val="1"/>
      </w:numPr>
      <w:spacing w:before="260" w:beforeLines="0" w:beforeAutospacing="0" w:after="260" w:afterLines="0" w:afterAutospacing="0" w:line="413" w:lineRule="auto"/>
      <w:ind w:firstLine="402"/>
      <w:outlineLvl w:val="1"/>
    </w:pPr>
    <w:rPr>
      <w:rFonts w:ascii="Arial" w:hAnsi="Arial" w:eastAsia="宋体"/>
      <w:b/>
      <w:sz w:val="30"/>
    </w:rPr>
  </w:style>
  <w:style w:type="paragraph" w:styleId="4">
    <w:name w:val="heading 3"/>
    <w:basedOn w:val="1"/>
    <w:next w:val="1"/>
    <w:unhideWhenUsed/>
    <w:qFormat/>
    <w:uiPriority w:val="0"/>
    <w:pPr>
      <w:keepNext/>
      <w:keepLines/>
      <w:numPr>
        <w:ilvl w:val="2"/>
        <w:numId w:val="1"/>
      </w:numPr>
      <w:spacing w:before="260" w:beforeLines="0" w:beforeAutospacing="0" w:after="260" w:afterLines="0" w:afterAutospacing="0" w:line="413" w:lineRule="auto"/>
      <w:ind w:firstLine="402"/>
      <w:outlineLvl w:val="2"/>
    </w:pPr>
    <w:rPr>
      <w:b/>
      <w:sz w:val="28"/>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firstLine="402"/>
      <w:outlineLvl w:val="3"/>
    </w:pPr>
    <w:rPr>
      <w:rFonts w:ascii="Arial" w:hAnsi="Arial" w:eastAsia="宋体"/>
      <w:b/>
      <w:sz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qFormat/>
    <w:uiPriority w:val="1"/>
    <w:rPr>
      <w:rFonts w:ascii="宋体" w:hAnsi="宋体" w:eastAsia="宋体" w:cs="宋体"/>
      <w:sz w:val="24"/>
      <w:szCs w:val="24"/>
    </w:rPr>
  </w:style>
  <w:style w:type="paragraph" w:styleId="8">
    <w:name w:val="Normal (Web)"/>
    <w:basedOn w:val="1"/>
    <w:qFormat/>
    <w:uiPriority w:val="0"/>
    <w:pPr>
      <w:spacing w:beforeAutospacing="1" w:afterAutospacing="1"/>
      <w:jc w:val="left"/>
    </w:pPr>
    <w:rPr>
      <w:rFonts w:cs="Times New Roman"/>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basedOn w:val="11"/>
    <w:qFormat/>
    <w:uiPriority w:val="0"/>
    <w:rPr>
      <w:i/>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5104</Words>
  <Characters>5791</Characters>
  <Lines>0</Lines>
  <Paragraphs>0</Paragraphs>
  <TotalTime>1</TotalTime>
  <ScaleCrop>false</ScaleCrop>
  <LinksUpToDate>false</LinksUpToDate>
  <CharactersWithSpaces>5910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2024-03-25T01:52:00Z</dcterms:created>
  <dc:creator>user</dc:creator>
  <cp:lastModifiedBy>Seay</cp:lastModifiedBy>
  <dcterms:modified xsi:type="dcterms:W3CDTF">2025-05-06T01:31:54Z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C30CF6AD1AFE420D89940986CD4672F1_13</vt:lpwstr>
  </property>
  <property fmtid="{D5CDD505-2E9C-101B-9397-08002B2CF9AE}" pid="4" name="KSOTemplateDocerSaveRecord">
    <vt:lpwstr>eyJoZGlkIjoiY2RlZmQyNDc5ZjM2ODM1ZmVjNDc0ZjM0MWJiMmQ4Y2IiLCJ1c2VySWQiOiI0NjM1ODQ4NDgifQ==</vt:lpwstr>
  </property>
</Properties>
</file>