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926D1">
      <w:pPr>
        <w:adjustRightInd w:val="0"/>
        <w:snapToGrid w:val="0"/>
        <w:spacing w:line="70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《绿色债券环境效益信息披露</w:t>
      </w:r>
    </w:p>
    <w:p w14:paraId="68854FEC">
      <w:pPr>
        <w:adjustRightInd w:val="0"/>
        <w:snapToGrid w:val="0"/>
        <w:spacing w:line="70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指标规范》编制说明</w:t>
      </w:r>
    </w:p>
    <w:p w14:paraId="16368450">
      <w:pPr>
        <w:adjustRightInd w:val="0"/>
        <w:snapToGrid w:val="0"/>
        <w:spacing w:line="700" w:lineRule="exact"/>
        <w:jc w:val="center"/>
        <w:rPr>
          <w:rFonts w:hint="eastAsia" w:ascii="方正小标宋简体" w:hAnsi="仿宋" w:eastAsia="方正小标宋简体" w:cs="新宋体"/>
          <w:kern w:val="0"/>
          <w:sz w:val="44"/>
          <w:szCs w:val="44"/>
        </w:rPr>
      </w:pPr>
    </w:p>
    <w:p w14:paraId="0D2647DA">
      <w:pPr>
        <w:numPr>
          <w:ilvl w:val="0"/>
          <w:numId w:val="1"/>
        </w:num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编制背景</w:t>
      </w:r>
    </w:p>
    <w:p w14:paraId="085BB95A">
      <w:pPr>
        <w:pStyle w:val="16"/>
        <w:tabs>
          <w:tab w:val="center" w:pos="4201"/>
          <w:tab w:val="right" w:leader="dot" w:pos="9298"/>
        </w:tabs>
        <w:adjustRightInd w:val="0"/>
        <w:snapToGrid w:val="0"/>
        <w:spacing w:line="560" w:lineRule="exact"/>
        <w:ind w:firstLine="64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党的二十大报告中提出，“加快发展方式绿色转型，完善支持绿色发展的标准体系”。建立绿色债券环境效益信息披露指标体系，对进一步提高绿色债券环境效益信息披露的可计量性、可核查性和可检验性，具有重大意义。粤港澳大湾区作为我国绿色金融改革创新前沿，近年来对绿色债券环境效益信息的重视程度持续提升。</w:t>
      </w:r>
    </w:p>
    <w:p w14:paraId="5442F174">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起，《关于金融支持粤港澳大湾区建设的意见》（银发〔2020〕95号）、《广东省发展绿色金融支持碳达峰行动实施方案的通知》（粤办函〔2022〕219号）等文件提出在粤港澳大湾区构建统一的绿色金融相关标准，支持粤港澳环境信息披露、绿色债券原则等绿色金融标准互认互鉴，为建设粤港澳大湾区统一的环境效益信息披露标准提供了政策条件。</w:t>
      </w:r>
    </w:p>
    <w:p w14:paraId="18F53363">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内地和港澳绿色债券市场适用不同的环境效益信息披露制度规则，相应的绿色行业分类目录和披露指标尚未统一，不利于粤港澳大湾区绿色债券市场规范发展，对投资者识别粤港澳大湾区绿色债券环境效益带来了较大难度，不利于监管机构开展数据统计和政策制定。因此，</w:t>
      </w:r>
      <w:r>
        <w:rPr>
          <w:rFonts w:hint="eastAsia" w:ascii="仿宋_GB2312" w:hAnsi="仿宋_GB2312" w:eastAsia="仿宋_GB2312" w:cs="仿宋_GB2312"/>
          <w:sz w:val="32"/>
          <w:szCs w:val="32"/>
          <w:lang w:val="zh-CN"/>
        </w:rPr>
        <w:t>亟需构建</w:t>
      </w:r>
      <w:r>
        <w:rPr>
          <w:rFonts w:hint="eastAsia" w:ascii="仿宋_GB2312" w:hAnsi="仿宋_GB2312" w:eastAsia="仿宋_GB2312" w:cs="仿宋_GB2312"/>
          <w:sz w:val="32"/>
          <w:szCs w:val="32"/>
        </w:rPr>
        <w:t>粤港澳</w:t>
      </w:r>
      <w:r>
        <w:rPr>
          <w:rFonts w:hint="eastAsia" w:ascii="仿宋_GB2312" w:hAnsi="仿宋_GB2312" w:eastAsia="仿宋_GB2312" w:cs="仿宋_GB2312"/>
          <w:sz w:val="32"/>
          <w:szCs w:val="32"/>
          <w:lang w:val="zh-CN"/>
        </w:rPr>
        <w:t>大湾区</w:t>
      </w:r>
      <w:r>
        <w:rPr>
          <w:rFonts w:hint="eastAsia" w:ascii="仿宋_GB2312" w:hAnsi="仿宋_GB2312" w:eastAsia="仿宋_GB2312" w:cs="仿宋_GB2312"/>
          <w:sz w:val="32"/>
          <w:szCs w:val="32"/>
        </w:rPr>
        <w:t>统一</w:t>
      </w:r>
      <w:r>
        <w:rPr>
          <w:rFonts w:hint="eastAsia" w:ascii="仿宋_GB2312" w:hAnsi="仿宋_GB2312" w:eastAsia="仿宋_GB2312" w:cs="仿宋_GB2312"/>
          <w:sz w:val="32"/>
          <w:szCs w:val="32"/>
          <w:lang w:val="zh-CN"/>
        </w:rPr>
        <w:t>的</w:t>
      </w:r>
      <w:r>
        <w:rPr>
          <w:rFonts w:hint="eastAsia" w:ascii="仿宋_GB2312" w:hAnsi="仿宋_GB2312" w:eastAsia="仿宋_GB2312" w:cs="仿宋_GB2312"/>
          <w:sz w:val="32"/>
          <w:szCs w:val="32"/>
        </w:rPr>
        <w:t>绿色债券环境效益信</w:t>
      </w:r>
      <w:r>
        <w:rPr>
          <w:rFonts w:hint="eastAsia" w:ascii="仿宋_GB2312" w:hAnsi="仿宋_GB2312" w:eastAsia="仿宋_GB2312" w:cs="仿宋_GB2312"/>
          <w:sz w:val="32"/>
          <w:szCs w:val="32"/>
          <w:lang w:val="zh-CN"/>
        </w:rPr>
        <w:t>披露指标体系，</w:t>
      </w:r>
      <w:r>
        <w:rPr>
          <w:rFonts w:hint="eastAsia" w:ascii="仿宋_GB2312" w:hAnsi="仿宋_GB2312" w:eastAsia="仿宋_GB2312" w:cs="仿宋_GB2312"/>
          <w:sz w:val="32"/>
          <w:szCs w:val="32"/>
        </w:rPr>
        <w:t>助力提升粤港澳</w:t>
      </w:r>
      <w:r>
        <w:rPr>
          <w:rFonts w:hint="eastAsia" w:ascii="仿宋_GB2312" w:hAnsi="仿宋_GB2312" w:eastAsia="仿宋_GB2312" w:cs="仿宋_GB2312"/>
          <w:sz w:val="32"/>
          <w:szCs w:val="32"/>
          <w:lang w:val="zh-CN"/>
        </w:rPr>
        <w:t>大湾区绿色债券环境效益信息披露的透明度</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zh-CN"/>
        </w:rPr>
        <w:t>中国</w:t>
      </w:r>
      <w:r>
        <w:rPr>
          <w:rFonts w:hint="eastAsia" w:ascii="仿宋_GB2312" w:hAnsi="仿宋_GB2312" w:eastAsia="仿宋_GB2312" w:cs="仿宋_GB2312"/>
          <w:sz w:val="32"/>
          <w:szCs w:val="32"/>
        </w:rPr>
        <w:t>绿色债券</w:t>
      </w:r>
      <w:r>
        <w:rPr>
          <w:rFonts w:hint="eastAsia" w:ascii="仿宋_GB2312" w:hAnsi="仿宋_GB2312" w:eastAsia="仿宋_GB2312" w:cs="仿宋_GB2312"/>
          <w:sz w:val="32"/>
          <w:szCs w:val="32"/>
          <w:lang w:val="zh-CN"/>
        </w:rPr>
        <w:t>市场</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zh-CN"/>
        </w:rPr>
        <w:t>国际认可度。</w:t>
      </w:r>
    </w:p>
    <w:p w14:paraId="2D6EC5DA">
      <w:pPr>
        <w:pStyle w:val="16"/>
        <w:tabs>
          <w:tab w:val="center" w:pos="4201"/>
          <w:tab w:val="right" w:leader="dot" w:pos="9298"/>
        </w:tabs>
        <w:adjustRightInd w:val="0"/>
        <w:snapToGrid w:val="0"/>
        <w:spacing w:line="560" w:lineRule="exact"/>
        <w:ind w:firstLine="640"/>
        <w:rPr>
          <w:rFonts w:hint="eastAsia" w:ascii="仿宋_GB2312" w:hAnsi="仿宋_GB2312" w:eastAsia="仿宋_GB2312" w:cs="仿宋_GB2312"/>
          <w:kern w:val="2"/>
          <w:sz w:val="32"/>
          <w:szCs w:val="32"/>
        </w:rPr>
      </w:pPr>
      <w:r>
        <w:rPr>
          <w:rFonts w:hint="eastAsia" w:ascii="仿宋_GB2312" w:hAnsi="仿宋_GB2312" w:eastAsia="仿宋_GB2312" w:cs="仿宋_GB2312"/>
          <w:sz w:val="32"/>
          <w:szCs w:val="32"/>
        </w:rPr>
        <w:t>为解决</w:t>
      </w:r>
      <w:r>
        <w:rPr>
          <w:rFonts w:hint="eastAsia" w:ascii="仿宋_GB2312" w:hAnsi="仿宋_GB2312" w:eastAsia="仿宋_GB2312" w:cs="仿宋_GB2312"/>
          <w:kern w:val="2"/>
          <w:sz w:val="32"/>
          <w:szCs w:val="32"/>
        </w:rPr>
        <w:t>粤港澳</w:t>
      </w:r>
      <w:r>
        <w:rPr>
          <w:rFonts w:hint="eastAsia" w:ascii="仿宋_GB2312" w:hAnsi="仿宋_GB2312" w:eastAsia="仿宋_GB2312" w:cs="仿宋_GB2312"/>
          <w:sz w:val="32"/>
          <w:szCs w:val="32"/>
        </w:rPr>
        <w:t>大湾区绿色债券市场环境效益信息披露痛点难点，建立</w:t>
      </w:r>
      <w:r>
        <w:rPr>
          <w:rFonts w:hint="eastAsia" w:ascii="仿宋_GB2312" w:hAnsi="仿宋_GB2312" w:eastAsia="仿宋_GB2312" w:cs="仿宋_GB2312"/>
          <w:kern w:val="2"/>
          <w:sz w:val="32"/>
          <w:szCs w:val="32"/>
        </w:rPr>
        <w:t>粤港澳</w:t>
      </w:r>
      <w:r>
        <w:rPr>
          <w:rFonts w:hint="eastAsia" w:ascii="仿宋_GB2312" w:hAnsi="仿宋_GB2312" w:eastAsia="仿宋_GB2312" w:cs="仿宋_GB2312"/>
          <w:sz w:val="32"/>
          <w:szCs w:val="32"/>
        </w:rPr>
        <w:t>大湾区统一的绿色债券环境效益信息披露指标体系，中央国债登记结算有限责任公司（简称“中央结算公司”）深圳分公司联合深圳市绿色金融协会（简称“深圳绿金协”），组织编制《绿色债券环境效益信息披露指标规范》，推动粤港澳大湾区绿色债券环境效益信息标准共建。</w:t>
      </w:r>
    </w:p>
    <w:p w14:paraId="5162A3E6">
      <w:pPr>
        <w:numPr>
          <w:ilvl w:val="0"/>
          <w:numId w:val="1"/>
        </w:num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工作简况</w:t>
      </w:r>
    </w:p>
    <w:p w14:paraId="1C35214E">
      <w:pPr>
        <w:numPr>
          <w:ilvl w:val="0"/>
          <w:numId w:val="2"/>
        </w:num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任务来源</w:t>
      </w:r>
    </w:p>
    <w:p w14:paraId="0CC2A682">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是深圳绿金协2023年8月24日发布的《关于&lt;企业碳评级技术规范&gt;等五项团体标准立项的公告》的立项项目，由中央结算公司深圳分公司和深圳绿金协作为牵头单位，联合广东金融学会绿色金融专业委员会、广东碳排放权交易中心、深圳经济特区金融学会绿色金融专业委员会、深圳市标准技术研究院、深圳排放权交易所、香港品质保证局、香港投资基金公会、中华（澳门）金融资产交易股份有限公司、绿色评估认证机构及港澳金融机构代表等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家机构组成起草工作组。</w:t>
      </w:r>
    </w:p>
    <w:p w14:paraId="7B2A8ED5">
      <w:pPr>
        <w:numPr>
          <w:ilvl w:val="0"/>
          <w:numId w:val="2"/>
        </w:num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主要工作过程</w:t>
      </w:r>
    </w:p>
    <w:p w14:paraId="63E10B18">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1.标准预研阶段</w:t>
      </w:r>
    </w:p>
    <w:p w14:paraId="3D52F0E8">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4月，中央结算公司深圳分公司立项《大湾区绿色债券环境效益信息披露指标研究》课题，以课题形式启动标准预研，立足大湾区实际，借鉴国际实践，吸收有益做法，把握一般规律，研提粤港澳大湾区绿色债券环境效益信息披露指标体系、标准互认路径及相关工作建议。课题开展期间，中央结算公司深圳分公司召开2次交流研讨会议，组织起草组成员单位对课题开展中期评审、结题评审，并邀请自律组织国际资本市场协会（ICMA）、气候债券倡议组织（CBI）代表出席评审，课题于2023年12月顺利结项，为标准草案的编制打下良好基础。</w:t>
      </w:r>
    </w:p>
    <w:p w14:paraId="538D9FBA">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2.标准立项阶段</w:t>
      </w:r>
    </w:p>
    <w:p w14:paraId="18EB3F14">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2023年3月，中央结算公司深圳分公司、深圳绿金协作为项目承担单位，以《绿色债券环境效益信息披露指标规范》申报深圳市绿色金融协会团体标准。2023年8月24日，项目正式立项。</w:t>
      </w:r>
    </w:p>
    <w:p w14:paraId="0C396823">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3.标准草案编制阶段</w:t>
      </w:r>
    </w:p>
    <w:p w14:paraId="071A7C76">
      <w:pPr>
        <w:pStyle w:val="8"/>
        <w:shd w:val="clear" w:color="auto" w:fill="FFFFFF"/>
        <w:adjustRightInd w:val="0"/>
        <w:snapToGrid w:val="0"/>
        <w:spacing w:before="0" w:beforeAutospacing="0" w:after="0" w:afterAutospacing="0" w:line="560" w:lineRule="exact"/>
        <w:ind w:firstLine="640" w:firstLineChars="200"/>
        <w:jc w:val="both"/>
        <w:rPr>
          <w:rFonts w:hint="eastAsia" w:ascii="仿宋_GB2312" w:hAnsi="仿宋_GB2312" w:eastAsia="仿宋" w:cs="仿宋_GB2312"/>
          <w:sz w:val="32"/>
          <w:szCs w:val="32"/>
        </w:rPr>
      </w:pPr>
      <w:r>
        <w:rPr>
          <w:rFonts w:hint="eastAsia" w:ascii="仿宋_GB2312" w:hAnsi="仿宋_GB2312" w:eastAsia="仿宋_GB2312" w:cs="仿宋_GB2312"/>
          <w:sz w:val="32"/>
          <w:szCs w:val="32"/>
        </w:rPr>
        <w:t>2023年9月，中央结算公司深圳分公司、深圳绿金协牵头组织</w:t>
      </w:r>
      <w:r>
        <w:rPr>
          <w:rFonts w:hint="eastAsia" w:ascii="仿宋" w:hAnsi="仿宋" w:eastAsia="仿宋" w:cs="仿宋"/>
          <w:sz w:val="32"/>
          <w:szCs w:val="32"/>
        </w:rPr>
        <w:t>成立标准起草工作组（以下简称工作组）。</w:t>
      </w:r>
    </w:p>
    <w:p w14:paraId="34C6ABB8">
      <w:pPr>
        <w:pStyle w:val="8"/>
        <w:shd w:val="clear" w:color="auto" w:fill="FFFFFF"/>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在前期工作基础上，工作组于2024年2月形成标准草案，并报送深圳绿金协。在标准草案编制过程中，工作组多次组织研讨交流，广泛吸收绿色金融相关管理部门、专业机构、金融机构的意见建议。</w:t>
      </w:r>
    </w:p>
    <w:p w14:paraId="4C86DC6D">
      <w:pPr>
        <w:pStyle w:val="8"/>
        <w:shd w:val="clear" w:color="auto" w:fill="FFFFFF"/>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4.征求意见阶段</w:t>
      </w:r>
    </w:p>
    <w:p w14:paraId="09203412">
      <w:pPr>
        <w:pStyle w:val="8"/>
        <w:shd w:val="clear" w:color="auto" w:fill="FFFFFF"/>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2024年4月，工作组召开标准编制研讨会，邀请香港品质保证局、中华（澳门）金融资产交易股份有限公司等港澳机构及各业态金融机构等十余位专家参会。会后，结合与会专家意见，形成征求意见稿。</w:t>
      </w:r>
    </w:p>
    <w:p w14:paraId="50CBD367">
      <w:pPr>
        <w:pStyle w:val="8"/>
        <w:shd w:val="clear" w:color="auto" w:fill="FFFFFF"/>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5-6月，通过深圳绿金协门户网站向社会公开征求意见，联合绿色发展有限公司、中信里昂证券有限公司、国泰君安证券（香港）有限公司、海通银行澳门分行、澳门国际银行股份有限公司等5家港澳机构反馈意见。随后，组织召开起草组交流会议，对标准进行多轮修改，形成送审稿。</w:t>
      </w:r>
    </w:p>
    <w:p w14:paraId="592344BC">
      <w:pPr>
        <w:pStyle w:val="8"/>
        <w:shd w:val="clear" w:color="auto" w:fill="FFFFFF"/>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5.技术审查阶段</w:t>
      </w:r>
    </w:p>
    <w:p w14:paraId="51BE7F77">
      <w:pPr>
        <w:pStyle w:val="8"/>
        <w:shd w:val="clear" w:color="auto" w:fill="FFFFFF"/>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2024年7月31日，起草工作组参加技术审查会议，共收到评审专家意见26条，采纳21条，</w:t>
      </w:r>
      <w:r>
        <w:rPr>
          <w:rFonts w:hint="eastAsia" w:ascii="仿宋_GB2312" w:hAnsi="仿宋_GB2312" w:eastAsia="仿宋_GB2312" w:cs="仿宋_GB2312"/>
          <w:sz w:val="32"/>
          <w:szCs w:val="32"/>
          <w:lang w:val="en-US" w:eastAsia="zh-CN"/>
        </w:rPr>
        <w:t>部分采纳</w:t>
      </w:r>
      <w:r>
        <w:rPr>
          <w:rFonts w:hint="eastAsia" w:ascii="仿宋_GB2312" w:hAnsi="仿宋_GB2312" w:eastAsia="仿宋_GB2312" w:cs="仿宋_GB2312"/>
          <w:sz w:val="32"/>
          <w:szCs w:val="32"/>
        </w:rPr>
        <w:t>5条，评审专家组一致同意标准通过审查。会后起草工作组根据专家组意见，对标准文本进行多轮修改，经专家组确认后形成报批稿。</w:t>
      </w:r>
    </w:p>
    <w:p w14:paraId="46D0D428">
      <w:pPr>
        <w:numPr>
          <w:ilvl w:val="0"/>
          <w:numId w:val="1"/>
        </w:numPr>
        <w:adjustRightInd w:val="0"/>
        <w:snapToGrid w:val="0"/>
        <w:spacing w:line="560" w:lineRule="exact"/>
        <w:ind w:firstLine="640" w:firstLineChars="200"/>
        <w:rPr>
          <w:rFonts w:hint="eastAsia" w:ascii="楷体_GB2312" w:hAnsi="楷体_GB2312" w:eastAsia="楷体_GB2312" w:cs="楷体_GB2312"/>
          <w:b/>
          <w:bCs/>
          <w:sz w:val="32"/>
          <w:szCs w:val="32"/>
        </w:rPr>
      </w:pPr>
      <w:r>
        <w:rPr>
          <w:rFonts w:hint="eastAsia" w:ascii="黑体" w:hAnsi="黑体" w:eastAsia="黑体" w:cs="黑体"/>
          <w:sz w:val="32"/>
          <w:szCs w:val="32"/>
        </w:rPr>
        <w:t>标准技术依据</w:t>
      </w:r>
    </w:p>
    <w:p w14:paraId="4B69AB9F">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（一）编写规则</w:t>
      </w:r>
    </w:p>
    <w:p w14:paraId="3D188BC0">
      <w:pPr>
        <w:adjustRightInd w:val="0"/>
        <w:snapToGrid w:val="0"/>
        <w:spacing w:line="560" w:lineRule="exact"/>
        <w:ind w:firstLine="640" w:firstLineChars="200"/>
        <w:rPr>
          <w:sz w:val="32"/>
          <w:szCs w:val="32"/>
        </w:rPr>
      </w:pPr>
      <w:r>
        <w:rPr>
          <w:rFonts w:hint="eastAsia" w:ascii="仿宋_GB2312" w:hAnsi="仿宋_GB2312" w:eastAsia="仿宋_GB2312" w:cs="仿宋_GB2312"/>
          <w:sz w:val="32"/>
          <w:szCs w:val="32"/>
        </w:rPr>
        <w:t>本标准按照GB/T 1.1-2020、GB/T 20004.1-2016的规定编写。</w:t>
      </w:r>
    </w:p>
    <w:p w14:paraId="36E87236">
      <w:pPr>
        <w:numPr>
          <w:ilvl w:val="-1"/>
          <w:numId w:val="0"/>
        </w:numPr>
        <w:adjustRightInd w:val="0"/>
        <w:snapToGrid w:val="0"/>
        <w:spacing w:line="56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编写依据</w:t>
      </w:r>
    </w:p>
    <w:p w14:paraId="38BCF6EE">
      <w:pPr>
        <w:adjustRightInd w:val="0"/>
        <w:snapToGrid w:val="0"/>
        <w:spacing w:line="560" w:lineRule="exact"/>
        <w:ind w:firstLine="640"/>
        <w:rPr>
          <w:rFonts w:hint="eastAsia"/>
          <w:lang w:val="en-US" w:eastAsia="zh-CN"/>
        </w:rPr>
      </w:pPr>
      <w:r>
        <w:rPr>
          <w:rFonts w:hint="eastAsia" w:ascii="仿宋_GB2312" w:hAnsi="仿宋_GB2312" w:eastAsia="仿宋_GB2312" w:cs="仿宋_GB2312"/>
          <w:sz w:val="32"/>
          <w:szCs w:val="32"/>
          <w:lang w:val="en-US" w:eastAsia="zh-CN"/>
        </w:rPr>
        <w:t>本标准行业分类和相关环境效益指标在编</w:t>
      </w:r>
      <w:r>
        <w:rPr>
          <w:rFonts w:hint="eastAsia" w:ascii="仿宋" w:hAnsi="仿宋" w:eastAsia="仿宋" w:cs="Times New Roman"/>
          <w:sz w:val="32"/>
          <w:szCs w:val="32"/>
          <w:lang w:val="en-US" w:eastAsia="zh-CN"/>
        </w:rPr>
        <w:t>写</w:t>
      </w:r>
      <w:r>
        <w:rPr>
          <w:rFonts w:hint="eastAsia" w:ascii="仿宋" w:hAnsi="仿宋" w:eastAsia="仿宋" w:cs="Times New Roman"/>
          <w:sz w:val="32"/>
          <w:szCs w:val="32"/>
        </w:rPr>
        <w:t>过程中参考的粤港澳三地法律法规、政策文件</w:t>
      </w:r>
      <w:r>
        <w:rPr>
          <w:rFonts w:hint="eastAsia" w:ascii="仿宋" w:hAnsi="仿宋" w:eastAsia="仿宋" w:cs="Times New Roman"/>
          <w:sz w:val="32"/>
          <w:szCs w:val="32"/>
          <w:lang w:val="en-US" w:eastAsia="zh-CN"/>
        </w:rPr>
        <w:t>等依据包括：《绿色债券发行指引》</w:t>
      </w:r>
      <w:r>
        <w:rPr>
          <w:rFonts w:hint="eastAsia" w:ascii="仿宋" w:hAnsi="仿宋" w:eastAsia="仿宋" w:cs="Times New Roman"/>
          <w:i w:val="0"/>
          <w:iCs w:val="0"/>
          <w:caps w:val="0"/>
          <w:spacing w:val="0"/>
          <w:sz w:val="32"/>
          <w:szCs w:val="32"/>
          <w:shd w:val="clear" w:fill="FFFFFF"/>
        </w:rPr>
        <w:t>《绿色债券支持项目目录（2015年版）》《绿色债券支持项目目录（2021年版）》</w:t>
      </w:r>
      <w:r>
        <w:rPr>
          <w:rFonts w:hint="eastAsia" w:ascii="仿宋" w:hAnsi="仿宋" w:eastAsia="仿宋" w:cs="Times New Roman"/>
          <w:sz w:val="32"/>
          <w:szCs w:val="32"/>
          <w:lang w:eastAsia="zh-CN" w:bidi="ar"/>
        </w:rPr>
        <w:t>《绿色信贷项目节能减排量测算指引》</w:t>
      </w:r>
      <w:r>
        <w:rPr>
          <w:rFonts w:hint="eastAsia" w:ascii="仿宋" w:hAnsi="仿宋" w:eastAsia="仿宋" w:cs="Times New Roman"/>
          <w:i w:val="0"/>
          <w:iCs w:val="0"/>
          <w:caps w:val="0"/>
          <w:spacing w:val="0"/>
          <w:sz w:val="32"/>
          <w:szCs w:val="32"/>
          <w:shd w:val="clear"/>
        </w:rPr>
        <w:t>《企业环境信息依法披露管理办法》《“十四五”节能减排综合工作方案》《企业环境信息依法披露格式准则》《主要污染物总量减排核算细则（试行）》</w:t>
      </w:r>
      <w:r>
        <w:rPr>
          <w:rFonts w:hint="eastAsia" w:ascii="仿宋" w:hAnsi="仿宋" w:eastAsia="仿宋" w:cs="Times New Roman"/>
          <w:sz w:val="32"/>
          <w:szCs w:val="32"/>
          <w:lang w:eastAsia="zh-CN" w:bidi="ar"/>
        </w:rPr>
        <w:t>《大气污染物与温室气体融合排放清单 编制技术指南（试行）》《省级温室气体清单编制指南》、GB/T 3095—2012、</w:t>
      </w:r>
      <w:r>
        <w:rPr>
          <w:rFonts w:hint="eastAsia" w:ascii="仿宋" w:hAnsi="仿宋" w:eastAsia="仿宋" w:cs="Times New Roman"/>
          <w:i w:val="0"/>
          <w:iCs w:val="0"/>
          <w:caps w:val="0"/>
          <w:spacing w:val="0"/>
          <w:sz w:val="32"/>
          <w:szCs w:val="32"/>
          <w:shd w:val="clear"/>
        </w:rPr>
        <w:t>《在银行间债券市场发行绿色金融债券有关事宜的公告》</w:t>
      </w:r>
      <w:bookmarkStart w:id="101" w:name="_GoBack"/>
      <w:bookmarkEnd w:id="101"/>
      <w:r>
        <w:rPr>
          <w:rFonts w:hint="eastAsia" w:ascii="仿宋" w:hAnsi="仿宋" w:eastAsia="仿宋" w:cs="Times New Roman"/>
          <w:i w:val="0"/>
          <w:iCs w:val="0"/>
          <w:caps w:val="0"/>
          <w:spacing w:val="0"/>
          <w:sz w:val="32"/>
          <w:szCs w:val="32"/>
          <w:shd w:val="clear"/>
        </w:rPr>
        <w:t>《中国人民银行关于加强绿色金融债券存续期监督管理有关事宜的通知》</w:t>
      </w:r>
      <w:r>
        <w:rPr>
          <w:rFonts w:hint="eastAsia" w:ascii="仿宋" w:hAnsi="仿宋" w:eastAsia="仿宋" w:cs="Times New Roman"/>
          <w:i w:val="0"/>
          <w:iCs w:val="0"/>
          <w:caps w:val="0"/>
          <w:spacing w:val="0"/>
          <w:sz w:val="32"/>
          <w:szCs w:val="32"/>
          <w:shd w:val="clear" w:fill="FFFFFF"/>
        </w:rPr>
        <w:t>《中国证监会关于支持绿色债券发展的指导意见》《公司信用类债券信息披露管理办法》</w:t>
      </w:r>
      <w:r>
        <w:rPr>
          <w:rFonts w:hint="eastAsia" w:ascii="仿宋" w:hAnsi="仿宋" w:eastAsia="仿宋" w:cs="Times New Roman"/>
          <w:i w:val="0"/>
          <w:iCs w:val="0"/>
          <w:caps w:val="0"/>
          <w:spacing w:val="0"/>
          <w:sz w:val="32"/>
          <w:szCs w:val="32"/>
          <w:shd w:val="clear"/>
          <w:lang w:eastAsia="zh-CN"/>
        </w:rPr>
        <w:t>、</w:t>
      </w:r>
      <w:r>
        <w:rPr>
          <w:rFonts w:hint="eastAsia" w:ascii="仿宋" w:hAnsi="仿宋" w:eastAsia="仿宋" w:cs="Times New Roman"/>
          <w:i w:val="0"/>
          <w:iCs w:val="0"/>
          <w:caps w:val="0"/>
          <w:spacing w:val="0"/>
          <w:sz w:val="32"/>
          <w:szCs w:val="32"/>
          <w:shd w:val="clear"/>
          <w:lang w:val="en-US" w:eastAsia="zh-CN"/>
        </w:rPr>
        <w:t>沪深交易所</w:t>
      </w:r>
      <w:r>
        <w:rPr>
          <w:rFonts w:hint="eastAsia" w:ascii="仿宋" w:hAnsi="仿宋" w:eastAsia="仿宋" w:cs="Times New Roman"/>
          <w:i w:val="0"/>
          <w:iCs w:val="0"/>
          <w:caps w:val="0"/>
          <w:spacing w:val="0"/>
          <w:sz w:val="32"/>
          <w:szCs w:val="32"/>
          <w:shd w:val="clear"/>
        </w:rPr>
        <w:t>《债券发行上市审核规则适用指引——特定品种公司债券》《非金融企业绿色债务融资工具业务指引》</w:t>
      </w:r>
      <w:r>
        <w:rPr>
          <w:rFonts w:hint="eastAsia" w:ascii="仿宋" w:hAnsi="仿宋" w:eastAsia="仿宋" w:cs="Times New Roman"/>
          <w:sz w:val="32"/>
          <w:szCs w:val="32"/>
          <w:lang w:bidi="ar"/>
        </w:rPr>
        <w:t>《绿色债券存续期信息披露指南》</w:t>
      </w:r>
      <w:r>
        <w:rPr>
          <w:rFonts w:hint="eastAsia" w:ascii="仿宋" w:hAnsi="仿宋" w:eastAsia="仿宋" w:cs="Times New Roman"/>
          <w:sz w:val="32"/>
          <w:szCs w:val="32"/>
        </w:rPr>
        <w:t>《香港可持续金融分类目录》</w:t>
      </w:r>
      <w:r>
        <w:rPr>
          <w:rFonts w:hint="eastAsia" w:ascii="仿宋" w:hAnsi="仿宋" w:eastAsia="仿宋" w:cs="Times New Roman"/>
          <w:sz w:val="32"/>
          <w:szCs w:val="32"/>
          <w:lang w:eastAsia="zh-CN"/>
        </w:rPr>
        <w:t>，以及粤港澳通行使用的国际规则</w:t>
      </w:r>
      <w:r>
        <w:rPr>
          <w:rFonts w:hint="eastAsia" w:ascii="仿宋" w:hAnsi="仿宋" w:eastAsia="仿宋" w:cs="Times New Roman"/>
          <w:sz w:val="32"/>
          <w:szCs w:val="32"/>
        </w:rPr>
        <w:t>《绿色债券原则》《</w:t>
      </w:r>
      <w:r>
        <w:rPr>
          <w:rFonts w:hint="eastAsia" w:ascii="仿宋" w:hAnsi="仿宋" w:eastAsia="仿宋" w:cs="Times New Roman"/>
          <w:sz w:val="32"/>
          <w:szCs w:val="32"/>
          <w:lang w:bidi="ar"/>
        </w:rPr>
        <w:t>影响报告统一框架</w:t>
      </w:r>
      <w:r>
        <w:rPr>
          <w:rFonts w:hint="eastAsia" w:ascii="仿宋" w:hAnsi="仿宋" w:eastAsia="仿宋" w:cs="Times New Roman"/>
          <w:sz w:val="32"/>
          <w:szCs w:val="32"/>
        </w:rPr>
        <w:t>》《气候债券分类方案》</w:t>
      </w:r>
      <w:r>
        <w:rPr>
          <w:rFonts w:hint="eastAsia" w:ascii="仿宋" w:hAnsi="仿宋" w:eastAsia="仿宋" w:cs="Times New Roman"/>
          <w:sz w:val="32"/>
          <w:szCs w:val="32"/>
          <w:lang w:bidi="ar"/>
        </w:rPr>
        <w:t>《可持续金融共同分类目录》</w:t>
      </w:r>
      <w:r>
        <w:rPr>
          <w:rFonts w:hint="eastAsia" w:ascii="仿宋" w:hAnsi="仿宋" w:eastAsia="仿宋" w:cs="Times New Roman"/>
          <w:sz w:val="32"/>
          <w:szCs w:val="32"/>
          <w:lang w:eastAsia="zh-CN" w:bidi="ar"/>
        </w:rPr>
        <w:t>等。</w:t>
      </w:r>
    </w:p>
    <w:p w14:paraId="68E40628">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编写基础</w:t>
      </w:r>
    </w:p>
    <w:p w14:paraId="6C6234C5">
      <w:pPr>
        <w:adjustRightInd w:val="0"/>
        <w:snapToGrid w:val="0"/>
        <w:spacing w:line="560" w:lineRule="exact"/>
        <w:ind w:firstLine="640" w:firstLineChars="200"/>
        <w:rPr>
          <w:rFonts w:hint="eastAsia" w:ascii="仿宋_GB2312" w:hAnsi="宋体" w:eastAsia="仿宋_GB2312" w:cs="PMingLiU"/>
          <w:sz w:val="32"/>
          <w:szCs w:val="32"/>
          <w:lang w:bidi="ar"/>
        </w:rPr>
      </w:pPr>
      <w:r>
        <w:rPr>
          <w:rFonts w:hint="eastAsia" w:ascii="仿宋_GB2312" w:hAnsi="宋体" w:eastAsia="仿宋_GB2312" w:cs="PMingLiU"/>
          <w:sz w:val="32"/>
          <w:szCs w:val="32"/>
          <w:lang w:bidi="ar"/>
        </w:rPr>
        <w:t>2021年，中央结算公司基于《绿色债券支持项目目录（2021年版）》（简称《绿债支持目录》），试发布国内首个定量衡量绿色债券细分领域环境效益信息的指标体系《中债-绿色债券环境效益信息披露指标体系》（简称“中债绿色指标体系”），并基于指标体系上线国际首个绿色债券环境效益数据库。中债绿色指标体系和数据库上线以来，获国内外专家高度评价。中央结算公司持续深化指标体系研究，于2022年11月发布企业标准《中债绿色债券环境效益信息披露指标体系》（Q/CCDC 00007-2022）。</w:t>
      </w:r>
    </w:p>
    <w:p w14:paraId="78BC4959">
      <w:pPr>
        <w:adjustRightInd w:val="0"/>
        <w:snapToGrid w:val="0"/>
        <w:spacing w:line="560" w:lineRule="exact"/>
        <w:ind w:firstLine="640" w:firstLineChars="200"/>
        <w:rPr>
          <w:rFonts w:hint="eastAsia" w:ascii="仿宋_GB2312" w:hAnsi="宋体" w:eastAsia="仿宋_GB2312" w:cs="PMingLiU"/>
          <w:sz w:val="32"/>
          <w:szCs w:val="32"/>
          <w:lang w:bidi="ar"/>
        </w:rPr>
      </w:pPr>
      <w:r>
        <w:rPr>
          <w:rFonts w:hint="eastAsia" w:ascii="仿宋_GB2312" w:hAnsi="宋体" w:eastAsia="仿宋_GB2312" w:cs="PMingLiU"/>
          <w:sz w:val="32"/>
          <w:szCs w:val="32"/>
          <w:lang w:bidi="ar"/>
        </w:rPr>
        <w:t>中债绿色指标体系的编制遵循规范性、兼容性、简洁性、完整性、针对性原则，充分吸收借鉴国内外主流标准和发行披露实践，较好兼容了中国绿色债券标准委员会《绿色债券存续期信息披露指南》（以下简称《存续期信披指南》）、国际资本市场协会（ICMA）</w:t>
      </w:r>
      <w:r>
        <w:rPr>
          <w:rFonts w:hint="eastAsia" w:ascii="仿宋_GB2312" w:hAnsi="仿宋_GB2312" w:eastAsia="仿宋_GB2312" w:cs="仿宋_GB2312"/>
          <w:sz w:val="32"/>
          <w:szCs w:val="32"/>
        </w:rPr>
        <w:t>《绿色债券原则》《</w:t>
      </w:r>
      <w:r>
        <w:rPr>
          <w:rFonts w:hint="eastAsia" w:ascii="仿宋_GB2312" w:hAnsi="宋体" w:eastAsia="仿宋_GB2312" w:cs="PMingLiU"/>
          <w:sz w:val="32"/>
          <w:szCs w:val="32"/>
          <w:lang w:bidi="ar"/>
        </w:rPr>
        <w:t>影响报告统一框架</w:t>
      </w:r>
      <w:r>
        <w:rPr>
          <w:rFonts w:hint="eastAsia" w:ascii="仿宋_GB2312" w:hAnsi="仿宋_GB2312" w:eastAsia="仿宋_GB2312" w:cs="仿宋_GB2312"/>
          <w:sz w:val="32"/>
          <w:szCs w:val="32"/>
        </w:rPr>
        <w:t>》</w:t>
      </w:r>
      <w:r>
        <w:rPr>
          <w:rFonts w:hint="eastAsia" w:ascii="仿宋_GB2312" w:hAnsi="宋体" w:eastAsia="仿宋_GB2312" w:cs="PMingLiU"/>
          <w:sz w:val="32"/>
          <w:szCs w:val="32"/>
          <w:lang w:bidi="ar"/>
        </w:rPr>
        <w:t>、气候债券倡议组织（</w:t>
      </w:r>
      <w:r>
        <w:rPr>
          <w:rFonts w:hint="eastAsia" w:ascii="仿宋_GB2312" w:eastAsia="仿宋_GB2312" w:cs="仿宋_GB2312"/>
          <w:sz w:val="32"/>
          <w:szCs w:val="32"/>
          <w:lang w:bidi="ar"/>
        </w:rPr>
        <w:t>CBI）</w:t>
      </w:r>
      <w:r>
        <w:rPr>
          <w:rFonts w:hint="eastAsia" w:ascii="仿宋_GB2312" w:hAnsi="仿宋_GB2312" w:eastAsia="仿宋_GB2312" w:cs="仿宋_GB2312"/>
          <w:sz w:val="32"/>
          <w:szCs w:val="32"/>
        </w:rPr>
        <w:t>《气候债券分类方案》、</w:t>
      </w:r>
      <w:r>
        <w:rPr>
          <w:rFonts w:hint="eastAsia" w:ascii="仿宋_GB2312" w:hAnsi="宋体" w:eastAsia="仿宋_GB2312" w:cs="PMingLiU"/>
          <w:sz w:val="32"/>
          <w:szCs w:val="32"/>
          <w:lang w:bidi="ar"/>
        </w:rPr>
        <w:t>中欧《可持续金融共同分类目录》涉及的行业分类和相关环境效益指标，对港澳发行人开展环境效益信息披露具有适用基础；区分必填指标和选填指标，定量定性相结合、以定量指标为主，在保障指标体系可用的同时，尽可能好用、易用，降低实际工作量。</w:t>
      </w:r>
    </w:p>
    <w:p w14:paraId="0CAEEDCA">
      <w:pPr>
        <w:adjustRightInd w:val="0"/>
        <w:snapToGrid w:val="0"/>
        <w:spacing w:line="560" w:lineRule="exact"/>
        <w:ind w:firstLine="640" w:firstLineChars="200"/>
        <w:rPr>
          <w:rFonts w:hint="eastAsia" w:ascii="仿宋_GB2312" w:hAnsi="宋体" w:eastAsia="仿宋_GB2312" w:cs="PMingLiU"/>
          <w:sz w:val="32"/>
          <w:szCs w:val="32"/>
          <w:lang w:bidi="ar"/>
        </w:rPr>
      </w:pPr>
      <w:r>
        <w:rPr>
          <w:rFonts w:hint="eastAsia" w:ascii="仿宋_GB2312" w:hAnsi="仿宋_GB2312" w:eastAsia="仿宋_GB2312" w:cs="仿宋_GB2312"/>
          <w:sz w:val="32"/>
          <w:szCs w:val="32"/>
          <w:lang w:bidi="ar"/>
        </w:rPr>
        <w:t>目前，中央结算公司</w:t>
      </w:r>
      <w:r>
        <w:rPr>
          <w:rFonts w:hint="eastAsia" w:ascii="仿宋_GB2312" w:hAnsi="宋体" w:eastAsia="仿宋_GB2312" w:cs="PMingLiU"/>
          <w:sz w:val="32"/>
          <w:szCs w:val="32"/>
          <w:lang w:bidi="ar"/>
        </w:rPr>
        <w:t>在地方标准组织指导下，牵头制定的深圳地方标准《金融机构投融资活动环境效益信息披露指标要求》（DB4403/T 400-2023）已于2023年12月正式发布；并</w:t>
      </w:r>
      <w:r>
        <w:rPr>
          <w:rFonts w:hint="eastAsia" w:ascii="仿宋_GB2312" w:hAnsi="仿宋_GB2312" w:eastAsia="仿宋_GB2312" w:cs="仿宋_GB2312"/>
          <w:sz w:val="32"/>
          <w:szCs w:val="32"/>
          <w:lang w:bidi="ar"/>
        </w:rPr>
        <w:t>正在全国金融标准化技术委员会指导下，牵头制订金融行业标准《绿色债券环境</w:t>
      </w:r>
      <w:r>
        <w:rPr>
          <w:rFonts w:hint="eastAsia" w:ascii="仿宋_GB2312" w:hAnsi="宋体" w:eastAsia="仿宋_GB2312" w:cs="PMingLiU"/>
          <w:sz w:val="32"/>
          <w:szCs w:val="32"/>
          <w:lang w:bidi="ar"/>
        </w:rPr>
        <w:t>效益信息披露指标体系》。</w:t>
      </w:r>
    </w:p>
    <w:p w14:paraId="3BF4594A">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）标准先进性说明</w:t>
      </w:r>
    </w:p>
    <w:p w14:paraId="2E073573">
      <w:pPr>
        <w:adjustRightInd w:val="0"/>
        <w:snapToGrid w:val="0"/>
        <w:spacing w:line="560" w:lineRule="exact"/>
        <w:ind w:firstLine="640" w:firstLineChars="200"/>
        <w:rPr>
          <w:rFonts w:hint="eastAsia" w:ascii="仿宋_GB2312" w:hAnsi="宋体" w:eastAsia="仿宋_GB2312" w:cs="PMingLiU"/>
          <w:sz w:val="32"/>
          <w:szCs w:val="32"/>
          <w:lang w:bidi="ar"/>
        </w:rPr>
      </w:pPr>
      <w:r>
        <w:rPr>
          <w:rFonts w:hint="eastAsia" w:ascii="仿宋_GB2312" w:hAnsi="宋体" w:eastAsia="仿宋_GB2312" w:cs="PMingLiU"/>
          <w:sz w:val="32"/>
          <w:szCs w:val="32"/>
          <w:lang w:bidi="ar"/>
        </w:rPr>
        <w:t>本标准在中债绿色指标体系基础上，结合</w:t>
      </w:r>
      <w:r>
        <w:rPr>
          <w:rFonts w:hint="eastAsia" w:ascii="仿宋_GB2312" w:hAnsi="仿宋_GB2312" w:eastAsia="仿宋_GB2312" w:cs="仿宋_GB2312"/>
          <w:sz w:val="32"/>
          <w:szCs w:val="32"/>
        </w:rPr>
        <w:t>粤港澳</w:t>
      </w:r>
      <w:r>
        <w:rPr>
          <w:rFonts w:hint="eastAsia" w:ascii="仿宋_GB2312" w:hAnsi="宋体" w:eastAsia="仿宋_GB2312" w:cs="PMingLiU"/>
          <w:sz w:val="32"/>
          <w:szCs w:val="32"/>
          <w:lang w:bidi="ar"/>
        </w:rPr>
        <w:t>大湾区绿色债券市场发展特点和披露实际，完善行业和指标设置，统筹考虑国内外主流制度标准所涉及的绿色项目领域，针对港澳市场绿色债券支持项目领域研究增设细分行业，设置各行业应披露、鼓励披露的环境效益指标，首次打造适用于粤港澳大湾区绿色债券市场各类绿色项目的环境效益信息披露指标体系。本标准为发行人提供了一套数据可量化、实操性强、兼容境内与境外披露要求的环境效益信息披露指标体系，为其开展发行前、存续期环境效益信息披露提供规范标准和操作指引，鼓励发行人尽最大可能参照本标准开展环境效益信息披露。</w:t>
      </w:r>
    </w:p>
    <w:p w14:paraId="5C3235DC">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宋体" w:eastAsia="仿宋_GB2312" w:cs="PMingLiU"/>
          <w:sz w:val="32"/>
          <w:szCs w:val="32"/>
          <w:lang w:bidi="ar"/>
        </w:rPr>
        <w:t>行业设置方面，本标准以《绿债支持目录》行业分类为核心设计276个行业分类。</w:t>
      </w:r>
      <w:r>
        <w:rPr>
          <w:rFonts w:hint="eastAsia" w:ascii="仿宋_GB2312" w:hAnsi="宋体" w:eastAsia="仿宋_GB2312" w:cs="PMingLiU"/>
          <w:b/>
          <w:bCs/>
          <w:sz w:val="32"/>
          <w:szCs w:val="32"/>
          <w:lang w:bidi="ar"/>
        </w:rPr>
        <w:t>内地方面，</w:t>
      </w:r>
      <w:r>
        <w:rPr>
          <w:rFonts w:hint="eastAsia" w:ascii="仿宋_GB2312" w:hAnsi="宋体" w:eastAsia="仿宋_GB2312" w:cs="PMingLiU"/>
          <w:sz w:val="32"/>
          <w:szCs w:val="32"/>
          <w:lang w:bidi="ar"/>
        </w:rPr>
        <w:t>本标准</w:t>
      </w:r>
      <w:r>
        <w:rPr>
          <w:rFonts w:hint="eastAsia" w:ascii="仿宋_GB2312" w:hAnsi="仿宋_GB2312" w:eastAsia="仿宋_GB2312" w:cs="仿宋_GB2312"/>
          <w:sz w:val="32"/>
          <w:szCs w:val="32"/>
        </w:rPr>
        <w:t>覆盖</w:t>
      </w:r>
      <w:r>
        <w:rPr>
          <w:rFonts w:hint="eastAsia" w:ascii="仿宋_GB2312" w:hAnsi="宋体" w:eastAsia="仿宋_GB2312" w:cs="PMingLiU"/>
          <w:sz w:val="32"/>
          <w:szCs w:val="32"/>
          <w:lang w:bidi="ar"/>
        </w:rPr>
        <w:t>《绿债支持目录》涉及的203个行业，能够覆盖《存续期信披指南》行业分类和子项目类型，且行业分类设置更为全面细致，对广东地区具有普遍适用性；</w:t>
      </w:r>
      <w:r>
        <w:rPr>
          <w:rFonts w:hint="eastAsia" w:ascii="仿宋_GB2312" w:hAnsi="宋体" w:eastAsia="仿宋_GB2312" w:cs="PMingLiU"/>
          <w:b/>
          <w:bCs/>
          <w:sz w:val="32"/>
          <w:szCs w:val="32"/>
          <w:lang w:bidi="ar"/>
        </w:rPr>
        <w:t>港澳方面，</w:t>
      </w:r>
      <w:r>
        <w:rPr>
          <w:rFonts w:hint="eastAsia" w:ascii="仿宋_GB2312" w:hAnsi="宋体" w:eastAsia="仿宋_GB2312" w:cs="PMingLiU"/>
          <w:sz w:val="32"/>
          <w:szCs w:val="32"/>
          <w:lang w:bidi="ar"/>
        </w:rPr>
        <w:t>本标准针对部分港澳绿色债券行业披露颗粒度较粗导致无法精准匹配至《绿色债券支持项目目录（2021年版）》三级、四级项目分类的问题，在各项目二级、三级分类下设“其他”标识行业分类，并引用《绿色债券原则》“适应气候变化”、《</w:t>
      </w:r>
      <w:r>
        <w:rPr>
          <w:rFonts w:hint="eastAsia" w:ascii="仿宋_GB2312" w:hAnsi="仿宋_GB2312" w:eastAsia="仿宋_GB2312" w:cs="仿宋_GB2312"/>
          <w:sz w:val="32"/>
          <w:szCs w:val="32"/>
        </w:rPr>
        <w:t>香港可持续金融分类目录</w:t>
      </w:r>
      <w:r>
        <w:rPr>
          <w:rFonts w:hint="eastAsia" w:ascii="仿宋_GB2312" w:hAnsi="宋体" w:eastAsia="仿宋_GB2312" w:cs="PMingLiU"/>
          <w:sz w:val="32"/>
          <w:szCs w:val="32"/>
          <w:lang w:bidi="ar"/>
        </w:rPr>
        <w:t>》“海上货物运输”“海上旅客运输”相关行业定义新增3个行业，</w:t>
      </w:r>
      <w:r>
        <w:rPr>
          <w:rFonts w:hint="eastAsia" w:ascii="仿宋_GB2312" w:hAnsi="仿宋_GB2312" w:eastAsia="仿宋_GB2312" w:cs="仿宋_GB2312"/>
          <w:sz w:val="32"/>
          <w:szCs w:val="32"/>
        </w:rPr>
        <w:t>覆盖《绿色债券原则》的10大类行业、《气候债券分类方案》设置的8类绿色行业、中欧《可持续金融共同分类目录》设置的72类绿色活动、《香港可持续金融分类目录》提出的12类绿色经济活动，对港澳市场具有较好适用性（本标准与其他绿色分类目录行业对比详见附件1）</w:t>
      </w:r>
      <w:r>
        <w:rPr>
          <w:rFonts w:hint="eastAsia" w:ascii="仿宋_GB2312" w:hAnsi="宋体" w:eastAsia="仿宋_GB2312" w:cs="PMingLiU"/>
          <w:sz w:val="32"/>
          <w:szCs w:val="32"/>
          <w:lang w:bidi="ar"/>
        </w:rPr>
        <w:t>。</w:t>
      </w:r>
    </w:p>
    <w:p w14:paraId="3EFEE8FC">
      <w:pPr>
        <w:adjustRightInd w:val="0"/>
        <w:snapToGrid w:val="0"/>
        <w:spacing w:line="560" w:lineRule="exact"/>
        <w:ind w:firstLine="640" w:firstLineChars="200"/>
        <w:rPr>
          <w:rFonts w:hint="eastAsia" w:ascii="仿宋_GB2312" w:hAnsi="宋体" w:eastAsia="仿宋_GB2312" w:cs="PMingLiU"/>
          <w:sz w:val="32"/>
          <w:szCs w:val="32"/>
          <w:lang w:bidi="ar"/>
        </w:rPr>
      </w:pPr>
      <w:r>
        <w:rPr>
          <w:rFonts w:hint="eastAsia" w:ascii="仿宋_GB2312" w:hAnsi="宋体" w:eastAsia="仿宋_GB2312" w:cs="PMingLiU"/>
          <w:sz w:val="32"/>
          <w:szCs w:val="32"/>
          <w:lang w:bidi="ar"/>
        </w:rPr>
        <w:t>指标设置方面，本标准包含47个环境效益指标。</w:t>
      </w:r>
      <w:r>
        <w:rPr>
          <w:rFonts w:hint="eastAsia" w:ascii="仿宋_GB2312" w:hAnsi="宋体" w:eastAsia="仿宋_GB2312" w:cs="PMingLiU"/>
          <w:b/>
          <w:bCs/>
          <w:sz w:val="32"/>
          <w:szCs w:val="32"/>
          <w:lang w:bidi="ar"/>
        </w:rPr>
        <w:t>内地方面，</w:t>
      </w:r>
      <w:r>
        <w:rPr>
          <w:rFonts w:hint="eastAsia" w:ascii="仿宋_GB2312" w:hAnsi="宋体" w:eastAsia="仿宋_GB2312" w:cs="PMingLiU"/>
          <w:sz w:val="32"/>
          <w:szCs w:val="32"/>
          <w:lang w:bidi="ar"/>
        </w:rPr>
        <w:t>本标准涵盖《存续期信披指南》的25项指标，且指标类型更为丰富完整。</w:t>
      </w:r>
      <w:r>
        <w:rPr>
          <w:rFonts w:hint="eastAsia" w:ascii="仿宋_GB2312" w:hAnsi="宋体" w:eastAsia="仿宋_GB2312" w:cs="PMingLiU"/>
          <w:b/>
          <w:bCs/>
          <w:sz w:val="32"/>
          <w:szCs w:val="32"/>
          <w:lang w:bidi="ar"/>
        </w:rPr>
        <w:t>港澳方面，</w:t>
      </w:r>
      <w:r>
        <w:rPr>
          <w:rFonts w:hint="eastAsia" w:ascii="仿宋_GB2312" w:hAnsi="宋体" w:eastAsia="仿宋_GB2312" w:cs="PMingLiU"/>
          <w:sz w:val="32"/>
          <w:szCs w:val="32"/>
          <w:lang w:bidi="ar"/>
        </w:rPr>
        <w:t>港澳绿色债券目前主要参考的披露指标规范为ICMA发布的《影响报告统一框架》，包含</w:t>
      </w:r>
      <w:r>
        <w:rPr>
          <w:rFonts w:hint="eastAsia" w:ascii="仿宋_GB2312" w:hAnsi="仿宋_GB2312" w:eastAsia="仿宋_GB2312" w:cs="仿宋_GB2312"/>
          <w:sz w:val="32"/>
          <w:szCs w:val="32"/>
        </w:rPr>
        <w:t>88个环境效益类核心指标</w:t>
      </w:r>
      <w:r>
        <w:rPr>
          <w:rFonts w:hint="eastAsia" w:ascii="仿宋_GB2312" w:hAnsi="宋体" w:eastAsia="仿宋_GB2312" w:cs="PMingLiU"/>
          <w:sz w:val="32"/>
          <w:szCs w:val="32"/>
          <w:lang w:bidi="ar"/>
        </w:rPr>
        <w:t>。经比对，本标准</w:t>
      </w:r>
      <w:r>
        <w:rPr>
          <w:rFonts w:hint="eastAsia" w:ascii="仿宋_GB2312" w:hAnsi="仿宋_GB2312" w:eastAsia="仿宋_GB2312" w:cs="仿宋_GB2312"/>
          <w:sz w:val="32"/>
          <w:szCs w:val="32"/>
        </w:rPr>
        <w:t>与ICMA相同的指标37个、相同但不含相对指标</w:t>
      </w:r>
      <w:r>
        <w:rPr>
          <w:rStyle w:val="14"/>
          <w:rFonts w:hint="eastAsia" w:ascii="仿宋_GB2312" w:hAnsi="仿宋_GB2312" w:eastAsia="仿宋_GB2312" w:cs="仿宋_GB2312"/>
          <w:sz w:val="32"/>
          <w:szCs w:val="32"/>
        </w:rPr>
        <w:footnoteReference w:id="0"/>
      </w:r>
      <w:r>
        <w:rPr>
          <w:rFonts w:hint="eastAsia" w:ascii="仿宋_GB2312" w:hAnsi="仿宋_GB2312" w:eastAsia="仿宋_GB2312" w:cs="仿宋_GB2312"/>
          <w:sz w:val="32"/>
          <w:szCs w:val="32"/>
        </w:rPr>
        <w:t>的21个，可换算的指标11个，未覆盖指标19个（本标准与ICMA指标体系对比详见附件2），</w:t>
      </w:r>
      <w:r>
        <w:rPr>
          <w:rFonts w:hint="eastAsia" w:ascii="仿宋_GB2312" w:hAnsi="宋体" w:eastAsia="仿宋_GB2312" w:cs="PMingLiU"/>
          <w:sz w:val="32"/>
          <w:szCs w:val="32"/>
          <w:lang w:bidi="ar"/>
        </w:rPr>
        <w:t>已较好兼容ICMA的环境效益指标，能充分反映港澳市场披露情况。</w:t>
      </w:r>
    </w:p>
    <w:p w14:paraId="4759E4DC">
      <w:pPr>
        <w:numPr>
          <w:ilvl w:val="0"/>
          <w:numId w:val="1"/>
        </w:num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主要条款说明</w:t>
      </w:r>
    </w:p>
    <w:p w14:paraId="303BF4EA">
      <w:pPr>
        <w:pStyle w:val="18"/>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本文件主要包括以下方面内容：</w:t>
      </w:r>
    </w:p>
    <w:p w14:paraId="5EFE2C22">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（一）范围</w:t>
      </w:r>
    </w:p>
    <w:p w14:paraId="284D9844">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（二）规范性引用文件</w:t>
      </w:r>
    </w:p>
    <w:p w14:paraId="4CA07891">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（三）术语和定义</w:t>
      </w:r>
    </w:p>
    <w:p w14:paraId="31E3B9E4">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（四）项目要素</w:t>
      </w:r>
    </w:p>
    <w:p w14:paraId="3EFEB0F9">
      <w:pPr>
        <w:adjustRightInd w:val="0"/>
        <w:snapToGrid w:val="0"/>
        <w:spacing w:line="560" w:lineRule="exact"/>
        <w:ind w:firstLine="640" w:firstLineChars="200"/>
      </w:pPr>
      <w:r>
        <w:rPr>
          <w:rFonts w:hint="eastAsia" w:ascii="楷体_GB2312" w:hAnsi="楷体_GB2312" w:eastAsia="楷体_GB2312" w:cs="楷体_GB2312"/>
          <w:sz w:val="32"/>
          <w:szCs w:val="32"/>
        </w:rPr>
        <w:t>（五）环境效益信息披露指标说明</w:t>
      </w:r>
    </w:p>
    <w:p w14:paraId="77ECBEA5">
      <w:pPr>
        <w:pStyle w:val="18"/>
        <w:adjustRightInd w:val="0"/>
        <w:snapToGrid w:val="0"/>
        <w:spacing w:line="560" w:lineRule="exact"/>
        <w:ind w:firstLine="640" w:firstLineChars="200"/>
        <w:rPr>
          <w:rFonts w:hint="eastAsia" w:ascii="仿宋" w:hAnsi="仿宋" w:eastAsia="仿宋"/>
        </w:rPr>
      </w:pPr>
      <w:r>
        <w:rPr>
          <w:rFonts w:ascii="仿宋" w:hAnsi="仿宋" w:eastAsia="仿宋"/>
          <w:b w:val="0"/>
          <w:bCs w:val="0"/>
          <w:sz w:val="32"/>
          <w:szCs w:val="32"/>
        </w:rPr>
        <w:t>1.</w:t>
      </w:r>
      <w:r>
        <w:rPr>
          <w:rFonts w:hint="eastAsia" w:ascii="仿宋" w:hAnsi="仿宋" w:eastAsia="仿宋"/>
          <w:b w:val="0"/>
          <w:bCs w:val="0"/>
          <w:sz w:val="32"/>
          <w:szCs w:val="32"/>
        </w:rPr>
        <w:t>定量类指标</w:t>
      </w:r>
    </w:p>
    <w:p w14:paraId="37684426">
      <w:pPr>
        <w:pStyle w:val="18"/>
        <w:adjustRightInd w:val="0"/>
        <w:snapToGrid w:val="0"/>
        <w:spacing w:line="560" w:lineRule="exact"/>
        <w:ind w:firstLine="640" w:firstLineChars="200"/>
        <w:rPr>
          <w:rFonts w:ascii="仿宋" w:hAnsi="仿宋" w:eastAsia="仿宋"/>
        </w:rPr>
      </w:pPr>
      <w:r>
        <w:rPr>
          <w:rFonts w:hint="eastAsia" w:ascii="仿宋" w:hAnsi="仿宋" w:eastAsia="仿宋"/>
          <w:sz w:val="32"/>
          <w:szCs w:val="32"/>
        </w:rPr>
        <w:t>包括降碳类、减污类、资源综合利用类、扩绿类及其他定量类指标。</w:t>
      </w:r>
    </w:p>
    <w:p w14:paraId="18CCB590">
      <w:pPr>
        <w:pStyle w:val="18"/>
        <w:adjustRightInd w:val="0"/>
        <w:snapToGrid w:val="0"/>
        <w:spacing w:line="560" w:lineRule="exact"/>
        <w:ind w:firstLine="640" w:firstLineChars="200"/>
        <w:rPr>
          <w:rFonts w:ascii="仿宋" w:hAnsi="仿宋" w:eastAsia="仿宋"/>
        </w:rPr>
      </w:pPr>
      <w:r>
        <w:rPr>
          <w:rFonts w:ascii="仿宋" w:hAnsi="仿宋" w:eastAsia="仿宋"/>
          <w:b w:val="0"/>
          <w:bCs w:val="0"/>
          <w:sz w:val="32"/>
          <w:szCs w:val="32"/>
        </w:rPr>
        <w:t>2.</w:t>
      </w:r>
      <w:r>
        <w:rPr>
          <w:rFonts w:hint="eastAsia" w:ascii="仿宋" w:hAnsi="仿宋" w:eastAsia="仿宋"/>
          <w:b w:val="0"/>
          <w:bCs w:val="0"/>
          <w:sz w:val="32"/>
          <w:szCs w:val="32"/>
        </w:rPr>
        <w:t>定性类指标</w:t>
      </w:r>
    </w:p>
    <w:p w14:paraId="58B70151">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包括环境效益信息定性描述指标。</w:t>
      </w:r>
    </w:p>
    <w:p w14:paraId="4F00A84D">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（六）绿色债券环境效益信息披露指标体系编码说明</w:t>
      </w:r>
    </w:p>
    <w:p w14:paraId="5815CA81">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（七）绿色债券环境效益信息披露指标体系</w:t>
      </w:r>
    </w:p>
    <w:p w14:paraId="196D4E3B">
      <w:pPr>
        <w:numPr>
          <w:ilvl w:val="0"/>
          <w:numId w:val="1"/>
        </w:num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是否涉及专利等知识产权</w:t>
      </w:r>
    </w:p>
    <w:p w14:paraId="7E8806EA">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本文件未发现涉及相关专利等知识产权问题。</w:t>
      </w:r>
    </w:p>
    <w:p w14:paraId="383D38EE">
      <w:p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六、重大意见分歧的处理依据和结果</w:t>
      </w:r>
    </w:p>
    <w:p w14:paraId="4BC54EA0">
      <w:pPr>
        <w:adjustRightInd w:val="0"/>
        <w:snapToGrid w:val="0"/>
        <w:spacing w:line="560" w:lineRule="exact"/>
        <w:ind w:firstLine="640" w:firstLineChars="200"/>
        <w:rPr>
          <w:rFonts w:hint="eastAsia" w:ascii="仿宋_GB2312" w:hAnsi="仿宋_GB2312" w:cs="仿宋_GB2312"/>
          <w:sz w:val="32"/>
          <w:szCs w:val="32"/>
        </w:rPr>
      </w:pPr>
      <w:r>
        <w:rPr>
          <w:rFonts w:hint="eastAsia" w:ascii="仿宋_GB2312" w:hAnsi="仿宋_GB2312" w:eastAsia="仿宋_GB2312" w:cs="仿宋_GB2312"/>
          <w:sz w:val="32"/>
          <w:szCs w:val="32"/>
        </w:rPr>
        <w:t>本文件在制定过程中未出现重大分歧意见</w:t>
      </w:r>
      <w:r>
        <w:rPr>
          <w:rFonts w:hint="eastAsia"/>
          <w:sz w:val="32"/>
          <w:szCs w:val="32"/>
        </w:rPr>
        <w:t>。</w:t>
      </w:r>
    </w:p>
    <w:p w14:paraId="58DDE863">
      <w:p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七、其他需要说明的事项</w:t>
      </w:r>
    </w:p>
    <w:p w14:paraId="455D5E55">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6076B575">
      <w:pPr>
        <w:pStyle w:val="2"/>
        <w:jc w:val="both"/>
        <w:sectPr>
          <w:footerReference r:id="rId5" w:type="default"/>
          <w:headerReference r:id="rId4" w:type="even"/>
          <w:footerReference r:id="rId6" w:type="even"/>
          <w:pgSz w:w="11906" w:h="16838"/>
          <w:pgMar w:top="1440" w:right="1800" w:bottom="1440" w:left="1800" w:header="851" w:footer="992" w:gutter="0"/>
          <w:pgNumType w:fmt="numberInDash" w:start="1"/>
          <w:cols w:space="720" w:num="1"/>
          <w:docGrid w:type="lines" w:linePitch="312" w:charSpace="0"/>
        </w:sectPr>
      </w:pPr>
    </w:p>
    <w:p w14:paraId="16452FE4">
      <w:pPr>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14:paraId="0AD6A6EE">
      <w:pPr>
        <w:adjustRightInd w:val="0"/>
        <w:snapToGrid w:val="0"/>
        <w:spacing w:line="70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本标准与其他绿色分类目录</w:t>
      </w:r>
    </w:p>
    <w:p w14:paraId="26EA67F4">
      <w:pPr>
        <w:adjustRightInd w:val="0"/>
        <w:snapToGrid w:val="0"/>
        <w:spacing w:line="70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行业对比</w:t>
      </w:r>
    </w:p>
    <w:p w14:paraId="3D44B6D6">
      <w:pPr>
        <w:autoSpaceDE w:val="0"/>
        <w:autoSpaceDN w:val="0"/>
        <w:adjustRightInd w:val="0"/>
        <w:snapToGrid w:val="0"/>
        <w:spacing w:line="700" w:lineRule="exact"/>
        <w:jc w:val="center"/>
        <w:rPr>
          <w:rFonts w:hint="eastAsia" w:ascii="方正小标宋简体" w:hAnsi="仿宋" w:eastAsia="方正小标宋简体" w:cs="新宋体"/>
          <w:kern w:val="0"/>
          <w:sz w:val="44"/>
          <w:szCs w:val="44"/>
        </w:rPr>
      </w:pPr>
    </w:p>
    <w:p w14:paraId="05C7A785">
      <w:pPr>
        <w:spacing w:line="560" w:lineRule="exact"/>
        <w:jc w:val="center"/>
        <w:rPr>
          <w:rFonts w:hint="eastAsia" w:ascii="仿宋" w:hAnsi="仿宋" w:eastAsia="仿宋" w:cs="仿宋"/>
          <w:sz w:val="32"/>
          <w:szCs w:val="32"/>
        </w:rPr>
      </w:pPr>
      <w:r>
        <w:rPr>
          <w:rFonts w:hint="eastAsia" w:ascii="仿宋" w:hAnsi="仿宋" w:eastAsia="仿宋" w:cs="仿宋"/>
          <w:sz w:val="32"/>
          <w:szCs w:val="32"/>
        </w:rPr>
        <w:t>表1：《</w:t>
      </w:r>
      <w:r>
        <w:rPr>
          <w:rFonts w:hint="eastAsia" w:ascii="仿宋_GB2312" w:hAnsi="仿宋_GB2312" w:eastAsia="仿宋_GB2312" w:cs="仿宋_GB2312"/>
          <w:sz w:val="32"/>
          <w:szCs w:val="32"/>
        </w:rPr>
        <w:t>香港可持续金融分类目录</w:t>
      </w:r>
      <w:r>
        <w:rPr>
          <w:rFonts w:hint="eastAsia" w:ascii="仿宋" w:hAnsi="仿宋" w:eastAsia="仿宋" w:cs="仿宋"/>
          <w:sz w:val="32"/>
          <w:szCs w:val="32"/>
        </w:rPr>
        <w:t>》与本标准</w:t>
      </w:r>
    </w:p>
    <w:p w14:paraId="4983E53E">
      <w:pPr>
        <w:spacing w:line="560" w:lineRule="exact"/>
        <w:jc w:val="center"/>
        <w:rPr>
          <w:rFonts w:hint="eastAsia" w:ascii="仿宋" w:hAnsi="仿宋" w:eastAsia="仿宋" w:cs="仿宋"/>
          <w:sz w:val="32"/>
          <w:szCs w:val="32"/>
        </w:rPr>
      </w:pPr>
      <w:r>
        <w:rPr>
          <w:rFonts w:hint="eastAsia" w:ascii="仿宋" w:hAnsi="仿宋" w:eastAsia="仿宋" w:cs="仿宋"/>
          <w:sz w:val="32"/>
          <w:szCs w:val="32"/>
        </w:rPr>
        <w:t>行业对应关系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12"/>
        <w:gridCol w:w="4910"/>
      </w:tblGrid>
      <w:tr w14:paraId="032B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2304BD30">
            <w:pPr>
              <w:pStyle w:val="8"/>
              <w:spacing w:before="0" w:beforeAutospacing="0" w:after="0" w:afterAutospacing="0"/>
              <w:jc w:val="center"/>
              <w:rPr>
                <w:rFonts w:hint="eastAsia" w:ascii="仿宋" w:hAnsi="仿宋" w:eastAsia="仿宋" w:cs="仿宋"/>
              </w:rPr>
            </w:pPr>
            <w:r>
              <w:rPr>
                <w:rFonts w:hint="eastAsia" w:ascii="仿宋" w:hAnsi="仿宋" w:eastAsia="仿宋" w:cs="仿宋"/>
                <w:b/>
                <w:bCs/>
              </w:rPr>
              <w:t>《香港可持续金融分类目录》12类经济活动</w:t>
            </w:r>
          </w:p>
        </w:tc>
        <w:tc>
          <w:tcPr>
            <w:tcW w:w="4910" w:type="dxa"/>
            <w:vAlign w:val="center"/>
          </w:tcPr>
          <w:p w14:paraId="7CBD9567">
            <w:pPr>
              <w:pStyle w:val="8"/>
              <w:spacing w:before="0" w:beforeAutospacing="0" w:after="0" w:afterAutospacing="0"/>
              <w:jc w:val="center"/>
              <w:rPr>
                <w:rFonts w:hint="eastAsia" w:ascii="仿宋" w:hAnsi="仿宋" w:eastAsia="仿宋" w:cs="仿宋"/>
              </w:rPr>
            </w:pPr>
            <w:r>
              <w:rPr>
                <w:rFonts w:hint="eastAsia" w:ascii="仿宋" w:hAnsi="仿宋" w:eastAsia="仿宋" w:cs="仿宋"/>
                <w:b/>
                <w:bCs/>
                <w:color w:val="000000"/>
                <w:lang w:bidi="ar"/>
              </w:rPr>
              <w:t>本标准</w:t>
            </w:r>
            <w:r>
              <w:rPr>
                <w:rFonts w:hint="eastAsia" w:ascii="仿宋_GB2312" w:hAnsi="仿宋_GB2312" w:eastAsia="仿宋_GB2312" w:cs="仿宋_GB2312"/>
                <w:b/>
                <w:bCs/>
                <w:color w:val="000000"/>
                <w:szCs w:val="24"/>
                <w:lang w:bidi="ar"/>
              </w:rPr>
              <w:t>对应</w:t>
            </w:r>
            <w:r>
              <w:rPr>
                <w:rFonts w:hint="eastAsia" w:ascii="仿宋" w:hAnsi="仿宋" w:eastAsia="仿宋" w:cs="仿宋"/>
                <w:b/>
                <w:bCs/>
              </w:rPr>
              <w:t>行业</w:t>
            </w:r>
          </w:p>
        </w:tc>
      </w:tr>
      <w:tr w14:paraId="2F79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4608EB8B">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聚光太阳能热发电</w:t>
            </w:r>
          </w:p>
        </w:tc>
        <w:tc>
          <w:tcPr>
            <w:tcW w:w="4910" w:type="dxa"/>
            <w:vAlign w:val="center"/>
          </w:tcPr>
          <w:p w14:paraId="293C271C">
            <w:pPr>
              <w:widowControl/>
              <w:jc w:val="left"/>
              <w:rPr>
                <w:rFonts w:hint="eastAsia" w:ascii="仿宋" w:hAnsi="仿宋" w:eastAsia="仿宋" w:cs="仿宋"/>
              </w:rPr>
            </w:pPr>
            <w:r>
              <w:rPr>
                <w:rFonts w:hint="eastAsia" w:ascii="仿宋" w:hAnsi="仿宋" w:eastAsia="仿宋" w:cs="仿宋"/>
                <w:color w:val="000000"/>
                <w:kern w:val="0"/>
                <w:sz w:val="24"/>
                <w:szCs w:val="24"/>
                <w:lang w:bidi="ar"/>
              </w:rPr>
              <w:t>LC013 太阳能利用设施建设和运营</w:t>
            </w:r>
          </w:p>
        </w:tc>
      </w:tr>
      <w:tr w14:paraId="58A6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02DC7C99">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太阳能光伏发电</w:t>
            </w:r>
          </w:p>
        </w:tc>
        <w:tc>
          <w:tcPr>
            <w:tcW w:w="4910" w:type="dxa"/>
            <w:vAlign w:val="center"/>
          </w:tcPr>
          <w:p w14:paraId="0EA15C54">
            <w:pPr>
              <w:widowControl/>
              <w:jc w:val="left"/>
              <w:rPr>
                <w:rFonts w:hint="eastAsia" w:ascii="仿宋" w:hAnsi="仿宋" w:eastAsia="仿宋" w:cs="仿宋"/>
              </w:rPr>
            </w:pPr>
            <w:r>
              <w:rPr>
                <w:rFonts w:hint="eastAsia" w:ascii="仿宋" w:hAnsi="仿宋" w:eastAsia="仿宋" w:cs="仿宋"/>
                <w:color w:val="000000"/>
                <w:kern w:val="0"/>
                <w:sz w:val="24"/>
                <w:szCs w:val="24"/>
                <w:lang w:bidi="ar"/>
              </w:rPr>
              <w:t>LC013 太阳能利用设施建设和运营</w:t>
            </w:r>
          </w:p>
        </w:tc>
      </w:tr>
      <w:tr w14:paraId="57D1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16E621A8">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风力发电</w:t>
            </w:r>
          </w:p>
        </w:tc>
        <w:tc>
          <w:tcPr>
            <w:tcW w:w="4910" w:type="dxa"/>
            <w:vAlign w:val="center"/>
          </w:tcPr>
          <w:p w14:paraId="3DD460D9">
            <w:pPr>
              <w:widowControl/>
              <w:jc w:val="left"/>
              <w:rPr>
                <w:rFonts w:hint="eastAsia" w:ascii="仿宋" w:hAnsi="仿宋" w:eastAsia="仿宋" w:cs="仿宋"/>
                <w:sz w:val="24"/>
              </w:rPr>
            </w:pPr>
            <w:r>
              <w:rPr>
                <w:rFonts w:hint="eastAsia" w:ascii="仿宋" w:hAnsi="仿宋" w:eastAsia="仿宋" w:cs="仿宋"/>
                <w:color w:val="000000"/>
                <w:kern w:val="0"/>
                <w:sz w:val="24"/>
                <w:szCs w:val="24"/>
                <w:lang w:bidi="ar"/>
              </w:rPr>
              <w:t>LC012 风力发电设施建设和运营</w:t>
            </w:r>
          </w:p>
        </w:tc>
      </w:tr>
      <w:tr w14:paraId="15FC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4235198B">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城乡公共交通系统的建设与运营</w:t>
            </w:r>
          </w:p>
        </w:tc>
        <w:tc>
          <w:tcPr>
            <w:tcW w:w="4910" w:type="dxa"/>
            <w:vAlign w:val="center"/>
          </w:tcPr>
          <w:p w14:paraId="3F241B6C">
            <w:pPr>
              <w:widowControl/>
              <w:jc w:val="left"/>
              <w:rPr>
                <w:rFonts w:hint="eastAsia" w:ascii="仿宋" w:hAnsi="仿宋" w:eastAsia="仿宋" w:cs="仿宋"/>
              </w:rPr>
            </w:pPr>
            <w:r>
              <w:rPr>
                <w:rFonts w:hint="eastAsia" w:ascii="仿宋" w:hAnsi="仿宋" w:eastAsia="仿宋" w:cs="仿宋"/>
                <w:color w:val="000000"/>
                <w:kern w:val="0"/>
                <w:sz w:val="24"/>
                <w:szCs w:val="24"/>
                <w:lang w:bidi="ar"/>
              </w:rPr>
              <w:t>LE025 城乡公共交通系统建设和运营</w:t>
            </w:r>
          </w:p>
        </w:tc>
      </w:tr>
      <w:tr w14:paraId="2C14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38469D66">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个人移动出行设备的建设和运营、自行车物流服务</w:t>
            </w:r>
          </w:p>
        </w:tc>
        <w:tc>
          <w:tcPr>
            <w:tcW w:w="4910" w:type="dxa"/>
            <w:vAlign w:val="center"/>
          </w:tcPr>
          <w:p w14:paraId="58007367">
            <w:pPr>
              <w:widowControl/>
              <w:jc w:val="left"/>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LE024 城市慢行系统建设和运营</w:t>
            </w:r>
          </w:p>
          <w:p w14:paraId="4FDD39CF">
            <w:pPr>
              <w:widowControl/>
              <w:jc w:val="left"/>
            </w:pPr>
            <w:r>
              <w:rPr>
                <w:rFonts w:hint="eastAsia" w:ascii="仿宋" w:hAnsi="仿宋" w:eastAsia="仿宋" w:cs="仿宋"/>
                <w:color w:val="000000"/>
                <w:kern w:val="0"/>
                <w:sz w:val="24"/>
                <w:szCs w:val="24"/>
                <w:lang w:bidi="ar"/>
              </w:rPr>
              <w:t>LE026 共享交通设施建设和运营</w:t>
            </w:r>
          </w:p>
        </w:tc>
      </w:tr>
      <w:tr w14:paraId="797F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42916764">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海上货物运输</w:t>
            </w:r>
          </w:p>
        </w:tc>
        <w:tc>
          <w:tcPr>
            <w:tcW w:w="4910" w:type="dxa"/>
            <w:vAlign w:val="center"/>
          </w:tcPr>
          <w:p w14:paraId="577B11D4">
            <w:pPr>
              <w:widowControl/>
              <w:jc w:val="left"/>
              <w:rPr>
                <w:rFonts w:hint="eastAsia" w:ascii="仿宋" w:hAnsi="仿宋" w:eastAsia="仿宋" w:cs="仿宋"/>
              </w:rPr>
            </w:pPr>
            <w:r>
              <w:rPr>
                <w:rFonts w:hint="eastAsia" w:ascii="仿宋" w:hAnsi="仿宋" w:eastAsia="仿宋" w:cs="仿宋"/>
                <w:color w:val="000000"/>
                <w:kern w:val="0"/>
                <w:sz w:val="24"/>
                <w:szCs w:val="24"/>
                <w:lang w:bidi="ar"/>
              </w:rPr>
              <w:t>LG003 海上货物运输</w:t>
            </w:r>
          </w:p>
        </w:tc>
      </w:tr>
      <w:tr w14:paraId="7A99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10D61612">
            <w:pPr>
              <w:pStyle w:val="8"/>
              <w:spacing w:before="0" w:beforeAutospacing="0" w:after="0" w:afterAutospacing="0"/>
              <w:rPr>
                <w:rFonts w:hint="eastAsia" w:ascii="仿宋" w:hAnsi="仿宋" w:eastAsia="仿宋" w:cs="仿宋"/>
                <w:color w:val="000000"/>
                <w:lang w:bidi="ar"/>
              </w:rPr>
            </w:pPr>
            <w:r>
              <w:rPr>
                <w:rFonts w:hint="eastAsia" w:ascii="仿宋" w:hAnsi="仿宋" w:eastAsia="仿宋" w:cs="仿宋"/>
                <w:color w:val="000000"/>
                <w:lang w:bidi="ar"/>
              </w:rPr>
              <w:t>海上旅客运输</w:t>
            </w:r>
          </w:p>
        </w:tc>
        <w:tc>
          <w:tcPr>
            <w:tcW w:w="4910" w:type="dxa"/>
            <w:vAlign w:val="center"/>
          </w:tcPr>
          <w:p w14:paraId="26E5A6C9">
            <w:pPr>
              <w:widowControl/>
              <w:jc w:val="left"/>
              <w:rPr>
                <w:rFonts w:hint="eastAsia" w:ascii="仿宋" w:hAnsi="仿宋" w:eastAsia="仿宋" w:cs="仿宋"/>
              </w:rPr>
            </w:pPr>
            <w:r>
              <w:rPr>
                <w:rFonts w:hint="eastAsia" w:ascii="仿宋" w:hAnsi="仿宋" w:eastAsia="仿宋" w:cs="仿宋"/>
                <w:color w:val="000000"/>
                <w:kern w:val="0"/>
                <w:sz w:val="24"/>
                <w:szCs w:val="24"/>
                <w:lang w:bidi="ar"/>
              </w:rPr>
              <w:t>LG004 海上旅客运输</w:t>
            </w:r>
          </w:p>
        </w:tc>
      </w:tr>
      <w:tr w14:paraId="796D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0E37A7AB">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污水污泥处理——厌氧消化</w:t>
            </w:r>
          </w:p>
        </w:tc>
        <w:tc>
          <w:tcPr>
            <w:tcW w:w="4910" w:type="dxa"/>
            <w:vAlign w:val="center"/>
          </w:tcPr>
          <w:p w14:paraId="6F3B4715">
            <w:pPr>
              <w:widowControl/>
              <w:jc w:val="left"/>
              <w:rPr>
                <w:rFonts w:hint="eastAsia" w:ascii="仿宋" w:hAnsi="仿宋" w:eastAsia="仿宋" w:cs="仿宋"/>
                <w:color w:val="000000"/>
                <w:lang w:bidi="ar"/>
              </w:rPr>
            </w:pPr>
            <w:r>
              <w:rPr>
                <w:rFonts w:hint="eastAsia" w:ascii="仿宋" w:hAnsi="仿宋" w:eastAsia="仿宋" w:cs="仿宋"/>
                <w:color w:val="000000"/>
                <w:kern w:val="0"/>
                <w:sz w:val="24"/>
                <w:szCs w:val="24"/>
                <w:lang w:bidi="ar"/>
              </w:rPr>
              <w:t>LA059 城镇污水处理厂污泥综合利用</w:t>
            </w:r>
          </w:p>
        </w:tc>
      </w:tr>
      <w:tr w14:paraId="37D5A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1FFFCC7E">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非危险废物的源头分类收集和运输</w:t>
            </w:r>
          </w:p>
        </w:tc>
        <w:tc>
          <w:tcPr>
            <w:tcW w:w="4910" w:type="dxa"/>
            <w:vAlign w:val="center"/>
          </w:tcPr>
          <w:p w14:paraId="4398DF00">
            <w:pPr>
              <w:widowControl/>
              <w:jc w:val="left"/>
              <w:rPr>
                <w:rFonts w:hint="eastAsia" w:ascii="仿宋" w:hAnsi="仿宋" w:eastAsia="仿宋" w:cs="仿宋"/>
                <w:color w:val="000000"/>
                <w:lang w:bidi="ar"/>
              </w:rPr>
            </w:pPr>
            <w:r>
              <w:rPr>
                <w:rFonts w:hint="eastAsia" w:ascii="仿宋" w:hAnsi="仿宋" w:eastAsia="仿宋" w:cs="仿宋"/>
                <w:color w:val="000000"/>
                <w:kern w:val="0"/>
                <w:sz w:val="24"/>
                <w:szCs w:val="24"/>
                <w:lang w:bidi="ar"/>
              </w:rPr>
              <w:t>LE011 生活垃圾处理设施建设和运营</w:t>
            </w:r>
          </w:p>
        </w:tc>
      </w:tr>
      <w:tr w14:paraId="53B1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7DD609A4">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生活垃圾的利用与处理——厌氧消化</w:t>
            </w:r>
          </w:p>
        </w:tc>
        <w:tc>
          <w:tcPr>
            <w:tcW w:w="4910" w:type="dxa"/>
            <w:vAlign w:val="center"/>
          </w:tcPr>
          <w:p w14:paraId="3B7EC0E6">
            <w:pPr>
              <w:widowControl/>
              <w:jc w:val="left"/>
              <w:rPr>
                <w:rFonts w:hint="eastAsia" w:ascii="仿宋" w:hAnsi="仿宋" w:eastAsia="仿宋" w:cs="仿宋"/>
                <w:color w:val="000000"/>
                <w:lang w:bidi="ar"/>
              </w:rPr>
            </w:pPr>
            <w:r>
              <w:rPr>
                <w:rFonts w:hint="eastAsia" w:ascii="仿宋" w:hAnsi="仿宋" w:eastAsia="仿宋" w:cs="仿宋"/>
                <w:color w:val="000000"/>
                <w:kern w:val="0"/>
                <w:sz w:val="24"/>
                <w:szCs w:val="24"/>
                <w:lang w:bidi="ar"/>
              </w:rPr>
              <w:t>LA057 城乡生活垃圾综合利用</w:t>
            </w:r>
          </w:p>
        </w:tc>
      </w:tr>
      <w:tr w14:paraId="1619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18495425">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新建建筑建造</w:t>
            </w:r>
          </w:p>
        </w:tc>
        <w:tc>
          <w:tcPr>
            <w:tcW w:w="4910" w:type="dxa"/>
            <w:vAlign w:val="center"/>
          </w:tcPr>
          <w:p w14:paraId="2AE07D66">
            <w:pPr>
              <w:widowControl/>
              <w:jc w:val="left"/>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LE004 超低能耗建筑建设 </w:t>
            </w:r>
          </w:p>
          <w:p w14:paraId="1543BE83">
            <w:pPr>
              <w:widowControl/>
              <w:jc w:val="left"/>
            </w:pPr>
            <w:r>
              <w:rPr>
                <w:rFonts w:hint="eastAsia" w:ascii="仿宋" w:hAnsi="仿宋" w:eastAsia="仿宋" w:cs="仿宋"/>
                <w:color w:val="000000"/>
                <w:kern w:val="0"/>
                <w:sz w:val="24"/>
                <w:szCs w:val="24"/>
                <w:lang w:bidi="ar"/>
              </w:rPr>
              <w:t>LE005 绿色建筑</w:t>
            </w:r>
          </w:p>
        </w:tc>
      </w:tr>
      <w:tr w14:paraId="6FD4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2" w:type="dxa"/>
            <w:vAlign w:val="center"/>
          </w:tcPr>
          <w:p w14:paraId="767543F1">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既有建筑改建 </w:t>
            </w:r>
          </w:p>
        </w:tc>
        <w:tc>
          <w:tcPr>
            <w:tcW w:w="4910" w:type="dxa"/>
            <w:vAlign w:val="center"/>
          </w:tcPr>
          <w:p w14:paraId="7C24BDC4">
            <w:pPr>
              <w:widowControl/>
              <w:jc w:val="left"/>
              <w:rPr>
                <w:rFonts w:hint="eastAsia" w:ascii="仿宋" w:hAnsi="仿宋" w:eastAsia="仿宋" w:cs="仿宋"/>
                <w:color w:val="000000"/>
                <w:lang w:bidi="ar"/>
              </w:rPr>
            </w:pPr>
            <w:r>
              <w:rPr>
                <w:rFonts w:hint="eastAsia" w:ascii="仿宋" w:hAnsi="仿宋" w:eastAsia="仿宋" w:cs="仿宋"/>
                <w:color w:val="000000"/>
                <w:kern w:val="0"/>
                <w:sz w:val="24"/>
                <w:szCs w:val="24"/>
                <w:lang w:bidi="ar"/>
              </w:rPr>
              <w:t>LE008 既有建筑节能及绿色化改造</w:t>
            </w:r>
          </w:p>
        </w:tc>
      </w:tr>
    </w:tbl>
    <w:p w14:paraId="0D6A5778">
      <w:pPr>
        <w:widowControl/>
        <w:jc w:val="left"/>
        <w:rPr>
          <w:rFonts w:hint="eastAsia" w:ascii="仿宋" w:hAnsi="仿宋" w:eastAsia="仿宋" w:cs="仿宋"/>
          <w:sz w:val="24"/>
        </w:rPr>
      </w:pPr>
      <w:r>
        <w:rPr>
          <w:rFonts w:hint="eastAsia" w:ascii="仿宋" w:hAnsi="仿宋" w:eastAsia="仿宋" w:cs="仿宋"/>
          <w:sz w:val="24"/>
        </w:rPr>
        <w:t>资料来源：起草组根据《香港可持续金融分类目录》等公开信息分析整理。</w:t>
      </w:r>
    </w:p>
    <w:p w14:paraId="064EE309">
      <w:pPr>
        <w:spacing w:line="560" w:lineRule="exact"/>
        <w:jc w:val="center"/>
        <w:rPr>
          <w:rFonts w:hint="eastAsia" w:ascii="仿宋" w:hAnsi="仿宋" w:eastAsia="仿宋" w:cs="仿宋"/>
          <w:sz w:val="32"/>
          <w:szCs w:val="32"/>
        </w:rPr>
      </w:pPr>
    </w:p>
    <w:p w14:paraId="26411B30">
      <w:pPr>
        <w:spacing w:line="560" w:lineRule="exact"/>
        <w:jc w:val="center"/>
        <w:rPr>
          <w:rFonts w:hint="eastAsia" w:ascii="仿宋" w:hAnsi="仿宋" w:eastAsia="仿宋" w:cs="仿宋"/>
          <w:sz w:val="32"/>
          <w:szCs w:val="32"/>
        </w:rPr>
      </w:pPr>
      <w:r>
        <w:rPr>
          <w:rFonts w:hint="eastAsia" w:ascii="仿宋" w:hAnsi="仿宋" w:eastAsia="仿宋" w:cs="仿宋"/>
          <w:sz w:val="32"/>
          <w:szCs w:val="32"/>
        </w:rPr>
        <w:t>表2：《气候债券分类方案》与本标准行业对应关系</w:t>
      </w:r>
    </w:p>
    <w:tbl>
      <w:tblPr>
        <w:tblStyle w:val="10"/>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4"/>
        <w:gridCol w:w="1285"/>
        <w:gridCol w:w="2697"/>
        <w:gridCol w:w="3246"/>
      </w:tblGrid>
      <w:tr w14:paraId="4908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446" w:type="dxa"/>
            <w:gridSpan w:val="3"/>
            <w:vAlign w:val="center"/>
          </w:tcPr>
          <w:p w14:paraId="5C986332">
            <w:pPr>
              <w:jc w:val="center"/>
              <w:rPr>
                <w:rFonts w:hint="eastAsia" w:ascii="仿宋" w:hAnsi="仿宋" w:eastAsia="仿宋" w:cs="仿宋"/>
                <w:b/>
                <w:bCs/>
                <w:sz w:val="24"/>
              </w:rPr>
            </w:pPr>
            <w:r>
              <w:rPr>
                <w:rFonts w:hint="eastAsia" w:ascii="仿宋" w:hAnsi="仿宋" w:eastAsia="仿宋" w:cs="仿宋"/>
                <w:b/>
                <w:bCs/>
                <w:sz w:val="24"/>
              </w:rPr>
              <w:t>《气候债券分类方案》</w:t>
            </w:r>
          </w:p>
        </w:tc>
        <w:tc>
          <w:tcPr>
            <w:tcW w:w="3246" w:type="dxa"/>
            <w:vMerge w:val="restart"/>
            <w:vAlign w:val="center"/>
          </w:tcPr>
          <w:p w14:paraId="14D0D2F0">
            <w:pPr>
              <w:jc w:val="center"/>
              <w:rPr>
                <w:rFonts w:hint="eastAsia" w:ascii="仿宋" w:hAnsi="仿宋" w:eastAsia="仿宋" w:cs="仿宋"/>
                <w:b/>
                <w:bCs/>
                <w:sz w:val="24"/>
              </w:rPr>
            </w:pPr>
            <w:r>
              <w:rPr>
                <w:rFonts w:hint="eastAsia" w:ascii="仿宋" w:hAnsi="仿宋" w:eastAsia="仿宋" w:cs="仿宋"/>
                <w:b/>
                <w:bCs/>
                <w:sz w:val="24"/>
              </w:rPr>
              <w:t>本标准</w:t>
            </w:r>
            <w:r>
              <w:rPr>
                <w:rFonts w:hint="eastAsia" w:ascii="仿宋_GB2312" w:hAnsi="仿宋_GB2312" w:eastAsia="仿宋_GB2312" w:cs="仿宋_GB2312"/>
                <w:b/>
                <w:bCs/>
                <w:color w:val="000000"/>
                <w:kern w:val="0"/>
                <w:sz w:val="24"/>
                <w:szCs w:val="24"/>
                <w:lang w:bidi="ar"/>
              </w:rPr>
              <w:t>对应</w:t>
            </w:r>
            <w:r>
              <w:rPr>
                <w:rFonts w:hint="eastAsia" w:ascii="仿宋" w:hAnsi="仿宋" w:eastAsia="仿宋" w:cs="仿宋"/>
                <w:b/>
                <w:bCs/>
                <w:sz w:val="24"/>
              </w:rPr>
              <w:t>行业</w:t>
            </w:r>
          </w:p>
        </w:tc>
      </w:tr>
      <w:tr w14:paraId="5FB9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464" w:type="dxa"/>
            <w:vAlign w:val="center"/>
          </w:tcPr>
          <w:p w14:paraId="4D1CCDF8">
            <w:pPr>
              <w:jc w:val="center"/>
              <w:rPr>
                <w:rFonts w:hint="eastAsia" w:ascii="仿宋" w:hAnsi="仿宋" w:eastAsia="仿宋" w:cs="仿宋"/>
                <w:b/>
                <w:bCs/>
                <w:sz w:val="24"/>
              </w:rPr>
            </w:pPr>
            <w:r>
              <w:rPr>
                <w:rFonts w:hint="eastAsia" w:ascii="仿宋" w:hAnsi="仿宋" w:eastAsia="仿宋" w:cs="仿宋"/>
                <w:b/>
                <w:bCs/>
                <w:sz w:val="24"/>
              </w:rPr>
              <w:t>一级行业</w:t>
            </w:r>
          </w:p>
        </w:tc>
        <w:tc>
          <w:tcPr>
            <w:tcW w:w="1285" w:type="dxa"/>
            <w:vAlign w:val="center"/>
          </w:tcPr>
          <w:p w14:paraId="40354172">
            <w:pPr>
              <w:jc w:val="center"/>
              <w:rPr>
                <w:rFonts w:hint="eastAsia" w:ascii="仿宋" w:hAnsi="仿宋" w:eastAsia="仿宋" w:cs="仿宋"/>
                <w:b/>
                <w:bCs/>
                <w:sz w:val="24"/>
              </w:rPr>
            </w:pPr>
            <w:r>
              <w:rPr>
                <w:rFonts w:hint="eastAsia" w:ascii="仿宋" w:hAnsi="仿宋" w:eastAsia="仿宋" w:cs="仿宋"/>
                <w:b/>
                <w:bCs/>
                <w:sz w:val="24"/>
              </w:rPr>
              <w:t>二级行业</w:t>
            </w:r>
          </w:p>
        </w:tc>
        <w:tc>
          <w:tcPr>
            <w:tcW w:w="2697" w:type="dxa"/>
            <w:vAlign w:val="center"/>
          </w:tcPr>
          <w:p w14:paraId="5AB698E4">
            <w:pPr>
              <w:jc w:val="center"/>
              <w:rPr>
                <w:rFonts w:hint="eastAsia" w:ascii="仿宋" w:hAnsi="仿宋" w:eastAsia="仿宋" w:cs="仿宋"/>
                <w:b/>
                <w:bCs/>
                <w:sz w:val="24"/>
              </w:rPr>
            </w:pPr>
            <w:r>
              <w:rPr>
                <w:rFonts w:hint="eastAsia" w:ascii="仿宋" w:hAnsi="仿宋" w:eastAsia="仿宋" w:cs="仿宋"/>
                <w:b/>
                <w:bCs/>
                <w:sz w:val="24"/>
              </w:rPr>
              <w:t>三级行业</w:t>
            </w:r>
          </w:p>
        </w:tc>
        <w:tc>
          <w:tcPr>
            <w:tcW w:w="3246" w:type="dxa"/>
            <w:vMerge w:val="continue"/>
            <w:vAlign w:val="center"/>
          </w:tcPr>
          <w:p w14:paraId="1C88016F">
            <w:pPr>
              <w:jc w:val="center"/>
              <w:rPr>
                <w:rFonts w:hint="eastAsia" w:ascii="仿宋" w:hAnsi="仿宋" w:eastAsia="仿宋" w:cs="仿宋"/>
                <w:b/>
                <w:bCs/>
                <w:sz w:val="24"/>
              </w:rPr>
            </w:pPr>
          </w:p>
        </w:tc>
      </w:tr>
      <w:tr w14:paraId="474AD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28E1766A">
            <w:pPr>
              <w:jc w:val="center"/>
              <w:rPr>
                <w:rFonts w:hint="eastAsia" w:ascii="仿宋" w:hAnsi="仿宋" w:eastAsia="仿宋" w:cs="仿宋"/>
                <w:sz w:val="24"/>
              </w:rPr>
            </w:pPr>
            <w:r>
              <w:rPr>
                <w:rFonts w:hint="eastAsia" w:ascii="仿宋" w:hAnsi="仿宋" w:eastAsia="仿宋" w:cs="仿宋"/>
                <w:sz w:val="24"/>
              </w:rPr>
              <w:t>能源——电力和热力生产</w:t>
            </w:r>
          </w:p>
        </w:tc>
        <w:tc>
          <w:tcPr>
            <w:tcW w:w="1285" w:type="dxa"/>
            <w:vAlign w:val="center"/>
          </w:tcPr>
          <w:p w14:paraId="49450C2C">
            <w:pPr>
              <w:jc w:val="center"/>
              <w:rPr>
                <w:rFonts w:hint="eastAsia" w:ascii="仿宋" w:hAnsi="仿宋" w:eastAsia="仿宋" w:cs="仿宋"/>
                <w:sz w:val="24"/>
              </w:rPr>
            </w:pPr>
            <w:r>
              <w:rPr>
                <w:rFonts w:hint="eastAsia" w:ascii="仿宋" w:hAnsi="仿宋" w:eastAsia="仿宋" w:cs="仿宋"/>
                <w:sz w:val="24"/>
              </w:rPr>
              <w:t>太阳能</w:t>
            </w:r>
          </w:p>
        </w:tc>
        <w:tc>
          <w:tcPr>
            <w:tcW w:w="2697" w:type="dxa"/>
            <w:vAlign w:val="center"/>
          </w:tcPr>
          <w:p w14:paraId="0586F976">
            <w:pPr>
              <w:jc w:val="center"/>
              <w:rPr>
                <w:rFonts w:hint="eastAsia" w:ascii="仿宋" w:hAnsi="仿宋" w:eastAsia="仿宋" w:cs="仿宋"/>
                <w:sz w:val="24"/>
              </w:rPr>
            </w:pPr>
            <w:r>
              <w:rPr>
                <w:rFonts w:hint="eastAsia" w:ascii="仿宋" w:hAnsi="仿宋" w:eastAsia="仿宋" w:cs="仿宋"/>
                <w:sz w:val="24"/>
              </w:rPr>
              <w:t>产能设施 （电力和供热）</w:t>
            </w:r>
          </w:p>
          <w:p w14:paraId="2783C00E">
            <w:pPr>
              <w:jc w:val="center"/>
              <w:rPr>
                <w:rFonts w:hint="eastAsia" w:ascii="仿宋" w:hAnsi="仿宋" w:eastAsia="仿宋" w:cs="仿宋"/>
                <w:sz w:val="24"/>
              </w:rPr>
            </w:pPr>
            <w:r>
              <w:rPr>
                <w:rFonts w:hint="eastAsia" w:ascii="仿宋" w:hAnsi="仿宋" w:eastAsia="仿宋" w:cs="仿宋"/>
                <w:sz w:val="24"/>
              </w:rPr>
              <w:t>供应链设施</w:t>
            </w:r>
          </w:p>
          <w:p w14:paraId="791C71F8">
            <w:pPr>
              <w:jc w:val="center"/>
              <w:rPr>
                <w:rFonts w:hint="eastAsia" w:ascii="仿宋" w:hAnsi="仿宋" w:eastAsia="仿宋" w:cs="仿宋"/>
                <w:sz w:val="24"/>
              </w:rPr>
            </w:pPr>
            <w:r>
              <w:rPr>
                <w:rFonts w:hint="eastAsia" w:ascii="仿宋" w:hAnsi="仿宋" w:eastAsia="仿宋" w:cs="仿宋"/>
                <w:sz w:val="24"/>
              </w:rPr>
              <w:t>基础设施</w:t>
            </w:r>
          </w:p>
        </w:tc>
        <w:tc>
          <w:tcPr>
            <w:tcW w:w="3246" w:type="dxa"/>
            <w:vAlign w:val="center"/>
          </w:tcPr>
          <w:p w14:paraId="63FD3E30">
            <w:pPr>
              <w:jc w:val="center"/>
              <w:rPr>
                <w:rFonts w:hint="eastAsia" w:ascii="仿宋" w:hAnsi="仿宋" w:eastAsia="仿宋" w:cs="仿宋"/>
                <w:sz w:val="24"/>
              </w:rPr>
            </w:pPr>
            <w:r>
              <w:rPr>
                <w:rFonts w:hint="eastAsia" w:ascii="仿宋" w:hAnsi="仿宋" w:eastAsia="仿宋" w:cs="仿宋"/>
                <w:sz w:val="24"/>
                <w:szCs w:val="24"/>
              </w:rPr>
              <w:t>LC004 太阳能发电装备制造LC013 太阳能利用设施建设和运营</w:t>
            </w:r>
          </w:p>
        </w:tc>
      </w:tr>
      <w:tr w14:paraId="606D2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33E8A105">
            <w:pPr>
              <w:jc w:val="center"/>
              <w:rPr>
                <w:rFonts w:hint="eastAsia" w:ascii="仿宋" w:hAnsi="仿宋" w:eastAsia="仿宋" w:cs="仿宋"/>
                <w:sz w:val="24"/>
              </w:rPr>
            </w:pPr>
          </w:p>
        </w:tc>
        <w:tc>
          <w:tcPr>
            <w:tcW w:w="1285" w:type="dxa"/>
            <w:vAlign w:val="center"/>
          </w:tcPr>
          <w:p w14:paraId="3DFB2CDD">
            <w:pPr>
              <w:jc w:val="center"/>
              <w:rPr>
                <w:rFonts w:hint="eastAsia" w:ascii="仿宋" w:hAnsi="仿宋" w:eastAsia="仿宋" w:cs="仿宋"/>
                <w:sz w:val="24"/>
              </w:rPr>
            </w:pPr>
            <w:r>
              <w:rPr>
                <w:rFonts w:hint="eastAsia" w:ascii="仿宋" w:hAnsi="仿宋" w:eastAsia="仿宋" w:cs="仿宋"/>
                <w:sz w:val="24"/>
              </w:rPr>
              <w:t>风能</w:t>
            </w:r>
          </w:p>
        </w:tc>
        <w:tc>
          <w:tcPr>
            <w:tcW w:w="2697" w:type="dxa"/>
            <w:vAlign w:val="center"/>
          </w:tcPr>
          <w:p w14:paraId="051A0DA8">
            <w:pPr>
              <w:jc w:val="center"/>
              <w:rPr>
                <w:rFonts w:hint="eastAsia" w:ascii="仿宋" w:hAnsi="仿宋" w:eastAsia="仿宋" w:cs="仿宋"/>
                <w:sz w:val="24"/>
              </w:rPr>
            </w:pPr>
            <w:r>
              <w:rPr>
                <w:rFonts w:hint="eastAsia" w:ascii="仿宋" w:hAnsi="仿宋" w:eastAsia="仿宋" w:cs="仿宋"/>
                <w:sz w:val="24"/>
              </w:rPr>
              <w:t>产能设施（电力和供热）</w:t>
            </w:r>
          </w:p>
          <w:p w14:paraId="4C905A3C">
            <w:pPr>
              <w:jc w:val="center"/>
              <w:rPr>
                <w:rFonts w:hint="eastAsia" w:ascii="仿宋" w:hAnsi="仿宋" w:eastAsia="仿宋" w:cs="仿宋"/>
                <w:sz w:val="24"/>
              </w:rPr>
            </w:pPr>
            <w:r>
              <w:rPr>
                <w:rFonts w:hint="eastAsia" w:ascii="仿宋" w:hAnsi="仿宋" w:eastAsia="仿宋" w:cs="仿宋"/>
                <w:sz w:val="24"/>
              </w:rPr>
              <w:t>供应链设施</w:t>
            </w:r>
          </w:p>
          <w:p w14:paraId="34C9AE26">
            <w:pPr>
              <w:jc w:val="center"/>
              <w:rPr>
                <w:rFonts w:hint="eastAsia" w:ascii="仿宋" w:hAnsi="仿宋" w:eastAsia="仿宋" w:cs="仿宋"/>
                <w:sz w:val="24"/>
              </w:rPr>
            </w:pPr>
            <w:r>
              <w:rPr>
                <w:rFonts w:hint="eastAsia" w:ascii="仿宋" w:hAnsi="仿宋" w:eastAsia="仿宋" w:cs="仿宋"/>
                <w:sz w:val="24"/>
              </w:rPr>
              <w:t>基础设施</w:t>
            </w:r>
          </w:p>
        </w:tc>
        <w:tc>
          <w:tcPr>
            <w:tcW w:w="3246" w:type="dxa"/>
            <w:vAlign w:val="center"/>
          </w:tcPr>
          <w:p w14:paraId="6C42EDFE">
            <w:pPr>
              <w:jc w:val="center"/>
              <w:rPr>
                <w:rFonts w:hint="eastAsia" w:ascii="仿宋" w:hAnsi="仿宋" w:eastAsia="仿宋" w:cs="仿宋"/>
                <w:sz w:val="24"/>
              </w:rPr>
            </w:pPr>
            <w:r>
              <w:rPr>
                <w:rFonts w:hint="eastAsia" w:ascii="仿宋" w:hAnsi="仿宋" w:eastAsia="仿宋" w:cs="仿宋"/>
                <w:sz w:val="24"/>
                <w:szCs w:val="24"/>
              </w:rPr>
              <w:t>LC003 风力发电装备制造LC012 风力发电设施建设和运营</w:t>
            </w:r>
          </w:p>
        </w:tc>
      </w:tr>
      <w:tr w14:paraId="0918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0B2C108C">
            <w:pPr>
              <w:jc w:val="center"/>
              <w:rPr>
                <w:rFonts w:hint="eastAsia" w:ascii="仿宋" w:hAnsi="仿宋" w:eastAsia="仿宋" w:cs="仿宋"/>
                <w:sz w:val="24"/>
              </w:rPr>
            </w:pPr>
          </w:p>
        </w:tc>
        <w:tc>
          <w:tcPr>
            <w:tcW w:w="1285" w:type="dxa"/>
            <w:vAlign w:val="center"/>
          </w:tcPr>
          <w:p w14:paraId="2282D5A1">
            <w:pPr>
              <w:jc w:val="center"/>
              <w:rPr>
                <w:rFonts w:hint="eastAsia" w:ascii="仿宋" w:hAnsi="仿宋" w:eastAsia="仿宋" w:cs="仿宋"/>
                <w:sz w:val="24"/>
              </w:rPr>
            </w:pPr>
            <w:r>
              <w:rPr>
                <w:rFonts w:hint="eastAsia" w:ascii="仿宋" w:hAnsi="仿宋" w:eastAsia="仿宋" w:cs="仿宋"/>
                <w:sz w:val="24"/>
              </w:rPr>
              <w:t>地热能</w:t>
            </w:r>
          </w:p>
        </w:tc>
        <w:tc>
          <w:tcPr>
            <w:tcW w:w="2697" w:type="dxa"/>
            <w:vAlign w:val="center"/>
          </w:tcPr>
          <w:p w14:paraId="06107417">
            <w:pPr>
              <w:jc w:val="center"/>
              <w:rPr>
                <w:rFonts w:hint="eastAsia" w:ascii="仿宋" w:hAnsi="仿宋" w:eastAsia="仿宋" w:cs="仿宋"/>
                <w:sz w:val="24"/>
              </w:rPr>
            </w:pPr>
            <w:r>
              <w:rPr>
                <w:rFonts w:hint="eastAsia" w:ascii="仿宋" w:hAnsi="仿宋" w:eastAsia="仿宋" w:cs="仿宋"/>
                <w:sz w:val="24"/>
              </w:rPr>
              <w:t>产能设施（电力和供热）</w:t>
            </w:r>
          </w:p>
          <w:p w14:paraId="692CF273">
            <w:pPr>
              <w:jc w:val="center"/>
              <w:rPr>
                <w:rFonts w:hint="eastAsia" w:ascii="仿宋" w:hAnsi="仿宋" w:eastAsia="仿宋" w:cs="仿宋"/>
                <w:sz w:val="24"/>
              </w:rPr>
            </w:pPr>
            <w:r>
              <w:rPr>
                <w:rFonts w:hint="eastAsia" w:ascii="仿宋" w:hAnsi="仿宋" w:eastAsia="仿宋" w:cs="仿宋"/>
                <w:sz w:val="24"/>
              </w:rPr>
              <w:t>供应链设施</w:t>
            </w:r>
          </w:p>
          <w:p w14:paraId="1C03D8CB">
            <w:pPr>
              <w:jc w:val="center"/>
              <w:rPr>
                <w:rFonts w:hint="eastAsia" w:ascii="仿宋" w:hAnsi="仿宋" w:eastAsia="仿宋" w:cs="仿宋"/>
                <w:sz w:val="24"/>
              </w:rPr>
            </w:pPr>
            <w:r>
              <w:rPr>
                <w:rFonts w:hint="eastAsia" w:ascii="仿宋" w:hAnsi="仿宋" w:eastAsia="仿宋" w:cs="仿宋"/>
                <w:sz w:val="24"/>
              </w:rPr>
              <w:t>基础设施</w:t>
            </w:r>
          </w:p>
        </w:tc>
        <w:tc>
          <w:tcPr>
            <w:tcW w:w="3246" w:type="dxa"/>
            <w:vAlign w:val="center"/>
          </w:tcPr>
          <w:p w14:paraId="69CBAFD0">
            <w:pPr>
              <w:jc w:val="center"/>
              <w:rPr>
                <w:rFonts w:hint="eastAsia" w:ascii="仿宋" w:hAnsi="仿宋" w:eastAsia="仿宋" w:cs="仿宋"/>
                <w:sz w:val="24"/>
                <w:szCs w:val="24"/>
              </w:rPr>
            </w:pPr>
            <w:r>
              <w:rPr>
                <w:rFonts w:hint="eastAsia" w:ascii="仿宋" w:hAnsi="仿宋" w:eastAsia="仿宋" w:cs="仿宋"/>
                <w:sz w:val="24"/>
                <w:szCs w:val="24"/>
              </w:rPr>
              <w:t>LC010 地热能开发利用装备制造</w:t>
            </w:r>
          </w:p>
          <w:p w14:paraId="3015AFFA">
            <w:pPr>
              <w:jc w:val="center"/>
              <w:rPr>
                <w:rFonts w:hint="eastAsia" w:ascii="仿宋" w:hAnsi="仿宋" w:eastAsia="仿宋" w:cs="仿宋"/>
                <w:sz w:val="24"/>
              </w:rPr>
            </w:pPr>
            <w:r>
              <w:rPr>
                <w:rFonts w:hint="eastAsia" w:ascii="仿宋" w:hAnsi="仿宋" w:eastAsia="仿宋" w:cs="仿宋"/>
                <w:sz w:val="24"/>
                <w:szCs w:val="24"/>
              </w:rPr>
              <w:t>LC020 热泵设施建设和运营</w:t>
            </w:r>
          </w:p>
        </w:tc>
      </w:tr>
      <w:tr w14:paraId="39F4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3" w:hRule="atLeast"/>
          <w:jc w:val="center"/>
        </w:trPr>
        <w:tc>
          <w:tcPr>
            <w:tcW w:w="1464" w:type="dxa"/>
            <w:vMerge w:val="continue"/>
            <w:vAlign w:val="center"/>
          </w:tcPr>
          <w:p w14:paraId="336C1A72">
            <w:pPr>
              <w:jc w:val="center"/>
              <w:rPr>
                <w:rFonts w:hint="eastAsia" w:ascii="仿宋" w:hAnsi="仿宋" w:eastAsia="仿宋" w:cs="仿宋"/>
                <w:sz w:val="24"/>
              </w:rPr>
            </w:pPr>
          </w:p>
        </w:tc>
        <w:tc>
          <w:tcPr>
            <w:tcW w:w="1285" w:type="dxa"/>
            <w:vAlign w:val="center"/>
          </w:tcPr>
          <w:p w14:paraId="091A63FA">
            <w:pPr>
              <w:jc w:val="center"/>
              <w:rPr>
                <w:rFonts w:hint="eastAsia" w:ascii="仿宋" w:hAnsi="仿宋" w:eastAsia="仿宋" w:cs="仿宋"/>
                <w:sz w:val="24"/>
              </w:rPr>
            </w:pPr>
            <w:r>
              <w:rPr>
                <w:rFonts w:hint="eastAsia" w:ascii="仿宋" w:hAnsi="仿宋" w:eastAsia="仿宋" w:cs="仿宋"/>
                <w:sz w:val="24"/>
              </w:rPr>
              <w:t>生物质能</w:t>
            </w:r>
          </w:p>
        </w:tc>
        <w:tc>
          <w:tcPr>
            <w:tcW w:w="2697" w:type="dxa"/>
            <w:vAlign w:val="center"/>
          </w:tcPr>
          <w:p w14:paraId="38240557">
            <w:pPr>
              <w:jc w:val="center"/>
              <w:rPr>
                <w:rFonts w:hint="eastAsia" w:ascii="仿宋" w:hAnsi="仿宋" w:eastAsia="仿宋" w:cs="仿宋"/>
                <w:sz w:val="24"/>
              </w:rPr>
            </w:pPr>
            <w:r>
              <w:rPr>
                <w:rFonts w:hint="eastAsia" w:ascii="仿宋" w:hAnsi="仿宋" w:eastAsia="仿宋" w:cs="仿宋"/>
                <w:sz w:val="24"/>
              </w:rPr>
              <w:t>生产生物燃料、生物质、沼气的设施，包括燃料准备、预处理和生物炼制（超过50%的生物质产品用于能源使用）设施</w:t>
            </w:r>
          </w:p>
          <w:p w14:paraId="24736774">
            <w:pPr>
              <w:jc w:val="center"/>
              <w:rPr>
                <w:rFonts w:hint="eastAsia" w:ascii="仿宋" w:hAnsi="仿宋" w:eastAsia="仿宋" w:cs="仿宋"/>
                <w:sz w:val="24"/>
              </w:rPr>
            </w:pPr>
            <w:r>
              <w:rPr>
                <w:rFonts w:hint="eastAsia" w:ascii="仿宋" w:hAnsi="仿宋" w:eastAsia="仿宋" w:cs="仿宋"/>
                <w:sz w:val="24"/>
              </w:rPr>
              <w:t>产能设施（电力和供热）</w:t>
            </w:r>
          </w:p>
          <w:p w14:paraId="4B032E08">
            <w:pPr>
              <w:jc w:val="center"/>
              <w:rPr>
                <w:rFonts w:hint="eastAsia" w:ascii="仿宋" w:hAnsi="仿宋" w:eastAsia="仿宋" w:cs="仿宋"/>
                <w:sz w:val="24"/>
              </w:rPr>
            </w:pPr>
            <w:r>
              <w:rPr>
                <w:rFonts w:hint="eastAsia" w:ascii="仿宋" w:hAnsi="仿宋" w:eastAsia="仿宋" w:cs="仿宋"/>
                <w:sz w:val="24"/>
              </w:rPr>
              <w:t>供应链设施</w:t>
            </w:r>
          </w:p>
          <w:p w14:paraId="463A9F14">
            <w:pPr>
              <w:jc w:val="center"/>
              <w:rPr>
                <w:rFonts w:hint="eastAsia" w:ascii="仿宋" w:hAnsi="仿宋" w:eastAsia="仿宋" w:cs="仿宋"/>
                <w:sz w:val="24"/>
              </w:rPr>
            </w:pPr>
            <w:r>
              <w:rPr>
                <w:rFonts w:hint="eastAsia" w:ascii="仿宋" w:hAnsi="仿宋" w:eastAsia="仿宋" w:cs="仿宋"/>
                <w:sz w:val="24"/>
              </w:rPr>
              <w:t>基础设施</w:t>
            </w:r>
          </w:p>
        </w:tc>
        <w:tc>
          <w:tcPr>
            <w:tcW w:w="3246" w:type="dxa"/>
            <w:vAlign w:val="center"/>
          </w:tcPr>
          <w:p w14:paraId="0BAC4F7B">
            <w:pPr>
              <w:jc w:val="center"/>
              <w:rPr>
                <w:rFonts w:hint="eastAsia" w:ascii="仿宋" w:hAnsi="仿宋" w:eastAsia="仿宋" w:cs="仿宋"/>
                <w:sz w:val="24"/>
                <w:szCs w:val="24"/>
              </w:rPr>
            </w:pPr>
            <w:r>
              <w:rPr>
                <w:rFonts w:hint="eastAsia" w:ascii="仿宋" w:hAnsi="仿宋" w:eastAsia="仿宋" w:cs="仿宋"/>
                <w:sz w:val="24"/>
                <w:szCs w:val="24"/>
              </w:rPr>
              <w:t>LC005 生物质能利用装备制造</w:t>
            </w:r>
          </w:p>
          <w:p w14:paraId="2BA38F33">
            <w:pPr>
              <w:jc w:val="center"/>
              <w:rPr>
                <w:rFonts w:hint="eastAsia" w:ascii="仿宋" w:hAnsi="仿宋" w:eastAsia="仿宋" w:cs="仿宋"/>
                <w:sz w:val="24"/>
              </w:rPr>
            </w:pPr>
            <w:r>
              <w:rPr>
                <w:rFonts w:hint="eastAsia" w:ascii="仿宋" w:hAnsi="仿宋" w:eastAsia="仿宋" w:cs="仿宋"/>
                <w:sz w:val="24"/>
                <w:szCs w:val="24"/>
              </w:rPr>
              <w:t>LC014 生物质能源利用设施建设和运营</w:t>
            </w:r>
          </w:p>
        </w:tc>
      </w:tr>
      <w:tr w14:paraId="7CB3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54BE29A2">
            <w:pPr>
              <w:jc w:val="center"/>
              <w:rPr>
                <w:rFonts w:hint="eastAsia" w:ascii="仿宋" w:hAnsi="仿宋" w:eastAsia="仿宋" w:cs="仿宋"/>
                <w:sz w:val="24"/>
              </w:rPr>
            </w:pPr>
          </w:p>
        </w:tc>
        <w:tc>
          <w:tcPr>
            <w:tcW w:w="1285" w:type="dxa"/>
            <w:vAlign w:val="center"/>
          </w:tcPr>
          <w:p w14:paraId="09149978">
            <w:pPr>
              <w:jc w:val="center"/>
              <w:rPr>
                <w:rFonts w:hint="eastAsia" w:ascii="仿宋" w:hAnsi="仿宋" w:eastAsia="仿宋" w:cs="仿宋"/>
                <w:sz w:val="24"/>
              </w:rPr>
            </w:pPr>
            <w:r>
              <w:rPr>
                <w:rFonts w:hint="eastAsia" w:ascii="仿宋" w:hAnsi="仿宋" w:eastAsia="仿宋" w:cs="仿宋"/>
                <w:sz w:val="24"/>
              </w:rPr>
              <w:t>水电</w:t>
            </w:r>
          </w:p>
        </w:tc>
        <w:tc>
          <w:tcPr>
            <w:tcW w:w="2697" w:type="dxa"/>
            <w:vAlign w:val="center"/>
          </w:tcPr>
          <w:p w14:paraId="1785674F">
            <w:pPr>
              <w:jc w:val="center"/>
              <w:rPr>
                <w:rFonts w:hint="eastAsia" w:ascii="仿宋" w:hAnsi="仿宋" w:eastAsia="仿宋" w:cs="仿宋"/>
                <w:sz w:val="24"/>
              </w:rPr>
            </w:pPr>
            <w:r>
              <w:rPr>
                <w:rFonts w:hint="eastAsia" w:ascii="仿宋" w:hAnsi="仿宋" w:eastAsia="仿宋" w:cs="仿宋"/>
                <w:sz w:val="24"/>
              </w:rPr>
              <w:t>产能设施</w:t>
            </w:r>
          </w:p>
          <w:p w14:paraId="24B6F341">
            <w:pPr>
              <w:jc w:val="center"/>
              <w:rPr>
                <w:rFonts w:hint="eastAsia" w:ascii="仿宋" w:hAnsi="仿宋" w:eastAsia="仿宋" w:cs="仿宋"/>
                <w:sz w:val="24"/>
              </w:rPr>
            </w:pPr>
            <w:r>
              <w:rPr>
                <w:rFonts w:hint="eastAsia" w:ascii="仿宋" w:hAnsi="仿宋" w:eastAsia="仿宋" w:cs="仿宋"/>
                <w:sz w:val="24"/>
              </w:rPr>
              <w:t>供应链设施</w:t>
            </w:r>
          </w:p>
          <w:p w14:paraId="666EC180">
            <w:pPr>
              <w:jc w:val="center"/>
              <w:rPr>
                <w:rFonts w:hint="eastAsia" w:ascii="仿宋" w:hAnsi="仿宋" w:eastAsia="仿宋" w:cs="仿宋"/>
                <w:sz w:val="24"/>
              </w:rPr>
            </w:pPr>
            <w:r>
              <w:rPr>
                <w:rFonts w:hint="eastAsia" w:ascii="仿宋" w:hAnsi="仿宋" w:eastAsia="仿宋" w:cs="仿宋"/>
                <w:sz w:val="24"/>
              </w:rPr>
              <w:t>基础设施</w:t>
            </w:r>
          </w:p>
        </w:tc>
        <w:tc>
          <w:tcPr>
            <w:tcW w:w="3246" w:type="dxa"/>
            <w:vAlign w:val="center"/>
          </w:tcPr>
          <w:p w14:paraId="072D2727">
            <w:pPr>
              <w:jc w:val="center"/>
              <w:rPr>
                <w:rFonts w:hint="eastAsia" w:ascii="仿宋" w:hAnsi="仿宋" w:eastAsia="仿宋" w:cs="仿宋"/>
                <w:sz w:val="24"/>
                <w:szCs w:val="24"/>
              </w:rPr>
            </w:pPr>
            <w:r>
              <w:rPr>
                <w:rFonts w:hint="eastAsia" w:ascii="仿宋" w:hAnsi="仿宋" w:eastAsia="仿宋" w:cs="仿宋"/>
                <w:sz w:val="24"/>
                <w:szCs w:val="24"/>
              </w:rPr>
              <w:t>LC006 水力发电和抽水蓄能装备制造</w:t>
            </w:r>
          </w:p>
          <w:p w14:paraId="062915E6">
            <w:pPr>
              <w:jc w:val="center"/>
              <w:rPr>
                <w:rFonts w:hint="eastAsia" w:ascii="仿宋" w:hAnsi="仿宋" w:eastAsia="仿宋" w:cs="仿宋"/>
                <w:sz w:val="24"/>
              </w:rPr>
            </w:pPr>
            <w:r>
              <w:rPr>
                <w:rFonts w:hint="eastAsia" w:ascii="仿宋" w:hAnsi="仿宋" w:eastAsia="仿宋" w:cs="仿宋"/>
                <w:sz w:val="24"/>
                <w:szCs w:val="24"/>
              </w:rPr>
              <w:t>LC015 大型水力发电设施建设和运营</w:t>
            </w:r>
          </w:p>
        </w:tc>
      </w:tr>
      <w:tr w14:paraId="0160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624F18C8">
            <w:pPr>
              <w:jc w:val="center"/>
              <w:rPr>
                <w:rFonts w:hint="eastAsia" w:ascii="仿宋" w:hAnsi="仿宋" w:eastAsia="仿宋" w:cs="仿宋"/>
                <w:sz w:val="24"/>
              </w:rPr>
            </w:pPr>
          </w:p>
        </w:tc>
        <w:tc>
          <w:tcPr>
            <w:tcW w:w="1285" w:type="dxa"/>
            <w:vAlign w:val="center"/>
          </w:tcPr>
          <w:p w14:paraId="51C358F0">
            <w:pPr>
              <w:jc w:val="center"/>
              <w:rPr>
                <w:rFonts w:hint="eastAsia" w:ascii="仿宋" w:hAnsi="仿宋" w:eastAsia="仿宋" w:cs="仿宋"/>
                <w:sz w:val="24"/>
              </w:rPr>
            </w:pPr>
            <w:r>
              <w:rPr>
                <w:rFonts w:hint="eastAsia" w:ascii="仿宋" w:hAnsi="仿宋" w:eastAsia="仿宋" w:cs="仿宋"/>
                <w:sz w:val="24"/>
              </w:rPr>
              <w:t>海洋可再生能源</w:t>
            </w:r>
          </w:p>
        </w:tc>
        <w:tc>
          <w:tcPr>
            <w:tcW w:w="2697" w:type="dxa"/>
            <w:vAlign w:val="center"/>
          </w:tcPr>
          <w:p w14:paraId="41EC0217">
            <w:pPr>
              <w:jc w:val="center"/>
              <w:rPr>
                <w:rFonts w:hint="eastAsia" w:ascii="仿宋" w:hAnsi="仿宋" w:eastAsia="仿宋" w:cs="仿宋"/>
                <w:sz w:val="24"/>
              </w:rPr>
            </w:pPr>
            <w:r>
              <w:rPr>
                <w:rFonts w:hint="eastAsia" w:ascii="仿宋" w:hAnsi="仿宋" w:eastAsia="仿宋" w:cs="仿宋"/>
                <w:sz w:val="24"/>
              </w:rPr>
              <w:t>产能设施（电力和供热）</w:t>
            </w:r>
          </w:p>
          <w:p w14:paraId="513D5FD9">
            <w:pPr>
              <w:jc w:val="center"/>
              <w:rPr>
                <w:rFonts w:hint="eastAsia" w:ascii="仿宋" w:hAnsi="仿宋" w:eastAsia="仿宋" w:cs="仿宋"/>
                <w:sz w:val="24"/>
              </w:rPr>
            </w:pPr>
            <w:r>
              <w:rPr>
                <w:rFonts w:hint="eastAsia" w:ascii="仿宋" w:hAnsi="仿宋" w:eastAsia="仿宋" w:cs="仿宋"/>
                <w:sz w:val="24"/>
              </w:rPr>
              <w:t>供应链设施</w:t>
            </w:r>
          </w:p>
          <w:p w14:paraId="10AA2827">
            <w:pPr>
              <w:jc w:val="center"/>
              <w:rPr>
                <w:rFonts w:hint="eastAsia" w:ascii="仿宋" w:hAnsi="仿宋" w:eastAsia="仿宋" w:cs="仿宋"/>
                <w:sz w:val="24"/>
              </w:rPr>
            </w:pPr>
            <w:r>
              <w:rPr>
                <w:rFonts w:hint="eastAsia" w:ascii="仿宋" w:hAnsi="仿宋" w:eastAsia="仿宋" w:cs="仿宋"/>
                <w:sz w:val="24"/>
              </w:rPr>
              <w:t>基础设施</w:t>
            </w:r>
          </w:p>
        </w:tc>
        <w:tc>
          <w:tcPr>
            <w:tcW w:w="3246" w:type="dxa"/>
            <w:vAlign w:val="center"/>
          </w:tcPr>
          <w:p w14:paraId="1A58F18D">
            <w:pPr>
              <w:jc w:val="center"/>
              <w:rPr>
                <w:rFonts w:hint="eastAsia" w:ascii="仿宋" w:hAnsi="仿宋" w:eastAsia="仿宋" w:cs="仿宋"/>
                <w:sz w:val="24"/>
                <w:szCs w:val="24"/>
              </w:rPr>
            </w:pPr>
            <w:r>
              <w:rPr>
                <w:rFonts w:hint="eastAsia" w:ascii="仿宋" w:hAnsi="仿宋" w:eastAsia="仿宋" w:cs="仿宋"/>
                <w:sz w:val="24"/>
                <w:szCs w:val="24"/>
              </w:rPr>
              <w:t>LC011 海洋能开发利用装备制造</w:t>
            </w:r>
          </w:p>
          <w:p w14:paraId="1B185B3A">
            <w:pPr>
              <w:jc w:val="center"/>
              <w:rPr>
                <w:rFonts w:hint="eastAsia" w:ascii="仿宋" w:hAnsi="仿宋" w:eastAsia="仿宋" w:cs="仿宋"/>
                <w:sz w:val="24"/>
              </w:rPr>
            </w:pPr>
            <w:r>
              <w:rPr>
                <w:rFonts w:hint="eastAsia" w:ascii="仿宋" w:hAnsi="仿宋" w:eastAsia="仿宋" w:cs="仿宋"/>
                <w:sz w:val="24"/>
                <w:szCs w:val="24"/>
              </w:rPr>
              <w:t>LC018 海洋能利用设施建设和运营</w:t>
            </w:r>
          </w:p>
        </w:tc>
      </w:tr>
      <w:tr w14:paraId="7F3E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18CF87C1">
            <w:pPr>
              <w:jc w:val="center"/>
              <w:rPr>
                <w:rFonts w:hint="eastAsia" w:ascii="仿宋" w:hAnsi="仿宋" w:eastAsia="仿宋" w:cs="仿宋"/>
                <w:sz w:val="24"/>
              </w:rPr>
            </w:pPr>
          </w:p>
        </w:tc>
        <w:tc>
          <w:tcPr>
            <w:tcW w:w="1285" w:type="dxa"/>
            <w:vAlign w:val="center"/>
          </w:tcPr>
          <w:p w14:paraId="7C07B3DD">
            <w:pPr>
              <w:jc w:val="center"/>
              <w:rPr>
                <w:rFonts w:hint="eastAsia" w:ascii="仿宋" w:hAnsi="仿宋" w:eastAsia="仿宋" w:cs="仿宋"/>
                <w:sz w:val="24"/>
              </w:rPr>
            </w:pPr>
            <w:r>
              <w:rPr>
                <w:rFonts w:hint="eastAsia" w:ascii="仿宋" w:hAnsi="仿宋" w:eastAsia="仿宋" w:cs="仿宋"/>
                <w:sz w:val="24"/>
              </w:rPr>
              <w:t>核能</w:t>
            </w:r>
          </w:p>
        </w:tc>
        <w:tc>
          <w:tcPr>
            <w:tcW w:w="2697" w:type="dxa"/>
            <w:vAlign w:val="center"/>
          </w:tcPr>
          <w:p w14:paraId="110D8BA7">
            <w:pPr>
              <w:jc w:val="center"/>
              <w:rPr>
                <w:rFonts w:hint="eastAsia" w:ascii="仿宋" w:hAnsi="仿宋" w:eastAsia="仿宋" w:cs="仿宋"/>
                <w:sz w:val="24"/>
              </w:rPr>
            </w:pPr>
            <w:r>
              <w:rPr>
                <w:rFonts w:hint="eastAsia" w:ascii="仿宋" w:hAnsi="仿宋" w:eastAsia="仿宋" w:cs="仿宋"/>
                <w:sz w:val="24"/>
              </w:rPr>
              <w:t>产能设施</w:t>
            </w:r>
          </w:p>
        </w:tc>
        <w:tc>
          <w:tcPr>
            <w:tcW w:w="3246" w:type="dxa"/>
            <w:vAlign w:val="center"/>
          </w:tcPr>
          <w:p w14:paraId="4457FB74">
            <w:pPr>
              <w:jc w:val="center"/>
              <w:rPr>
                <w:rFonts w:hint="eastAsia" w:ascii="仿宋" w:hAnsi="仿宋" w:eastAsia="仿宋" w:cs="仿宋"/>
                <w:sz w:val="24"/>
                <w:szCs w:val="24"/>
              </w:rPr>
            </w:pPr>
            <w:r>
              <w:rPr>
                <w:rFonts w:hint="eastAsia" w:ascii="仿宋" w:hAnsi="仿宋" w:eastAsia="仿宋" w:cs="仿宋"/>
                <w:sz w:val="24"/>
                <w:szCs w:val="24"/>
              </w:rPr>
              <w:t>LC007 核电装备制造</w:t>
            </w:r>
          </w:p>
          <w:p w14:paraId="1DC49EDC">
            <w:pPr>
              <w:jc w:val="center"/>
              <w:rPr>
                <w:rFonts w:hint="eastAsia" w:ascii="仿宋" w:hAnsi="仿宋" w:eastAsia="仿宋" w:cs="仿宋"/>
                <w:sz w:val="24"/>
              </w:rPr>
            </w:pPr>
            <w:r>
              <w:rPr>
                <w:rFonts w:hint="eastAsia" w:ascii="仿宋" w:hAnsi="仿宋" w:eastAsia="仿宋" w:cs="仿宋"/>
                <w:sz w:val="24"/>
                <w:szCs w:val="24"/>
              </w:rPr>
              <w:t>LC016 核电站建设和运营</w:t>
            </w:r>
          </w:p>
        </w:tc>
      </w:tr>
      <w:tr w14:paraId="2066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4A808AA4">
            <w:pPr>
              <w:jc w:val="center"/>
              <w:rPr>
                <w:rFonts w:hint="eastAsia" w:ascii="仿宋" w:hAnsi="仿宋" w:eastAsia="仿宋" w:cs="仿宋"/>
                <w:sz w:val="24"/>
              </w:rPr>
            </w:pPr>
            <w:r>
              <w:rPr>
                <w:rFonts w:hint="eastAsia" w:ascii="仿宋" w:hAnsi="仿宋" w:eastAsia="仿宋" w:cs="仿宋"/>
                <w:sz w:val="24"/>
              </w:rPr>
              <w:t>能源——传输、分配和存储</w:t>
            </w:r>
          </w:p>
        </w:tc>
        <w:tc>
          <w:tcPr>
            <w:tcW w:w="1285" w:type="dxa"/>
            <w:vAlign w:val="center"/>
          </w:tcPr>
          <w:p w14:paraId="793C02E9">
            <w:pPr>
              <w:jc w:val="center"/>
              <w:rPr>
                <w:rFonts w:hint="eastAsia" w:ascii="仿宋" w:hAnsi="仿宋" w:eastAsia="仿宋" w:cs="仿宋"/>
                <w:sz w:val="24"/>
              </w:rPr>
            </w:pPr>
            <w:r>
              <w:rPr>
                <w:rFonts w:hint="eastAsia" w:ascii="仿宋" w:hAnsi="仿宋" w:eastAsia="仿宋" w:cs="仿宋"/>
                <w:sz w:val="24"/>
              </w:rPr>
              <w:t>传输和分配</w:t>
            </w:r>
          </w:p>
        </w:tc>
        <w:tc>
          <w:tcPr>
            <w:tcW w:w="2697" w:type="dxa"/>
            <w:vAlign w:val="center"/>
          </w:tcPr>
          <w:p w14:paraId="658DA438">
            <w:pPr>
              <w:jc w:val="center"/>
              <w:rPr>
                <w:rFonts w:hint="eastAsia" w:ascii="仿宋" w:hAnsi="仿宋" w:eastAsia="仿宋" w:cs="仿宋"/>
                <w:sz w:val="24"/>
              </w:rPr>
            </w:pPr>
            <w:r>
              <w:rPr>
                <w:rFonts w:hint="eastAsia" w:ascii="仿宋" w:hAnsi="仿宋" w:eastAsia="仿宋" w:cs="仿宋"/>
                <w:sz w:val="24"/>
              </w:rPr>
              <w:t>基础设施</w:t>
            </w:r>
          </w:p>
          <w:p w14:paraId="31A870B6">
            <w:pPr>
              <w:jc w:val="center"/>
              <w:rPr>
                <w:rFonts w:hint="eastAsia" w:ascii="仿宋" w:hAnsi="仿宋" w:eastAsia="仿宋" w:cs="仿宋"/>
                <w:sz w:val="24"/>
              </w:rPr>
            </w:pPr>
            <w:bookmarkStart w:id="0" w:name="_Toc118463087"/>
            <w:bookmarkStart w:id="1" w:name="_Toc1108"/>
            <w:bookmarkStart w:id="2" w:name="_Toc1460302262"/>
            <w:bookmarkStart w:id="3" w:name="_Toc1794044640"/>
            <w:bookmarkStart w:id="4" w:name="_Toc9511"/>
            <w:r>
              <w:rPr>
                <w:rFonts w:hint="eastAsia" w:ascii="仿宋" w:hAnsi="仿宋" w:eastAsia="仿宋" w:cs="仿宋"/>
                <w:sz w:val="24"/>
              </w:rPr>
              <w:t>配电资产</w:t>
            </w:r>
            <w:bookmarkEnd w:id="0"/>
            <w:bookmarkEnd w:id="1"/>
            <w:bookmarkEnd w:id="2"/>
            <w:bookmarkEnd w:id="3"/>
            <w:bookmarkEnd w:id="4"/>
          </w:p>
          <w:p w14:paraId="7E4485C7">
            <w:pPr>
              <w:jc w:val="center"/>
              <w:rPr>
                <w:rFonts w:hint="eastAsia" w:ascii="仿宋" w:hAnsi="仿宋" w:eastAsia="仿宋" w:cs="仿宋"/>
                <w:sz w:val="24"/>
              </w:rPr>
            </w:pPr>
            <w:r>
              <w:rPr>
                <w:rFonts w:hint="eastAsia" w:ascii="仿宋" w:hAnsi="仿宋" w:eastAsia="仿宋" w:cs="仿宋"/>
                <w:sz w:val="24"/>
              </w:rPr>
              <w:t>信息通信技术/智能电网应用程序</w:t>
            </w:r>
          </w:p>
        </w:tc>
        <w:tc>
          <w:tcPr>
            <w:tcW w:w="3246" w:type="dxa"/>
            <w:vAlign w:val="center"/>
          </w:tcPr>
          <w:p w14:paraId="487D77A5">
            <w:pPr>
              <w:jc w:val="center"/>
              <w:rPr>
                <w:rFonts w:hint="eastAsia" w:ascii="仿宋" w:hAnsi="仿宋" w:eastAsia="仿宋" w:cs="仿宋"/>
                <w:sz w:val="24"/>
                <w:szCs w:val="24"/>
              </w:rPr>
            </w:pPr>
            <w:r>
              <w:rPr>
                <w:rFonts w:hint="eastAsia" w:ascii="仿宋" w:hAnsi="仿宋" w:eastAsia="仿宋" w:cs="仿宋"/>
                <w:sz w:val="24"/>
                <w:szCs w:val="24"/>
              </w:rPr>
              <w:t>LC001 智能电网产品和装备制造</w:t>
            </w:r>
          </w:p>
          <w:p w14:paraId="587E507C">
            <w:pPr>
              <w:jc w:val="center"/>
              <w:rPr>
                <w:rFonts w:hint="eastAsia" w:ascii="仿宋" w:hAnsi="仿宋" w:eastAsia="仿宋" w:cs="仿宋"/>
                <w:sz w:val="24"/>
              </w:rPr>
            </w:pPr>
            <w:r>
              <w:rPr>
                <w:rFonts w:hint="eastAsia" w:ascii="仿宋" w:hAnsi="仿宋" w:eastAsia="仿宋" w:cs="仿宋"/>
                <w:sz w:val="24"/>
                <w:szCs w:val="24"/>
              </w:rPr>
              <w:t>LC002 智能电网建设和运营</w:t>
            </w:r>
          </w:p>
        </w:tc>
      </w:tr>
      <w:tr w14:paraId="36C2D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3031AE2F">
            <w:pPr>
              <w:jc w:val="center"/>
              <w:rPr>
                <w:rFonts w:hint="eastAsia" w:ascii="仿宋" w:hAnsi="仿宋" w:eastAsia="仿宋" w:cs="仿宋"/>
                <w:sz w:val="24"/>
              </w:rPr>
            </w:pPr>
          </w:p>
        </w:tc>
        <w:tc>
          <w:tcPr>
            <w:tcW w:w="1285" w:type="dxa"/>
            <w:vAlign w:val="center"/>
          </w:tcPr>
          <w:p w14:paraId="3301D33A">
            <w:pPr>
              <w:jc w:val="center"/>
              <w:rPr>
                <w:rFonts w:hint="eastAsia" w:ascii="仿宋" w:hAnsi="仿宋" w:eastAsia="仿宋" w:cs="仿宋"/>
                <w:sz w:val="24"/>
              </w:rPr>
            </w:pPr>
            <w:r>
              <w:rPr>
                <w:rFonts w:hint="eastAsia" w:ascii="仿宋" w:hAnsi="仿宋" w:eastAsia="仿宋" w:cs="仿宋"/>
                <w:sz w:val="24"/>
              </w:rPr>
              <w:t>存储</w:t>
            </w:r>
          </w:p>
        </w:tc>
        <w:tc>
          <w:tcPr>
            <w:tcW w:w="2697" w:type="dxa"/>
            <w:vAlign w:val="center"/>
          </w:tcPr>
          <w:p w14:paraId="507BD1F9">
            <w:pPr>
              <w:jc w:val="center"/>
              <w:rPr>
                <w:rFonts w:hint="eastAsia" w:ascii="仿宋" w:hAnsi="仿宋" w:eastAsia="仿宋" w:cs="仿宋"/>
                <w:sz w:val="24"/>
              </w:rPr>
            </w:pPr>
            <w:r>
              <w:rPr>
                <w:rFonts w:hint="eastAsia" w:ascii="仿宋" w:hAnsi="仿宋" w:eastAsia="仿宋" w:cs="仿宋"/>
                <w:sz w:val="24"/>
              </w:rPr>
              <w:t>存储资产</w:t>
            </w:r>
          </w:p>
          <w:p w14:paraId="3169E2F8">
            <w:pPr>
              <w:jc w:val="center"/>
              <w:rPr>
                <w:rFonts w:hint="eastAsia" w:ascii="仿宋" w:hAnsi="仿宋" w:eastAsia="仿宋" w:cs="仿宋"/>
                <w:sz w:val="24"/>
              </w:rPr>
            </w:pPr>
            <w:bookmarkStart w:id="5" w:name="_Toc1158548967"/>
            <w:bookmarkStart w:id="6" w:name="_Toc632882790"/>
            <w:bookmarkStart w:id="7" w:name="_Toc26945"/>
            <w:bookmarkStart w:id="8" w:name="_Toc273535615"/>
            <w:bookmarkStart w:id="9" w:name="_Toc23004"/>
            <w:r>
              <w:rPr>
                <w:rFonts w:hint="eastAsia" w:ascii="仿宋" w:hAnsi="仿宋" w:eastAsia="仿宋" w:cs="仿宋"/>
                <w:sz w:val="24"/>
              </w:rPr>
              <w:t>设施</w:t>
            </w:r>
            <w:bookmarkEnd w:id="5"/>
            <w:bookmarkEnd w:id="6"/>
            <w:bookmarkEnd w:id="7"/>
            <w:bookmarkEnd w:id="8"/>
            <w:bookmarkEnd w:id="9"/>
          </w:p>
        </w:tc>
        <w:tc>
          <w:tcPr>
            <w:tcW w:w="3246" w:type="dxa"/>
            <w:vAlign w:val="center"/>
          </w:tcPr>
          <w:p w14:paraId="3976CC9E">
            <w:pPr>
              <w:jc w:val="center"/>
              <w:rPr>
                <w:rFonts w:hint="eastAsia" w:ascii="仿宋" w:hAnsi="仿宋" w:eastAsia="仿宋" w:cs="仿宋"/>
                <w:sz w:val="24"/>
              </w:rPr>
            </w:pPr>
            <w:r>
              <w:rPr>
                <w:rFonts w:hint="eastAsia" w:ascii="仿宋" w:hAnsi="仿宋" w:eastAsia="仿宋" w:cs="仿宋"/>
                <w:sz w:val="24"/>
                <w:szCs w:val="24"/>
              </w:rPr>
              <w:t>LC022 高效储能设施建设和运营</w:t>
            </w:r>
          </w:p>
        </w:tc>
      </w:tr>
      <w:tr w14:paraId="6D59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16CF7182">
            <w:pPr>
              <w:jc w:val="center"/>
              <w:rPr>
                <w:rFonts w:hint="eastAsia" w:ascii="仿宋" w:hAnsi="仿宋" w:eastAsia="仿宋" w:cs="仿宋"/>
                <w:sz w:val="24"/>
              </w:rPr>
            </w:pPr>
            <w:r>
              <w:rPr>
                <w:rFonts w:hint="eastAsia" w:ascii="仿宋" w:hAnsi="仿宋" w:eastAsia="仿宋" w:cs="仿宋"/>
                <w:sz w:val="24"/>
              </w:rPr>
              <w:t>交通——客运、货运及配套基础设施</w:t>
            </w:r>
          </w:p>
        </w:tc>
        <w:tc>
          <w:tcPr>
            <w:tcW w:w="1285" w:type="dxa"/>
            <w:vAlign w:val="center"/>
          </w:tcPr>
          <w:p w14:paraId="7EAE8A35">
            <w:pPr>
              <w:jc w:val="center"/>
              <w:rPr>
                <w:rFonts w:hint="eastAsia" w:ascii="仿宋" w:hAnsi="仿宋" w:eastAsia="仿宋" w:cs="仿宋"/>
                <w:sz w:val="24"/>
              </w:rPr>
            </w:pPr>
            <w:r>
              <w:rPr>
                <w:rFonts w:hint="eastAsia" w:ascii="仿宋" w:hAnsi="仿宋" w:eastAsia="仿宋" w:cs="仿宋"/>
                <w:sz w:val="24"/>
              </w:rPr>
              <w:t>私人车辆</w:t>
            </w:r>
          </w:p>
        </w:tc>
        <w:tc>
          <w:tcPr>
            <w:tcW w:w="2697" w:type="dxa"/>
            <w:vAlign w:val="center"/>
          </w:tcPr>
          <w:p w14:paraId="4F5DD146">
            <w:pPr>
              <w:jc w:val="center"/>
              <w:rPr>
                <w:rFonts w:hint="eastAsia" w:ascii="仿宋" w:hAnsi="仿宋" w:eastAsia="仿宋" w:cs="仿宋"/>
                <w:sz w:val="24"/>
              </w:rPr>
            </w:pPr>
            <w:r>
              <w:rPr>
                <w:rFonts w:hint="eastAsia" w:ascii="仿宋" w:hAnsi="仿宋" w:eastAsia="仿宋" w:cs="仿宋"/>
                <w:sz w:val="24"/>
              </w:rPr>
              <w:t>车辆</w:t>
            </w:r>
          </w:p>
          <w:p w14:paraId="40D31295">
            <w:pPr>
              <w:jc w:val="center"/>
              <w:rPr>
                <w:rFonts w:hint="eastAsia" w:ascii="仿宋" w:hAnsi="仿宋" w:eastAsia="仿宋" w:cs="仿宋"/>
                <w:sz w:val="24"/>
              </w:rPr>
            </w:pPr>
            <w:bookmarkStart w:id="10" w:name="_Toc32668423"/>
            <w:bookmarkStart w:id="11" w:name="_Toc188098508"/>
            <w:bookmarkStart w:id="12" w:name="_Toc30673"/>
            <w:bookmarkStart w:id="13" w:name="_Toc1836617562"/>
            <w:bookmarkStart w:id="14" w:name="_Toc7985"/>
            <w:r>
              <w:rPr>
                <w:rFonts w:hint="eastAsia" w:ascii="仿宋" w:hAnsi="仿宋" w:eastAsia="仿宋" w:cs="仿宋"/>
                <w:sz w:val="24"/>
              </w:rPr>
              <w:t>供应链设施</w:t>
            </w:r>
            <w:bookmarkEnd w:id="10"/>
            <w:bookmarkEnd w:id="11"/>
            <w:bookmarkEnd w:id="12"/>
            <w:bookmarkEnd w:id="13"/>
            <w:bookmarkEnd w:id="14"/>
          </w:p>
          <w:p w14:paraId="09CCC4C3">
            <w:pPr>
              <w:jc w:val="center"/>
              <w:rPr>
                <w:rFonts w:hint="eastAsia" w:ascii="仿宋" w:hAnsi="仿宋" w:eastAsia="仿宋" w:cs="仿宋"/>
                <w:sz w:val="24"/>
              </w:rPr>
            </w:pPr>
            <w:r>
              <w:rPr>
                <w:rFonts w:hint="eastAsia" w:ascii="仿宋" w:hAnsi="仿宋" w:eastAsia="仿宋" w:cs="仿宋"/>
                <w:sz w:val="24"/>
              </w:rPr>
              <w:t>基础设施</w:t>
            </w:r>
          </w:p>
        </w:tc>
        <w:tc>
          <w:tcPr>
            <w:tcW w:w="3246" w:type="dxa"/>
            <w:vAlign w:val="center"/>
          </w:tcPr>
          <w:p w14:paraId="432ECA40">
            <w:pPr>
              <w:jc w:val="center"/>
              <w:rPr>
                <w:rFonts w:hint="eastAsia" w:ascii="仿宋" w:hAnsi="仿宋" w:eastAsia="仿宋" w:cs="仿宋"/>
                <w:sz w:val="24"/>
                <w:szCs w:val="24"/>
              </w:rPr>
            </w:pPr>
            <w:r>
              <w:rPr>
                <w:rFonts w:hint="eastAsia" w:ascii="仿宋" w:hAnsi="仿宋" w:eastAsia="仿宋" w:cs="仿宋"/>
                <w:sz w:val="24"/>
                <w:szCs w:val="24"/>
              </w:rPr>
              <w:t>LA060 新能源汽车关键零部件制造和产业化</w:t>
            </w:r>
          </w:p>
          <w:p w14:paraId="45691B8F">
            <w:pPr>
              <w:jc w:val="center"/>
              <w:rPr>
                <w:rFonts w:hint="eastAsia" w:ascii="仿宋" w:hAnsi="仿宋" w:eastAsia="仿宋" w:cs="仿宋"/>
                <w:sz w:val="24"/>
                <w:szCs w:val="24"/>
              </w:rPr>
            </w:pPr>
            <w:r>
              <w:rPr>
                <w:rFonts w:hint="eastAsia" w:ascii="仿宋" w:hAnsi="仿宋" w:eastAsia="仿宋" w:cs="仿宋"/>
                <w:sz w:val="24"/>
                <w:szCs w:val="24"/>
              </w:rPr>
              <w:t>LA061 充电、换电及加氢设施制造</w:t>
            </w:r>
          </w:p>
          <w:p w14:paraId="1A34FD30">
            <w:pPr>
              <w:jc w:val="center"/>
              <w:rPr>
                <w:rFonts w:hint="eastAsia" w:ascii="仿宋" w:hAnsi="仿宋" w:eastAsia="仿宋" w:cs="仿宋"/>
                <w:sz w:val="24"/>
              </w:rPr>
            </w:pPr>
            <w:r>
              <w:rPr>
                <w:rFonts w:hint="eastAsia" w:ascii="仿宋" w:hAnsi="仿宋" w:eastAsia="仿宋" w:cs="仿宋"/>
                <w:sz w:val="24"/>
                <w:szCs w:val="24"/>
              </w:rPr>
              <w:t>LE030 充电、换电、加氢和加气设施建设和运营</w:t>
            </w:r>
          </w:p>
        </w:tc>
      </w:tr>
      <w:tr w14:paraId="69A34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5A7EB720">
            <w:pPr>
              <w:jc w:val="center"/>
              <w:rPr>
                <w:rFonts w:hint="eastAsia" w:ascii="仿宋" w:hAnsi="仿宋" w:eastAsia="仿宋" w:cs="仿宋"/>
                <w:sz w:val="24"/>
              </w:rPr>
            </w:pPr>
          </w:p>
        </w:tc>
        <w:tc>
          <w:tcPr>
            <w:tcW w:w="1285" w:type="dxa"/>
            <w:vAlign w:val="center"/>
          </w:tcPr>
          <w:p w14:paraId="38616B88">
            <w:pPr>
              <w:jc w:val="center"/>
              <w:rPr>
                <w:rFonts w:hint="eastAsia" w:ascii="仿宋" w:hAnsi="仿宋" w:eastAsia="仿宋" w:cs="仿宋"/>
                <w:sz w:val="24"/>
              </w:rPr>
            </w:pPr>
            <w:r>
              <w:rPr>
                <w:rFonts w:hint="eastAsia" w:ascii="仿宋" w:hAnsi="仿宋" w:eastAsia="仿宋" w:cs="仿宋"/>
                <w:sz w:val="24"/>
              </w:rPr>
              <w:t>公共客运交通</w:t>
            </w:r>
          </w:p>
        </w:tc>
        <w:tc>
          <w:tcPr>
            <w:tcW w:w="2697" w:type="dxa"/>
            <w:vAlign w:val="center"/>
          </w:tcPr>
          <w:p w14:paraId="331CE44E">
            <w:pPr>
              <w:jc w:val="center"/>
              <w:rPr>
                <w:rFonts w:hint="eastAsia" w:ascii="仿宋" w:hAnsi="仿宋" w:eastAsia="仿宋" w:cs="仿宋"/>
                <w:sz w:val="24"/>
              </w:rPr>
            </w:pPr>
            <w:r>
              <w:rPr>
                <w:rFonts w:hint="eastAsia" w:ascii="仿宋" w:hAnsi="仿宋" w:eastAsia="仿宋" w:cs="仿宋"/>
                <w:sz w:val="24"/>
              </w:rPr>
              <w:t>火车</w:t>
            </w:r>
          </w:p>
          <w:p w14:paraId="58DA64AC">
            <w:pPr>
              <w:jc w:val="center"/>
              <w:rPr>
                <w:rFonts w:hint="eastAsia" w:ascii="仿宋" w:hAnsi="仿宋" w:eastAsia="仿宋" w:cs="仿宋"/>
                <w:sz w:val="24"/>
              </w:rPr>
            </w:pPr>
            <w:bookmarkStart w:id="15" w:name="_Toc1577825313"/>
            <w:bookmarkStart w:id="16" w:name="_Toc2726"/>
            <w:bookmarkStart w:id="17" w:name="_Toc908740740"/>
            <w:bookmarkStart w:id="18" w:name="_Toc633863556"/>
            <w:bookmarkStart w:id="19" w:name="_Toc16106"/>
            <w:r>
              <w:rPr>
                <w:rFonts w:hint="eastAsia" w:ascii="仿宋" w:hAnsi="仿宋" w:eastAsia="仿宋" w:cs="仿宋"/>
                <w:sz w:val="24"/>
              </w:rPr>
              <w:t>公共汽车</w:t>
            </w:r>
            <w:bookmarkEnd w:id="15"/>
            <w:bookmarkEnd w:id="16"/>
            <w:bookmarkEnd w:id="17"/>
            <w:bookmarkEnd w:id="18"/>
            <w:bookmarkEnd w:id="19"/>
          </w:p>
          <w:p w14:paraId="01B63662">
            <w:pPr>
              <w:jc w:val="center"/>
              <w:rPr>
                <w:rFonts w:hint="eastAsia" w:ascii="仿宋" w:hAnsi="仿宋" w:eastAsia="仿宋" w:cs="仿宋"/>
                <w:sz w:val="24"/>
              </w:rPr>
            </w:pPr>
            <w:r>
              <w:rPr>
                <w:rFonts w:hint="eastAsia" w:ascii="仿宋" w:hAnsi="仿宋" w:eastAsia="仿宋" w:cs="仿宋"/>
                <w:sz w:val="24"/>
              </w:rPr>
              <w:t>供应链设施</w:t>
            </w:r>
          </w:p>
          <w:p w14:paraId="736C8954">
            <w:pPr>
              <w:jc w:val="center"/>
              <w:rPr>
                <w:rFonts w:hint="eastAsia" w:ascii="仿宋" w:hAnsi="仿宋" w:eastAsia="仿宋" w:cs="仿宋"/>
                <w:sz w:val="24"/>
              </w:rPr>
            </w:pPr>
            <w:bookmarkStart w:id="20" w:name="_Toc436978552"/>
            <w:bookmarkStart w:id="21" w:name="_Toc26936"/>
            <w:bookmarkStart w:id="22" w:name="_Toc3095"/>
            <w:bookmarkStart w:id="23" w:name="_Toc1682806673"/>
            <w:bookmarkStart w:id="24" w:name="_Toc1324504560"/>
            <w:r>
              <w:rPr>
                <w:rFonts w:hint="eastAsia" w:ascii="仿宋" w:hAnsi="仿宋" w:eastAsia="仿宋" w:cs="仿宋"/>
                <w:sz w:val="24"/>
              </w:rPr>
              <w:t>基础设施</w:t>
            </w:r>
            <w:bookmarkEnd w:id="20"/>
            <w:bookmarkEnd w:id="21"/>
            <w:bookmarkEnd w:id="22"/>
            <w:bookmarkEnd w:id="23"/>
            <w:bookmarkEnd w:id="24"/>
          </w:p>
        </w:tc>
        <w:tc>
          <w:tcPr>
            <w:tcW w:w="3246" w:type="dxa"/>
            <w:vAlign w:val="center"/>
          </w:tcPr>
          <w:p w14:paraId="4DA8D209">
            <w:pPr>
              <w:jc w:val="center"/>
              <w:rPr>
                <w:rFonts w:hint="eastAsia" w:ascii="仿宋" w:hAnsi="仿宋" w:eastAsia="仿宋" w:cs="仿宋"/>
                <w:sz w:val="24"/>
                <w:szCs w:val="24"/>
              </w:rPr>
            </w:pPr>
            <w:r>
              <w:rPr>
                <w:rFonts w:hint="eastAsia" w:ascii="仿宋" w:hAnsi="仿宋" w:eastAsia="仿宋" w:cs="仿宋"/>
                <w:sz w:val="24"/>
                <w:szCs w:val="24"/>
              </w:rPr>
              <w:t>LE025 城乡公共交通系统建设和运营</w:t>
            </w:r>
          </w:p>
          <w:p w14:paraId="69AC36E6">
            <w:pPr>
              <w:jc w:val="center"/>
              <w:rPr>
                <w:rFonts w:hint="eastAsia" w:ascii="仿宋" w:hAnsi="仿宋" w:eastAsia="仿宋" w:cs="仿宋"/>
                <w:sz w:val="24"/>
                <w:szCs w:val="24"/>
              </w:rPr>
            </w:pPr>
            <w:r>
              <w:rPr>
                <w:rFonts w:hint="eastAsia" w:ascii="仿宋" w:hAnsi="仿宋" w:eastAsia="仿宋" w:cs="仿宋"/>
                <w:sz w:val="24"/>
                <w:szCs w:val="24"/>
              </w:rPr>
              <w:t>LE024 城市慢行系统建设和运营</w:t>
            </w:r>
          </w:p>
          <w:p w14:paraId="1A06FE79">
            <w:pPr>
              <w:jc w:val="center"/>
              <w:rPr>
                <w:rFonts w:hint="eastAsia" w:ascii="仿宋" w:hAnsi="仿宋" w:eastAsia="仿宋" w:cs="仿宋"/>
                <w:sz w:val="24"/>
              </w:rPr>
            </w:pPr>
            <w:r>
              <w:rPr>
                <w:rFonts w:hint="eastAsia" w:ascii="仿宋" w:hAnsi="仿宋" w:eastAsia="仿宋" w:cs="仿宋"/>
                <w:sz w:val="24"/>
                <w:szCs w:val="24"/>
              </w:rPr>
              <w:t>LG001 其他行业：客运铁路</w:t>
            </w:r>
          </w:p>
        </w:tc>
      </w:tr>
      <w:tr w14:paraId="17A8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2857F266">
            <w:pPr>
              <w:jc w:val="center"/>
              <w:rPr>
                <w:rFonts w:hint="eastAsia" w:ascii="仿宋" w:hAnsi="仿宋" w:eastAsia="仿宋" w:cs="仿宋"/>
                <w:sz w:val="24"/>
              </w:rPr>
            </w:pPr>
          </w:p>
        </w:tc>
        <w:tc>
          <w:tcPr>
            <w:tcW w:w="1285" w:type="dxa"/>
            <w:vAlign w:val="center"/>
          </w:tcPr>
          <w:p w14:paraId="35F472DE">
            <w:pPr>
              <w:jc w:val="center"/>
              <w:rPr>
                <w:rFonts w:hint="eastAsia" w:ascii="仿宋" w:hAnsi="仿宋" w:eastAsia="仿宋" w:cs="仿宋"/>
                <w:sz w:val="24"/>
              </w:rPr>
            </w:pPr>
            <w:r>
              <w:rPr>
                <w:rFonts w:hint="eastAsia" w:ascii="仿宋" w:hAnsi="仿宋" w:eastAsia="仿宋" w:cs="仿宋"/>
                <w:sz w:val="24"/>
              </w:rPr>
              <w:t>货运铁路</w:t>
            </w:r>
          </w:p>
        </w:tc>
        <w:tc>
          <w:tcPr>
            <w:tcW w:w="2697" w:type="dxa"/>
            <w:vAlign w:val="center"/>
          </w:tcPr>
          <w:p w14:paraId="793709A4">
            <w:pPr>
              <w:jc w:val="center"/>
              <w:rPr>
                <w:rFonts w:hint="eastAsia" w:ascii="仿宋" w:hAnsi="仿宋" w:eastAsia="仿宋" w:cs="仿宋"/>
                <w:sz w:val="24"/>
              </w:rPr>
            </w:pPr>
            <w:r>
              <w:rPr>
                <w:rFonts w:hint="eastAsia" w:ascii="仿宋" w:hAnsi="仿宋" w:eastAsia="仿宋" w:cs="仿宋"/>
                <w:sz w:val="24"/>
              </w:rPr>
              <w:t>火车</w:t>
            </w:r>
          </w:p>
          <w:p w14:paraId="2F55BED8">
            <w:pPr>
              <w:jc w:val="center"/>
              <w:rPr>
                <w:rFonts w:hint="eastAsia" w:ascii="仿宋" w:hAnsi="仿宋" w:eastAsia="仿宋" w:cs="仿宋"/>
                <w:sz w:val="24"/>
              </w:rPr>
            </w:pPr>
            <w:bookmarkStart w:id="25" w:name="_Toc1030236048"/>
            <w:bookmarkStart w:id="26" w:name="_Toc3250"/>
            <w:bookmarkStart w:id="27" w:name="_Toc951614706"/>
            <w:bookmarkStart w:id="28" w:name="_Toc692866745"/>
            <w:bookmarkStart w:id="29" w:name="_Toc12483"/>
            <w:r>
              <w:rPr>
                <w:rFonts w:hint="eastAsia" w:ascii="仿宋" w:hAnsi="仿宋" w:eastAsia="仿宋" w:cs="仿宋"/>
                <w:sz w:val="24"/>
              </w:rPr>
              <w:t>基础设施</w:t>
            </w:r>
            <w:bookmarkEnd w:id="25"/>
            <w:bookmarkEnd w:id="26"/>
            <w:bookmarkEnd w:id="27"/>
            <w:bookmarkEnd w:id="28"/>
            <w:bookmarkEnd w:id="29"/>
          </w:p>
        </w:tc>
        <w:tc>
          <w:tcPr>
            <w:tcW w:w="3246" w:type="dxa"/>
            <w:vAlign w:val="center"/>
          </w:tcPr>
          <w:p w14:paraId="63CB494A">
            <w:pPr>
              <w:jc w:val="center"/>
              <w:rPr>
                <w:rFonts w:hint="eastAsia" w:ascii="仿宋" w:hAnsi="仿宋" w:eastAsia="仿宋" w:cs="仿宋"/>
                <w:sz w:val="24"/>
              </w:rPr>
            </w:pPr>
            <w:r>
              <w:rPr>
                <w:rFonts w:hint="eastAsia" w:ascii="仿宋" w:hAnsi="仿宋" w:eastAsia="仿宋" w:cs="仿宋"/>
                <w:sz w:val="24"/>
                <w:szCs w:val="24"/>
              </w:rPr>
              <w:t>LE028 货物运输铁路建设运营和铁路节能环保改造</w:t>
            </w:r>
          </w:p>
        </w:tc>
      </w:tr>
      <w:tr w14:paraId="1042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34BA8704">
            <w:pPr>
              <w:jc w:val="center"/>
              <w:rPr>
                <w:rFonts w:hint="eastAsia" w:ascii="仿宋" w:hAnsi="仿宋" w:eastAsia="仿宋" w:cs="仿宋"/>
                <w:sz w:val="24"/>
              </w:rPr>
            </w:pPr>
          </w:p>
        </w:tc>
        <w:tc>
          <w:tcPr>
            <w:tcW w:w="1285" w:type="dxa"/>
            <w:vAlign w:val="center"/>
          </w:tcPr>
          <w:p w14:paraId="716701E4">
            <w:pPr>
              <w:jc w:val="center"/>
              <w:rPr>
                <w:rFonts w:hint="eastAsia" w:ascii="仿宋" w:hAnsi="仿宋" w:eastAsia="仿宋" w:cs="仿宋"/>
                <w:sz w:val="24"/>
              </w:rPr>
            </w:pPr>
            <w:r>
              <w:rPr>
                <w:rFonts w:hint="eastAsia" w:ascii="仿宋" w:hAnsi="仿宋" w:eastAsia="仿宋" w:cs="仿宋"/>
                <w:sz w:val="24"/>
              </w:rPr>
              <w:t>跨领域资产</w:t>
            </w:r>
          </w:p>
        </w:tc>
        <w:tc>
          <w:tcPr>
            <w:tcW w:w="2697" w:type="dxa"/>
            <w:vAlign w:val="center"/>
          </w:tcPr>
          <w:p w14:paraId="3CAD6CE1">
            <w:pPr>
              <w:jc w:val="center"/>
              <w:rPr>
                <w:rFonts w:hint="eastAsia" w:ascii="仿宋" w:hAnsi="仿宋" w:eastAsia="仿宋" w:cs="仿宋"/>
                <w:sz w:val="24"/>
              </w:rPr>
            </w:pPr>
            <w:r>
              <w:rPr>
                <w:rFonts w:hint="eastAsia" w:ascii="仿宋" w:hAnsi="仿宋" w:eastAsia="仿宋" w:cs="仿宋"/>
                <w:sz w:val="24"/>
              </w:rPr>
              <w:t>-</w:t>
            </w:r>
          </w:p>
        </w:tc>
        <w:tc>
          <w:tcPr>
            <w:tcW w:w="3246" w:type="dxa"/>
            <w:vAlign w:val="center"/>
          </w:tcPr>
          <w:p w14:paraId="04B9D885">
            <w:pPr>
              <w:jc w:val="center"/>
              <w:rPr>
                <w:rFonts w:hint="eastAsia" w:ascii="仿宋" w:hAnsi="仿宋" w:eastAsia="仿宋" w:cs="仿宋"/>
                <w:sz w:val="24"/>
                <w:szCs w:val="24"/>
              </w:rPr>
            </w:pPr>
            <w:r>
              <w:rPr>
                <w:rFonts w:hint="eastAsia" w:ascii="仿宋" w:hAnsi="仿宋" w:eastAsia="仿宋" w:cs="仿宋"/>
                <w:sz w:val="24"/>
                <w:szCs w:val="24"/>
              </w:rPr>
              <w:t>LE023 智能交通体系建设和运营</w:t>
            </w:r>
          </w:p>
          <w:p w14:paraId="371F2EAA">
            <w:pPr>
              <w:jc w:val="center"/>
              <w:rPr>
                <w:rFonts w:hint="eastAsia" w:ascii="仿宋" w:hAnsi="仿宋" w:eastAsia="仿宋" w:cs="仿宋"/>
                <w:sz w:val="24"/>
              </w:rPr>
            </w:pPr>
            <w:r>
              <w:rPr>
                <w:rFonts w:hint="eastAsia" w:ascii="仿宋" w:hAnsi="仿宋" w:eastAsia="仿宋" w:cs="仿宋"/>
                <w:sz w:val="24"/>
                <w:szCs w:val="24"/>
              </w:rPr>
              <w:t>LE022 集装箱多式联运系统建设和运营</w:t>
            </w:r>
          </w:p>
        </w:tc>
      </w:tr>
      <w:tr w14:paraId="4ADD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023D2815">
            <w:pPr>
              <w:jc w:val="center"/>
              <w:rPr>
                <w:rFonts w:hint="eastAsia" w:ascii="仿宋" w:hAnsi="仿宋" w:eastAsia="仿宋" w:cs="仿宋"/>
                <w:sz w:val="24"/>
              </w:rPr>
            </w:pPr>
          </w:p>
        </w:tc>
        <w:tc>
          <w:tcPr>
            <w:tcW w:w="1285" w:type="dxa"/>
            <w:vAlign w:val="center"/>
          </w:tcPr>
          <w:p w14:paraId="08D5D1E9">
            <w:pPr>
              <w:jc w:val="center"/>
              <w:rPr>
                <w:rFonts w:hint="eastAsia" w:ascii="仿宋" w:hAnsi="仿宋" w:eastAsia="仿宋" w:cs="仿宋"/>
                <w:sz w:val="24"/>
              </w:rPr>
            </w:pPr>
            <w:r>
              <w:rPr>
                <w:rFonts w:hint="eastAsia" w:ascii="仿宋" w:hAnsi="仿宋" w:eastAsia="仿宋" w:cs="仿宋"/>
                <w:sz w:val="24"/>
              </w:rPr>
              <w:t>水运</w:t>
            </w:r>
          </w:p>
        </w:tc>
        <w:tc>
          <w:tcPr>
            <w:tcW w:w="2697" w:type="dxa"/>
            <w:vAlign w:val="center"/>
          </w:tcPr>
          <w:p w14:paraId="3F190533">
            <w:pPr>
              <w:jc w:val="center"/>
              <w:rPr>
                <w:rFonts w:hint="eastAsia" w:ascii="仿宋" w:hAnsi="仿宋" w:eastAsia="仿宋" w:cs="仿宋"/>
                <w:sz w:val="24"/>
              </w:rPr>
            </w:pPr>
            <w:r>
              <w:rPr>
                <w:rFonts w:hint="eastAsia" w:ascii="仿宋" w:hAnsi="仿宋" w:eastAsia="仿宋" w:cs="仿宋"/>
                <w:sz w:val="24"/>
              </w:rPr>
              <w:t>船舶</w:t>
            </w:r>
          </w:p>
        </w:tc>
        <w:tc>
          <w:tcPr>
            <w:tcW w:w="3246" w:type="dxa"/>
            <w:vAlign w:val="center"/>
          </w:tcPr>
          <w:p w14:paraId="36E3630B">
            <w:pPr>
              <w:jc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LG003 海上货物运输</w:t>
            </w:r>
          </w:p>
          <w:p w14:paraId="0AFB0418">
            <w:pPr>
              <w:jc w:val="center"/>
              <w:rPr>
                <w:rFonts w:hint="eastAsia" w:ascii="仿宋" w:hAnsi="仿宋" w:eastAsia="仿宋" w:cs="仿宋"/>
                <w:sz w:val="24"/>
              </w:rPr>
            </w:pPr>
            <w:r>
              <w:rPr>
                <w:rFonts w:hint="eastAsia" w:ascii="仿宋" w:hAnsi="仿宋" w:eastAsia="仿宋" w:cs="仿宋"/>
                <w:color w:val="000000"/>
                <w:kern w:val="0"/>
                <w:sz w:val="24"/>
                <w:szCs w:val="24"/>
                <w:lang w:bidi="ar"/>
              </w:rPr>
              <w:t>LG004 海上旅客运输</w:t>
            </w:r>
          </w:p>
        </w:tc>
      </w:tr>
      <w:tr w14:paraId="235B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Align w:val="center"/>
          </w:tcPr>
          <w:p w14:paraId="6EC969D6">
            <w:pPr>
              <w:jc w:val="center"/>
              <w:rPr>
                <w:rFonts w:hint="eastAsia" w:ascii="仿宋" w:hAnsi="仿宋" w:eastAsia="仿宋" w:cs="仿宋"/>
                <w:sz w:val="24"/>
              </w:rPr>
            </w:pPr>
            <w:r>
              <w:rPr>
                <w:rFonts w:hint="eastAsia" w:ascii="仿宋" w:hAnsi="仿宋" w:eastAsia="仿宋" w:cs="仿宋"/>
                <w:sz w:val="24"/>
              </w:rPr>
              <w:t>水资源——供应管理和废水处理</w:t>
            </w:r>
          </w:p>
        </w:tc>
        <w:tc>
          <w:tcPr>
            <w:tcW w:w="1285" w:type="dxa"/>
            <w:vAlign w:val="center"/>
          </w:tcPr>
          <w:p w14:paraId="4E695274">
            <w:pPr>
              <w:jc w:val="center"/>
              <w:rPr>
                <w:rFonts w:hint="eastAsia" w:ascii="仿宋" w:hAnsi="仿宋" w:eastAsia="仿宋" w:cs="仿宋"/>
                <w:sz w:val="24"/>
              </w:rPr>
            </w:pPr>
            <w:r>
              <w:rPr>
                <w:rFonts w:hint="eastAsia" w:ascii="仿宋" w:hAnsi="仿宋" w:eastAsia="仿宋" w:cs="仿宋"/>
                <w:sz w:val="24"/>
              </w:rPr>
              <w:t>水利基础设施</w:t>
            </w:r>
          </w:p>
        </w:tc>
        <w:tc>
          <w:tcPr>
            <w:tcW w:w="2697" w:type="dxa"/>
            <w:vAlign w:val="center"/>
          </w:tcPr>
          <w:p w14:paraId="2CC48DC6">
            <w:pPr>
              <w:jc w:val="center"/>
              <w:rPr>
                <w:rFonts w:hint="eastAsia" w:ascii="仿宋" w:hAnsi="仿宋" w:eastAsia="仿宋" w:cs="仿宋"/>
                <w:sz w:val="24"/>
              </w:rPr>
            </w:pPr>
            <w:r>
              <w:rPr>
                <w:rFonts w:hint="eastAsia" w:ascii="仿宋" w:hAnsi="仿宋" w:eastAsia="仿宋" w:cs="仿宋"/>
                <w:sz w:val="24"/>
              </w:rPr>
              <w:t>水资源监测</w:t>
            </w:r>
          </w:p>
          <w:p w14:paraId="38299B3A">
            <w:pPr>
              <w:jc w:val="center"/>
              <w:rPr>
                <w:rFonts w:hint="eastAsia" w:ascii="仿宋" w:hAnsi="仿宋" w:eastAsia="仿宋" w:cs="仿宋"/>
                <w:sz w:val="24"/>
              </w:rPr>
            </w:pPr>
            <w:bookmarkStart w:id="30" w:name="_Toc30475"/>
            <w:bookmarkStart w:id="31" w:name="_Toc64771366"/>
            <w:bookmarkStart w:id="32" w:name="_Toc1037434599"/>
            <w:bookmarkStart w:id="33" w:name="_Toc19176"/>
            <w:bookmarkStart w:id="34" w:name="_Toc411271707"/>
            <w:r>
              <w:rPr>
                <w:rFonts w:hint="eastAsia" w:ascii="仿宋" w:hAnsi="仿宋" w:eastAsia="仿宋" w:cs="仿宋"/>
                <w:sz w:val="24"/>
              </w:rPr>
              <w:t>储水</w:t>
            </w:r>
            <w:bookmarkEnd w:id="30"/>
            <w:bookmarkEnd w:id="31"/>
            <w:bookmarkEnd w:id="32"/>
            <w:bookmarkEnd w:id="33"/>
            <w:bookmarkEnd w:id="34"/>
          </w:p>
          <w:p w14:paraId="5CCA346E">
            <w:pPr>
              <w:jc w:val="center"/>
              <w:rPr>
                <w:rFonts w:hint="eastAsia" w:ascii="仿宋" w:hAnsi="仿宋" w:eastAsia="仿宋" w:cs="仿宋"/>
                <w:sz w:val="24"/>
              </w:rPr>
            </w:pPr>
            <w:r>
              <w:rPr>
                <w:rFonts w:hint="eastAsia" w:ascii="仿宋" w:hAnsi="仿宋" w:eastAsia="仿宋" w:cs="仿宋"/>
                <w:sz w:val="24"/>
              </w:rPr>
              <w:t>水处理</w:t>
            </w:r>
          </w:p>
          <w:p w14:paraId="6CBDC34A">
            <w:pPr>
              <w:jc w:val="center"/>
              <w:rPr>
                <w:rFonts w:hint="eastAsia" w:ascii="仿宋" w:hAnsi="仿宋" w:eastAsia="仿宋" w:cs="仿宋"/>
                <w:sz w:val="24"/>
              </w:rPr>
            </w:pPr>
            <w:bookmarkStart w:id="35" w:name="_Toc275485332"/>
            <w:bookmarkStart w:id="36" w:name="_Toc1780193827"/>
            <w:bookmarkStart w:id="37" w:name="_Toc14692"/>
            <w:bookmarkStart w:id="38" w:name="_Toc110042850"/>
            <w:bookmarkStart w:id="39" w:name="_Toc9956"/>
            <w:r>
              <w:rPr>
                <w:rFonts w:hint="eastAsia" w:ascii="仿宋" w:hAnsi="仿宋" w:eastAsia="仿宋" w:cs="仿宋"/>
                <w:sz w:val="24"/>
              </w:rPr>
              <w:t>配水</w:t>
            </w:r>
            <w:bookmarkEnd w:id="35"/>
            <w:bookmarkEnd w:id="36"/>
            <w:bookmarkEnd w:id="37"/>
            <w:bookmarkEnd w:id="38"/>
            <w:bookmarkEnd w:id="39"/>
          </w:p>
          <w:p w14:paraId="639F2C69">
            <w:pPr>
              <w:jc w:val="center"/>
              <w:rPr>
                <w:rFonts w:hint="eastAsia" w:ascii="仿宋" w:hAnsi="仿宋" w:eastAsia="仿宋" w:cs="仿宋"/>
                <w:sz w:val="24"/>
              </w:rPr>
            </w:pPr>
            <w:r>
              <w:rPr>
                <w:rFonts w:hint="eastAsia" w:ascii="仿宋" w:hAnsi="仿宋" w:eastAsia="仿宋" w:cs="仿宋"/>
                <w:sz w:val="24"/>
              </w:rPr>
              <w:t>防洪</w:t>
            </w:r>
          </w:p>
          <w:p w14:paraId="3EF37E9D">
            <w:pPr>
              <w:jc w:val="center"/>
              <w:rPr>
                <w:rFonts w:hint="eastAsia" w:ascii="仿宋" w:hAnsi="仿宋" w:eastAsia="仿宋" w:cs="仿宋"/>
                <w:sz w:val="24"/>
              </w:rPr>
            </w:pPr>
            <w:bookmarkStart w:id="40" w:name="_Toc929387390"/>
            <w:bookmarkStart w:id="41" w:name="_Toc719325526"/>
            <w:bookmarkStart w:id="42" w:name="_Toc12022"/>
            <w:bookmarkStart w:id="43" w:name="_Toc517850223"/>
            <w:bookmarkStart w:id="44" w:name="_Toc2822"/>
            <w:r>
              <w:rPr>
                <w:rFonts w:hint="eastAsia" w:ascii="仿宋" w:hAnsi="仿宋" w:eastAsia="仿宋" w:cs="仿宋"/>
                <w:sz w:val="24"/>
              </w:rPr>
              <w:t>基于自然的基础设施</w:t>
            </w:r>
            <w:bookmarkEnd w:id="40"/>
            <w:bookmarkEnd w:id="41"/>
            <w:bookmarkEnd w:id="42"/>
            <w:bookmarkEnd w:id="43"/>
            <w:bookmarkEnd w:id="44"/>
          </w:p>
          <w:p w14:paraId="0F3A9E42">
            <w:pPr>
              <w:jc w:val="center"/>
              <w:rPr>
                <w:rFonts w:hint="eastAsia" w:ascii="仿宋" w:hAnsi="仿宋" w:eastAsia="仿宋" w:cs="仿宋"/>
                <w:sz w:val="24"/>
              </w:rPr>
            </w:pPr>
            <w:r>
              <w:rPr>
                <w:rFonts w:hint="eastAsia" w:ascii="仿宋" w:hAnsi="仿宋" w:eastAsia="仿宋" w:cs="仿宋"/>
                <w:sz w:val="24"/>
              </w:rPr>
              <w:t>产品</w:t>
            </w:r>
          </w:p>
        </w:tc>
        <w:tc>
          <w:tcPr>
            <w:tcW w:w="3246" w:type="dxa"/>
            <w:vAlign w:val="center"/>
          </w:tcPr>
          <w:p w14:paraId="18C8FE42">
            <w:pPr>
              <w:jc w:val="center"/>
              <w:rPr>
                <w:rFonts w:hint="eastAsia" w:ascii="仿宋" w:hAnsi="仿宋" w:eastAsia="仿宋" w:cs="仿宋"/>
                <w:sz w:val="24"/>
                <w:szCs w:val="24"/>
              </w:rPr>
            </w:pPr>
            <w:r>
              <w:rPr>
                <w:rFonts w:hint="eastAsia" w:ascii="仿宋" w:hAnsi="仿宋" w:eastAsia="仿宋" w:cs="仿宋"/>
                <w:sz w:val="24"/>
                <w:szCs w:val="24"/>
              </w:rPr>
              <w:t>LA045 雨水的收集、处理、利用</w:t>
            </w:r>
          </w:p>
          <w:p w14:paraId="176BEB84">
            <w:pPr>
              <w:jc w:val="center"/>
              <w:rPr>
                <w:rFonts w:hint="eastAsia" w:ascii="仿宋" w:hAnsi="仿宋" w:eastAsia="仿宋" w:cs="仿宋"/>
                <w:sz w:val="24"/>
                <w:szCs w:val="24"/>
              </w:rPr>
            </w:pPr>
            <w:r>
              <w:rPr>
                <w:rFonts w:hint="eastAsia" w:ascii="仿宋" w:hAnsi="仿宋" w:eastAsia="仿宋" w:cs="仿宋"/>
                <w:sz w:val="24"/>
                <w:szCs w:val="24"/>
              </w:rPr>
              <w:t>LA044 海水、苦咸水淡化处理LE010 污水处理、再生利用及污泥处理处置设施建设运营</w:t>
            </w:r>
          </w:p>
          <w:p w14:paraId="2C69228D">
            <w:pPr>
              <w:jc w:val="center"/>
              <w:rPr>
                <w:rFonts w:hint="eastAsia" w:ascii="仿宋" w:hAnsi="仿宋" w:eastAsia="仿宋" w:cs="仿宋"/>
                <w:sz w:val="24"/>
              </w:rPr>
            </w:pPr>
            <w:r>
              <w:rPr>
                <w:rFonts w:hint="eastAsia" w:ascii="仿宋" w:hAnsi="仿宋" w:eastAsia="仿宋" w:cs="仿宋"/>
                <w:sz w:val="24"/>
                <w:szCs w:val="24"/>
              </w:rPr>
              <w:t>LD016 河湖与湿地保护恢复LD021 水生态系统旱涝灾害防控及应对</w:t>
            </w:r>
          </w:p>
        </w:tc>
      </w:tr>
      <w:tr w14:paraId="0681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6D2A06DD">
            <w:pPr>
              <w:jc w:val="center"/>
              <w:rPr>
                <w:rFonts w:hint="eastAsia" w:ascii="仿宋" w:hAnsi="仿宋" w:eastAsia="仿宋" w:cs="仿宋"/>
                <w:sz w:val="24"/>
              </w:rPr>
            </w:pPr>
            <w:r>
              <w:rPr>
                <w:rFonts w:hint="eastAsia" w:ascii="仿宋" w:hAnsi="仿宋" w:eastAsia="仿宋" w:cs="仿宋"/>
                <w:sz w:val="24"/>
              </w:rPr>
              <w:t>建筑——商业、住宅及能效</w:t>
            </w:r>
          </w:p>
        </w:tc>
        <w:tc>
          <w:tcPr>
            <w:tcW w:w="1285" w:type="dxa"/>
            <w:vAlign w:val="center"/>
          </w:tcPr>
          <w:p w14:paraId="5A646C6D">
            <w:pPr>
              <w:jc w:val="center"/>
              <w:rPr>
                <w:rFonts w:hint="eastAsia" w:ascii="仿宋" w:hAnsi="仿宋" w:eastAsia="仿宋" w:cs="仿宋"/>
                <w:sz w:val="24"/>
              </w:rPr>
            </w:pPr>
            <w:r>
              <w:rPr>
                <w:rFonts w:hint="eastAsia" w:ascii="仿宋" w:hAnsi="仿宋" w:eastAsia="仿宋" w:cs="仿宋"/>
                <w:sz w:val="24"/>
              </w:rPr>
              <w:t>建筑</w:t>
            </w:r>
          </w:p>
        </w:tc>
        <w:tc>
          <w:tcPr>
            <w:tcW w:w="2697" w:type="dxa"/>
            <w:vAlign w:val="center"/>
          </w:tcPr>
          <w:p w14:paraId="39ADFEE2">
            <w:pPr>
              <w:jc w:val="center"/>
              <w:rPr>
                <w:rFonts w:hint="eastAsia" w:ascii="仿宋" w:hAnsi="仿宋" w:eastAsia="仿宋" w:cs="仿宋"/>
                <w:sz w:val="24"/>
              </w:rPr>
            </w:pPr>
            <w:r>
              <w:rPr>
                <w:rFonts w:hint="eastAsia" w:ascii="仿宋" w:hAnsi="仿宋" w:eastAsia="仿宋" w:cs="仿宋"/>
                <w:sz w:val="24"/>
              </w:rPr>
              <w:t>商业建筑</w:t>
            </w:r>
          </w:p>
          <w:p w14:paraId="41B3B9BB">
            <w:pPr>
              <w:jc w:val="center"/>
              <w:rPr>
                <w:rFonts w:hint="eastAsia" w:ascii="仿宋" w:hAnsi="仿宋" w:eastAsia="仿宋" w:cs="仿宋"/>
                <w:sz w:val="24"/>
              </w:rPr>
            </w:pPr>
            <w:bookmarkStart w:id="45" w:name="_Toc25565"/>
            <w:bookmarkStart w:id="46" w:name="_Toc655"/>
            <w:bookmarkStart w:id="47" w:name="_Toc1038844854"/>
            <w:bookmarkStart w:id="48" w:name="_Toc156459911"/>
            <w:bookmarkStart w:id="49" w:name="_Toc922214526"/>
            <w:r>
              <w:rPr>
                <w:rFonts w:hint="eastAsia" w:ascii="仿宋" w:hAnsi="仿宋" w:eastAsia="仿宋" w:cs="仿宋"/>
                <w:sz w:val="24"/>
              </w:rPr>
              <w:t>住宅建筑</w:t>
            </w:r>
            <w:bookmarkEnd w:id="45"/>
            <w:bookmarkEnd w:id="46"/>
            <w:bookmarkEnd w:id="47"/>
            <w:bookmarkEnd w:id="48"/>
            <w:bookmarkEnd w:id="49"/>
          </w:p>
          <w:p w14:paraId="52D1F7F4">
            <w:pPr>
              <w:jc w:val="center"/>
              <w:rPr>
                <w:rFonts w:hint="eastAsia" w:ascii="仿宋" w:hAnsi="仿宋" w:eastAsia="仿宋" w:cs="仿宋"/>
                <w:sz w:val="24"/>
              </w:rPr>
            </w:pPr>
            <w:r>
              <w:rPr>
                <w:rFonts w:hint="eastAsia" w:ascii="仿宋" w:hAnsi="仿宋" w:eastAsia="仿宋" w:cs="仿宋"/>
                <w:sz w:val="24"/>
              </w:rPr>
              <w:t>其他建筑类型</w:t>
            </w:r>
          </w:p>
        </w:tc>
        <w:tc>
          <w:tcPr>
            <w:tcW w:w="3246" w:type="dxa"/>
            <w:vAlign w:val="center"/>
          </w:tcPr>
          <w:p w14:paraId="67A3D7C6">
            <w:pPr>
              <w:jc w:val="center"/>
              <w:rPr>
                <w:rFonts w:hint="eastAsia" w:ascii="仿宋" w:hAnsi="仿宋" w:eastAsia="仿宋" w:cs="仿宋"/>
                <w:sz w:val="24"/>
              </w:rPr>
            </w:pPr>
            <w:r>
              <w:rPr>
                <w:rFonts w:hint="eastAsia" w:ascii="仿宋" w:hAnsi="仿宋" w:eastAsia="仿宋" w:cs="仿宋"/>
                <w:sz w:val="24"/>
                <w:szCs w:val="24"/>
              </w:rPr>
              <w:t>LE004 超低能耗建筑建设LE005 绿色建筑</w:t>
            </w:r>
          </w:p>
        </w:tc>
      </w:tr>
      <w:tr w14:paraId="08C2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6D6140A6">
            <w:pPr>
              <w:jc w:val="center"/>
              <w:rPr>
                <w:rFonts w:hint="eastAsia" w:ascii="仿宋" w:hAnsi="仿宋" w:eastAsia="仿宋" w:cs="仿宋"/>
                <w:sz w:val="24"/>
              </w:rPr>
            </w:pPr>
          </w:p>
        </w:tc>
        <w:tc>
          <w:tcPr>
            <w:tcW w:w="1285" w:type="dxa"/>
            <w:vAlign w:val="center"/>
          </w:tcPr>
          <w:p w14:paraId="0CAEA93C">
            <w:pPr>
              <w:jc w:val="center"/>
              <w:rPr>
                <w:rFonts w:hint="eastAsia" w:ascii="仿宋" w:hAnsi="仿宋" w:eastAsia="仿宋" w:cs="仿宋"/>
                <w:sz w:val="24"/>
              </w:rPr>
            </w:pPr>
            <w:r>
              <w:rPr>
                <w:rFonts w:hint="eastAsia" w:ascii="仿宋" w:hAnsi="仿宋" w:eastAsia="仿宋" w:cs="仿宋"/>
                <w:sz w:val="24"/>
              </w:rPr>
              <w:t>用于建筑能效的产品和系统</w:t>
            </w:r>
          </w:p>
        </w:tc>
        <w:tc>
          <w:tcPr>
            <w:tcW w:w="2697" w:type="dxa"/>
            <w:vAlign w:val="center"/>
          </w:tcPr>
          <w:p w14:paraId="1DCF0684">
            <w:pPr>
              <w:jc w:val="center"/>
              <w:rPr>
                <w:rFonts w:hint="eastAsia" w:ascii="仿宋" w:hAnsi="仿宋" w:eastAsia="仿宋" w:cs="仿宋"/>
                <w:sz w:val="24"/>
              </w:rPr>
            </w:pPr>
            <w:r>
              <w:rPr>
                <w:rFonts w:hint="eastAsia" w:ascii="仿宋" w:hAnsi="仿宋" w:eastAsia="仿宋" w:cs="仿宋"/>
                <w:sz w:val="24"/>
              </w:rPr>
              <w:t>能源效率</w:t>
            </w:r>
          </w:p>
          <w:p w14:paraId="1F54089E">
            <w:pPr>
              <w:jc w:val="center"/>
              <w:rPr>
                <w:rFonts w:hint="eastAsia" w:ascii="仿宋" w:hAnsi="仿宋" w:eastAsia="仿宋" w:cs="仿宋"/>
                <w:sz w:val="24"/>
              </w:rPr>
            </w:pPr>
            <w:bookmarkStart w:id="50" w:name="_Toc19350"/>
            <w:bookmarkStart w:id="51" w:name="_Toc25092"/>
            <w:bookmarkStart w:id="52" w:name="_Toc123225994"/>
            <w:bookmarkStart w:id="53" w:name="_Toc770863927"/>
            <w:bookmarkStart w:id="54" w:name="_Toc1563752127"/>
            <w:r>
              <w:rPr>
                <w:rFonts w:hint="eastAsia" w:ascii="仿宋" w:hAnsi="仿宋" w:eastAsia="仿宋" w:cs="仿宋"/>
                <w:sz w:val="24"/>
              </w:rPr>
              <w:t>低碳建筑材料</w:t>
            </w:r>
            <w:bookmarkEnd w:id="50"/>
            <w:bookmarkEnd w:id="51"/>
            <w:bookmarkEnd w:id="52"/>
            <w:bookmarkEnd w:id="53"/>
            <w:bookmarkEnd w:id="54"/>
          </w:p>
        </w:tc>
        <w:tc>
          <w:tcPr>
            <w:tcW w:w="3246" w:type="dxa"/>
            <w:vAlign w:val="center"/>
          </w:tcPr>
          <w:p w14:paraId="3027AB0B">
            <w:pPr>
              <w:jc w:val="center"/>
              <w:rPr>
                <w:rFonts w:hint="eastAsia" w:ascii="仿宋" w:hAnsi="仿宋" w:eastAsia="仿宋" w:cs="仿宋"/>
                <w:sz w:val="24"/>
              </w:rPr>
            </w:pPr>
            <w:r>
              <w:rPr>
                <w:rFonts w:hint="eastAsia" w:ascii="仿宋" w:hAnsi="仿宋" w:eastAsia="仿宋" w:cs="仿宋"/>
                <w:sz w:val="24"/>
                <w:szCs w:val="24"/>
              </w:rPr>
              <w:t>LA021 绿色建筑材料制造</w:t>
            </w:r>
          </w:p>
        </w:tc>
      </w:tr>
      <w:tr w14:paraId="0E494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7C59C666">
            <w:pPr>
              <w:jc w:val="center"/>
              <w:rPr>
                <w:rFonts w:hint="eastAsia" w:ascii="仿宋" w:hAnsi="仿宋" w:eastAsia="仿宋" w:cs="仿宋"/>
                <w:sz w:val="24"/>
              </w:rPr>
            </w:pPr>
            <w:r>
              <w:rPr>
                <w:rFonts w:hint="eastAsia" w:ascii="仿宋" w:hAnsi="仿宋" w:eastAsia="仿宋" w:cs="仿宋"/>
                <w:sz w:val="24"/>
              </w:rPr>
              <w:t>建筑——城市发展</w:t>
            </w:r>
          </w:p>
        </w:tc>
        <w:tc>
          <w:tcPr>
            <w:tcW w:w="1285" w:type="dxa"/>
            <w:vAlign w:val="center"/>
          </w:tcPr>
          <w:p w14:paraId="30306704">
            <w:pPr>
              <w:jc w:val="center"/>
              <w:rPr>
                <w:rFonts w:hint="eastAsia" w:ascii="仿宋" w:hAnsi="仿宋" w:eastAsia="仿宋" w:cs="仿宋"/>
                <w:sz w:val="24"/>
              </w:rPr>
            </w:pPr>
            <w:r>
              <w:rPr>
                <w:rFonts w:hint="eastAsia" w:ascii="仿宋" w:hAnsi="仿宋" w:eastAsia="仿宋" w:cs="仿宋"/>
                <w:sz w:val="24"/>
              </w:rPr>
              <w:t>建筑环境</w:t>
            </w:r>
          </w:p>
        </w:tc>
        <w:tc>
          <w:tcPr>
            <w:tcW w:w="2697" w:type="dxa"/>
            <w:vAlign w:val="center"/>
          </w:tcPr>
          <w:p w14:paraId="0295F214">
            <w:pPr>
              <w:jc w:val="center"/>
              <w:rPr>
                <w:rFonts w:hint="eastAsia" w:ascii="仿宋" w:hAnsi="仿宋" w:eastAsia="仿宋" w:cs="仿宋"/>
                <w:sz w:val="24"/>
              </w:rPr>
            </w:pPr>
            <w:r>
              <w:rPr>
                <w:rFonts w:hint="eastAsia" w:ascii="仿宋" w:hAnsi="仿宋" w:eastAsia="仿宋" w:cs="仿宋"/>
                <w:sz w:val="24"/>
              </w:rPr>
              <w:t>城市和半城市地区</w:t>
            </w:r>
          </w:p>
        </w:tc>
        <w:tc>
          <w:tcPr>
            <w:tcW w:w="3246" w:type="dxa"/>
            <w:vAlign w:val="center"/>
          </w:tcPr>
          <w:p w14:paraId="16BC1F9E">
            <w:pPr>
              <w:jc w:val="center"/>
              <w:rPr>
                <w:rFonts w:hint="eastAsia" w:ascii="仿宋" w:hAnsi="仿宋" w:eastAsia="仿宋" w:cs="仿宋"/>
                <w:sz w:val="24"/>
                <w:szCs w:val="24"/>
              </w:rPr>
            </w:pPr>
            <w:r>
              <w:rPr>
                <w:rFonts w:hint="eastAsia" w:ascii="仿宋" w:hAnsi="仿宋" w:eastAsia="仿宋" w:cs="仿宋"/>
                <w:sz w:val="24"/>
                <w:szCs w:val="24"/>
              </w:rPr>
              <w:t>LA020 绿色照明改造</w:t>
            </w:r>
          </w:p>
          <w:p w14:paraId="7AE3A2D3">
            <w:pPr>
              <w:jc w:val="center"/>
              <w:rPr>
                <w:rFonts w:hint="eastAsia" w:ascii="仿宋" w:hAnsi="仿宋" w:eastAsia="仿宋" w:cs="仿宋"/>
                <w:sz w:val="24"/>
              </w:rPr>
            </w:pPr>
            <w:r>
              <w:rPr>
                <w:rFonts w:hint="eastAsia" w:ascii="仿宋" w:hAnsi="仿宋" w:eastAsia="仿宋" w:cs="仿宋"/>
                <w:sz w:val="24"/>
                <w:szCs w:val="24"/>
              </w:rPr>
              <w:t>LA043 农村人居环境整治</w:t>
            </w:r>
          </w:p>
        </w:tc>
      </w:tr>
      <w:tr w14:paraId="43DBB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027B88AE">
            <w:pPr>
              <w:jc w:val="center"/>
              <w:rPr>
                <w:rFonts w:hint="eastAsia" w:ascii="仿宋" w:hAnsi="仿宋" w:eastAsia="仿宋" w:cs="仿宋"/>
                <w:sz w:val="24"/>
              </w:rPr>
            </w:pPr>
          </w:p>
        </w:tc>
        <w:tc>
          <w:tcPr>
            <w:tcW w:w="1285" w:type="dxa"/>
            <w:vAlign w:val="center"/>
          </w:tcPr>
          <w:p w14:paraId="62EEA6CA">
            <w:pPr>
              <w:jc w:val="center"/>
              <w:rPr>
                <w:rFonts w:hint="eastAsia" w:ascii="仿宋" w:hAnsi="仿宋" w:eastAsia="仿宋" w:cs="仿宋"/>
                <w:sz w:val="24"/>
              </w:rPr>
            </w:pPr>
            <w:r>
              <w:rPr>
                <w:rFonts w:hint="eastAsia" w:ascii="仿宋" w:hAnsi="仿宋" w:eastAsia="仿宋" w:cs="仿宋"/>
                <w:sz w:val="24"/>
              </w:rPr>
              <w:t>城市规划</w:t>
            </w:r>
          </w:p>
        </w:tc>
        <w:tc>
          <w:tcPr>
            <w:tcW w:w="2697" w:type="dxa"/>
            <w:vAlign w:val="center"/>
          </w:tcPr>
          <w:p w14:paraId="3474ABF5">
            <w:pPr>
              <w:jc w:val="center"/>
              <w:rPr>
                <w:rFonts w:hint="eastAsia" w:ascii="仿宋" w:hAnsi="仿宋" w:eastAsia="仿宋" w:cs="仿宋"/>
                <w:sz w:val="24"/>
              </w:rPr>
            </w:pPr>
            <w:r>
              <w:rPr>
                <w:rFonts w:hint="eastAsia" w:ascii="仿宋" w:hAnsi="仿宋" w:eastAsia="仿宋" w:cs="仿宋"/>
                <w:sz w:val="24"/>
              </w:rPr>
              <w:t>基础设施</w:t>
            </w:r>
          </w:p>
          <w:p w14:paraId="0E187114">
            <w:pPr>
              <w:jc w:val="center"/>
              <w:rPr>
                <w:rFonts w:hint="eastAsia" w:ascii="仿宋" w:hAnsi="仿宋" w:eastAsia="仿宋" w:cs="仿宋"/>
                <w:sz w:val="24"/>
              </w:rPr>
            </w:pPr>
            <w:bookmarkStart w:id="55" w:name="_Toc46334530"/>
            <w:bookmarkStart w:id="56" w:name="_Toc14312"/>
            <w:bookmarkStart w:id="57" w:name="_Toc40630869"/>
            <w:bookmarkStart w:id="58" w:name="_Toc1179772338"/>
            <w:bookmarkStart w:id="59" w:name="_Toc20305"/>
            <w:r>
              <w:rPr>
                <w:rFonts w:hint="eastAsia" w:ascii="仿宋" w:hAnsi="仿宋" w:eastAsia="仿宋" w:cs="仿宋"/>
                <w:sz w:val="24"/>
              </w:rPr>
              <w:t>其他</w:t>
            </w:r>
            <w:bookmarkEnd w:id="55"/>
            <w:bookmarkEnd w:id="56"/>
            <w:bookmarkEnd w:id="57"/>
            <w:bookmarkEnd w:id="58"/>
            <w:bookmarkEnd w:id="59"/>
          </w:p>
        </w:tc>
        <w:tc>
          <w:tcPr>
            <w:tcW w:w="3246" w:type="dxa"/>
            <w:vAlign w:val="center"/>
          </w:tcPr>
          <w:p w14:paraId="31F2409D">
            <w:pPr>
              <w:jc w:val="center"/>
              <w:rPr>
                <w:rFonts w:hint="eastAsia" w:ascii="仿宋" w:hAnsi="仿宋" w:eastAsia="仿宋" w:cs="仿宋"/>
                <w:sz w:val="24"/>
                <w:szCs w:val="24"/>
              </w:rPr>
            </w:pPr>
            <w:r>
              <w:rPr>
                <w:rFonts w:hint="eastAsia" w:ascii="仿宋" w:hAnsi="仿宋" w:eastAsia="仿宋" w:cs="仿宋"/>
                <w:sz w:val="24"/>
                <w:szCs w:val="24"/>
              </w:rPr>
              <w:t>LE001 城镇集中供热系统清洁化建设运营和改造</w:t>
            </w:r>
          </w:p>
          <w:p w14:paraId="54E865BD">
            <w:pPr>
              <w:jc w:val="center"/>
              <w:rPr>
                <w:rFonts w:hint="eastAsia" w:ascii="仿宋" w:hAnsi="仿宋" w:eastAsia="仿宋" w:cs="仿宋"/>
                <w:sz w:val="24"/>
              </w:rPr>
            </w:pPr>
            <w:r>
              <w:rPr>
                <w:rFonts w:hint="eastAsia" w:ascii="仿宋" w:hAnsi="仿宋" w:eastAsia="仿宋" w:cs="仿宋"/>
                <w:sz w:val="24"/>
                <w:szCs w:val="24"/>
              </w:rPr>
              <w:t>LE002 城镇电力设施智能化建设运营和改造</w:t>
            </w:r>
          </w:p>
        </w:tc>
      </w:tr>
      <w:tr w14:paraId="751B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7C05324F">
            <w:pPr>
              <w:jc w:val="center"/>
              <w:rPr>
                <w:rFonts w:hint="eastAsia" w:ascii="仿宋" w:hAnsi="仿宋" w:eastAsia="仿宋" w:cs="仿宋"/>
                <w:sz w:val="24"/>
              </w:rPr>
            </w:pPr>
            <w:r>
              <w:rPr>
                <w:rFonts w:hint="eastAsia" w:ascii="仿宋" w:hAnsi="仿宋" w:eastAsia="仿宋" w:cs="仿宋"/>
                <w:sz w:val="24"/>
              </w:rPr>
              <w:t>土地使用和海洋资源——农业、畜牧业、水产养殖业和海产品</w:t>
            </w:r>
          </w:p>
        </w:tc>
        <w:tc>
          <w:tcPr>
            <w:tcW w:w="1285" w:type="dxa"/>
            <w:vAlign w:val="center"/>
          </w:tcPr>
          <w:p w14:paraId="46EF0EAE">
            <w:pPr>
              <w:jc w:val="center"/>
              <w:rPr>
                <w:rFonts w:hint="eastAsia" w:ascii="仿宋" w:hAnsi="仿宋" w:eastAsia="仿宋" w:cs="仿宋"/>
                <w:sz w:val="24"/>
              </w:rPr>
            </w:pPr>
            <w:r>
              <w:rPr>
                <w:rFonts w:hint="eastAsia" w:ascii="仿宋" w:hAnsi="仿宋" w:eastAsia="仿宋" w:cs="仿宋"/>
                <w:sz w:val="24"/>
              </w:rPr>
              <w:t>农业（包括混合用途生产系统）</w:t>
            </w:r>
          </w:p>
        </w:tc>
        <w:tc>
          <w:tcPr>
            <w:tcW w:w="2697" w:type="dxa"/>
            <w:vAlign w:val="center"/>
          </w:tcPr>
          <w:p w14:paraId="68234BF3">
            <w:pPr>
              <w:jc w:val="center"/>
              <w:rPr>
                <w:rFonts w:hint="eastAsia" w:ascii="仿宋" w:hAnsi="仿宋" w:eastAsia="仿宋" w:cs="仿宋"/>
                <w:sz w:val="24"/>
              </w:rPr>
            </w:pPr>
            <w:r>
              <w:rPr>
                <w:rFonts w:hint="eastAsia" w:ascii="仿宋" w:hAnsi="仿宋" w:eastAsia="仿宋" w:cs="仿宋"/>
                <w:sz w:val="24"/>
              </w:rPr>
              <w:t>农业生产</w:t>
            </w:r>
          </w:p>
          <w:p w14:paraId="7472B0AC">
            <w:pPr>
              <w:jc w:val="center"/>
              <w:rPr>
                <w:rFonts w:hint="eastAsia" w:ascii="仿宋" w:hAnsi="仿宋" w:eastAsia="仿宋" w:cs="仿宋"/>
                <w:sz w:val="24"/>
              </w:rPr>
            </w:pPr>
            <w:bookmarkStart w:id="60" w:name="_Toc451238373"/>
            <w:bookmarkStart w:id="61" w:name="_Toc809505459"/>
            <w:bookmarkStart w:id="62" w:name="_Toc7836"/>
            <w:bookmarkStart w:id="63" w:name="_Toc697600755"/>
            <w:bookmarkStart w:id="64" w:name="_Toc4195"/>
            <w:r>
              <w:rPr>
                <w:rFonts w:hint="eastAsia" w:ascii="仿宋" w:hAnsi="仿宋" w:eastAsia="仿宋" w:cs="仿宋"/>
                <w:sz w:val="24"/>
              </w:rPr>
              <w:t>基础设施</w:t>
            </w:r>
            <w:bookmarkEnd w:id="60"/>
            <w:bookmarkEnd w:id="61"/>
            <w:bookmarkEnd w:id="62"/>
            <w:bookmarkEnd w:id="63"/>
            <w:bookmarkEnd w:id="64"/>
          </w:p>
        </w:tc>
        <w:tc>
          <w:tcPr>
            <w:tcW w:w="3246" w:type="dxa"/>
            <w:vAlign w:val="center"/>
          </w:tcPr>
          <w:p w14:paraId="29EFC69E">
            <w:pPr>
              <w:jc w:val="center"/>
              <w:rPr>
                <w:rFonts w:hint="eastAsia" w:ascii="仿宋" w:hAnsi="仿宋" w:eastAsia="仿宋" w:cs="仿宋"/>
                <w:sz w:val="24"/>
                <w:szCs w:val="24"/>
              </w:rPr>
            </w:pPr>
            <w:r>
              <w:rPr>
                <w:rFonts w:hint="eastAsia" w:ascii="仿宋" w:hAnsi="仿宋" w:eastAsia="仿宋" w:cs="仿宋"/>
                <w:sz w:val="24"/>
                <w:szCs w:val="24"/>
              </w:rPr>
              <w:t>LD008 绿色有机农业</w:t>
            </w:r>
          </w:p>
          <w:p w14:paraId="2D101CAF">
            <w:pPr>
              <w:jc w:val="center"/>
              <w:rPr>
                <w:rFonts w:hint="eastAsia" w:ascii="仿宋" w:hAnsi="仿宋" w:eastAsia="仿宋" w:cs="仿宋"/>
                <w:sz w:val="24"/>
              </w:rPr>
            </w:pPr>
            <w:r>
              <w:rPr>
                <w:rFonts w:hint="eastAsia" w:ascii="仿宋" w:hAnsi="仿宋" w:eastAsia="仿宋" w:cs="仿宋"/>
                <w:sz w:val="24"/>
                <w:szCs w:val="24"/>
              </w:rPr>
              <w:t>LD002 农作物种植保护地、保护区建设和运营</w:t>
            </w:r>
          </w:p>
        </w:tc>
      </w:tr>
      <w:tr w14:paraId="1344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1EEBF66D">
            <w:pPr>
              <w:jc w:val="center"/>
              <w:rPr>
                <w:rFonts w:hint="eastAsia" w:ascii="仿宋" w:hAnsi="仿宋" w:eastAsia="仿宋" w:cs="仿宋"/>
                <w:sz w:val="24"/>
              </w:rPr>
            </w:pPr>
          </w:p>
        </w:tc>
        <w:tc>
          <w:tcPr>
            <w:tcW w:w="1285" w:type="dxa"/>
            <w:vAlign w:val="center"/>
          </w:tcPr>
          <w:p w14:paraId="1F4BE1B5">
            <w:pPr>
              <w:jc w:val="center"/>
              <w:rPr>
                <w:rFonts w:hint="eastAsia" w:ascii="仿宋" w:hAnsi="仿宋" w:eastAsia="仿宋" w:cs="仿宋"/>
                <w:sz w:val="24"/>
              </w:rPr>
            </w:pPr>
            <w:r>
              <w:rPr>
                <w:rFonts w:hint="eastAsia" w:ascii="仿宋" w:hAnsi="仿宋" w:eastAsia="仿宋" w:cs="仿宋"/>
                <w:sz w:val="24"/>
              </w:rPr>
              <w:t>商业林地</w:t>
            </w:r>
          </w:p>
        </w:tc>
        <w:tc>
          <w:tcPr>
            <w:tcW w:w="2697" w:type="dxa"/>
            <w:vAlign w:val="center"/>
          </w:tcPr>
          <w:p w14:paraId="73E30362">
            <w:pPr>
              <w:jc w:val="center"/>
              <w:rPr>
                <w:rFonts w:hint="eastAsia" w:ascii="仿宋" w:hAnsi="仿宋" w:eastAsia="仿宋" w:cs="仿宋"/>
                <w:sz w:val="24"/>
              </w:rPr>
            </w:pPr>
            <w:r>
              <w:rPr>
                <w:rFonts w:hint="eastAsia" w:ascii="仿宋" w:hAnsi="仿宋" w:eastAsia="仿宋" w:cs="仿宋"/>
                <w:sz w:val="24"/>
              </w:rPr>
              <w:t>森林和木材生产</w:t>
            </w:r>
          </w:p>
          <w:p w14:paraId="6DAAF9F1">
            <w:pPr>
              <w:jc w:val="center"/>
              <w:rPr>
                <w:rFonts w:hint="eastAsia" w:ascii="仿宋" w:hAnsi="仿宋" w:eastAsia="仿宋" w:cs="仿宋"/>
                <w:sz w:val="24"/>
              </w:rPr>
            </w:pPr>
            <w:bookmarkStart w:id="65" w:name="_Toc22258"/>
            <w:bookmarkStart w:id="66" w:name="_Toc1598239108"/>
            <w:bookmarkStart w:id="67" w:name="_Toc862937916"/>
            <w:bookmarkStart w:id="68" w:name="_Toc1036167503"/>
            <w:bookmarkStart w:id="69" w:name="_Toc31861"/>
            <w:r>
              <w:rPr>
                <w:rFonts w:hint="eastAsia" w:ascii="仿宋" w:hAnsi="仿宋" w:eastAsia="仿宋" w:cs="仿宋"/>
                <w:sz w:val="24"/>
              </w:rPr>
              <w:t>基础设施</w:t>
            </w:r>
            <w:bookmarkEnd w:id="65"/>
            <w:bookmarkEnd w:id="66"/>
            <w:bookmarkEnd w:id="67"/>
            <w:bookmarkEnd w:id="68"/>
            <w:bookmarkEnd w:id="69"/>
          </w:p>
          <w:p w14:paraId="2BE01CC3">
            <w:pPr>
              <w:jc w:val="center"/>
              <w:rPr>
                <w:rFonts w:hint="eastAsia" w:ascii="仿宋" w:hAnsi="仿宋" w:eastAsia="仿宋" w:cs="仿宋"/>
                <w:sz w:val="24"/>
              </w:rPr>
            </w:pPr>
            <w:r>
              <w:rPr>
                <w:rFonts w:hint="eastAsia" w:ascii="仿宋" w:hAnsi="仿宋" w:eastAsia="仿宋" w:cs="仿宋"/>
                <w:sz w:val="24"/>
              </w:rPr>
              <w:t>纸浆和纸</w:t>
            </w:r>
          </w:p>
        </w:tc>
        <w:tc>
          <w:tcPr>
            <w:tcW w:w="3246" w:type="dxa"/>
            <w:vAlign w:val="center"/>
          </w:tcPr>
          <w:p w14:paraId="1AA50BE0">
            <w:pPr>
              <w:jc w:val="center"/>
              <w:rPr>
                <w:rFonts w:hint="eastAsia" w:ascii="仿宋" w:hAnsi="仿宋" w:eastAsia="仿宋" w:cs="仿宋"/>
                <w:sz w:val="24"/>
                <w:szCs w:val="24"/>
              </w:rPr>
            </w:pPr>
            <w:r>
              <w:rPr>
                <w:rFonts w:hint="eastAsia" w:ascii="仿宋" w:hAnsi="仿宋" w:eastAsia="仿宋" w:cs="仿宋"/>
                <w:sz w:val="24"/>
                <w:szCs w:val="24"/>
              </w:rPr>
              <w:t>LD011 天然林资源保护</w:t>
            </w:r>
          </w:p>
          <w:p w14:paraId="4E673839">
            <w:pPr>
              <w:jc w:val="center"/>
              <w:rPr>
                <w:rFonts w:hint="eastAsia" w:ascii="仿宋" w:hAnsi="仿宋" w:eastAsia="仿宋" w:cs="仿宋"/>
                <w:sz w:val="24"/>
                <w:szCs w:val="24"/>
              </w:rPr>
            </w:pPr>
            <w:r>
              <w:rPr>
                <w:rFonts w:hint="eastAsia" w:ascii="仿宋" w:hAnsi="仿宋" w:eastAsia="仿宋" w:cs="仿宋"/>
                <w:sz w:val="24"/>
                <w:szCs w:val="24"/>
              </w:rPr>
              <w:t>LD025 森林资源培育产业</w:t>
            </w:r>
          </w:p>
          <w:p w14:paraId="3C0A1652">
            <w:pPr>
              <w:jc w:val="center"/>
              <w:rPr>
                <w:rFonts w:hint="eastAsia" w:ascii="仿宋" w:hAnsi="仿宋" w:eastAsia="仿宋" w:cs="仿宋"/>
                <w:sz w:val="24"/>
              </w:rPr>
            </w:pPr>
            <w:r>
              <w:rPr>
                <w:rFonts w:hint="eastAsia" w:ascii="仿宋" w:hAnsi="仿宋" w:eastAsia="仿宋" w:cs="仿宋"/>
                <w:sz w:val="24"/>
                <w:szCs w:val="24"/>
              </w:rPr>
              <w:t>LD028 森林游憩和康养产业</w:t>
            </w:r>
          </w:p>
        </w:tc>
      </w:tr>
      <w:tr w14:paraId="0F81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0FF038F1">
            <w:pPr>
              <w:jc w:val="center"/>
              <w:rPr>
                <w:rFonts w:hint="eastAsia" w:ascii="仿宋" w:hAnsi="仿宋" w:eastAsia="仿宋" w:cs="仿宋"/>
                <w:sz w:val="24"/>
              </w:rPr>
            </w:pPr>
          </w:p>
        </w:tc>
        <w:tc>
          <w:tcPr>
            <w:tcW w:w="1285" w:type="dxa"/>
            <w:vAlign w:val="center"/>
          </w:tcPr>
          <w:p w14:paraId="28E75F7B">
            <w:pPr>
              <w:jc w:val="center"/>
              <w:rPr>
                <w:rFonts w:hint="eastAsia" w:ascii="仿宋" w:hAnsi="仿宋" w:eastAsia="仿宋" w:cs="仿宋"/>
                <w:sz w:val="24"/>
              </w:rPr>
            </w:pPr>
            <w:r>
              <w:rPr>
                <w:rFonts w:hint="eastAsia" w:ascii="仿宋" w:hAnsi="仿宋" w:eastAsia="仿宋" w:cs="仿宋"/>
                <w:sz w:val="24"/>
              </w:rPr>
              <w:t>自然生态系统保护和恢复</w:t>
            </w:r>
          </w:p>
        </w:tc>
        <w:tc>
          <w:tcPr>
            <w:tcW w:w="2697" w:type="dxa"/>
            <w:vAlign w:val="center"/>
          </w:tcPr>
          <w:p w14:paraId="2C6537EE">
            <w:pPr>
              <w:jc w:val="center"/>
              <w:rPr>
                <w:rFonts w:hint="eastAsia" w:ascii="仿宋" w:hAnsi="仿宋" w:eastAsia="仿宋" w:cs="仿宋"/>
                <w:sz w:val="24"/>
              </w:rPr>
            </w:pPr>
            <w:r>
              <w:rPr>
                <w:rFonts w:hint="eastAsia" w:ascii="仿宋" w:hAnsi="仿宋" w:eastAsia="仿宋" w:cs="仿宋"/>
                <w:sz w:val="24"/>
              </w:rPr>
              <w:t>土地</w:t>
            </w:r>
          </w:p>
          <w:p w14:paraId="7B126E5F">
            <w:pPr>
              <w:jc w:val="center"/>
              <w:rPr>
                <w:rFonts w:hint="eastAsia" w:ascii="仿宋" w:hAnsi="仿宋" w:eastAsia="仿宋" w:cs="仿宋"/>
                <w:sz w:val="24"/>
              </w:rPr>
            </w:pPr>
            <w:bookmarkStart w:id="70" w:name="_Toc2020387536"/>
            <w:bookmarkStart w:id="71" w:name="_Toc14320"/>
            <w:bookmarkStart w:id="72" w:name="_Toc11822"/>
            <w:bookmarkStart w:id="73" w:name="_Toc1294784188"/>
            <w:bookmarkStart w:id="74" w:name="_Toc1580620418"/>
            <w:r>
              <w:rPr>
                <w:rFonts w:hint="eastAsia" w:ascii="仿宋" w:hAnsi="仿宋" w:eastAsia="仿宋" w:cs="仿宋"/>
                <w:sz w:val="24"/>
              </w:rPr>
              <w:t>基础设施</w:t>
            </w:r>
            <w:bookmarkEnd w:id="70"/>
            <w:bookmarkEnd w:id="71"/>
            <w:bookmarkEnd w:id="72"/>
            <w:bookmarkEnd w:id="73"/>
            <w:bookmarkEnd w:id="74"/>
          </w:p>
        </w:tc>
        <w:tc>
          <w:tcPr>
            <w:tcW w:w="3246" w:type="dxa"/>
            <w:vAlign w:val="center"/>
          </w:tcPr>
          <w:p w14:paraId="1488CE69">
            <w:pPr>
              <w:jc w:val="center"/>
              <w:rPr>
                <w:rFonts w:hint="eastAsia" w:ascii="仿宋" w:hAnsi="仿宋" w:eastAsia="仿宋" w:cs="仿宋"/>
                <w:sz w:val="24"/>
                <w:szCs w:val="24"/>
              </w:rPr>
            </w:pPr>
            <w:r>
              <w:rPr>
                <w:rFonts w:hint="eastAsia" w:ascii="仿宋" w:hAnsi="仿宋" w:eastAsia="仿宋" w:cs="仿宋"/>
                <w:sz w:val="24"/>
                <w:szCs w:val="24"/>
              </w:rPr>
              <w:t>LD017 国家生态安全屏障保护修复</w:t>
            </w:r>
          </w:p>
          <w:p w14:paraId="05C06DF5">
            <w:pPr>
              <w:jc w:val="center"/>
              <w:rPr>
                <w:rFonts w:hint="eastAsia" w:ascii="仿宋" w:hAnsi="仿宋" w:eastAsia="仿宋" w:cs="仿宋"/>
                <w:sz w:val="24"/>
              </w:rPr>
            </w:pPr>
            <w:r>
              <w:rPr>
                <w:rFonts w:hint="eastAsia" w:ascii="仿宋" w:hAnsi="仿宋" w:eastAsia="仿宋" w:cs="仿宋"/>
                <w:sz w:val="24"/>
                <w:szCs w:val="24"/>
              </w:rPr>
              <w:t>LD019 矿山生态环境恢复LD023 采煤沉陷区综合治理</w:t>
            </w:r>
          </w:p>
        </w:tc>
      </w:tr>
      <w:tr w14:paraId="247D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1FDB7656">
            <w:pPr>
              <w:jc w:val="center"/>
              <w:rPr>
                <w:rFonts w:hint="eastAsia" w:ascii="仿宋" w:hAnsi="仿宋" w:eastAsia="仿宋" w:cs="仿宋"/>
                <w:sz w:val="24"/>
              </w:rPr>
            </w:pPr>
          </w:p>
        </w:tc>
        <w:tc>
          <w:tcPr>
            <w:tcW w:w="1285" w:type="dxa"/>
            <w:vAlign w:val="center"/>
          </w:tcPr>
          <w:p w14:paraId="196ECAE2">
            <w:pPr>
              <w:jc w:val="center"/>
              <w:rPr>
                <w:rFonts w:hint="eastAsia" w:ascii="仿宋" w:hAnsi="仿宋" w:eastAsia="仿宋" w:cs="仿宋"/>
                <w:sz w:val="24"/>
              </w:rPr>
            </w:pPr>
            <w:r>
              <w:rPr>
                <w:rFonts w:hint="eastAsia" w:ascii="仿宋" w:hAnsi="仿宋" w:eastAsia="仿宋" w:cs="仿宋"/>
                <w:sz w:val="24"/>
              </w:rPr>
              <w:t>渔业和水产养殖</w:t>
            </w:r>
          </w:p>
        </w:tc>
        <w:tc>
          <w:tcPr>
            <w:tcW w:w="2697" w:type="dxa"/>
            <w:vAlign w:val="center"/>
          </w:tcPr>
          <w:p w14:paraId="1E175971">
            <w:pPr>
              <w:jc w:val="center"/>
              <w:rPr>
                <w:rFonts w:hint="eastAsia" w:ascii="仿宋" w:hAnsi="仿宋" w:eastAsia="仿宋" w:cs="仿宋"/>
                <w:sz w:val="24"/>
              </w:rPr>
            </w:pPr>
            <w:r>
              <w:rPr>
                <w:rFonts w:hint="eastAsia" w:ascii="仿宋" w:hAnsi="仿宋" w:eastAsia="仿宋" w:cs="仿宋"/>
                <w:sz w:val="24"/>
              </w:rPr>
              <w:t>渔业</w:t>
            </w:r>
          </w:p>
          <w:p w14:paraId="2B5307B1">
            <w:pPr>
              <w:jc w:val="center"/>
              <w:rPr>
                <w:rFonts w:hint="eastAsia" w:ascii="仿宋" w:hAnsi="仿宋" w:eastAsia="仿宋" w:cs="仿宋"/>
                <w:sz w:val="24"/>
              </w:rPr>
            </w:pPr>
            <w:bookmarkStart w:id="75" w:name="_Toc459536850"/>
            <w:bookmarkStart w:id="76" w:name="_Toc27618"/>
            <w:bookmarkStart w:id="77" w:name="_Toc18660"/>
            <w:bookmarkStart w:id="78" w:name="_Toc2109732437"/>
            <w:bookmarkStart w:id="79" w:name="_Toc1804917048"/>
            <w:r>
              <w:rPr>
                <w:rFonts w:hint="eastAsia" w:ascii="仿宋" w:hAnsi="仿宋" w:eastAsia="仿宋" w:cs="仿宋"/>
                <w:sz w:val="24"/>
              </w:rPr>
              <w:t>基础设施</w:t>
            </w:r>
            <w:bookmarkEnd w:id="75"/>
            <w:bookmarkEnd w:id="76"/>
            <w:bookmarkEnd w:id="77"/>
            <w:bookmarkEnd w:id="78"/>
            <w:bookmarkEnd w:id="79"/>
          </w:p>
        </w:tc>
        <w:tc>
          <w:tcPr>
            <w:tcW w:w="3246" w:type="dxa"/>
            <w:vAlign w:val="center"/>
          </w:tcPr>
          <w:p w14:paraId="2F2D97EF">
            <w:pPr>
              <w:jc w:val="center"/>
              <w:rPr>
                <w:rFonts w:hint="eastAsia" w:ascii="仿宋" w:hAnsi="仿宋" w:eastAsia="仿宋" w:cs="仿宋"/>
                <w:sz w:val="24"/>
                <w:szCs w:val="24"/>
              </w:rPr>
            </w:pPr>
            <w:r>
              <w:rPr>
                <w:rFonts w:hint="eastAsia" w:ascii="仿宋" w:hAnsi="仿宋" w:eastAsia="仿宋" w:cs="仿宋"/>
                <w:sz w:val="24"/>
                <w:szCs w:val="24"/>
              </w:rPr>
              <w:t>LD010 绿色渔业</w:t>
            </w:r>
          </w:p>
          <w:p w14:paraId="7B1DED86">
            <w:pPr>
              <w:jc w:val="center"/>
              <w:rPr>
                <w:rFonts w:hint="eastAsia" w:ascii="仿宋" w:hAnsi="仿宋" w:eastAsia="仿宋" w:cs="仿宋"/>
                <w:sz w:val="24"/>
              </w:rPr>
            </w:pPr>
            <w:r>
              <w:rPr>
                <w:rFonts w:hint="eastAsia" w:ascii="仿宋" w:hAnsi="仿宋" w:eastAsia="仿宋" w:cs="仿宋"/>
                <w:sz w:val="24"/>
                <w:szCs w:val="24"/>
              </w:rPr>
              <w:t>LD004 增殖放流与海洋牧场建设和运营</w:t>
            </w:r>
          </w:p>
        </w:tc>
      </w:tr>
      <w:tr w14:paraId="3B04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22CE7AF3">
            <w:pPr>
              <w:jc w:val="center"/>
              <w:rPr>
                <w:rFonts w:hint="eastAsia" w:ascii="仿宋" w:hAnsi="仿宋" w:eastAsia="仿宋" w:cs="仿宋"/>
                <w:sz w:val="24"/>
              </w:rPr>
            </w:pPr>
          </w:p>
        </w:tc>
        <w:tc>
          <w:tcPr>
            <w:tcW w:w="1285" w:type="dxa"/>
            <w:vAlign w:val="center"/>
          </w:tcPr>
          <w:p w14:paraId="2DA72110">
            <w:pPr>
              <w:jc w:val="center"/>
              <w:rPr>
                <w:rFonts w:hint="eastAsia" w:ascii="仿宋" w:hAnsi="仿宋" w:eastAsia="仿宋" w:cs="仿宋"/>
                <w:sz w:val="24"/>
              </w:rPr>
            </w:pPr>
            <w:r>
              <w:rPr>
                <w:rFonts w:hint="eastAsia" w:ascii="仿宋" w:hAnsi="仿宋" w:eastAsia="仿宋" w:cs="仿宋"/>
                <w:sz w:val="24"/>
              </w:rPr>
              <w:t>供应链资产管理</w:t>
            </w:r>
          </w:p>
        </w:tc>
        <w:tc>
          <w:tcPr>
            <w:tcW w:w="2697" w:type="dxa"/>
            <w:vAlign w:val="center"/>
          </w:tcPr>
          <w:p w14:paraId="181FADA9">
            <w:pPr>
              <w:jc w:val="center"/>
              <w:rPr>
                <w:rFonts w:hint="eastAsia" w:ascii="仿宋" w:hAnsi="仿宋" w:eastAsia="仿宋" w:cs="仿宋"/>
                <w:sz w:val="24"/>
              </w:rPr>
            </w:pPr>
            <w:r>
              <w:rPr>
                <w:rFonts w:hint="eastAsia" w:ascii="仿宋" w:hAnsi="仿宋" w:eastAsia="仿宋" w:cs="仿宋"/>
                <w:sz w:val="24"/>
              </w:rPr>
              <w:t>供应链</w:t>
            </w:r>
          </w:p>
        </w:tc>
        <w:tc>
          <w:tcPr>
            <w:tcW w:w="3246" w:type="dxa"/>
            <w:vAlign w:val="center"/>
          </w:tcPr>
          <w:p w14:paraId="562E555F">
            <w:pPr>
              <w:jc w:val="center"/>
              <w:rPr>
                <w:rFonts w:hint="eastAsia" w:ascii="仿宋" w:hAnsi="仿宋" w:eastAsia="仿宋" w:cs="仿宋"/>
                <w:sz w:val="24"/>
              </w:rPr>
            </w:pPr>
            <w:r>
              <w:rPr>
                <w:rFonts w:hint="eastAsia" w:ascii="仿宋" w:hAnsi="仿宋" w:eastAsia="仿宋" w:cs="仿宋"/>
                <w:sz w:val="24"/>
                <w:szCs w:val="24"/>
              </w:rPr>
              <w:t>LF029 绿色食品认证推广</w:t>
            </w:r>
          </w:p>
        </w:tc>
      </w:tr>
      <w:tr w14:paraId="4BE2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7B8A02CE">
            <w:pPr>
              <w:jc w:val="center"/>
              <w:rPr>
                <w:rFonts w:hint="eastAsia" w:ascii="仿宋" w:hAnsi="仿宋" w:eastAsia="仿宋" w:cs="仿宋"/>
                <w:sz w:val="24"/>
              </w:rPr>
            </w:pPr>
            <w:r>
              <w:rPr>
                <w:rFonts w:hint="eastAsia" w:ascii="仿宋" w:hAnsi="仿宋" w:eastAsia="仿宋" w:cs="仿宋"/>
                <w:sz w:val="24"/>
              </w:rPr>
              <w:t>废弃物——回收、利用及其他废弃物管理</w:t>
            </w:r>
          </w:p>
        </w:tc>
        <w:tc>
          <w:tcPr>
            <w:tcW w:w="1285" w:type="dxa"/>
            <w:vAlign w:val="center"/>
          </w:tcPr>
          <w:p w14:paraId="481C7F7F">
            <w:pPr>
              <w:jc w:val="center"/>
              <w:rPr>
                <w:rFonts w:hint="eastAsia" w:ascii="仿宋" w:hAnsi="仿宋" w:eastAsia="仿宋" w:cs="仿宋"/>
                <w:sz w:val="24"/>
              </w:rPr>
            </w:pPr>
            <w:r>
              <w:rPr>
                <w:rFonts w:hint="eastAsia" w:ascii="仿宋" w:hAnsi="仿宋" w:eastAsia="仿宋" w:cs="仿宋"/>
                <w:sz w:val="24"/>
              </w:rPr>
              <w:t>准备</w:t>
            </w:r>
          </w:p>
        </w:tc>
        <w:tc>
          <w:tcPr>
            <w:tcW w:w="2697" w:type="dxa"/>
            <w:vAlign w:val="center"/>
          </w:tcPr>
          <w:p w14:paraId="451F5274">
            <w:pPr>
              <w:jc w:val="center"/>
              <w:rPr>
                <w:rFonts w:hint="eastAsia" w:ascii="仿宋" w:hAnsi="仿宋" w:eastAsia="仿宋" w:cs="仿宋"/>
                <w:sz w:val="24"/>
              </w:rPr>
            </w:pPr>
            <w:r>
              <w:rPr>
                <w:rFonts w:hint="eastAsia" w:ascii="仿宋" w:hAnsi="仿宋" w:eastAsia="仿宋" w:cs="仿宋"/>
                <w:sz w:val="24"/>
              </w:rPr>
              <w:t>收集、整理和资源回收的设施</w:t>
            </w:r>
          </w:p>
        </w:tc>
        <w:tc>
          <w:tcPr>
            <w:tcW w:w="3246" w:type="dxa"/>
            <w:vMerge w:val="restart"/>
            <w:vAlign w:val="center"/>
          </w:tcPr>
          <w:p w14:paraId="7625AF8D">
            <w:pPr>
              <w:jc w:val="center"/>
              <w:rPr>
                <w:rFonts w:hint="eastAsia" w:ascii="仿宋" w:hAnsi="仿宋" w:eastAsia="仿宋" w:cs="仿宋"/>
                <w:sz w:val="24"/>
                <w:szCs w:val="24"/>
              </w:rPr>
            </w:pPr>
            <w:r>
              <w:rPr>
                <w:rFonts w:hint="eastAsia" w:ascii="仿宋" w:hAnsi="仿宋" w:eastAsia="仿宋" w:cs="仿宋"/>
                <w:sz w:val="24"/>
                <w:szCs w:val="24"/>
              </w:rPr>
              <w:t>LE011 生活垃圾处理设施建设和运营</w:t>
            </w:r>
          </w:p>
          <w:p w14:paraId="3BCBB1BC">
            <w:pPr>
              <w:jc w:val="center"/>
              <w:rPr>
                <w:rFonts w:hint="eastAsia" w:ascii="仿宋" w:hAnsi="仿宋" w:eastAsia="仿宋" w:cs="仿宋"/>
                <w:sz w:val="24"/>
                <w:szCs w:val="24"/>
              </w:rPr>
            </w:pPr>
            <w:r>
              <w:rPr>
                <w:rFonts w:hint="eastAsia" w:ascii="仿宋" w:hAnsi="仿宋" w:eastAsia="仿宋" w:cs="仿宋"/>
                <w:sz w:val="24"/>
                <w:szCs w:val="24"/>
              </w:rPr>
              <w:t>LA055 废旧资源再生利用LA057 城乡生活垃圾综合利用</w:t>
            </w:r>
          </w:p>
          <w:p w14:paraId="70DB3EEE">
            <w:pPr>
              <w:jc w:val="center"/>
              <w:rPr>
                <w:rFonts w:hint="eastAsia" w:ascii="仿宋" w:hAnsi="仿宋" w:eastAsia="仿宋" w:cs="仿宋"/>
                <w:sz w:val="24"/>
              </w:rPr>
            </w:pPr>
            <w:r>
              <w:rPr>
                <w:rFonts w:hint="eastAsia" w:ascii="仿宋" w:hAnsi="仿宋" w:eastAsia="仿宋" w:cs="仿宋"/>
                <w:sz w:val="24"/>
                <w:szCs w:val="24"/>
              </w:rPr>
              <w:t>LA058 农业废弃物资源化利用</w:t>
            </w:r>
          </w:p>
        </w:tc>
      </w:tr>
      <w:tr w14:paraId="15CA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4E8C7C01">
            <w:pPr>
              <w:jc w:val="center"/>
              <w:rPr>
                <w:rFonts w:hint="eastAsia" w:ascii="仿宋" w:hAnsi="仿宋" w:eastAsia="仿宋" w:cs="仿宋"/>
                <w:sz w:val="24"/>
              </w:rPr>
            </w:pPr>
          </w:p>
        </w:tc>
        <w:tc>
          <w:tcPr>
            <w:tcW w:w="1285" w:type="dxa"/>
            <w:vAlign w:val="center"/>
          </w:tcPr>
          <w:p w14:paraId="610621D5">
            <w:pPr>
              <w:jc w:val="center"/>
              <w:rPr>
                <w:rFonts w:hint="eastAsia" w:ascii="仿宋" w:hAnsi="仿宋" w:eastAsia="仿宋" w:cs="仿宋"/>
                <w:sz w:val="24"/>
              </w:rPr>
            </w:pPr>
            <w:r>
              <w:rPr>
                <w:rFonts w:hint="eastAsia" w:ascii="仿宋" w:hAnsi="仿宋" w:eastAsia="仿宋" w:cs="仿宋"/>
                <w:sz w:val="24"/>
              </w:rPr>
              <w:t>再利用</w:t>
            </w:r>
          </w:p>
        </w:tc>
        <w:tc>
          <w:tcPr>
            <w:tcW w:w="2697" w:type="dxa"/>
            <w:vAlign w:val="center"/>
          </w:tcPr>
          <w:p w14:paraId="027A8936">
            <w:pPr>
              <w:jc w:val="center"/>
              <w:rPr>
                <w:rFonts w:hint="eastAsia" w:ascii="仿宋" w:hAnsi="仿宋" w:eastAsia="仿宋" w:cs="仿宋"/>
                <w:sz w:val="24"/>
              </w:rPr>
            </w:pPr>
            <w:r>
              <w:rPr>
                <w:rFonts w:hint="eastAsia" w:ascii="仿宋" w:hAnsi="仿宋" w:eastAsia="仿宋" w:cs="仿宋"/>
                <w:sz w:val="24"/>
              </w:rPr>
              <w:t>材料再利用的设施</w:t>
            </w:r>
          </w:p>
        </w:tc>
        <w:tc>
          <w:tcPr>
            <w:tcW w:w="3246" w:type="dxa"/>
            <w:vMerge w:val="continue"/>
            <w:vAlign w:val="center"/>
          </w:tcPr>
          <w:p w14:paraId="7BFBAFBC">
            <w:pPr>
              <w:jc w:val="center"/>
              <w:rPr>
                <w:rFonts w:hint="eastAsia" w:ascii="仿宋" w:hAnsi="仿宋" w:eastAsia="仿宋" w:cs="仿宋"/>
                <w:sz w:val="24"/>
              </w:rPr>
            </w:pPr>
          </w:p>
        </w:tc>
      </w:tr>
      <w:tr w14:paraId="4F72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7BE26157">
            <w:pPr>
              <w:jc w:val="center"/>
              <w:rPr>
                <w:rFonts w:hint="eastAsia" w:ascii="仿宋" w:hAnsi="仿宋" w:eastAsia="仿宋" w:cs="仿宋"/>
                <w:sz w:val="24"/>
              </w:rPr>
            </w:pPr>
          </w:p>
        </w:tc>
        <w:tc>
          <w:tcPr>
            <w:tcW w:w="1285" w:type="dxa"/>
            <w:vAlign w:val="center"/>
          </w:tcPr>
          <w:p w14:paraId="4A7A7A67">
            <w:pPr>
              <w:jc w:val="center"/>
              <w:rPr>
                <w:rFonts w:hint="eastAsia" w:ascii="仿宋" w:hAnsi="仿宋" w:eastAsia="仿宋" w:cs="仿宋"/>
                <w:sz w:val="24"/>
              </w:rPr>
            </w:pPr>
            <w:r>
              <w:rPr>
                <w:rFonts w:hint="eastAsia" w:ascii="仿宋" w:hAnsi="仿宋" w:eastAsia="仿宋" w:cs="仿宋"/>
                <w:sz w:val="24"/>
              </w:rPr>
              <w:t>回收</w:t>
            </w:r>
          </w:p>
        </w:tc>
        <w:tc>
          <w:tcPr>
            <w:tcW w:w="2697" w:type="dxa"/>
            <w:vAlign w:val="center"/>
          </w:tcPr>
          <w:p w14:paraId="7988D3CF">
            <w:pPr>
              <w:jc w:val="center"/>
              <w:rPr>
                <w:rFonts w:hint="eastAsia" w:ascii="仿宋" w:hAnsi="仿宋" w:eastAsia="仿宋" w:cs="仿宋"/>
                <w:sz w:val="24"/>
              </w:rPr>
            </w:pPr>
            <w:r>
              <w:rPr>
                <w:rFonts w:hint="eastAsia" w:ascii="仿宋" w:hAnsi="仿宋" w:eastAsia="仿宋" w:cs="仿宋"/>
                <w:sz w:val="24"/>
              </w:rPr>
              <w:t>回收物料的设施</w:t>
            </w:r>
          </w:p>
        </w:tc>
        <w:tc>
          <w:tcPr>
            <w:tcW w:w="3246" w:type="dxa"/>
            <w:vMerge w:val="continue"/>
            <w:vAlign w:val="center"/>
          </w:tcPr>
          <w:p w14:paraId="641BAD9F">
            <w:pPr>
              <w:jc w:val="center"/>
              <w:rPr>
                <w:rFonts w:hint="eastAsia" w:ascii="仿宋" w:hAnsi="仿宋" w:eastAsia="仿宋" w:cs="仿宋"/>
                <w:sz w:val="24"/>
              </w:rPr>
            </w:pPr>
          </w:p>
        </w:tc>
      </w:tr>
      <w:tr w14:paraId="499C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28495D5F">
            <w:pPr>
              <w:jc w:val="center"/>
              <w:rPr>
                <w:rFonts w:hint="eastAsia" w:ascii="仿宋" w:hAnsi="仿宋" w:eastAsia="仿宋" w:cs="仿宋"/>
                <w:sz w:val="24"/>
              </w:rPr>
            </w:pPr>
          </w:p>
        </w:tc>
        <w:tc>
          <w:tcPr>
            <w:tcW w:w="1285" w:type="dxa"/>
            <w:vAlign w:val="center"/>
          </w:tcPr>
          <w:p w14:paraId="0E21F8D8">
            <w:pPr>
              <w:jc w:val="center"/>
              <w:rPr>
                <w:rFonts w:hint="eastAsia" w:ascii="仿宋" w:hAnsi="仿宋" w:eastAsia="仿宋" w:cs="仿宋"/>
                <w:sz w:val="24"/>
              </w:rPr>
            </w:pPr>
            <w:r>
              <w:rPr>
                <w:rFonts w:hint="eastAsia" w:ascii="仿宋" w:hAnsi="仿宋" w:eastAsia="仿宋" w:cs="仿宋"/>
                <w:sz w:val="24"/>
              </w:rPr>
              <w:t>生物处理设施</w:t>
            </w:r>
          </w:p>
        </w:tc>
        <w:tc>
          <w:tcPr>
            <w:tcW w:w="2697" w:type="dxa"/>
            <w:vAlign w:val="center"/>
          </w:tcPr>
          <w:p w14:paraId="398E6738">
            <w:pPr>
              <w:jc w:val="center"/>
              <w:rPr>
                <w:rFonts w:hint="eastAsia" w:ascii="仿宋" w:hAnsi="仿宋" w:eastAsia="仿宋" w:cs="仿宋"/>
                <w:sz w:val="24"/>
              </w:rPr>
            </w:pPr>
            <w:r>
              <w:rPr>
                <w:rFonts w:hint="eastAsia" w:ascii="仿宋" w:hAnsi="仿宋" w:eastAsia="仿宋" w:cs="仿宋"/>
                <w:sz w:val="24"/>
              </w:rPr>
              <w:t>厌氧消化设施</w:t>
            </w:r>
          </w:p>
          <w:p w14:paraId="73827A84">
            <w:pPr>
              <w:jc w:val="center"/>
              <w:rPr>
                <w:rFonts w:hint="eastAsia" w:ascii="仿宋" w:hAnsi="仿宋" w:eastAsia="仿宋" w:cs="仿宋"/>
                <w:sz w:val="24"/>
              </w:rPr>
            </w:pPr>
            <w:bookmarkStart w:id="80" w:name="_Toc981446363"/>
            <w:bookmarkStart w:id="81" w:name="_Toc1422115533"/>
            <w:bookmarkStart w:id="82" w:name="_Toc109436869"/>
            <w:bookmarkStart w:id="83" w:name="_Toc23576"/>
            <w:bookmarkStart w:id="84" w:name="_Toc17522"/>
            <w:r>
              <w:rPr>
                <w:rFonts w:hint="eastAsia" w:ascii="仿宋" w:hAnsi="仿宋" w:eastAsia="仿宋" w:cs="仿宋"/>
                <w:sz w:val="24"/>
              </w:rPr>
              <w:t>堆肥设施</w:t>
            </w:r>
            <w:bookmarkEnd w:id="80"/>
            <w:bookmarkEnd w:id="81"/>
            <w:bookmarkEnd w:id="82"/>
            <w:bookmarkEnd w:id="83"/>
            <w:bookmarkEnd w:id="84"/>
          </w:p>
        </w:tc>
        <w:tc>
          <w:tcPr>
            <w:tcW w:w="3246" w:type="dxa"/>
            <w:vMerge w:val="continue"/>
            <w:vAlign w:val="center"/>
          </w:tcPr>
          <w:p w14:paraId="1A75239D">
            <w:pPr>
              <w:jc w:val="center"/>
              <w:rPr>
                <w:rFonts w:hint="eastAsia" w:ascii="仿宋" w:hAnsi="仿宋" w:eastAsia="仿宋" w:cs="仿宋"/>
                <w:sz w:val="24"/>
              </w:rPr>
            </w:pPr>
          </w:p>
        </w:tc>
      </w:tr>
      <w:tr w14:paraId="33CB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4" w:type="dxa"/>
            <w:vMerge w:val="continue"/>
            <w:vAlign w:val="center"/>
          </w:tcPr>
          <w:p w14:paraId="18725C34">
            <w:pPr>
              <w:jc w:val="center"/>
              <w:rPr>
                <w:rFonts w:hint="eastAsia" w:ascii="仿宋" w:hAnsi="仿宋" w:eastAsia="仿宋" w:cs="仿宋"/>
                <w:sz w:val="24"/>
              </w:rPr>
            </w:pPr>
          </w:p>
        </w:tc>
        <w:tc>
          <w:tcPr>
            <w:tcW w:w="1285" w:type="dxa"/>
            <w:vAlign w:val="center"/>
          </w:tcPr>
          <w:p w14:paraId="74E1AF52">
            <w:pPr>
              <w:jc w:val="center"/>
              <w:rPr>
                <w:rFonts w:hint="eastAsia" w:ascii="仿宋" w:hAnsi="仿宋" w:eastAsia="仿宋" w:cs="仿宋"/>
                <w:sz w:val="24"/>
              </w:rPr>
            </w:pPr>
            <w:r>
              <w:rPr>
                <w:rFonts w:hint="eastAsia" w:ascii="仿宋" w:hAnsi="仿宋" w:eastAsia="仿宋" w:cs="仿宋"/>
                <w:sz w:val="24"/>
              </w:rPr>
              <w:t>废转能</w:t>
            </w:r>
          </w:p>
        </w:tc>
        <w:tc>
          <w:tcPr>
            <w:tcW w:w="2697" w:type="dxa"/>
            <w:vAlign w:val="center"/>
          </w:tcPr>
          <w:p w14:paraId="1B98012F">
            <w:pPr>
              <w:jc w:val="center"/>
              <w:rPr>
                <w:rFonts w:hint="eastAsia" w:ascii="仿宋" w:hAnsi="仿宋" w:eastAsia="仿宋" w:cs="仿宋"/>
                <w:sz w:val="24"/>
              </w:rPr>
            </w:pPr>
            <w:r>
              <w:rPr>
                <w:rFonts w:hint="eastAsia" w:ascii="仿宋" w:hAnsi="仿宋" w:eastAsia="仿宋" w:cs="仿宋"/>
                <w:sz w:val="24"/>
              </w:rPr>
              <w:t>废能互换厂（例如焚化、气化、热解和等离子体）</w:t>
            </w:r>
          </w:p>
        </w:tc>
        <w:tc>
          <w:tcPr>
            <w:tcW w:w="3246" w:type="dxa"/>
            <w:vMerge w:val="continue"/>
            <w:vAlign w:val="center"/>
          </w:tcPr>
          <w:p w14:paraId="5FF19099">
            <w:pPr>
              <w:jc w:val="center"/>
              <w:rPr>
                <w:rFonts w:hint="eastAsia" w:ascii="仿宋" w:hAnsi="仿宋" w:eastAsia="仿宋" w:cs="仿宋"/>
                <w:sz w:val="24"/>
              </w:rPr>
            </w:pPr>
          </w:p>
        </w:tc>
      </w:tr>
      <w:tr w14:paraId="7ACC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1B574ECB">
            <w:pPr>
              <w:jc w:val="center"/>
              <w:rPr>
                <w:rFonts w:hint="eastAsia" w:ascii="仿宋" w:hAnsi="仿宋" w:eastAsia="仿宋" w:cs="仿宋"/>
                <w:sz w:val="24"/>
              </w:rPr>
            </w:pPr>
          </w:p>
        </w:tc>
        <w:tc>
          <w:tcPr>
            <w:tcW w:w="1285" w:type="dxa"/>
            <w:vAlign w:val="center"/>
          </w:tcPr>
          <w:p w14:paraId="3CBB25E4">
            <w:pPr>
              <w:jc w:val="center"/>
              <w:rPr>
                <w:rFonts w:hint="eastAsia" w:ascii="仿宋" w:hAnsi="仿宋" w:eastAsia="仿宋" w:cs="仿宋"/>
                <w:sz w:val="24"/>
              </w:rPr>
            </w:pPr>
            <w:r>
              <w:rPr>
                <w:rFonts w:hint="eastAsia" w:ascii="仿宋" w:hAnsi="仿宋" w:eastAsia="仿宋" w:cs="仿宋"/>
                <w:sz w:val="24"/>
              </w:rPr>
              <w:t>垃圾填埋场</w:t>
            </w:r>
          </w:p>
        </w:tc>
        <w:tc>
          <w:tcPr>
            <w:tcW w:w="2697" w:type="dxa"/>
            <w:vAlign w:val="center"/>
          </w:tcPr>
          <w:p w14:paraId="7AA07395">
            <w:pPr>
              <w:jc w:val="center"/>
              <w:rPr>
                <w:rFonts w:hint="eastAsia" w:ascii="仿宋" w:hAnsi="仿宋" w:eastAsia="仿宋" w:cs="仿宋"/>
                <w:sz w:val="24"/>
              </w:rPr>
            </w:pPr>
            <w:r>
              <w:rPr>
                <w:rFonts w:hint="eastAsia" w:ascii="仿宋" w:hAnsi="仿宋" w:eastAsia="仿宋" w:cs="仿宋"/>
                <w:sz w:val="24"/>
              </w:rPr>
              <w:t>捕获燃气的填埋场</w:t>
            </w:r>
          </w:p>
        </w:tc>
        <w:tc>
          <w:tcPr>
            <w:tcW w:w="3246" w:type="dxa"/>
            <w:vMerge w:val="continue"/>
            <w:vAlign w:val="center"/>
          </w:tcPr>
          <w:p w14:paraId="3A21D180">
            <w:pPr>
              <w:jc w:val="center"/>
              <w:rPr>
                <w:rFonts w:hint="eastAsia" w:ascii="仿宋" w:hAnsi="仿宋" w:eastAsia="仿宋" w:cs="仿宋"/>
                <w:sz w:val="24"/>
              </w:rPr>
            </w:pPr>
          </w:p>
        </w:tc>
      </w:tr>
      <w:tr w14:paraId="0C46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02DD566A">
            <w:pPr>
              <w:jc w:val="center"/>
              <w:rPr>
                <w:rFonts w:hint="eastAsia" w:ascii="仿宋" w:hAnsi="仿宋" w:eastAsia="仿宋" w:cs="仿宋"/>
                <w:sz w:val="24"/>
              </w:rPr>
            </w:pPr>
          </w:p>
        </w:tc>
        <w:tc>
          <w:tcPr>
            <w:tcW w:w="1285" w:type="dxa"/>
            <w:vAlign w:val="center"/>
          </w:tcPr>
          <w:p w14:paraId="6A59D5CB">
            <w:pPr>
              <w:jc w:val="center"/>
              <w:rPr>
                <w:rFonts w:hint="eastAsia" w:ascii="仿宋" w:hAnsi="仿宋" w:eastAsia="仿宋" w:cs="仿宋"/>
                <w:sz w:val="24"/>
              </w:rPr>
            </w:pPr>
            <w:r>
              <w:rPr>
                <w:rFonts w:hint="eastAsia" w:ascii="仿宋" w:hAnsi="仿宋" w:eastAsia="仿宋" w:cs="仿宋"/>
                <w:sz w:val="24"/>
              </w:rPr>
              <w:t>污水</w:t>
            </w:r>
          </w:p>
        </w:tc>
        <w:tc>
          <w:tcPr>
            <w:tcW w:w="2697" w:type="dxa"/>
            <w:vAlign w:val="center"/>
          </w:tcPr>
          <w:p w14:paraId="3381BD4D">
            <w:pPr>
              <w:jc w:val="center"/>
              <w:rPr>
                <w:rFonts w:hint="eastAsia" w:ascii="仿宋" w:hAnsi="仿宋" w:eastAsia="仿宋" w:cs="仿宋"/>
                <w:sz w:val="24"/>
              </w:rPr>
            </w:pPr>
            <w:r>
              <w:rPr>
                <w:rFonts w:hint="eastAsia" w:ascii="仿宋" w:hAnsi="仿宋" w:eastAsia="仿宋" w:cs="仿宋"/>
                <w:sz w:val="24"/>
              </w:rPr>
              <w:t>污水处理</w:t>
            </w:r>
          </w:p>
        </w:tc>
        <w:tc>
          <w:tcPr>
            <w:tcW w:w="3246" w:type="dxa"/>
            <w:vAlign w:val="center"/>
          </w:tcPr>
          <w:p w14:paraId="375C0ABC">
            <w:pPr>
              <w:jc w:val="center"/>
              <w:rPr>
                <w:rFonts w:hint="eastAsia" w:ascii="仿宋" w:hAnsi="仿宋" w:eastAsia="仿宋" w:cs="仿宋"/>
                <w:sz w:val="24"/>
              </w:rPr>
            </w:pPr>
            <w:r>
              <w:rPr>
                <w:rFonts w:hint="eastAsia" w:ascii="仿宋" w:hAnsi="仿宋" w:eastAsia="仿宋" w:cs="仿宋"/>
                <w:sz w:val="24"/>
                <w:szCs w:val="24"/>
              </w:rPr>
              <w:t>LA059 城镇污水处理厂污泥综合利用</w:t>
            </w:r>
          </w:p>
        </w:tc>
      </w:tr>
      <w:tr w14:paraId="1828A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restart"/>
            <w:vAlign w:val="center"/>
          </w:tcPr>
          <w:p w14:paraId="64FAC15E">
            <w:pPr>
              <w:jc w:val="center"/>
              <w:rPr>
                <w:rFonts w:hint="eastAsia" w:ascii="仿宋" w:hAnsi="仿宋" w:eastAsia="仿宋" w:cs="仿宋"/>
                <w:sz w:val="24"/>
              </w:rPr>
            </w:pPr>
            <w:r>
              <w:rPr>
                <w:rFonts w:hint="eastAsia" w:ascii="仿宋" w:hAnsi="仿宋" w:eastAsia="仿宋" w:cs="仿宋"/>
                <w:sz w:val="24"/>
              </w:rPr>
              <w:t>信息通讯技术——网络、管理和通信工具</w:t>
            </w:r>
          </w:p>
        </w:tc>
        <w:tc>
          <w:tcPr>
            <w:tcW w:w="1285" w:type="dxa"/>
            <w:vAlign w:val="center"/>
          </w:tcPr>
          <w:p w14:paraId="52260D00">
            <w:pPr>
              <w:jc w:val="center"/>
              <w:rPr>
                <w:rFonts w:hint="eastAsia" w:ascii="仿宋" w:hAnsi="仿宋" w:eastAsia="仿宋" w:cs="仿宋"/>
                <w:sz w:val="24"/>
              </w:rPr>
            </w:pPr>
            <w:r>
              <w:rPr>
                <w:rFonts w:hint="eastAsia" w:ascii="仿宋" w:hAnsi="仿宋" w:eastAsia="仿宋" w:cs="仿宋"/>
                <w:sz w:val="24"/>
              </w:rPr>
              <w:t>宽带网络</w:t>
            </w:r>
          </w:p>
        </w:tc>
        <w:tc>
          <w:tcPr>
            <w:tcW w:w="2697" w:type="dxa"/>
            <w:vAlign w:val="center"/>
          </w:tcPr>
          <w:p w14:paraId="312A54CB">
            <w:pPr>
              <w:jc w:val="center"/>
              <w:rPr>
                <w:rFonts w:hint="eastAsia" w:ascii="仿宋" w:hAnsi="仿宋" w:eastAsia="仿宋" w:cs="仿宋"/>
                <w:sz w:val="24"/>
              </w:rPr>
            </w:pPr>
            <w:r>
              <w:rPr>
                <w:rFonts w:hint="eastAsia" w:ascii="仿宋" w:hAnsi="仿宋" w:eastAsia="仿宋" w:cs="仿宋"/>
                <w:sz w:val="24"/>
              </w:rPr>
              <w:t>宽带网络</w:t>
            </w:r>
          </w:p>
          <w:p w14:paraId="5F956E09">
            <w:pPr>
              <w:jc w:val="center"/>
              <w:rPr>
                <w:rFonts w:hint="eastAsia" w:ascii="仿宋" w:hAnsi="仿宋" w:eastAsia="仿宋" w:cs="仿宋"/>
                <w:sz w:val="24"/>
              </w:rPr>
            </w:pPr>
            <w:bookmarkStart w:id="85" w:name="_Toc1101306485"/>
            <w:bookmarkStart w:id="86" w:name="_Toc422425693"/>
            <w:bookmarkStart w:id="87" w:name="_Toc27060"/>
            <w:bookmarkStart w:id="88" w:name="_Toc10236"/>
            <w:bookmarkStart w:id="89" w:name="_Toc1457301626"/>
            <w:r>
              <w:rPr>
                <w:rFonts w:hint="eastAsia" w:ascii="仿宋" w:hAnsi="仿宋" w:eastAsia="仿宋" w:cs="仿宋"/>
                <w:sz w:val="24"/>
              </w:rPr>
              <w:t>辅助基础设施</w:t>
            </w:r>
            <w:bookmarkEnd w:id="85"/>
            <w:bookmarkEnd w:id="86"/>
            <w:bookmarkEnd w:id="87"/>
            <w:bookmarkEnd w:id="88"/>
            <w:bookmarkEnd w:id="89"/>
          </w:p>
        </w:tc>
        <w:tc>
          <w:tcPr>
            <w:tcW w:w="3246" w:type="dxa"/>
            <w:vMerge w:val="restart"/>
            <w:vAlign w:val="center"/>
          </w:tcPr>
          <w:p w14:paraId="7BCD6D8E">
            <w:pPr>
              <w:jc w:val="center"/>
              <w:rPr>
                <w:rFonts w:hint="eastAsia" w:ascii="仿宋" w:hAnsi="仿宋" w:eastAsia="仿宋" w:cs="仿宋"/>
                <w:sz w:val="24"/>
                <w:szCs w:val="24"/>
              </w:rPr>
            </w:pPr>
            <w:r>
              <w:rPr>
                <w:rFonts w:hint="eastAsia" w:ascii="仿宋" w:hAnsi="仿宋" w:eastAsia="仿宋" w:cs="仿宋"/>
                <w:sz w:val="24"/>
                <w:szCs w:val="24"/>
              </w:rPr>
              <w:t>LC002 智能电网建设和运营LE002 城镇电力设施智能化建设运营和改造</w:t>
            </w:r>
          </w:p>
          <w:p w14:paraId="3024C85D">
            <w:pPr>
              <w:jc w:val="center"/>
              <w:rPr>
                <w:rFonts w:hint="eastAsia" w:ascii="仿宋" w:hAnsi="仿宋" w:eastAsia="仿宋" w:cs="仿宋"/>
                <w:sz w:val="24"/>
                <w:szCs w:val="24"/>
              </w:rPr>
            </w:pPr>
            <w:r>
              <w:rPr>
                <w:rFonts w:hint="eastAsia" w:ascii="仿宋" w:hAnsi="仿宋" w:eastAsia="仿宋" w:cs="仿宋"/>
                <w:sz w:val="24"/>
                <w:szCs w:val="24"/>
              </w:rPr>
              <w:t>LE023 智能交通体系建设和运营</w:t>
            </w:r>
          </w:p>
          <w:p w14:paraId="0C751EC2">
            <w:pPr>
              <w:jc w:val="center"/>
              <w:rPr>
                <w:rFonts w:hint="eastAsia" w:ascii="仿宋" w:hAnsi="仿宋" w:eastAsia="仿宋" w:cs="仿宋"/>
                <w:sz w:val="24"/>
              </w:rPr>
            </w:pPr>
            <w:r>
              <w:rPr>
                <w:rFonts w:hint="eastAsia" w:ascii="仿宋" w:hAnsi="仿宋" w:eastAsia="仿宋" w:cs="仿宋"/>
                <w:sz w:val="24"/>
                <w:szCs w:val="24"/>
              </w:rPr>
              <w:t>LF022 企业环境监测</w:t>
            </w:r>
          </w:p>
        </w:tc>
      </w:tr>
      <w:tr w14:paraId="7B06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4BDFEA59">
            <w:pPr>
              <w:jc w:val="center"/>
              <w:rPr>
                <w:rFonts w:hint="eastAsia" w:ascii="仿宋" w:hAnsi="仿宋" w:eastAsia="仿宋" w:cs="仿宋"/>
                <w:sz w:val="24"/>
              </w:rPr>
            </w:pPr>
          </w:p>
        </w:tc>
        <w:tc>
          <w:tcPr>
            <w:tcW w:w="1285" w:type="dxa"/>
            <w:vAlign w:val="center"/>
          </w:tcPr>
          <w:p w14:paraId="6FF20617">
            <w:pPr>
              <w:jc w:val="center"/>
              <w:rPr>
                <w:rFonts w:hint="eastAsia" w:ascii="仿宋" w:hAnsi="仿宋" w:eastAsia="仿宋" w:cs="仿宋"/>
                <w:sz w:val="24"/>
              </w:rPr>
            </w:pPr>
            <w:r>
              <w:rPr>
                <w:rFonts w:hint="eastAsia" w:ascii="仿宋" w:hAnsi="仿宋" w:eastAsia="仿宋" w:cs="仿宋"/>
                <w:sz w:val="24"/>
              </w:rPr>
              <w:t>信息技术方案</w:t>
            </w:r>
          </w:p>
        </w:tc>
        <w:tc>
          <w:tcPr>
            <w:tcW w:w="2697" w:type="dxa"/>
            <w:vAlign w:val="center"/>
          </w:tcPr>
          <w:p w14:paraId="72196F21">
            <w:pPr>
              <w:jc w:val="center"/>
              <w:rPr>
                <w:rFonts w:hint="eastAsia" w:ascii="仿宋" w:hAnsi="仿宋" w:eastAsia="仿宋" w:cs="仿宋"/>
                <w:sz w:val="24"/>
              </w:rPr>
            </w:pPr>
            <w:r>
              <w:rPr>
                <w:rFonts w:hint="eastAsia" w:ascii="仿宋" w:hAnsi="仿宋" w:eastAsia="仿宋" w:cs="仿宋"/>
                <w:sz w:val="24"/>
              </w:rPr>
              <w:t>连接功能设施</w:t>
            </w:r>
          </w:p>
          <w:p w14:paraId="7416437E">
            <w:pPr>
              <w:jc w:val="center"/>
              <w:rPr>
                <w:rFonts w:hint="eastAsia" w:ascii="仿宋" w:hAnsi="仿宋" w:eastAsia="仿宋" w:cs="仿宋"/>
                <w:sz w:val="24"/>
              </w:rPr>
            </w:pPr>
            <w:bookmarkStart w:id="90" w:name="_Toc298085050"/>
            <w:bookmarkStart w:id="91" w:name="_Toc22423"/>
            <w:bookmarkStart w:id="92" w:name="_Toc1272577734"/>
            <w:bookmarkStart w:id="93" w:name="_Toc5748"/>
            <w:bookmarkStart w:id="94" w:name="_Toc198633734"/>
            <w:r>
              <w:rPr>
                <w:rFonts w:hint="eastAsia" w:ascii="仿宋" w:hAnsi="仿宋" w:eastAsia="仿宋" w:cs="仿宋"/>
                <w:sz w:val="24"/>
              </w:rPr>
              <w:t>数据中心</w:t>
            </w:r>
            <w:bookmarkEnd w:id="90"/>
            <w:bookmarkEnd w:id="91"/>
            <w:bookmarkEnd w:id="92"/>
            <w:bookmarkEnd w:id="93"/>
            <w:bookmarkEnd w:id="94"/>
          </w:p>
          <w:p w14:paraId="7678939C">
            <w:pPr>
              <w:jc w:val="center"/>
              <w:rPr>
                <w:rFonts w:hint="eastAsia" w:ascii="仿宋" w:hAnsi="仿宋" w:eastAsia="仿宋" w:cs="仿宋"/>
                <w:sz w:val="24"/>
              </w:rPr>
            </w:pPr>
            <w:r>
              <w:rPr>
                <w:rFonts w:hint="eastAsia" w:ascii="仿宋" w:hAnsi="仿宋" w:eastAsia="仿宋" w:cs="仿宋"/>
                <w:sz w:val="24"/>
              </w:rPr>
              <w:t>辅助基础设施</w:t>
            </w:r>
          </w:p>
        </w:tc>
        <w:tc>
          <w:tcPr>
            <w:tcW w:w="3246" w:type="dxa"/>
            <w:vMerge w:val="continue"/>
            <w:vAlign w:val="center"/>
          </w:tcPr>
          <w:p w14:paraId="5EB1FFAE">
            <w:pPr>
              <w:jc w:val="center"/>
              <w:rPr>
                <w:rFonts w:hint="eastAsia" w:ascii="仿宋" w:hAnsi="仿宋" w:eastAsia="仿宋" w:cs="仿宋"/>
                <w:sz w:val="24"/>
              </w:rPr>
            </w:pPr>
          </w:p>
        </w:tc>
      </w:tr>
      <w:tr w14:paraId="0DB5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Merge w:val="continue"/>
            <w:vAlign w:val="center"/>
          </w:tcPr>
          <w:p w14:paraId="2D8D86EA">
            <w:pPr>
              <w:jc w:val="center"/>
              <w:rPr>
                <w:rFonts w:hint="eastAsia" w:ascii="仿宋" w:hAnsi="仿宋" w:eastAsia="仿宋" w:cs="仿宋"/>
                <w:sz w:val="24"/>
              </w:rPr>
            </w:pPr>
          </w:p>
        </w:tc>
        <w:tc>
          <w:tcPr>
            <w:tcW w:w="1285" w:type="dxa"/>
            <w:vAlign w:val="center"/>
          </w:tcPr>
          <w:p w14:paraId="1A28B9B6">
            <w:pPr>
              <w:jc w:val="center"/>
              <w:rPr>
                <w:rFonts w:hint="eastAsia" w:ascii="仿宋" w:hAnsi="仿宋" w:eastAsia="仿宋" w:cs="仿宋"/>
                <w:sz w:val="24"/>
              </w:rPr>
            </w:pPr>
            <w:r>
              <w:rPr>
                <w:rFonts w:hint="eastAsia" w:ascii="仿宋" w:hAnsi="仿宋" w:eastAsia="仿宋" w:cs="仿宋"/>
                <w:sz w:val="24"/>
              </w:rPr>
              <w:t>电能管理</w:t>
            </w:r>
          </w:p>
        </w:tc>
        <w:tc>
          <w:tcPr>
            <w:tcW w:w="2697" w:type="dxa"/>
            <w:vAlign w:val="center"/>
          </w:tcPr>
          <w:p w14:paraId="5FBAEB1B">
            <w:pPr>
              <w:jc w:val="center"/>
              <w:rPr>
                <w:rFonts w:hint="eastAsia" w:ascii="仿宋" w:hAnsi="仿宋" w:eastAsia="仿宋" w:cs="仿宋"/>
                <w:sz w:val="24"/>
              </w:rPr>
            </w:pPr>
            <w:r>
              <w:rPr>
                <w:rFonts w:hint="eastAsia" w:ascii="仿宋" w:hAnsi="仿宋" w:eastAsia="仿宋" w:cs="仿宋"/>
                <w:sz w:val="24"/>
              </w:rPr>
              <w:t>用于远程电能管理的基础设施、软件和硬件</w:t>
            </w:r>
          </w:p>
          <w:p w14:paraId="0E185A33">
            <w:pPr>
              <w:jc w:val="center"/>
              <w:rPr>
                <w:rFonts w:hint="eastAsia" w:ascii="仿宋" w:hAnsi="仿宋" w:eastAsia="仿宋" w:cs="仿宋"/>
                <w:sz w:val="24"/>
              </w:rPr>
            </w:pPr>
            <w:bookmarkStart w:id="95" w:name="_Toc1368278898"/>
            <w:bookmarkStart w:id="96" w:name="_Toc30072"/>
            <w:bookmarkStart w:id="97" w:name="_Toc1351706864"/>
            <w:bookmarkStart w:id="98" w:name="_Toc762536028"/>
            <w:bookmarkStart w:id="99" w:name="_Toc27831"/>
            <w:r>
              <w:rPr>
                <w:rFonts w:hint="eastAsia" w:ascii="仿宋" w:hAnsi="仿宋" w:eastAsia="仿宋" w:cs="仿宋"/>
                <w:sz w:val="24"/>
              </w:rPr>
              <w:t>原位电源管理</w:t>
            </w:r>
            <w:bookmarkEnd w:id="95"/>
            <w:bookmarkEnd w:id="96"/>
            <w:bookmarkEnd w:id="97"/>
            <w:bookmarkEnd w:id="98"/>
            <w:bookmarkEnd w:id="99"/>
          </w:p>
        </w:tc>
        <w:tc>
          <w:tcPr>
            <w:tcW w:w="3246" w:type="dxa"/>
            <w:vMerge w:val="continue"/>
            <w:vAlign w:val="center"/>
          </w:tcPr>
          <w:p w14:paraId="5EF20173">
            <w:pPr>
              <w:jc w:val="center"/>
              <w:rPr>
                <w:rFonts w:hint="eastAsia" w:ascii="仿宋" w:hAnsi="仿宋" w:eastAsia="仿宋" w:cs="仿宋"/>
                <w:sz w:val="24"/>
              </w:rPr>
            </w:pPr>
          </w:p>
        </w:tc>
      </w:tr>
    </w:tbl>
    <w:p w14:paraId="5D593F5A">
      <w:pPr>
        <w:widowControl/>
        <w:jc w:val="left"/>
        <w:rPr>
          <w:rFonts w:hint="eastAsia" w:ascii="仿宋" w:hAnsi="仿宋" w:eastAsia="仿宋" w:cs="仿宋"/>
          <w:sz w:val="24"/>
        </w:rPr>
      </w:pPr>
      <w:r>
        <w:rPr>
          <w:rFonts w:hint="eastAsia" w:ascii="仿宋" w:hAnsi="仿宋" w:eastAsia="仿宋" w:cs="仿宋"/>
          <w:sz w:val="24"/>
        </w:rPr>
        <w:t>资料来源:起草组根据《气候债券分类方案》等公开资料进行整理。《气候债券分类方案》采用红绿灯系统来指示已识别的资产和项目是否与2摄氏度的脱碳轨迹兼容，本表选取了自动兼容和可能兼容的行业进行列示和对比。</w:t>
      </w:r>
    </w:p>
    <w:p w14:paraId="1C4E515A">
      <w:pPr>
        <w:pStyle w:val="2"/>
        <w:jc w:val="both"/>
      </w:pPr>
    </w:p>
    <w:p w14:paraId="5DB359E3">
      <w:pPr>
        <w:spacing w:line="560" w:lineRule="exact"/>
        <w:jc w:val="center"/>
        <w:rPr>
          <w:rFonts w:hint="eastAsia" w:ascii="仿宋" w:hAnsi="仿宋" w:eastAsia="仿宋" w:cs="仿宋"/>
          <w:sz w:val="32"/>
          <w:szCs w:val="32"/>
        </w:rPr>
      </w:pPr>
      <w:r>
        <w:rPr>
          <w:rFonts w:hint="eastAsia" w:ascii="仿宋" w:hAnsi="仿宋" w:eastAsia="仿宋" w:cs="仿宋"/>
          <w:sz w:val="32"/>
          <w:szCs w:val="32"/>
        </w:rPr>
        <w:t>表3：中欧《可持续金融共同分类目录》与本标准行业对应关系</w:t>
      </w:r>
    </w:p>
    <w:tbl>
      <w:tblPr>
        <w:tblStyle w:val="10"/>
        <w:tblpPr w:leftFromText="180" w:rightFromText="180" w:vertAnchor="text" w:horzAnchor="page" w:tblpX="1887" w:tblpY="552"/>
        <w:tblOverlap w:val="never"/>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5"/>
        <w:gridCol w:w="4861"/>
      </w:tblGrid>
      <w:tr w14:paraId="29FE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trPr>
        <w:tc>
          <w:tcPr>
            <w:tcW w:w="3435" w:type="dxa"/>
            <w:vAlign w:val="center"/>
          </w:tcPr>
          <w:p w14:paraId="50D7E995">
            <w:pPr>
              <w:widowControl/>
              <w:jc w:val="center"/>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中欧《可持续金融共同分类目录》活动</w:t>
            </w:r>
          </w:p>
        </w:tc>
        <w:tc>
          <w:tcPr>
            <w:tcW w:w="4861" w:type="dxa"/>
            <w:vAlign w:val="center"/>
          </w:tcPr>
          <w:p w14:paraId="7FDB7035">
            <w:pPr>
              <w:widowControl/>
              <w:jc w:val="center"/>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本标准</w:t>
            </w:r>
            <w:r>
              <w:rPr>
                <w:rFonts w:hint="eastAsia" w:ascii="仿宋_GB2312" w:hAnsi="仿宋_GB2312" w:eastAsia="仿宋_GB2312" w:cs="仿宋_GB2312"/>
                <w:b/>
                <w:bCs/>
                <w:color w:val="000000"/>
                <w:kern w:val="0"/>
                <w:sz w:val="24"/>
                <w:szCs w:val="24"/>
                <w:lang w:bidi="ar"/>
              </w:rPr>
              <w:t>对应</w:t>
            </w:r>
            <w:r>
              <w:rPr>
                <w:rFonts w:hint="eastAsia" w:ascii="仿宋" w:hAnsi="仿宋" w:eastAsia="仿宋" w:cs="仿宋"/>
                <w:b/>
                <w:bCs/>
                <w:color w:val="000000"/>
                <w:kern w:val="0"/>
                <w:sz w:val="24"/>
                <w:lang w:bidi="ar"/>
              </w:rPr>
              <w:t>行业</w:t>
            </w:r>
          </w:p>
        </w:tc>
      </w:tr>
      <w:tr w14:paraId="2BC2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27954275">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A1.1 造林</w:t>
            </w:r>
          </w:p>
        </w:tc>
        <w:tc>
          <w:tcPr>
            <w:tcW w:w="4861" w:type="dxa"/>
            <w:vAlign w:val="center"/>
          </w:tcPr>
          <w:p w14:paraId="40D76B4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LD015 退耕还林还草和退牧还草工程建设</w:t>
            </w:r>
          </w:p>
        </w:tc>
      </w:tr>
      <w:tr w14:paraId="508B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18493410">
            <w:pPr>
              <w:widowControl/>
              <w:jc w:val="left"/>
              <w:rPr>
                <w:rFonts w:hint="eastAsia" w:ascii="仿宋" w:hAnsi="仿宋" w:eastAsia="仿宋" w:cs="仿宋"/>
                <w:color w:val="000000"/>
                <w:kern w:val="0"/>
                <w:sz w:val="24"/>
              </w:rPr>
            </w:pPr>
          </w:p>
        </w:tc>
        <w:tc>
          <w:tcPr>
            <w:tcW w:w="4861" w:type="dxa"/>
            <w:vAlign w:val="center"/>
          </w:tcPr>
          <w:p w14:paraId="3EFC995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LD018 重点生态区域综合治理</w:t>
            </w:r>
          </w:p>
        </w:tc>
      </w:tr>
      <w:tr w14:paraId="213A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4E08A382">
            <w:pPr>
              <w:widowControl/>
              <w:jc w:val="left"/>
              <w:rPr>
                <w:rFonts w:hint="eastAsia" w:ascii="仿宋" w:hAnsi="仿宋" w:eastAsia="仿宋" w:cs="仿宋"/>
                <w:color w:val="000000"/>
                <w:kern w:val="0"/>
                <w:sz w:val="24"/>
              </w:rPr>
            </w:pPr>
          </w:p>
        </w:tc>
        <w:tc>
          <w:tcPr>
            <w:tcW w:w="4861" w:type="dxa"/>
            <w:vAlign w:val="center"/>
          </w:tcPr>
          <w:p w14:paraId="7768EB1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LD020 荒漠化、石漠化和水土流失综合治理</w:t>
            </w:r>
          </w:p>
        </w:tc>
      </w:tr>
      <w:tr w14:paraId="079B3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1BB4304B">
            <w:pPr>
              <w:widowControl/>
              <w:jc w:val="left"/>
              <w:rPr>
                <w:rFonts w:hint="eastAsia" w:ascii="仿宋" w:hAnsi="仿宋" w:eastAsia="仿宋" w:cs="仿宋"/>
                <w:color w:val="000000"/>
                <w:kern w:val="0"/>
                <w:sz w:val="24"/>
              </w:rPr>
            </w:pPr>
          </w:p>
        </w:tc>
        <w:tc>
          <w:tcPr>
            <w:tcW w:w="4861" w:type="dxa"/>
            <w:vAlign w:val="center"/>
          </w:tcPr>
          <w:p w14:paraId="368CDA3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LD025 森林资源培育产业</w:t>
            </w:r>
          </w:p>
        </w:tc>
      </w:tr>
      <w:tr w14:paraId="129D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665C4754">
            <w:pPr>
              <w:widowControl/>
              <w:jc w:val="left"/>
              <w:rPr>
                <w:rFonts w:hint="eastAsia" w:ascii="仿宋" w:hAnsi="仿宋" w:eastAsia="仿宋" w:cs="仿宋"/>
                <w:color w:val="000000"/>
                <w:kern w:val="0"/>
                <w:sz w:val="24"/>
              </w:rPr>
            </w:pPr>
          </w:p>
        </w:tc>
        <w:tc>
          <w:tcPr>
            <w:tcW w:w="4861" w:type="dxa"/>
            <w:vAlign w:val="center"/>
          </w:tcPr>
          <w:p w14:paraId="2D14CCD8">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LD027 碳汇林、植树种草及林木种苗花卉</w:t>
            </w:r>
          </w:p>
        </w:tc>
      </w:tr>
      <w:tr w14:paraId="6A33A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4EC8C2F1">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A1.2森林恢复，包括极端事件后的造林和天然林的再生</w:t>
            </w:r>
          </w:p>
        </w:tc>
        <w:tc>
          <w:tcPr>
            <w:tcW w:w="4861" w:type="dxa"/>
            <w:vAlign w:val="center"/>
          </w:tcPr>
          <w:p w14:paraId="4C0F462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LD025 森林资源培育产业</w:t>
            </w:r>
          </w:p>
        </w:tc>
      </w:tr>
      <w:tr w14:paraId="1A47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309866C4">
            <w:pPr>
              <w:widowControl/>
              <w:jc w:val="left"/>
              <w:rPr>
                <w:rFonts w:hint="eastAsia" w:ascii="仿宋" w:hAnsi="仿宋" w:eastAsia="仿宋" w:cs="仿宋"/>
                <w:color w:val="000000"/>
                <w:kern w:val="0"/>
                <w:sz w:val="24"/>
              </w:rPr>
            </w:pPr>
          </w:p>
        </w:tc>
        <w:tc>
          <w:tcPr>
            <w:tcW w:w="4861" w:type="dxa"/>
            <w:vAlign w:val="center"/>
          </w:tcPr>
          <w:p w14:paraId="2F7E677D">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LD015 退耕还林还草和退牧还草工程建设</w:t>
            </w:r>
          </w:p>
        </w:tc>
      </w:tr>
      <w:tr w14:paraId="59D0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07311F98">
            <w:pPr>
              <w:widowControl/>
              <w:jc w:val="left"/>
              <w:rPr>
                <w:rFonts w:hint="eastAsia" w:ascii="仿宋" w:hAnsi="仿宋" w:eastAsia="仿宋" w:cs="仿宋"/>
                <w:color w:val="000000"/>
                <w:kern w:val="0"/>
                <w:sz w:val="24"/>
              </w:rPr>
            </w:pPr>
          </w:p>
        </w:tc>
        <w:tc>
          <w:tcPr>
            <w:tcW w:w="4861" w:type="dxa"/>
            <w:vAlign w:val="center"/>
          </w:tcPr>
          <w:p w14:paraId="090E27CF">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LD017 国家生态安全屏障保护修复</w:t>
            </w:r>
          </w:p>
        </w:tc>
      </w:tr>
      <w:tr w14:paraId="6509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4775498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A1.3 森林管理</w:t>
            </w:r>
          </w:p>
        </w:tc>
        <w:tc>
          <w:tcPr>
            <w:tcW w:w="4861" w:type="dxa"/>
            <w:vAlign w:val="center"/>
          </w:tcPr>
          <w:p w14:paraId="4BA7EA3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LD001 现代农业种业及动植物种质资源保护</w:t>
            </w:r>
          </w:p>
        </w:tc>
      </w:tr>
      <w:tr w14:paraId="6C3F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7A2AC0F4">
            <w:pPr>
              <w:widowControl/>
              <w:jc w:val="left"/>
              <w:rPr>
                <w:rFonts w:hint="eastAsia" w:ascii="仿宋" w:hAnsi="仿宋" w:eastAsia="仿宋" w:cs="仿宋"/>
                <w:color w:val="000000"/>
                <w:kern w:val="0"/>
                <w:sz w:val="24"/>
              </w:rPr>
            </w:pPr>
          </w:p>
        </w:tc>
        <w:tc>
          <w:tcPr>
            <w:tcW w:w="4861" w:type="dxa"/>
            <w:vAlign w:val="center"/>
          </w:tcPr>
          <w:p w14:paraId="2EF0F8D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LD025 森林资源培育产业</w:t>
            </w:r>
          </w:p>
        </w:tc>
      </w:tr>
      <w:tr w14:paraId="4B1D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481DA17B">
            <w:pPr>
              <w:widowControl/>
              <w:jc w:val="left"/>
              <w:rPr>
                <w:rFonts w:hint="eastAsia" w:ascii="仿宋" w:hAnsi="仿宋" w:eastAsia="仿宋" w:cs="仿宋"/>
                <w:color w:val="000000"/>
                <w:kern w:val="0"/>
                <w:sz w:val="24"/>
              </w:rPr>
            </w:pPr>
          </w:p>
        </w:tc>
        <w:tc>
          <w:tcPr>
            <w:tcW w:w="4861" w:type="dxa"/>
            <w:vAlign w:val="center"/>
          </w:tcPr>
          <w:p w14:paraId="3064A996">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LD026 林下种植和林下养殖产业</w:t>
            </w:r>
          </w:p>
        </w:tc>
      </w:tr>
      <w:tr w14:paraId="33984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5A32D29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A1.4 森林保护</w:t>
            </w:r>
          </w:p>
        </w:tc>
        <w:tc>
          <w:tcPr>
            <w:tcW w:w="4861" w:type="dxa"/>
            <w:vAlign w:val="center"/>
          </w:tcPr>
          <w:p w14:paraId="4F4FC77D">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LD012 动植物资源保护</w:t>
            </w:r>
          </w:p>
        </w:tc>
      </w:tr>
      <w:tr w14:paraId="59F6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7FEB2D99">
            <w:pPr>
              <w:widowControl/>
              <w:jc w:val="left"/>
              <w:rPr>
                <w:rFonts w:hint="eastAsia" w:ascii="仿宋" w:hAnsi="仿宋" w:eastAsia="仿宋" w:cs="仿宋"/>
                <w:color w:val="000000"/>
                <w:kern w:val="0"/>
                <w:sz w:val="24"/>
              </w:rPr>
            </w:pPr>
          </w:p>
        </w:tc>
        <w:tc>
          <w:tcPr>
            <w:tcW w:w="4861" w:type="dxa"/>
            <w:vAlign w:val="center"/>
          </w:tcPr>
          <w:p w14:paraId="4F6800F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LD013 自然保护区建设和运营</w:t>
            </w:r>
          </w:p>
        </w:tc>
      </w:tr>
      <w:tr w14:paraId="6B6E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3435" w:type="dxa"/>
            <w:vMerge w:val="continue"/>
            <w:vAlign w:val="center"/>
          </w:tcPr>
          <w:p w14:paraId="259B5E72">
            <w:pPr>
              <w:widowControl/>
              <w:jc w:val="left"/>
              <w:rPr>
                <w:rFonts w:hint="eastAsia" w:ascii="仿宋" w:hAnsi="仿宋" w:eastAsia="仿宋" w:cs="仿宋"/>
                <w:color w:val="000000"/>
                <w:kern w:val="0"/>
                <w:sz w:val="24"/>
              </w:rPr>
            </w:pPr>
          </w:p>
        </w:tc>
        <w:tc>
          <w:tcPr>
            <w:tcW w:w="4861" w:type="dxa"/>
            <w:vAlign w:val="center"/>
          </w:tcPr>
          <w:p w14:paraId="625992CF">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LD029 国家公园、世界遗产、国家级风景名胜区、国家森林公园、国家地质公园、国家湿地公园等保护性运营</w:t>
            </w:r>
          </w:p>
        </w:tc>
      </w:tr>
      <w:tr w14:paraId="3E5A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7242C663">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C1.1 基础有机化学品制造</w:t>
            </w:r>
          </w:p>
        </w:tc>
        <w:tc>
          <w:tcPr>
            <w:tcW w:w="4861" w:type="dxa"/>
            <w:vAlign w:val="center"/>
          </w:tcPr>
          <w:p w14:paraId="3CBA0CF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LB007 园区重点行业清洁生产改造</w:t>
            </w:r>
          </w:p>
        </w:tc>
      </w:tr>
      <w:tr w14:paraId="25C2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4D79628B">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C1.2 钢铁制造</w:t>
            </w:r>
          </w:p>
        </w:tc>
        <w:tc>
          <w:tcPr>
            <w:tcW w:w="4861" w:type="dxa"/>
            <w:vAlign w:val="center"/>
          </w:tcPr>
          <w:p w14:paraId="3FD69B8F">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LB007 园区重点行业清洁生产改造</w:t>
            </w:r>
          </w:p>
        </w:tc>
      </w:tr>
      <w:tr w14:paraId="7C54C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restart"/>
            <w:vAlign w:val="center"/>
          </w:tcPr>
          <w:p w14:paraId="63EC2567">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C1.3 用于运输的液体生物质燃料制造</w:t>
            </w:r>
          </w:p>
        </w:tc>
        <w:tc>
          <w:tcPr>
            <w:tcW w:w="4861" w:type="dxa"/>
            <w:vMerge w:val="restart"/>
            <w:vAlign w:val="center"/>
          </w:tcPr>
          <w:p w14:paraId="4F7AC52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LC014 生物质能源利用设施建设和运营</w:t>
            </w:r>
          </w:p>
        </w:tc>
      </w:tr>
      <w:tr w14:paraId="0913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49161038">
            <w:pPr>
              <w:widowControl/>
              <w:jc w:val="left"/>
              <w:rPr>
                <w:rFonts w:hint="eastAsia" w:ascii="仿宋" w:hAnsi="仿宋" w:eastAsia="仿宋" w:cs="仿宋"/>
                <w:color w:val="000000"/>
                <w:kern w:val="0"/>
                <w:sz w:val="24"/>
              </w:rPr>
            </w:pPr>
          </w:p>
        </w:tc>
        <w:tc>
          <w:tcPr>
            <w:tcW w:w="4861" w:type="dxa"/>
            <w:vMerge w:val="continue"/>
            <w:vAlign w:val="center"/>
          </w:tcPr>
          <w:p w14:paraId="780F0DBA">
            <w:pPr>
              <w:widowControl/>
              <w:jc w:val="left"/>
              <w:rPr>
                <w:rFonts w:hint="eastAsia" w:ascii="仿宋" w:hAnsi="仿宋" w:eastAsia="仿宋" w:cs="仿宋"/>
                <w:color w:val="000000"/>
                <w:kern w:val="0"/>
                <w:sz w:val="24"/>
              </w:rPr>
            </w:pPr>
          </w:p>
        </w:tc>
      </w:tr>
      <w:tr w14:paraId="00B4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056B444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C2.1 智能电网产品和装备制造（除电池外）</w:t>
            </w:r>
          </w:p>
        </w:tc>
        <w:tc>
          <w:tcPr>
            <w:tcW w:w="4861" w:type="dxa"/>
            <w:vAlign w:val="center"/>
          </w:tcPr>
          <w:p w14:paraId="1806233E">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LC001 智能电网产品和装备制造</w:t>
            </w:r>
          </w:p>
        </w:tc>
      </w:tr>
      <w:tr w14:paraId="4FCF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restart"/>
            <w:vAlign w:val="center"/>
          </w:tcPr>
          <w:p w14:paraId="37B32B10">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C2.2 电池制造</w:t>
            </w:r>
          </w:p>
        </w:tc>
        <w:tc>
          <w:tcPr>
            <w:tcW w:w="4861" w:type="dxa"/>
            <w:vMerge w:val="restart"/>
            <w:vAlign w:val="center"/>
          </w:tcPr>
          <w:p w14:paraId="16C5B96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LC001 智能电网产品和装备制造</w:t>
            </w:r>
          </w:p>
        </w:tc>
      </w:tr>
      <w:tr w14:paraId="36295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5C0C978E">
            <w:pPr>
              <w:widowControl/>
              <w:jc w:val="left"/>
              <w:rPr>
                <w:rFonts w:hint="eastAsia" w:ascii="仿宋" w:hAnsi="仿宋" w:eastAsia="仿宋" w:cs="仿宋"/>
                <w:color w:val="000000"/>
                <w:kern w:val="0"/>
                <w:sz w:val="24"/>
              </w:rPr>
            </w:pPr>
          </w:p>
        </w:tc>
        <w:tc>
          <w:tcPr>
            <w:tcW w:w="4861" w:type="dxa"/>
            <w:vMerge w:val="continue"/>
            <w:vAlign w:val="center"/>
          </w:tcPr>
          <w:p w14:paraId="19671B01">
            <w:pPr>
              <w:widowControl/>
              <w:jc w:val="left"/>
              <w:rPr>
                <w:rFonts w:hint="eastAsia" w:ascii="仿宋" w:hAnsi="仿宋" w:eastAsia="仿宋" w:cs="仿宋"/>
                <w:color w:val="000000"/>
                <w:kern w:val="0"/>
                <w:sz w:val="24"/>
              </w:rPr>
            </w:pPr>
          </w:p>
        </w:tc>
      </w:tr>
      <w:tr w14:paraId="005F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34FB4345">
            <w:pPr>
              <w:widowControl/>
              <w:jc w:val="left"/>
              <w:rPr>
                <w:rFonts w:hint="eastAsia" w:ascii="仿宋" w:hAnsi="仿宋" w:eastAsia="仿宋" w:cs="仿宋"/>
                <w:color w:val="000000"/>
                <w:kern w:val="0"/>
                <w:sz w:val="24"/>
              </w:rPr>
            </w:pPr>
          </w:p>
        </w:tc>
        <w:tc>
          <w:tcPr>
            <w:tcW w:w="4861" w:type="dxa"/>
            <w:vMerge w:val="restart"/>
            <w:vAlign w:val="center"/>
          </w:tcPr>
          <w:p w14:paraId="3EB584A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LA060 新能源汽车关键零部件制造和产业化</w:t>
            </w:r>
          </w:p>
        </w:tc>
      </w:tr>
      <w:tr w14:paraId="32D2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4EC53980">
            <w:pPr>
              <w:widowControl/>
              <w:jc w:val="left"/>
              <w:rPr>
                <w:rFonts w:hint="eastAsia" w:ascii="仿宋" w:hAnsi="仿宋" w:eastAsia="仿宋" w:cs="仿宋"/>
                <w:color w:val="000000"/>
                <w:kern w:val="0"/>
                <w:sz w:val="24"/>
              </w:rPr>
            </w:pPr>
          </w:p>
        </w:tc>
        <w:tc>
          <w:tcPr>
            <w:tcW w:w="4861" w:type="dxa"/>
            <w:vMerge w:val="continue"/>
            <w:vAlign w:val="center"/>
          </w:tcPr>
          <w:p w14:paraId="6791FF33">
            <w:pPr>
              <w:widowControl/>
              <w:jc w:val="left"/>
              <w:rPr>
                <w:rFonts w:hint="eastAsia" w:ascii="仿宋" w:hAnsi="仿宋" w:eastAsia="仿宋" w:cs="仿宋"/>
                <w:color w:val="000000"/>
                <w:kern w:val="0"/>
                <w:sz w:val="24"/>
              </w:rPr>
            </w:pPr>
          </w:p>
        </w:tc>
      </w:tr>
      <w:tr w14:paraId="2671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1B1736AE">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C2.3 风力发电机组制造</w:t>
            </w:r>
          </w:p>
        </w:tc>
        <w:tc>
          <w:tcPr>
            <w:tcW w:w="4861" w:type="dxa"/>
            <w:vAlign w:val="center"/>
          </w:tcPr>
          <w:p w14:paraId="33CB31C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LC003 风力发电装备制造</w:t>
            </w:r>
          </w:p>
        </w:tc>
      </w:tr>
      <w:tr w14:paraId="30FA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2D072205">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C2.4 太阳能发电设备生产</w:t>
            </w:r>
          </w:p>
        </w:tc>
        <w:tc>
          <w:tcPr>
            <w:tcW w:w="4861" w:type="dxa"/>
            <w:vAlign w:val="center"/>
          </w:tcPr>
          <w:p w14:paraId="5EC61918">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LC004 太阳能发电装备制造</w:t>
            </w:r>
          </w:p>
        </w:tc>
      </w:tr>
      <w:tr w14:paraId="1648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7BA327D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C2.5 生物质能源利用设备制造</w:t>
            </w:r>
          </w:p>
        </w:tc>
        <w:tc>
          <w:tcPr>
            <w:tcW w:w="4861" w:type="dxa"/>
            <w:vAlign w:val="center"/>
          </w:tcPr>
          <w:p w14:paraId="079475B7">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LC005 生物质能利用装备制造</w:t>
            </w:r>
          </w:p>
        </w:tc>
      </w:tr>
      <w:tr w14:paraId="6A2F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4A2C0BAB">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C2.6 水力发电和抽水蓄能设备制造</w:t>
            </w:r>
          </w:p>
        </w:tc>
        <w:tc>
          <w:tcPr>
            <w:tcW w:w="4861" w:type="dxa"/>
            <w:noWrap/>
            <w:vAlign w:val="center"/>
          </w:tcPr>
          <w:p w14:paraId="3AF7BBC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LC006 水利发电和抽水蓄能装备制造</w:t>
            </w:r>
          </w:p>
        </w:tc>
      </w:tr>
      <w:tr w14:paraId="48C6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4F540043">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C2.7 燃料电池装备制造</w:t>
            </w:r>
          </w:p>
        </w:tc>
        <w:tc>
          <w:tcPr>
            <w:tcW w:w="4861" w:type="dxa"/>
            <w:vAlign w:val="center"/>
          </w:tcPr>
          <w:p w14:paraId="3CADBFFD">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LC009 燃料电池装备制造</w:t>
            </w:r>
          </w:p>
        </w:tc>
      </w:tr>
      <w:tr w14:paraId="1BC0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15AF00C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C2.8 地热能利用设备制造</w:t>
            </w:r>
          </w:p>
        </w:tc>
        <w:tc>
          <w:tcPr>
            <w:tcW w:w="4861" w:type="dxa"/>
            <w:vAlign w:val="center"/>
          </w:tcPr>
          <w:p w14:paraId="24285166">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LC010 地热能开发利用装备制造</w:t>
            </w:r>
          </w:p>
        </w:tc>
      </w:tr>
      <w:tr w14:paraId="0EE8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60266C4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C2.9 海洋能利用设备制造</w:t>
            </w:r>
          </w:p>
        </w:tc>
        <w:tc>
          <w:tcPr>
            <w:tcW w:w="4861" w:type="dxa"/>
            <w:vAlign w:val="center"/>
          </w:tcPr>
          <w:p w14:paraId="10985F1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LC011 海洋能开发利用装备制造</w:t>
            </w:r>
          </w:p>
        </w:tc>
      </w:tr>
      <w:tr w14:paraId="1929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52564A35">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C2.10 制氢</w:t>
            </w:r>
          </w:p>
        </w:tc>
        <w:tc>
          <w:tcPr>
            <w:tcW w:w="4861" w:type="dxa"/>
            <w:vAlign w:val="center"/>
          </w:tcPr>
          <w:p w14:paraId="1FEB8FB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LC019 氢能利用设施建设和运营</w:t>
            </w:r>
          </w:p>
        </w:tc>
      </w:tr>
      <w:tr w14:paraId="4718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2CCB606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C3.1 新能源汽车关键零部件制造和产业化</w:t>
            </w:r>
          </w:p>
        </w:tc>
        <w:tc>
          <w:tcPr>
            <w:tcW w:w="4861" w:type="dxa"/>
            <w:vAlign w:val="center"/>
          </w:tcPr>
          <w:p w14:paraId="13C4113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LA060 新能源汽车关键零部件制造和产业化</w:t>
            </w:r>
          </w:p>
        </w:tc>
      </w:tr>
      <w:tr w14:paraId="61FC9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3C3E9B78">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C3.2 低碳运输船舶的制造</w:t>
            </w:r>
          </w:p>
        </w:tc>
        <w:tc>
          <w:tcPr>
            <w:tcW w:w="4861" w:type="dxa"/>
            <w:vAlign w:val="center"/>
          </w:tcPr>
          <w:p w14:paraId="05248BA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LA062 绿色船舶制造</w:t>
            </w:r>
          </w:p>
        </w:tc>
      </w:tr>
      <w:tr w14:paraId="4B94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50970313">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C4.1 餐厨废弃物资源化无害化利用装备制造</w:t>
            </w:r>
          </w:p>
        </w:tc>
        <w:tc>
          <w:tcPr>
            <w:tcW w:w="4861" w:type="dxa"/>
            <w:vAlign w:val="center"/>
          </w:tcPr>
          <w:p w14:paraId="7B08C46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LA049 餐厨废弃物资源化无害化利用装备制造</w:t>
            </w:r>
          </w:p>
        </w:tc>
      </w:tr>
      <w:tr w14:paraId="6C69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236A91BF">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C4.2 资源再生利用装备制造</w:t>
            </w:r>
          </w:p>
        </w:tc>
        <w:tc>
          <w:tcPr>
            <w:tcW w:w="4861" w:type="dxa"/>
            <w:vAlign w:val="center"/>
          </w:tcPr>
          <w:p w14:paraId="4A23C1FE">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LA051 资源再生利用装备制造</w:t>
            </w:r>
          </w:p>
        </w:tc>
      </w:tr>
      <w:tr w14:paraId="3D47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78C6852D">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C4.3 农林废物资源化无害化利用装备制造</w:t>
            </w:r>
          </w:p>
        </w:tc>
        <w:tc>
          <w:tcPr>
            <w:tcW w:w="4861" w:type="dxa"/>
            <w:vAlign w:val="center"/>
          </w:tcPr>
          <w:p w14:paraId="3707081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LA053 农林废物资源化无害化利用装备制造</w:t>
            </w:r>
          </w:p>
        </w:tc>
      </w:tr>
      <w:tr w14:paraId="4F92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593BFE2B">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C5.1 节能窑炉（熔炉）制造</w:t>
            </w:r>
          </w:p>
        </w:tc>
        <w:tc>
          <w:tcPr>
            <w:tcW w:w="4861" w:type="dxa"/>
            <w:vAlign w:val="center"/>
          </w:tcPr>
          <w:p w14:paraId="78888FE3">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LA002 节能窑炉制造</w:t>
            </w:r>
          </w:p>
        </w:tc>
      </w:tr>
      <w:tr w14:paraId="409F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1DCD5E55">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C5.2 高能效节能家电制造</w:t>
            </w:r>
          </w:p>
        </w:tc>
        <w:tc>
          <w:tcPr>
            <w:tcW w:w="4861" w:type="dxa"/>
            <w:vAlign w:val="center"/>
          </w:tcPr>
          <w:p w14:paraId="2F7F1627">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LA011 高效节能家用电器制造</w:t>
            </w:r>
          </w:p>
        </w:tc>
      </w:tr>
      <w:tr w14:paraId="0D87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0C46F0D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C5.3 节能泵和真空设备制造</w:t>
            </w:r>
          </w:p>
        </w:tc>
        <w:tc>
          <w:tcPr>
            <w:tcW w:w="4861" w:type="dxa"/>
            <w:vAlign w:val="center"/>
          </w:tcPr>
          <w:p w14:paraId="18A0F91D">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LA003 节能型泵及真空设备制造</w:t>
            </w:r>
          </w:p>
        </w:tc>
      </w:tr>
      <w:tr w14:paraId="7561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50A9AED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C5.4 节能型气体压缩设备制造</w:t>
            </w:r>
          </w:p>
        </w:tc>
        <w:tc>
          <w:tcPr>
            <w:tcW w:w="4861" w:type="dxa"/>
            <w:vAlign w:val="center"/>
          </w:tcPr>
          <w:p w14:paraId="191A224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LA004 节能型气体压缩设备制造</w:t>
            </w:r>
          </w:p>
        </w:tc>
      </w:tr>
      <w:tr w14:paraId="66E4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46A8D0C4">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C5.5 节能型液压气压元件制造</w:t>
            </w:r>
          </w:p>
        </w:tc>
        <w:tc>
          <w:tcPr>
            <w:tcW w:w="4861" w:type="dxa"/>
            <w:vAlign w:val="center"/>
          </w:tcPr>
          <w:p w14:paraId="5ECBAA97">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LA005 节能型液压气压元件制造</w:t>
            </w:r>
          </w:p>
        </w:tc>
      </w:tr>
      <w:tr w14:paraId="3049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4E0D677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C5.6 节能风机风扇制造</w:t>
            </w:r>
          </w:p>
        </w:tc>
        <w:tc>
          <w:tcPr>
            <w:tcW w:w="4861" w:type="dxa"/>
            <w:vAlign w:val="center"/>
          </w:tcPr>
          <w:p w14:paraId="0817AF6D">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szCs w:val="24"/>
              </w:rPr>
              <w:t>LA006 节能风机风扇制造</w:t>
            </w:r>
          </w:p>
        </w:tc>
      </w:tr>
      <w:tr w14:paraId="6D35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21A2AADA">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C5.7 高效率发电机和发电机组的制造</w:t>
            </w:r>
          </w:p>
        </w:tc>
        <w:tc>
          <w:tcPr>
            <w:tcW w:w="4861" w:type="dxa"/>
            <w:vAlign w:val="center"/>
          </w:tcPr>
          <w:p w14:paraId="1CA9B19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LA007 高效发电机及发电机组制造</w:t>
            </w:r>
          </w:p>
        </w:tc>
      </w:tr>
      <w:tr w14:paraId="2A37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2DABB14A">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C5.8 节能电机制造</w:t>
            </w:r>
          </w:p>
        </w:tc>
        <w:tc>
          <w:tcPr>
            <w:tcW w:w="4861" w:type="dxa"/>
            <w:vAlign w:val="center"/>
          </w:tcPr>
          <w:p w14:paraId="3B0A115F">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LA008 节能电机制造</w:t>
            </w:r>
          </w:p>
        </w:tc>
      </w:tr>
      <w:tr w14:paraId="04ED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0FCFC06B">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C5.9 节能型变压器、整流器、电感器和电焊机制造</w:t>
            </w:r>
          </w:p>
        </w:tc>
        <w:tc>
          <w:tcPr>
            <w:tcW w:w="4861" w:type="dxa"/>
            <w:vAlign w:val="center"/>
          </w:tcPr>
          <w:p w14:paraId="7224CACE">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LA009 节能型变压器、整流器、电感器和电焊机制造</w:t>
            </w:r>
          </w:p>
        </w:tc>
      </w:tr>
      <w:tr w14:paraId="6912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2A657BD0">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C5.10 余热余压余能利用设备制造</w:t>
            </w:r>
          </w:p>
        </w:tc>
        <w:tc>
          <w:tcPr>
            <w:tcW w:w="4861" w:type="dxa"/>
            <w:vAlign w:val="center"/>
          </w:tcPr>
          <w:p w14:paraId="5394BFCE">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LA010 余热余压余气利用设备制造</w:t>
            </w:r>
          </w:p>
        </w:tc>
      </w:tr>
      <w:tr w14:paraId="3D14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6FBC1094">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C5.11 建筑节能设备制造</w:t>
            </w:r>
          </w:p>
        </w:tc>
        <w:tc>
          <w:tcPr>
            <w:tcW w:w="4861" w:type="dxa"/>
            <w:vAlign w:val="center"/>
          </w:tcPr>
          <w:p w14:paraId="4A2492F3">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LA021 绿色建筑材料制造</w:t>
            </w:r>
          </w:p>
        </w:tc>
      </w:tr>
      <w:tr w14:paraId="4309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435" w:type="dxa"/>
            <w:vAlign w:val="center"/>
          </w:tcPr>
          <w:p w14:paraId="1713D4FA">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C5.12 用于建筑的高效节能热泵及制冷/通风系统制造</w:t>
            </w:r>
          </w:p>
        </w:tc>
        <w:tc>
          <w:tcPr>
            <w:tcW w:w="4861" w:type="dxa"/>
            <w:vAlign w:val="center"/>
          </w:tcPr>
          <w:p w14:paraId="667FB0C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LE004 超低能耗建筑建设</w:t>
            </w:r>
          </w:p>
        </w:tc>
      </w:tr>
      <w:tr w14:paraId="19FE9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152DA166">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C5.13 高效发光二极管（LED）产品和系统制造</w:t>
            </w:r>
          </w:p>
        </w:tc>
        <w:tc>
          <w:tcPr>
            <w:tcW w:w="4861" w:type="dxa"/>
            <w:vAlign w:val="center"/>
          </w:tcPr>
          <w:p w14:paraId="2339647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LA013 高效照明产品及系统制造</w:t>
            </w:r>
          </w:p>
        </w:tc>
      </w:tr>
      <w:tr w14:paraId="38C5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2DA1745A">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D1.1 太阳能光伏发电</w:t>
            </w:r>
          </w:p>
        </w:tc>
        <w:tc>
          <w:tcPr>
            <w:tcW w:w="4861" w:type="dxa"/>
            <w:vAlign w:val="center"/>
          </w:tcPr>
          <w:p w14:paraId="5B20DB6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LC013 太阳能利用设施建设和运营</w:t>
            </w:r>
          </w:p>
        </w:tc>
      </w:tr>
      <w:tr w14:paraId="68B1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50C9804E">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D1.2 聚光太阳能热发电</w:t>
            </w:r>
          </w:p>
        </w:tc>
        <w:tc>
          <w:tcPr>
            <w:tcW w:w="4861" w:type="dxa"/>
            <w:vAlign w:val="center"/>
          </w:tcPr>
          <w:p w14:paraId="0C35A29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LC013 太阳能利用设施建设和运营</w:t>
            </w:r>
          </w:p>
        </w:tc>
      </w:tr>
      <w:tr w14:paraId="266D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74E94C4D">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D1.3 风力发电</w:t>
            </w:r>
          </w:p>
        </w:tc>
        <w:tc>
          <w:tcPr>
            <w:tcW w:w="4861" w:type="dxa"/>
            <w:vAlign w:val="center"/>
          </w:tcPr>
          <w:p w14:paraId="502FDB3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LC012 风力发电设施建设和运营</w:t>
            </w:r>
          </w:p>
        </w:tc>
      </w:tr>
      <w:tr w14:paraId="25F6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06D27C24">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D1.4 海洋能发电</w:t>
            </w:r>
          </w:p>
        </w:tc>
        <w:tc>
          <w:tcPr>
            <w:tcW w:w="4861" w:type="dxa"/>
            <w:vAlign w:val="center"/>
          </w:tcPr>
          <w:p w14:paraId="37524A13">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LC018 海洋能利用设施建设和运营</w:t>
            </w:r>
          </w:p>
        </w:tc>
      </w:tr>
      <w:tr w14:paraId="4108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1B6BA8AA">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D1.5 水力发电</w:t>
            </w:r>
          </w:p>
        </w:tc>
        <w:tc>
          <w:tcPr>
            <w:tcW w:w="4861" w:type="dxa"/>
            <w:vAlign w:val="center"/>
          </w:tcPr>
          <w:p w14:paraId="3043C983">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LC015 大型水利发电设施建设和运营</w:t>
            </w:r>
          </w:p>
        </w:tc>
      </w:tr>
      <w:tr w14:paraId="6EF74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restart"/>
            <w:vAlign w:val="center"/>
          </w:tcPr>
          <w:p w14:paraId="278F910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D1.6 生物能发电</w:t>
            </w:r>
          </w:p>
        </w:tc>
        <w:tc>
          <w:tcPr>
            <w:tcW w:w="4861" w:type="dxa"/>
            <w:vMerge w:val="restart"/>
            <w:vAlign w:val="center"/>
          </w:tcPr>
          <w:p w14:paraId="446384A5">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LC014 生物质能源利用设施建设和运营</w:t>
            </w:r>
          </w:p>
        </w:tc>
      </w:tr>
      <w:tr w14:paraId="113E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03731A70">
            <w:pPr>
              <w:widowControl/>
              <w:jc w:val="left"/>
              <w:rPr>
                <w:rFonts w:hint="eastAsia" w:ascii="仿宋" w:hAnsi="仿宋" w:eastAsia="仿宋" w:cs="仿宋"/>
                <w:color w:val="000000"/>
                <w:kern w:val="0"/>
                <w:sz w:val="24"/>
              </w:rPr>
            </w:pPr>
          </w:p>
        </w:tc>
        <w:tc>
          <w:tcPr>
            <w:tcW w:w="4861" w:type="dxa"/>
            <w:vMerge w:val="continue"/>
            <w:vAlign w:val="center"/>
          </w:tcPr>
          <w:p w14:paraId="2DAABC1C">
            <w:pPr>
              <w:widowControl/>
              <w:rPr>
                <w:rFonts w:hint="eastAsia" w:ascii="仿宋" w:hAnsi="仿宋" w:eastAsia="仿宋" w:cs="仿宋"/>
                <w:color w:val="000000"/>
                <w:kern w:val="0"/>
                <w:sz w:val="24"/>
              </w:rPr>
            </w:pPr>
          </w:p>
        </w:tc>
      </w:tr>
      <w:tr w14:paraId="1B01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0A0B9E42">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D1.7 地热能发电</w:t>
            </w:r>
          </w:p>
        </w:tc>
        <w:tc>
          <w:tcPr>
            <w:tcW w:w="4861" w:type="dxa"/>
            <w:vAlign w:val="center"/>
          </w:tcPr>
          <w:p w14:paraId="07032288">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LC017 地热能利用设施建设和运营</w:t>
            </w:r>
          </w:p>
        </w:tc>
      </w:tr>
      <w:tr w14:paraId="27F0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0BA44AB3">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D1.8 储能</w:t>
            </w:r>
          </w:p>
        </w:tc>
        <w:tc>
          <w:tcPr>
            <w:tcW w:w="4861" w:type="dxa"/>
            <w:vAlign w:val="center"/>
          </w:tcPr>
          <w:p w14:paraId="09B7A4BE">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LC022 高效储能设施建设和运营</w:t>
            </w:r>
          </w:p>
        </w:tc>
      </w:tr>
      <w:tr w14:paraId="34C6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1FE774F1">
            <w:pPr>
              <w:widowControl/>
              <w:jc w:val="left"/>
              <w:rPr>
                <w:rFonts w:hint="eastAsia" w:ascii="仿宋" w:hAnsi="仿宋" w:eastAsia="仿宋" w:cs="仿宋"/>
                <w:color w:val="000000"/>
                <w:kern w:val="0"/>
                <w:sz w:val="24"/>
              </w:rPr>
            </w:pPr>
          </w:p>
        </w:tc>
        <w:tc>
          <w:tcPr>
            <w:tcW w:w="4861" w:type="dxa"/>
            <w:vAlign w:val="center"/>
          </w:tcPr>
          <w:p w14:paraId="7246724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LC025 抽水蓄能电站建设和运营</w:t>
            </w:r>
          </w:p>
        </w:tc>
      </w:tr>
      <w:tr w14:paraId="0C03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6C7E6774">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D2.1 集中供热和制冷</w:t>
            </w:r>
          </w:p>
        </w:tc>
        <w:tc>
          <w:tcPr>
            <w:tcW w:w="4861" w:type="dxa"/>
            <w:vAlign w:val="center"/>
          </w:tcPr>
          <w:p w14:paraId="061ACC16">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LE001 城镇集中供热系统清洁化建设运营和改造</w:t>
            </w:r>
          </w:p>
        </w:tc>
      </w:tr>
      <w:tr w14:paraId="330C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2D033AE0">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D2.2 热泵设施的建造、安装和运行</w:t>
            </w:r>
          </w:p>
        </w:tc>
        <w:tc>
          <w:tcPr>
            <w:tcW w:w="4861" w:type="dxa"/>
            <w:vAlign w:val="center"/>
          </w:tcPr>
          <w:p w14:paraId="3929DF2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LC020 热泵设施建设和运营</w:t>
            </w:r>
          </w:p>
        </w:tc>
      </w:tr>
      <w:tr w14:paraId="0040F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3850CB7B">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D2.3 太阳能制热（制冷）</w:t>
            </w:r>
          </w:p>
        </w:tc>
        <w:tc>
          <w:tcPr>
            <w:tcW w:w="4861" w:type="dxa"/>
            <w:vAlign w:val="center"/>
          </w:tcPr>
          <w:p w14:paraId="5E3F44C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LE001 城镇集中供热系统清洁化建设运营和改造</w:t>
            </w:r>
          </w:p>
        </w:tc>
      </w:tr>
      <w:tr w14:paraId="72B7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05AA42ED">
            <w:pPr>
              <w:widowControl/>
              <w:jc w:val="left"/>
              <w:rPr>
                <w:rFonts w:hint="eastAsia" w:ascii="仿宋" w:hAnsi="仿宋" w:eastAsia="仿宋" w:cs="仿宋"/>
                <w:color w:val="000000"/>
                <w:kern w:val="0"/>
                <w:sz w:val="24"/>
              </w:rPr>
            </w:pPr>
          </w:p>
        </w:tc>
        <w:tc>
          <w:tcPr>
            <w:tcW w:w="4861" w:type="dxa"/>
            <w:vAlign w:val="center"/>
          </w:tcPr>
          <w:p w14:paraId="4CB56A1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LC024 分布式能源工程建设和运营</w:t>
            </w:r>
          </w:p>
        </w:tc>
      </w:tr>
      <w:tr w14:paraId="5DAE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262097A7">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D2.4 太阳能热电联产</w:t>
            </w:r>
          </w:p>
        </w:tc>
        <w:tc>
          <w:tcPr>
            <w:tcW w:w="4861" w:type="dxa"/>
            <w:vAlign w:val="center"/>
          </w:tcPr>
          <w:p w14:paraId="01E35E68">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LA007 高效发电机及发电机组制造</w:t>
            </w:r>
          </w:p>
        </w:tc>
      </w:tr>
      <w:tr w14:paraId="4447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443E1E79">
            <w:pPr>
              <w:widowControl/>
              <w:jc w:val="left"/>
              <w:rPr>
                <w:rFonts w:hint="eastAsia" w:ascii="仿宋" w:hAnsi="仿宋" w:eastAsia="仿宋" w:cs="仿宋"/>
                <w:color w:val="000000"/>
                <w:kern w:val="0"/>
                <w:sz w:val="24"/>
              </w:rPr>
            </w:pPr>
          </w:p>
        </w:tc>
        <w:tc>
          <w:tcPr>
            <w:tcW w:w="4861" w:type="dxa"/>
            <w:vAlign w:val="center"/>
          </w:tcPr>
          <w:p w14:paraId="176DEB3E">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LA008 节能电机制造</w:t>
            </w:r>
          </w:p>
        </w:tc>
      </w:tr>
      <w:tr w14:paraId="39AB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35" w:type="dxa"/>
            <w:vMerge w:val="restart"/>
            <w:vAlign w:val="center"/>
          </w:tcPr>
          <w:p w14:paraId="7946C937">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D2.5 地热能热电（冷）联产（或地热能制热/制冷）</w:t>
            </w:r>
          </w:p>
        </w:tc>
        <w:tc>
          <w:tcPr>
            <w:tcW w:w="4861" w:type="dxa"/>
            <w:vAlign w:val="center"/>
          </w:tcPr>
          <w:p w14:paraId="0E5C9B5D">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LA009 节能型变压器、整流器、电感器和电焊机制造</w:t>
            </w:r>
          </w:p>
        </w:tc>
      </w:tr>
      <w:tr w14:paraId="2256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2F378386">
            <w:pPr>
              <w:widowControl/>
              <w:jc w:val="left"/>
              <w:rPr>
                <w:rFonts w:hint="eastAsia" w:ascii="仿宋" w:hAnsi="仿宋" w:eastAsia="仿宋" w:cs="仿宋"/>
                <w:color w:val="000000"/>
                <w:kern w:val="0"/>
                <w:sz w:val="24"/>
              </w:rPr>
            </w:pPr>
          </w:p>
        </w:tc>
        <w:tc>
          <w:tcPr>
            <w:tcW w:w="4861" w:type="dxa"/>
            <w:vAlign w:val="center"/>
          </w:tcPr>
          <w:p w14:paraId="42AC863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LA010 余热余压余气利用设备制造</w:t>
            </w:r>
          </w:p>
        </w:tc>
      </w:tr>
      <w:tr w14:paraId="747C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435" w:type="dxa"/>
            <w:vMerge w:val="restart"/>
            <w:vAlign w:val="center"/>
          </w:tcPr>
          <w:p w14:paraId="295236FB">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D2.6 可再生非化石能源气体和液体燃料热电联产（可再生非化石能源气体和液体燃料制冷/制热）</w:t>
            </w:r>
          </w:p>
        </w:tc>
        <w:tc>
          <w:tcPr>
            <w:tcW w:w="4861" w:type="dxa"/>
            <w:vAlign w:val="center"/>
          </w:tcPr>
          <w:p w14:paraId="62D92D0E">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LA021 绿色建筑材料制造</w:t>
            </w:r>
          </w:p>
        </w:tc>
      </w:tr>
      <w:tr w14:paraId="3525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1CB660E8">
            <w:pPr>
              <w:widowControl/>
              <w:jc w:val="left"/>
              <w:rPr>
                <w:rFonts w:hint="eastAsia" w:ascii="仿宋" w:hAnsi="仿宋" w:eastAsia="仿宋" w:cs="仿宋"/>
                <w:color w:val="000000"/>
                <w:kern w:val="0"/>
                <w:sz w:val="24"/>
              </w:rPr>
            </w:pPr>
          </w:p>
        </w:tc>
        <w:tc>
          <w:tcPr>
            <w:tcW w:w="4861" w:type="dxa"/>
            <w:vAlign w:val="center"/>
          </w:tcPr>
          <w:p w14:paraId="4C16B3CF">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LE004 超低能耗建筑建设</w:t>
            </w:r>
          </w:p>
        </w:tc>
      </w:tr>
      <w:tr w14:paraId="124E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6438E5A5">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D2.7 生物能源热电（冷）联产（或生物能源制冷/制热）</w:t>
            </w:r>
          </w:p>
        </w:tc>
        <w:tc>
          <w:tcPr>
            <w:tcW w:w="4861" w:type="dxa"/>
            <w:vAlign w:val="center"/>
          </w:tcPr>
          <w:p w14:paraId="4EB0C94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LE001 城镇集中供热系统清洁化建设运营和改造</w:t>
            </w:r>
          </w:p>
        </w:tc>
      </w:tr>
      <w:tr w14:paraId="5951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680E3BBC">
            <w:pPr>
              <w:widowControl/>
              <w:jc w:val="left"/>
              <w:rPr>
                <w:rFonts w:hint="eastAsia" w:ascii="仿宋" w:hAnsi="仿宋" w:eastAsia="仿宋" w:cs="仿宋"/>
                <w:color w:val="000000"/>
                <w:kern w:val="0"/>
                <w:sz w:val="24"/>
              </w:rPr>
            </w:pPr>
          </w:p>
        </w:tc>
        <w:tc>
          <w:tcPr>
            <w:tcW w:w="4861" w:type="dxa"/>
            <w:vAlign w:val="center"/>
          </w:tcPr>
          <w:p w14:paraId="531A3848">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LC020 热泵设施建设和运营</w:t>
            </w:r>
          </w:p>
        </w:tc>
      </w:tr>
      <w:tr w14:paraId="1ACD8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578C8C6D">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D2.8 余热制冷/制热</w:t>
            </w:r>
          </w:p>
        </w:tc>
        <w:tc>
          <w:tcPr>
            <w:tcW w:w="4861" w:type="dxa"/>
            <w:vAlign w:val="center"/>
          </w:tcPr>
          <w:p w14:paraId="29AC639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LE001 城镇集中供热系统清洁化建设运营和改造</w:t>
            </w:r>
          </w:p>
        </w:tc>
      </w:tr>
      <w:tr w14:paraId="11E7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4F512175">
            <w:pPr>
              <w:widowControl/>
              <w:jc w:val="left"/>
              <w:rPr>
                <w:rFonts w:hint="eastAsia" w:ascii="仿宋" w:hAnsi="仿宋" w:eastAsia="仿宋" w:cs="仿宋"/>
                <w:color w:val="000000"/>
                <w:kern w:val="0"/>
                <w:sz w:val="24"/>
              </w:rPr>
            </w:pPr>
          </w:p>
        </w:tc>
        <w:tc>
          <w:tcPr>
            <w:tcW w:w="4861" w:type="dxa"/>
            <w:vAlign w:val="center"/>
          </w:tcPr>
          <w:p w14:paraId="04AB9463">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LA017 余热余压利用</w:t>
            </w:r>
          </w:p>
        </w:tc>
      </w:tr>
      <w:tr w14:paraId="6FC36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2CF500E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E1.1 污水污泥处理——厌氧消化</w:t>
            </w:r>
          </w:p>
        </w:tc>
        <w:tc>
          <w:tcPr>
            <w:tcW w:w="4861" w:type="dxa"/>
            <w:vAlign w:val="center"/>
          </w:tcPr>
          <w:p w14:paraId="4F64B53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LA059 城镇污水处理厂污泥综合利用</w:t>
            </w:r>
          </w:p>
        </w:tc>
      </w:tr>
      <w:tr w14:paraId="4410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5D2B63ED">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E2.1 非危险废物的源头分类收集和运输</w:t>
            </w:r>
          </w:p>
        </w:tc>
        <w:tc>
          <w:tcPr>
            <w:tcW w:w="4861" w:type="dxa"/>
            <w:vAlign w:val="center"/>
          </w:tcPr>
          <w:p w14:paraId="0F401215">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LE011 生活垃圾处理设施建设和运营</w:t>
            </w:r>
          </w:p>
        </w:tc>
      </w:tr>
      <w:tr w14:paraId="0791A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5942AA6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E2.2 非危险废物再利用</w:t>
            </w:r>
          </w:p>
        </w:tc>
        <w:tc>
          <w:tcPr>
            <w:tcW w:w="4861" w:type="dxa"/>
            <w:vAlign w:val="center"/>
          </w:tcPr>
          <w:p w14:paraId="7E385D44">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LA055 废旧资源再生利用</w:t>
            </w:r>
          </w:p>
        </w:tc>
      </w:tr>
      <w:tr w14:paraId="3BDA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restart"/>
            <w:vAlign w:val="center"/>
          </w:tcPr>
          <w:p w14:paraId="6CC4D95A">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E2.3 生活和农业生物质废物堆肥</w:t>
            </w:r>
          </w:p>
        </w:tc>
        <w:tc>
          <w:tcPr>
            <w:tcW w:w="4861" w:type="dxa"/>
            <w:vMerge w:val="restart"/>
            <w:vAlign w:val="center"/>
          </w:tcPr>
          <w:p w14:paraId="150C404A">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LA057 城乡生活垃圾综合利用</w:t>
            </w:r>
          </w:p>
        </w:tc>
      </w:tr>
      <w:tr w14:paraId="18C6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10FF0D36">
            <w:pPr>
              <w:widowControl/>
              <w:jc w:val="left"/>
              <w:rPr>
                <w:rFonts w:hint="eastAsia" w:ascii="仿宋" w:hAnsi="仿宋" w:eastAsia="仿宋" w:cs="仿宋"/>
                <w:color w:val="000000"/>
                <w:kern w:val="0"/>
                <w:sz w:val="24"/>
              </w:rPr>
            </w:pPr>
          </w:p>
        </w:tc>
        <w:tc>
          <w:tcPr>
            <w:tcW w:w="4861" w:type="dxa"/>
            <w:vMerge w:val="continue"/>
            <w:vAlign w:val="center"/>
          </w:tcPr>
          <w:p w14:paraId="30D6F6FF">
            <w:pPr>
              <w:widowControl/>
              <w:rPr>
                <w:rFonts w:hint="eastAsia" w:ascii="仿宋" w:hAnsi="仿宋" w:eastAsia="仿宋" w:cs="仿宋"/>
                <w:color w:val="000000"/>
                <w:kern w:val="0"/>
                <w:sz w:val="24"/>
              </w:rPr>
            </w:pPr>
          </w:p>
        </w:tc>
      </w:tr>
      <w:tr w14:paraId="5E66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112E8AB1">
            <w:pPr>
              <w:widowControl/>
              <w:jc w:val="left"/>
              <w:rPr>
                <w:rFonts w:hint="eastAsia" w:ascii="仿宋" w:hAnsi="仿宋" w:eastAsia="仿宋" w:cs="仿宋"/>
                <w:color w:val="000000"/>
                <w:kern w:val="0"/>
                <w:sz w:val="24"/>
              </w:rPr>
            </w:pPr>
          </w:p>
        </w:tc>
        <w:tc>
          <w:tcPr>
            <w:tcW w:w="4861" w:type="dxa"/>
            <w:vMerge w:val="restart"/>
            <w:vAlign w:val="center"/>
          </w:tcPr>
          <w:p w14:paraId="141D5098">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LA058 农业废弃物资源化利用</w:t>
            </w:r>
          </w:p>
        </w:tc>
      </w:tr>
      <w:tr w14:paraId="641E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41781B13">
            <w:pPr>
              <w:widowControl/>
              <w:jc w:val="left"/>
              <w:rPr>
                <w:rFonts w:hint="eastAsia" w:ascii="仿宋" w:hAnsi="仿宋" w:eastAsia="仿宋" w:cs="仿宋"/>
                <w:color w:val="000000"/>
                <w:kern w:val="0"/>
                <w:sz w:val="24"/>
              </w:rPr>
            </w:pPr>
          </w:p>
        </w:tc>
        <w:tc>
          <w:tcPr>
            <w:tcW w:w="4861" w:type="dxa"/>
            <w:vMerge w:val="continue"/>
            <w:vAlign w:val="center"/>
          </w:tcPr>
          <w:p w14:paraId="0A615E84">
            <w:pPr>
              <w:widowControl/>
              <w:rPr>
                <w:rFonts w:hint="eastAsia" w:ascii="仿宋" w:hAnsi="仿宋" w:eastAsia="仿宋" w:cs="仿宋"/>
                <w:color w:val="000000"/>
                <w:kern w:val="0"/>
                <w:sz w:val="24"/>
              </w:rPr>
            </w:pPr>
          </w:p>
        </w:tc>
      </w:tr>
      <w:tr w14:paraId="4ACBA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restart"/>
            <w:vAlign w:val="center"/>
          </w:tcPr>
          <w:p w14:paraId="2579055F">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E2.4 生活垃圾的利用与处理——厌氧消化</w:t>
            </w:r>
          </w:p>
        </w:tc>
        <w:tc>
          <w:tcPr>
            <w:tcW w:w="4861" w:type="dxa"/>
            <w:vMerge w:val="restart"/>
            <w:noWrap/>
            <w:vAlign w:val="center"/>
          </w:tcPr>
          <w:p w14:paraId="2775085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LA057 城乡生活垃圾综合利用</w:t>
            </w:r>
          </w:p>
        </w:tc>
      </w:tr>
      <w:tr w14:paraId="05EC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30B0CE70">
            <w:pPr>
              <w:widowControl/>
              <w:jc w:val="left"/>
              <w:rPr>
                <w:rFonts w:hint="eastAsia" w:ascii="仿宋" w:hAnsi="仿宋" w:eastAsia="仿宋" w:cs="仿宋"/>
                <w:color w:val="000000"/>
                <w:kern w:val="0"/>
                <w:sz w:val="24"/>
              </w:rPr>
            </w:pPr>
          </w:p>
        </w:tc>
        <w:tc>
          <w:tcPr>
            <w:tcW w:w="4861" w:type="dxa"/>
            <w:vMerge w:val="continue"/>
            <w:noWrap/>
            <w:vAlign w:val="center"/>
          </w:tcPr>
          <w:p w14:paraId="3E1B1B90">
            <w:pPr>
              <w:widowControl/>
              <w:rPr>
                <w:rFonts w:hint="eastAsia" w:ascii="仿宋" w:hAnsi="仿宋" w:eastAsia="仿宋" w:cs="仿宋"/>
                <w:color w:val="000000"/>
                <w:kern w:val="0"/>
                <w:sz w:val="24"/>
              </w:rPr>
            </w:pPr>
          </w:p>
        </w:tc>
      </w:tr>
      <w:tr w14:paraId="56C0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restart"/>
            <w:vAlign w:val="center"/>
          </w:tcPr>
          <w:p w14:paraId="223948C2">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E2.5 农业废弃物再利用</w:t>
            </w:r>
          </w:p>
        </w:tc>
        <w:tc>
          <w:tcPr>
            <w:tcW w:w="4861" w:type="dxa"/>
            <w:vMerge w:val="restart"/>
            <w:noWrap/>
            <w:vAlign w:val="center"/>
          </w:tcPr>
          <w:p w14:paraId="0606188D">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LA058 农业废弃物资源化利用</w:t>
            </w:r>
          </w:p>
        </w:tc>
      </w:tr>
      <w:tr w14:paraId="238A9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6ADCBD58">
            <w:pPr>
              <w:widowControl/>
              <w:jc w:val="left"/>
              <w:rPr>
                <w:rFonts w:hint="eastAsia" w:ascii="仿宋" w:hAnsi="仿宋" w:eastAsia="仿宋" w:cs="仿宋"/>
                <w:color w:val="000000"/>
                <w:kern w:val="0"/>
                <w:sz w:val="24"/>
              </w:rPr>
            </w:pPr>
          </w:p>
        </w:tc>
        <w:tc>
          <w:tcPr>
            <w:tcW w:w="4861" w:type="dxa"/>
            <w:vMerge w:val="continue"/>
            <w:noWrap/>
            <w:vAlign w:val="center"/>
          </w:tcPr>
          <w:p w14:paraId="7001D09C">
            <w:pPr>
              <w:widowControl/>
              <w:rPr>
                <w:rFonts w:hint="eastAsia" w:ascii="仿宋" w:hAnsi="仿宋" w:eastAsia="仿宋" w:cs="仿宋"/>
                <w:color w:val="000000"/>
                <w:kern w:val="0"/>
                <w:sz w:val="24"/>
              </w:rPr>
            </w:pPr>
          </w:p>
        </w:tc>
      </w:tr>
      <w:tr w14:paraId="2529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Merge w:val="restart"/>
            <w:vAlign w:val="center"/>
          </w:tcPr>
          <w:p w14:paraId="1499564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F1.1 新建建筑建造</w:t>
            </w:r>
          </w:p>
        </w:tc>
        <w:tc>
          <w:tcPr>
            <w:tcW w:w="4861" w:type="dxa"/>
            <w:noWrap/>
            <w:vAlign w:val="center"/>
          </w:tcPr>
          <w:p w14:paraId="2657B385">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LE004 超低能耗建筑建设</w:t>
            </w:r>
          </w:p>
        </w:tc>
      </w:tr>
      <w:tr w14:paraId="4889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12A53BA8">
            <w:pPr>
              <w:widowControl/>
              <w:jc w:val="left"/>
              <w:rPr>
                <w:rFonts w:hint="eastAsia" w:ascii="仿宋" w:hAnsi="仿宋" w:eastAsia="仿宋" w:cs="仿宋"/>
                <w:color w:val="000000"/>
                <w:kern w:val="0"/>
                <w:sz w:val="24"/>
              </w:rPr>
            </w:pPr>
          </w:p>
        </w:tc>
        <w:tc>
          <w:tcPr>
            <w:tcW w:w="4861" w:type="dxa"/>
            <w:noWrap/>
            <w:vAlign w:val="center"/>
          </w:tcPr>
          <w:p w14:paraId="6275999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LE005 绿色建筑</w:t>
            </w:r>
          </w:p>
        </w:tc>
      </w:tr>
      <w:tr w14:paraId="610B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3435" w:type="dxa"/>
            <w:vMerge w:val="restart"/>
            <w:vAlign w:val="center"/>
          </w:tcPr>
          <w:p w14:paraId="20D4A237">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F1.2 既有建筑改建</w:t>
            </w:r>
          </w:p>
        </w:tc>
        <w:tc>
          <w:tcPr>
            <w:tcW w:w="4861" w:type="dxa"/>
            <w:vMerge w:val="restart"/>
            <w:noWrap/>
            <w:vAlign w:val="center"/>
          </w:tcPr>
          <w:p w14:paraId="6F51784A">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LE008 既有建筑节能及绿色化改造</w:t>
            </w:r>
          </w:p>
        </w:tc>
      </w:tr>
      <w:tr w14:paraId="1E30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35" w:type="dxa"/>
            <w:vMerge w:val="continue"/>
            <w:vAlign w:val="center"/>
          </w:tcPr>
          <w:p w14:paraId="4352AB29">
            <w:pPr>
              <w:widowControl/>
              <w:jc w:val="left"/>
              <w:rPr>
                <w:rFonts w:hint="eastAsia" w:ascii="仿宋" w:hAnsi="仿宋" w:eastAsia="仿宋" w:cs="仿宋"/>
                <w:color w:val="000000"/>
                <w:kern w:val="0"/>
                <w:sz w:val="24"/>
              </w:rPr>
            </w:pPr>
          </w:p>
        </w:tc>
        <w:tc>
          <w:tcPr>
            <w:tcW w:w="4861" w:type="dxa"/>
            <w:vMerge w:val="continue"/>
            <w:noWrap/>
            <w:vAlign w:val="bottom"/>
          </w:tcPr>
          <w:p w14:paraId="000FEB6E">
            <w:pPr>
              <w:widowControl/>
              <w:jc w:val="center"/>
              <w:rPr>
                <w:rFonts w:hint="eastAsia" w:ascii="仿宋" w:hAnsi="仿宋" w:eastAsia="仿宋" w:cs="仿宋"/>
                <w:color w:val="000000"/>
                <w:kern w:val="0"/>
                <w:sz w:val="24"/>
              </w:rPr>
            </w:pPr>
          </w:p>
        </w:tc>
      </w:tr>
      <w:tr w14:paraId="673F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75431A87">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F2.1 低碳道路交通基础设施</w:t>
            </w:r>
          </w:p>
        </w:tc>
        <w:tc>
          <w:tcPr>
            <w:tcW w:w="4861" w:type="dxa"/>
            <w:noWrap/>
            <w:vAlign w:val="center"/>
          </w:tcPr>
          <w:p w14:paraId="0CFE1BA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LC019 氢能利用设施建设和运营</w:t>
            </w:r>
          </w:p>
        </w:tc>
      </w:tr>
      <w:tr w14:paraId="7924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3D41C31B">
            <w:pPr>
              <w:widowControl/>
              <w:jc w:val="left"/>
              <w:rPr>
                <w:rFonts w:hint="eastAsia" w:ascii="仿宋" w:hAnsi="仿宋" w:eastAsia="仿宋" w:cs="仿宋"/>
                <w:color w:val="000000"/>
                <w:kern w:val="0"/>
                <w:sz w:val="24"/>
              </w:rPr>
            </w:pPr>
          </w:p>
        </w:tc>
        <w:tc>
          <w:tcPr>
            <w:tcW w:w="4861" w:type="dxa"/>
            <w:noWrap/>
            <w:vAlign w:val="center"/>
          </w:tcPr>
          <w:p w14:paraId="0BE8F20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LE030 充电、换电、加氢和加气设施建设和运营</w:t>
            </w:r>
          </w:p>
        </w:tc>
      </w:tr>
      <w:tr w14:paraId="3FFB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627C8F43">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F2.2 支持低碳水运的基础设施</w:t>
            </w:r>
          </w:p>
        </w:tc>
        <w:tc>
          <w:tcPr>
            <w:tcW w:w="4861" w:type="dxa"/>
            <w:noWrap/>
            <w:vAlign w:val="center"/>
          </w:tcPr>
          <w:p w14:paraId="6928C927">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LE029 港口、码头岸电设施及机场廊桥供电设施建设</w:t>
            </w:r>
          </w:p>
        </w:tc>
      </w:tr>
      <w:tr w14:paraId="1F10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15CF69F9">
            <w:pPr>
              <w:widowControl/>
              <w:jc w:val="left"/>
              <w:rPr>
                <w:rFonts w:hint="eastAsia" w:ascii="仿宋" w:hAnsi="仿宋" w:eastAsia="仿宋" w:cs="仿宋"/>
                <w:color w:val="000000"/>
                <w:kern w:val="0"/>
                <w:sz w:val="24"/>
              </w:rPr>
            </w:pPr>
          </w:p>
        </w:tc>
        <w:tc>
          <w:tcPr>
            <w:tcW w:w="4861" w:type="dxa"/>
            <w:noWrap/>
            <w:vAlign w:val="center"/>
          </w:tcPr>
          <w:p w14:paraId="58A59882">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LE030 充电、换电、加氢和加气设施建设和运营</w:t>
            </w:r>
          </w:p>
        </w:tc>
      </w:tr>
      <w:tr w14:paraId="58B0F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567B6FD4">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F2.3 低碳空运基础设施</w:t>
            </w:r>
          </w:p>
        </w:tc>
        <w:tc>
          <w:tcPr>
            <w:tcW w:w="4861" w:type="dxa"/>
            <w:noWrap/>
            <w:vAlign w:val="center"/>
          </w:tcPr>
          <w:p w14:paraId="5A6CAF16">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LE029 港口、码头岸电设施及机场廊桥供电设施建设</w:t>
            </w:r>
          </w:p>
        </w:tc>
      </w:tr>
      <w:tr w14:paraId="0AF4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7F0194B9">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F2.4 电气化轨道交通运输基础设施</w:t>
            </w:r>
          </w:p>
        </w:tc>
        <w:tc>
          <w:tcPr>
            <w:tcW w:w="4861" w:type="dxa"/>
            <w:noWrap/>
            <w:vAlign w:val="center"/>
          </w:tcPr>
          <w:p w14:paraId="24DB992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LE028 货物运输铁路建设运营和铁路节能环保改造</w:t>
            </w:r>
          </w:p>
        </w:tc>
      </w:tr>
      <w:tr w14:paraId="7764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2B70CCA9">
            <w:pPr>
              <w:widowControl/>
              <w:jc w:val="left"/>
              <w:rPr>
                <w:rFonts w:hint="eastAsia" w:ascii="仿宋" w:hAnsi="仿宋" w:eastAsia="仿宋" w:cs="仿宋"/>
                <w:color w:val="000000"/>
                <w:kern w:val="0"/>
                <w:sz w:val="24"/>
              </w:rPr>
            </w:pPr>
          </w:p>
        </w:tc>
        <w:tc>
          <w:tcPr>
            <w:tcW w:w="4861" w:type="dxa"/>
            <w:noWrap/>
            <w:vAlign w:val="center"/>
          </w:tcPr>
          <w:p w14:paraId="458C2376">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LE025 城乡公共交通系统建设和运营</w:t>
            </w:r>
          </w:p>
        </w:tc>
      </w:tr>
      <w:tr w14:paraId="10B0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03364B8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F3.1 绿色照明升级</w:t>
            </w:r>
          </w:p>
        </w:tc>
        <w:tc>
          <w:tcPr>
            <w:tcW w:w="4861" w:type="dxa"/>
            <w:noWrap/>
            <w:vAlign w:val="center"/>
          </w:tcPr>
          <w:p w14:paraId="12B11599">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LA020 绿色照明改造</w:t>
            </w:r>
          </w:p>
        </w:tc>
      </w:tr>
      <w:tr w14:paraId="76E0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6D40F73D">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F3.2 建筑可再生能源技术设备的安装、维护和维修</w:t>
            </w:r>
          </w:p>
        </w:tc>
        <w:tc>
          <w:tcPr>
            <w:tcW w:w="4861" w:type="dxa"/>
            <w:noWrap/>
            <w:vAlign w:val="center"/>
          </w:tcPr>
          <w:p w14:paraId="12FF5DC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LE006 建筑可再生能源应用</w:t>
            </w:r>
          </w:p>
        </w:tc>
      </w:tr>
      <w:tr w14:paraId="2FA60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03ABBE83">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H1.1 城乡公共交通系统建设与运营</w:t>
            </w:r>
          </w:p>
        </w:tc>
        <w:tc>
          <w:tcPr>
            <w:tcW w:w="4861" w:type="dxa"/>
            <w:noWrap/>
            <w:vAlign w:val="center"/>
          </w:tcPr>
          <w:p w14:paraId="01DB504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LE025 城乡公共交通系统建设和运营</w:t>
            </w:r>
          </w:p>
        </w:tc>
      </w:tr>
      <w:tr w14:paraId="27A6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08980065">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H1.2 铁路货运建设运营和既有铁路升级</w:t>
            </w:r>
          </w:p>
        </w:tc>
        <w:tc>
          <w:tcPr>
            <w:tcW w:w="4861" w:type="dxa"/>
            <w:noWrap/>
            <w:vAlign w:val="center"/>
          </w:tcPr>
          <w:p w14:paraId="7AA84697">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LE028 货物运输铁路建设运营和铁路节能环保改造</w:t>
            </w:r>
          </w:p>
        </w:tc>
      </w:tr>
      <w:tr w14:paraId="76AB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435" w:type="dxa"/>
            <w:vAlign w:val="center"/>
          </w:tcPr>
          <w:p w14:paraId="6EEEC0B7">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H1.3 共享交通设施建设和运营，包括轻型摩托车、乘用车和轻型商用车</w:t>
            </w:r>
          </w:p>
        </w:tc>
        <w:tc>
          <w:tcPr>
            <w:tcW w:w="4861" w:type="dxa"/>
            <w:noWrap/>
            <w:vAlign w:val="center"/>
          </w:tcPr>
          <w:p w14:paraId="2FB41493">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LE026 共享交通设施建设和运营</w:t>
            </w:r>
          </w:p>
        </w:tc>
      </w:tr>
      <w:tr w14:paraId="1EB0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02F98571">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H1.4 城际铁路客运</w:t>
            </w:r>
          </w:p>
        </w:tc>
        <w:tc>
          <w:tcPr>
            <w:tcW w:w="4861" w:type="dxa"/>
            <w:noWrap/>
            <w:vAlign w:val="center"/>
          </w:tcPr>
          <w:p w14:paraId="0857223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LE023 智能交通体系建设和运营</w:t>
            </w:r>
          </w:p>
        </w:tc>
      </w:tr>
      <w:tr w14:paraId="17E7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restart"/>
            <w:vAlign w:val="center"/>
          </w:tcPr>
          <w:p w14:paraId="426F3ECC">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H1.5 个人移动出行设备的建设和运营；自行车物流服务</w:t>
            </w:r>
          </w:p>
        </w:tc>
        <w:tc>
          <w:tcPr>
            <w:tcW w:w="4861" w:type="dxa"/>
            <w:noWrap/>
            <w:vAlign w:val="center"/>
          </w:tcPr>
          <w:p w14:paraId="1A90237B">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LE026 共享交通设施建设和运营</w:t>
            </w:r>
          </w:p>
        </w:tc>
      </w:tr>
      <w:tr w14:paraId="3CB0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Merge w:val="continue"/>
            <w:vAlign w:val="center"/>
          </w:tcPr>
          <w:p w14:paraId="1E09624F">
            <w:pPr>
              <w:widowControl/>
              <w:jc w:val="left"/>
              <w:rPr>
                <w:rFonts w:hint="eastAsia" w:ascii="仿宋" w:hAnsi="仿宋" w:eastAsia="仿宋" w:cs="仿宋"/>
                <w:color w:val="000000"/>
                <w:kern w:val="0"/>
                <w:sz w:val="24"/>
              </w:rPr>
            </w:pPr>
          </w:p>
        </w:tc>
        <w:tc>
          <w:tcPr>
            <w:tcW w:w="4861" w:type="dxa"/>
            <w:noWrap/>
            <w:vAlign w:val="center"/>
          </w:tcPr>
          <w:p w14:paraId="33F6A24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LE024 城市慢行系统建设和运营</w:t>
            </w:r>
          </w:p>
        </w:tc>
      </w:tr>
      <w:tr w14:paraId="7CD7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5" w:type="dxa"/>
            <w:vAlign w:val="center"/>
          </w:tcPr>
          <w:p w14:paraId="211E0C74">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X1 二氧化碳的地下永久地质储存</w:t>
            </w:r>
          </w:p>
        </w:tc>
        <w:tc>
          <w:tcPr>
            <w:tcW w:w="4861" w:type="dxa"/>
            <w:noWrap/>
            <w:vAlign w:val="center"/>
          </w:tcPr>
          <w:p w14:paraId="7C0053F0">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LC026 二氧化碳捕集、利用与封存工程建设和运营</w:t>
            </w:r>
          </w:p>
        </w:tc>
      </w:tr>
      <w:tr w14:paraId="294B1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435" w:type="dxa"/>
            <w:vAlign w:val="center"/>
          </w:tcPr>
          <w:p w14:paraId="23EE580E">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X2 储氢</w:t>
            </w:r>
          </w:p>
        </w:tc>
        <w:tc>
          <w:tcPr>
            <w:tcW w:w="4861" w:type="dxa"/>
            <w:noWrap/>
            <w:vAlign w:val="center"/>
          </w:tcPr>
          <w:p w14:paraId="27B0F52C">
            <w:pPr>
              <w:widowControl/>
              <w:jc w:val="left"/>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szCs w:val="24"/>
                <w:lang w:bidi="ar"/>
              </w:rPr>
              <w:t>LC019 氢能利用设施建设和运营</w:t>
            </w:r>
          </w:p>
        </w:tc>
      </w:tr>
    </w:tbl>
    <w:p w14:paraId="6A8B81E5">
      <w:pPr>
        <w:widowControl/>
        <w:jc w:val="left"/>
        <w:rPr>
          <w:rFonts w:hint="eastAsia" w:ascii="仿宋" w:hAnsi="仿宋" w:eastAsia="仿宋" w:cs="仿宋"/>
          <w:sz w:val="24"/>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sz w:val="24"/>
        </w:rPr>
        <w:t>资料来源:起草组根据中欧《可持续金融共同分类目录》等公开资料进行整理。</w:t>
      </w:r>
    </w:p>
    <w:p w14:paraId="4495693F">
      <w:pPr>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p>
    <w:p w14:paraId="6297D977">
      <w:pPr>
        <w:autoSpaceDE w:val="0"/>
        <w:autoSpaceDN w:val="0"/>
        <w:adjustRightInd w:val="0"/>
        <w:spacing w:line="56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ICMA环境效益指标与本标准</w:t>
      </w:r>
    </w:p>
    <w:p w14:paraId="13B816B8">
      <w:pPr>
        <w:autoSpaceDE w:val="0"/>
        <w:autoSpaceDN w:val="0"/>
        <w:adjustRightInd w:val="0"/>
        <w:spacing w:line="56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对比情况分析</w:t>
      </w:r>
    </w:p>
    <w:p w14:paraId="33FDF6C0">
      <w:pPr>
        <w:ind w:firstLine="640" w:firstLineChars="200"/>
        <w:rPr>
          <w:rFonts w:hint="eastAsia" w:ascii="仿宋_GB2312" w:hAnsi="仿宋_GB2312" w:eastAsia="仿宋_GB2312" w:cs="仿宋_GB2312"/>
          <w:sz w:val="32"/>
          <w:szCs w:val="32"/>
        </w:rPr>
      </w:pPr>
    </w:p>
    <w:p w14:paraId="5CFE27B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ICMA《影响报告统一框架》（Harmonised Framework for Impact Reporting）（以下简称《框架》）提出的指标体系与本标准对比情况如下：</w:t>
      </w:r>
    </w:p>
    <w:p w14:paraId="0DCE71C5">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行业分类方面</w:t>
      </w:r>
      <w:r>
        <w:rPr>
          <w:rFonts w:hint="eastAsia" w:ascii="仿宋_GB2312" w:hAnsi="仿宋_GB2312" w:eastAsia="仿宋_GB2312" w:cs="仿宋_GB2312"/>
          <w:sz w:val="32"/>
          <w:szCs w:val="32"/>
        </w:rPr>
        <w:t>，ICMA《框架》共设置10大行业分类，并在指标设置时对可持续水资源及废水管理、废弃物管理及资源利用效率提升、循环经济和/或生态效益项目、生物资源和土地利用项目4个行业大类进一步细化分类。经对比相关行业定义，目前本标准的行业分类可完全覆盖ICMA《框架》行业分类（详见附表1）。</w:t>
      </w:r>
    </w:p>
    <w:p w14:paraId="1813446F">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指标设置方面</w:t>
      </w:r>
      <w:r>
        <w:rPr>
          <w:rFonts w:hint="eastAsia" w:ascii="仿宋_GB2312" w:hAnsi="仿宋_GB2312" w:eastAsia="仿宋_GB2312" w:cs="仿宋_GB2312"/>
          <w:sz w:val="32"/>
          <w:szCs w:val="32"/>
        </w:rPr>
        <w:t>，ICMA《框架》指标分为核心指标和其他可持续指标，各行业指标设置存在较大差异，且同时存在环境效益指标、社会及经济效益指标。ICMA《框架》目前对10大行业分类提出合计88个环境效益类核心指标。经比对，本标准与ICMA《框架》相同的指标37个、相同但不含相对值</w:t>
      </w:r>
      <w:r>
        <w:rPr>
          <w:rStyle w:val="14"/>
          <w:rFonts w:hint="eastAsia" w:ascii="仿宋_GB2312" w:hAnsi="仿宋_GB2312" w:eastAsia="仿宋_GB2312" w:cs="仿宋_GB2312"/>
          <w:sz w:val="32"/>
          <w:szCs w:val="32"/>
        </w:rPr>
        <w:footnoteReference w:id="1"/>
      </w:r>
      <w:r>
        <w:rPr>
          <w:rFonts w:hint="eastAsia" w:ascii="仿宋_GB2312" w:hAnsi="仿宋_GB2312" w:eastAsia="仿宋_GB2312" w:cs="仿宋_GB2312"/>
          <w:sz w:val="32"/>
          <w:szCs w:val="32"/>
        </w:rPr>
        <w:t>的指标21个、可换算的指标11个，未覆盖的指标19个（详见附表2）。未覆盖的指标包括两类：一是占比类相对指标，不可加总计算和比较各项目的环境效益；二是非通用性指标，适用范围较窄，且大多测算难度较高。因此未覆盖的指标均不宜纳入本标准，其环境效益可通过“环境效益定性描述”指标表述。</w:t>
      </w:r>
    </w:p>
    <w:p w14:paraId="604C64E2">
      <w:pPr>
        <w:ind w:firstLine="640"/>
        <w:rPr>
          <w:rFonts w:hint="eastAsia" w:ascii="仿宋_GB2312" w:hAnsi="仿宋_GB2312" w:eastAsia="仿宋_GB2312" w:cs="仿宋_GB2312"/>
          <w:sz w:val="32"/>
          <w:szCs w:val="32"/>
        </w:rPr>
        <w:sectPr>
          <w:pgSz w:w="11906" w:h="16838"/>
          <w:pgMar w:top="1440" w:right="1800" w:bottom="1440" w:left="1800" w:header="851" w:footer="992" w:gutter="0"/>
          <w:pgNumType w:fmt="numberInDash"/>
          <w:cols w:space="720" w:num="1"/>
          <w:docGrid w:type="lines" w:linePitch="312" w:charSpace="0"/>
        </w:sectPr>
      </w:pPr>
    </w:p>
    <w:p w14:paraId="4FA5478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附表1</w:t>
      </w:r>
    </w:p>
    <w:p w14:paraId="7FEE5127">
      <w:pPr>
        <w:autoSpaceDE w:val="0"/>
        <w:autoSpaceDN w:val="0"/>
        <w:adjustRightInd w:val="0"/>
        <w:spacing w:line="56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ICMA行业分类与本标准行业分类对比</w:t>
      </w:r>
    </w:p>
    <w:p w14:paraId="60BD0C66"/>
    <w:tbl>
      <w:tblPr>
        <w:tblStyle w:val="10"/>
        <w:tblpPr w:leftFromText="180" w:rightFromText="180" w:vertAnchor="text" w:horzAnchor="page" w:tblpX="1877" w:tblpY="308"/>
        <w:tblOverlap w:val="never"/>
        <w:tblW w:w="0" w:type="auto"/>
        <w:tblInd w:w="0" w:type="dxa"/>
        <w:tblLayout w:type="autofit"/>
        <w:tblCellMar>
          <w:top w:w="0" w:type="dxa"/>
          <w:left w:w="108" w:type="dxa"/>
          <w:bottom w:w="0" w:type="dxa"/>
          <w:right w:w="108" w:type="dxa"/>
        </w:tblCellMar>
      </w:tblPr>
      <w:tblGrid>
        <w:gridCol w:w="1767"/>
        <w:gridCol w:w="2458"/>
        <w:gridCol w:w="4178"/>
      </w:tblGrid>
      <w:tr w14:paraId="43ED929A">
        <w:tblPrEx>
          <w:tblCellMar>
            <w:top w:w="0" w:type="dxa"/>
            <w:left w:w="108" w:type="dxa"/>
            <w:bottom w:w="0" w:type="dxa"/>
            <w:right w:w="108" w:type="dxa"/>
          </w:tblCellMar>
        </w:tblPrEx>
        <w:trPr>
          <w:trHeight w:val="270" w:hRule="atLeast"/>
        </w:trPr>
        <w:tc>
          <w:tcPr>
            <w:tcW w:w="1767" w:type="dxa"/>
            <w:tcBorders>
              <w:top w:val="single" w:color="000000" w:sz="4" w:space="0"/>
              <w:left w:val="single" w:color="000000" w:sz="4" w:space="0"/>
              <w:bottom w:val="single" w:color="000000" w:sz="4" w:space="0"/>
              <w:right w:val="single" w:color="000000" w:sz="4" w:space="0"/>
            </w:tcBorders>
            <w:vAlign w:val="center"/>
          </w:tcPr>
          <w:p w14:paraId="46B16489">
            <w:pPr>
              <w:widowControl/>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0"/>
                <w:sz w:val="24"/>
                <w:szCs w:val="24"/>
                <w:lang w:bidi="ar"/>
              </w:rPr>
              <w:t>ICMA一级行业</w:t>
            </w:r>
          </w:p>
        </w:tc>
        <w:tc>
          <w:tcPr>
            <w:tcW w:w="2458" w:type="dxa"/>
            <w:tcBorders>
              <w:top w:val="single" w:color="000000" w:sz="4" w:space="0"/>
              <w:left w:val="single" w:color="000000" w:sz="4" w:space="0"/>
              <w:bottom w:val="single" w:color="000000" w:sz="4" w:space="0"/>
              <w:right w:val="single" w:color="000000" w:sz="4" w:space="0"/>
            </w:tcBorders>
            <w:vAlign w:val="center"/>
          </w:tcPr>
          <w:p w14:paraId="25731D3E">
            <w:pPr>
              <w:widowControl/>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0"/>
                <w:sz w:val="24"/>
                <w:szCs w:val="24"/>
                <w:lang w:bidi="ar"/>
              </w:rPr>
              <w:t>ICMA二级行业</w:t>
            </w:r>
          </w:p>
        </w:tc>
        <w:tc>
          <w:tcPr>
            <w:tcW w:w="4178" w:type="dxa"/>
            <w:tcBorders>
              <w:top w:val="single" w:color="000000" w:sz="4" w:space="0"/>
              <w:left w:val="single" w:color="000000" w:sz="4" w:space="0"/>
              <w:bottom w:val="single" w:color="000000" w:sz="4" w:space="0"/>
              <w:right w:val="single" w:color="000000" w:sz="4" w:space="0"/>
            </w:tcBorders>
            <w:vAlign w:val="center"/>
          </w:tcPr>
          <w:p w14:paraId="62B50B0A">
            <w:pPr>
              <w:widowControl/>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0"/>
                <w:sz w:val="24"/>
                <w:szCs w:val="24"/>
                <w:lang w:bidi="ar"/>
              </w:rPr>
              <w:t>本标准对应行业</w:t>
            </w:r>
          </w:p>
        </w:tc>
      </w:tr>
      <w:tr w14:paraId="6A3FE733">
        <w:tblPrEx>
          <w:tblCellMar>
            <w:top w:w="0" w:type="dxa"/>
            <w:left w:w="108" w:type="dxa"/>
            <w:bottom w:w="0" w:type="dxa"/>
            <w:right w:w="108" w:type="dxa"/>
          </w:tblCellMar>
        </w:tblPrEx>
        <w:trPr>
          <w:trHeight w:val="540" w:hRule="atLeast"/>
        </w:trPr>
        <w:tc>
          <w:tcPr>
            <w:tcW w:w="1767" w:type="dxa"/>
            <w:vMerge w:val="restart"/>
            <w:tcBorders>
              <w:top w:val="single" w:color="000000" w:sz="4" w:space="0"/>
              <w:left w:val="single" w:color="000000" w:sz="4" w:space="0"/>
              <w:bottom w:val="nil"/>
              <w:right w:val="single" w:color="000000" w:sz="4" w:space="0"/>
            </w:tcBorders>
            <w:vAlign w:val="center"/>
          </w:tcPr>
          <w:p w14:paraId="4123E3A9">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1.可再生能源</w:t>
            </w:r>
          </w:p>
        </w:tc>
        <w:tc>
          <w:tcPr>
            <w:tcW w:w="2458" w:type="dxa"/>
            <w:vMerge w:val="restart"/>
            <w:tcBorders>
              <w:top w:val="single" w:color="000000" w:sz="4" w:space="0"/>
              <w:left w:val="single" w:color="000000" w:sz="4" w:space="0"/>
              <w:bottom w:val="nil"/>
              <w:right w:val="single" w:color="000000" w:sz="4" w:space="0"/>
            </w:tcBorders>
            <w:vAlign w:val="center"/>
          </w:tcPr>
          <w:p w14:paraId="5A592649">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w:t>
            </w:r>
          </w:p>
        </w:tc>
        <w:tc>
          <w:tcPr>
            <w:tcW w:w="4178" w:type="dxa"/>
            <w:tcBorders>
              <w:top w:val="single" w:color="000000" w:sz="4" w:space="0"/>
              <w:left w:val="single" w:color="000000" w:sz="4" w:space="0"/>
              <w:bottom w:val="single" w:color="000000" w:sz="4" w:space="0"/>
              <w:right w:val="single" w:color="000000" w:sz="4" w:space="0"/>
            </w:tcBorders>
            <w:vAlign w:val="center"/>
          </w:tcPr>
          <w:p w14:paraId="03228651">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LC003 风力发电装备制造 至 LZ038 清洁能源-其他</w:t>
            </w:r>
          </w:p>
        </w:tc>
      </w:tr>
      <w:tr w14:paraId="31F9635C">
        <w:tblPrEx>
          <w:tblCellMar>
            <w:top w:w="0" w:type="dxa"/>
            <w:left w:w="108" w:type="dxa"/>
            <w:bottom w:w="0" w:type="dxa"/>
            <w:right w:w="108" w:type="dxa"/>
          </w:tblCellMar>
        </w:tblPrEx>
        <w:trPr>
          <w:trHeight w:val="270" w:hRule="atLeast"/>
        </w:trPr>
        <w:tc>
          <w:tcPr>
            <w:tcW w:w="1767" w:type="dxa"/>
            <w:vMerge w:val="restart"/>
            <w:tcBorders>
              <w:top w:val="single" w:color="000000" w:sz="4" w:space="0"/>
              <w:left w:val="single" w:color="000000" w:sz="4" w:space="0"/>
              <w:bottom w:val="single" w:color="000000" w:sz="4" w:space="0"/>
              <w:right w:val="single" w:color="000000" w:sz="4" w:space="0"/>
            </w:tcBorders>
            <w:vAlign w:val="center"/>
          </w:tcPr>
          <w:p w14:paraId="69464A3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2.能效提升</w:t>
            </w: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3D0DC56E">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w:t>
            </w:r>
          </w:p>
        </w:tc>
        <w:tc>
          <w:tcPr>
            <w:tcW w:w="4178" w:type="dxa"/>
            <w:tcBorders>
              <w:top w:val="single" w:color="000000" w:sz="4" w:space="0"/>
              <w:left w:val="single" w:color="000000" w:sz="4" w:space="0"/>
              <w:bottom w:val="single" w:color="000000" w:sz="4" w:space="0"/>
              <w:right w:val="single" w:color="000000" w:sz="4" w:space="0"/>
            </w:tcBorders>
            <w:vAlign w:val="center"/>
          </w:tcPr>
          <w:p w14:paraId="45D260B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LA001 节能锅炉制造 至 LZ004 节能环保产业-能效提升-其他</w:t>
            </w:r>
          </w:p>
        </w:tc>
      </w:tr>
      <w:tr w14:paraId="06B3B491">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0802D6E7">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4C4036A3">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22FB096C">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LE001 城镇集中供热系统清洁化建设运营和改造 至 LZ047 基础设施绿色产业-能效提升-其他</w:t>
            </w:r>
          </w:p>
        </w:tc>
      </w:tr>
      <w:tr w14:paraId="2F585664">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532F7479">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4F7ECCA7">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505387D7">
            <w:pPr>
              <w:widowControl/>
              <w:jc w:val="center"/>
              <w:textAlignment w:val="center"/>
              <w:rPr>
                <w:rFonts w:hint="eastAsia" w:ascii="仿宋_GB2312" w:hAnsi="仿宋_GB2312" w:eastAsia="仿宋_GB2312" w:cs="仿宋_GB2312"/>
                <w:color w:val="000000"/>
                <w:sz w:val="24"/>
                <w:szCs w:val="24"/>
              </w:rPr>
            </w:pPr>
            <w:bookmarkStart w:id="100" w:name="OLE_LINK1"/>
            <w:r>
              <w:rPr>
                <w:rFonts w:hint="eastAsia" w:ascii="仿宋_GB2312" w:hAnsi="仿宋_GB2312" w:eastAsia="仿宋_GB2312" w:cs="仿宋_GB2312"/>
                <w:color w:val="000000"/>
                <w:kern w:val="0"/>
                <w:sz w:val="24"/>
                <w:szCs w:val="24"/>
                <w:lang w:bidi="ar"/>
              </w:rPr>
              <w:t>LC001 智能电网产品和装备制造 至 LZ034 清洁能源产业-能效提升-其他</w:t>
            </w:r>
            <w:bookmarkEnd w:id="100"/>
          </w:p>
        </w:tc>
      </w:tr>
      <w:tr w14:paraId="51EDE2C5">
        <w:tblPrEx>
          <w:tblCellMar>
            <w:top w:w="0" w:type="dxa"/>
            <w:left w:w="108" w:type="dxa"/>
            <w:bottom w:w="0" w:type="dxa"/>
            <w:right w:w="108" w:type="dxa"/>
          </w:tblCellMar>
        </w:tblPrEx>
        <w:trPr>
          <w:trHeight w:val="540" w:hRule="atLeast"/>
        </w:trPr>
        <w:tc>
          <w:tcPr>
            <w:tcW w:w="1767" w:type="dxa"/>
            <w:vMerge w:val="restart"/>
            <w:tcBorders>
              <w:top w:val="single" w:color="000000" w:sz="4" w:space="0"/>
              <w:left w:val="single" w:color="000000" w:sz="4" w:space="0"/>
              <w:bottom w:val="single" w:color="000000" w:sz="4" w:space="0"/>
              <w:right w:val="single" w:color="000000" w:sz="4" w:space="0"/>
            </w:tcBorders>
            <w:vAlign w:val="center"/>
          </w:tcPr>
          <w:p w14:paraId="02BDD76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3.可持续水资源及废水管理</w:t>
            </w:r>
          </w:p>
        </w:tc>
        <w:tc>
          <w:tcPr>
            <w:tcW w:w="2458" w:type="dxa"/>
            <w:vMerge w:val="restart"/>
            <w:tcBorders>
              <w:top w:val="single" w:color="000000" w:sz="4" w:space="0"/>
              <w:left w:val="single" w:color="000000" w:sz="4" w:space="0"/>
              <w:bottom w:val="nil"/>
              <w:right w:val="single" w:color="000000" w:sz="4" w:space="0"/>
            </w:tcBorders>
            <w:vAlign w:val="center"/>
          </w:tcPr>
          <w:p w14:paraId="49370824">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3.1 可持续水资源管理-节水和水资源可持续利用</w:t>
            </w:r>
          </w:p>
        </w:tc>
        <w:tc>
          <w:tcPr>
            <w:tcW w:w="4178" w:type="dxa"/>
            <w:tcBorders>
              <w:top w:val="single" w:color="000000" w:sz="4" w:space="0"/>
              <w:left w:val="single" w:color="000000" w:sz="4" w:space="0"/>
              <w:bottom w:val="single" w:color="000000" w:sz="4" w:space="0"/>
              <w:right w:val="single" w:color="000000" w:sz="4" w:space="0"/>
            </w:tcBorders>
            <w:vAlign w:val="center"/>
          </w:tcPr>
          <w:p w14:paraId="5DEB012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LA044 海水、苦咸水淡化处理 至 LZ014 节能环保产业-水资源节约和非常规水资源利用-其他</w:t>
            </w:r>
          </w:p>
        </w:tc>
      </w:tr>
      <w:tr w14:paraId="6CDFF41A">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2B862D76">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nil"/>
              <w:right w:val="single" w:color="000000" w:sz="4" w:space="0"/>
            </w:tcBorders>
            <w:vAlign w:val="center"/>
          </w:tcPr>
          <w:p w14:paraId="40244587">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7A76C389">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LB019 生产过程节水和水资源高效利用 至 LZ032 清洁生产产业-水资源节约和非常规水资源利用-其他</w:t>
            </w:r>
          </w:p>
        </w:tc>
      </w:tr>
      <w:tr w14:paraId="7B8D5CFA">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77FFD0FD">
            <w:pPr>
              <w:jc w:val="center"/>
              <w:rPr>
                <w:rFonts w:hint="eastAsia" w:ascii="仿宋_GB2312" w:hAnsi="仿宋_GB2312" w:eastAsia="仿宋_GB2312" w:cs="仿宋_GB2312"/>
                <w:color w:val="000000"/>
                <w:sz w:val="24"/>
                <w:szCs w:val="24"/>
              </w:rPr>
            </w:pP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250AEA08">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3.2 可持续水资源及废水管理-污水处理</w:t>
            </w:r>
          </w:p>
        </w:tc>
        <w:tc>
          <w:tcPr>
            <w:tcW w:w="4178" w:type="dxa"/>
            <w:tcBorders>
              <w:top w:val="single" w:color="000000" w:sz="4" w:space="0"/>
              <w:left w:val="single" w:color="000000" w:sz="4" w:space="0"/>
              <w:bottom w:val="single" w:color="000000" w:sz="4" w:space="0"/>
              <w:right w:val="single" w:color="000000" w:sz="4" w:space="0"/>
            </w:tcBorders>
            <w:vAlign w:val="center"/>
          </w:tcPr>
          <w:p w14:paraId="0C79244F">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LE010 污水处理、再生利用及污泥处理处置设施建设运营 至 LZ051 基础设施绿色产业-污染防治-其他</w:t>
            </w:r>
          </w:p>
        </w:tc>
      </w:tr>
      <w:tr w14:paraId="6C2455EE">
        <w:tblPrEx>
          <w:tblCellMar>
            <w:top w:w="0" w:type="dxa"/>
            <w:left w:w="108" w:type="dxa"/>
            <w:bottom w:w="0" w:type="dxa"/>
            <w:right w:w="108" w:type="dxa"/>
          </w:tblCellMar>
        </w:tblPrEx>
        <w:trPr>
          <w:trHeight w:val="27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22770D6E">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07726899">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2158463A">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LB004 重点行业水污染治理 至 LZ022 生产过程水污染治理-其他</w:t>
            </w:r>
          </w:p>
        </w:tc>
      </w:tr>
      <w:tr w14:paraId="582BC11E">
        <w:tblPrEx>
          <w:tblCellMar>
            <w:top w:w="0" w:type="dxa"/>
            <w:left w:w="108" w:type="dxa"/>
            <w:bottom w:w="0" w:type="dxa"/>
            <w:right w:w="108" w:type="dxa"/>
          </w:tblCellMar>
        </w:tblPrEx>
        <w:trPr>
          <w:trHeight w:val="27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6C4AC84D">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2DE5C0FC">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13386C3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LA030 良好水体保护及地下水环境防治 至 LZ008 水污染治理-其他</w:t>
            </w:r>
          </w:p>
        </w:tc>
      </w:tr>
      <w:tr w14:paraId="572DCF50">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6E7AC60E">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7FADE605">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067E6E9F">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LA042 农林草业面源污染防治 至 LZ011 节能环保产业-农业农村环境综合治理-其他</w:t>
            </w:r>
          </w:p>
        </w:tc>
      </w:tr>
      <w:tr w14:paraId="49DE85FE">
        <w:tblPrEx>
          <w:tblCellMar>
            <w:top w:w="0" w:type="dxa"/>
            <w:left w:w="108" w:type="dxa"/>
            <w:bottom w:w="0" w:type="dxa"/>
            <w:right w:w="108" w:type="dxa"/>
          </w:tblCellMar>
        </w:tblPrEx>
        <w:trPr>
          <w:trHeight w:val="27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78243D32">
            <w:pPr>
              <w:jc w:val="center"/>
              <w:rPr>
                <w:rFonts w:hint="eastAsia" w:ascii="仿宋_GB2312" w:hAnsi="仿宋_GB2312" w:eastAsia="仿宋_GB2312" w:cs="仿宋_GB2312"/>
                <w:color w:val="000000"/>
                <w:sz w:val="24"/>
                <w:szCs w:val="24"/>
              </w:rPr>
            </w:pP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68979131">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3.3 可持续水资源及废水管理-污水污泥的处理和再生利用</w:t>
            </w:r>
          </w:p>
        </w:tc>
        <w:tc>
          <w:tcPr>
            <w:tcW w:w="4178" w:type="dxa"/>
            <w:tcBorders>
              <w:top w:val="single" w:color="000000" w:sz="4" w:space="0"/>
              <w:left w:val="single" w:color="000000" w:sz="4" w:space="0"/>
              <w:bottom w:val="single" w:color="000000" w:sz="4" w:space="0"/>
              <w:right w:val="single" w:color="000000" w:sz="4" w:space="0"/>
            </w:tcBorders>
            <w:vAlign w:val="center"/>
          </w:tcPr>
          <w:p w14:paraId="26D3196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LA057 城乡生活垃圾综合利用 至 LZ018 节能环保产业-资源综合利用-其他</w:t>
            </w:r>
          </w:p>
        </w:tc>
      </w:tr>
      <w:tr w14:paraId="05693562">
        <w:tblPrEx>
          <w:tblCellMar>
            <w:top w:w="0" w:type="dxa"/>
            <w:left w:w="108" w:type="dxa"/>
            <w:bottom w:w="0" w:type="dxa"/>
            <w:right w:w="108" w:type="dxa"/>
          </w:tblCellMar>
        </w:tblPrEx>
        <w:trPr>
          <w:trHeight w:val="540" w:hRule="atLeast"/>
        </w:trPr>
        <w:tc>
          <w:tcPr>
            <w:tcW w:w="1767" w:type="dxa"/>
            <w:vMerge w:val="restart"/>
            <w:tcBorders>
              <w:top w:val="single" w:color="000000" w:sz="4" w:space="0"/>
              <w:left w:val="single" w:color="000000" w:sz="4" w:space="0"/>
              <w:bottom w:val="single" w:color="000000" w:sz="4" w:space="0"/>
              <w:right w:val="single" w:color="000000" w:sz="4" w:space="0"/>
            </w:tcBorders>
            <w:vAlign w:val="center"/>
          </w:tcPr>
          <w:p w14:paraId="4D1E6A5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4.废弃物管理及资源利用效率提升</w:t>
            </w: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1BBFE23A">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4.1 废弃物管理及资源利用效率提升-防止、减少、再利用或回收废弃物</w:t>
            </w:r>
          </w:p>
        </w:tc>
        <w:tc>
          <w:tcPr>
            <w:tcW w:w="4178" w:type="dxa"/>
            <w:vMerge w:val="restart"/>
            <w:tcBorders>
              <w:top w:val="single" w:color="000000" w:sz="4" w:space="0"/>
              <w:left w:val="single" w:color="000000" w:sz="4" w:space="0"/>
              <w:right w:val="single" w:color="000000" w:sz="4" w:space="0"/>
            </w:tcBorders>
            <w:vAlign w:val="center"/>
          </w:tcPr>
          <w:p w14:paraId="41785219">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LA054 矿产资源综合利用 至 LZ018 节能环保产业-资源综合利用-其他</w:t>
            </w:r>
          </w:p>
        </w:tc>
      </w:tr>
      <w:tr w14:paraId="7DCDB5F2">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18C7FB15">
            <w:pPr>
              <w:jc w:val="center"/>
              <w:rPr>
                <w:rFonts w:hint="eastAsia" w:ascii="仿宋_GB2312" w:hAnsi="仿宋_GB2312" w:eastAsia="仿宋_GB2312" w:cs="仿宋_GB2312"/>
                <w:color w:val="000000"/>
                <w:sz w:val="24"/>
                <w:szCs w:val="24"/>
              </w:rPr>
            </w:pP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06A8B2CF">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4.2 废弃物管理及资源利用效率提升-废弃物能量回收</w:t>
            </w:r>
          </w:p>
        </w:tc>
        <w:tc>
          <w:tcPr>
            <w:tcW w:w="4178" w:type="dxa"/>
            <w:vMerge w:val="continue"/>
            <w:tcBorders>
              <w:left w:val="single" w:color="000000" w:sz="4" w:space="0"/>
              <w:right w:val="single" w:color="000000" w:sz="4" w:space="0"/>
            </w:tcBorders>
            <w:vAlign w:val="center"/>
          </w:tcPr>
          <w:p w14:paraId="2EC2BBBD">
            <w:pPr>
              <w:widowControl/>
              <w:jc w:val="center"/>
              <w:textAlignment w:val="center"/>
              <w:rPr>
                <w:rFonts w:hint="eastAsia" w:ascii="仿宋_GB2312" w:hAnsi="仿宋_GB2312" w:eastAsia="仿宋_GB2312" w:cs="仿宋_GB2312"/>
                <w:color w:val="000000"/>
                <w:sz w:val="24"/>
                <w:szCs w:val="24"/>
              </w:rPr>
            </w:pPr>
          </w:p>
        </w:tc>
      </w:tr>
      <w:tr w14:paraId="0366797C">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7E5176F1">
            <w:pPr>
              <w:jc w:val="center"/>
              <w:rPr>
                <w:rFonts w:hint="eastAsia" w:ascii="仿宋_GB2312" w:hAnsi="仿宋_GB2312" w:eastAsia="仿宋_GB2312" w:cs="仿宋_GB2312"/>
                <w:color w:val="000000"/>
                <w:sz w:val="24"/>
                <w:szCs w:val="24"/>
              </w:rPr>
            </w:pP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42D1B01F">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4.3 废弃物管理及资源利用效率提升-废弃物回收处置</w:t>
            </w:r>
          </w:p>
        </w:tc>
        <w:tc>
          <w:tcPr>
            <w:tcW w:w="4178" w:type="dxa"/>
            <w:vMerge w:val="continue"/>
            <w:tcBorders>
              <w:left w:val="single" w:color="000000" w:sz="4" w:space="0"/>
              <w:bottom w:val="single" w:color="000000" w:sz="4" w:space="0"/>
              <w:right w:val="single" w:color="000000" w:sz="4" w:space="0"/>
            </w:tcBorders>
            <w:vAlign w:val="center"/>
          </w:tcPr>
          <w:p w14:paraId="7D7A650D">
            <w:pPr>
              <w:widowControl/>
              <w:jc w:val="center"/>
              <w:textAlignment w:val="center"/>
              <w:rPr>
                <w:rFonts w:hint="eastAsia" w:ascii="仿宋_GB2312" w:hAnsi="仿宋_GB2312" w:eastAsia="仿宋_GB2312" w:cs="仿宋_GB2312"/>
                <w:color w:val="000000"/>
                <w:sz w:val="24"/>
                <w:szCs w:val="24"/>
              </w:rPr>
            </w:pPr>
          </w:p>
        </w:tc>
      </w:tr>
      <w:tr w14:paraId="49B23C68">
        <w:tblPrEx>
          <w:tblCellMar>
            <w:top w:w="0" w:type="dxa"/>
            <w:left w:w="108" w:type="dxa"/>
            <w:bottom w:w="0" w:type="dxa"/>
            <w:right w:w="108" w:type="dxa"/>
          </w:tblCellMar>
        </w:tblPrEx>
        <w:trPr>
          <w:trHeight w:val="270" w:hRule="atLeast"/>
        </w:trPr>
        <w:tc>
          <w:tcPr>
            <w:tcW w:w="1767" w:type="dxa"/>
            <w:vMerge w:val="restart"/>
            <w:tcBorders>
              <w:top w:val="single" w:color="000000" w:sz="4" w:space="0"/>
              <w:left w:val="single" w:color="000000" w:sz="4" w:space="0"/>
              <w:bottom w:val="single" w:color="000000" w:sz="4" w:space="0"/>
              <w:right w:val="single" w:color="000000" w:sz="4" w:space="0"/>
            </w:tcBorders>
            <w:vAlign w:val="center"/>
          </w:tcPr>
          <w:p w14:paraId="24A9008A">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5.清洁交通/清洁交通工具制造</w:t>
            </w: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45A0B374">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w:t>
            </w:r>
          </w:p>
        </w:tc>
        <w:tc>
          <w:tcPr>
            <w:tcW w:w="4178" w:type="dxa"/>
            <w:tcBorders>
              <w:top w:val="single" w:color="000000" w:sz="4" w:space="0"/>
              <w:left w:val="single" w:color="000000" w:sz="4" w:space="0"/>
              <w:bottom w:val="single" w:color="000000" w:sz="4" w:space="0"/>
              <w:right w:val="single" w:color="000000" w:sz="4" w:space="0"/>
            </w:tcBorders>
            <w:vAlign w:val="center"/>
          </w:tcPr>
          <w:p w14:paraId="1280462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LA060 新能源汽车关键零部件制造和产业化 至 LZ020 节能环保产业-绿色交通-其他</w:t>
            </w:r>
          </w:p>
        </w:tc>
      </w:tr>
      <w:tr w14:paraId="0017B862">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01F12FE0">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0E853B0F">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1798AE52">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LE021 不停车收费系统建设和运营 至 LZ059 基础设施绿色产业-绿色交通-其他</w:t>
            </w:r>
          </w:p>
        </w:tc>
      </w:tr>
      <w:tr w14:paraId="03F6FE2E">
        <w:tblPrEx>
          <w:tblCellMar>
            <w:top w:w="0" w:type="dxa"/>
            <w:left w:w="108" w:type="dxa"/>
            <w:bottom w:w="0" w:type="dxa"/>
            <w:right w:w="108" w:type="dxa"/>
          </w:tblCellMar>
        </w:tblPrEx>
        <w:trPr>
          <w:trHeight w:val="270" w:hRule="atLeast"/>
        </w:trPr>
        <w:tc>
          <w:tcPr>
            <w:tcW w:w="1767" w:type="dxa"/>
            <w:vMerge w:val="restart"/>
            <w:tcBorders>
              <w:top w:val="single" w:color="000000" w:sz="4" w:space="0"/>
              <w:left w:val="single" w:color="000000" w:sz="4" w:space="0"/>
              <w:bottom w:val="single" w:color="000000" w:sz="4" w:space="0"/>
              <w:right w:val="single" w:color="000000" w:sz="4" w:space="0"/>
            </w:tcBorders>
            <w:vAlign w:val="center"/>
          </w:tcPr>
          <w:p w14:paraId="602AD622">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6.绿色建筑</w:t>
            </w: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19AE190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w:t>
            </w:r>
          </w:p>
        </w:tc>
        <w:tc>
          <w:tcPr>
            <w:tcW w:w="4178" w:type="dxa"/>
            <w:tcBorders>
              <w:top w:val="single" w:color="000000" w:sz="4" w:space="0"/>
              <w:left w:val="single" w:color="000000" w:sz="4" w:space="0"/>
              <w:bottom w:val="single" w:color="000000" w:sz="4" w:space="0"/>
              <w:right w:val="single" w:color="000000" w:sz="4" w:space="0"/>
            </w:tcBorders>
            <w:vAlign w:val="center"/>
          </w:tcPr>
          <w:p w14:paraId="1F52051B">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LE004 超低能耗建筑建设 至 LZ049 基础设施绿色产业-可持续建筑-其他</w:t>
            </w:r>
          </w:p>
        </w:tc>
      </w:tr>
      <w:tr w14:paraId="02239935">
        <w:tblPrEx>
          <w:tblCellMar>
            <w:top w:w="0" w:type="dxa"/>
            <w:left w:w="108" w:type="dxa"/>
            <w:bottom w:w="0" w:type="dxa"/>
            <w:right w:w="108" w:type="dxa"/>
          </w:tblCellMar>
        </w:tblPrEx>
        <w:trPr>
          <w:trHeight w:val="270" w:hRule="atLeast"/>
        </w:trPr>
        <w:tc>
          <w:tcPr>
            <w:tcW w:w="1767" w:type="dxa"/>
            <w:vMerge w:val="restart"/>
            <w:tcBorders>
              <w:top w:val="single" w:color="000000" w:sz="4" w:space="0"/>
              <w:left w:val="single" w:color="000000" w:sz="4" w:space="0"/>
              <w:bottom w:val="single" w:color="000000" w:sz="4" w:space="0"/>
              <w:right w:val="single" w:color="000000" w:sz="4" w:space="0"/>
            </w:tcBorders>
            <w:vAlign w:val="center"/>
          </w:tcPr>
          <w:p w14:paraId="02D85836">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7.生物多样性</w:t>
            </w: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34EF3D8F">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w:t>
            </w:r>
          </w:p>
          <w:p w14:paraId="2792F89B">
            <w:pPr>
              <w:rPr>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28418DC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LD011 天然林资源保护 至 LZ045 生态环境产业-生态保护与建设-其他</w:t>
            </w:r>
          </w:p>
        </w:tc>
      </w:tr>
      <w:tr w14:paraId="46A47853">
        <w:tblPrEx>
          <w:tblCellMar>
            <w:top w:w="0" w:type="dxa"/>
            <w:left w:w="108" w:type="dxa"/>
            <w:bottom w:w="0" w:type="dxa"/>
            <w:right w:w="108" w:type="dxa"/>
          </w:tblCellMar>
        </w:tblPrEx>
        <w:trPr>
          <w:trHeight w:val="27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1779C6F3">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359718BD">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18CAD979">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LD001 现代农业种业及动植物种质资源保护 至 LZ039 农业资源保护-其他</w:t>
            </w:r>
          </w:p>
        </w:tc>
      </w:tr>
      <w:tr w14:paraId="419C85BD">
        <w:tblPrEx>
          <w:tblCellMar>
            <w:top w:w="0" w:type="dxa"/>
            <w:left w:w="108" w:type="dxa"/>
            <w:bottom w:w="0" w:type="dxa"/>
            <w:right w:w="108" w:type="dxa"/>
          </w:tblCellMar>
        </w:tblPrEx>
        <w:trPr>
          <w:trHeight w:val="270" w:hRule="atLeast"/>
        </w:trPr>
        <w:tc>
          <w:tcPr>
            <w:tcW w:w="1767" w:type="dxa"/>
            <w:tcBorders>
              <w:top w:val="single" w:color="000000" w:sz="4" w:space="0"/>
              <w:left w:val="single" w:color="000000" w:sz="4" w:space="0"/>
              <w:bottom w:val="single" w:color="000000" w:sz="4" w:space="0"/>
              <w:right w:val="single" w:color="000000" w:sz="4" w:space="0"/>
            </w:tcBorders>
            <w:vAlign w:val="center"/>
          </w:tcPr>
          <w:p w14:paraId="2BC013B4">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8.适应气候变化</w:t>
            </w:r>
          </w:p>
        </w:tc>
        <w:tc>
          <w:tcPr>
            <w:tcW w:w="2458" w:type="dxa"/>
            <w:tcBorders>
              <w:top w:val="single" w:color="000000" w:sz="4" w:space="0"/>
              <w:left w:val="single" w:color="000000" w:sz="4" w:space="0"/>
              <w:bottom w:val="single" w:color="000000" w:sz="4" w:space="0"/>
              <w:right w:val="single" w:color="000000" w:sz="4" w:space="0"/>
            </w:tcBorders>
            <w:vAlign w:val="center"/>
          </w:tcPr>
          <w:p w14:paraId="4E1D531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w:t>
            </w:r>
          </w:p>
        </w:tc>
        <w:tc>
          <w:tcPr>
            <w:tcW w:w="4178" w:type="dxa"/>
            <w:tcBorders>
              <w:top w:val="single" w:color="000000" w:sz="4" w:space="0"/>
              <w:left w:val="single" w:color="000000" w:sz="4" w:space="0"/>
              <w:bottom w:val="single" w:color="000000" w:sz="4" w:space="0"/>
              <w:right w:val="single" w:color="000000" w:sz="4" w:space="0"/>
            </w:tcBorders>
            <w:vAlign w:val="center"/>
          </w:tcPr>
          <w:p w14:paraId="23A2E36D">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LG007适应气候变化</w:t>
            </w:r>
          </w:p>
        </w:tc>
      </w:tr>
      <w:tr w14:paraId="2B2285B3">
        <w:tblPrEx>
          <w:tblCellMar>
            <w:top w:w="0" w:type="dxa"/>
            <w:left w:w="108" w:type="dxa"/>
            <w:bottom w:w="0" w:type="dxa"/>
            <w:right w:w="108" w:type="dxa"/>
          </w:tblCellMar>
        </w:tblPrEx>
        <w:trPr>
          <w:trHeight w:val="270" w:hRule="atLeast"/>
        </w:trPr>
        <w:tc>
          <w:tcPr>
            <w:tcW w:w="1767" w:type="dxa"/>
            <w:vMerge w:val="restart"/>
            <w:tcBorders>
              <w:top w:val="single" w:color="000000" w:sz="4" w:space="0"/>
              <w:left w:val="single" w:color="000000" w:sz="4" w:space="0"/>
              <w:bottom w:val="single" w:color="000000" w:sz="4" w:space="0"/>
              <w:right w:val="single" w:color="000000" w:sz="4" w:space="0"/>
            </w:tcBorders>
            <w:vAlign w:val="center"/>
          </w:tcPr>
          <w:p w14:paraId="18894C9A">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9.循环经济和/或生态效益项目</w:t>
            </w:r>
          </w:p>
        </w:tc>
        <w:tc>
          <w:tcPr>
            <w:tcW w:w="2458" w:type="dxa"/>
            <w:tcBorders>
              <w:top w:val="single" w:color="000000" w:sz="4" w:space="0"/>
              <w:left w:val="single" w:color="000000" w:sz="4" w:space="0"/>
              <w:bottom w:val="single" w:color="000000" w:sz="4" w:space="0"/>
              <w:right w:val="single" w:color="000000" w:sz="4" w:space="0"/>
            </w:tcBorders>
            <w:vAlign w:val="center"/>
          </w:tcPr>
          <w:p w14:paraId="36F851F1">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9.1 循环经济和/或生态效益项目-循环设计生产项目</w:t>
            </w:r>
          </w:p>
        </w:tc>
        <w:tc>
          <w:tcPr>
            <w:tcW w:w="4178" w:type="dxa"/>
            <w:tcBorders>
              <w:top w:val="single" w:color="000000" w:sz="4" w:space="0"/>
              <w:left w:val="single" w:color="000000" w:sz="4" w:space="0"/>
              <w:bottom w:val="single" w:color="000000" w:sz="4" w:space="0"/>
              <w:right w:val="single" w:color="000000" w:sz="4" w:space="0"/>
            </w:tcBorders>
            <w:vAlign w:val="center"/>
          </w:tcPr>
          <w:p w14:paraId="1BF0FDCB">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LA046 矿产资源综合利用装备制造 至 LZ015 资源循环利用装备制造-其他</w:t>
            </w:r>
          </w:p>
        </w:tc>
      </w:tr>
      <w:tr w14:paraId="33290710">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5D9237E4">
            <w:pPr>
              <w:jc w:val="center"/>
              <w:rPr>
                <w:rFonts w:hint="eastAsia" w:ascii="仿宋_GB2312" w:hAnsi="仿宋_GB2312" w:eastAsia="仿宋_GB2312" w:cs="仿宋_GB2312"/>
                <w:color w:val="000000"/>
                <w:sz w:val="24"/>
                <w:szCs w:val="24"/>
              </w:rPr>
            </w:pPr>
          </w:p>
        </w:tc>
        <w:tc>
          <w:tcPr>
            <w:tcW w:w="2458" w:type="dxa"/>
            <w:vMerge w:val="restart"/>
            <w:tcBorders>
              <w:top w:val="single" w:color="000000" w:sz="4" w:space="0"/>
              <w:left w:val="single" w:color="000000" w:sz="4" w:space="0"/>
              <w:bottom w:val="single" w:color="000000" w:sz="4" w:space="0"/>
              <w:right w:val="single" w:color="000000" w:sz="4" w:space="0"/>
            </w:tcBorders>
            <w:vAlign w:val="center"/>
          </w:tcPr>
          <w:p w14:paraId="54B0C53D">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9.2 循环经济和/或生态效益项目-循环使用、循环价值回收</w:t>
            </w:r>
          </w:p>
        </w:tc>
        <w:tc>
          <w:tcPr>
            <w:tcW w:w="4178" w:type="dxa"/>
            <w:tcBorders>
              <w:top w:val="single" w:color="000000" w:sz="4" w:space="0"/>
              <w:left w:val="single" w:color="000000" w:sz="4" w:space="0"/>
              <w:bottom w:val="single" w:color="000000" w:sz="4" w:space="0"/>
              <w:right w:val="single" w:color="000000" w:sz="4" w:space="0"/>
            </w:tcBorders>
            <w:vAlign w:val="center"/>
          </w:tcPr>
          <w:p w14:paraId="4B06EAEF">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LA054 矿产资源综合利用 至 LZ018 节能环保产业-资源综合利用-其他</w:t>
            </w:r>
          </w:p>
        </w:tc>
      </w:tr>
      <w:tr w14:paraId="556FED6A">
        <w:tblPrEx>
          <w:tblCellMar>
            <w:top w:w="0" w:type="dxa"/>
            <w:left w:w="108" w:type="dxa"/>
            <w:bottom w:w="0" w:type="dxa"/>
            <w:right w:w="108" w:type="dxa"/>
          </w:tblCellMar>
        </w:tblPrEx>
        <w:trPr>
          <w:trHeight w:val="27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5B4C7DC0">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20193227">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39EB1E14">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LB014 工业固体废弃物无害化处理处置及综合利用 至 LZ029 工业园区资源综合利用-其他</w:t>
            </w:r>
          </w:p>
        </w:tc>
      </w:tr>
      <w:tr w14:paraId="392399DB">
        <w:tblPrEx>
          <w:tblCellMar>
            <w:top w:w="0" w:type="dxa"/>
            <w:left w:w="108" w:type="dxa"/>
            <w:bottom w:w="0" w:type="dxa"/>
            <w:right w:w="108" w:type="dxa"/>
          </w:tblCellMar>
        </w:tblPrEx>
        <w:trPr>
          <w:trHeight w:val="540" w:hRule="atLeast"/>
        </w:trPr>
        <w:tc>
          <w:tcPr>
            <w:tcW w:w="1767" w:type="dxa"/>
            <w:vMerge w:val="continue"/>
            <w:tcBorders>
              <w:top w:val="single" w:color="000000" w:sz="4" w:space="0"/>
              <w:left w:val="single" w:color="000000" w:sz="4" w:space="0"/>
              <w:bottom w:val="single" w:color="000000" w:sz="4" w:space="0"/>
              <w:right w:val="single" w:color="000000" w:sz="4" w:space="0"/>
            </w:tcBorders>
            <w:vAlign w:val="center"/>
          </w:tcPr>
          <w:p w14:paraId="52D748ED">
            <w:pPr>
              <w:jc w:val="center"/>
              <w:rPr>
                <w:rFonts w:hint="eastAsia" w:ascii="仿宋_GB2312" w:hAnsi="仿宋_GB2312" w:eastAsia="仿宋_GB2312" w:cs="仿宋_GB2312"/>
                <w:color w:val="000000"/>
                <w:sz w:val="24"/>
                <w:szCs w:val="24"/>
              </w:rPr>
            </w:pPr>
          </w:p>
        </w:tc>
        <w:tc>
          <w:tcPr>
            <w:tcW w:w="2458" w:type="dxa"/>
            <w:vMerge w:val="continue"/>
            <w:tcBorders>
              <w:top w:val="single" w:color="000000" w:sz="4" w:space="0"/>
              <w:left w:val="single" w:color="000000" w:sz="4" w:space="0"/>
              <w:bottom w:val="single" w:color="000000" w:sz="4" w:space="0"/>
              <w:right w:val="single" w:color="000000" w:sz="4" w:space="0"/>
            </w:tcBorders>
            <w:vAlign w:val="center"/>
          </w:tcPr>
          <w:p w14:paraId="66E14F41">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2FAD204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LB008 无毒无害原料生产与替代使用 至 LZ024无毒无害原料替代与危险废物治理-其他</w:t>
            </w:r>
          </w:p>
        </w:tc>
      </w:tr>
      <w:tr w14:paraId="549B89AE">
        <w:tblPrEx>
          <w:tblCellMar>
            <w:top w:w="0" w:type="dxa"/>
            <w:left w:w="108" w:type="dxa"/>
            <w:bottom w:w="0" w:type="dxa"/>
            <w:right w:w="108" w:type="dxa"/>
          </w:tblCellMar>
        </w:tblPrEx>
        <w:trPr>
          <w:trHeight w:val="540" w:hRule="atLeast"/>
        </w:trPr>
        <w:tc>
          <w:tcPr>
            <w:tcW w:w="1767" w:type="dxa"/>
            <w:vMerge w:val="restart"/>
            <w:tcBorders>
              <w:top w:val="single" w:color="000000" w:sz="4" w:space="0"/>
              <w:left w:val="single" w:color="000000" w:sz="4" w:space="0"/>
              <w:right w:val="single" w:color="000000" w:sz="4" w:space="0"/>
            </w:tcBorders>
            <w:vAlign w:val="center"/>
          </w:tcPr>
          <w:p w14:paraId="7E94C536">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10.生物资源和土地利用项目</w:t>
            </w:r>
          </w:p>
        </w:tc>
        <w:tc>
          <w:tcPr>
            <w:tcW w:w="2458" w:type="dxa"/>
            <w:vMerge w:val="restart"/>
            <w:tcBorders>
              <w:top w:val="single" w:color="000000" w:sz="4" w:space="0"/>
              <w:left w:val="single" w:color="000000" w:sz="4" w:space="0"/>
              <w:right w:val="single" w:color="000000" w:sz="4" w:space="0"/>
            </w:tcBorders>
            <w:vAlign w:val="center"/>
          </w:tcPr>
          <w:p w14:paraId="3C0736FA">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10.1 生物资源和土地利用项目-农业生产</w:t>
            </w:r>
          </w:p>
        </w:tc>
        <w:tc>
          <w:tcPr>
            <w:tcW w:w="4178" w:type="dxa"/>
            <w:tcBorders>
              <w:top w:val="single" w:color="000000" w:sz="4" w:space="0"/>
              <w:left w:val="single" w:color="000000" w:sz="4" w:space="0"/>
              <w:bottom w:val="single" w:color="000000" w:sz="4" w:space="0"/>
              <w:right w:val="single" w:color="000000" w:sz="4" w:space="0"/>
            </w:tcBorders>
            <w:vAlign w:val="center"/>
          </w:tcPr>
          <w:p w14:paraId="55A7C796">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LD001 现代农业种业及动植物种质资源保护 至 LZ042生态环境产业-绿色农业-其他</w:t>
            </w:r>
          </w:p>
        </w:tc>
      </w:tr>
      <w:tr w14:paraId="7EFD4517">
        <w:tblPrEx>
          <w:tblCellMar>
            <w:top w:w="0" w:type="dxa"/>
            <w:left w:w="108" w:type="dxa"/>
            <w:bottom w:w="0" w:type="dxa"/>
            <w:right w:w="108" w:type="dxa"/>
          </w:tblCellMar>
        </w:tblPrEx>
        <w:trPr>
          <w:trHeight w:val="540" w:hRule="atLeast"/>
        </w:trPr>
        <w:tc>
          <w:tcPr>
            <w:tcW w:w="1767" w:type="dxa"/>
            <w:vMerge w:val="continue"/>
            <w:tcBorders>
              <w:left w:val="single" w:color="000000" w:sz="4" w:space="0"/>
              <w:right w:val="single" w:color="000000" w:sz="4" w:space="0"/>
            </w:tcBorders>
            <w:vAlign w:val="center"/>
          </w:tcPr>
          <w:p w14:paraId="028C5C67">
            <w:pPr>
              <w:jc w:val="center"/>
              <w:rPr>
                <w:rFonts w:hint="eastAsia" w:ascii="仿宋_GB2312" w:hAnsi="仿宋_GB2312" w:eastAsia="仿宋_GB2312" w:cs="仿宋_GB2312"/>
                <w:color w:val="000000"/>
                <w:sz w:val="24"/>
                <w:szCs w:val="24"/>
              </w:rPr>
            </w:pPr>
          </w:p>
        </w:tc>
        <w:tc>
          <w:tcPr>
            <w:tcW w:w="2458" w:type="dxa"/>
            <w:vMerge w:val="restart"/>
            <w:tcBorders>
              <w:top w:val="single" w:color="000000" w:sz="4" w:space="0"/>
              <w:left w:val="single" w:color="000000" w:sz="4" w:space="0"/>
              <w:right w:val="single" w:color="000000" w:sz="4" w:space="0"/>
            </w:tcBorders>
            <w:vAlign w:val="center"/>
          </w:tcPr>
          <w:p w14:paraId="54EB5C4D">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10.2 生物资源和土地利用项目-畜牧业</w:t>
            </w:r>
          </w:p>
        </w:tc>
        <w:tc>
          <w:tcPr>
            <w:tcW w:w="4178" w:type="dxa"/>
            <w:tcBorders>
              <w:top w:val="single" w:color="000000" w:sz="4" w:space="0"/>
              <w:left w:val="single" w:color="000000" w:sz="4" w:space="0"/>
              <w:bottom w:val="single" w:color="000000" w:sz="4" w:space="0"/>
              <w:right w:val="single" w:color="000000" w:sz="4" w:space="0"/>
            </w:tcBorders>
            <w:vAlign w:val="center"/>
          </w:tcPr>
          <w:p w14:paraId="15B007F5">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LD009 绿色畜牧业</w:t>
            </w:r>
          </w:p>
        </w:tc>
      </w:tr>
      <w:tr w14:paraId="6174D63B">
        <w:tblPrEx>
          <w:tblCellMar>
            <w:top w:w="0" w:type="dxa"/>
            <w:left w:w="108" w:type="dxa"/>
            <w:bottom w:w="0" w:type="dxa"/>
            <w:right w:w="108" w:type="dxa"/>
          </w:tblCellMar>
        </w:tblPrEx>
        <w:trPr>
          <w:trHeight w:val="540" w:hRule="atLeast"/>
        </w:trPr>
        <w:tc>
          <w:tcPr>
            <w:tcW w:w="1767" w:type="dxa"/>
            <w:vMerge w:val="continue"/>
            <w:tcBorders>
              <w:left w:val="single" w:color="000000" w:sz="4" w:space="0"/>
              <w:right w:val="single" w:color="000000" w:sz="4" w:space="0"/>
            </w:tcBorders>
            <w:vAlign w:val="center"/>
          </w:tcPr>
          <w:p w14:paraId="7EE7DEAB">
            <w:pPr>
              <w:jc w:val="center"/>
              <w:rPr>
                <w:rFonts w:hint="eastAsia" w:ascii="仿宋_GB2312" w:hAnsi="仿宋_GB2312" w:eastAsia="仿宋_GB2312" w:cs="仿宋_GB2312"/>
                <w:color w:val="000000"/>
                <w:sz w:val="24"/>
                <w:szCs w:val="24"/>
              </w:rPr>
            </w:pPr>
          </w:p>
        </w:tc>
        <w:tc>
          <w:tcPr>
            <w:tcW w:w="2458" w:type="dxa"/>
            <w:vMerge w:val="continue"/>
            <w:tcBorders>
              <w:left w:val="single" w:color="000000" w:sz="4" w:space="0"/>
              <w:bottom w:val="single" w:color="000000" w:sz="4" w:space="0"/>
              <w:right w:val="single" w:color="000000" w:sz="4" w:space="0"/>
            </w:tcBorders>
            <w:vAlign w:val="center"/>
          </w:tcPr>
          <w:p w14:paraId="6A6F42C5">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71503F78">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LZ041绿色农产品供给-其他</w:t>
            </w:r>
          </w:p>
        </w:tc>
      </w:tr>
      <w:tr w14:paraId="5D4592D3">
        <w:tblPrEx>
          <w:tblCellMar>
            <w:top w:w="0" w:type="dxa"/>
            <w:left w:w="108" w:type="dxa"/>
            <w:bottom w:w="0" w:type="dxa"/>
            <w:right w:w="108" w:type="dxa"/>
          </w:tblCellMar>
        </w:tblPrEx>
        <w:trPr>
          <w:trHeight w:val="540" w:hRule="atLeast"/>
        </w:trPr>
        <w:tc>
          <w:tcPr>
            <w:tcW w:w="1767" w:type="dxa"/>
            <w:vMerge w:val="continue"/>
            <w:tcBorders>
              <w:left w:val="single" w:color="000000" w:sz="4" w:space="0"/>
              <w:right w:val="single" w:color="000000" w:sz="4" w:space="0"/>
            </w:tcBorders>
            <w:vAlign w:val="center"/>
          </w:tcPr>
          <w:p w14:paraId="15DC9B6F">
            <w:pPr>
              <w:jc w:val="center"/>
              <w:rPr>
                <w:rFonts w:hint="eastAsia" w:ascii="仿宋_GB2312" w:hAnsi="仿宋_GB2312" w:eastAsia="仿宋_GB2312" w:cs="仿宋_GB2312"/>
                <w:color w:val="000000"/>
                <w:sz w:val="24"/>
                <w:szCs w:val="24"/>
              </w:rPr>
            </w:pPr>
          </w:p>
        </w:tc>
        <w:tc>
          <w:tcPr>
            <w:tcW w:w="2458" w:type="dxa"/>
            <w:tcBorders>
              <w:top w:val="single" w:color="000000" w:sz="4" w:space="0"/>
              <w:left w:val="single" w:color="000000" w:sz="4" w:space="0"/>
              <w:bottom w:val="single" w:color="000000" w:sz="4" w:space="0"/>
              <w:right w:val="single" w:color="000000" w:sz="4" w:space="0"/>
            </w:tcBorders>
            <w:vAlign w:val="center"/>
          </w:tcPr>
          <w:p w14:paraId="3F8937DA">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10.3 生物资源和土地利用项目-林业</w:t>
            </w:r>
          </w:p>
        </w:tc>
        <w:tc>
          <w:tcPr>
            <w:tcW w:w="4178" w:type="dxa"/>
            <w:tcBorders>
              <w:top w:val="single" w:color="000000" w:sz="4" w:space="0"/>
              <w:left w:val="single" w:color="000000" w:sz="4" w:space="0"/>
              <w:bottom w:val="single" w:color="000000" w:sz="4" w:space="0"/>
              <w:right w:val="single" w:color="000000" w:sz="4" w:space="0"/>
            </w:tcBorders>
            <w:vAlign w:val="center"/>
          </w:tcPr>
          <w:p w14:paraId="2FCAC6F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LD025 森林资源培育产业 至 LZ044生态产品供给-其他</w:t>
            </w:r>
          </w:p>
        </w:tc>
      </w:tr>
      <w:tr w14:paraId="3763FE84">
        <w:tblPrEx>
          <w:tblCellMar>
            <w:top w:w="0" w:type="dxa"/>
            <w:left w:w="108" w:type="dxa"/>
            <w:bottom w:w="0" w:type="dxa"/>
            <w:right w:w="108" w:type="dxa"/>
          </w:tblCellMar>
        </w:tblPrEx>
        <w:trPr>
          <w:trHeight w:val="540" w:hRule="atLeast"/>
        </w:trPr>
        <w:tc>
          <w:tcPr>
            <w:tcW w:w="1767" w:type="dxa"/>
            <w:vMerge w:val="continue"/>
            <w:tcBorders>
              <w:left w:val="single" w:color="000000" w:sz="4" w:space="0"/>
              <w:right w:val="single" w:color="000000" w:sz="4" w:space="0"/>
            </w:tcBorders>
            <w:vAlign w:val="center"/>
          </w:tcPr>
          <w:p w14:paraId="01585AE0">
            <w:pPr>
              <w:jc w:val="center"/>
              <w:rPr>
                <w:rFonts w:hint="eastAsia" w:ascii="仿宋_GB2312" w:hAnsi="仿宋_GB2312" w:eastAsia="仿宋_GB2312" w:cs="仿宋_GB2312"/>
                <w:color w:val="000000"/>
                <w:sz w:val="24"/>
                <w:szCs w:val="24"/>
              </w:rPr>
            </w:pPr>
          </w:p>
        </w:tc>
        <w:tc>
          <w:tcPr>
            <w:tcW w:w="2458" w:type="dxa"/>
            <w:vMerge w:val="restart"/>
            <w:tcBorders>
              <w:top w:val="single" w:color="000000" w:sz="4" w:space="0"/>
              <w:left w:val="single" w:color="000000" w:sz="4" w:space="0"/>
              <w:right w:val="single" w:color="000000" w:sz="4" w:space="0"/>
            </w:tcBorders>
            <w:vAlign w:val="center"/>
          </w:tcPr>
          <w:p w14:paraId="106CD681">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10.4 生物资源和土地利用项目-渔业</w:t>
            </w:r>
          </w:p>
        </w:tc>
        <w:tc>
          <w:tcPr>
            <w:tcW w:w="4178" w:type="dxa"/>
            <w:tcBorders>
              <w:top w:val="single" w:color="000000" w:sz="4" w:space="0"/>
              <w:left w:val="single" w:color="000000" w:sz="4" w:space="0"/>
              <w:bottom w:val="single" w:color="000000" w:sz="4" w:space="0"/>
              <w:right w:val="single" w:color="000000" w:sz="4" w:space="0"/>
            </w:tcBorders>
            <w:vAlign w:val="center"/>
          </w:tcPr>
          <w:p w14:paraId="29B12D6E">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LZ039 农业资源保护-其他</w:t>
            </w:r>
          </w:p>
        </w:tc>
      </w:tr>
      <w:tr w14:paraId="761321F1">
        <w:tblPrEx>
          <w:tblCellMar>
            <w:top w:w="0" w:type="dxa"/>
            <w:left w:w="108" w:type="dxa"/>
            <w:bottom w:w="0" w:type="dxa"/>
            <w:right w:w="108" w:type="dxa"/>
          </w:tblCellMar>
        </w:tblPrEx>
        <w:trPr>
          <w:trHeight w:val="540" w:hRule="atLeast"/>
        </w:trPr>
        <w:tc>
          <w:tcPr>
            <w:tcW w:w="1767" w:type="dxa"/>
            <w:vMerge w:val="continue"/>
            <w:tcBorders>
              <w:left w:val="single" w:color="000000" w:sz="4" w:space="0"/>
              <w:right w:val="single" w:color="000000" w:sz="4" w:space="0"/>
            </w:tcBorders>
            <w:vAlign w:val="center"/>
          </w:tcPr>
          <w:p w14:paraId="36089AAD">
            <w:pPr>
              <w:jc w:val="center"/>
              <w:rPr>
                <w:rFonts w:hint="eastAsia" w:ascii="仿宋_GB2312" w:hAnsi="仿宋_GB2312" w:eastAsia="仿宋_GB2312" w:cs="仿宋_GB2312"/>
                <w:color w:val="000000"/>
                <w:sz w:val="24"/>
                <w:szCs w:val="24"/>
              </w:rPr>
            </w:pPr>
          </w:p>
        </w:tc>
        <w:tc>
          <w:tcPr>
            <w:tcW w:w="2458" w:type="dxa"/>
            <w:vMerge w:val="continue"/>
            <w:tcBorders>
              <w:left w:val="single" w:color="000000" w:sz="4" w:space="0"/>
              <w:right w:val="single" w:color="000000" w:sz="4" w:space="0"/>
            </w:tcBorders>
            <w:vAlign w:val="center"/>
          </w:tcPr>
          <w:p w14:paraId="236C83E0">
            <w:pPr>
              <w:jc w:val="center"/>
              <w:rPr>
                <w:rFonts w:hint="eastAsia" w:ascii="仿宋_GB2312" w:hAnsi="仿宋_GB2312" w:eastAsia="仿宋_GB2312" w:cs="仿宋_GB2312"/>
                <w:color w:val="000000"/>
                <w:kern w:val="0"/>
                <w:sz w:val="24"/>
                <w:szCs w:val="24"/>
                <w:lang w:bidi="ar"/>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00553138">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LD004 增殖放流与海洋牧场建设和运营</w:t>
            </w:r>
          </w:p>
        </w:tc>
      </w:tr>
      <w:tr w14:paraId="34245E9D">
        <w:tblPrEx>
          <w:tblCellMar>
            <w:top w:w="0" w:type="dxa"/>
            <w:left w:w="108" w:type="dxa"/>
            <w:bottom w:w="0" w:type="dxa"/>
            <w:right w:w="108" w:type="dxa"/>
          </w:tblCellMar>
        </w:tblPrEx>
        <w:trPr>
          <w:trHeight w:val="540" w:hRule="atLeast"/>
        </w:trPr>
        <w:tc>
          <w:tcPr>
            <w:tcW w:w="1767" w:type="dxa"/>
            <w:vMerge w:val="continue"/>
            <w:tcBorders>
              <w:left w:val="single" w:color="000000" w:sz="4" w:space="0"/>
              <w:bottom w:val="single" w:color="000000" w:sz="4" w:space="0"/>
              <w:right w:val="single" w:color="000000" w:sz="4" w:space="0"/>
            </w:tcBorders>
            <w:vAlign w:val="center"/>
          </w:tcPr>
          <w:p w14:paraId="072BCBB5">
            <w:pPr>
              <w:jc w:val="center"/>
              <w:rPr>
                <w:rFonts w:hint="eastAsia" w:ascii="仿宋_GB2312" w:hAnsi="仿宋_GB2312" w:eastAsia="仿宋_GB2312" w:cs="仿宋_GB2312"/>
                <w:color w:val="000000"/>
                <w:sz w:val="24"/>
                <w:szCs w:val="24"/>
              </w:rPr>
            </w:pPr>
          </w:p>
        </w:tc>
        <w:tc>
          <w:tcPr>
            <w:tcW w:w="2458" w:type="dxa"/>
            <w:vMerge w:val="continue"/>
            <w:tcBorders>
              <w:left w:val="single" w:color="000000" w:sz="4" w:space="0"/>
              <w:bottom w:val="single" w:color="000000" w:sz="4" w:space="0"/>
              <w:right w:val="single" w:color="000000" w:sz="4" w:space="0"/>
            </w:tcBorders>
            <w:vAlign w:val="center"/>
          </w:tcPr>
          <w:p w14:paraId="6F732B6D">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446F8D63">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LD010 绿色渔业</w:t>
            </w:r>
          </w:p>
        </w:tc>
      </w:tr>
      <w:tr w14:paraId="34DE8D9A">
        <w:tblPrEx>
          <w:tblCellMar>
            <w:top w:w="0" w:type="dxa"/>
            <w:left w:w="108" w:type="dxa"/>
            <w:bottom w:w="0" w:type="dxa"/>
            <w:right w:w="108" w:type="dxa"/>
          </w:tblCellMar>
        </w:tblPrEx>
        <w:trPr>
          <w:trHeight w:val="540" w:hRule="atLeast"/>
        </w:trPr>
        <w:tc>
          <w:tcPr>
            <w:tcW w:w="1767" w:type="dxa"/>
            <w:vMerge w:val="continue"/>
            <w:tcBorders>
              <w:left w:val="single" w:color="000000" w:sz="4" w:space="0"/>
              <w:bottom w:val="single" w:color="000000" w:sz="4" w:space="0"/>
              <w:right w:val="single" w:color="000000" w:sz="4" w:space="0"/>
            </w:tcBorders>
            <w:vAlign w:val="center"/>
          </w:tcPr>
          <w:p w14:paraId="49E5D7ED">
            <w:pPr>
              <w:jc w:val="center"/>
              <w:rPr>
                <w:rFonts w:hint="eastAsia" w:ascii="仿宋_GB2312" w:hAnsi="仿宋_GB2312" w:eastAsia="仿宋_GB2312" w:cs="仿宋_GB2312"/>
                <w:color w:val="000000"/>
                <w:sz w:val="24"/>
                <w:szCs w:val="24"/>
              </w:rPr>
            </w:pPr>
          </w:p>
        </w:tc>
        <w:tc>
          <w:tcPr>
            <w:tcW w:w="2458" w:type="dxa"/>
            <w:vMerge w:val="continue"/>
            <w:tcBorders>
              <w:left w:val="single" w:color="000000" w:sz="4" w:space="0"/>
              <w:bottom w:val="single" w:color="000000" w:sz="4" w:space="0"/>
              <w:right w:val="single" w:color="000000" w:sz="4" w:space="0"/>
            </w:tcBorders>
            <w:vAlign w:val="center"/>
          </w:tcPr>
          <w:p w14:paraId="3ED1D751">
            <w:pPr>
              <w:jc w:val="center"/>
              <w:rPr>
                <w:rFonts w:hint="eastAsia" w:ascii="仿宋_GB2312" w:hAnsi="仿宋_GB2312" w:eastAsia="仿宋_GB2312" w:cs="仿宋_GB2312"/>
                <w:color w:val="000000"/>
                <w:sz w:val="24"/>
                <w:szCs w:val="24"/>
              </w:rPr>
            </w:pPr>
          </w:p>
        </w:tc>
        <w:tc>
          <w:tcPr>
            <w:tcW w:w="4178" w:type="dxa"/>
            <w:tcBorders>
              <w:top w:val="single" w:color="000000" w:sz="4" w:space="0"/>
              <w:left w:val="single" w:color="000000" w:sz="4" w:space="0"/>
              <w:bottom w:val="single" w:color="000000" w:sz="4" w:space="0"/>
              <w:right w:val="single" w:color="000000" w:sz="4" w:space="0"/>
            </w:tcBorders>
            <w:vAlign w:val="center"/>
          </w:tcPr>
          <w:p w14:paraId="564F02B5">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LZ041绿色农产品供给-其他</w:t>
            </w:r>
          </w:p>
        </w:tc>
      </w:tr>
    </w:tbl>
    <w:p w14:paraId="6F9BBD93">
      <w:pPr>
        <w:widowControl/>
        <w:jc w:val="left"/>
      </w:pPr>
      <w:r>
        <w:rPr>
          <w:rFonts w:hint="eastAsia" w:ascii="仿宋" w:hAnsi="仿宋" w:eastAsia="仿宋" w:cs="仿宋"/>
          <w:sz w:val="24"/>
        </w:rPr>
        <w:t>资料来源:起草组根据《影响报告统一框架》等公开资料进行整理。</w:t>
      </w:r>
    </w:p>
    <w:p w14:paraId="080F271A">
      <w:pPr>
        <w:pStyle w:val="2"/>
        <w:sectPr>
          <w:pgSz w:w="11906" w:h="16838"/>
          <w:pgMar w:top="1440" w:right="1800" w:bottom="1440" w:left="1800" w:header="851" w:footer="992" w:gutter="0"/>
          <w:pgNumType w:fmt="numberInDash"/>
          <w:cols w:space="720" w:num="1"/>
          <w:docGrid w:type="lines" w:linePitch="312" w:charSpace="0"/>
        </w:sectPr>
      </w:pPr>
    </w:p>
    <w:p w14:paraId="031124B7">
      <w:pPr>
        <w:rPr>
          <w:rFonts w:hint="eastAsia" w:eastAsiaTheme="minorEastAsia"/>
          <w:lang w:val="en-US" w:eastAsia="zh-CN"/>
        </w:rPr>
      </w:pPr>
    </w:p>
    <w:p w14:paraId="74B9C05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附表2</w:t>
      </w:r>
    </w:p>
    <w:p w14:paraId="2FC69AAE">
      <w:pPr>
        <w:autoSpaceDE w:val="0"/>
        <w:autoSpaceDN w:val="0"/>
        <w:adjustRightInd w:val="0"/>
        <w:spacing w:line="560" w:lineRule="exact"/>
        <w:jc w:val="center"/>
        <w:rPr>
          <w:rFonts w:hint="eastAsia" w:ascii="方正小标宋简体" w:hAnsi="仿宋" w:eastAsia="方正小标宋简体" w:cs="新宋体"/>
          <w:kern w:val="0"/>
          <w:sz w:val="44"/>
          <w:szCs w:val="44"/>
        </w:rPr>
      </w:pPr>
      <w:r>
        <w:rPr>
          <w:rFonts w:hint="eastAsia" w:ascii="方正小标宋简体" w:hAnsi="仿宋" w:eastAsia="方正小标宋简体" w:cs="新宋体"/>
          <w:kern w:val="0"/>
          <w:sz w:val="44"/>
          <w:szCs w:val="44"/>
        </w:rPr>
        <w:t>ICMA指标与本标准指标对比</w:t>
      </w:r>
    </w:p>
    <w:tbl>
      <w:tblPr>
        <w:tblStyle w:val="10"/>
        <w:tblpPr w:leftFromText="180" w:rightFromText="180" w:vertAnchor="text" w:horzAnchor="page" w:tblpX="1534" w:tblpY="568"/>
        <w:tblOverlap w:val="never"/>
        <w:tblW w:w="14042" w:type="dxa"/>
        <w:tblInd w:w="0" w:type="dxa"/>
        <w:tblLayout w:type="fixed"/>
        <w:tblCellMar>
          <w:top w:w="0" w:type="dxa"/>
          <w:left w:w="108" w:type="dxa"/>
          <w:bottom w:w="0" w:type="dxa"/>
          <w:right w:w="108" w:type="dxa"/>
        </w:tblCellMar>
      </w:tblPr>
      <w:tblGrid>
        <w:gridCol w:w="722"/>
        <w:gridCol w:w="1770"/>
        <w:gridCol w:w="3933"/>
        <w:gridCol w:w="1317"/>
        <w:gridCol w:w="2261"/>
        <w:gridCol w:w="4039"/>
      </w:tblGrid>
      <w:tr w14:paraId="4E5E6094">
        <w:tblPrEx>
          <w:tblCellMar>
            <w:top w:w="0" w:type="dxa"/>
            <w:left w:w="108" w:type="dxa"/>
            <w:bottom w:w="0" w:type="dxa"/>
            <w:right w:w="108" w:type="dxa"/>
          </w:tblCellMar>
        </w:tblPrEx>
        <w:trPr>
          <w:trHeight w:val="408" w:hRule="atLeast"/>
        </w:trPr>
        <w:tc>
          <w:tcPr>
            <w:tcW w:w="722" w:type="dxa"/>
            <w:tcBorders>
              <w:top w:val="single" w:color="auto" w:sz="4" w:space="0"/>
              <w:left w:val="single" w:color="auto" w:sz="4" w:space="0"/>
              <w:bottom w:val="single" w:color="auto" w:sz="4" w:space="0"/>
              <w:right w:val="single" w:color="000000" w:sz="4" w:space="0"/>
            </w:tcBorders>
            <w:vAlign w:val="center"/>
          </w:tcPr>
          <w:p w14:paraId="45B4DCAD">
            <w:pPr>
              <w:widowControl/>
              <w:spacing w:line="240" w:lineRule="atLeast"/>
              <w:jc w:val="center"/>
              <w:textAlignment w:val="center"/>
              <w:rPr>
                <w:rFonts w:hint="eastAsia" w:ascii="仿宋_GB2312" w:hAnsi="宋体" w:eastAsia="仿宋_GB2312" w:cs="仿宋_GB2312"/>
                <w:b/>
                <w:bCs/>
                <w:color w:val="000000"/>
                <w:sz w:val="24"/>
                <w:szCs w:val="24"/>
              </w:rPr>
            </w:pPr>
            <w:r>
              <w:rPr>
                <w:rFonts w:ascii="仿宋_GB2312" w:hAnsi="宋体" w:eastAsia="仿宋_GB2312" w:cs="仿宋_GB2312"/>
                <w:b/>
                <w:bCs/>
                <w:color w:val="000000"/>
                <w:kern w:val="0"/>
                <w:sz w:val="24"/>
                <w:szCs w:val="24"/>
                <w:lang w:bidi="ar"/>
              </w:rPr>
              <w:t>序号</w:t>
            </w:r>
          </w:p>
        </w:tc>
        <w:tc>
          <w:tcPr>
            <w:tcW w:w="1770" w:type="dxa"/>
            <w:tcBorders>
              <w:top w:val="single" w:color="auto" w:sz="4" w:space="0"/>
              <w:left w:val="single" w:color="000000" w:sz="4" w:space="0"/>
              <w:bottom w:val="single" w:color="auto" w:sz="4" w:space="0"/>
              <w:right w:val="single" w:color="000000" w:sz="4" w:space="0"/>
            </w:tcBorders>
            <w:vAlign w:val="center"/>
          </w:tcPr>
          <w:p w14:paraId="60526398">
            <w:pPr>
              <w:widowControl/>
              <w:spacing w:line="240" w:lineRule="atLeast"/>
              <w:jc w:val="center"/>
              <w:textAlignment w:val="center"/>
              <w:rPr>
                <w:rFonts w:hint="eastAsia" w:ascii="仿宋_GB2312" w:hAnsi="宋体" w:eastAsia="仿宋_GB2312" w:cs="仿宋_GB2312"/>
                <w:b/>
                <w:bCs/>
                <w:color w:val="000000"/>
                <w:sz w:val="24"/>
                <w:szCs w:val="24"/>
              </w:rPr>
            </w:pPr>
            <w:r>
              <w:rPr>
                <w:rFonts w:ascii="仿宋_GB2312" w:hAnsi="宋体" w:eastAsia="仿宋_GB2312" w:cs="仿宋_GB2312"/>
                <w:b/>
                <w:bCs/>
                <w:color w:val="000000"/>
                <w:kern w:val="0"/>
                <w:sz w:val="24"/>
                <w:szCs w:val="24"/>
                <w:lang w:bidi="ar"/>
              </w:rPr>
              <w:t>ICMA</w:t>
            </w:r>
            <w:r>
              <w:rPr>
                <w:rFonts w:hint="eastAsia" w:ascii="仿宋_GB2312" w:hAnsi="宋体" w:eastAsia="仿宋_GB2312" w:cs="仿宋_GB2312"/>
                <w:b/>
                <w:bCs/>
                <w:color w:val="000000"/>
                <w:kern w:val="0"/>
                <w:sz w:val="24"/>
                <w:szCs w:val="24"/>
                <w:lang w:bidi="ar"/>
              </w:rPr>
              <w:t>一级</w:t>
            </w:r>
            <w:r>
              <w:rPr>
                <w:rFonts w:ascii="仿宋_GB2312" w:hAnsi="宋体" w:eastAsia="仿宋_GB2312" w:cs="仿宋_GB2312"/>
                <w:b/>
                <w:bCs/>
                <w:color w:val="000000"/>
                <w:kern w:val="0"/>
                <w:sz w:val="24"/>
                <w:szCs w:val="24"/>
                <w:lang w:bidi="ar"/>
              </w:rPr>
              <w:t>行业</w:t>
            </w:r>
          </w:p>
        </w:tc>
        <w:tc>
          <w:tcPr>
            <w:tcW w:w="3933" w:type="dxa"/>
            <w:tcBorders>
              <w:top w:val="single" w:color="auto" w:sz="4" w:space="0"/>
              <w:left w:val="single" w:color="000000" w:sz="4" w:space="0"/>
              <w:bottom w:val="single" w:color="auto" w:sz="4" w:space="0"/>
              <w:right w:val="single" w:color="000000" w:sz="4" w:space="0"/>
            </w:tcBorders>
            <w:vAlign w:val="center"/>
          </w:tcPr>
          <w:p w14:paraId="4066471D">
            <w:pPr>
              <w:widowControl/>
              <w:spacing w:line="240" w:lineRule="atLeast"/>
              <w:jc w:val="center"/>
              <w:textAlignment w:val="center"/>
              <w:rPr>
                <w:rFonts w:hint="eastAsia" w:ascii="仿宋_GB2312" w:hAnsi="宋体" w:eastAsia="仿宋_GB2312" w:cs="仿宋_GB2312"/>
                <w:b/>
                <w:bCs/>
                <w:color w:val="000000"/>
                <w:sz w:val="24"/>
                <w:szCs w:val="24"/>
              </w:rPr>
            </w:pPr>
            <w:r>
              <w:rPr>
                <w:rFonts w:ascii="仿宋_GB2312" w:hAnsi="宋体" w:eastAsia="仿宋_GB2312" w:cs="仿宋_GB2312"/>
                <w:b/>
                <w:bCs/>
                <w:color w:val="000000"/>
                <w:kern w:val="0"/>
                <w:sz w:val="24"/>
                <w:szCs w:val="24"/>
                <w:lang w:bidi="ar"/>
              </w:rPr>
              <w:t>ICMA指标</w:t>
            </w:r>
          </w:p>
        </w:tc>
        <w:tc>
          <w:tcPr>
            <w:tcW w:w="1317" w:type="dxa"/>
            <w:tcBorders>
              <w:top w:val="single" w:color="auto" w:sz="4" w:space="0"/>
              <w:left w:val="single" w:color="000000" w:sz="4" w:space="0"/>
              <w:bottom w:val="single" w:color="auto" w:sz="4" w:space="0"/>
              <w:right w:val="single" w:color="000000" w:sz="4" w:space="0"/>
            </w:tcBorders>
            <w:vAlign w:val="center"/>
          </w:tcPr>
          <w:p w14:paraId="62AF9E2E">
            <w:pPr>
              <w:widowControl/>
              <w:spacing w:line="240" w:lineRule="atLeast"/>
              <w:jc w:val="center"/>
              <w:textAlignment w:val="center"/>
              <w:rPr>
                <w:rFonts w:hint="eastAsia" w:ascii="仿宋_GB2312" w:hAnsi="宋体" w:eastAsia="仿宋_GB2312" w:cs="仿宋_GB2312"/>
                <w:b/>
                <w:bCs/>
                <w:color w:val="000000"/>
                <w:sz w:val="24"/>
                <w:szCs w:val="24"/>
              </w:rPr>
            </w:pPr>
            <w:r>
              <w:rPr>
                <w:rFonts w:ascii="仿宋_GB2312" w:hAnsi="宋体" w:eastAsia="仿宋_GB2312" w:cs="仿宋_GB2312"/>
                <w:b/>
                <w:bCs/>
                <w:color w:val="000000"/>
                <w:kern w:val="0"/>
                <w:sz w:val="24"/>
                <w:szCs w:val="24"/>
                <w:lang w:bidi="ar"/>
              </w:rPr>
              <w:t>对应情况</w:t>
            </w:r>
          </w:p>
        </w:tc>
        <w:tc>
          <w:tcPr>
            <w:tcW w:w="2261" w:type="dxa"/>
            <w:tcBorders>
              <w:top w:val="single" w:color="auto" w:sz="4" w:space="0"/>
              <w:left w:val="single" w:color="000000" w:sz="4" w:space="0"/>
              <w:bottom w:val="single" w:color="auto" w:sz="4" w:space="0"/>
              <w:right w:val="single" w:color="000000" w:sz="4" w:space="0"/>
            </w:tcBorders>
            <w:vAlign w:val="center"/>
          </w:tcPr>
          <w:p w14:paraId="6A22A013">
            <w:pPr>
              <w:widowControl/>
              <w:spacing w:line="240" w:lineRule="atLeast"/>
              <w:jc w:val="center"/>
              <w:textAlignment w:val="center"/>
              <w:rPr>
                <w:rFonts w:hint="eastAsia" w:ascii="仿宋_GB2312" w:hAnsi="宋体" w:eastAsia="仿宋_GB2312" w:cs="仿宋_GB2312"/>
                <w:b/>
                <w:bCs/>
                <w:color w:val="000000"/>
                <w:sz w:val="24"/>
                <w:szCs w:val="24"/>
              </w:rPr>
            </w:pPr>
            <w:r>
              <w:rPr>
                <w:rFonts w:hint="eastAsia" w:ascii="仿宋_GB2312" w:hAnsi="宋体" w:eastAsia="仿宋_GB2312" w:cs="仿宋_GB2312"/>
                <w:b/>
                <w:bCs/>
                <w:color w:val="000000"/>
                <w:kern w:val="0"/>
                <w:sz w:val="24"/>
                <w:szCs w:val="24"/>
                <w:lang w:bidi="ar"/>
              </w:rPr>
              <w:t>本标准</w:t>
            </w:r>
            <w:r>
              <w:rPr>
                <w:rFonts w:ascii="仿宋_GB2312" w:hAnsi="宋体" w:eastAsia="仿宋_GB2312" w:cs="仿宋_GB2312"/>
                <w:b/>
                <w:bCs/>
                <w:color w:val="000000"/>
                <w:kern w:val="0"/>
                <w:sz w:val="24"/>
                <w:szCs w:val="24"/>
                <w:lang w:bidi="ar"/>
              </w:rPr>
              <w:t>对应指标</w:t>
            </w:r>
          </w:p>
        </w:tc>
        <w:tc>
          <w:tcPr>
            <w:tcW w:w="4039" w:type="dxa"/>
            <w:tcBorders>
              <w:top w:val="single" w:color="auto" w:sz="4" w:space="0"/>
              <w:left w:val="single" w:color="000000" w:sz="4" w:space="0"/>
              <w:bottom w:val="single" w:color="auto" w:sz="4" w:space="0"/>
              <w:right w:val="single" w:color="auto" w:sz="4" w:space="0"/>
            </w:tcBorders>
            <w:vAlign w:val="center"/>
          </w:tcPr>
          <w:p w14:paraId="3073139B">
            <w:pPr>
              <w:widowControl/>
              <w:spacing w:line="240" w:lineRule="atLeast"/>
              <w:jc w:val="center"/>
              <w:textAlignment w:val="center"/>
              <w:rPr>
                <w:rFonts w:hint="eastAsia" w:ascii="仿宋_GB2312" w:hAnsi="宋体" w:eastAsia="仿宋_GB2312" w:cs="仿宋_GB2312"/>
                <w:b/>
                <w:bCs/>
                <w:color w:val="000000"/>
                <w:sz w:val="24"/>
                <w:szCs w:val="24"/>
              </w:rPr>
            </w:pPr>
            <w:r>
              <w:rPr>
                <w:rFonts w:ascii="仿宋_GB2312" w:hAnsi="宋体" w:eastAsia="仿宋_GB2312" w:cs="仿宋_GB2312"/>
                <w:b/>
                <w:bCs/>
                <w:color w:val="000000"/>
                <w:kern w:val="0"/>
                <w:sz w:val="24"/>
                <w:szCs w:val="24"/>
                <w:lang w:bidi="ar"/>
              </w:rPr>
              <w:t>处理意见及理由</w:t>
            </w:r>
          </w:p>
        </w:tc>
      </w:tr>
      <w:tr w14:paraId="15D8B51F">
        <w:tblPrEx>
          <w:tblCellMar>
            <w:top w:w="0" w:type="dxa"/>
            <w:left w:w="108" w:type="dxa"/>
            <w:bottom w:w="0" w:type="dxa"/>
            <w:right w:w="108" w:type="dxa"/>
          </w:tblCellMar>
        </w:tblPrEx>
        <w:trPr>
          <w:trHeight w:val="408" w:hRule="atLeast"/>
        </w:trPr>
        <w:tc>
          <w:tcPr>
            <w:tcW w:w="722" w:type="dxa"/>
            <w:tcBorders>
              <w:top w:val="single" w:color="auto" w:sz="4" w:space="0"/>
              <w:left w:val="single" w:color="000000" w:sz="4" w:space="0"/>
              <w:bottom w:val="single" w:color="000000" w:sz="4" w:space="0"/>
              <w:right w:val="single" w:color="000000" w:sz="4" w:space="0"/>
            </w:tcBorders>
            <w:vAlign w:val="center"/>
          </w:tcPr>
          <w:p w14:paraId="7B751C3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w:t>
            </w:r>
          </w:p>
        </w:tc>
        <w:tc>
          <w:tcPr>
            <w:tcW w:w="1770" w:type="dxa"/>
            <w:vMerge w:val="restart"/>
            <w:tcBorders>
              <w:top w:val="single" w:color="auto" w:sz="4" w:space="0"/>
              <w:left w:val="single" w:color="000000" w:sz="4" w:space="0"/>
              <w:bottom w:val="single" w:color="000000" w:sz="4" w:space="0"/>
              <w:right w:val="single" w:color="000000" w:sz="4" w:space="0"/>
            </w:tcBorders>
            <w:vAlign w:val="center"/>
          </w:tcPr>
          <w:p w14:paraId="75CF835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1.可再生能源</w:t>
            </w:r>
          </w:p>
        </w:tc>
        <w:tc>
          <w:tcPr>
            <w:tcW w:w="3933" w:type="dxa"/>
            <w:tcBorders>
              <w:top w:val="single" w:color="auto" w:sz="4" w:space="0"/>
              <w:left w:val="single" w:color="000000" w:sz="4" w:space="0"/>
              <w:bottom w:val="single" w:color="000000" w:sz="4" w:space="0"/>
              <w:right w:val="single" w:color="000000" w:sz="4" w:space="0"/>
            </w:tcBorders>
            <w:vAlign w:val="center"/>
          </w:tcPr>
          <w:p w14:paraId="3590E23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温室气体减排量</w:t>
            </w:r>
          </w:p>
        </w:tc>
        <w:tc>
          <w:tcPr>
            <w:tcW w:w="1317" w:type="dxa"/>
            <w:tcBorders>
              <w:top w:val="single" w:color="auto" w:sz="4" w:space="0"/>
              <w:left w:val="single" w:color="000000" w:sz="4" w:space="0"/>
              <w:bottom w:val="single" w:color="000000" w:sz="4" w:space="0"/>
              <w:right w:val="single" w:color="000000" w:sz="4" w:space="0"/>
            </w:tcBorders>
            <w:vAlign w:val="center"/>
          </w:tcPr>
          <w:p w14:paraId="57BA406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auto" w:sz="4" w:space="0"/>
              <w:left w:val="single" w:color="000000" w:sz="4" w:space="0"/>
              <w:bottom w:val="single" w:color="000000" w:sz="4" w:space="0"/>
              <w:right w:val="single" w:color="000000" w:sz="4" w:space="0"/>
            </w:tcBorders>
            <w:vAlign w:val="center"/>
          </w:tcPr>
          <w:p w14:paraId="453D206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auto" w:sz="4" w:space="0"/>
              <w:left w:val="single" w:color="000000" w:sz="4" w:space="0"/>
              <w:bottom w:val="single" w:color="000000" w:sz="4" w:space="0"/>
              <w:right w:val="single" w:color="000000" w:sz="4" w:space="0"/>
            </w:tcBorders>
            <w:vAlign w:val="center"/>
          </w:tcPr>
          <w:p w14:paraId="504B320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564B57F3">
        <w:tblPrEx>
          <w:tblCellMar>
            <w:top w:w="0" w:type="dxa"/>
            <w:left w:w="108" w:type="dxa"/>
            <w:bottom w:w="0" w:type="dxa"/>
            <w:right w:w="108" w:type="dxa"/>
          </w:tblCellMar>
        </w:tblPrEx>
        <w:trPr>
          <w:trHeight w:val="13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EF3EFC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66DAF2C">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D238EE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可再生能源发电量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34F1E81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21E67DB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替代化石能源量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1DDE80A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可通过可再生能源发电量推算出替代化石能源量，其环境效益通过“替代化石能源量”指标表述</w:t>
            </w:r>
          </w:p>
        </w:tc>
      </w:tr>
      <w:tr w14:paraId="644260E1">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386B506">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3345125">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8FCC74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新建或重建的可再生能源装机容量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424DF45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154DD80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替代化石能源量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075672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和可再生能源发电量基本可以对应，并可进一步推算出替代化石能源量，其环境效益通过“替代化石能源量”指标表述</w:t>
            </w:r>
          </w:p>
        </w:tc>
      </w:tr>
      <w:tr w14:paraId="7740CEB5">
        <w:tblPrEx>
          <w:tblCellMar>
            <w:top w:w="0" w:type="dxa"/>
            <w:left w:w="108" w:type="dxa"/>
            <w:bottom w:w="0" w:type="dxa"/>
            <w:right w:w="108" w:type="dxa"/>
          </w:tblCellMar>
        </w:tblPrEx>
        <w:trPr>
          <w:trHeight w:val="40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A26152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17CA9C9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2.能效提升</w:t>
            </w:r>
          </w:p>
        </w:tc>
        <w:tc>
          <w:tcPr>
            <w:tcW w:w="3933" w:type="dxa"/>
            <w:tcBorders>
              <w:top w:val="single" w:color="000000" w:sz="4" w:space="0"/>
              <w:left w:val="single" w:color="000000" w:sz="4" w:space="0"/>
              <w:bottom w:val="single" w:color="000000" w:sz="4" w:space="0"/>
              <w:right w:val="single" w:color="000000" w:sz="4" w:space="0"/>
            </w:tcBorders>
            <w:vAlign w:val="center"/>
          </w:tcPr>
          <w:p w14:paraId="40AE778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节能量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3BDD60C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659C098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节能量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C90E29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47099FBD">
        <w:tblPrEx>
          <w:tblCellMar>
            <w:top w:w="0" w:type="dxa"/>
            <w:left w:w="108" w:type="dxa"/>
            <w:bottom w:w="0" w:type="dxa"/>
            <w:right w:w="108" w:type="dxa"/>
          </w:tblCellMar>
        </w:tblPrEx>
        <w:trPr>
          <w:trHeight w:val="40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CEF54E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EB18A3C">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CA2E7A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温室气体减排量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5455567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0A0B6FC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33A7F27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478CED83">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52E1D81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28BD4A7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3.可持续水资源及废水管理</w:t>
            </w:r>
          </w:p>
        </w:tc>
        <w:tc>
          <w:tcPr>
            <w:tcW w:w="3933" w:type="dxa"/>
            <w:tcBorders>
              <w:top w:val="single" w:color="000000" w:sz="4" w:space="0"/>
              <w:left w:val="single" w:color="000000" w:sz="4" w:space="0"/>
              <w:bottom w:val="single" w:color="000000" w:sz="4" w:space="0"/>
              <w:right w:val="single" w:color="000000" w:sz="4" w:space="0"/>
            </w:tcBorders>
            <w:vAlign w:val="center"/>
          </w:tcPr>
          <w:p w14:paraId="61ADB0C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项目前后的年绝对（总）用水量，</w:t>
            </w:r>
            <w:r>
              <w:rPr>
                <w:rFonts w:hint="eastAsia" w:ascii="仿宋_GB2312" w:hAnsi="宋体" w:eastAsia="仿宋_GB2312" w:cs="仿宋_GB2312"/>
                <w:color w:val="000000"/>
                <w:kern w:val="0"/>
                <w:sz w:val="24"/>
                <w:szCs w:val="24"/>
                <w:lang w:bidi="ar"/>
              </w:rPr>
              <w:t>或</w:t>
            </w:r>
            <w:r>
              <w:rPr>
                <w:rFonts w:ascii="仿宋_GB2312" w:hAnsi="宋体" w:eastAsia="仿宋_GB2312" w:cs="仿宋_GB2312"/>
                <w:color w:val="000000"/>
                <w:kern w:val="0"/>
                <w:sz w:val="24"/>
                <w:szCs w:val="24"/>
                <w:lang w:bidi="ar"/>
              </w:rPr>
              <w:t>用水量减少</w:t>
            </w:r>
            <w:r>
              <w:rPr>
                <w:rFonts w:hint="eastAsia" w:ascii="仿宋_GB2312" w:hAnsi="宋体" w:eastAsia="仿宋_GB2312" w:cs="仿宋_GB2312"/>
                <w:color w:val="000000"/>
                <w:kern w:val="0"/>
                <w:sz w:val="24"/>
                <w:szCs w:val="24"/>
                <w:lang w:bidi="ar"/>
              </w:rPr>
              <w:t>百分比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0B70E7E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4718B71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节水量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0B7486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可通过用水量推算出节水量，其环境效益通过“节水量”指标表述</w:t>
            </w:r>
          </w:p>
        </w:tc>
      </w:tr>
      <w:tr w14:paraId="46B5EEE5">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DDEE7C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A4AAEC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72F4E0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项目前后处理、再利用或减少的污水年度绝对（总）量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4A79FEA6">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60D49DC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污水处理量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14721A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420B169F">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D6C137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4A8093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C34725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年度污水污泥处理绝对（总）量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1C4FA9E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7CD2622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污水处理量、清淤量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B2801E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648442A3">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B16512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9</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D5F914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BE3BE6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年度污泥再利用绝对（总）量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5542ACD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483B045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16180C6B">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674E7763">
        <w:tblPrEx>
          <w:tblCellMar>
            <w:top w:w="0" w:type="dxa"/>
            <w:left w:w="108" w:type="dxa"/>
            <w:bottom w:w="0" w:type="dxa"/>
            <w:right w:w="108" w:type="dxa"/>
          </w:tblCellMar>
        </w:tblPrEx>
        <w:trPr>
          <w:trHeight w:val="440"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270222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10</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432CDEE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4.废弃物管理及资源利用效率提升</w:t>
            </w:r>
          </w:p>
        </w:tc>
        <w:tc>
          <w:tcPr>
            <w:tcW w:w="3933" w:type="dxa"/>
            <w:tcBorders>
              <w:top w:val="single" w:color="000000" w:sz="4" w:space="0"/>
              <w:left w:val="single" w:color="000000" w:sz="4" w:space="0"/>
              <w:bottom w:val="single" w:color="000000" w:sz="4" w:space="0"/>
              <w:right w:val="single" w:color="000000" w:sz="4" w:space="0"/>
            </w:tcBorders>
            <w:vAlign w:val="center"/>
          </w:tcPr>
          <w:p w14:paraId="4D4A4FC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项目前后的废弃物减少或循环量绝对数，或</w:t>
            </w:r>
            <w:r>
              <w:rPr>
                <w:rFonts w:hint="eastAsia" w:ascii="仿宋_GB2312" w:hAnsi="宋体" w:eastAsia="仿宋_GB2312" w:cs="仿宋_GB2312"/>
                <w:color w:val="000000"/>
                <w:kern w:val="0"/>
                <w:sz w:val="24"/>
                <w:szCs w:val="24"/>
                <w:lang w:bidi="ar"/>
              </w:rPr>
              <w:t>其</w:t>
            </w:r>
            <w:r>
              <w:rPr>
                <w:rFonts w:ascii="仿宋_GB2312" w:hAnsi="宋体" w:eastAsia="仿宋_GB2312" w:cs="仿宋_GB2312"/>
                <w:color w:val="000000"/>
                <w:kern w:val="0"/>
                <w:sz w:val="24"/>
                <w:szCs w:val="24"/>
                <w:lang w:bidi="ar"/>
              </w:rPr>
              <w:t>占废弃物总量的百分比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430424B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22F437E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废弃物循环利用量、危废处理处置量、固体废物处理量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551D017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105436A2">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8621BD1">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11</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460B5F49">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CC8954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项目前后的废弃物管理产生的温室气体排放量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6D55BB1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00784C4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BB4F17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15F33FFB">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D06A87C">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405FF77A">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7E15D4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每年从能效高或排放效率高的不可回收废弃物中产生并输送给能源设备的能量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3A0C39E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12CB0597">
            <w:pPr>
              <w:widowControl/>
              <w:spacing w:line="240" w:lineRule="atLeast"/>
              <w:jc w:val="left"/>
              <w:textAlignment w:val="center"/>
              <w:rPr>
                <w:rFonts w:hint="eastAsia" w:ascii="仿宋_GB2312" w:hAnsi="宋体" w:eastAsia="仿宋_GB2312" w:cs="仿宋_GB2312"/>
                <w:color w:val="000000"/>
                <w:sz w:val="24"/>
                <w:szCs w:val="24"/>
              </w:rPr>
            </w:pPr>
            <w:r>
              <w:rPr>
                <w:rFonts w:hint="eastAsia" w:ascii="仿宋_GB2312" w:hAnsi="宋体" w:eastAsia="仿宋_GB2312" w:cs="仿宋_GB2312"/>
                <w:color w:val="000000"/>
                <w:sz w:val="24"/>
                <w:szCs w:val="24"/>
              </w:rPr>
              <w:t>节能量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F154FC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1707C949">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E44A93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8567A8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0CC103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从废弃物中回收的能量(减去任何辅助燃料)以产生的净能量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0412CA1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530B9D5D">
            <w:pPr>
              <w:widowControl/>
              <w:spacing w:line="240" w:lineRule="atLeast"/>
              <w:jc w:val="left"/>
              <w:textAlignment w:val="center"/>
              <w:rPr>
                <w:rFonts w:hint="eastAsia" w:ascii="仿宋_GB2312" w:hAnsi="宋体" w:eastAsia="仿宋_GB2312" w:cs="仿宋_GB2312"/>
                <w:color w:val="000000"/>
                <w:sz w:val="24"/>
                <w:szCs w:val="24"/>
              </w:rPr>
            </w:pPr>
            <w:r>
              <w:rPr>
                <w:rFonts w:hint="eastAsia" w:ascii="仿宋_GB2312" w:hAnsi="宋体" w:eastAsia="仿宋_GB2312" w:cs="仿宋_GB2312"/>
                <w:color w:val="000000"/>
                <w:sz w:val="24"/>
                <w:szCs w:val="24"/>
              </w:rPr>
              <w:t>节能量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381BA4A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01665952">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46DECC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14</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D97AC6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30E08E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项目前后来自废弃物能量回收带来的温室气体减排量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6BE7AE5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75917A5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C07079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4E270483">
        <w:tblPrEx>
          <w:tblCellMar>
            <w:top w:w="0" w:type="dxa"/>
            <w:left w:w="108" w:type="dxa"/>
            <w:bottom w:w="0" w:type="dxa"/>
            <w:right w:w="108" w:type="dxa"/>
          </w:tblCellMar>
        </w:tblPrEx>
        <w:trPr>
          <w:trHeight w:val="244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292B386">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5C5C319">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BB171C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被分类及/或收集、处理(包括堆肥)或弃置的废弃物绝对量，或</w:t>
            </w:r>
            <w:r>
              <w:rPr>
                <w:rFonts w:hint="eastAsia" w:ascii="仿宋_GB2312" w:hAnsi="宋体" w:eastAsia="仿宋_GB2312" w:cs="仿宋_GB2312"/>
                <w:color w:val="000000"/>
                <w:kern w:val="0"/>
                <w:sz w:val="24"/>
                <w:szCs w:val="24"/>
                <w:lang w:bidi="ar"/>
              </w:rPr>
              <w:t>其</w:t>
            </w:r>
            <w:r>
              <w:rPr>
                <w:rFonts w:ascii="仿宋_GB2312" w:hAnsi="宋体" w:eastAsia="仿宋_GB2312" w:cs="仿宋_GB2312"/>
                <w:color w:val="000000"/>
                <w:kern w:val="0"/>
                <w:sz w:val="24"/>
                <w:szCs w:val="24"/>
                <w:lang w:bidi="ar"/>
              </w:rPr>
              <w:t>在所有垃圾中的占比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79CCD9E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0AFF481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废弃物循环利用量、危废处理处置量、固体废物处理量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77A4E33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2FEEB7F0">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DA75FA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16</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1A85916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5.清洁交通</w:t>
            </w:r>
          </w:p>
        </w:tc>
        <w:tc>
          <w:tcPr>
            <w:tcW w:w="3933" w:type="dxa"/>
            <w:tcBorders>
              <w:top w:val="single" w:color="000000" w:sz="4" w:space="0"/>
              <w:left w:val="single" w:color="000000" w:sz="4" w:space="0"/>
              <w:bottom w:val="single" w:color="000000" w:sz="4" w:space="0"/>
              <w:right w:val="single" w:color="000000" w:sz="4" w:space="0"/>
            </w:tcBorders>
            <w:vAlign w:val="center"/>
          </w:tcPr>
          <w:p w14:paraId="508BC2D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客运周转</w:t>
            </w:r>
            <w:r>
              <w:rPr>
                <w:rFonts w:hint="eastAsia" w:ascii="仿宋_GB2312" w:hAnsi="宋体" w:eastAsia="仿宋_GB2312" w:cs="仿宋_GB2312"/>
                <w:color w:val="000000"/>
                <w:kern w:val="0"/>
                <w:sz w:val="24"/>
                <w:szCs w:val="24"/>
                <w:lang w:bidi="ar"/>
              </w:rPr>
              <w:t>量</w:t>
            </w:r>
            <w:r>
              <w:rPr>
                <w:rFonts w:ascii="仿宋_GB2312" w:hAnsi="宋体" w:eastAsia="仿宋_GB2312" w:cs="仿宋_GB2312"/>
                <w:color w:val="000000"/>
                <w:kern w:val="0"/>
                <w:sz w:val="24"/>
                <w:szCs w:val="24"/>
                <w:lang w:bidi="ar"/>
              </w:rPr>
              <w:t>、货运周转量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03A9A131">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6FFFD68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客运周转量、货运周转量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19EBB9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0E693BEC">
        <w:tblPrEx>
          <w:tblCellMar>
            <w:top w:w="0" w:type="dxa"/>
            <w:left w:w="108" w:type="dxa"/>
            <w:bottom w:w="0" w:type="dxa"/>
            <w:right w:w="108" w:type="dxa"/>
          </w:tblCellMar>
        </w:tblPrEx>
        <w:trPr>
          <w:trHeight w:val="40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5272CBC1">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17</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F553A1A">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57373E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温室气体减排量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56D8B16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3CC9437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4B24DE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7C78FE37">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FBFEC9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A90204A">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B618F1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PM、SOx、NOx、CO、NMVOCs等空气污染物减排量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763DEBD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7612794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颗粒物削减量、二氧化硫削减量、氮氧化物削减量、一氧化碳减排量、挥发性有机物削减量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55395B7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271AA06D">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7028B31">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19</w:t>
            </w:r>
          </w:p>
        </w:tc>
        <w:tc>
          <w:tcPr>
            <w:tcW w:w="1770" w:type="dxa"/>
            <w:vMerge w:val="restart"/>
            <w:tcBorders>
              <w:top w:val="single" w:color="000000" w:sz="4" w:space="0"/>
              <w:left w:val="single" w:color="000000" w:sz="4" w:space="0"/>
              <w:bottom w:val="single" w:color="000000" w:sz="4" w:space="0"/>
              <w:right w:val="single" w:color="000000" w:sz="4" w:space="0"/>
            </w:tcBorders>
            <w:noWrap/>
            <w:vAlign w:val="center"/>
          </w:tcPr>
          <w:p w14:paraId="0350C86C">
            <w:pPr>
              <w:widowControl/>
              <w:spacing w:line="240" w:lineRule="atLeast"/>
              <w:jc w:val="left"/>
              <w:textAlignment w:val="center"/>
            </w:pPr>
            <w:r>
              <w:rPr>
                <w:rFonts w:hint="eastAsia" w:ascii="仿宋_GB2312" w:hAnsi="宋体" w:eastAsia="仿宋_GB2312" w:cs="仿宋_GB2312"/>
                <w:color w:val="000000"/>
                <w:kern w:val="0"/>
                <w:sz w:val="24"/>
                <w:szCs w:val="24"/>
                <w:lang w:bidi="ar"/>
              </w:rPr>
              <w:t>6.</w:t>
            </w:r>
            <w:r>
              <w:rPr>
                <w:rFonts w:ascii="仿宋_GB2312" w:hAnsi="宋体" w:eastAsia="仿宋_GB2312" w:cs="仿宋_GB2312"/>
                <w:color w:val="000000"/>
                <w:kern w:val="0"/>
                <w:sz w:val="24"/>
                <w:szCs w:val="24"/>
                <w:lang w:bidi="ar"/>
              </w:rPr>
              <w:t>绿色建筑</w:t>
            </w:r>
          </w:p>
        </w:tc>
        <w:tc>
          <w:tcPr>
            <w:tcW w:w="3933" w:type="dxa"/>
            <w:tcBorders>
              <w:top w:val="single" w:color="000000" w:sz="4" w:space="0"/>
              <w:left w:val="single" w:color="000000" w:sz="4" w:space="0"/>
              <w:bottom w:val="single" w:color="000000" w:sz="4" w:space="0"/>
              <w:right w:val="single" w:color="000000" w:sz="4" w:space="0"/>
            </w:tcBorders>
            <w:vAlign w:val="center"/>
          </w:tcPr>
          <w:p w14:paraId="1106E33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总建筑面积的能源使用</w:t>
            </w:r>
            <w:r>
              <w:rPr>
                <w:rFonts w:hint="eastAsia" w:ascii="仿宋_GB2312" w:hAnsi="宋体" w:eastAsia="仿宋_GB2312" w:cs="仿宋_GB2312"/>
                <w:color w:val="000000"/>
                <w:kern w:val="0"/>
                <w:sz w:val="24"/>
                <w:szCs w:val="24"/>
                <w:lang w:bidi="ar"/>
              </w:rPr>
              <w:t>量</w:t>
            </w:r>
            <w:r>
              <w:rPr>
                <w:rFonts w:ascii="仿宋_GB2312" w:hAnsi="宋体" w:eastAsia="仿宋_GB2312" w:cs="仿宋_GB2312"/>
                <w:color w:val="000000"/>
                <w:kern w:val="0"/>
                <w:sz w:val="24"/>
                <w:szCs w:val="24"/>
                <w:lang w:bidi="ar"/>
              </w:rPr>
              <w:t>，或与本地基准建筑标准相比能源使用量减少百分比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1FCEF11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3B276CD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节能量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1BC03A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可通过建筑能源使用绝对值及减少百分比推算出节能量，其环境效益通过“节能量”指标表述</w:t>
            </w:r>
          </w:p>
        </w:tc>
      </w:tr>
      <w:tr w14:paraId="2962C704">
        <w:tblPrEx>
          <w:tblCellMar>
            <w:top w:w="0" w:type="dxa"/>
            <w:left w:w="108" w:type="dxa"/>
            <w:bottom w:w="0" w:type="dxa"/>
            <w:right w:w="108" w:type="dxa"/>
          </w:tblCellMar>
        </w:tblPrEx>
        <w:trPr>
          <w:trHeight w:val="40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BE355C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20</w:t>
            </w:r>
          </w:p>
        </w:tc>
        <w:tc>
          <w:tcPr>
            <w:tcW w:w="1770" w:type="dxa"/>
            <w:vMerge w:val="continue"/>
            <w:tcBorders>
              <w:top w:val="single" w:color="000000" w:sz="4" w:space="0"/>
              <w:left w:val="single" w:color="000000" w:sz="4" w:space="0"/>
              <w:bottom w:val="single" w:color="000000" w:sz="4" w:space="0"/>
              <w:right w:val="single" w:color="000000" w:sz="4" w:space="0"/>
            </w:tcBorders>
            <w:noWrap/>
            <w:vAlign w:val="center"/>
          </w:tcPr>
          <w:p w14:paraId="766190E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5B9265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总建筑面积的碳减排量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3976F9A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1D064EB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1935C3F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54ED221B">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46BBDF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21</w:t>
            </w:r>
          </w:p>
        </w:tc>
        <w:tc>
          <w:tcPr>
            <w:tcW w:w="1770" w:type="dxa"/>
            <w:vMerge w:val="continue"/>
            <w:tcBorders>
              <w:top w:val="single" w:color="000000" w:sz="4" w:space="0"/>
              <w:left w:val="single" w:color="000000" w:sz="4" w:space="0"/>
              <w:bottom w:val="single" w:color="000000" w:sz="4" w:space="0"/>
              <w:right w:val="single" w:color="000000" w:sz="4" w:space="0"/>
            </w:tcBorders>
            <w:noWrap/>
            <w:vAlign w:val="center"/>
          </w:tcPr>
          <w:p w14:paraId="34FDAC9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07BCED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与本地基准建筑标准</w:t>
            </w:r>
            <w:r>
              <w:rPr>
                <w:rFonts w:hint="eastAsia" w:ascii="仿宋_GB2312" w:hAnsi="宋体" w:eastAsia="仿宋_GB2312" w:cs="仿宋_GB2312"/>
                <w:color w:val="000000"/>
                <w:kern w:val="0"/>
                <w:sz w:val="24"/>
                <w:szCs w:val="24"/>
                <w:lang w:bidi="ar"/>
              </w:rPr>
              <w:t>相比，</w:t>
            </w:r>
            <w:r>
              <w:rPr>
                <w:rFonts w:ascii="仿宋_GB2312" w:hAnsi="宋体" w:eastAsia="仿宋_GB2312" w:cs="仿宋_GB2312"/>
                <w:color w:val="000000"/>
                <w:kern w:val="0"/>
                <w:sz w:val="24"/>
                <w:szCs w:val="24"/>
                <w:lang w:bidi="ar"/>
              </w:rPr>
              <w:t>年度温室气体减排量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001788B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0BF0C3C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AC024A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1F3B4C03">
        <w:tblPrEx>
          <w:tblCellMar>
            <w:top w:w="0" w:type="dxa"/>
            <w:left w:w="108" w:type="dxa"/>
            <w:bottom w:w="0" w:type="dxa"/>
            <w:right w:w="108" w:type="dxa"/>
          </w:tblCellMar>
        </w:tblPrEx>
        <w:trPr>
          <w:trHeight w:val="154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A59798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22</w:t>
            </w:r>
          </w:p>
        </w:tc>
        <w:tc>
          <w:tcPr>
            <w:tcW w:w="1770" w:type="dxa"/>
            <w:vMerge w:val="continue"/>
            <w:tcBorders>
              <w:top w:val="single" w:color="000000" w:sz="4" w:space="0"/>
              <w:left w:val="single" w:color="000000" w:sz="4" w:space="0"/>
              <w:bottom w:val="single" w:color="000000" w:sz="4" w:space="0"/>
              <w:right w:val="single" w:color="000000" w:sz="4" w:space="0"/>
            </w:tcBorders>
            <w:noWrap/>
            <w:vAlign w:val="center"/>
          </w:tcPr>
          <w:p w14:paraId="3016B8C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4B9820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与本地基准建筑标准</w:t>
            </w:r>
            <w:r>
              <w:rPr>
                <w:rFonts w:hint="eastAsia" w:ascii="仿宋_GB2312" w:hAnsi="宋体" w:eastAsia="仿宋_GB2312" w:cs="仿宋_GB2312"/>
                <w:color w:val="000000"/>
                <w:kern w:val="0"/>
                <w:sz w:val="24"/>
                <w:szCs w:val="24"/>
                <w:lang w:bidi="ar"/>
              </w:rPr>
              <w:t>相比，</w:t>
            </w:r>
            <w:r>
              <w:rPr>
                <w:rFonts w:ascii="仿宋_GB2312" w:hAnsi="宋体" w:eastAsia="仿宋_GB2312" w:cs="仿宋_GB2312"/>
                <w:color w:val="000000"/>
                <w:kern w:val="0"/>
                <w:sz w:val="24"/>
                <w:szCs w:val="24"/>
                <w:lang w:bidi="ar"/>
              </w:rPr>
              <w:t>碳排放</w:t>
            </w:r>
            <w:r>
              <w:rPr>
                <w:rFonts w:hint="eastAsia" w:ascii="仿宋_GB2312" w:hAnsi="宋体" w:eastAsia="仿宋_GB2312" w:cs="仿宋_GB2312"/>
                <w:color w:val="000000"/>
                <w:kern w:val="0"/>
                <w:sz w:val="24"/>
                <w:szCs w:val="24"/>
                <w:lang w:bidi="ar"/>
              </w:rPr>
              <w:t>量</w:t>
            </w:r>
            <w:r>
              <w:rPr>
                <w:rFonts w:ascii="仿宋_GB2312" w:hAnsi="宋体" w:eastAsia="仿宋_GB2312" w:cs="仿宋_GB2312"/>
                <w:color w:val="000000"/>
                <w:kern w:val="0"/>
                <w:sz w:val="24"/>
                <w:szCs w:val="24"/>
                <w:lang w:bidi="ar"/>
              </w:rPr>
              <w:t>的减少</w:t>
            </w:r>
            <w:r>
              <w:rPr>
                <w:rFonts w:hint="eastAsia" w:ascii="仿宋_GB2312" w:hAnsi="宋体" w:eastAsia="仿宋_GB2312" w:cs="仿宋_GB2312"/>
                <w:color w:val="000000"/>
                <w:kern w:val="0"/>
                <w:sz w:val="24"/>
                <w:szCs w:val="24"/>
                <w:lang w:bidi="ar"/>
              </w:rPr>
              <w:t>及百分比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1465AEF6">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011E685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5634A08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324E6804">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49D8DD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23</w:t>
            </w:r>
          </w:p>
        </w:tc>
        <w:tc>
          <w:tcPr>
            <w:tcW w:w="1770" w:type="dxa"/>
            <w:vMerge w:val="continue"/>
            <w:tcBorders>
              <w:top w:val="single" w:color="000000" w:sz="4" w:space="0"/>
              <w:left w:val="single" w:color="000000" w:sz="4" w:space="0"/>
              <w:bottom w:val="single" w:color="000000" w:sz="4" w:space="0"/>
              <w:right w:val="single" w:color="000000" w:sz="4" w:space="0"/>
            </w:tcBorders>
            <w:noWrap/>
            <w:vAlign w:val="center"/>
          </w:tcPr>
          <w:p w14:paraId="1F78BD4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D54223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总建筑面积的水资源利用效率，或项目前后年度绝对用水量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6835E36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30275F3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节水量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5B2AFAB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可通过水资源利用效率或绝对用水量变化推算出节水量，其环境效益通过“节水量”指标表述</w:t>
            </w:r>
          </w:p>
        </w:tc>
      </w:tr>
      <w:tr w14:paraId="54238BD6">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39DAFC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24</w:t>
            </w:r>
          </w:p>
        </w:tc>
        <w:tc>
          <w:tcPr>
            <w:tcW w:w="1770" w:type="dxa"/>
            <w:vMerge w:val="continue"/>
            <w:tcBorders>
              <w:top w:val="single" w:color="000000" w:sz="4" w:space="0"/>
              <w:left w:val="single" w:color="000000" w:sz="4" w:space="0"/>
              <w:bottom w:val="single" w:color="000000" w:sz="4" w:space="0"/>
              <w:right w:val="single" w:color="000000" w:sz="4" w:space="0"/>
            </w:tcBorders>
            <w:noWrap/>
            <w:vAlign w:val="center"/>
          </w:tcPr>
          <w:p w14:paraId="0296D98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12D2CF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每年减少、再用或循环再造的废物量占废物总量的百分比</w:t>
            </w:r>
            <w:r>
              <w:rPr>
                <w:rFonts w:hint="eastAsia" w:ascii="仿宋_GB2312" w:hAnsi="宋体" w:eastAsia="仿宋_GB2312" w:cs="仿宋_GB2312"/>
                <w:color w:val="000000"/>
                <w:kern w:val="0"/>
                <w:sz w:val="24"/>
                <w:szCs w:val="24"/>
                <w:lang w:bidi="ar"/>
              </w:rPr>
              <w:t>，</w:t>
            </w:r>
            <w:r>
              <w:rPr>
                <w:rFonts w:ascii="仿宋_GB2312" w:hAnsi="宋体" w:eastAsia="仿宋_GB2312" w:cs="仿宋_GB2312"/>
                <w:color w:val="000000"/>
                <w:kern w:val="0"/>
                <w:sz w:val="24"/>
                <w:szCs w:val="24"/>
                <w:lang w:bidi="ar"/>
              </w:rPr>
              <w:t>或绝对量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58534E9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5A21D74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废弃物循环利用量、固体废物处理量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D9BC5F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68C9A34D">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2CED18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25</w:t>
            </w:r>
          </w:p>
        </w:tc>
        <w:tc>
          <w:tcPr>
            <w:tcW w:w="1770" w:type="dxa"/>
            <w:vMerge w:val="continue"/>
            <w:tcBorders>
              <w:top w:val="single" w:color="000000" w:sz="4" w:space="0"/>
              <w:left w:val="single" w:color="000000" w:sz="4" w:space="0"/>
              <w:bottom w:val="single" w:color="000000" w:sz="4" w:space="0"/>
              <w:right w:val="single" w:color="000000" w:sz="4" w:space="0"/>
            </w:tcBorders>
            <w:noWrap/>
            <w:vAlign w:val="center"/>
          </w:tcPr>
          <w:p w14:paraId="0D3DBA6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FBE655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清除的废物量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1676ECA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6187E73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废弃物循环利用量、危废处理处置量、固体废物处理量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6E3DE7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71F872DF">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CEAD1C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26</w:t>
            </w:r>
          </w:p>
        </w:tc>
        <w:tc>
          <w:tcPr>
            <w:tcW w:w="1770" w:type="dxa"/>
            <w:vMerge w:val="continue"/>
            <w:tcBorders>
              <w:top w:val="single" w:color="000000" w:sz="4" w:space="0"/>
              <w:left w:val="single" w:color="000000" w:sz="4" w:space="0"/>
              <w:bottom w:val="single" w:color="000000" w:sz="4" w:space="0"/>
              <w:right w:val="single" w:color="000000" w:sz="4" w:space="0"/>
            </w:tcBorders>
            <w:noWrap/>
            <w:vAlign w:val="center"/>
          </w:tcPr>
          <w:p w14:paraId="3F0FCB0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1A464E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绿色建筑认证标准</w:t>
            </w:r>
          </w:p>
        </w:tc>
        <w:tc>
          <w:tcPr>
            <w:tcW w:w="1317" w:type="dxa"/>
            <w:tcBorders>
              <w:top w:val="single" w:color="000000" w:sz="4" w:space="0"/>
              <w:left w:val="single" w:color="000000" w:sz="4" w:space="0"/>
              <w:bottom w:val="single" w:color="000000" w:sz="4" w:space="0"/>
              <w:right w:val="single" w:color="000000" w:sz="4" w:space="0"/>
            </w:tcBorders>
            <w:vAlign w:val="center"/>
          </w:tcPr>
          <w:p w14:paraId="6D8AA50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0AD43EA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绿色建筑等级、面积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0DB85A9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现有“绿色建筑等级”通常与绿色建筑标准关联，其环境效益通过“绿色建筑等级”指标表述</w:t>
            </w:r>
          </w:p>
        </w:tc>
      </w:tr>
      <w:tr w14:paraId="2C34CC1D">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116CE8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27</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7DED52F9">
            <w:pPr>
              <w:widowControl/>
              <w:spacing w:line="240" w:lineRule="atLeast"/>
              <w:jc w:val="left"/>
              <w:textAlignment w:val="center"/>
            </w:pPr>
            <w:r>
              <w:rPr>
                <w:rFonts w:hint="eastAsia" w:ascii="仿宋_GB2312" w:hAnsi="宋体" w:eastAsia="仿宋_GB2312" w:cs="仿宋_GB2312"/>
                <w:color w:val="000000"/>
                <w:kern w:val="0"/>
                <w:sz w:val="24"/>
                <w:szCs w:val="24"/>
                <w:lang w:bidi="ar"/>
              </w:rPr>
              <w:t>7.</w:t>
            </w:r>
            <w:r>
              <w:rPr>
                <w:rFonts w:ascii="仿宋_GB2312" w:hAnsi="宋体" w:eastAsia="仿宋_GB2312" w:cs="仿宋_GB2312"/>
                <w:color w:val="000000"/>
                <w:kern w:val="0"/>
                <w:sz w:val="24"/>
                <w:szCs w:val="24"/>
                <w:lang w:bidi="ar"/>
              </w:rPr>
              <w:t>生物多样性</w:t>
            </w:r>
          </w:p>
        </w:tc>
        <w:tc>
          <w:tcPr>
            <w:tcW w:w="3933" w:type="dxa"/>
            <w:tcBorders>
              <w:top w:val="single" w:color="000000" w:sz="4" w:space="0"/>
              <w:left w:val="single" w:color="000000" w:sz="4" w:space="0"/>
              <w:bottom w:val="single" w:color="000000" w:sz="4" w:space="0"/>
              <w:right w:val="single" w:color="000000" w:sz="4" w:space="0"/>
            </w:tcBorders>
            <w:vAlign w:val="center"/>
          </w:tcPr>
          <w:p w14:paraId="536732F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维护/保护/增加</w:t>
            </w:r>
            <w:r>
              <w:rPr>
                <w:rFonts w:hint="eastAsia" w:ascii="仿宋_GB2312" w:hAnsi="宋体" w:eastAsia="仿宋_GB2312" w:cs="仿宋_GB2312"/>
                <w:color w:val="000000"/>
                <w:kern w:val="0"/>
                <w:sz w:val="24"/>
                <w:szCs w:val="24"/>
                <w:lang w:bidi="ar"/>
              </w:rPr>
              <w:t>的</w:t>
            </w:r>
            <w:r>
              <w:rPr>
                <w:rFonts w:ascii="仿宋_GB2312" w:hAnsi="宋体" w:eastAsia="仿宋_GB2312" w:cs="仿宋_GB2312"/>
                <w:color w:val="000000"/>
                <w:kern w:val="0"/>
                <w:sz w:val="24"/>
                <w:szCs w:val="24"/>
                <w:lang w:bidi="ar"/>
              </w:rPr>
              <w:t>保护区面积或提升百分比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2385D6F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7BC9F7A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230BCCE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300D86FC">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4A1252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CC5968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B8E84D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项目前后每平方千米(较大的动物群)或每平方米(较小的动物群和植物群)的特定生物物种绝对数量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4416CA9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56811A7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生物物种保护量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FB55BC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6651F389">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D8710A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29</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2DE2FA29">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6B464A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项目实施前后，保护区内受保护及/或优先保护物种的绝对数目</w:t>
            </w:r>
          </w:p>
        </w:tc>
        <w:tc>
          <w:tcPr>
            <w:tcW w:w="1317" w:type="dxa"/>
            <w:tcBorders>
              <w:top w:val="single" w:color="000000" w:sz="4" w:space="0"/>
              <w:left w:val="single" w:color="000000" w:sz="4" w:space="0"/>
              <w:bottom w:val="single" w:color="000000" w:sz="4" w:space="0"/>
              <w:right w:val="single" w:color="000000" w:sz="4" w:space="0"/>
            </w:tcBorders>
            <w:vAlign w:val="center"/>
          </w:tcPr>
          <w:p w14:paraId="21487301">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16EAF6F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生物保护量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37CF761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r>
      <w:tr w14:paraId="1793FE04">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95CECA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30</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B08F64E">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5DAA9E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海岸植物生存环境的CO2、土壤养分、PM的变化比例</w:t>
            </w:r>
          </w:p>
        </w:tc>
        <w:tc>
          <w:tcPr>
            <w:tcW w:w="1317" w:type="dxa"/>
            <w:tcBorders>
              <w:top w:val="single" w:color="000000" w:sz="4" w:space="0"/>
              <w:left w:val="single" w:color="000000" w:sz="4" w:space="0"/>
              <w:bottom w:val="single" w:color="000000" w:sz="4" w:space="0"/>
              <w:right w:val="single" w:color="000000" w:sz="4" w:space="0"/>
            </w:tcBorders>
            <w:vAlign w:val="center"/>
          </w:tcPr>
          <w:p w14:paraId="0BC9CD9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2AFCC48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659CE4B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该指标测算难度高、适用范围较窄，不宜纳入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2097A09B">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3121A9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31</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8EBA778">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5728CF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工程前后入侵物种的绝对数量和(或)入侵物种占据的面积</w:t>
            </w:r>
          </w:p>
        </w:tc>
        <w:tc>
          <w:tcPr>
            <w:tcW w:w="1317" w:type="dxa"/>
            <w:tcBorders>
              <w:top w:val="single" w:color="000000" w:sz="4" w:space="0"/>
              <w:left w:val="single" w:color="000000" w:sz="4" w:space="0"/>
              <w:bottom w:val="single" w:color="000000" w:sz="4" w:space="0"/>
              <w:right w:val="single" w:color="000000" w:sz="4" w:space="0"/>
            </w:tcBorders>
            <w:vAlign w:val="center"/>
          </w:tcPr>
          <w:p w14:paraId="272679A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7F2E4060">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入侵/有害物种削减</w:t>
            </w:r>
          </w:p>
        </w:tc>
        <w:tc>
          <w:tcPr>
            <w:tcW w:w="4039" w:type="dxa"/>
            <w:tcBorders>
              <w:top w:val="single" w:color="000000" w:sz="4" w:space="0"/>
              <w:left w:val="single" w:color="000000" w:sz="4" w:space="0"/>
              <w:bottom w:val="single" w:color="000000" w:sz="4" w:space="0"/>
              <w:right w:val="single" w:color="000000" w:sz="4" w:space="0"/>
            </w:tcBorders>
            <w:vAlign w:val="center"/>
          </w:tcPr>
          <w:p w14:paraId="5401EDE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可通过入侵物种数量变化推算出入侵/有害物种削减量，其环境效益通过“入侵/有害物种削减量”指标表述</w:t>
            </w:r>
          </w:p>
        </w:tc>
      </w:tr>
      <w:tr w14:paraId="6242D732">
        <w:tblPrEx>
          <w:tblCellMar>
            <w:top w:w="0" w:type="dxa"/>
            <w:left w:w="108" w:type="dxa"/>
            <w:bottom w:w="0" w:type="dxa"/>
            <w:right w:w="108" w:type="dxa"/>
          </w:tblCellMar>
        </w:tblPrEx>
        <w:trPr>
          <w:trHeight w:val="697"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BD207A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1500B28">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6B0B5C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维护/保护/增加的自然景环境面积或百分比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6E646D3C">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720AD76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绿化面积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66D993B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4259335D">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CEE75D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CDF5079">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15B622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维护/保护/增加的城市自然环境面积或百分比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557AE62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00C22F3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绿化面积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488CAEF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0BE42658">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5EC26CF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34</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7C107CF">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AEE5F7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经认证的土地管理面积增加值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0E2604E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7F312F0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028A69F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04A72E93">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FB1016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47881CF">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2A1E06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通过项目恢复的本地物种、植物或动物的绝对数量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4B798471">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71DFC1D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生物物种保护量、生物保护量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5853FB6">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21009522">
        <w:tblPrEx>
          <w:tblCellMar>
            <w:top w:w="0" w:type="dxa"/>
            <w:left w:w="108" w:type="dxa"/>
            <w:bottom w:w="0" w:type="dxa"/>
            <w:right w:w="108" w:type="dxa"/>
          </w:tblCellMar>
        </w:tblPrEx>
        <w:trPr>
          <w:trHeight w:val="40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99B4A5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36</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4C34370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663A26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温室气体减排量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184BF6B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2DD3566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2CF880B">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668FB5D5">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A073FE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37</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649A7A89">
            <w:pPr>
              <w:pStyle w:val="2"/>
              <w:jc w:val="left"/>
            </w:pPr>
            <w:r>
              <w:rPr>
                <w:rFonts w:hint="eastAsia" w:ascii="仿宋_GB2312" w:hAnsi="宋体" w:eastAsia="仿宋_GB2312" w:cs="仿宋_GB2312"/>
                <w:color w:val="000000"/>
                <w:kern w:val="0"/>
                <w:sz w:val="24"/>
                <w:szCs w:val="24"/>
                <w:lang w:bidi="ar"/>
              </w:rPr>
              <w:t>8.</w:t>
            </w:r>
            <w:r>
              <w:rPr>
                <w:rFonts w:ascii="仿宋_GB2312" w:hAnsi="宋体" w:eastAsia="仿宋_GB2312" w:cs="仿宋_GB2312"/>
                <w:color w:val="000000"/>
                <w:kern w:val="0"/>
                <w:sz w:val="24"/>
                <w:szCs w:val="24"/>
                <w:lang w:bidi="ar"/>
              </w:rPr>
              <w:t>适应气候变化</w:t>
            </w:r>
          </w:p>
        </w:tc>
        <w:tc>
          <w:tcPr>
            <w:tcW w:w="3933" w:type="dxa"/>
            <w:tcBorders>
              <w:top w:val="single" w:color="000000" w:sz="4" w:space="0"/>
              <w:left w:val="single" w:color="000000" w:sz="4" w:space="0"/>
              <w:bottom w:val="single" w:color="000000" w:sz="4" w:space="0"/>
              <w:right w:val="single" w:color="000000" w:sz="4" w:space="0"/>
            </w:tcBorders>
            <w:vAlign w:val="center"/>
          </w:tcPr>
          <w:p w14:paraId="6EFBE14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电网弹性、能源生产、传输/分配和存储的增加值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60DB739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113EF4A2">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4AF0C0F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该指标测算难度高、适用范围较窄，不宜纳入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6FCFD3A7">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D66ED6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E96A126">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4EF7591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被野火破坏地区面积的减少值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0238B9E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4F794C6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减灾面积量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BD434C3">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42B664A2">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415DAC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39</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9F06856">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45D2089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更换紧急和计划外的铁路和停机坪长度减少值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28F4946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00641E18">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43C4CF5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w:t>
            </w:r>
          </w:p>
        </w:tc>
      </w:tr>
      <w:tr w14:paraId="6311CBDD">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41EAA9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40</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44C1868">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39153E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因风暴而失去供电能力的电线数量减少值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60B86DF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720338D5">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49D85CA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33C61C24">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DD16C0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41</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FC24946">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2B61F1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水库/水道/自然栖息地等的失水量减少量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61144B5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3BA5555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减灾量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EE3A3AA">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1E33301D">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7C7E0E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0699C6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15B740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因淹没和/或海岸侵蚀造成的土地损失面积减少值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56BD10A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1C8F439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减灾面积量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30E78F2">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3ABFBCBB">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BA41C6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768F7ED">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8445B0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额外的可用水量和/或增加的集水量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07D6842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41B47D8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节水量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2F82B8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可通过增加的可用水量/集水量推算出节水量，其环境效益通过“节水量”指标指标表述</w:t>
            </w:r>
          </w:p>
        </w:tc>
      </w:tr>
      <w:tr w14:paraId="53AC65BA">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7A997B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44</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C850995">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56AD45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湿地管理面积的增加值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2AE2682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721BA8F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557CBEFD">
            <w:pPr>
              <w:widowControl/>
              <w:spacing w:line="240" w:lineRule="atLeast"/>
              <w:jc w:val="left"/>
              <w:rPr>
                <w:rFonts w:hint="eastAsia" w:ascii="仿宋_GB2312" w:hAnsi="宋体" w:eastAsia="仿宋_GB2312" w:cs="仿宋_GB2312"/>
                <w:b/>
                <w:bCs/>
                <w:color w:val="000000"/>
                <w:sz w:val="24"/>
                <w:szCs w:val="24"/>
              </w:rPr>
            </w:pPr>
          </w:p>
        </w:tc>
      </w:tr>
      <w:tr w14:paraId="67DE8200">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63C44F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010D72C">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4C5C0F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农业土壤的养分、pH值的变化值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0938589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00E1A2A3">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77A16B2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该指标测算难度高、适用范围较窄，不宜纳入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6E46BD5D">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0633CD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46</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49FDBA96">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C608D2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使用更多抗旱作物的农业用地增加</w:t>
            </w:r>
            <w:r>
              <w:rPr>
                <w:rFonts w:hint="eastAsia" w:ascii="仿宋_GB2312" w:hAnsi="宋体" w:eastAsia="仿宋_GB2312" w:cs="仿宋_GB2312"/>
                <w:color w:val="000000"/>
                <w:kern w:val="0"/>
                <w:sz w:val="24"/>
                <w:szCs w:val="24"/>
                <w:lang w:bidi="ar"/>
              </w:rPr>
              <w:t>面积</w:t>
            </w:r>
          </w:p>
        </w:tc>
        <w:tc>
          <w:tcPr>
            <w:tcW w:w="1317" w:type="dxa"/>
            <w:tcBorders>
              <w:top w:val="single" w:color="000000" w:sz="4" w:space="0"/>
              <w:left w:val="single" w:color="000000" w:sz="4" w:space="0"/>
              <w:bottom w:val="single" w:color="000000" w:sz="4" w:space="0"/>
              <w:right w:val="single" w:color="000000" w:sz="4" w:space="0"/>
            </w:tcBorders>
            <w:vAlign w:val="center"/>
          </w:tcPr>
          <w:p w14:paraId="38AFBE2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7A57240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32F955BD">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6DCFCC82">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EF71A8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47</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83AB6D4">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F7B716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精确农业种植面积</w:t>
            </w:r>
          </w:p>
        </w:tc>
        <w:tc>
          <w:tcPr>
            <w:tcW w:w="1317" w:type="dxa"/>
            <w:tcBorders>
              <w:top w:val="single" w:color="000000" w:sz="4" w:space="0"/>
              <w:left w:val="single" w:color="000000" w:sz="4" w:space="0"/>
              <w:bottom w:val="single" w:color="000000" w:sz="4" w:space="0"/>
              <w:right w:val="single" w:color="000000" w:sz="4" w:space="0"/>
            </w:tcBorders>
            <w:vAlign w:val="center"/>
          </w:tcPr>
          <w:p w14:paraId="13B5872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7765070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4170375A">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42B35CDC">
        <w:tblPrEx>
          <w:tblCellMar>
            <w:top w:w="0" w:type="dxa"/>
            <w:left w:w="108" w:type="dxa"/>
            <w:bottom w:w="0" w:type="dxa"/>
            <w:right w:w="108" w:type="dxa"/>
          </w:tblCellMar>
        </w:tblPrEx>
        <w:trPr>
          <w:trHeight w:val="503"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5797AD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48</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167BF563">
            <w:pPr>
              <w:pStyle w:val="2"/>
            </w:pPr>
            <w:r>
              <w:rPr>
                <w:rFonts w:hint="eastAsia" w:ascii="仿宋_GB2312" w:hAnsi="宋体" w:eastAsia="仿宋_GB2312" w:cs="仿宋_GB2312"/>
                <w:color w:val="000000"/>
                <w:kern w:val="0"/>
                <w:sz w:val="24"/>
                <w:szCs w:val="24"/>
                <w:lang w:bidi="ar"/>
              </w:rPr>
              <w:t>9.</w:t>
            </w:r>
            <w:r>
              <w:rPr>
                <w:rFonts w:ascii="仿宋_GB2312" w:hAnsi="宋体" w:eastAsia="仿宋_GB2312" w:cs="仿宋_GB2312"/>
                <w:color w:val="000000"/>
                <w:kern w:val="0"/>
                <w:sz w:val="24"/>
                <w:szCs w:val="24"/>
                <w:lang w:bidi="ar"/>
              </w:rPr>
              <w:t>循环经济和/或生态效益项目</w:t>
            </w:r>
          </w:p>
        </w:tc>
        <w:tc>
          <w:tcPr>
            <w:tcW w:w="3933" w:type="dxa"/>
            <w:tcBorders>
              <w:top w:val="single" w:color="000000" w:sz="4" w:space="0"/>
              <w:left w:val="single" w:color="000000" w:sz="4" w:space="0"/>
              <w:bottom w:val="single" w:color="000000" w:sz="4" w:space="0"/>
              <w:right w:val="single" w:color="000000" w:sz="4" w:space="0"/>
            </w:tcBorders>
            <w:vAlign w:val="center"/>
          </w:tcPr>
          <w:p w14:paraId="7C42008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可回收利用物料、组件及产品的占比增加值</w:t>
            </w:r>
            <w:r>
              <w:rPr>
                <w:rFonts w:hint="eastAsia" w:ascii="仿宋_GB2312" w:hAnsi="宋体" w:eastAsia="仿宋_GB2312" w:cs="仿宋_GB2312"/>
                <w:color w:val="000000"/>
                <w:kern w:val="0"/>
                <w:sz w:val="24"/>
                <w:szCs w:val="24"/>
                <w:lang w:bidi="ar"/>
              </w:rPr>
              <w:t>或绝对量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0241490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42084B1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640688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7B1712E4">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438C07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49</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0F78F1F">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6DE515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工程实施前后避免产生或可回收利用的废物占比</w:t>
            </w:r>
            <w:r>
              <w:rPr>
                <w:rFonts w:hint="eastAsia" w:ascii="仿宋_GB2312" w:hAnsi="宋体" w:eastAsia="仿宋_GB2312" w:cs="仿宋_GB2312"/>
                <w:color w:val="000000"/>
                <w:kern w:val="0"/>
                <w:sz w:val="24"/>
                <w:szCs w:val="24"/>
                <w:lang w:bidi="ar"/>
              </w:rPr>
              <w:t>值</w:t>
            </w:r>
            <w:r>
              <w:rPr>
                <w:rFonts w:ascii="仿宋_GB2312" w:hAnsi="宋体" w:eastAsia="仿宋_GB2312" w:cs="仿宋_GB2312"/>
                <w:color w:val="000000"/>
                <w:kern w:val="0"/>
                <w:sz w:val="24"/>
                <w:szCs w:val="24"/>
                <w:lang w:bidi="ar"/>
              </w:rPr>
              <w:t>或绝对量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2724BA8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01178CE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4402CC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3CD890CC">
        <w:tblPrEx>
          <w:tblCellMar>
            <w:top w:w="0" w:type="dxa"/>
            <w:left w:w="108" w:type="dxa"/>
            <w:bottom w:w="0" w:type="dxa"/>
            <w:right w:w="108" w:type="dxa"/>
          </w:tblCellMar>
        </w:tblPrEx>
        <w:trPr>
          <w:trHeight w:val="2040"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B3470B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50</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A39EE01">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CC8F5E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与原设计相比，新设计的有害物质占比减少</w:t>
            </w:r>
            <w:r>
              <w:rPr>
                <w:rFonts w:hint="eastAsia" w:ascii="仿宋_GB2312" w:hAnsi="宋体" w:eastAsia="仿宋_GB2312" w:cs="仿宋_GB2312"/>
                <w:color w:val="000000"/>
                <w:kern w:val="0"/>
                <w:sz w:val="24"/>
                <w:szCs w:val="24"/>
                <w:lang w:bidi="ar"/>
              </w:rPr>
              <w:t>值</w:t>
            </w:r>
            <w:r>
              <w:rPr>
                <w:rFonts w:ascii="仿宋_GB2312" w:hAnsi="宋体" w:eastAsia="仿宋_GB2312" w:cs="仿宋_GB2312"/>
                <w:color w:val="000000"/>
                <w:kern w:val="0"/>
                <w:sz w:val="24"/>
                <w:szCs w:val="24"/>
                <w:lang w:bidi="ar"/>
              </w:rPr>
              <w:t>或绝对量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23E837E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3484120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无毒无害原料生产与替代使用量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5BE85A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可通过有害物质减少量绝对值推算出无毒无害原料生产与替代使用量，其环境效益可通过“无毒无害原料生产与替代使用量”指标表述</w:t>
            </w:r>
          </w:p>
        </w:tc>
      </w:tr>
      <w:tr w14:paraId="21932C88">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50163FC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51</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2CEB79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7B7786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已翻新或重新利用的设计寿命终止或多余的不动产面积增加值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247528A4">
            <w:pPr>
              <w:widowControl/>
              <w:spacing w:line="240" w:lineRule="atLeast"/>
              <w:jc w:val="center"/>
              <w:textAlignment w:val="center"/>
              <w:rPr>
                <w:rFonts w:hint="eastAsia" w:ascii="仿宋_GB2312" w:hAnsi="宋体" w:eastAsia="仿宋_GB2312" w:cs="仿宋_GB2312"/>
                <w:color w:val="000000"/>
                <w:sz w:val="24"/>
                <w:szCs w:val="24"/>
              </w:rPr>
            </w:pPr>
            <w:r>
              <w:rPr>
                <w:rFonts w:hint="eastAsia" w:ascii="仿宋_GB2312" w:hAnsi="宋体" w:eastAsia="仿宋_GB2312" w:cs="仿宋_GB2312"/>
                <w:color w:val="000000"/>
                <w:sz w:val="24"/>
                <w:szCs w:val="24"/>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68C99D9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5B0C926C">
            <w:pPr>
              <w:widowControl/>
              <w:spacing w:line="240" w:lineRule="atLeast"/>
              <w:jc w:val="left"/>
              <w:rPr>
                <w:rFonts w:hint="eastAsia" w:ascii="仿宋_GB2312" w:hAnsi="宋体" w:eastAsia="仿宋_GB2312" w:cs="仿宋_GB2312"/>
                <w:b/>
                <w:bCs/>
                <w:color w:val="000000"/>
                <w:sz w:val="24"/>
                <w:szCs w:val="24"/>
              </w:rPr>
            </w:pPr>
            <w:r>
              <w:rPr>
                <w:rFonts w:hint="eastAsia" w:ascii="仿宋_GB2312" w:hAnsi="宋体" w:eastAsia="仿宋_GB2312" w:cs="仿宋_GB2312"/>
                <w:color w:val="000000"/>
                <w:sz w:val="24"/>
                <w:szCs w:val="24"/>
              </w:rPr>
              <w:t>可通过重新利用的不动产面积增加值推算出废弃物重新利用量，其环境效益可通过“</w:t>
            </w:r>
            <w:r>
              <w:rPr>
                <w:rFonts w:ascii="仿宋_GB2312" w:hAnsi="宋体" w:eastAsia="仿宋_GB2312" w:cs="仿宋_GB2312"/>
                <w:color w:val="000000"/>
                <w:sz w:val="24"/>
                <w:szCs w:val="24"/>
              </w:rPr>
              <w:t>废弃物循环利用量</w:t>
            </w:r>
            <w:r>
              <w:rPr>
                <w:rFonts w:hint="eastAsia" w:ascii="仿宋_GB2312" w:hAnsi="宋体" w:eastAsia="仿宋_GB2312" w:cs="仿宋_GB2312"/>
                <w:color w:val="000000"/>
                <w:sz w:val="24"/>
                <w:szCs w:val="24"/>
              </w:rPr>
              <w:t>”指标表述</w:t>
            </w:r>
          </w:p>
        </w:tc>
      </w:tr>
      <w:tr w14:paraId="665000FE">
        <w:tblPrEx>
          <w:tblCellMar>
            <w:top w:w="0" w:type="dxa"/>
            <w:left w:w="108" w:type="dxa"/>
            <w:bottom w:w="0" w:type="dxa"/>
            <w:right w:w="108" w:type="dxa"/>
          </w:tblCellMar>
        </w:tblPrEx>
        <w:trPr>
          <w:trHeight w:val="365"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1BF5F3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BF4B9C4">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7EED49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已被重新利用、翻新或再制造的冗余产品在被弃置的产品中的占比</w:t>
            </w:r>
            <w:r>
              <w:rPr>
                <w:rFonts w:hint="eastAsia" w:ascii="仿宋_GB2312" w:hAnsi="宋体" w:eastAsia="仿宋_GB2312" w:cs="仿宋_GB2312"/>
                <w:color w:val="000000"/>
                <w:kern w:val="0"/>
                <w:sz w:val="24"/>
                <w:szCs w:val="24"/>
                <w:lang w:bidi="ar"/>
              </w:rPr>
              <w:t>值</w:t>
            </w:r>
            <w:r>
              <w:rPr>
                <w:rFonts w:ascii="仿宋_GB2312" w:hAnsi="宋体" w:eastAsia="仿宋_GB2312" w:cs="仿宋_GB2312"/>
                <w:color w:val="000000"/>
                <w:kern w:val="0"/>
                <w:sz w:val="24"/>
                <w:szCs w:val="24"/>
                <w:lang w:bidi="ar"/>
              </w:rPr>
              <w:t>，或绝对量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50F0C0F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378B587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FCA0AD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49F6F414">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B661B1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2FBED1A8">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4605F94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从二次原料、副产品和/或废物中产生的新材料与总生产能力的比值，或其绝对值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5F951AD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530F844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49048BF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21D7BAB3">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5EE956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54</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B90EF9A">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5BF4D2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回收用以制作新材料的二次原料、副产品和/或废物的绝对量，或在总回收物中的占比</w:t>
            </w:r>
            <w:r>
              <w:rPr>
                <w:rFonts w:hint="eastAsia" w:ascii="仿宋_GB2312" w:hAnsi="宋体" w:eastAsia="仿宋_GB2312" w:cs="仿宋_GB2312"/>
                <w:color w:val="000000"/>
                <w:kern w:val="0"/>
                <w:sz w:val="24"/>
                <w:szCs w:val="24"/>
                <w:lang w:bidi="ar"/>
              </w:rPr>
              <w:t>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1DAB495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742F035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214A968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65F779F1">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062E97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8BD1769">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8E0B2C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每年回收的可生物降解废物、消化物及堆肥的绝对量或占比</w:t>
            </w:r>
            <w:r>
              <w:rPr>
                <w:rFonts w:hint="eastAsia" w:ascii="仿宋_GB2312" w:hAnsi="宋体" w:eastAsia="仿宋_GB2312" w:cs="仿宋_GB2312"/>
                <w:color w:val="000000"/>
                <w:kern w:val="0"/>
                <w:sz w:val="24"/>
                <w:szCs w:val="24"/>
                <w:lang w:bidi="ar"/>
              </w:rPr>
              <w:t>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2A2AC2E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34BAB91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50AFA48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22B21EBF">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07049A6">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56</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3FF8473">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B949A7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由可生物降解废物及/或副产品生产的食物、饲料、营养品、纤维或肥料的</w:t>
            </w:r>
            <w:r>
              <w:rPr>
                <w:rFonts w:hint="eastAsia" w:ascii="仿宋_GB2312" w:hAnsi="宋体" w:eastAsia="仿宋_GB2312" w:cs="仿宋_GB2312"/>
                <w:color w:val="000000"/>
                <w:kern w:val="0"/>
                <w:sz w:val="24"/>
                <w:szCs w:val="24"/>
                <w:lang w:bidi="ar"/>
              </w:rPr>
              <w:t>绝对</w:t>
            </w:r>
            <w:r>
              <w:rPr>
                <w:rFonts w:ascii="仿宋_GB2312" w:hAnsi="宋体" w:eastAsia="仿宋_GB2312" w:cs="仿宋_GB2312"/>
                <w:color w:val="000000"/>
                <w:kern w:val="0"/>
                <w:sz w:val="24"/>
                <w:szCs w:val="24"/>
                <w:lang w:bidi="ar"/>
              </w:rPr>
              <w:t>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1802DE4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5893C62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废弃物循环利用量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30BD784">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214CBB61">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76BF89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57</w:t>
            </w:r>
          </w:p>
        </w:tc>
        <w:tc>
          <w:tcPr>
            <w:tcW w:w="1770" w:type="dxa"/>
            <w:vMerge w:val="restart"/>
            <w:tcBorders>
              <w:top w:val="single" w:color="000000" w:sz="4" w:space="0"/>
              <w:left w:val="single" w:color="000000" w:sz="4" w:space="0"/>
              <w:bottom w:val="single" w:color="000000" w:sz="4" w:space="0"/>
              <w:right w:val="single" w:color="000000" w:sz="4" w:space="0"/>
            </w:tcBorders>
            <w:vAlign w:val="center"/>
          </w:tcPr>
          <w:p w14:paraId="22B0E838">
            <w:r>
              <w:rPr>
                <w:rFonts w:hint="eastAsia" w:ascii="仿宋_GB2312" w:hAnsi="宋体" w:eastAsia="仿宋_GB2312" w:cs="仿宋_GB2312"/>
                <w:color w:val="000000"/>
                <w:kern w:val="0"/>
                <w:sz w:val="24"/>
                <w:szCs w:val="24"/>
                <w:lang w:bidi="ar"/>
              </w:rPr>
              <w:t>10.</w:t>
            </w:r>
            <w:r>
              <w:rPr>
                <w:rFonts w:ascii="仿宋_GB2312" w:hAnsi="宋体" w:eastAsia="仿宋_GB2312" w:cs="仿宋_GB2312"/>
                <w:color w:val="000000"/>
                <w:kern w:val="0"/>
                <w:sz w:val="24"/>
                <w:szCs w:val="24"/>
                <w:lang w:bidi="ar"/>
              </w:rPr>
              <w:t>生物资源和土地利用项目</w:t>
            </w:r>
          </w:p>
        </w:tc>
        <w:tc>
          <w:tcPr>
            <w:tcW w:w="3933" w:type="dxa"/>
            <w:tcBorders>
              <w:top w:val="single" w:color="000000" w:sz="4" w:space="0"/>
              <w:left w:val="single" w:color="000000" w:sz="4" w:space="0"/>
              <w:bottom w:val="single" w:color="000000" w:sz="4" w:space="0"/>
              <w:right w:val="single" w:color="000000" w:sz="4" w:space="0"/>
            </w:tcBorders>
            <w:vAlign w:val="center"/>
          </w:tcPr>
          <w:p w14:paraId="6743571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温室气体净减排量，温室气体减排密度或耗能减少密度</w:t>
            </w:r>
          </w:p>
        </w:tc>
        <w:tc>
          <w:tcPr>
            <w:tcW w:w="1317" w:type="dxa"/>
            <w:tcBorders>
              <w:top w:val="single" w:color="000000" w:sz="4" w:space="0"/>
              <w:left w:val="single" w:color="000000" w:sz="4" w:space="0"/>
              <w:bottom w:val="single" w:color="000000" w:sz="4" w:space="0"/>
              <w:right w:val="single" w:color="000000" w:sz="4" w:space="0"/>
            </w:tcBorders>
            <w:vAlign w:val="center"/>
          </w:tcPr>
          <w:p w14:paraId="3772D8F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39DF995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462033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54A5B8D4">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E8B2A2C">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156A8BE">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14CE72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通过改善灌溉、雨水和雨水收集、地下水补给和/或高度处理的废水再利用等方式的节水量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4CE692A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6142A76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节水量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47E46F4">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095D79B2">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52D7B53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59</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93800B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DEB743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高效灌溉、节水作物和/或资源节约作物轮作覆盖的农田面积</w:t>
            </w:r>
          </w:p>
        </w:tc>
        <w:tc>
          <w:tcPr>
            <w:tcW w:w="1317" w:type="dxa"/>
            <w:tcBorders>
              <w:top w:val="single" w:color="000000" w:sz="4" w:space="0"/>
              <w:left w:val="single" w:color="000000" w:sz="4" w:space="0"/>
              <w:bottom w:val="single" w:color="000000" w:sz="4" w:space="0"/>
              <w:right w:val="single" w:color="000000" w:sz="4" w:space="0"/>
            </w:tcBorders>
            <w:vAlign w:val="center"/>
          </w:tcPr>
          <w:p w14:paraId="7B4A674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0297B07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416C309D">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057F30AD">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8F075A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60</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D7BB42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1FE7D8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采用土壤保护/再生农业做法的农田面积</w:t>
            </w:r>
          </w:p>
        </w:tc>
        <w:tc>
          <w:tcPr>
            <w:tcW w:w="1317" w:type="dxa"/>
            <w:tcBorders>
              <w:top w:val="single" w:color="000000" w:sz="4" w:space="0"/>
              <w:left w:val="single" w:color="000000" w:sz="4" w:space="0"/>
              <w:bottom w:val="single" w:color="000000" w:sz="4" w:space="0"/>
              <w:right w:val="single" w:color="000000" w:sz="4" w:space="0"/>
            </w:tcBorders>
            <w:vAlign w:val="center"/>
          </w:tcPr>
          <w:p w14:paraId="04FC523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1A1B12D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39DE081A">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4F760971">
        <w:tblPrEx>
          <w:tblCellMar>
            <w:top w:w="0" w:type="dxa"/>
            <w:left w:w="108" w:type="dxa"/>
            <w:bottom w:w="0" w:type="dxa"/>
            <w:right w:w="108" w:type="dxa"/>
          </w:tblCellMar>
        </w:tblPrEx>
        <w:trPr>
          <w:trHeight w:val="769"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0F7E88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61</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4E68160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90A8F4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地上和地下碳储量增加值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030FDEC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3B99A1E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固碳量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5243FC8">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3BAFEFBE">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F8AA78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CBBA2C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C9CCC7A">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土壤保护措施和土地使用变化导致的温室气体减排量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3B9A48C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47996C1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碳减排量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7D66167E">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285C5FA7">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99D0F1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EF53AAC">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A80F49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获有机或可持续农业认证的土地面积增加值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1637D21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6FF7D70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171A6E3B">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09F4B7EA">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E526EF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64</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753916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8ADB77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将农业用地转变为更多样化种植体系的面积</w:t>
            </w:r>
          </w:p>
        </w:tc>
        <w:tc>
          <w:tcPr>
            <w:tcW w:w="1317" w:type="dxa"/>
            <w:tcBorders>
              <w:top w:val="single" w:color="000000" w:sz="4" w:space="0"/>
              <w:left w:val="single" w:color="000000" w:sz="4" w:space="0"/>
              <w:bottom w:val="single" w:color="000000" w:sz="4" w:space="0"/>
              <w:right w:val="single" w:color="000000" w:sz="4" w:space="0"/>
            </w:tcBorders>
            <w:vAlign w:val="center"/>
          </w:tcPr>
          <w:p w14:paraId="3F30ECA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07E8055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12C6DD66">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3EAD9058">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643221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16E22F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111AE2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病虫害综合治理的增加面积</w:t>
            </w:r>
            <w:r>
              <w:rPr>
                <w:rFonts w:hint="eastAsia" w:ascii="仿宋_GB2312" w:hAnsi="宋体" w:eastAsia="仿宋_GB2312" w:cs="仿宋_GB2312"/>
                <w:color w:val="000000"/>
                <w:kern w:val="0"/>
                <w:sz w:val="24"/>
                <w:szCs w:val="24"/>
                <w:lang w:bidi="ar"/>
              </w:rPr>
              <w:t>或占比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501591B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27AE30B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4A9FC87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6E1B397D">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79100C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66</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FD7D53E">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E14E32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生物多样性保护用地的增加面积</w:t>
            </w:r>
            <w:r>
              <w:rPr>
                <w:rFonts w:hint="eastAsia" w:ascii="仿宋_GB2312" w:hAnsi="宋体" w:eastAsia="仿宋_GB2312" w:cs="仿宋_GB2312"/>
                <w:color w:val="000000"/>
                <w:kern w:val="0"/>
                <w:sz w:val="24"/>
                <w:szCs w:val="24"/>
                <w:lang w:bidi="ar"/>
              </w:rPr>
              <w:t>或占比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646273E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7BD5164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7F7C1BC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2D7906A9">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11730E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67</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2BC087C0">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B55299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提供改善生态系统服务的增加面积</w:t>
            </w:r>
            <w:r>
              <w:rPr>
                <w:rFonts w:hint="eastAsia" w:ascii="仿宋_GB2312" w:hAnsi="宋体" w:eastAsia="仿宋_GB2312" w:cs="仿宋_GB2312"/>
                <w:color w:val="000000"/>
                <w:kern w:val="0"/>
                <w:sz w:val="24"/>
                <w:szCs w:val="24"/>
                <w:lang w:bidi="ar"/>
              </w:rPr>
              <w:t>或占比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5AC5078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28BD1A8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440F6AD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59CEC626">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71C03F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C1B395C">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5560A7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改善管理实践下的牧地面积</w:t>
            </w:r>
            <w:r>
              <w:rPr>
                <w:rFonts w:hint="eastAsia" w:ascii="仿宋_GB2312" w:hAnsi="宋体" w:eastAsia="仿宋_GB2312" w:cs="仿宋_GB2312"/>
                <w:color w:val="000000"/>
                <w:kern w:val="0"/>
                <w:sz w:val="24"/>
                <w:szCs w:val="24"/>
                <w:lang w:bidi="ar"/>
              </w:rPr>
              <w:t>或占比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0404368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449F8CC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治理/保护面积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5F7F26A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415679E4">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73BD74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69</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EC55DB8">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B15DF6D">
            <w:pPr>
              <w:pStyle w:val="2"/>
              <w:jc w:val="left"/>
            </w:pPr>
            <w:r>
              <w:rPr>
                <w:rFonts w:hint="eastAsia" w:ascii="仿宋_GB2312" w:hAnsi="宋体" w:eastAsia="仿宋_GB2312" w:cs="仿宋_GB2312"/>
                <w:b w:val="0"/>
                <w:bCs w:val="0"/>
                <w:color w:val="000000"/>
                <w:kern w:val="0"/>
                <w:sz w:val="24"/>
                <w:szCs w:val="24"/>
                <w:lang w:bidi="ar"/>
              </w:rPr>
              <w:t>采用减少甲烷排放的饲养方式覆盖的</w:t>
            </w:r>
            <w:r>
              <w:rPr>
                <w:rFonts w:ascii="仿宋_GB2312" w:hAnsi="宋体" w:eastAsia="仿宋_GB2312" w:cs="仿宋_GB2312"/>
                <w:b w:val="0"/>
                <w:bCs w:val="0"/>
                <w:color w:val="000000"/>
                <w:kern w:val="0"/>
                <w:sz w:val="24"/>
                <w:szCs w:val="24"/>
                <w:lang w:bidi="ar"/>
              </w:rPr>
              <w:t>牧群</w:t>
            </w:r>
            <w:r>
              <w:rPr>
                <w:rFonts w:hint="eastAsia" w:ascii="仿宋_GB2312" w:hAnsi="宋体" w:eastAsia="仿宋_GB2312" w:cs="仿宋_GB2312"/>
                <w:b w:val="0"/>
                <w:bCs w:val="0"/>
                <w:color w:val="000000"/>
                <w:kern w:val="0"/>
                <w:sz w:val="24"/>
                <w:szCs w:val="24"/>
                <w:lang w:bidi="ar"/>
              </w:rPr>
              <w:t>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104025F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3440F899">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127B02B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属于占比类相对指标</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3AB301CB">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FE099EB">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70</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D4E50F8">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40E2E9C">
            <w:pPr>
              <w:widowControl/>
              <w:spacing w:line="240" w:lineRule="atLeast"/>
              <w:jc w:val="left"/>
              <w:textAlignment w:val="center"/>
              <w:rPr>
                <w:rFonts w:hint="eastAsia"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采用</w:t>
            </w:r>
            <w:r>
              <w:rPr>
                <w:rFonts w:ascii="仿宋_GB2312" w:hAnsi="宋体" w:eastAsia="仿宋_GB2312" w:cs="仿宋_GB2312"/>
                <w:color w:val="000000"/>
                <w:kern w:val="0"/>
                <w:sz w:val="24"/>
                <w:szCs w:val="24"/>
                <w:lang w:bidi="ar"/>
              </w:rPr>
              <w:t>改良粪肥处理方式</w:t>
            </w:r>
            <w:r>
              <w:rPr>
                <w:rFonts w:hint="eastAsia" w:ascii="仿宋_GB2312" w:hAnsi="宋体" w:eastAsia="仿宋_GB2312" w:cs="仿宋_GB2312"/>
                <w:color w:val="000000"/>
                <w:kern w:val="0"/>
                <w:sz w:val="24"/>
                <w:szCs w:val="24"/>
                <w:lang w:bidi="ar"/>
              </w:rPr>
              <w:t>的占比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32ED7E8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38DFF30D">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47B4A46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属于占比类相对指标</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0D0FD6ED">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8A9D24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71</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E378DCF">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36FFC7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持续改善生产力（每单位产出的</w:t>
            </w:r>
            <w:r>
              <w:rPr>
                <w:rFonts w:hint="eastAsia" w:ascii="仿宋_GB2312" w:hAnsi="宋体" w:eastAsia="仿宋_GB2312" w:cs="仿宋_GB2312"/>
                <w:color w:val="000000"/>
                <w:kern w:val="0"/>
                <w:sz w:val="24"/>
                <w:szCs w:val="24"/>
                <w:lang w:bidi="ar"/>
              </w:rPr>
              <w:t>二氧化碳</w:t>
            </w:r>
            <w:r>
              <w:rPr>
                <w:rFonts w:ascii="仿宋_GB2312" w:hAnsi="宋体" w:eastAsia="仿宋_GB2312" w:cs="仿宋_GB2312"/>
                <w:color w:val="000000"/>
                <w:kern w:val="0"/>
                <w:sz w:val="24"/>
                <w:szCs w:val="24"/>
                <w:lang w:bidi="ar"/>
              </w:rPr>
              <w:t>减排量占比）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341CD28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2FFB13A0">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7B518716">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属于占比类相对指标</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238C7AFB">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205EF14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43F6508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823573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原料供应链认证覆盖率的增加</w:t>
            </w:r>
            <w:r>
              <w:rPr>
                <w:rFonts w:hint="eastAsia" w:ascii="仿宋_GB2312" w:hAnsi="宋体" w:eastAsia="仿宋_GB2312" w:cs="仿宋_GB2312"/>
                <w:color w:val="000000"/>
                <w:kern w:val="0"/>
                <w:sz w:val="24"/>
                <w:szCs w:val="24"/>
                <w:lang w:bidi="ar"/>
              </w:rPr>
              <w:t>比例</w:t>
            </w:r>
          </w:p>
        </w:tc>
        <w:tc>
          <w:tcPr>
            <w:tcW w:w="1317" w:type="dxa"/>
            <w:tcBorders>
              <w:top w:val="single" w:color="000000" w:sz="4" w:space="0"/>
              <w:left w:val="single" w:color="000000" w:sz="4" w:space="0"/>
              <w:bottom w:val="single" w:color="000000" w:sz="4" w:space="0"/>
              <w:right w:val="single" w:color="000000" w:sz="4" w:space="0"/>
            </w:tcBorders>
            <w:vAlign w:val="center"/>
          </w:tcPr>
          <w:p w14:paraId="581B4DC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7947BA1F">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04680E1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于占比类相对指标，</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7FBFF29E">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6A1323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B46A0C1">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215A81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农业投入中不砍伐森林部分的份额增加</w:t>
            </w:r>
            <w:r>
              <w:rPr>
                <w:rFonts w:hint="eastAsia" w:ascii="仿宋_GB2312" w:hAnsi="宋体" w:eastAsia="仿宋_GB2312" w:cs="仿宋_GB2312"/>
                <w:color w:val="000000"/>
                <w:kern w:val="0"/>
                <w:sz w:val="24"/>
                <w:szCs w:val="24"/>
                <w:lang w:bidi="ar"/>
              </w:rPr>
              <w:t>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4C9AD70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58A67E38">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7FFFF5F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属于占比类相对指标，</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3DAA6484">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C4ACEB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74</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D695F81">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FAF22D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用可持续的农场或本地饲料取代长途运输饲料的占比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22849E7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5DFDDC0B">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69C7CCA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属于占比类相对指标，</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285D46E9">
        <w:tblPrEx>
          <w:tblCellMar>
            <w:top w:w="0" w:type="dxa"/>
            <w:left w:w="108" w:type="dxa"/>
            <w:bottom w:w="0" w:type="dxa"/>
            <w:right w:w="108" w:type="dxa"/>
          </w:tblCellMar>
        </w:tblPrEx>
        <w:trPr>
          <w:trHeight w:val="816"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34A70EB0">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96EC7C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17303734">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避免或封存的温室气体排放</w:t>
            </w:r>
          </w:p>
        </w:tc>
        <w:tc>
          <w:tcPr>
            <w:tcW w:w="1317" w:type="dxa"/>
            <w:tcBorders>
              <w:top w:val="single" w:color="000000" w:sz="4" w:space="0"/>
              <w:left w:val="single" w:color="000000" w:sz="4" w:space="0"/>
              <w:bottom w:val="single" w:color="000000" w:sz="4" w:space="0"/>
              <w:right w:val="single" w:color="000000" w:sz="4" w:space="0"/>
            </w:tcBorders>
            <w:vAlign w:val="center"/>
          </w:tcPr>
          <w:p w14:paraId="60C0090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5A2D288C">
            <w:pPr>
              <w:widowControl/>
              <w:spacing w:line="240" w:lineRule="atLeast"/>
              <w:jc w:val="left"/>
              <w:textAlignment w:val="center"/>
              <w:rPr>
                <w:rFonts w:hint="eastAsia" w:ascii="仿宋_GB2312" w:hAnsi="宋体" w:eastAsia="仿宋_GB2312" w:cs="仿宋_GB2312"/>
                <w:color w:val="000000"/>
                <w:sz w:val="24"/>
                <w:szCs w:val="24"/>
              </w:rPr>
            </w:pPr>
            <w:r>
              <w:rPr>
                <w:rFonts w:hint="eastAsia" w:ascii="仿宋_GB2312" w:hAnsi="宋体" w:eastAsia="仿宋_GB2312" w:cs="仿宋_GB2312"/>
                <w:color w:val="000000"/>
                <w:sz w:val="24"/>
                <w:szCs w:val="24"/>
              </w:rPr>
              <w:t>固碳量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065D3876">
            <w:pPr>
              <w:widowControl/>
              <w:spacing w:line="240" w:lineRule="atLeast"/>
              <w:jc w:val="left"/>
              <w:rPr>
                <w:rFonts w:hint="eastAsia" w:ascii="仿宋_GB2312" w:hAnsi="宋体" w:eastAsia="仿宋_GB2312" w:cs="仿宋_GB2312"/>
                <w:b/>
                <w:bCs/>
                <w:color w:val="000000"/>
                <w:sz w:val="24"/>
                <w:szCs w:val="24"/>
              </w:rPr>
            </w:pPr>
          </w:p>
        </w:tc>
      </w:tr>
      <w:tr w14:paraId="0D41DAAE">
        <w:tblPrEx>
          <w:tblCellMar>
            <w:top w:w="0" w:type="dxa"/>
            <w:left w:w="108" w:type="dxa"/>
            <w:bottom w:w="0" w:type="dxa"/>
            <w:right w:w="108" w:type="dxa"/>
          </w:tblCellMar>
        </w:tblPrEx>
        <w:trPr>
          <w:trHeight w:val="244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1B5FE1C6">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76</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225B5C1">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3C9663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森林可持续管理面积的增加</w:t>
            </w:r>
            <w:r>
              <w:rPr>
                <w:rFonts w:hint="eastAsia" w:ascii="仿宋_GB2312" w:hAnsi="宋体" w:eastAsia="仿宋_GB2312" w:cs="仿宋_GB2312"/>
                <w:color w:val="000000"/>
                <w:kern w:val="0"/>
                <w:sz w:val="24"/>
                <w:szCs w:val="24"/>
                <w:lang w:bidi="ar"/>
              </w:rPr>
              <w:t>占比</w:t>
            </w:r>
            <w:r>
              <w:rPr>
                <w:rFonts w:ascii="仿宋_GB2312" w:hAnsi="宋体" w:eastAsia="仿宋_GB2312" w:cs="仿宋_GB2312"/>
                <w:color w:val="000000"/>
                <w:kern w:val="0"/>
                <w:sz w:val="24"/>
                <w:szCs w:val="24"/>
                <w:lang w:bidi="ar"/>
              </w:rPr>
              <w:t>，从传统伐木转为影响较小的伐木方式的面积占比，或采取对土壤影响最小的种植方式的林地管理面积占比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4F9A4B4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4716850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林地/草地面积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58647E5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4893FC82">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50AFE7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77</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073C0E1">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01E200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提供生态系统服务（控制侵蚀和改善土壤健康、水量和水质）的林地面积或占比</w:t>
            </w:r>
            <w:r>
              <w:rPr>
                <w:rFonts w:hint="eastAsia" w:ascii="仿宋_GB2312" w:hAnsi="宋体" w:eastAsia="仿宋_GB2312" w:cs="仿宋_GB2312"/>
                <w:color w:val="000000"/>
                <w:kern w:val="0"/>
                <w:sz w:val="24"/>
                <w:szCs w:val="24"/>
                <w:lang w:bidi="ar"/>
              </w:rPr>
              <w:t>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269F1AF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相同但不含相对指标</w:t>
            </w:r>
          </w:p>
        </w:tc>
        <w:tc>
          <w:tcPr>
            <w:tcW w:w="2261" w:type="dxa"/>
            <w:tcBorders>
              <w:top w:val="single" w:color="000000" w:sz="4" w:space="0"/>
              <w:left w:val="single" w:color="000000" w:sz="4" w:space="0"/>
              <w:bottom w:val="single" w:color="000000" w:sz="4" w:space="0"/>
              <w:right w:val="single" w:color="000000" w:sz="4" w:space="0"/>
            </w:tcBorders>
            <w:vAlign w:val="center"/>
          </w:tcPr>
          <w:p w14:paraId="0928A07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林地/草地面积</w:t>
            </w:r>
          </w:p>
        </w:tc>
        <w:tc>
          <w:tcPr>
            <w:tcW w:w="4039" w:type="dxa"/>
            <w:tcBorders>
              <w:top w:val="single" w:color="000000" w:sz="4" w:space="0"/>
              <w:left w:val="single" w:color="000000" w:sz="4" w:space="0"/>
              <w:bottom w:val="single" w:color="000000" w:sz="4" w:space="0"/>
              <w:right w:val="single" w:color="000000" w:sz="4" w:space="0"/>
            </w:tcBorders>
            <w:vAlign w:val="center"/>
          </w:tcPr>
          <w:p w14:paraId="573B87B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占比类相对指标不可加总，且并不是越高产生的环境效益就越高，不宜纳入</w:t>
            </w:r>
            <w:r>
              <w:rPr>
                <w:rFonts w:hint="eastAsia" w:ascii="仿宋_GB2312" w:hAnsi="宋体" w:eastAsia="仿宋_GB2312" w:cs="仿宋_GB2312"/>
                <w:color w:val="000000"/>
                <w:kern w:val="0"/>
                <w:sz w:val="24"/>
                <w:szCs w:val="24"/>
                <w:lang w:bidi="ar"/>
              </w:rPr>
              <w:t>本标准</w:t>
            </w:r>
          </w:p>
        </w:tc>
      </w:tr>
      <w:tr w14:paraId="60408DF0">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47594E2">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249087A0">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F599BF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认证的可持续渔业占比增加值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54DAFD6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59637615">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1162B29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为</w:t>
            </w:r>
            <w:r>
              <w:rPr>
                <w:rFonts w:ascii="仿宋_GB2312" w:hAnsi="宋体" w:eastAsia="仿宋_GB2312" w:cs="仿宋_GB2312"/>
                <w:color w:val="000000"/>
                <w:kern w:val="0"/>
                <w:sz w:val="24"/>
                <w:szCs w:val="24"/>
                <w:lang w:bidi="ar"/>
              </w:rPr>
              <w:t>占比类相对指标</w:t>
            </w:r>
            <w:r>
              <w:rPr>
                <w:rFonts w:hint="eastAsia" w:ascii="仿宋_GB2312" w:hAnsi="宋体" w:eastAsia="仿宋_GB2312" w:cs="仿宋_GB2312"/>
                <w:color w:val="000000"/>
                <w:kern w:val="0"/>
                <w:sz w:val="24"/>
                <w:szCs w:val="24"/>
                <w:lang w:bidi="ar"/>
              </w:rPr>
              <w:t>，</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50EC576C">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A16A3E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79</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EC8D122">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50F6202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可持续海产品产量的增加</w:t>
            </w:r>
            <w:r>
              <w:rPr>
                <w:rFonts w:hint="eastAsia" w:ascii="仿宋_GB2312" w:hAnsi="宋体" w:eastAsia="仿宋_GB2312" w:cs="仿宋_GB2312"/>
                <w:color w:val="000000"/>
                <w:kern w:val="0"/>
                <w:sz w:val="24"/>
                <w:szCs w:val="24"/>
                <w:lang w:bidi="ar"/>
              </w:rPr>
              <w:t>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059FF3DA">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295D96B7">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5CA0C40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7F37DE89">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B2C706D">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80</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DB38934">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0FAFA2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低冲击渔具占比增加值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3D9A1D6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76BB82F2">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04D2B5E0">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为</w:t>
            </w:r>
            <w:r>
              <w:rPr>
                <w:rFonts w:ascii="仿宋_GB2312" w:hAnsi="宋体" w:eastAsia="仿宋_GB2312" w:cs="仿宋_GB2312"/>
                <w:color w:val="000000"/>
                <w:kern w:val="0"/>
                <w:sz w:val="24"/>
                <w:szCs w:val="24"/>
                <w:lang w:bidi="ar"/>
              </w:rPr>
              <w:t>占比类相对指标</w:t>
            </w:r>
            <w:r>
              <w:rPr>
                <w:rFonts w:hint="eastAsia" w:ascii="仿宋_GB2312" w:hAnsi="宋体" w:eastAsia="仿宋_GB2312" w:cs="仿宋_GB2312"/>
                <w:color w:val="000000"/>
                <w:kern w:val="0"/>
                <w:sz w:val="24"/>
                <w:szCs w:val="24"/>
                <w:lang w:bidi="ar"/>
              </w:rPr>
              <w:t>，</w:t>
            </w:r>
            <w:r>
              <w:rPr>
                <w:rFonts w:ascii="仿宋_GB2312" w:hAnsi="宋体" w:eastAsia="仿宋_GB2312" w:cs="仿宋_GB2312"/>
                <w:color w:val="000000"/>
                <w:kern w:val="0"/>
                <w:sz w:val="24"/>
                <w:szCs w:val="24"/>
                <w:lang w:bidi="ar"/>
              </w:rPr>
              <w:t>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14604545">
        <w:tblPrEx>
          <w:tblCellMar>
            <w:top w:w="0" w:type="dxa"/>
            <w:left w:w="108" w:type="dxa"/>
            <w:bottom w:w="0" w:type="dxa"/>
            <w:right w:w="108" w:type="dxa"/>
          </w:tblCellMar>
        </w:tblPrEx>
        <w:trPr>
          <w:trHeight w:val="408"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68FF76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81</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6D6277E1">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107FC7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单次行动捕获量的减少</w:t>
            </w:r>
          </w:p>
        </w:tc>
        <w:tc>
          <w:tcPr>
            <w:tcW w:w="1317" w:type="dxa"/>
            <w:tcBorders>
              <w:top w:val="single" w:color="000000" w:sz="4" w:space="0"/>
              <w:left w:val="single" w:color="000000" w:sz="4" w:space="0"/>
              <w:bottom w:val="single" w:color="000000" w:sz="4" w:space="0"/>
              <w:right w:val="single" w:color="000000" w:sz="4" w:space="0"/>
            </w:tcBorders>
            <w:vAlign w:val="center"/>
          </w:tcPr>
          <w:p w14:paraId="042854F3">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26504BC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生物保护量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7DB43BF1">
            <w:pPr>
              <w:widowControl/>
              <w:spacing w:line="240" w:lineRule="atLeast"/>
              <w:jc w:val="left"/>
              <w:rPr>
                <w:rFonts w:hint="eastAsia" w:ascii="仿宋_GB2312" w:hAnsi="宋体" w:eastAsia="仿宋_GB2312" w:cs="仿宋_GB2312"/>
                <w:b/>
                <w:bCs/>
                <w:color w:val="000000"/>
                <w:sz w:val="24"/>
                <w:szCs w:val="24"/>
              </w:rPr>
            </w:pPr>
          </w:p>
        </w:tc>
      </w:tr>
      <w:tr w14:paraId="3FA7D3DC">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36F935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82</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7322CDAE">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77FBCAE">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经认证的可持续水产养殖占比增加</w:t>
            </w:r>
          </w:p>
        </w:tc>
        <w:tc>
          <w:tcPr>
            <w:tcW w:w="1317" w:type="dxa"/>
            <w:tcBorders>
              <w:top w:val="single" w:color="000000" w:sz="4" w:space="0"/>
              <w:left w:val="single" w:color="000000" w:sz="4" w:space="0"/>
              <w:bottom w:val="single" w:color="000000" w:sz="4" w:space="0"/>
              <w:right w:val="single" w:color="000000" w:sz="4" w:space="0"/>
            </w:tcBorders>
            <w:vAlign w:val="center"/>
          </w:tcPr>
          <w:p w14:paraId="7E64D60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6D8CE91C">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7B127E48">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149D868E">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787CF40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83</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1B5356CB">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2F4D4A0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海洋和淡水污染减少/每吨鱼排放的废物、农场每单位产出排放的氮、以及农场废物排放总量减少</w:t>
            </w:r>
          </w:p>
        </w:tc>
        <w:tc>
          <w:tcPr>
            <w:tcW w:w="1317" w:type="dxa"/>
            <w:tcBorders>
              <w:top w:val="single" w:color="000000" w:sz="4" w:space="0"/>
              <w:left w:val="single" w:color="000000" w:sz="4" w:space="0"/>
              <w:bottom w:val="single" w:color="000000" w:sz="4" w:space="0"/>
              <w:right w:val="single" w:color="000000" w:sz="4" w:space="0"/>
            </w:tcBorders>
            <w:vAlign w:val="center"/>
          </w:tcPr>
          <w:p w14:paraId="615496AF">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可换算</w:t>
            </w:r>
          </w:p>
        </w:tc>
        <w:tc>
          <w:tcPr>
            <w:tcW w:w="2261" w:type="dxa"/>
            <w:tcBorders>
              <w:top w:val="single" w:color="000000" w:sz="4" w:space="0"/>
              <w:left w:val="single" w:color="000000" w:sz="4" w:space="0"/>
              <w:bottom w:val="single" w:color="000000" w:sz="4" w:space="0"/>
              <w:right w:val="single" w:color="000000" w:sz="4" w:space="0"/>
            </w:tcBorders>
            <w:vAlign w:val="center"/>
          </w:tcPr>
          <w:p w14:paraId="3793BBB2">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总氮削减量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77AD4327">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可通过农场单位产出氮排放及废物排放总量减少推算出总氮削减量，其环境效益可通过“总氮削减量”指标表述</w:t>
            </w:r>
          </w:p>
        </w:tc>
      </w:tr>
      <w:tr w14:paraId="01FEFAE6">
        <w:tblPrEx>
          <w:tblCellMar>
            <w:top w:w="0" w:type="dxa"/>
            <w:left w:w="108" w:type="dxa"/>
            <w:bottom w:w="0" w:type="dxa"/>
            <w:right w:w="108" w:type="dxa"/>
          </w:tblCellMar>
        </w:tblPrEx>
        <w:trPr>
          <w:trHeight w:val="1224"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D9FA4E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84</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4ED49C46">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68F7567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养殖每吨鱼类所需化学品、抗微生物剂或杀虫剂的减少量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79458C7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相同</w:t>
            </w:r>
          </w:p>
        </w:tc>
        <w:tc>
          <w:tcPr>
            <w:tcW w:w="2261" w:type="dxa"/>
            <w:tcBorders>
              <w:top w:val="single" w:color="000000" w:sz="4" w:space="0"/>
              <w:left w:val="single" w:color="000000" w:sz="4" w:space="0"/>
              <w:bottom w:val="single" w:color="000000" w:sz="4" w:space="0"/>
              <w:right w:val="single" w:color="000000" w:sz="4" w:space="0"/>
            </w:tcBorders>
            <w:vAlign w:val="center"/>
          </w:tcPr>
          <w:p w14:paraId="09D04DB3">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减少/替代化学农药施用量</w:t>
            </w:r>
          </w:p>
        </w:tc>
        <w:tc>
          <w:tcPr>
            <w:tcW w:w="4039" w:type="dxa"/>
            <w:tcBorders>
              <w:top w:val="single" w:color="000000" w:sz="4" w:space="0"/>
              <w:left w:val="single" w:color="000000" w:sz="4" w:space="0"/>
              <w:bottom w:val="single" w:color="000000" w:sz="4" w:space="0"/>
              <w:right w:val="single" w:color="000000" w:sz="4" w:space="0"/>
            </w:tcBorders>
            <w:vAlign w:val="center"/>
          </w:tcPr>
          <w:p w14:paraId="60486042">
            <w:pPr>
              <w:widowControl/>
              <w:spacing w:line="240" w:lineRule="atLeast"/>
              <w:jc w:val="left"/>
              <w:rPr>
                <w:rFonts w:hint="eastAsia" w:ascii="仿宋_GB2312" w:hAnsi="宋体" w:eastAsia="仿宋_GB2312" w:cs="仿宋_GB2312"/>
                <w:b/>
                <w:bCs/>
                <w:color w:val="000000"/>
                <w:sz w:val="24"/>
                <w:szCs w:val="24"/>
              </w:rPr>
            </w:pPr>
            <w:r>
              <w:rPr>
                <w:rFonts w:ascii="仿宋_GB2312" w:hAnsi="宋体" w:eastAsia="仿宋_GB2312" w:cs="仿宋_GB2312"/>
                <w:color w:val="000000"/>
                <w:kern w:val="0"/>
                <w:sz w:val="24"/>
                <w:szCs w:val="24"/>
                <w:lang w:bidi="ar"/>
              </w:rPr>
              <w:t>-</w:t>
            </w:r>
          </w:p>
        </w:tc>
      </w:tr>
      <w:tr w14:paraId="79BED5B4">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6D0D6804">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85</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5E80178">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3068DCD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为减少对野生捕捞鱼类的依赖而改用养殖的种鱼占比</w:t>
            </w:r>
          </w:p>
        </w:tc>
        <w:tc>
          <w:tcPr>
            <w:tcW w:w="1317" w:type="dxa"/>
            <w:tcBorders>
              <w:top w:val="single" w:color="000000" w:sz="4" w:space="0"/>
              <w:left w:val="single" w:color="000000" w:sz="4" w:space="0"/>
              <w:bottom w:val="single" w:color="000000" w:sz="4" w:space="0"/>
              <w:right w:val="single" w:color="000000" w:sz="4" w:space="0"/>
            </w:tcBorders>
            <w:vAlign w:val="center"/>
          </w:tcPr>
          <w:p w14:paraId="15C1059E">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79C190F8">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56C4D6CC">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该指标适</w:t>
            </w:r>
            <w:r>
              <w:rPr>
                <w:rFonts w:hint="eastAsia" w:ascii="仿宋_GB2312" w:hAnsi="宋体" w:eastAsia="仿宋_GB2312" w:cs="仿宋_GB2312"/>
                <w:color w:val="000000"/>
                <w:kern w:val="0"/>
                <w:sz w:val="24"/>
                <w:szCs w:val="24"/>
                <w:lang w:bidi="ar"/>
              </w:rPr>
              <w:t>为</w:t>
            </w:r>
            <w:r>
              <w:rPr>
                <w:rFonts w:ascii="仿宋_GB2312" w:hAnsi="宋体" w:eastAsia="仿宋_GB2312" w:cs="仿宋_GB2312"/>
                <w:color w:val="000000"/>
                <w:kern w:val="0"/>
                <w:sz w:val="24"/>
                <w:szCs w:val="24"/>
                <w:lang w:bidi="ar"/>
              </w:rPr>
              <w:t>占比类相对指标</w:t>
            </w:r>
            <w:r>
              <w:rPr>
                <w:rFonts w:hint="eastAsia" w:ascii="仿宋_GB2312" w:hAnsi="宋体" w:eastAsia="仿宋_GB2312" w:cs="仿宋_GB2312"/>
                <w:color w:val="000000"/>
                <w:kern w:val="0"/>
                <w:sz w:val="24"/>
                <w:szCs w:val="24"/>
                <w:lang w:bidi="ar"/>
              </w:rPr>
              <w:t>，且</w:t>
            </w:r>
            <w:r>
              <w:rPr>
                <w:rFonts w:ascii="仿宋_GB2312" w:hAnsi="宋体" w:eastAsia="仿宋_GB2312" w:cs="仿宋_GB2312"/>
                <w:color w:val="000000"/>
                <w:kern w:val="0"/>
                <w:sz w:val="24"/>
                <w:szCs w:val="24"/>
                <w:lang w:bidi="ar"/>
              </w:rPr>
              <w:t>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1BB5B6BF">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54EB3367">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86</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0329C09D">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02604A1B">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饲料供应链的认证覆盖率增加值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6695CC3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604ADB43">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7813315F">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为</w:t>
            </w:r>
            <w:r>
              <w:rPr>
                <w:rFonts w:ascii="仿宋_GB2312" w:hAnsi="宋体" w:eastAsia="仿宋_GB2312" w:cs="仿宋_GB2312"/>
                <w:color w:val="000000"/>
                <w:kern w:val="0"/>
                <w:sz w:val="24"/>
                <w:szCs w:val="24"/>
                <w:lang w:bidi="ar"/>
              </w:rPr>
              <w:t>占比类相对指标</w:t>
            </w:r>
            <w:r>
              <w:rPr>
                <w:rFonts w:hint="eastAsia" w:ascii="仿宋_GB2312" w:hAnsi="宋体" w:eastAsia="仿宋_GB2312" w:cs="仿宋_GB2312"/>
                <w:color w:val="000000"/>
                <w:kern w:val="0"/>
                <w:sz w:val="24"/>
                <w:szCs w:val="24"/>
                <w:lang w:bidi="ar"/>
              </w:rPr>
              <w:t>，</w:t>
            </w:r>
            <w:r>
              <w:rPr>
                <w:rFonts w:ascii="仿宋_GB2312" w:hAnsi="宋体" w:eastAsia="仿宋_GB2312" w:cs="仿宋_GB2312"/>
                <w:color w:val="000000"/>
                <w:kern w:val="0"/>
                <w:sz w:val="24"/>
                <w:szCs w:val="24"/>
                <w:lang w:bidi="ar"/>
              </w:rPr>
              <w:t>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02877E6D">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41563CA6">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87</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54CE5BEC">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E98C591">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使用取自野生鱼类的鱼粉和鱼油作为饲料的减少量</w:t>
            </w:r>
          </w:p>
        </w:tc>
        <w:tc>
          <w:tcPr>
            <w:tcW w:w="1317" w:type="dxa"/>
            <w:tcBorders>
              <w:top w:val="single" w:color="000000" w:sz="4" w:space="0"/>
              <w:left w:val="single" w:color="000000" w:sz="4" w:space="0"/>
              <w:bottom w:val="single" w:color="000000" w:sz="4" w:space="0"/>
              <w:right w:val="single" w:color="000000" w:sz="4" w:space="0"/>
            </w:tcBorders>
            <w:vAlign w:val="center"/>
          </w:tcPr>
          <w:p w14:paraId="3AAED3C5">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482E9539">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77628FFD">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w:t>
            </w:r>
            <w:r>
              <w:rPr>
                <w:rFonts w:hint="eastAsia" w:ascii="仿宋_GB2312" w:hAnsi="宋体" w:eastAsia="仿宋_GB2312" w:cs="仿宋_GB2312"/>
                <w:color w:val="000000"/>
                <w:kern w:val="0"/>
                <w:sz w:val="24"/>
                <w:szCs w:val="24"/>
                <w:lang w:bidi="ar"/>
              </w:rPr>
              <w:t>为</w:t>
            </w:r>
            <w:r>
              <w:rPr>
                <w:rFonts w:ascii="仿宋_GB2312" w:hAnsi="宋体" w:eastAsia="仿宋_GB2312" w:cs="仿宋_GB2312"/>
                <w:color w:val="000000"/>
                <w:kern w:val="0"/>
                <w:sz w:val="24"/>
                <w:szCs w:val="24"/>
                <w:lang w:bidi="ar"/>
              </w:rPr>
              <w:t>占比类相对指标</w:t>
            </w:r>
            <w:r>
              <w:rPr>
                <w:rFonts w:hint="eastAsia" w:ascii="仿宋_GB2312" w:hAnsi="宋体" w:eastAsia="仿宋_GB2312" w:cs="仿宋_GB2312"/>
                <w:color w:val="000000"/>
                <w:kern w:val="0"/>
                <w:sz w:val="24"/>
                <w:szCs w:val="24"/>
                <w:lang w:bidi="ar"/>
              </w:rPr>
              <w:t>，且</w:t>
            </w:r>
            <w:r>
              <w:rPr>
                <w:rFonts w:ascii="仿宋_GB2312" w:hAnsi="宋体" w:eastAsia="仿宋_GB2312" w:cs="仿宋_GB2312"/>
                <w:color w:val="000000"/>
                <w:kern w:val="0"/>
                <w:sz w:val="24"/>
                <w:szCs w:val="24"/>
                <w:lang w:bidi="ar"/>
              </w:rPr>
              <w:t>测算难度高、适用范围较窄，不宜纳入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r w14:paraId="271E1BDC">
        <w:tblPrEx>
          <w:tblCellMar>
            <w:top w:w="0" w:type="dxa"/>
            <w:left w:w="108" w:type="dxa"/>
            <w:bottom w:w="0" w:type="dxa"/>
            <w:right w:w="108" w:type="dxa"/>
          </w:tblCellMar>
        </w:tblPrEx>
        <w:trPr>
          <w:trHeight w:val="1632" w:hRule="atLeast"/>
        </w:trPr>
        <w:tc>
          <w:tcPr>
            <w:tcW w:w="722" w:type="dxa"/>
            <w:tcBorders>
              <w:top w:val="single" w:color="000000" w:sz="4" w:space="0"/>
              <w:left w:val="single" w:color="000000" w:sz="4" w:space="0"/>
              <w:bottom w:val="single" w:color="000000" w:sz="4" w:space="0"/>
              <w:right w:val="single" w:color="000000" w:sz="4" w:space="0"/>
            </w:tcBorders>
            <w:vAlign w:val="center"/>
          </w:tcPr>
          <w:p w14:paraId="0CC14588">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88</w:t>
            </w:r>
          </w:p>
        </w:tc>
        <w:tc>
          <w:tcPr>
            <w:tcW w:w="1770" w:type="dxa"/>
            <w:vMerge w:val="continue"/>
            <w:tcBorders>
              <w:top w:val="single" w:color="000000" w:sz="4" w:space="0"/>
              <w:left w:val="single" w:color="000000" w:sz="4" w:space="0"/>
              <w:bottom w:val="single" w:color="000000" w:sz="4" w:space="0"/>
              <w:right w:val="single" w:color="000000" w:sz="4" w:space="0"/>
            </w:tcBorders>
            <w:vAlign w:val="center"/>
          </w:tcPr>
          <w:p w14:paraId="3B9E0447">
            <w:pPr>
              <w:widowControl/>
              <w:spacing w:line="240" w:lineRule="atLeast"/>
              <w:jc w:val="left"/>
              <w:rPr>
                <w:rFonts w:hint="eastAsia" w:ascii="仿宋_GB2312" w:hAnsi="宋体" w:eastAsia="仿宋_GB2312" w:cs="仿宋_GB2312"/>
                <w:color w:val="000000"/>
                <w:sz w:val="24"/>
                <w:szCs w:val="24"/>
              </w:rPr>
            </w:pPr>
          </w:p>
        </w:tc>
        <w:tc>
          <w:tcPr>
            <w:tcW w:w="3933" w:type="dxa"/>
            <w:tcBorders>
              <w:top w:val="single" w:color="000000" w:sz="4" w:space="0"/>
              <w:left w:val="single" w:color="000000" w:sz="4" w:space="0"/>
              <w:bottom w:val="single" w:color="000000" w:sz="4" w:space="0"/>
              <w:right w:val="single" w:color="000000" w:sz="4" w:space="0"/>
            </w:tcBorders>
            <w:vAlign w:val="center"/>
          </w:tcPr>
          <w:p w14:paraId="7E6A0515">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不砍伐森林的饲料份额增加值</w:t>
            </w:r>
          </w:p>
        </w:tc>
        <w:tc>
          <w:tcPr>
            <w:tcW w:w="1317" w:type="dxa"/>
            <w:tcBorders>
              <w:top w:val="single" w:color="000000" w:sz="4" w:space="0"/>
              <w:left w:val="single" w:color="000000" w:sz="4" w:space="0"/>
              <w:bottom w:val="single" w:color="000000" w:sz="4" w:space="0"/>
              <w:right w:val="single" w:color="000000" w:sz="4" w:space="0"/>
            </w:tcBorders>
            <w:vAlign w:val="center"/>
          </w:tcPr>
          <w:p w14:paraId="133BD719">
            <w:pPr>
              <w:widowControl/>
              <w:spacing w:line="240" w:lineRule="atLeast"/>
              <w:jc w:val="center"/>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未覆盖</w:t>
            </w:r>
          </w:p>
        </w:tc>
        <w:tc>
          <w:tcPr>
            <w:tcW w:w="2261" w:type="dxa"/>
            <w:tcBorders>
              <w:top w:val="single" w:color="000000" w:sz="4" w:space="0"/>
              <w:left w:val="single" w:color="000000" w:sz="4" w:space="0"/>
              <w:bottom w:val="single" w:color="000000" w:sz="4" w:space="0"/>
              <w:right w:val="single" w:color="000000" w:sz="4" w:space="0"/>
            </w:tcBorders>
            <w:vAlign w:val="center"/>
          </w:tcPr>
          <w:p w14:paraId="52B0C5B3">
            <w:pPr>
              <w:widowControl/>
              <w:spacing w:line="240" w:lineRule="atLeast"/>
              <w:jc w:val="left"/>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w:t>
            </w:r>
          </w:p>
        </w:tc>
        <w:tc>
          <w:tcPr>
            <w:tcW w:w="4039" w:type="dxa"/>
            <w:tcBorders>
              <w:top w:val="single" w:color="000000" w:sz="4" w:space="0"/>
              <w:left w:val="single" w:color="000000" w:sz="4" w:space="0"/>
              <w:bottom w:val="single" w:color="000000" w:sz="4" w:space="0"/>
              <w:right w:val="single" w:color="000000" w:sz="4" w:space="0"/>
            </w:tcBorders>
            <w:vAlign w:val="center"/>
          </w:tcPr>
          <w:p w14:paraId="60CDFC09">
            <w:pPr>
              <w:widowControl/>
              <w:spacing w:line="240" w:lineRule="atLeast"/>
              <w:jc w:val="left"/>
              <w:textAlignment w:val="center"/>
              <w:rPr>
                <w:rFonts w:hint="eastAsia"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该指标占比类相对指标</w:t>
            </w:r>
            <w:r>
              <w:rPr>
                <w:rFonts w:hint="eastAsia" w:ascii="仿宋_GB2312" w:hAnsi="宋体" w:eastAsia="仿宋_GB2312" w:cs="仿宋_GB2312"/>
                <w:color w:val="000000"/>
                <w:kern w:val="0"/>
                <w:sz w:val="24"/>
                <w:szCs w:val="24"/>
                <w:lang w:bidi="ar"/>
              </w:rPr>
              <w:t>，且</w:t>
            </w:r>
            <w:r>
              <w:rPr>
                <w:rFonts w:ascii="仿宋_GB2312" w:hAnsi="宋体" w:eastAsia="仿宋_GB2312" w:cs="仿宋_GB2312"/>
                <w:color w:val="000000"/>
                <w:kern w:val="0"/>
                <w:sz w:val="24"/>
                <w:szCs w:val="24"/>
                <w:lang w:bidi="ar"/>
              </w:rPr>
              <w:t>测算难度高、适用范围较窄，不宜纳入</w:t>
            </w:r>
            <w:r>
              <w:rPr>
                <w:rFonts w:hint="eastAsia" w:ascii="仿宋_GB2312" w:hAnsi="宋体" w:eastAsia="仿宋_GB2312" w:cs="仿宋_GB2312"/>
                <w:color w:val="000000"/>
                <w:kern w:val="0"/>
                <w:sz w:val="24"/>
                <w:szCs w:val="24"/>
                <w:lang w:bidi="ar"/>
              </w:rPr>
              <w:t>本标准</w:t>
            </w:r>
            <w:r>
              <w:rPr>
                <w:rFonts w:ascii="仿宋_GB2312" w:hAnsi="宋体" w:eastAsia="仿宋_GB2312" w:cs="仿宋_GB2312"/>
                <w:color w:val="000000"/>
                <w:kern w:val="0"/>
                <w:sz w:val="24"/>
                <w:szCs w:val="24"/>
                <w:lang w:bidi="ar"/>
              </w:rPr>
              <w:t>；其环境效益可通过“环境效益定性描述”指标表述</w:t>
            </w:r>
          </w:p>
        </w:tc>
      </w:tr>
    </w:tbl>
    <w:p w14:paraId="4C1F5DF1">
      <w:pPr>
        <w:pStyle w:val="2"/>
        <w:adjustRightInd w:val="0"/>
        <w:snapToGrid w:val="0"/>
        <w:spacing w:before="0" w:after="0"/>
        <w:jc w:val="both"/>
        <w:rPr>
          <w:b w:val="0"/>
          <w:bCs w:val="0"/>
        </w:rPr>
      </w:pPr>
      <w:r>
        <w:rPr>
          <w:rFonts w:hint="eastAsia" w:ascii="仿宋" w:hAnsi="仿宋" w:eastAsia="仿宋" w:cs="仿宋"/>
          <w:b w:val="0"/>
          <w:bCs w:val="0"/>
          <w:sz w:val="24"/>
        </w:rPr>
        <w:t>资料来源</w:t>
      </w:r>
      <w:r>
        <w:rPr>
          <w:rFonts w:ascii="仿宋" w:hAnsi="仿宋" w:eastAsia="仿宋" w:cs="仿宋"/>
          <w:b w:val="0"/>
          <w:bCs w:val="0"/>
          <w:sz w:val="24"/>
        </w:rPr>
        <w:t>:</w:t>
      </w:r>
      <w:r>
        <w:rPr>
          <w:rFonts w:hint="eastAsia" w:ascii="仿宋" w:hAnsi="仿宋" w:eastAsia="仿宋" w:cs="仿宋"/>
          <w:b w:val="0"/>
          <w:bCs w:val="0"/>
          <w:sz w:val="24"/>
        </w:rPr>
        <w:t>起草组根据《影响报告统一框架》等公开资料进行整理。《影响报告统一框架》指标分为核心指标和其他可持续指标，本表选取了各行业的环境效益类核心指标进行列示和对比。</w:t>
      </w:r>
    </w:p>
    <w:p w14:paraId="75B5FBF3">
      <w:pPr>
        <w:adjustRightInd w:val="0"/>
        <w:snapToGrid w:val="0"/>
        <w:spacing w:line="560" w:lineRule="exact"/>
        <w:rPr>
          <w:rFonts w:hint="eastAsia" w:ascii="仿宋_GB2312" w:hAnsi="仿宋_GB2312" w:eastAsia="仿宋_GB2312" w:cs="仿宋_GB2312"/>
          <w:sz w:val="30"/>
          <w:szCs w:val="30"/>
        </w:rPr>
      </w:pPr>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7D531">
    <w:pPr>
      <w:pStyle w:val="5"/>
      <w:tabs>
        <w:tab w:val="center" w:pos="4153"/>
        <w:tab w:val="right" w:pos="8306"/>
      </w:tabs>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7A56023">
                          <w:pPr>
                            <w:pStyle w:val="5"/>
                            <w:tabs>
                              <w:tab w:val="center" w:pos="4153"/>
                              <w:tab w:val="right" w:pos="8306"/>
                            </w:tabs>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67A56023">
                    <w:pPr>
                      <w:pStyle w:val="5"/>
                      <w:tabs>
                        <w:tab w:val="center" w:pos="4153"/>
                        <w:tab w:val="right" w:pos="8306"/>
                      </w:tabs>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C8D5C">
    <w:pPr>
      <w:pStyle w:val="17"/>
      <w:jc w:val="lef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489868B">
                          <w:pPr>
                            <w:pStyle w:val="17"/>
                            <w:jc w:val="left"/>
                            <w:rPr>
                              <w:rFonts w:hint="eastAsia" w:ascii="仿宋_GB2312" w:hAnsi="仿宋_GB2312" w:eastAsia="仿宋_GB2312" w:cs="仿宋_GB2312"/>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IV</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6489868B">
                    <w:pPr>
                      <w:pStyle w:val="17"/>
                      <w:jc w:val="left"/>
                      <w:rPr>
                        <w:rFonts w:hint="eastAsia" w:ascii="仿宋_GB2312" w:hAnsi="仿宋_GB2312" w:eastAsia="仿宋_GB2312" w:cs="仿宋_GB2312"/>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IV</w:t>
                    </w:r>
                    <w:r>
                      <w:rPr>
                        <w:rFonts w:hint="eastAsia" w:ascii="仿宋_GB2312" w:hAnsi="仿宋_GB2312" w:eastAsia="仿宋_GB2312" w:cs="仿宋_GB2312"/>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2C88BC89">
      <w:pPr>
        <w:pStyle w:val="7"/>
        <w:rPr>
          <w:rFonts w:eastAsia="宋体"/>
        </w:rPr>
      </w:pPr>
      <w:r>
        <w:rPr>
          <w:rStyle w:val="14"/>
        </w:rPr>
        <w:footnoteRef/>
      </w:r>
      <w:r>
        <w:t xml:space="preserve"> </w:t>
      </w:r>
      <w:r>
        <w:rPr>
          <w:rFonts w:ascii="仿宋_GB2312" w:hAnsi="仿宋_GB2312" w:eastAsia="仿宋_GB2312" w:cs="仿宋_GB2312"/>
          <w:sz w:val="21"/>
          <w:szCs w:val="21"/>
        </w:rPr>
        <w:t>ICMA在部分指标中同时列举绝对值和相对占比两类指标形式，允许发行人仅披露其中之一。大湾区绿色指标可覆盖其绝对值指标，描述的是同一类别环境效益，故可认为指标基本相同。</w:t>
      </w:r>
    </w:p>
  </w:footnote>
  <w:footnote w:id="1">
    <w:p w14:paraId="509EBB8C">
      <w:pPr>
        <w:pStyle w:val="7"/>
        <w:rPr>
          <w:rFonts w:eastAsia="宋体"/>
          <w:sz w:val="21"/>
          <w:szCs w:val="21"/>
        </w:rPr>
      </w:pPr>
      <w:r>
        <w:rPr>
          <w:rStyle w:val="14"/>
        </w:rPr>
        <w:footnoteRef/>
      </w:r>
      <w:r>
        <w:t xml:space="preserve"> </w:t>
      </w:r>
      <w:r>
        <w:rPr>
          <w:rFonts w:ascii="仿宋_GB2312" w:hAnsi="仿宋_GB2312" w:eastAsia="仿宋_GB2312" w:cs="仿宋_GB2312"/>
          <w:sz w:val="21"/>
          <w:szCs w:val="21"/>
        </w:rPr>
        <w:t>ICMA在部分指标中同时列举绝对值和相对占比两类指标形式，允许发行人仅披露其中之一。大湾区绿色指标可覆盖其绝对值指标，描述的是同一类别环境效益，故可认为指标基本相同。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2C87E">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CCB28F"/>
    <w:multiLevelType w:val="singleLevel"/>
    <w:tmpl w:val="91CCB28F"/>
    <w:lvl w:ilvl="0" w:tentative="0">
      <w:start w:val="1"/>
      <w:numFmt w:val="chineseCounting"/>
      <w:suff w:val="nothing"/>
      <w:lvlText w:val="%1、"/>
      <w:lvlJc w:val="left"/>
      <w:rPr>
        <w:rFonts w:hint="eastAsia" w:ascii="黑体" w:hAnsi="黑体" w:eastAsia="黑体"/>
        <w:lang w:val="en-US"/>
      </w:rPr>
    </w:lvl>
  </w:abstractNum>
  <w:abstractNum w:abstractNumId="1">
    <w:nsid w:val="0BD52BB7"/>
    <w:multiLevelType w:val="singleLevel"/>
    <w:tmpl w:val="0BD52BB7"/>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0OGM2ZDg3ZjMzMjE0NTg0ZmI5MzA1NmEwODIxY2IifQ=="/>
    <w:docVar w:name="KSO_WPS_MARK_KEY" w:val="a97405e5-88af-4245-844a-84141f7a6d32"/>
  </w:docVars>
  <w:rsids>
    <w:rsidRoot w:val="0F9231B3"/>
    <w:rsid w:val="000E06D3"/>
    <w:rsid w:val="001861A4"/>
    <w:rsid w:val="00187594"/>
    <w:rsid w:val="002062CD"/>
    <w:rsid w:val="0027552B"/>
    <w:rsid w:val="002B0042"/>
    <w:rsid w:val="003B60BD"/>
    <w:rsid w:val="004E02F8"/>
    <w:rsid w:val="00501203"/>
    <w:rsid w:val="00530AD7"/>
    <w:rsid w:val="005E4FF7"/>
    <w:rsid w:val="005F53BF"/>
    <w:rsid w:val="006941DA"/>
    <w:rsid w:val="006969F1"/>
    <w:rsid w:val="007A68B3"/>
    <w:rsid w:val="007E0F65"/>
    <w:rsid w:val="008C5E38"/>
    <w:rsid w:val="009854C7"/>
    <w:rsid w:val="009C12A0"/>
    <w:rsid w:val="009C308B"/>
    <w:rsid w:val="00A820BE"/>
    <w:rsid w:val="00AA7959"/>
    <w:rsid w:val="00C111EA"/>
    <w:rsid w:val="00D35FF8"/>
    <w:rsid w:val="00D5143B"/>
    <w:rsid w:val="00DA0ED3"/>
    <w:rsid w:val="00E045A9"/>
    <w:rsid w:val="00E8798F"/>
    <w:rsid w:val="00EB1EE8"/>
    <w:rsid w:val="00FE7368"/>
    <w:rsid w:val="014E625F"/>
    <w:rsid w:val="024A192C"/>
    <w:rsid w:val="0744108A"/>
    <w:rsid w:val="09062F68"/>
    <w:rsid w:val="09F87198"/>
    <w:rsid w:val="0E616756"/>
    <w:rsid w:val="0F6A6AEA"/>
    <w:rsid w:val="0F9231B3"/>
    <w:rsid w:val="162B7BC6"/>
    <w:rsid w:val="1AA76F9E"/>
    <w:rsid w:val="1BB86DA9"/>
    <w:rsid w:val="1C8B7CB8"/>
    <w:rsid w:val="1D24462D"/>
    <w:rsid w:val="1D4A7230"/>
    <w:rsid w:val="216D5435"/>
    <w:rsid w:val="22EA7B20"/>
    <w:rsid w:val="2618032F"/>
    <w:rsid w:val="2EB5143F"/>
    <w:rsid w:val="33826986"/>
    <w:rsid w:val="3F4B2287"/>
    <w:rsid w:val="43453FEA"/>
    <w:rsid w:val="4A3152B9"/>
    <w:rsid w:val="4BA17322"/>
    <w:rsid w:val="4E1E027C"/>
    <w:rsid w:val="4E997447"/>
    <w:rsid w:val="4FD147EB"/>
    <w:rsid w:val="4FD99975"/>
    <w:rsid w:val="52327B4E"/>
    <w:rsid w:val="59DEC423"/>
    <w:rsid w:val="5B5D04E4"/>
    <w:rsid w:val="5C073236"/>
    <w:rsid w:val="5E9A29B6"/>
    <w:rsid w:val="5EA540BB"/>
    <w:rsid w:val="5FEF5C7E"/>
    <w:rsid w:val="65E61B72"/>
    <w:rsid w:val="67F5CE92"/>
    <w:rsid w:val="6BDC7468"/>
    <w:rsid w:val="701F042F"/>
    <w:rsid w:val="74AC4F5F"/>
    <w:rsid w:val="75585754"/>
    <w:rsid w:val="767074C3"/>
    <w:rsid w:val="7D6F9DED"/>
    <w:rsid w:val="7DB11D39"/>
    <w:rsid w:val="7DF91943"/>
    <w:rsid w:val="7FAA62C7"/>
    <w:rsid w:val="7FE64F61"/>
    <w:rsid w:val="7FE77189"/>
    <w:rsid w:val="AE6745CD"/>
    <w:rsid w:val="BBEF134E"/>
    <w:rsid w:val="BEBF22A3"/>
    <w:rsid w:val="CF5FCA2C"/>
    <w:rsid w:val="D6FD8426"/>
    <w:rsid w:val="DFF9E8A8"/>
    <w:rsid w:val="E3D5A9AC"/>
    <w:rsid w:val="E7EB72C2"/>
    <w:rsid w:val="EDFB8EB8"/>
    <w:rsid w:val="EFFF77AC"/>
    <w:rsid w:val="F4FF4BDB"/>
    <w:rsid w:val="F6FC43C3"/>
    <w:rsid w:val="FAC908C4"/>
    <w:rsid w:val="FBBF8F2E"/>
    <w:rsid w:val="FBDD1F45"/>
    <w:rsid w:val="FDDFDD74"/>
    <w:rsid w:val="FFFD5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宋体" w:cs="Times New Roman"/>
      <w:b/>
      <w:bCs/>
      <w:sz w:val="32"/>
      <w:szCs w:val="32"/>
    </w:rPr>
  </w:style>
  <w:style w:type="paragraph" w:styleId="3">
    <w:name w:val="annotation text"/>
    <w:basedOn w:val="1"/>
    <w:link w:val="20"/>
    <w:qFormat/>
    <w:uiPriority w:val="0"/>
    <w:pPr>
      <w:jc w:val="left"/>
    </w:pPr>
  </w:style>
  <w:style w:type="paragraph" w:styleId="4">
    <w:name w:val="Balloon Text"/>
    <w:basedOn w:val="1"/>
    <w:link w:val="23"/>
    <w:qFormat/>
    <w:uiPriority w:val="0"/>
    <w:rPr>
      <w:sz w:val="18"/>
      <w:szCs w:val="18"/>
    </w:rPr>
  </w:style>
  <w:style w:type="paragraph" w:styleId="5">
    <w:name w:val="footer"/>
    <w:basedOn w:val="1"/>
    <w:qFormat/>
    <w:uiPriority w:val="99"/>
    <w:pPr>
      <w:snapToGrid w:val="0"/>
      <w:ind w:right="210" w:rightChars="100"/>
      <w:jc w:val="right"/>
    </w:pPr>
    <w:rPr>
      <w:sz w:val="18"/>
      <w:szCs w:val="18"/>
    </w:rPr>
  </w:style>
  <w:style w:type="paragraph" w:styleId="6">
    <w:name w:val="header"/>
    <w:basedOn w:val="1"/>
    <w:qFormat/>
    <w:uiPriority w:val="99"/>
    <w:pPr>
      <w:snapToGrid w:val="0"/>
      <w:jc w:val="left"/>
    </w:pPr>
    <w:rPr>
      <w:sz w:val="18"/>
      <w:szCs w:val="18"/>
    </w:rPr>
  </w:style>
  <w:style w:type="paragraph" w:styleId="7">
    <w:name w:val="footnote text"/>
    <w:basedOn w:val="1"/>
    <w:qFormat/>
    <w:uiPriority w:val="0"/>
    <w:pPr>
      <w:snapToGrid w:val="0"/>
      <w:jc w:val="left"/>
    </w:pPr>
    <w:rPr>
      <w:sz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character" w:styleId="14">
    <w:name w:val="footnote reference"/>
    <w:basedOn w:val="12"/>
    <w:qFormat/>
    <w:uiPriority w:val="0"/>
    <w:rPr>
      <w:vertAlign w:val="superscript"/>
    </w:rPr>
  </w:style>
  <w:style w:type="paragraph" w:customStyle="1" w:styleId="15">
    <w:name w:val="样式1"/>
    <w:basedOn w:val="1"/>
    <w:qFormat/>
    <w:uiPriority w:val="0"/>
    <w:pPr>
      <w:jc w:val="center"/>
    </w:pPr>
    <w:rPr>
      <w:rFonts w:ascii="Calibri" w:hAnsi="Calibri" w:eastAsia="黑体" w:cs="Times New Roman"/>
      <w:sz w:val="30"/>
    </w:rPr>
  </w:style>
  <w:style w:type="paragraph" w:customStyle="1" w:styleId="16">
    <w:name w:val="段"/>
    <w:qFormat/>
    <w:uiPriority w:val="99"/>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18">
    <w:name w:val="p15"/>
    <w:basedOn w:val="1"/>
    <w:qFormat/>
    <w:uiPriority w:val="0"/>
    <w:pPr>
      <w:widowControl/>
      <w:ind w:firstLine="420"/>
    </w:pPr>
    <w:rPr>
      <w:rFonts w:ascii="等线" w:hAnsi="等线" w:eastAsia="等线" w:cs="宋体"/>
      <w:kern w:val="0"/>
      <w:szCs w:val="21"/>
    </w:rPr>
  </w:style>
  <w:style w:type="paragraph" w:customStyle="1" w:styleId="19">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0">
    <w:name w:val="批注文字 字符"/>
    <w:basedOn w:val="12"/>
    <w:link w:val="3"/>
    <w:qFormat/>
    <w:uiPriority w:val="0"/>
    <w:rPr>
      <w:rFonts w:asciiTheme="minorHAnsi" w:hAnsiTheme="minorHAnsi" w:eastAsiaTheme="minorEastAsia" w:cstheme="minorBidi"/>
      <w:kern w:val="2"/>
      <w:sz w:val="21"/>
      <w:szCs w:val="22"/>
    </w:rPr>
  </w:style>
  <w:style w:type="character" w:customStyle="1" w:styleId="21">
    <w:name w:val="批注主题 字符"/>
    <w:basedOn w:val="20"/>
    <w:link w:val="9"/>
    <w:qFormat/>
    <w:uiPriority w:val="0"/>
    <w:rPr>
      <w:rFonts w:asciiTheme="minorHAnsi" w:hAnsiTheme="minorHAnsi" w:eastAsiaTheme="minorEastAsia" w:cstheme="minorBidi"/>
      <w:b/>
      <w:bCs/>
      <w:kern w:val="2"/>
      <w:sz w:val="21"/>
      <w:szCs w:val="22"/>
    </w:rPr>
  </w:style>
  <w:style w:type="paragraph" w:customStyle="1" w:styleId="22">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3">
    <w:name w:val="批注框文本 字符"/>
    <w:basedOn w:val="12"/>
    <w:link w:val="4"/>
    <w:qFormat/>
    <w:uiPriority w:val="0"/>
    <w:rPr>
      <w:rFonts w:asciiTheme="minorHAnsi" w:hAnsiTheme="minorHAnsi" w:eastAsiaTheme="minorEastAsia" w:cstheme="minorBidi"/>
      <w:kern w:val="2"/>
      <w:sz w:val="18"/>
      <w:szCs w:val="18"/>
    </w:rPr>
  </w:style>
  <w:style w:type="paragraph" w:customStyle="1" w:styleId="24">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4081</Words>
  <Characters>4264</Characters>
  <Lines>126</Lines>
  <Paragraphs>35</Paragraphs>
  <TotalTime>3</TotalTime>
  <ScaleCrop>false</ScaleCrop>
  <LinksUpToDate>false</LinksUpToDate>
  <CharactersWithSpaces>4272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2024-09-10T22:00:00Z</dcterms:created>
  <dc:creator>戴景明</dc:creator>
  <cp:lastModifiedBy>戴景明</cp:lastModifiedBy>
  <dcterms:modified xsi:type="dcterms:W3CDTF">2025-04-29T13:08:55Z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CFC4F83110484577936C793A17F0ED51_13</vt:lpwstr>
  </property>
  <property fmtid="{D5CDD505-2E9C-101B-9397-08002B2CF9AE}" pid="4" name="KSOTemplateDocerSaveRecord">
    <vt:lpwstr>eyJoZGlkIjoiNjYzODNjMGI2OGMwMmM2YzkyODdiNmY1OTY5ZGEzZmEiLCJ1c2VySWQiOiIyODA0MTQ4NDgifQ==</vt:lpwstr>
  </property>
</Properties>
</file>