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81A04">
      <w:pPr>
        <w:jc w:val="center"/>
        <w:rPr>
          <w:rFonts w:hint="eastAsia" w:ascii="方正小标宋_GBK" w:hAnsi="Times New Roman" w:eastAsia="方正小标宋_GBK" w:cs="Times New Roman"/>
          <w:sz w:val="44"/>
          <w:szCs w:val="44"/>
        </w:rPr>
      </w:pPr>
      <w:r>
        <w:rPr>
          <w:rFonts w:hint="eastAsia" w:ascii="方正小标宋_GBK" w:hAnsi="Times New Roman" w:eastAsia="方正小标宋_GBK" w:cs="Times New Roman"/>
          <w:sz w:val="44"/>
          <w:szCs w:val="44"/>
          <w:lang w:val="en-US" w:eastAsia="zh-CN"/>
        </w:rPr>
        <w:t>进口鱼胶追溯通则</w:t>
      </w:r>
      <w:r>
        <w:rPr>
          <w:rFonts w:hint="eastAsia" w:ascii="方正小标宋_GBK" w:hAnsi="Times New Roman" w:eastAsia="方正小标宋_GBK" w:cs="Times New Roman"/>
          <w:sz w:val="44"/>
          <w:szCs w:val="44"/>
        </w:rPr>
        <w:t>标准编制说明</w:t>
      </w:r>
    </w:p>
    <w:p w14:paraId="12C02D17">
      <w:pPr>
        <w:pStyle w:val="9"/>
      </w:pPr>
    </w:p>
    <w:p w14:paraId="487046B5">
      <w:pPr>
        <w:ind w:firstLine="640" w:firstLineChars="200"/>
        <w:rPr>
          <w:rFonts w:ascii="黑体" w:hAnsi="黑体" w:eastAsia="黑体" w:cs="Times New Roman"/>
          <w:sz w:val="32"/>
          <w:szCs w:val="32"/>
        </w:rPr>
      </w:pPr>
      <w:r>
        <w:rPr>
          <w:rFonts w:hint="eastAsia" w:ascii="黑体" w:hAnsi="黑体" w:eastAsia="黑体" w:cs="Times New Roman"/>
          <w:sz w:val="32"/>
          <w:szCs w:val="32"/>
        </w:rPr>
        <w:t>一、标准编制工作简况</w:t>
      </w:r>
    </w:p>
    <w:p w14:paraId="1F1313CA">
      <w:pPr>
        <w:ind w:firstLine="643" w:firstLineChars="200"/>
        <w:rPr>
          <w:rFonts w:hint="eastAsia" w:ascii="仿宋" w:hAnsi="仿宋" w:eastAsia="仿宋" w:cs="Times New Roman"/>
          <w:b/>
          <w:bCs/>
          <w:sz w:val="32"/>
          <w:szCs w:val="32"/>
        </w:rPr>
      </w:pPr>
      <w:r>
        <w:rPr>
          <w:rFonts w:hint="eastAsia" w:ascii="仿宋" w:hAnsi="仿宋" w:eastAsia="仿宋" w:cs="Times New Roman"/>
          <w:b/>
          <w:bCs/>
          <w:sz w:val="32"/>
          <w:szCs w:val="32"/>
        </w:rPr>
        <w:t>（一）任务来源</w:t>
      </w:r>
    </w:p>
    <w:p w14:paraId="7AF7AA75">
      <w:pPr>
        <w:pStyle w:val="9"/>
        <w:ind w:left="0" w:leftChars="0" w:firstLine="640" w:firstLineChars="200"/>
        <w:rPr>
          <w:rFonts w:hint="eastAsia" w:ascii="仿宋" w:hAnsi="仿宋" w:eastAsia="仿宋" w:cs="Times New Roman"/>
          <w:b w:val="0"/>
          <w:bCs w:val="0"/>
          <w:sz w:val="32"/>
          <w:szCs w:val="32"/>
        </w:rPr>
      </w:pPr>
      <w:r>
        <w:rPr>
          <w:rFonts w:hint="eastAsia" w:ascii="仿宋" w:hAnsi="仿宋" w:eastAsia="仿宋" w:cs="Times New Roman"/>
          <w:b w:val="0"/>
          <w:bCs w:val="0"/>
          <w:kern w:val="2"/>
          <w:sz w:val="32"/>
          <w:szCs w:val="32"/>
          <w:lang w:val="en-US" w:eastAsia="zh-CN" w:bidi="ar-SA"/>
        </w:rPr>
        <w:t>中国认证认可协会关于《企业碳信息合规披露与评价指引》等14项团体标准立项的通知（中认协技〔2023〕81号），列举立项团标2023TB040《进口鱼胶溯源通则》，中国检验检疫科学研究院粤港澳大湾区研究院为项目承担单位。</w:t>
      </w:r>
    </w:p>
    <w:p w14:paraId="1BB60095">
      <w:pPr>
        <w:ind w:firstLine="643" w:firstLineChars="200"/>
        <w:rPr>
          <w:rFonts w:ascii="仿宋" w:hAnsi="仿宋" w:eastAsia="仿宋" w:cs="Times New Roman"/>
          <w:b/>
          <w:bCs/>
          <w:sz w:val="32"/>
          <w:szCs w:val="32"/>
        </w:rPr>
      </w:pPr>
      <w:r>
        <w:rPr>
          <w:rFonts w:hint="eastAsia" w:ascii="仿宋" w:hAnsi="仿宋" w:eastAsia="仿宋" w:cs="Times New Roman"/>
          <w:b/>
          <w:bCs/>
          <w:sz w:val="32"/>
          <w:szCs w:val="32"/>
        </w:rPr>
        <w:t>（二）粤港澳三地共同参与标准起草的单位及分工等</w:t>
      </w:r>
    </w:p>
    <w:p w14:paraId="664F70C8">
      <w:pPr>
        <w:ind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标准起草单位：中国检验检疫科学研究院粤港澳大湾区研究院、广东官栈营养健康科技有限公司、国药大健康产业有限公司、方家铺子（莆田）绿色食品有限公司、东阿阿胶保健品有限公司、北京京东健康有限公司、汕头市鱼胶海味协会、中国水产科学研究院南海水产研究所、广州国际医药展贸中心有限公司、广东三海实业有限公司、汕头市鸿瑞商贸有限公司、葛兰瑞克（厦门）食品科技有限公司、广东泰升药业有限公司、福建品鉴食品股份公司、福建省觅康食品科技有限公司、广州市海味干果行业商会、广东双鸿生物科技有限公司、水星水手有限公司（香港）、德生参茸药行（澳门）、信发咸鱼海味行（澳门）、福玖贸易有限公司（澳门）。</w:t>
      </w:r>
    </w:p>
    <w:p w14:paraId="07B3DD3A">
      <w:pPr>
        <w:ind w:firstLine="640" w:firstLineChars="200"/>
        <w:rPr>
          <w:rFonts w:hint="default"/>
          <w:lang w:val="en-US" w:eastAsia="zh-CN"/>
        </w:rPr>
      </w:pPr>
      <w:r>
        <w:rPr>
          <w:rFonts w:hint="eastAsia" w:ascii="仿宋" w:hAnsi="仿宋" w:eastAsia="仿宋" w:cs="Times New Roman"/>
          <w:kern w:val="2"/>
          <w:sz w:val="32"/>
          <w:szCs w:val="32"/>
          <w:lang w:val="en-US" w:eastAsia="zh-CN" w:bidi="ar-SA"/>
        </w:rPr>
        <w:t>任务分工：中国检验检疫科学研究院粤港澳大湾区研究院承担标准制定的主要工作，负责标准制定进度的推进，组建起草组，召开讨论会议，搜集资料、研究框架并撰写标准初稿，搜集处理各方意见等。其他起草单位负责标准文稿修改与审核工作。</w:t>
      </w:r>
    </w:p>
    <w:p w14:paraId="71F095AD">
      <w:pPr>
        <w:pStyle w:val="2"/>
        <w:rPr>
          <w:rFonts w:hint="eastAsia"/>
          <w:lang w:val="en-US" w:eastAsia="zh-CN"/>
        </w:rPr>
      </w:pPr>
    </w:p>
    <w:p w14:paraId="590234FC">
      <w:pPr>
        <w:ind w:firstLine="640" w:firstLineChars="200"/>
        <w:rPr>
          <w:rFonts w:ascii="黑体" w:hAnsi="黑体" w:eastAsia="黑体" w:cs="Times New Roman"/>
          <w:sz w:val="32"/>
          <w:szCs w:val="32"/>
          <w:highlight w:val="none"/>
        </w:rPr>
      </w:pPr>
      <w:r>
        <w:rPr>
          <w:rFonts w:hint="eastAsia" w:ascii="黑体" w:hAnsi="黑体" w:eastAsia="黑体" w:cs="Times New Roman"/>
          <w:sz w:val="32"/>
          <w:szCs w:val="32"/>
          <w:highlight w:val="none"/>
        </w:rPr>
        <w:t>二、标准立项的必要性</w:t>
      </w:r>
    </w:p>
    <w:p w14:paraId="73AEDD12">
      <w:pPr>
        <w:ind w:firstLine="643" w:firstLineChars="200"/>
        <w:rPr>
          <w:rFonts w:hint="eastAsia" w:ascii="仿宋" w:hAnsi="仿宋" w:eastAsia="仿宋" w:cs="Times New Roman"/>
          <w:b/>
          <w:bCs/>
          <w:sz w:val="32"/>
          <w:szCs w:val="32"/>
        </w:rPr>
      </w:pPr>
      <w:r>
        <w:rPr>
          <w:rFonts w:hint="eastAsia" w:ascii="仿宋" w:hAnsi="仿宋" w:eastAsia="仿宋" w:cs="Times New Roman"/>
          <w:b/>
          <w:bCs/>
          <w:sz w:val="32"/>
          <w:szCs w:val="32"/>
        </w:rPr>
        <w:t>（一）粤港澳大湾区相关行业发展现状、痛点。</w:t>
      </w:r>
    </w:p>
    <w:p w14:paraId="50F9C640">
      <w:pPr>
        <w:ind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粤港澳大湾区是中式滋补饮食文化最为浓厚的地区，是鱼胶等传统滋补品最主要的消费地。鱼胶素有“海洋人参”的美誉，富含胶原蛋白、弹性蛋白、糖胺聚糖等天然活性物质，具有补血止血、美容、抗衰老等诸多功效。随着“健康中国”战略的全面实施，大健康理念深入人心，国民对传统滋补品鱼胶的营养、保健效用认识不断深化，鱼胶产品消费市场规模持续增长，鱼胶产业蓬勃发展。2023年我国鱼胶干制品的市场规模约260亿元，预计至2026年将达600亿元，相关延伸产业规模将达2000亿元。</w:t>
      </w:r>
    </w:p>
    <w:p w14:paraId="57E42F34">
      <w:pPr>
        <w:ind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市场上的鱼胶主要来自国外。然而，鱼胶产地广泛、分散，遍布世界各大洲各大洋，且品种繁多，来源鱼种复杂，品种的辨别主要依据传统经验方法，消费者辨认困难。鱼胶的名称由民间习惯性命名而来，缺乏统一标准，名称混乱，同一种鱼胶常有多个俗称，加之通过不同的制作手法，鱼胶可制成不同的造型，更加剧了辨别的难度和复杂性。由于不同品种鱼胶的外形相似难辨，价格差异显著，有些商家为了谋取利益，以次充好、以假乱真、以新代旧等行业乱象频发。例如年份造假（用新胶冒充老胶）、产地造假，杂胶拼接靓胶，用廉价鱼胶替代或仿冒珍稀鱼胶，还有非法增重、化学处理漂白、除异味、染色等，造成极大的食品安全隐患。这些制假售假行为严重损害消费者利益，扰乱市场秩序，阻碍鱼胶行业的良性发展。同时，由于可通过合法合规渠道进口的鱼胶种类较少，国内市场需求的不断扩大与正规进口途径供应量不足的矛盾凸显，引发了违法走私活动频发的问题。据查，我国几乎每年都有鱼胶走私事件的发生，案值巨大，其中还涉及濒危物种的非法走私。未经正规检验和检疫的鱼胶，可能带有病原微生物、寄生虫等，还可能存在有毒有害物质超标等问题，质量和安全性无法保障。违法走私行为不仅对国内鱼胶正常市场秩序造成冲击，严重影响合法商家的正常经营，使行业的形象和信誉受损，更导致国家税收的流失，损害国家利益。随着消费需求向高品质、绿色、健康、多元化转变，传统鱼胶行业亟需破除上述痛点问题，实现现代化转型升级。</w:t>
      </w:r>
    </w:p>
    <w:p w14:paraId="0E197D6A">
      <w:pPr>
        <w:ind w:firstLine="640" w:firstLineChars="200"/>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为保障进口鱼胶产品的质量安全及来源真实，有效遏制制假售假、违法走私的行业乱象，加快推动鱼胶行业合规化进程，亟需尽快建立起符合进口鱼胶供应链特点的追溯体系。通过全程追溯保证鱼胶产品从源头到餐桌的安全，做到来源可查、去向可追、责任可究，既能有效杜绝走私产品在市场中的流通，又能协助政府进行有力监管，保障产品真实性与质量安全。但是，进口鱼胶追溯流程环节多、信息复杂、涉及的法律法规众多，其有效性和可信度需要建立在全面、系统和一致的规范基础上，因此亟需制定《进口鱼胶追溯通则》标准。</w:t>
      </w:r>
    </w:p>
    <w:p w14:paraId="100B4D1C">
      <w:pPr>
        <w:ind w:firstLine="643" w:firstLineChars="200"/>
        <w:rPr>
          <w:rFonts w:hint="eastAsia" w:ascii="仿宋" w:hAnsi="仿宋" w:eastAsia="仿宋" w:cs="Times New Roman"/>
          <w:b/>
          <w:bCs/>
          <w:sz w:val="32"/>
          <w:szCs w:val="32"/>
          <w:highlight w:val="none"/>
        </w:rPr>
      </w:pPr>
      <w:r>
        <w:rPr>
          <w:rFonts w:hint="eastAsia" w:ascii="仿宋" w:hAnsi="仿宋" w:eastAsia="仿宋" w:cs="Times New Roman"/>
          <w:b/>
          <w:bCs/>
          <w:sz w:val="32"/>
          <w:szCs w:val="32"/>
          <w:highlight w:val="none"/>
        </w:rPr>
        <w:t>（二）本标准拟解决该行业在湾区互联互通和融合发展中存在的问题。</w:t>
      </w:r>
    </w:p>
    <w:p w14:paraId="75DCA402">
      <w:pPr>
        <w:pStyle w:val="9"/>
        <w:ind w:left="0" w:lef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鱼胶蕴含着深厚的中式滋补健康饮食文化，是粤港澳地区极具特色的传统食材，在</w:t>
      </w:r>
      <w:bookmarkStart w:id="0" w:name="OLE_LINK2"/>
      <w:r>
        <w:rPr>
          <w:rFonts w:hint="eastAsia" w:ascii="仿宋" w:hAnsi="仿宋" w:eastAsia="仿宋" w:cs="Times New Roman"/>
          <w:kern w:val="2"/>
          <w:sz w:val="32"/>
          <w:szCs w:val="32"/>
          <w:lang w:val="en-US" w:eastAsia="zh-CN" w:bidi="ar-SA"/>
        </w:rPr>
        <w:t>粤港澳三地</w:t>
      </w:r>
      <w:bookmarkEnd w:id="0"/>
      <w:bookmarkStart w:id="1" w:name="OLE_LINK1"/>
      <w:r>
        <w:rPr>
          <w:rFonts w:hint="eastAsia" w:ascii="仿宋" w:hAnsi="仿宋" w:eastAsia="仿宋" w:cs="Times New Roman"/>
          <w:kern w:val="2"/>
          <w:sz w:val="32"/>
          <w:szCs w:val="32"/>
          <w:lang w:val="en-US" w:eastAsia="zh-CN" w:bidi="ar-SA"/>
        </w:rPr>
        <w:t>有着良好的产业发展势头</w:t>
      </w:r>
      <w:bookmarkEnd w:id="1"/>
      <w:r>
        <w:rPr>
          <w:rFonts w:hint="eastAsia" w:ascii="仿宋" w:hAnsi="仿宋" w:eastAsia="仿宋" w:cs="Times New Roman"/>
          <w:kern w:val="2"/>
          <w:sz w:val="32"/>
          <w:szCs w:val="32"/>
          <w:lang w:val="en-US" w:eastAsia="zh-CN" w:bidi="ar-SA"/>
        </w:rPr>
        <w:t>。然而，鱼胶相关标准严重缺失，行业乱象丛生，鱼胶产品质量安全风险较高，不利于鱼胶产品在粤港澳三地市场上实现流通衔接、质量监管与标准统一。本标准通过规范进口鱼胶追溯体系建设和实施要素，确保进口鱼胶供应链全过程关键信息得到有效追溯，使进口鱼胶产品生产、加工、运输、通关、流通全生命周期透明化；确保产品符合相关质量标准和法规要求，有效降低食品安全风险；为消费者提供真实信息，保障产品的真实性，充分保护消费者权益；还能协助政府进行监管，有效避免走私产品在市场中的流通。</w:t>
      </w:r>
    </w:p>
    <w:p w14:paraId="60C39535">
      <w:pPr>
        <w:pStyle w:val="9"/>
        <w:ind w:left="0" w:leftChars="0" w:firstLine="640" w:firstLineChars="200"/>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进口鱼胶追溯体系的建立与实施把国门进口环节和国内流通环节有效串联，将极大提升进口鱼胶产品的质量安全水平，助力打造具有公信力的鱼胶消费环境，推动粤港澳三地鱼胶消费市场的进一步扩大，同时，通过大力推广追溯发挥示范引领作用，助推鱼胶产业标准化和规范化。本标准能够促进湾区鱼胶产业追溯体系规则协同统一，加速三地鱼胶产业联通与深度融合，实现鱼胶产业在湾区融合、健康、高质量发展。</w:t>
      </w:r>
    </w:p>
    <w:p w14:paraId="6B783868">
      <w:pPr>
        <w:ind w:firstLine="640" w:firstLineChars="200"/>
        <w:rPr>
          <w:rFonts w:ascii="黑体" w:hAnsi="黑体" w:eastAsia="黑体" w:cs="Times New Roman"/>
          <w:sz w:val="32"/>
          <w:szCs w:val="32"/>
        </w:rPr>
      </w:pPr>
      <w:r>
        <w:rPr>
          <w:rFonts w:hint="eastAsia" w:ascii="黑体" w:hAnsi="黑体" w:eastAsia="黑体" w:cs="Times New Roman"/>
          <w:sz w:val="32"/>
          <w:szCs w:val="32"/>
        </w:rPr>
        <w:t>三、标准编制原则、主要内容及其确定依据。</w:t>
      </w:r>
    </w:p>
    <w:p w14:paraId="2A9D9983">
      <w:pPr>
        <w:ind w:firstLine="643" w:firstLineChars="200"/>
        <w:rPr>
          <w:rFonts w:hint="eastAsia" w:ascii="仿宋" w:hAnsi="仿宋" w:eastAsia="仿宋" w:cs="Times New Roman"/>
          <w:b/>
          <w:bCs/>
          <w:sz w:val="32"/>
          <w:szCs w:val="32"/>
        </w:rPr>
      </w:pPr>
      <w:r>
        <w:rPr>
          <w:rFonts w:hint="eastAsia" w:ascii="仿宋" w:hAnsi="仿宋" w:eastAsia="仿宋" w:cs="Times New Roman"/>
          <w:b/>
          <w:bCs/>
          <w:sz w:val="32"/>
          <w:szCs w:val="32"/>
        </w:rPr>
        <w:t>（一）标准编制原则：</w:t>
      </w:r>
    </w:p>
    <w:p w14:paraId="07B2306A">
      <w:pPr>
        <w:pStyle w:val="9"/>
        <w:ind w:left="0" w:leftChars="0" w:firstLine="643" w:firstLineChars="200"/>
        <w:rPr>
          <w:rFonts w:hint="eastAsia" w:ascii="仿宋" w:hAnsi="仿宋" w:eastAsia="仿宋" w:cs="Times New Roman"/>
          <w:b/>
          <w:bCs/>
          <w:kern w:val="2"/>
          <w:sz w:val="32"/>
          <w:szCs w:val="32"/>
          <w:lang w:val="en-US" w:eastAsia="zh-CN" w:bidi="ar-SA"/>
        </w:rPr>
      </w:pPr>
      <w:r>
        <w:rPr>
          <w:rFonts w:hint="eastAsia" w:ascii="仿宋" w:hAnsi="仿宋" w:eastAsia="仿宋" w:cs="Times New Roman"/>
          <w:b/>
          <w:bCs/>
          <w:kern w:val="2"/>
          <w:sz w:val="32"/>
          <w:szCs w:val="32"/>
          <w:lang w:val="en-US" w:eastAsia="zh-CN" w:bidi="ar-SA"/>
        </w:rPr>
        <w:t>1.遵循国家标准和法律法规</w:t>
      </w:r>
    </w:p>
    <w:p w14:paraId="5568EF14">
      <w:pPr>
        <w:pStyle w:val="9"/>
        <w:ind w:left="0" w:lef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标准制定前，标准编制组对食品追溯相关法律法规、标准进行了系统的梳理，确保标准的技术要求符合现行相关法律法规，并与相关标准具有很好的协调一致性。</w:t>
      </w:r>
    </w:p>
    <w:p w14:paraId="3C327113">
      <w:pPr>
        <w:pStyle w:val="9"/>
        <w:ind w:left="0" w:leftChars="0" w:firstLine="643" w:firstLineChars="200"/>
        <w:rPr>
          <w:rFonts w:hint="eastAsia" w:ascii="仿宋" w:hAnsi="仿宋" w:eastAsia="仿宋" w:cs="Times New Roman"/>
          <w:b/>
          <w:bCs/>
          <w:kern w:val="2"/>
          <w:sz w:val="32"/>
          <w:szCs w:val="32"/>
          <w:lang w:val="en-US" w:eastAsia="zh-CN" w:bidi="ar-SA"/>
        </w:rPr>
      </w:pPr>
      <w:r>
        <w:rPr>
          <w:rFonts w:hint="eastAsia" w:ascii="仿宋" w:hAnsi="仿宋" w:eastAsia="仿宋" w:cs="Times New Roman"/>
          <w:b/>
          <w:bCs/>
          <w:kern w:val="2"/>
          <w:sz w:val="32"/>
          <w:szCs w:val="32"/>
          <w:lang w:val="en-US" w:eastAsia="zh-CN" w:bidi="ar-SA"/>
        </w:rPr>
        <w:t>2.先进性与科学性原则</w:t>
      </w:r>
    </w:p>
    <w:p w14:paraId="0E6481EB">
      <w:pPr>
        <w:pStyle w:val="9"/>
        <w:ind w:left="0" w:lef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标准充分借鉴了国内外的食品追溯相关标准、资料，并结合已有的进口鱼胶、燕窝等滋补品追溯体系构建经验，综合考虑我国进口鱼胶追溯实际需求，符合进口鱼胶行业未来发展趋势，具有较好的先进性和科学性。</w:t>
      </w:r>
    </w:p>
    <w:p w14:paraId="19769C04">
      <w:pPr>
        <w:pStyle w:val="9"/>
        <w:ind w:left="0" w:leftChars="0" w:firstLine="643" w:firstLineChars="200"/>
        <w:rPr>
          <w:rFonts w:hint="eastAsia" w:ascii="仿宋" w:hAnsi="仿宋" w:eastAsia="仿宋" w:cs="Times New Roman"/>
          <w:b/>
          <w:bCs/>
          <w:kern w:val="2"/>
          <w:sz w:val="32"/>
          <w:szCs w:val="32"/>
          <w:lang w:val="en-US" w:eastAsia="zh-CN" w:bidi="ar-SA"/>
        </w:rPr>
      </w:pPr>
      <w:r>
        <w:rPr>
          <w:rFonts w:hint="eastAsia" w:ascii="仿宋" w:hAnsi="仿宋" w:eastAsia="仿宋" w:cs="Times New Roman"/>
          <w:b/>
          <w:bCs/>
          <w:kern w:val="2"/>
          <w:sz w:val="32"/>
          <w:szCs w:val="32"/>
          <w:lang w:val="en-US" w:eastAsia="zh-CN" w:bidi="ar-SA"/>
        </w:rPr>
        <w:t>3.实用性与全面性原则</w:t>
      </w:r>
    </w:p>
    <w:p w14:paraId="630CC9FF">
      <w:pPr>
        <w:pStyle w:val="9"/>
        <w:ind w:left="0" w:lef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标准以促进进口鱼胶追溯体系建设，实现进口鱼胶全过程来源可溯、过程可查、去向可追为目标，在食品追溯相关国家标准如GB/Z 25008-2010《饲料和食品链的可追溯性 体系设计与实施指南》的通用要求基础上增加进口鱼胶特殊控制要素，既符合国家标准关于食品追溯的要求，又满足进口鱼胶供应链追溯特殊要求。追溯环节覆盖进口鱼胶供应链条全要素，记录全生命周期信息，有效保障追溯有效性和可靠性，符合进口鱼胶追溯体系目标要求，具有较好的实用性与全面性。</w:t>
      </w:r>
    </w:p>
    <w:p w14:paraId="50377369">
      <w:pPr>
        <w:pStyle w:val="9"/>
        <w:ind w:left="0" w:leftChars="0" w:firstLine="643" w:firstLineChars="200"/>
        <w:rPr>
          <w:rFonts w:hint="eastAsia" w:ascii="仿宋" w:hAnsi="仿宋" w:eastAsia="仿宋" w:cs="Times New Roman"/>
          <w:b/>
          <w:bCs/>
          <w:kern w:val="2"/>
          <w:sz w:val="32"/>
          <w:szCs w:val="32"/>
          <w:lang w:val="en-US" w:eastAsia="zh-CN" w:bidi="ar-SA"/>
        </w:rPr>
      </w:pPr>
      <w:r>
        <w:rPr>
          <w:rFonts w:hint="eastAsia" w:ascii="仿宋" w:hAnsi="仿宋" w:eastAsia="仿宋" w:cs="Times New Roman"/>
          <w:b/>
          <w:bCs/>
          <w:kern w:val="2"/>
          <w:sz w:val="32"/>
          <w:szCs w:val="32"/>
          <w:lang w:val="en-US" w:eastAsia="zh-CN" w:bidi="ar-SA"/>
        </w:rPr>
        <w:t>4.文本规范性原则</w:t>
      </w:r>
    </w:p>
    <w:p w14:paraId="7BA0C97E">
      <w:pPr>
        <w:pStyle w:val="9"/>
        <w:ind w:left="0" w:leftChars="0" w:firstLine="640" w:firstLineChars="200"/>
        <w:rPr>
          <w:rFonts w:hint="eastAsia"/>
        </w:rPr>
      </w:pPr>
      <w:r>
        <w:rPr>
          <w:rFonts w:hint="eastAsia" w:ascii="仿宋" w:hAnsi="仿宋" w:eastAsia="仿宋" w:cs="Times New Roman"/>
          <w:kern w:val="2"/>
          <w:sz w:val="32"/>
          <w:szCs w:val="32"/>
          <w:lang w:val="en-US" w:eastAsia="zh-CN" w:bidi="ar-SA"/>
        </w:rPr>
        <w:t>在标准结构与编写方面，本标准严格遵循GB/T 1.1-2009 《标准化工作导则 第1部分：标准的结构和编写规则》，符合标准化要求。</w:t>
      </w:r>
    </w:p>
    <w:p w14:paraId="7FD133EB">
      <w:pPr>
        <w:ind w:firstLine="643" w:firstLineChars="200"/>
        <w:rPr>
          <w:rFonts w:hint="eastAsia" w:ascii="仿宋" w:hAnsi="仿宋" w:eastAsia="仿宋" w:cs="Times New Roman"/>
          <w:b/>
          <w:bCs/>
          <w:sz w:val="32"/>
          <w:szCs w:val="32"/>
        </w:rPr>
      </w:pPr>
      <w:r>
        <w:rPr>
          <w:rFonts w:hint="eastAsia" w:ascii="仿宋" w:hAnsi="仿宋" w:eastAsia="仿宋" w:cs="Times New Roman"/>
          <w:b/>
          <w:bCs/>
          <w:sz w:val="32"/>
          <w:szCs w:val="32"/>
        </w:rPr>
        <w:t>（二）主要内容包括标准的适用范围、每章节的标题和主要技术内容</w:t>
      </w:r>
    </w:p>
    <w:p w14:paraId="7086EC4D">
      <w:pPr>
        <w:pStyle w:val="2"/>
        <w:rPr>
          <w:rFonts w:hint="eastAsia"/>
        </w:rPr>
      </w:pPr>
    </w:p>
    <w:tbl>
      <w:tblPr>
        <w:tblStyle w:val="11"/>
        <w:tblpPr w:leftFromText="180" w:rightFromText="180" w:vertAnchor="text" w:horzAnchor="page" w:tblpX="2066" w:tblpY="224"/>
        <w:tblOverlap w:val="never"/>
        <w:tblW w:w="85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2670"/>
        <w:gridCol w:w="4965"/>
      </w:tblGrid>
      <w:tr w14:paraId="18809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960" w:type="dxa"/>
            <w:vAlign w:val="center"/>
          </w:tcPr>
          <w:p w14:paraId="5EDA265B">
            <w:pPr>
              <w:jc w:val="center"/>
              <w:rPr>
                <w:rFonts w:hint="eastAsia" w:ascii="仿宋" w:hAnsi="仿宋" w:eastAsia="仿宋" w:cs="Times New Roman"/>
                <w:b/>
                <w:bCs/>
                <w:sz w:val="32"/>
                <w:szCs w:val="32"/>
                <w:vertAlign w:val="baseline"/>
                <w:lang w:val="en-US" w:eastAsia="zh-CN"/>
              </w:rPr>
            </w:pPr>
            <w:r>
              <w:rPr>
                <w:rFonts w:hint="eastAsia" w:ascii="仿宋" w:hAnsi="仿宋" w:eastAsia="仿宋" w:cs="Times New Roman"/>
                <w:b/>
                <w:bCs/>
                <w:sz w:val="32"/>
                <w:szCs w:val="32"/>
                <w:vertAlign w:val="baseline"/>
                <w:lang w:val="en-US" w:eastAsia="zh-CN"/>
              </w:rPr>
              <w:t>章节</w:t>
            </w:r>
          </w:p>
        </w:tc>
        <w:tc>
          <w:tcPr>
            <w:tcW w:w="2670" w:type="dxa"/>
            <w:vAlign w:val="center"/>
          </w:tcPr>
          <w:p w14:paraId="73653F75">
            <w:pPr>
              <w:jc w:val="center"/>
              <w:rPr>
                <w:rFonts w:hint="eastAsia" w:ascii="仿宋" w:hAnsi="仿宋" w:eastAsia="仿宋" w:cs="Times New Roman"/>
                <w:b/>
                <w:bCs/>
                <w:sz w:val="32"/>
                <w:szCs w:val="32"/>
                <w:vertAlign w:val="baseline"/>
                <w:lang w:val="en-US" w:eastAsia="zh-CN"/>
              </w:rPr>
            </w:pPr>
            <w:r>
              <w:rPr>
                <w:rFonts w:hint="eastAsia" w:ascii="仿宋" w:hAnsi="仿宋" w:eastAsia="仿宋" w:cs="Times New Roman"/>
                <w:b/>
                <w:bCs/>
                <w:sz w:val="32"/>
                <w:szCs w:val="32"/>
                <w:vertAlign w:val="baseline"/>
                <w:lang w:val="en-US" w:eastAsia="zh-CN"/>
              </w:rPr>
              <w:t>标题</w:t>
            </w:r>
          </w:p>
        </w:tc>
        <w:tc>
          <w:tcPr>
            <w:tcW w:w="4965" w:type="dxa"/>
            <w:vAlign w:val="center"/>
          </w:tcPr>
          <w:p w14:paraId="70027D3F">
            <w:pPr>
              <w:jc w:val="center"/>
              <w:rPr>
                <w:rFonts w:hint="default" w:ascii="仿宋" w:hAnsi="仿宋" w:eastAsia="仿宋" w:cs="Times New Roman"/>
                <w:b/>
                <w:bCs/>
                <w:sz w:val="32"/>
                <w:szCs w:val="32"/>
                <w:vertAlign w:val="baseline"/>
                <w:lang w:val="en-US" w:eastAsia="zh-CN"/>
              </w:rPr>
            </w:pPr>
            <w:r>
              <w:rPr>
                <w:rFonts w:hint="eastAsia" w:ascii="仿宋" w:hAnsi="仿宋" w:eastAsia="仿宋" w:cs="Times New Roman"/>
                <w:b/>
                <w:bCs/>
                <w:sz w:val="32"/>
                <w:szCs w:val="32"/>
                <w:vertAlign w:val="baseline"/>
                <w:lang w:val="en-US" w:eastAsia="zh-CN"/>
              </w:rPr>
              <w:t>主要技术内容</w:t>
            </w:r>
          </w:p>
        </w:tc>
      </w:tr>
      <w:tr w14:paraId="29A02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60" w:type="dxa"/>
            <w:vAlign w:val="center"/>
          </w:tcPr>
          <w:p w14:paraId="05E6AAB7">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1</w:t>
            </w:r>
          </w:p>
        </w:tc>
        <w:tc>
          <w:tcPr>
            <w:tcW w:w="2670" w:type="dxa"/>
            <w:vAlign w:val="center"/>
          </w:tcPr>
          <w:p w14:paraId="5ED51BBF">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范围</w:t>
            </w:r>
          </w:p>
        </w:tc>
        <w:tc>
          <w:tcPr>
            <w:tcW w:w="4965" w:type="dxa"/>
            <w:vAlign w:val="center"/>
          </w:tcPr>
          <w:p w14:paraId="2B133F63">
            <w:pPr>
              <w:jc w:val="center"/>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明确本文件的主要内容与适用范围</w:t>
            </w:r>
          </w:p>
        </w:tc>
      </w:tr>
      <w:tr w14:paraId="2F8FD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60" w:type="dxa"/>
            <w:vAlign w:val="center"/>
          </w:tcPr>
          <w:p w14:paraId="02E46A1B">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w:t>
            </w:r>
          </w:p>
        </w:tc>
        <w:tc>
          <w:tcPr>
            <w:tcW w:w="2670" w:type="dxa"/>
            <w:vAlign w:val="center"/>
          </w:tcPr>
          <w:p w14:paraId="72EAF6BD">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规范性引用文件</w:t>
            </w:r>
          </w:p>
        </w:tc>
        <w:tc>
          <w:tcPr>
            <w:tcW w:w="4965" w:type="dxa"/>
            <w:vAlign w:val="center"/>
          </w:tcPr>
          <w:p w14:paraId="5A147919">
            <w:pPr>
              <w:jc w:val="center"/>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列举本标准引用的2个国家标准</w:t>
            </w:r>
          </w:p>
        </w:tc>
      </w:tr>
      <w:tr w14:paraId="2939BDB7">
        <w:tblPrEx>
          <w:tblCellMar>
            <w:top w:w="0" w:type="dxa"/>
            <w:left w:w="108" w:type="dxa"/>
            <w:bottom w:w="0" w:type="dxa"/>
            <w:right w:w="108" w:type="dxa"/>
          </w:tblCellMar>
        </w:tblPrEx>
        <w:trPr>
          <w:trHeight w:val="581" w:hRule="atLeast"/>
        </w:trPr>
        <w:tc>
          <w:tcPr>
            <w:tcW w:w="960" w:type="dxa"/>
            <w:vAlign w:val="center"/>
          </w:tcPr>
          <w:p w14:paraId="713B724D">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3</w:t>
            </w:r>
          </w:p>
        </w:tc>
        <w:tc>
          <w:tcPr>
            <w:tcW w:w="2670" w:type="dxa"/>
            <w:vAlign w:val="center"/>
          </w:tcPr>
          <w:p w14:paraId="40FE6C38">
            <w:pPr>
              <w:jc w:val="center"/>
              <w:rPr>
                <w:rFonts w:hint="eastAsia" w:ascii="仿宋" w:hAnsi="仿宋" w:eastAsia="仿宋" w:cs="Times New Roman"/>
                <w:kern w:val="2"/>
                <w:sz w:val="32"/>
                <w:szCs w:val="32"/>
                <w:lang w:val="en-US" w:eastAsia="zh-CN" w:bidi="ar-SA"/>
              </w:rPr>
            </w:pPr>
            <w:bookmarkStart w:id="2" w:name="OLE_LINK33"/>
            <w:r>
              <w:rPr>
                <w:rFonts w:hint="eastAsia" w:ascii="仿宋" w:hAnsi="仿宋" w:eastAsia="仿宋" w:cs="Times New Roman"/>
                <w:kern w:val="2"/>
                <w:sz w:val="32"/>
                <w:szCs w:val="32"/>
                <w:lang w:val="en-US" w:eastAsia="zh-CN" w:bidi="ar-SA"/>
              </w:rPr>
              <w:t>术语和定义</w:t>
            </w:r>
            <w:bookmarkEnd w:id="2"/>
          </w:p>
        </w:tc>
        <w:tc>
          <w:tcPr>
            <w:tcW w:w="4965" w:type="dxa"/>
            <w:vAlign w:val="center"/>
          </w:tcPr>
          <w:p w14:paraId="6F0562A3">
            <w:pPr>
              <w:jc w:val="center"/>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“鱼胶”、“追溯”术语定义</w:t>
            </w:r>
          </w:p>
        </w:tc>
      </w:tr>
      <w:tr w14:paraId="28E78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60" w:type="dxa"/>
            <w:vAlign w:val="center"/>
          </w:tcPr>
          <w:p w14:paraId="48BF6F11">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4</w:t>
            </w:r>
          </w:p>
        </w:tc>
        <w:tc>
          <w:tcPr>
            <w:tcW w:w="2670" w:type="dxa"/>
            <w:vAlign w:val="center"/>
          </w:tcPr>
          <w:p w14:paraId="68BC887C">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基本原则和目标</w:t>
            </w:r>
          </w:p>
        </w:tc>
        <w:tc>
          <w:tcPr>
            <w:tcW w:w="4965" w:type="dxa"/>
            <w:vAlign w:val="center"/>
          </w:tcPr>
          <w:p w14:paraId="10467763">
            <w:pPr>
              <w:jc w:val="center"/>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阐明鱼胶追溯体系的四个基本原则合规性、真实性、完整性、唯一性，并明确追溯目标。</w:t>
            </w:r>
          </w:p>
        </w:tc>
      </w:tr>
      <w:tr w14:paraId="7717F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60" w:type="dxa"/>
            <w:shd w:val="clear" w:color="auto" w:fill="auto"/>
            <w:vAlign w:val="center"/>
          </w:tcPr>
          <w:p w14:paraId="14FEF628">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5</w:t>
            </w:r>
          </w:p>
        </w:tc>
        <w:tc>
          <w:tcPr>
            <w:tcW w:w="2670" w:type="dxa"/>
            <w:shd w:val="clear" w:color="auto" w:fill="auto"/>
            <w:vAlign w:val="center"/>
          </w:tcPr>
          <w:p w14:paraId="6A1546ED">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追溯体系建设</w:t>
            </w:r>
          </w:p>
        </w:tc>
        <w:tc>
          <w:tcPr>
            <w:tcW w:w="4965" w:type="dxa"/>
            <w:shd w:val="clear" w:color="auto" w:fill="auto"/>
            <w:vAlign w:val="center"/>
          </w:tcPr>
          <w:p w14:paraId="073BA197">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规定了追溯体系建设的基本要求、追溯流程、追溯相关方、信息编码与标识、信息展示、信息保存、产品召回等内容。</w:t>
            </w:r>
          </w:p>
        </w:tc>
      </w:tr>
      <w:tr w14:paraId="108CB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60" w:type="dxa"/>
            <w:shd w:val="clear" w:color="auto" w:fill="auto"/>
            <w:vAlign w:val="center"/>
          </w:tcPr>
          <w:p w14:paraId="79ADFFF3">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5.1</w:t>
            </w:r>
          </w:p>
        </w:tc>
        <w:tc>
          <w:tcPr>
            <w:tcW w:w="2670" w:type="dxa"/>
            <w:shd w:val="clear" w:color="auto" w:fill="auto"/>
            <w:vAlign w:val="center"/>
          </w:tcPr>
          <w:p w14:paraId="6D9F1356">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基本要求</w:t>
            </w:r>
          </w:p>
        </w:tc>
        <w:tc>
          <w:tcPr>
            <w:tcW w:w="4965" w:type="dxa"/>
            <w:vAlign w:val="center"/>
          </w:tcPr>
          <w:p w14:paraId="5FD4E176">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规定了进口鱼胶追溯体系的设计、实施、内部审核、评价与改进要求，电子化的追溯体系要求，及进口鱼胶追溯体系建设主体要求。</w:t>
            </w:r>
          </w:p>
        </w:tc>
      </w:tr>
      <w:tr w14:paraId="0BA5E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60" w:type="dxa"/>
            <w:vAlign w:val="center"/>
          </w:tcPr>
          <w:p w14:paraId="74EE69A0">
            <w:pPr>
              <w:jc w:val="center"/>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5.2</w:t>
            </w:r>
          </w:p>
        </w:tc>
        <w:tc>
          <w:tcPr>
            <w:tcW w:w="2670" w:type="dxa"/>
            <w:vAlign w:val="center"/>
          </w:tcPr>
          <w:p w14:paraId="6E99E62A">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追溯流程</w:t>
            </w:r>
          </w:p>
        </w:tc>
        <w:tc>
          <w:tcPr>
            <w:tcW w:w="4965" w:type="dxa"/>
            <w:vAlign w:val="center"/>
          </w:tcPr>
          <w:p w14:paraId="23A53027">
            <w:pPr>
              <w:jc w:val="center"/>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描述了鱼胶供应链的主要环节，并按照进口形式不同，分别绘制了以“鱼胶”、“整鱼”、“鱼鳔（或鱼骨+鱼鳔）”三种形式进口的溯源一般流程图。</w:t>
            </w:r>
          </w:p>
        </w:tc>
      </w:tr>
      <w:tr w14:paraId="23B92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60" w:type="dxa"/>
            <w:vAlign w:val="center"/>
          </w:tcPr>
          <w:p w14:paraId="0DA47EF4">
            <w:pPr>
              <w:jc w:val="center"/>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5.3</w:t>
            </w:r>
          </w:p>
        </w:tc>
        <w:tc>
          <w:tcPr>
            <w:tcW w:w="2670" w:type="dxa"/>
            <w:vAlign w:val="center"/>
          </w:tcPr>
          <w:p w14:paraId="106A7F95">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追溯相关方</w:t>
            </w:r>
          </w:p>
        </w:tc>
        <w:tc>
          <w:tcPr>
            <w:tcW w:w="4965" w:type="dxa"/>
            <w:vAlign w:val="center"/>
          </w:tcPr>
          <w:p w14:paraId="5F811DF7">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规定了追溯参与方、追溯服务提供方的要求。</w:t>
            </w:r>
          </w:p>
        </w:tc>
      </w:tr>
      <w:tr w14:paraId="5DD75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60" w:type="dxa"/>
            <w:vAlign w:val="center"/>
          </w:tcPr>
          <w:p w14:paraId="54569A5C">
            <w:pPr>
              <w:jc w:val="center"/>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5.4</w:t>
            </w:r>
          </w:p>
        </w:tc>
        <w:tc>
          <w:tcPr>
            <w:tcW w:w="2670" w:type="dxa"/>
            <w:vAlign w:val="center"/>
          </w:tcPr>
          <w:p w14:paraId="2AC2BF00">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信息编码与标识</w:t>
            </w:r>
          </w:p>
        </w:tc>
        <w:tc>
          <w:tcPr>
            <w:tcW w:w="4965" w:type="dxa"/>
            <w:vAlign w:val="center"/>
          </w:tcPr>
          <w:p w14:paraId="13862F88">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主要规定了编码规则、追溯码载体、追溯码加贴要求。</w:t>
            </w:r>
          </w:p>
        </w:tc>
      </w:tr>
      <w:tr w14:paraId="10646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60" w:type="dxa"/>
            <w:vAlign w:val="center"/>
          </w:tcPr>
          <w:p w14:paraId="7A1167CE">
            <w:pPr>
              <w:jc w:val="center"/>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5.5</w:t>
            </w:r>
          </w:p>
        </w:tc>
        <w:tc>
          <w:tcPr>
            <w:tcW w:w="2670" w:type="dxa"/>
            <w:vAlign w:val="center"/>
          </w:tcPr>
          <w:p w14:paraId="7E9DAE03">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信息展示</w:t>
            </w:r>
          </w:p>
        </w:tc>
        <w:tc>
          <w:tcPr>
            <w:tcW w:w="4965" w:type="dxa"/>
            <w:vAlign w:val="center"/>
          </w:tcPr>
          <w:p w14:paraId="34C94FE6">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规定了扫描追溯码所展示的追溯信息要求，及为确保信息安全、保护商业秘密，对追溯信息应进行分用户管理要求。</w:t>
            </w:r>
          </w:p>
        </w:tc>
      </w:tr>
      <w:tr w14:paraId="4BD86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60" w:type="dxa"/>
            <w:vAlign w:val="center"/>
          </w:tcPr>
          <w:p w14:paraId="012A6B35">
            <w:pPr>
              <w:jc w:val="center"/>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5.6</w:t>
            </w:r>
          </w:p>
        </w:tc>
        <w:tc>
          <w:tcPr>
            <w:tcW w:w="2670" w:type="dxa"/>
            <w:vAlign w:val="center"/>
          </w:tcPr>
          <w:p w14:paraId="4F542013">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信息保存</w:t>
            </w:r>
          </w:p>
        </w:tc>
        <w:tc>
          <w:tcPr>
            <w:tcW w:w="4965" w:type="dxa"/>
            <w:vAlign w:val="center"/>
          </w:tcPr>
          <w:p w14:paraId="6E242625">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规定了追溯文件记录、档案的保存期限，及存储安全管理要求。</w:t>
            </w:r>
          </w:p>
        </w:tc>
      </w:tr>
      <w:tr w14:paraId="21DF6AC8">
        <w:tblPrEx>
          <w:tblCellMar>
            <w:top w:w="0" w:type="dxa"/>
            <w:left w:w="108" w:type="dxa"/>
            <w:bottom w:w="0" w:type="dxa"/>
            <w:right w:w="108" w:type="dxa"/>
          </w:tblCellMar>
        </w:tblPrEx>
        <w:trPr>
          <w:trHeight w:val="581" w:hRule="atLeast"/>
        </w:trPr>
        <w:tc>
          <w:tcPr>
            <w:tcW w:w="960" w:type="dxa"/>
            <w:vAlign w:val="center"/>
          </w:tcPr>
          <w:p w14:paraId="3A50BE66">
            <w:pPr>
              <w:jc w:val="center"/>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5.7</w:t>
            </w:r>
          </w:p>
        </w:tc>
        <w:tc>
          <w:tcPr>
            <w:tcW w:w="2670" w:type="dxa"/>
            <w:vAlign w:val="center"/>
          </w:tcPr>
          <w:p w14:paraId="40498F34">
            <w:pPr>
              <w:jc w:val="center"/>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产品召回</w:t>
            </w:r>
          </w:p>
        </w:tc>
        <w:tc>
          <w:tcPr>
            <w:tcW w:w="4965" w:type="dxa"/>
            <w:vAlign w:val="center"/>
          </w:tcPr>
          <w:p w14:paraId="29A70149">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规定需要召回产品时应采取的措施和应记录的信息。</w:t>
            </w:r>
          </w:p>
        </w:tc>
      </w:tr>
      <w:tr w14:paraId="38D7D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60" w:type="dxa"/>
            <w:vAlign w:val="center"/>
          </w:tcPr>
          <w:p w14:paraId="6C0F1DFC">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6</w:t>
            </w:r>
          </w:p>
        </w:tc>
        <w:tc>
          <w:tcPr>
            <w:tcW w:w="2670" w:type="dxa"/>
            <w:vAlign w:val="center"/>
          </w:tcPr>
          <w:p w14:paraId="65AF5369">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追溯信息内容</w:t>
            </w:r>
          </w:p>
        </w:tc>
        <w:tc>
          <w:tcPr>
            <w:tcW w:w="4965" w:type="dxa"/>
            <w:vAlign w:val="center"/>
          </w:tcPr>
          <w:p w14:paraId="4EFF26F4">
            <w:pPr>
              <w:jc w:val="center"/>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规定了基本要求及产品信息、加工信息、生产信息、物流信息、通关信息、流通信息的记录内容要求。</w:t>
            </w:r>
          </w:p>
        </w:tc>
      </w:tr>
      <w:tr w14:paraId="19D94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60" w:type="dxa"/>
            <w:vAlign w:val="center"/>
          </w:tcPr>
          <w:p w14:paraId="72E47273">
            <w:pPr>
              <w:jc w:val="center"/>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6.1</w:t>
            </w:r>
          </w:p>
        </w:tc>
        <w:tc>
          <w:tcPr>
            <w:tcW w:w="2670" w:type="dxa"/>
            <w:vAlign w:val="center"/>
          </w:tcPr>
          <w:p w14:paraId="4B111BEE">
            <w:pPr>
              <w:jc w:val="center"/>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基本要求</w:t>
            </w:r>
          </w:p>
        </w:tc>
        <w:tc>
          <w:tcPr>
            <w:tcW w:w="4965" w:type="dxa"/>
            <w:vAlign w:val="center"/>
          </w:tcPr>
          <w:p w14:paraId="5AEDE50A">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规定了追溯信息的分类（包括基本信息和扩展信息）、信息采集要求、信息佐证要求。</w:t>
            </w:r>
          </w:p>
        </w:tc>
      </w:tr>
      <w:tr w14:paraId="0147A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60" w:type="dxa"/>
            <w:vAlign w:val="center"/>
          </w:tcPr>
          <w:p w14:paraId="7F6FA796">
            <w:pPr>
              <w:jc w:val="center"/>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6.2</w:t>
            </w:r>
          </w:p>
        </w:tc>
        <w:tc>
          <w:tcPr>
            <w:tcW w:w="2670" w:type="dxa"/>
            <w:vAlign w:val="center"/>
          </w:tcPr>
          <w:p w14:paraId="13DE189F">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产品信息</w:t>
            </w:r>
          </w:p>
        </w:tc>
        <w:tc>
          <w:tcPr>
            <w:tcW w:w="4965" w:type="dxa"/>
            <w:vAlign w:val="center"/>
          </w:tcPr>
          <w:p w14:paraId="43DAA04C">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列举了养殖或捕捞信息、加工信息、生产信息的具体应记录的内容。</w:t>
            </w:r>
          </w:p>
        </w:tc>
      </w:tr>
      <w:tr w14:paraId="59B3D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60" w:type="dxa"/>
            <w:vAlign w:val="center"/>
          </w:tcPr>
          <w:p w14:paraId="0E57DEE8">
            <w:pPr>
              <w:jc w:val="center"/>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6.3</w:t>
            </w:r>
          </w:p>
        </w:tc>
        <w:tc>
          <w:tcPr>
            <w:tcW w:w="2670" w:type="dxa"/>
            <w:vAlign w:val="center"/>
          </w:tcPr>
          <w:p w14:paraId="31D924C3">
            <w:pPr>
              <w:jc w:val="center"/>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物流信息</w:t>
            </w:r>
          </w:p>
        </w:tc>
        <w:tc>
          <w:tcPr>
            <w:tcW w:w="4965" w:type="dxa"/>
            <w:vAlign w:val="center"/>
          </w:tcPr>
          <w:p w14:paraId="36960FD6">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列举由供应地出发，经过运输、储存等活动到达目的地应记录的信息。</w:t>
            </w:r>
          </w:p>
        </w:tc>
      </w:tr>
      <w:tr w14:paraId="03DC6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60" w:type="dxa"/>
            <w:vAlign w:val="center"/>
          </w:tcPr>
          <w:p w14:paraId="44AFDC36">
            <w:pPr>
              <w:jc w:val="center"/>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6.4</w:t>
            </w:r>
          </w:p>
        </w:tc>
        <w:tc>
          <w:tcPr>
            <w:tcW w:w="2670" w:type="dxa"/>
            <w:vAlign w:val="center"/>
          </w:tcPr>
          <w:p w14:paraId="2EFAB735">
            <w:pPr>
              <w:jc w:val="center"/>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通关信息</w:t>
            </w:r>
          </w:p>
        </w:tc>
        <w:tc>
          <w:tcPr>
            <w:tcW w:w="4965" w:type="dxa"/>
            <w:vAlign w:val="center"/>
          </w:tcPr>
          <w:p w14:paraId="4B12926C">
            <w:pPr>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列举办理进出口通关业务时应记录的信息。</w:t>
            </w:r>
          </w:p>
        </w:tc>
      </w:tr>
      <w:tr w14:paraId="5B4CA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60" w:type="dxa"/>
            <w:vAlign w:val="center"/>
          </w:tcPr>
          <w:p w14:paraId="2DB1DB90">
            <w:pPr>
              <w:jc w:val="center"/>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6.5</w:t>
            </w:r>
          </w:p>
        </w:tc>
        <w:tc>
          <w:tcPr>
            <w:tcW w:w="2670" w:type="dxa"/>
            <w:vAlign w:val="center"/>
          </w:tcPr>
          <w:p w14:paraId="456C2D82">
            <w:pPr>
              <w:jc w:val="center"/>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流通信息</w:t>
            </w:r>
          </w:p>
        </w:tc>
        <w:tc>
          <w:tcPr>
            <w:tcW w:w="4965" w:type="dxa"/>
            <w:vAlign w:val="center"/>
          </w:tcPr>
          <w:p w14:paraId="43E6CC5C">
            <w:pPr>
              <w:jc w:val="center"/>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列举产品流通至零售商、下游生产企业应记录的信息。</w:t>
            </w:r>
          </w:p>
        </w:tc>
      </w:tr>
    </w:tbl>
    <w:p w14:paraId="43351DA0">
      <w:pPr>
        <w:pStyle w:val="2"/>
        <w:rPr>
          <w:rFonts w:hint="eastAsia"/>
        </w:rPr>
      </w:pPr>
    </w:p>
    <w:p w14:paraId="7F4CD42A">
      <w:pPr>
        <w:ind w:firstLine="643" w:firstLineChars="200"/>
        <w:rPr>
          <w:rFonts w:hint="eastAsia" w:ascii="黑体" w:hAnsi="黑体" w:eastAsia="黑体" w:cs="Times New Roman"/>
          <w:sz w:val="32"/>
          <w:szCs w:val="32"/>
        </w:rPr>
      </w:pPr>
      <w:r>
        <w:rPr>
          <w:rFonts w:hint="eastAsia" w:ascii="仿宋" w:hAnsi="仿宋" w:eastAsia="仿宋" w:cs="Times New Roman"/>
          <w:b/>
          <w:bCs/>
          <w:sz w:val="32"/>
          <w:szCs w:val="32"/>
          <w:highlight w:val="none"/>
        </w:rPr>
        <w:t>（三）确定依据（编制依据）可列出标准编制过程中参考的粤港澳三地法律法规、政策文件名称。</w:t>
      </w:r>
    </w:p>
    <w:p w14:paraId="2DAC27E0">
      <w:pPr>
        <w:pStyle w:val="9"/>
        <w:ind w:left="0" w:lef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本标准遵循国家有关食品追溯法律法规及标准规范要求，在GB/Z 25008-2010《饲料和食品链的可追溯性 体系设计与实施指南》基础上，围绕进口鱼胶供应链特点，以有效保障进口鱼胶的真实性、质量安全与合规为出发点，结合牵头单位进口鱼胶、燕窝等滋补品追溯体系构建经验，充分考虑我国进口鱼胶追溯实际需求与行业未来发展要求而制定。起草组对进口鱼胶供应链各环节进行深入调研分析，对进口鱼胶的养殖或捕捞、加工、包装、仓储、运输、通关及销售等各关键追溯环节所产生的关键信息进行汇总，同时吸收现有进口产品追溯体系的优秀经验，从而在标准中形成科学合理的技术内容。</w:t>
      </w:r>
    </w:p>
    <w:p w14:paraId="40B184F4">
      <w:pPr>
        <w:pStyle w:val="9"/>
        <w:ind w:left="0" w:lef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本标准与粤港澳三地相关法律法规、政策文件、强制性标准保持一致性，相互协调，无矛盾抵触。标准编制过程中参考的粤港澳三地法律法规有：</w:t>
      </w:r>
      <w:r>
        <w:rPr>
          <w:rFonts w:hint="default" w:ascii="仿宋" w:hAnsi="仿宋" w:eastAsia="仿宋" w:cs="Times New Roman"/>
          <w:kern w:val="2"/>
          <w:sz w:val="32"/>
          <w:szCs w:val="32"/>
          <w:lang w:val="en-US" w:eastAsia="zh-CN" w:bidi="ar-SA"/>
        </w:rPr>
        <w:t>《中华人民共和国食品安全法》</w:t>
      </w:r>
      <w:r>
        <w:rPr>
          <w:rFonts w:hint="eastAsia" w:ascii="仿宋" w:hAnsi="仿宋" w:eastAsia="仿宋" w:cs="Times New Roman"/>
          <w:kern w:val="2"/>
          <w:sz w:val="32"/>
          <w:szCs w:val="32"/>
          <w:lang w:val="en-US" w:eastAsia="zh-CN" w:bidi="ar-SA"/>
        </w:rPr>
        <w:t>及其实施条例</w:t>
      </w:r>
      <w:r>
        <w:rPr>
          <w:rFonts w:hint="default" w:ascii="仿宋" w:hAnsi="仿宋" w:eastAsia="仿宋" w:cs="Times New Roman"/>
          <w:kern w:val="2"/>
          <w:sz w:val="32"/>
          <w:szCs w:val="32"/>
          <w:lang w:val="en-US" w:eastAsia="zh-CN" w:bidi="ar-SA"/>
        </w:rPr>
        <w:t>、《中华人民共和国进出口食品安全管理办法》、《中华人民共和国进口食品境外生产企业注册管理规定》、《中华人民共和国进出境动植物检疫法》</w:t>
      </w:r>
      <w:r>
        <w:rPr>
          <w:rFonts w:hint="eastAsia" w:ascii="仿宋" w:hAnsi="仿宋" w:eastAsia="仿宋" w:cs="Times New Roman"/>
          <w:kern w:val="2"/>
          <w:sz w:val="32"/>
          <w:szCs w:val="32"/>
          <w:lang w:val="en-US" w:eastAsia="zh-CN" w:bidi="ar-SA"/>
        </w:rPr>
        <w:t>及其实施条例、</w:t>
      </w:r>
      <w:r>
        <w:rPr>
          <w:rFonts w:hint="default" w:ascii="仿宋" w:hAnsi="仿宋" w:eastAsia="仿宋" w:cs="Times New Roman"/>
          <w:kern w:val="2"/>
          <w:sz w:val="32"/>
          <w:szCs w:val="32"/>
          <w:lang w:val="en-US" w:eastAsia="zh-CN" w:bidi="ar-SA"/>
        </w:rPr>
        <w:t>《中华人民共和国标准化法》</w:t>
      </w:r>
      <w:r>
        <w:rPr>
          <w:rFonts w:hint="eastAsia" w:ascii="仿宋" w:hAnsi="仿宋" w:eastAsia="仿宋" w:cs="Times New Roman"/>
          <w:kern w:val="2"/>
          <w:sz w:val="32"/>
          <w:szCs w:val="32"/>
          <w:lang w:val="en-US" w:eastAsia="zh-CN" w:bidi="ar-SA"/>
        </w:rPr>
        <w:t>、《香港特别行政区公众卫生及市政条例》、《香港特别行政区食物安全条例》、《香港特别行政区进出口条例》、澳门特别行政区第5/2013号法律《食品安全法》、澳门特别行政区第7/2003号法律《对外贸易法》等。</w:t>
      </w:r>
    </w:p>
    <w:p w14:paraId="1C31414E">
      <w:pPr>
        <w:pStyle w:val="9"/>
        <w:ind w:left="0" w:lef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参考的粤港澳三地政策文件有：《“健康中国2030”规划纲要》、《健康中国行动（2019-2030年）》、《国民营养计划（2017-2030年）》、《“十四五”国民健康规划》、《关于培育传统优势食品产区和地方特色食品产业的指导意见》、《关于加快推进重要产品追溯体系建设的意见》、《国家标准化发展纲要》、《质量强国建设纲要》、《粵港澳大湾区发展规划纲要》、《健康澳門藍圖》、《澳门特别行政区经济适度多元发展规划（2024-2028年）》、香港特区政府与国家工业和信息化部签署的《关于发展新质生产力推进新型工业化的合作协议》等。</w:t>
      </w:r>
    </w:p>
    <w:p w14:paraId="477AE05A">
      <w:pPr>
        <w:pStyle w:val="9"/>
        <w:ind w:left="0" w:leftChars="0" w:firstLine="640" w:firstLineChars="200"/>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参考的标准文件有：GB/Z 25008《饲料和食品链的可追溯性 体系设计与实施指南》、GB/T 38155《重要产品追溯 追溯术语》、GB/T 22005-2009《饲料和食品链的可追溯性 体系设计与实施的通用原则和基本要求》、G</w:t>
      </w:r>
      <w:bookmarkStart w:id="11" w:name="_GoBack"/>
      <w:bookmarkEnd w:id="11"/>
      <w:r>
        <w:rPr>
          <w:rFonts w:hint="eastAsia" w:ascii="仿宋" w:hAnsi="仿宋" w:eastAsia="仿宋" w:cs="Times New Roman"/>
          <w:kern w:val="2"/>
          <w:sz w:val="32"/>
          <w:szCs w:val="32"/>
          <w:lang w:val="en-US" w:eastAsia="zh-CN" w:bidi="ar-SA"/>
        </w:rPr>
        <w:t>B/T 29568-2013 《农产品追溯要求 水产品》、</w:t>
      </w:r>
      <w:r>
        <w:rPr>
          <w:rFonts w:hint="eastAsia" w:ascii="仿宋" w:hAnsi="仿宋" w:eastAsia="仿宋" w:cs="Times New Roman"/>
          <w:kern w:val="2"/>
          <w:sz w:val="32"/>
          <w:szCs w:val="32"/>
          <w:highlight w:val="none"/>
          <w:lang w:val="en-US" w:eastAsia="zh-CN" w:bidi="ar-SA"/>
        </w:rPr>
        <w:t>澳门《食品标准法典》</w:t>
      </w:r>
      <w:r>
        <w:rPr>
          <w:rFonts w:hint="eastAsia" w:ascii="仿宋" w:hAnsi="仿宋" w:eastAsia="仿宋" w:cs="Times New Roman"/>
          <w:kern w:val="2"/>
          <w:sz w:val="32"/>
          <w:szCs w:val="32"/>
          <w:lang w:val="en-US" w:eastAsia="zh-CN" w:bidi="ar-SA"/>
        </w:rPr>
        <w:t>等。</w:t>
      </w:r>
    </w:p>
    <w:p w14:paraId="493DA6C6">
      <w:pPr>
        <w:ind w:firstLine="640" w:firstLineChars="200"/>
        <w:rPr>
          <w:rFonts w:hint="eastAsia" w:ascii="黑体" w:hAnsi="黑体" w:eastAsia="黑体" w:cs="Times New Roman"/>
          <w:sz w:val="32"/>
          <w:szCs w:val="32"/>
        </w:rPr>
      </w:pPr>
      <w:r>
        <w:rPr>
          <w:rFonts w:hint="eastAsia" w:ascii="黑体" w:hAnsi="黑体" w:eastAsia="黑体" w:cs="Times New Roman"/>
          <w:sz w:val="32"/>
          <w:szCs w:val="32"/>
          <w:highlight w:val="none"/>
        </w:rPr>
        <w:t>四、标准有何先进性或特色性</w:t>
      </w:r>
    </w:p>
    <w:p w14:paraId="075C6749">
      <w:pPr>
        <w:pStyle w:val="9"/>
        <w:ind w:left="0" w:leftChars="0" w:firstLine="640" w:firstLineChars="200"/>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本标准首次对建立进口鱼胶追溯体系要求进行规定，所构建的进口鱼胶追溯体系符合进口鱼胶供应链特点，明确展示了以“鱼胶”、“整鱼”、“鱼鳔（或鱼骨+鱼鳔）”三种形式进口的溯源一般流程图，详细列明进口鱼胶的养殖或捕捞、加工、生产、仓储、运输、通关及销售、流通等各关键环节的追溯信息，能够有效实现进口鱼胶产品全生命周期监控，保障产品的真实性及从源头到餐桌的安全性与合规性，技术内容充分吸收了成熟进口鱼胶追溯体系的优秀经验，具有良好的先进性。</w:t>
      </w:r>
    </w:p>
    <w:p w14:paraId="5DA88B1D">
      <w:pPr>
        <w:pStyle w:val="9"/>
        <w:ind w:left="0" w:leftChars="0" w:firstLine="640" w:firstLineChars="200"/>
        <w:rPr>
          <w:rFonts w:hint="eastAsia" w:ascii="黑体" w:hAnsi="黑体" w:eastAsia="黑体" w:cs="Times New Roman"/>
          <w:sz w:val="32"/>
          <w:szCs w:val="32"/>
        </w:rPr>
      </w:pPr>
      <w:r>
        <w:rPr>
          <w:rFonts w:hint="eastAsia" w:ascii="仿宋" w:hAnsi="仿宋" w:eastAsia="仿宋" w:cs="Times New Roman"/>
          <w:kern w:val="2"/>
          <w:sz w:val="32"/>
          <w:szCs w:val="32"/>
          <w:lang w:val="en-US" w:eastAsia="zh-CN" w:bidi="ar-SA"/>
        </w:rPr>
        <w:t>鱼胶是我国传统滋补饮食文化的代表，包含了医药、饮食、贸易和中外文化融合等方面的历史积淀。制定本标准，将推动传统鱼胶实现全链条追溯，促进产品质量提升，打造成粤港澳三地文化名片，更好地传承、创新和弘扬我国鱼胶传统文化。</w:t>
      </w:r>
    </w:p>
    <w:p w14:paraId="6D6776B4">
      <w:pPr>
        <w:ind w:firstLine="640" w:firstLineChars="200"/>
        <w:rPr>
          <w:rFonts w:ascii="黑体" w:hAnsi="黑体" w:eastAsia="黑体" w:cs="Times New Roman"/>
          <w:sz w:val="32"/>
          <w:szCs w:val="32"/>
          <w:highlight w:val="none"/>
        </w:rPr>
      </w:pPr>
      <w:r>
        <w:rPr>
          <w:rFonts w:hint="eastAsia" w:ascii="黑体" w:hAnsi="黑体" w:eastAsia="黑体" w:cs="Times New Roman"/>
          <w:sz w:val="32"/>
          <w:szCs w:val="32"/>
          <w:highlight w:val="none"/>
        </w:rPr>
        <w:t>五、标准在粤港澳三地调研、研讨、征求意见及邀请三地专家审定的情况</w:t>
      </w:r>
    </w:p>
    <w:p w14:paraId="2B7A140A">
      <w:pPr>
        <w:pStyle w:val="9"/>
        <w:ind w:left="0" w:lef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标准起草组织工作由中国检验检疫科学研究院粤港澳大湾区研究院牵头负责，确立本标准的制定任务后，起草组制定了详细的项目实施计划，并明确了各个阶段的任务、目标、输出产物及时间进度要求。起草组开展了认真细致的资料收集、调查研究和标准编写工作，标准草案经过多次研讨和修改完善。在调研、起草、研讨、征求意见、技术审查等各个阶段，均组织三地起草专家进行讨论，对标准内容、标准修改、意见处理等逐一确认，达成一致意见。</w:t>
      </w:r>
    </w:p>
    <w:p w14:paraId="0432B760">
      <w:pPr>
        <w:pStyle w:val="9"/>
        <w:ind w:left="0" w:lef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具体工作进程如下：</w:t>
      </w:r>
    </w:p>
    <w:p w14:paraId="6B9A4EFA">
      <w:pPr>
        <w:pStyle w:val="9"/>
        <w:ind w:left="0" w:lef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2023年4月～5月，</w:t>
      </w:r>
      <w:bookmarkStart w:id="3" w:name="OLE_LINK25"/>
      <w:r>
        <w:rPr>
          <w:rFonts w:hint="eastAsia" w:ascii="仿宋" w:hAnsi="仿宋" w:eastAsia="仿宋" w:cs="Times New Roman"/>
          <w:kern w:val="2"/>
          <w:sz w:val="32"/>
          <w:szCs w:val="32"/>
          <w:lang w:val="en-US" w:eastAsia="zh-CN" w:bidi="ar-SA"/>
        </w:rPr>
        <w:t>开展现场调研及资料搜集整理工作</w:t>
      </w:r>
      <w:bookmarkEnd w:id="3"/>
      <w:r>
        <w:rPr>
          <w:rFonts w:hint="eastAsia" w:ascii="仿宋" w:hAnsi="仿宋" w:eastAsia="仿宋" w:cs="Times New Roman"/>
          <w:kern w:val="2"/>
          <w:sz w:val="32"/>
          <w:szCs w:val="32"/>
          <w:lang w:val="en-US" w:eastAsia="zh-CN" w:bidi="ar-SA"/>
        </w:rPr>
        <w:t>，走访了多家鱼胶企业、协会及各地海关部门，深入了解进口鱼胶供应链环节特点及关键信息；</w:t>
      </w:r>
    </w:p>
    <w:p w14:paraId="7148475B">
      <w:pPr>
        <w:pStyle w:val="9"/>
        <w:ind w:left="0" w:lef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2023年6月，</w:t>
      </w:r>
      <w:bookmarkStart w:id="4" w:name="OLE_LINK26"/>
      <w:r>
        <w:rPr>
          <w:rFonts w:hint="eastAsia" w:ascii="仿宋" w:hAnsi="仿宋" w:eastAsia="仿宋" w:cs="Times New Roman"/>
          <w:kern w:val="2"/>
          <w:sz w:val="32"/>
          <w:szCs w:val="32"/>
          <w:lang w:val="en-US" w:eastAsia="zh-CN" w:bidi="ar-SA"/>
        </w:rPr>
        <w:t>分析相关法律法规、标准资料，开展标准框架研究，完成标准结构设计</w:t>
      </w:r>
      <w:bookmarkEnd w:id="4"/>
      <w:r>
        <w:rPr>
          <w:rFonts w:hint="eastAsia" w:ascii="仿宋" w:hAnsi="仿宋" w:eastAsia="仿宋" w:cs="Times New Roman"/>
          <w:kern w:val="2"/>
          <w:sz w:val="32"/>
          <w:szCs w:val="32"/>
          <w:lang w:val="en-US" w:eastAsia="zh-CN" w:bidi="ar-SA"/>
        </w:rPr>
        <w:t>；</w:t>
      </w:r>
    </w:p>
    <w:p w14:paraId="6B605B74">
      <w:pPr>
        <w:pStyle w:val="9"/>
        <w:ind w:left="0" w:lef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2023年7月～8月，撰写完成标准初稿；</w:t>
      </w:r>
    </w:p>
    <w:p w14:paraId="083F4805">
      <w:pPr>
        <w:pStyle w:val="9"/>
        <w:ind w:left="0" w:lef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2023年9月27日，</w:t>
      </w:r>
      <w:bookmarkStart w:id="5" w:name="OLE_LINK27"/>
      <w:r>
        <w:rPr>
          <w:rFonts w:hint="eastAsia" w:ascii="仿宋" w:hAnsi="仿宋" w:eastAsia="仿宋" w:cs="Times New Roman"/>
          <w:kern w:val="2"/>
          <w:sz w:val="32"/>
          <w:szCs w:val="32"/>
          <w:lang w:val="en-US" w:eastAsia="zh-CN" w:bidi="ar-SA"/>
        </w:rPr>
        <w:t>项目通过中国认证认可协会立项</w:t>
      </w:r>
      <w:bookmarkEnd w:id="5"/>
      <w:r>
        <w:rPr>
          <w:rFonts w:hint="eastAsia" w:ascii="仿宋" w:hAnsi="仿宋" w:eastAsia="仿宋" w:cs="Times New Roman"/>
          <w:kern w:val="2"/>
          <w:sz w:val="32"/>
          <w:szCs w:val="32"/>
          <w:lang w:val="en-US" w:eastAsia="zh-CN" w:bidi="ar-SA"/>
        </w:rPr>
        <w:t>；</w:t>
      </w:r>
    </w:p>
    <w:p w14:paraId="709E5999">
      <w:pPr>
        <w:pStyle w:val="9"/>
        <w:ind w:left="0" w:lef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2023年11月～12月，在粤港澳三地公开征集起草单位及专家，起草单位涵盖了鱼胶行业头部企业、鱼胶行业协会、科研院所及从事鱼胶商贸企业等，具有广泛性与代表性，能够确保标准获得行业认可；</w:t>
      </w:r>
    </w:p>
    <w:p w14:paraId="5F0382C3">
      <w:pPr>
        <w:pStyle w:val="9"/>
        <w:ind w:left="0" w:lef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2024年1月，</w:t>
      </w:r>
      <w:bookmarkStart w:id="6" w:name="OLE_LINK28"/>
      <w:r>
        <w:rPr>
          <w:rFonts w:hint="eastAsia" w:ascii="仿宋" w:hAnsi="仿宋" w:eastAsia="仿宋" w:cs="Times New Roman"/>
          <w:kern w:val="2"/>
          <w:sz w:val="32"/>
          <w:szCs w:val="32"/>
          <w:lang w:val="en-US" w:eastAsia="zh-CN" w:bidi="ar-SA"/>
        </w:rPr>
        <w:t>组建标准编制组，制定标准制定进度安排</w:t>
      </w:r>
      <w:bookmarkEnd w:id="6"/>
      <w:r>
        <w:rPr>
          <w:rFonts w:hint="eastAsia" w:ascii="仿宋" w:hAnsi="仿宋" w:eastAsia="仿宋" w:cs="Times New Roman"/>
          <w:kern w:val="2"/>
          <w:sz w:val="32"/>
          <w:szCs w:val="32"/>
          <w:lang w:val="en-US" w:eastAsia="zh-CN" w:bidi="ar-SA"/>
        </w:rPr>
        <w:t>；</w:t>
      </w:r>
    </w:p>
    <w:p w14:paraId="5BC8535F">
      <w:pPr>
        <w:pStyle w:val="9"/>
        <w:ind w:left="0" w:lef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2024年2月～4月，</w:t>
      </w:r>
      <w:bookmarkStart w:id="7" w:name="OLE_LINK29"/>
      <w:r>
        <w:rPr>
          <w:rFonts w:hint="eastAsia" w:ascii="仿宋" w:hAnsi="仿宋" w:eastAsia="仿宋" w:cs="Times New Roman"/>
          <w:kern w:val="2"/>
          <w:sz w:val="32"/>
          <w:szCs w:val="32"/>
          <w:lang w:val="en-US" w:eastAsia="zh-CN" w:bidi="ar-SA"/>
        </w:rPr>
        <w:t>编制组定向征求参编单位意见，并多次组织内部讨论，对标准草案的框架、内容进行深入探讨与论证，就反馈意见补充完善标准文本</w:t>
      </w:r>
      <w:bookmarkEnd w:id="7"/>
      <w:r>
        <w:rPr>
          <w:rFonts w:hint="eastAsia" w:ascii="仿宋" w:hAnsi="仿宋" w:eastAsia="仿宋" w:cs="Times New Roman"/>
          <w:kern w:val="2"/>
          <w:sz w:val="32"/>
          <w:szCs w:val="32"/>
          <w:lang w:val="en-US" w:eastAsia="zh-CN" w:bidi="ar-SA"/>
        </w:rPr>
        <w:t>；</w:t>
      </w:r>
    </w:p>
    <w:p w14:paraId="07479070">
      <w:pPr>
        <w:pStyle w:val="9"/>
        <w:ind w:left="0" w:lef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2024年5月29日，形成标准征求意见稿并报送协会；</w:t>
      </w:r>
    </w:p>
    <w:p w14:paraId="7502385C">
      <w:pPr>
        <w:pStyle w:val="9"/>
        <w:ind w:left="0" w:lef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2024年6月4日～2024年7月5日，向社会公开征求意见，共收到15家单位的15条反馈意见；</w:t>
      </w:r>
    </w:p>
    <w:p w14:paraId="5E50E7B8">
      <w:pPr>
        <w:pStyle w:val="9"/>
        <w:ind w:left="0" w:lef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2024年7月6日～2024年7月31日，编制组</w:t>
      </w:r>
      <w:bookmarkStart w:id="8" w:name="OLE_LINK30"/>
      <w:r>
        <w:rPr>
          <w:rFonts w:hint="eastAsia" w:ascii="仿宋" w:hAnsi="仿宋" w:eastAsia="仿宋" w:cs="Times New Roman"/>
          <w:kern w:val="2"/>
          <w:sz w:val="32"/>
          <w:szCs w:val="32"/>
          <w:lang w:val="en-US" w:eastAsia="zh-CN" w:bidi="ar-SA"/>
        </w:rPr>
        <w:t>召开讨论会，对社会反馈意见进行汇总和处理，论证处理依据与理由，最终采纳7条，不采纳7条，部分采纳1条，并修改标准草案</w:t>
      </w:r>
      <w:bookmarkEnd w:id="8"/>
      <w:r>
        <w:rPr>
          <w:rFonts w:hint="eastAsia" w:ascii="仿宋" w:hAnsi="仿宋" w:eastAsia="仿宋" w:cs="Times New Roman"/>
          <w:kern w:val="2"/>
          <w:sz w:val="32"/>
          <w:szCs w:val="32"/>
          <w:lang w:val="en-US" w:eastAsia="zh-CN" w:bidi="ar-SA"/>
        </w:rPr>
        <w:t>；</w:t>
      </w:r>
    </w:p>
    <w:p w14:paraId="68D2B1C9">
      <w:pPr>
        <w:pStyle w:val="9"/>
        <w:ind w:left="0" w:leftChars="0" w:firstLine="640" w:firstLineChars="200"/>
        <w:rPr>
          <w:rFonts w:hint="eastAsia" w:ascii="仿宋" w:hAnsi="仿宋" w:eastAsia="仿宋" w:cs="Times New Roman"/>
          <w:kern w:val="2"/>
          <w:sz w:val="32"/>
          <w:szCs w:val="32"/>
          <w:lang w:val="en-US" w:eastAsia="zh-CN" w:bidi="ar-SA"/>
        </w:rPr>
      </w:pPr>
      <w:bookmarkStart w:id="9" w:name="OLE_LINK51"/>
      <w:r>
        <w:rPr>
          <w:rFonts w:hint="eastAsia" w:ascii="仿宋" w:hAnsi="仿宋" w:eastAsia="仿宋" w:cs="Times New Roman"/>
          <w:kern w:val="2"/>
          <w:sz w:val="32"/>
          <w:szCs w:val="32"/>
          <w:lang w:val="en-US" w:eastAsia="zh-CN" w:bidi="ar-SA"/>
        </w:rPr>
        <w:t>2024年8月，形成标准送审稿并报</w:t>
      </w:r>
      <w:bookmarkEnd w:id="9"/>
      <w:r>
        <w:rPr>
          <w:rFonts w:hint="eastAsia" w:ascii="仿宋" w:hAnsi="仿宋" w:eastAsia="仿宋" w:cs="Times New Roman"/>
          <w:kern w:val="2"/>
          <w:sz w:val="32"/>
          <w:szCs w:val="32"/>
          <w:lang w:val="en-US" w:eastAsia="zh-CN" w:bidi="ar-SA"/>
        </w:rPr>
        <w:t>送协会；</w:t>
      </w:r>
    </w:p>
    <w:p w14:paraId="5040A569">
      <w:pPr>
        <w:pStyle w:val="9"/>
        <w:ind w:left="0" w:lef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2024年9月11日，通过技术审查会专家评审；</w:t>
      </w:r>
    </w:p>
    <w:p w14:paraId="4B308708">
      <w:pPr>
        <w:pStyle w:val="9"/>
        <w:ind w:left="0" w:lef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2024年9月12日~2024年9月16日，按照技术评审会上专家提的修改意见对标准进行修改，形成标准报批稿并报送协会；</w:t>
      </w:r>
    </w:p>
    <w:p w14:paraId="7A7F1C14">
      <w:pPr>
        <w:pStyle w:val="9"/>
        <w:ind w:left="0" w:leftChars="0" w:firstLine="640" w:firstLineChars="200"/>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2024年9月19日，标准批准发布。</w:t>
      </w:r>
    </w:p>
    <w:p w14:paraId="5B543B48">
      <w:pPr>
        <w:pStyle w:val="9"/>
        <w:spacing w:after="0"/>
        <w:ind w:left="0" w:leftChars="0" w:firstLine="640"/>
        <w:rPr>
          <w:rFonts w:hint="eastAsia" w:ascii="仿宋" w:hAnsi="仿宋" w:eastAsia="仿宋"/>
          <w:sz w:val="32"/>
          <w:szCs w:val="32"/>
          <w:highlight w:val="none"/>
        </w:rPr>
      </w:pPr>
      <w:r>
        <w:rPr>
          <w:rFonts w:hint="eastAsia" w:ascii="仿宋" w:hAnsi="仿宋" w:eastAsia="仿宋"/>
          <w:sz w:val="32"/>
          <w:szCs w:val="32"/>
          <w:highlight w:val="none"/>
          <w:lang w:val="en-US" w:eastAsia="zh-CN"/>
        </w:rPr>
        <w:t>上述各个阶段发生的意见反馈</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处理、</w:t>
      </w:r>
      <w:r>
        <w:rPr>
          <w:rFonts w:hint="eastAsia" w:ascii="仿宋" w:hAnsi="仿宋" w:eastAsia="仿宋"/>
          <w:sz w:val="32"/>
          <w:szCs w:val="32"/>
          <w:highlight w:val="none"/>
        </w:rPr>
        <w:t>讨论、修改的过程均有</w:t>
      </w:r>
      <w:r>
        <w:rPr>
          <w:rFonts w:hint="eastAsia" w:ascii="仿宋" w:hAnsi="仿宋" w:eastAsia="仿宋"/>
          <w:sz w:val="32"/>
          <w:szCs w:val="32"/>
          <w:highlight w:val="none"/>
          <w:lang w:val="en-US" w:eastAsia="zh-CN"/>
        </w:rPr>
        <w:t>相关</w:t>
      </w:r>
      <w:r>
        <w:rPr>
          <w:rFonts w:hint="eastAsia" w:ascii="仿宋" w:hAnsi="仿宋" w:eastAsia="仿宋"/>
          <w:sz w:val="32"/>
          <w:szCs w:val="32"/>
          <w:highlight w:val="none"/>
        </w:rPr>
        <w:t>记录。</w:t>
      </w:r>
    </w:p>
    <w:p w14:paraId="00E76732">
      <w:pPr>
        <w:ind w:firstLine="640" w:firstLineChars="200"/>
        <w:rPr>
          <w:rFonts w:ascii="黑体" w:hAnsi="黑体" w:eastAsia="黑体" w:cs="Times New Roman"/>
          <w:sz w:val="32"/>
          <w:szCs w:val="32"/>
        </w:rPr>
      </w:pPr>
      <w:r>
        <w:rPr>
          <w:rFonts w:hint="eastAsia" w:ascii="黑体" w:hAnsi="黑体" w:eastAsia="黑体" w:cs="Times New Roman"/>
          <w:sz w:val="32"/>
          <w:szCs w:val="32"/>
        </w:rPr>
        <w:t>六、重大分歧意见处理情况</w:t>
      </w:r>
    </w:p>
    <w:p w14:paraId="6701B624">
      <w:pPr>
        <w:ind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标准制定过程中未产生过重大分歧意见。</w:t>
      </w:r>
    </w:p>
    <w:p w14:paraId="139E6192">
      <w:pPr>
        <w:ind w:firstLine="640" w:firstLineChars="200"/>
        <w:rPr>
          <w:rFonts w:ascii="黑体" w:hAnsi="黑体" w:eastAsia="黑体" w:cs="Times New Roman"/>
          <w:sz w:val="32"/>
          <w:szCs w:val="32"/>
          <w:highlight w:val="none"/>
        </w:rPr>
      </w:pPr>
      <w:r>
        <w:rPr>
          <w:rFonts w:hint="eastAsia" w:ascii="黑体" w:hAnsi="黑体" w:eastAsia="黑体" w:cs="Times New Roman"/>
          <w:sz w:val="32"/>
          <w:szCs w:val="32"/>
          <w:highlight w:val="none"/>
        </w:rPr>
        <w:t>七、技术指标设置的科学性和可行性</w:t>
      </w:r>
    </w:p>
    <w:p w14:paraId="4C01D27B">
      <w:pPr>
        <w:ind w:firstLine="640" w:firstLineChars="200"/>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标准编制中，重点对鱼胶进口、追溯相关法律法规、标准进行系统梳理，确保标准内容符合粤港澳三地相关法规、强制性标准要求。设置技术指标时，充分参考了同类食品追溯相关标准，并吸收进口鱼胶、燕窝等滋补品追溯体系构建实践经验，在标准中罗列出能够证明合规、真实性的关键追溯信息，并确保形成完整的全程追溯链条。所有技术内容符合进口鱼胶供应链特点，确保关键追溯信息得到有效记录，保障追溯有效性和可靠性，满足进口鱼胶追溯体系目标要求，同时，起草组广泛征集粤港澳三地企业及专家意见，组织多次讨论，就标准内容进行反复修改完善，达成一致，有效确保技术指标的适用性与科学性。</w:t>
      </w:r>
    </w:p>
    <w:p w14:paraId="3293B4A8">
      <w:pPr>
        <w:ind w:firstLine="640" w:firstLineChars="200"/>
        <w:rPr>
          <w:rFonts w:hint="eastAsia" w:ascii="仿宋" w:hAnsi="仿宋" w:eastAsia="仿宋" w:cs="Times New Roman"/>
          <w:sz w:val="32"/>
          <w:szCs w:val="32"/>
        </w:rPr>
      </w:pPr>
      <w:r>
        <w:rPr>
          <w:rFonts w:hint="eastAsia" w:ascii="黑体" w:hAnsi="黑体" w:eastAsia="黑体" w:cs="Times New Roman"/>
          <w:sz w:val="32"/>
          <w:szCs w:val="32"/>
        </w:rPr>
        <w:t>八、标准</w:t>
      </w:r>
      <w:r>
        <w:rPr>
          <w:rFonts w:ascii="黑体" w:hAnsi="黑体" w:eastAsia="黑体" w:cs="Times New Roman"/>
          <w:sz w:val="32"/>
          <w:szCs w:val="32"/>
        </w:rPr>
        <w:t>对比及采标情况分析</w:t>
      </w:r>
    </w:p>
    <w:p w14:paraId="5E710720">
      <w:pPr>
        <w:pStyle w:val="9"/>
        <w:ind w:left="0" w:leftChars="0"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目前我国尚无专门针对进口鱼胶追溯的国标、行标、地标或团标发布，本标准在国内属于首创。本标准引用的标准有</w:t>
      </w:r>
      <w:bookmarkStart w:id="10" w:name="OLE_LINK3"/>
      <w:r>
        <w:rPr>
          <w:rFonts w:hint="eastAsia" w:ascii="仿宋" w:hAnsi="仿宋" w:eastAsia="仿宋" w:cs="Times New Roman"/>
          <w:kern w:val="2"/>
          <w:sz w:val="32"/>
          <w:szCs w:val="32"/>
          <w:lang w:val="en-US" w:eastAsia="zh-CN" w:bidi="ar-SA"/>
        </w:rPr>
        <w:t>GB/Z 25008</w:t>
      </w:r>
      <w:bookmarkEnd w:id="10"/>
      <w:r>
        <w:rPr>
          <w:rFonts w:hint="eastAsia" w:ascii="仿宋" w:hAnsi="仿宋" w:eastAsia="仿宋" w:cs="Times New Roman"/>
          <w:kern w:val="2"/>
          <w:sz w:val="32"/>
          <w:szCs w:val="32"/>
          <w:lang w:val="en-US" w:eastAsia="zh-CN" w:bidi="ar-SA"/>
        </w:rPr>
        <w:t>《饲料和食品链的可追溯性 体系设计与实施指南》、GB/T 38155-2019《重要产品追溯 追溯术语》。GB/Z 25008为饲料和食品链可追溯体系的设计和实施提供指南，为追溯通用要求；GB/T 38155-2019规定了追溯活动中的基础术语、技术术语、管理与服务术语及其定义。此外，本标准的制定参考的标准还有GB/T 22005-2009《饲料和食品链的可追溯性 体系设计与实施的通用原则和基本要求》，该标准等同于ISO 22005:2007，规定了设计和实施追溯体系的通用要求，为本标准框架设计与内容制定提供指导；GB/T 29568-2013 《农产品追溯要求 水产品》规定了水产品供应链可追溯体系的构建和追溯信息的记录要求，为本标准追溯信息的选择提供指导。上述对本标准的制定起到指导和借鉴作用，但由于进口鱼胶属于输华水产品，涉及的进出口法律法规众多，供应链有其自身的特殊性，应针对进口鱼胶供应链各环节制定适用的追溯标准，因此本标准是对现行标准的良好补充。</w:t>
      </w:r>
    </w:p>
    <w:p w14:paraId="6EE65FE3">
      <w:pPr>
        <w:ind w:firstLine="640" w:firstLineChars="200"/>
        <w:rPr>
          <w:rFonts w:ascii="黑体" w:hAnsi="黑体" w:eastAsia="黑体" w:cs="Times New Roman"/>
          <w:sz w:val="32"/>
          <w:szCs w:val="32"/>
          <w:highlight w:val="none"/>
        </w:rPr>
      </w:pPr>
      <w:r>
        <w:rPr>
          <w:rFonts w:hint="eastAsia" w:ascii="黑体" w:hAnsi="黑体" w:eastAsia="黑体" w:cs="Times New Roman"/>
          <w:sz w:val="32"/>
          <w:szCs w:val="32"/>
          <w:highlight w:val="none"/>
        </w:rPr>
        <w:t>九、涉及专利的有关说明</w:t>
      </w:r>
    </w:p>
    <w:p w14:paraId="20B53AC8">
      <w:pPr>
        <w:pStyle w:val="9"/>
        <w:ind w:left="0" w:leftChars="0" w:firstLine="640" w:firstLineChars="200"/>
        <w:rPr>
          <w:rFonts w:hint="eastAsia"/>
        </w:rPr>
      </w:pPr>
      <w:r>
        <w:rPr>
          <w:rFonts w:hint="eastAsia" w:ascii="仿宋" w:hAnsi="仿宋" w:eastAsia="仿宋" w:cs="Times New Roman"/>
          <w:kern w:val="2"/>
          <w:sz w:val="32"/>
          <w:szCs w:val="32"/>
          <w:lang w:val="en-US" w:eastAsia="zh-CN" w:bidi="ar-SA"/>
        </w:rPr>
        <w:t>无</w:t>
      </w:r>
    </w:p>
    <w:p w14:paraId="557C611B">
      <w:pPr>
        <w:ind w:firstLine="640" w:firstLineChars="200"/>
        <w:rPr>
          <w:rFonts w:ascii="黑体" w:hAnsi="黑体" w:eastAsia="黑体" w:cs="Times New Roman"/>
          <w:sz w:val="32"/>
          <w:szCs w:val="32"/>
        </w:rPr>
      </w:pPr>
      <w:r>
        <w:rPr>
          <w:rFonts w:hint="eastAsia" w:ascii="黑体" w:hAnsi="黑体" w:eastAsia="黑体" w:cs="Times New Roman"/>
          <w:sz w:val="32"/>
          <w:szCs w:val="32"/>
        </w:rPr>
        <w:t>十、标准信息</w:t>
      </w:r>
      <w:r>
        <w:rPr>
          <w:rFonts w:ascii="黑体" w:hAnsi="黑体" w:eastAsia="黑体" w:cs="Times New Roman"/>
          <w:sz w:val="32"/>
          <w:szCs w:val="32"/>
        </w:rPr>
        <w:t>变更</w:t>
      </w:r>
      <w:r>
        <w:rPr>
          <w:rFonts w:hint="eastAsia" w:ascii="黑体" w:hAnsi="黑体" w:eastAsia="黑体" w:cs="Times New Roman"/>
          <w:sz w:val="32"/>
          <w:szCs w:val="32"/>
        </w:rPr>
        <w:t>说明</w:t>
      </w:r>
    </w:p>
    <w:p w14:paraId="6FC6FF4F">
      <w:pPr>
        <w:ind w:firstLine="640" w:firstLineChars="200"/>
        <w:rPr>
          <w:rFonts w:hint="default"/>
          <w:lang w:val="en-US" w:eastAsia="zh-CN"/>
        </w:rPr>
      </w:pPr>
      <w:r>
        <w:rPr>
          <w:rFonts w:hint="eastAsia" w:ascii="仿宋" w:hAnsi="仿宋" w:eastAsia="仿宋" w:cs="Times New Roman"/>
          <w:sz w:val="32"/>
          <w:szCs w:val="32"/>
          <w:lang w:val="en-US" w:eastAsia="zh-CN"/>
        </w:rPr>
        <w:t>无</w:t>
      </w:r>
    </w:p>
    <w:p w14:paraId="05EBDC96">
      <w:pPr>
        <w:ind w:firstLine="640" w:firstLineChars="200"/>
        <w:rPr>
          <w:rFonts w:ascii="黑体" w:hAnsi="黑体" w:eastAsia="黑体" w:cs="Times New Roman"/>
          <w:sz w:val="32"/>
          <w:szCs w:val="32"/>
        </w:rPr>
      </w:pPr>
      <w:r>
        <w:rPr>
          <w:rFonts w:hint="eastAsia" w:ascii="黑体" w:hAnsi="黑体" w:eastAsia="黑体" w:cs="Times New Roman"/>
          <w:sz w:val="32"/>
          <w:szCs w:val="32"/>
        </w:rPr>
        <w:t>十一、其他说明事项</w:t>
      </w:r>
    </w:p>
    <w:p w14:paraId="4D267EBA">
      <w:pPr>
        <w:ind w:firstLine="640" w:firstLineChars="200"/>
        <w:jc w:val="left"/>
        <w:rPr>
          <w:rFonts w:hint="default" w:ascii="仿宋" w:hAnsi="仿宋" w:eastAsia="仿宋" w:cs="Times New Roman"/>
          <w:sz w:val="32"/>
          <w:szCs w:val="32"/>
          <w:lang w:val="en-US" w:eastAsia="zh-CN"/>
        </w:rPr>
      </w:pPr>
      <w:r>
        <w:rPr>
          <w:rFonts w:hint="eastAsia" w:ascii="仿宋" w:hAnsi="仿宋" w:eastAsia="仿宋" w:cs="Times New Roman"/>
          <w:sz w:val="32"/>
          <w:szCs w:val="32"/>
          <w:lang w:val="en-US" w:eastAsia="zh-CN"/>
        </w:rPr>
        <w:t>无</w:t>
      </w:r>
    </w:p>
    <w:p w14:paraId="4AE1C1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Microsoft JhengHei"/>
    <w:panose1 w:val="02010601000101010101"/>
    <w:charset w:val="88"/>
    <w:family w:val="auto"/>
    <w:pitch w:val="default"/>
    <w:sig w:usb0="00000000" w:usb1="00000000" w:usb2="00000010" w:usb3="00000000" w:csb0="00100000" w:csb1="00000000"/>
  </w:font>
  <w:font w:name="Calibri Light">
    <w:panose1 w:val="020F03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Microsoft JhengHei">
    <w:panose1 w:val="020B0604030504040204"/>
    <w:charset w:val="88"/>
    <w:family w:val="auto"/>
    <w:pitch w:val="default"/>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JhMGU2NzMxMThmNzFjMDI3NTRjOTMyMTk1NDFlZmUifQ=="/>
  </w:docVars>
  <w:rsids>
    <w:rsidRoot w:val="00E51A0C"/>
    <w:rsid w:val="00052486"/>
    <w:rsid w:val="00074686"/>
    <w:rsid w:val="000A566E"/>
    <w:rsid w:val="000C05E9"/>
    <w:rsid w:val="000C5D28"/>
    <w:rsid w:val="000D4642"/>
    <w:rsid w:val="000E15EA"/>
    <w:rsid w:val="00105D22"/>
    <w:rsid w:val="001156FC"/>
    <w:rsid w:val="0017309A"/>
    <w:rsid w:val="001B525A"/>
    <w:rsid w:val="001B6ADF"/>
    <w:rsid w:val="001C1D7C"/>
    <w:rsid w:val="001D76E0"/>
    <w:rsid w:val="001E3D61"/>
    <w:rsid w:val="002460D7"/>
    <w:rsid w:val="002F3E9A"/>
    <w:rsid w:val="003077D5"/>
    <w:rsid w:val="0032118C"/>
    <w:rsid w:val="0037303D"/>
    <w:rsid w:val="00373819"/>
    <w:rsid w:val="003D027F"/>
    <w:rsid w:val="003E06B8"/>
    <w:rsid w:val="003E4B8D"/>
    <w:rsid w:val="0041325E"/>
    <w:rsid w:val="004478E7"/>
    <w:rsid w:val="00460621"/>
    <w:rsid w:val="0046548D"/>
    <w:rsid w:val="004C49BD"/>
    <w:rsid w:val="004E6763"/>
    <w:rsid w:val="00525DAD"/>
    <w:rsid w:val="00530A88"/>
    <w:rsid w:val="00545EC0"/>
    <w:rsid w:val="00567797"/>
    <w:rsid w:val="00594039"/>
    <w:rsid w:val="005A3B1C"/>
    <w:rsid w:val="005A6F26"/>
    <w:rsid w:val="005B763E"/>
    <w:rsid w:val="00615776"/>
    <w:rsid w:val="006168D1"/>
    <w:rsid w:val="006D2F6F"/>
    <w:rsid w:val="006D598A"/>
    <w:rsid w:val="006E118F"/>
    <w:rsid w:val="007204E3"/>
    <w:rsid w:val="00743F8E"/>
    <w:rsid w:val="00752445"/>
    <w:rsid w:val="0075529A"/>
    <w:rsid w:val="007610C1"/>
    <w:rsid w:val="00762622"/>
    <w:rsid w:val="00767663"/>
    <w:rsid w:val="007B43B5"/>
    <w:rsid w:val="00816B2D"/>
    <w:rsid w:val="00845792"/>
    <w:rsid w:val="008513C4"/>
    <w:rsid w:val="00877FC7"/>
    <w:rsid w:val="008A6883"/>
    <w:rsid w:val="008C4B23"/>
    <w:rsid w:val="009166FA"/>
    <w:rsid w:val="00916BA0"/>
    <w:rsid w:val="009374D9"/>
    <w:rsid w:val="00952746"/>
    <w:rsid w:val="009A1C58"/>
    <w:rsid w:val="009B7BE3"/>
    <w:rsid w:val="009E43C5"/>
    <w:rsid w:val="00A071F5"/>
    <w:rsid w:val="00A362BA"/>
    <w:rsid w:val="00A543BC"/>
    <w:rsid w:val="00A55ED2"/>
    <w:rsid w:val="00A8065C"/>
    <w:rsid w:val="00A911B5"/>
    <w:rsid w:val="00AF3798"/>
    <w:rsid w:val="00B03D71"/>
    <w:rsid w:val="00B16D5D"/>
    <w:rsid w:val="00B21535"/>
    <w:rsid w:val="00B410A8"/>
    <w:rsid w:val="00B80666"/>
    <w:rsid w:val="00BB2831"/>
    <w:rsid w:val="00BC5EA8"/>
    <w:rsid w:val="00BD0EAC"/>
    <w:rsid w:val="00BD3109"/>
    <w:rsid w:val="00C02B60"/>
    <w:rsid w:val="00C14660"/>
    <w:rsid w:val="00C94CD0"/>
    <w:rsid w:val="00CC4459"/>
    <w:rsid w:val="00D11584"/>
    <w:rsid w:val="00D3687A"/>
    <w:rsid w:val="00D77FF0"/>
    <w:rsid w:val="00DB45EA"/>
    <w:rsid w:val="00DD5376"/>
    <w:rsid w:val="00E51A0C"/>
    <w:rsid w:val="00E72F87"/>
    <w:rsid w:val="00E82DC6"/>
    <w:rsid w:val="00EB42CE"/>
    <w:rsid w:val="00EC6705"/>
    <w:rsid w:val="00EE4BCB"/>
    <w:rsid w:val="00F0559E"/>
    <w:rsid w:val="00F75EFF"/>
    <w:rsid w:val="00FA46D2"/>
    <w:rsid w:val="00FC3B88"/>
    <w:rsid w:val="04221DEB"/>
    <w:rsid w:val="04520E02"/>
    <w:rsid w:val="05E51322"/>
    <w:rsid w:val="060D2627"/>
    <w:rsid w:val="06DE46EF"/>
    <w:rsid w:val="09896468"/>
    <w:rsid w:val="0A856C30"/>
    <w:rsid w:val="0D4234FE"/>
    <w:rsid w:val="0D8B6C53"/>
    <w:rsid w:val="0D9378B6"/>
    <w:rsid w:val="0DFA16E3"/>
    <w:rsid w:val="0E3853B8"/>
    <w:rsid w:val="0EC86A0D"/>
    <w:rsid w:val="0FF56606"/>
    <w:rsid w:val="104A6951"/>
    <w:rsid w:val="11286567"/>
    <w:rsid w:val="11C646FD"/>
    <w:rsid w:val="11D54941"/>
    <w:rsid w:val="13EE3A98"/>
    <w:rsid w:val="148A7C64"/>
    <w:rsid w:val="15915971"/>
    <w:rsid w:val="15F81D87"/>
    <w:rsid w:val="16B26FFE"/>
    <w:rsid w:val="16D72F09"/>
    <w:rsid w:val="17AC7EF2"/>
    <w:rsid w:val="18FF22A3"/>
    <w:rsid w:val="194272E3"/>
    <w:rsid w:val="1A75281D"/>
    <w:rsid w:val="1AFC1190"/>
    <w:rsid w:val="1B9E72CC"/>
    <w:rsid w:val="1BB92BDD"/>
    <w:rsid w:val="1CA15919"/>
    <w:rsid w:val="1E171E3D"/>
    <w:rsid w:val="1E82375A"/>
    <w:rsid w:val="1F1C7A27"/>
    <w:rsid w:val="21056592"/>
    <w:rsid w:val="21B46321"/>
    <w:rsid w:val="21C422DC"/>
    <w:rsid w:val="224B4FE8"/>
    <w:rsid w:val="227E06DD"/>
    <w:rsid w:val="234F23BC"/>
    <w:rsid w:val="2378512C"/>
    <w:rsid w:val="23C0729E"/>
    <w:rsid w:val="25A8619C"/>
    <w:rsid w:val="25E702AE"/>
    <w:rsid w:val="261849A4"/>
    <w:rsid w:val="267C3185"/>
    <w:rsid w:val="268F110A"/>
    <w:rsid w:val="26E606A8"/>
    <w:rsid w:val="27247AA4"/>
    <w:rsid w:val="27476007"/>
    <w:rsid w:val="2810627B"/>
    <w:rsid w:val="2B60657D"/>
    <w:rsid w:val="2B9B3F1D"/>
    <w:rsid w:val="2BAF13B9"/>
    <w:rsid w:val="2BCE6851"/>
    <w:rsid w:val="2C974875"/>
    <w:rsid w:val="2DB33930"/>
    <w:rsid w:val="2FDB2CCA"/>
    <w:rsid w:val="30D51E0F"/>
    <w:rsid w:val="311D68D4"/>
    <w:rsid w:val="31772EC7"/>
    <w:rsid w:val="320B7DBF"/>
    <w:rsid w:val="332B3F69"/>
    <w:rsid w:val="33C00B55"/>
    <w:rsid w:val="350031D3"/>
    <w:rsid w:val="354E3F3E"/>
    <w:rsid w:val="36562122"/>
    <w:rsid w:val="36621865"/>
    <w:rsid w:val="373A0C1E"/>
    <w:rsid w:val="39AB195F"/>
    <w:rsid w:val="3B4E6A46"/>
    <w:rsid w:val="3BB30F9F"/>
    <w:rsid w:val="3C1934F8"/>
    <w:rsid w:val="3C5C5193"/>
    <w:rsid w:val="3CD53287"/>
    <w:rsid w:val="3D54230E"/>
    <w:rsid w:val="3DD35929"/>
    <w:rsid w:val="412E38A6"/>
    <w:rsid w:val="41FD4D22"/>
    <w:rsid w:val="421401BF"/>
    <w:rsid w:val="4585575A"/>
    <w:rsid w:val="468C0D6B"/>
    <w:rsid w:val="47D77DC3"/>
    <w:rsid w:val="487675DC"/>
    <w:rsid w:val="499E503D"/>
    <w:rsid w:val="4A195F23"/>
    <w:rsid w:val="4AAE5753"/>
    <w:rsid w:val="4ABB39CC"/>
    <w:rsid w:val="4B977F95"/>
    <w:rsid w:val="4F5368C9"/>
    <w:rsid w:val="4F766114"/>
    <w:rsid w:val="4FB530E0"/>
    <w:rsid w:val="4FBC446F"/>
    <w:rsid w:val="517C7CB0"/>
    <w:rsid w:val="51C70EA9"/>
    <w:rsid w:val="51DC4954"/>
    <w:rsid w:val="51F020D5"/>
    <w:rsid w:val="536746F1"/>
    <w:rsid w:val="53B65679"/>
    <w:rsid w:val="55FF6E63"/>
    <w:rsid w:val="57560D05"/>
    <w:rsid w:val="57574A7D"/>
    <w:rsid w:val="57C93BCD"/>
    <w:rsid w:val="587522C3"/>
    <w:rsid w:val="593B1738"/>
    <w:rsid w:val="59B77A55"/>
    <w:rsid w:val="59D800F7"/>
    <w:rsid w:val="5AA47FD9"/>
    <w:rsid w:val="5AAF5D14"/>
    <w:rsid w:val="5ADA1C4D"/>
    <w:rsid w:val="5B8F6EDB"/>
    <w:rsid w:val="5D5D42BA"/>
    <w:rsid w:val="5DA0717E"/>
    <w:rsid w:val="5DB055F5"/>
    <w:rsid w:val="5E021BE6"/>
    <w:rsid w:val="5EBB3B43"/>
    <w:rsid w:val="600C0241"/>
    <w:rsid w:val="604A517F"/>
    <w:rsid w:val="60E03D35"/>
    <w:rsid w:val="61443DF6"/>
    <w:rsid w:val="616420C4"/>
    <w:rsid w:val="61C3343B"/>
    <w:rsid w:val="62744735"/>
    <w:rsid w:val="62CF5E0F"/>
    <w:rsid w:val="62FD472A"/>
    <w:rsid w:val="63612F0B"/>
    <w:rsid w:val="63DC07E4"/>
    <w:rsid w:val="643E4FFA"/>
    <w:rsid w:val="65A215B9"/>
    <w:rsid w:val="65A705D2"/>
    <w:rsid w:val="66377F53"/>
    <w:rsid w:val="66A903D9"/>
    <w:rsid w:val="68633281"/>
    <w:rsid w:val="69894F6A"/>
    <w:rsid w:val="699E0E29"/>
    <w:rsid w:val="6BD44496"/>
    <w:rsid w:val="6BD9385B"/>
    <w:rsid w:val="6D1E3C1B"/>
    <w:rsid w:val="6D317DF2"/>
    <w:rsid w:val="6D7E290C"/>
    <w:rsid w:val="6DEF3809"/>
    <w:rsid w:val="6E8B1784"/>
    <w:rsid w:val="6F03756C"/>
    <w:rsid w:val="6F9D1539"/>
    <w:rsid w:val="721D4CCB"/>
    <w:rsid w:val="722C0B88"/>
    <w:rsid w:val="7249173A"/>
    <w:rsid w:val="7281287F"/>
    <w:rsid w:val="73326672"/>
    <w:rsid w:val="733F59FB"/>
    <w:rsid w:val="73F43927"/>
    <w:rsid w:val="73FC5259"/>
    <w:rsid w:val="746C1710"/>
    <w:rsid w:val="74EB6AD9"/>
    <w:rsid w:val="74F57957"/>
    <w:rsid w:val="7625426C"/>
    <w:rsid w:val="76285B0A"/>
    <w:rsid w:val="77984B85"/>
    <w:rsid w:val="78397B5B"/>
    <w:rsid w:val="78686692"/>
    <w:rsid w:val="787C3EEC"/>
    <w:rsid w:val="7A6D7F90"/>
    <w:rsid w:val="7AD909B4"/>
    <w:rsid w:val="7AF1296F"/>
    <w:rsid w:val="7BF24BF0"/>
    <w:rsid w:val="7D1B0177"/>
    <w:rsid w:val="7DCF4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2">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autoRedefine/>
    <w:unhideWhenUsed/>
    <w:qFormat/>
    <w:uiPriority w:val="99"/>
    <w:pPr>
      <w:tabs>
        <w:tab w:val="left" w:pos="7200"/>
      </w:tabs>
      <w:ind w:firstLine="420" w:firstLineChars="100"/>
    </w:pPr>
  </w:style>
  <w:style w:type="paragraph" w:styleId="3">
    <w:name w:val="Body Text"/>
    <w:basedOn w:val="1"/>
    <w:autoRedefine/>
    <w:qFormat/>
    <w:uiPriority w:val="0"/>
    <w:pPr>
      <w:tabs>
        <w:tab w:val="left" w:pos="7200"/>
      </w:tabs>
      <w:snapToGrid w:val="0"/>
      <w:jc w:val="left"/>
    </w:pPr>
    <w:rPr>
      <w:rFonts w:ascii="Arial" w:hAnsi="Arial" w:eastAsia="PMingLiU"/>
      <w:sz w:val="20"/>
      <w:lang w:eastAsia="zh-TW"/>
    </w:rPr>
  </w:style>
  <w:style w:type="paragraph" w:styleId="5">
    <w:name w:val="Body Text Indent"/>
    <w:basedOn w:val="1"/>
    <w:autoRedefine/>
    <w:qFormat/>
    <w:uiPriority w:val="0"/>
    <w:pPr>
      <w:spacing w:after="120"/>
      <w:ind w:left="420" w:leftChars="200"/>
    </w:pPr>
    <w:rPr>
      <w:rFonts w:ascii="Times New Roman" w:hAnsi="Times New Roman" w:cs="Times New Roman"/>
    </w:rPr>
  </w:style>
  <w:style w:type="paragraph" w:styleId="6">
    <w:name w:val="Balloon Text"/>
    <w:basedOn w:val="1"/>
    <w:link w:val="15"/>
    <w:autoRedefine/>
    <w:qFormat/>
    <w:uiPriority w:val="0"/>
    <w:rPr>
      <w:rFonts w:asciiTheme="majorHAnsi" w:hAnsiTheme="majorHAnsi" w:eastAsiaTheme="majorEastAsia" w:cstheme="majorBidi"/>
      <w:sz w:val="18"/>
      <w:szCs w:val="18"/>
    </w:rPr>
  </w:style>
  <w:style w:type="paragraph" w:styleId="7">
    <w:name w:val="footer"/>
    <w:basedOn w:val="1"/>
    <w:link w:val="14"/>
    <w:autoRedefine/>
    <w:qFormat/>
    <w:uiPriority w:val="0"/>
    <w:pPr>
      <w:tabs>
        <w:tab w:val="center" w:pos="4153"/>
        <w:tab w:val="right" w:pos="8306"/>
      </w:tabs>
      <w:snapToGrid w:val="0"/>
    </w:pPr>
    <w:rPr>
      <w:sz w:val="20"/>
      <w:szCs w:val="20"/>
    </w:rPr>
  </w:style>
  <w:style w:type="paragraph" w:styleId="8">
    <w:name w:val="header"/>
    <w:basedOn w:val="1"/>
    <w:link w:val="13"/>
    <w:autoRedefine/>
    <w:qFormat/>
    <w:uiPriority w:val="0"/>
    <w:pPr>
      <w:tabs>
        <w:tab w:val="center" w:pos="4153"/>
        <w:tab w:val="right" w:pos="8306"/>
      </w:tabs>
      <w:snapToGrid w:val="0"/>
    </w:pPr>
    <w:rPr>
      <w:sz w:val="20"/>
      <w:szCs w:val="20"/>
    </w:rPr>
  </w:style>
  <w:style w:type="paragraph" w:styleId="9">
    <w:name w:val="Body Text First Indent 2"/>
    <w:basedOn w:val="5"/>
    <w:autoRedefine/>
    <w:qFormat/>
    <w:uiPriority w:val="0"/>
    <w:pPr>
      <w:ind w:firstLine="420" w:firstLineChars="200"/>
    </w:pPr>
    <w:rPr>
      <w:rFonts w:ascii="Calibri" w:hAnsi="Calibri" w:eastAsia="宋体"/>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页眉 字符"/>
    <w:basedOn w:val="12"/>
    <w:link w:val="8"/>
    <w:autoRedefine/>
    <w:qFormat/>
    <w:uiPriority w:val="0"/>
    <w:rPr>
      <w:kern w:val="2"/>
      <w:lang w:eastAsia="zh-CN"/>
    </w:rPr>
  </w:style>
  <w:style w:type="character" w:customStyle="1" w:styleId="14">
    <w:name w:val="页脚 字符"/>
    <w:basedOn w:val="12"/>
    <w:link w:val="7"/>
    <w:autoRedefine/>
    <w:qFormat/>
    <w:uiPriority w:val="0"/>
    <w:rPr>
      <w:kern w:val="2"/>
      <w:lang w:eastAsia="zh-CN"/>
    </w:rPr>
  </w:style>
  <w:style w:type="character" w:customStyle="1" w:styleId="15">
    <w:name w:val="批注框文本 字符"/>
    <w:basedOn w:val="12"/>
    <w:link w:val="6"/>
    <w:autoRedefine/>
    <w:qFormat/>
    <w:uiPriority w:val="0"/>
    <w:rPr>
      <w:rFonts w:asciiTheme="majorHAnsi" w:hAnsiTheme="majorHAnsi" w:eastAsiaTheme="majorEastAsia" w:cstheme="majorBidi"/>
      <w:kern w:val="2"/>
      <w:sz w:val="18"/>
      <w:szCs w:val="18"/>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ED925-E51D-4C48-B0C1-29D6F376AD2D}">
  <ds:schemaRefs/>
</ds:datastoreItem>
</file>

<file path=docProps/app.xml><?xml version="1.0" encoding="utf-8"?>
<Properties xmlns="http://schemas.openxmlformats.org/officeDocument/2006/extended-properties" xmlns:vt="http://schemas.openxmlformats.org/officeDocument/2006/docPropsVTypes">
  <Template>Normal</Template>
  <Pages>15</Pages>
  <Words>6179</Words>
  <Characters>6478</Characters>
  <Lines>6</Lines>
  <Paragraphs>1</Paragraphs>
  <TotalTime>10</TotalTime>
  <ScaleCrop>false</ScaleCrop>
  <LinksUpToDate>false</LinksUpToDate>
  <CharactersWithSpaces>6506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2023-09-21T09:26:00Z</dcterms:created>
  <dc:creator>echo</dc:creator>
  <cp:lastModifiedBy>小笨蛋与小坏蛋</cp:lastModifiedBy>
  <dcterms:modified xsi:type="dcterms:W3CDTF">2024-10-12T05:30:16Z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ADC8E833ACCE4400BDFC52A83A58D8A6</vt:lpwstr>
  </property>
</Properties>
</file>