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附件3.1</w:t>
      </w:r>
    </w:p>
    <w:p>
      <w:pPr>
        <w:ind w:firstLine="880"/>
        <w:jc w:val="center"/>
        <w:rPr>
          <w:rFonts w:hint="eastAsia" w:ascii="黑体" w:hAnsi="黑体" w:eastAsia="黑体" w:cs="Times New Roman"/>
          <w:sz w:val="44"/>
          <w:szCs w:val="44"/>
        </w:rPr>
      </w:pPr>
    </w:p>
    <w:p>
      <w:pPr>
        <w:ind w:firstLine="880"/>
        <w:jc w:val="center"/>
        <w:rPr>
          <w:rFonts w:hint="eastAsia" w:ascii="黑体" w:hAnsi="黑体" w:eastAsia="黑体" w:cs="Times New Roman"/>
          <w:sz w:val="44"/>
          <w:szCs w:val="44"/>
        </w:rPr>
      </w:pPr>
    </w:p>
    <w:p>
      <w:pPr>
        <w:ind w:firstLine="880"/>
        <w:jc w:val="center"/>
        <w:rPr>
          <w:rFonts w:hint="eastAsia" w:ascii="黑体" w:hAnsi="黑体" w:eastAsia="黑体" w:cs="Times New Roman"/>
          <w:sz w:val="44"/>
          <w:szCs w:val="44"/>
        </w:rPr>
      </w:pPr>
    </w:p>
    <w:p>
      <w:pPr>
        <w:ind w:firstLine="880"/>
        <w:jc w:val="center"/>
        <w:rPr>
          <w:rFonts w:hint="eastAsia" w:ascii="黑体" w:hAnsi="黑体" w:eastAsia="黑体" w:cs="Times New Roman"/>
          <w:sz w:val="44"/>
          <w:szCs w:val="44"/>
        </w:rPr>
      </w:pPr>
    </w:p>
    <w:p>
      <w:pPr>
        <w:ind w:firstLine="880"/>
        <w:jc w:val="center"/>
        <w:rPr>
          <w:rFonts w:hint="eastAsia" w:ascii="黑体" w:hAnsi="黑体" w:eastAsia="黑体" w:cs="Times New Roman"/>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广西地方标准《幼儿园智慧安防技术规范》</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（征求意见稿）编制说明</w:t>
      </w:r>
    </w:p>
    <w:p>
      <w:pPr>
        <w:ind w:firstLine="723"/>
        <w:jc w:val="center"/>
        <w:rPr>
          <w:rFonts w:hint="eastAsia" w:ascii="黑体" w:hAnsi="黑体" w:eastAsia="黑体" w:cs="Times New Roman"/>
          <w:b/>
          <w:bCs/>
          <w:sz w:val="36"/>
          <w:szCs w:val="36"/>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jc w:val="center"/>
        <w:rPr>
          <w:rFonts w:hint="eastAsia" w:ascii="黑体" w:hAnsi="黑体" w:eastAsia="黑体" w:cs="Times New Roman"/>
          <w:sz w:val="32"/>
          <w:szCs w:val="32"/>
        </w:rPr>
      </w:pPr>
    </w:p>
    <w:p>
      <w:pPr>
        <w:rPr>
          <w:rFonts w:hint="eastAsia" w:ascii="黑体" w:hAnsi="黑体" w:eastAsia="黑体" w:cs="Times New Roman"/>
          <w:sz w:val="32"/>
          <w:szCs w:val="32"/>
        </w:rPr>
      </w:pPr>
    </w:p>
    <w:p>
      <w:pPr>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2025年1月21日</w:t>
      </w:r>
    </w:p>
    <w:p>
      <w:pPr>
        <w:keepNext/>
        <w:keepLines/>
        <w:ind w:firstLine="642" w:firstLineChars="200"/>
        <w:outlineLvl w:val="0"/>
        <w:rPr>
          <w:rFonts w:hint="eastAsia" w:ascii="仿宋" w:hAnsi="仿宋" w:eastAsia="仿宋" w:cs="Times New Roman"/>
          <w:b/>
          <w:bCs/>
          <w:kern w:val="44"/>
          <w:sz w:val="32"/>
          <w:szCs w:val="32"/>
        </w:rPr>
        <w:sectPr>
          <w:headerReference r:id="rId3" w:type="default"/>
          <w:pgSz w:w="11906" w:h="16838"/>
          <w:pgMar w:top="1587" w:right="1417" w:bottom="1587" w:left="1417" w:header="851" w:footer="992" w:gutter="0"/>
          <w:pgNumType w:fmt="decimal"/>
          <w:cols w:space="425" w:num="1"/>
          <w:titlePg/>
          <w:docGrid w:type="lines" w:linePitch="312" w:charSpace="0"/>
        </w:sectPr>
      </w:pPr>
    </w:p>
    <w:p>
      <w:pPr>
        <w:keepNext/>
        <w:keepLines/>
        <w:spacing w:line="560" w:lineRule="exact"/>
        <w:ind w:firstLine="640" w:firstLineChars="200"/>
        <w:outlineLvl w:val="0"/>
        <w:rPr>
          <w:rFonts w:hint="eastAsia" w:ascii="黑体" w:hAnsi="黑体" w:eastAsia="黑体" w:cs="黑体"/>
          <w:b w:val="0"/>
          <w:bCs w:val="0"/>
          <w:kern w:val="44"/>
          <w:sz w:val="32"/>
          <w:szCs w:val="32"/>
        </w:rPr>
      </w:pPr>
      <w:r>
        <w:rPr>
          <w:rFonts w:hint="eastAsia" w:ascii="黑体" w:hAnsi="黑体" w:eastAsia="黑体" w:cs="黑体"/>
          <w:b w:val="0"/>
          <w:bCs w:val="0"/>
          <w:kern w:val="44"/>
          <w:sz w:val="32"/>
          <w:szCs w:val="32"/>
        </w:rPr>
        <w:t>一、任务来源、起草单位、主要起草人（姓名、单位、职务/职称、参与编</w:t>
      </w:r>
      <w:bookmarkStart w:id="1" w:name="_GoBack"/>
      <w:bookmarkEnd w:id="1"/>
      <w:r>
        <w:rPr>
          <w:rFonts w:hint="eastAsia" w:ascii="黑体" w:hAnsi="黑体" w:eastAsia="黑体" w:cs="黑体"/>
          <w:b w:val="0"/>
          <w:bCs w:val="0"/>
          <w:kern w:val="44"/>
          <w:sz w:val="32"/>
          <w:szCs w:val="32"/>
        </w:rPr>
        <w:t>制标准分工情况）等</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根据《广西壮族自治区市场监督管理局关于下达2023 年广西地方标准制修订项目计划的通知》（桂市监函〔2023〕2257号）文，本标准由广西壮族自治区机关事务管理局提出并归口。广西壮族自治区直属机关第三幼儿园、广西壮族自治区直属机关第一幼儿园及广西壮族自治区标准技术研究院组成编制工作组共同起草。</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2482"/>
        <w:gridCol w:w="2083"/>
        <w:gridCol w:w="2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blHeader/>
          <w:jc w:val="center"/>
        </w:trPr>
        <w:tc>
          <w:tcPr>
            <w:tcW w:w="686" w:type="pct"/>
            <w:vAlign w:val="center"/>
          </w:tcPr>
          <w:p>
            <w:pPr>
              <w:jc w:val="center"/>
              <w:rPr>
                <w:rFonts w:hint="eastAsia" w:ascii="黑体" w:hAnsi="黑体" w:eastAsia="黑体" w:cs="黑体"/>
                <w:sz w:val="24"/>
              </w:rPr>
            </w:pPr>
            <w:r>
              <w:rPr>
                <w:rFonts w:hint="eastAsia" w:ascii="黑体" w:hAnsi="黑体" w:eastAsia="黑体" w:cs="黑体"/>
                <w:sz w:val="24"/>
              </w:rPr>
              <w:t>姓名</w:t>
            </w:r>
          </w:p>
        </w:tc>
        <w:tc>
          <w:tcPr>
            <w:tcW w:w="1456" w:type="pct"/>
            <w:vAlign w:val="center"/>
          </w:tcPr>
          <w:p>
            <w:pPr>
              <w:jc w:val="center"/>
              <w:rPr>
                <w:rFonts w:hint="eastAsia" w:ascii="黑体" w:hAnsi="黑体" w:eastAsia="黑体" w:cs="黑体"/>
                <w:sz w:val="24"/>
              </w:rPr>
            </w:pPr>
            <w:r>
              <w:rPr>
                <w:rFonts w:hint="eastAsia" w:ascii="黑体" w:hAnsi="黑体" w:eastAsia="黑体" w:cs="黑体"/>
                <w:sz w:val="24"/>
              </w:rPr>
              <w:t>单位</w:t>
            </w:r>
          </w:p>
        </w:tc>
        <w:tc>
          <w:tcPr>
            <w:tcW w:w="1222" w:type="pct"/>
            <w:vAlign w:val="center"/>
          </w:tcPr>
          <w:p>
            <w:pPr>
              <w:jc w:val="center"/>
              <w:rPr>
                <w:rFonts w:hint="eastAsia" w:ascii="黑体" w:hAnsi="黑体" w:eastAsia="黑体" w:cs="黑体"/>
                <w:sz w:val="24"/>
              </w:rPr>
            </w:pPr>
            <w:r>
              <w:rPr>
                <w:rFonts w:hint="eastAsia" w:ascii="黑体" w:hAnsi="黑体" w:eastAsia="黑体" w:cs="黑体"/>
                <w:sz w:val="24"/>
              </w:rPr>
              <w:t>职务/职称</w:t>
            </w:r>
          </w:p>
        </w:tc>
        <w:tc>
          <w:tcPr>
            <w:tcW w:w="1633" w:type="pct"/>
            <w:vAlign w:val="center"/>
          </w:tcPr>
          <w:p>
            <w:pPr>
              <w:jc w:val="center"/>
              <w:rPr>
                <w:rFonts w:hint="eastAsia" w:ascii="黑体" w:hAnsi="黑体" w:eastAsia="黑体" w:cs="黑体"/>
                <w:sz w:val="24"/>
              </w:rPr>
            </w:pPr>
            <w:r>
              <w:rPr>
                <w:rFonts w:hint="eastAsia" w:ascii="黑体" w:hAnsi="黑体" w:eastAsia="黑体" w:cs="黑体"/>
                <w:sz w:val="24"/>
              </w:rPr>
              <w:t>参与编制标准分工情况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黄小川</w:t>
            </w:r>
          </w:p>
        </w:tc>
        <w:tc>
          <w:tcPr>
            <w:tcW w:w="145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党组</w:t>
            </w:r>
            <w:r>
              <w:rPr>
                <w:rFonts w:hint="eastAsia" w:ascii="仿宋_GB2312" w:hAnsi="仿宋_GB2312" w:eastAsia="仿宋_GB2312" w:cs="仿宋_GB2312"/>
                <w:sz w:val="24"/>
                <w:lang w:eastAsia="zh-CN"/>
              </w:rPr>
              <w:t>书记</w:t>
            </w:r>
            <w:r>
              <w:rPr>
                <w:rFonts w:hint="eastAsia" w:ascii="仿宋_GB2312" w:hAnsi="仿宋_GB2312" w:eastAsia="仿宋_GB2312" w:cs="仿宋_GB2312"/>
                <w:sz w:val="24"/>
              </w:rPr>
              <w:t>、局长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梁万山</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党组成员、副局长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项目统筹、组织协调、</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黄译萩</w:t>
            </w:r>
          </w:p>
        </w:tc>
        <w:tc>
          <w:tcPr>
            <w:tcW w:w="145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党组成员、副局长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王合义</w:t>
            </w:r>
          </w:p>
        </w:tc>
        <w:tc>
          <w:tcPr>
            <w:tcW w:w="145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人事处处长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项目统筹、组织协调、</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罗  捷</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法规处二级调研员</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秦  义</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人事处副处长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杨正谢</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法规处副处长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何  剑</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广西壮族自治区机关事务管理局</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法规处科长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组织协调、调研、终稿</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秦红梅</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园长/中小学高级教师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项目统筹、组织协调、</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调研、终稿审核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黄煜淇</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广西壮族自治区直属机关第三幼儿园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园长/中小学高级教师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朱立德</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副园长/中小学高级教师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项目统筹、条款编制和 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温  乐</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广西壮族自治区直属机关第三幼儿园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副园长/中小学</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一级教师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项目统筹、条款编制和 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关博仁</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广西壮族自治区直属机关第三幼儿园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pacing w:val="-11"/>
                <w:sz w:val="24"/>
              </w:rPr>
              <w:t>行政班组长/信息处理技术员（初级）</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孟  璇</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广西壮族自治区直属机关第三幼儿园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总务班组长</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覃  艺</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广西壮族自治区直属机关第三幼儿园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计算机专技人员</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覃建校</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副园长/中小学</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高级教师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项目统筹、条款编制和 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骆伟光</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后勤主任/信息</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处理技术员</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杨洁蓓</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pacing w:val="-11"/>
                <w:sz w:val="24"/>
              </w:rPr>
              <w:t>办公室主任/中小学</w:t>
            </w:r>
            <w:r>
              <w:rPr>
                <w:rFonts w:hint="eastAsia" w:ascii="仿宋_GB2312" w:hAnsi="仿宋_GB2312" w:eastAsia="仿宋_GB2312" w:cs="仿宋_GB2312"/>
                <w:sz w:val="24"/>
              </w:rPr>
              <w:t>一级</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陆文忠</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广西壮族自治区直属机关第一幼儿园</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工程员/助理</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工程师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项目筹划和实施、条款 编制和研究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王  欢</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广西壮族自治区标准技术研究院</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副院长/高级</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工程师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项目调研、条款编制、标准排版和校对、标准宣贯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梁  源</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广西壮族自治区标准技术研究院</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部长/工程师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项目调研、条款编制、标准排版和校对、标准宣贯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林  歆</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广西壮族自治区标准技术研究院</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技术工作人员</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标准草案撰写、标准排版和校对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李  娜</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广西壮族自治区标准技术研究院</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助理工程师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标准草案撰写、标准排版和校对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686" w:type="pct"/>
            <w:shd w:val="clear" w:color="auto" w:fill="auto"/>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何  琛</w:t>
            </w:r>
          </w:p>
        </w:tc>
        <w:tc>
          <w:tcPr>
            <w:tcW w:w="1456"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广西壮族自治区标准技术研究院</w:t>
            </w:r>
          </w:p>
        </w:tc>
        <w:tc>
          <w:tcPr>
            <w:tcW w:w="1222"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pacing w:val="-11"/>
                <w:sz w:val="24"/>
              </w:rPr>
              <w:t>副部长/助理工程师</w:t>
            </w:r>
          </w:p>
        </w:tc>
        <w:tc>
          <w:tcPr>
            <w:tcW w:w="1633" w:type="pc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标准草案撰写、标准排版和校对</w:t>
            </w:r>
          </w:p>
        </w:tc>
      </w:tr>
    </w:tbl>
    <w:p>
      <w:pPr>
        <w:keepNext/>
        <w:keepLines/>
        <w:ind w:firstLine="640" w:firstLineChars="200"/>
        <w:outlineLvl w:val="0"/>
        <w:rPr>
          <w:rFonts w:hint="eastAsia" w:ascii="黑体" w:hAnsi="黑体" w:eastAsia="黑体" w:cs="Times New Roman"/>
          <w:b w:val="0"/>
          <w:bCs w:val="0"/>
          <w:kern w:val="44"/>
          <w:sz w:val="32"/>
          <w:szCs w:val="32"/>
        </w:rPr>
      </w:pPr>
      <w:r>
        <w:rPr>
          <w:rFonts w:hint="eastAsia" w:ascii="黑体" w:hAnsi="黑体" w:eastAsia="黑体" w:cs="Times New Roman"/>
          <w:b w:val="0"/>
          <w:bCs w:val="0"/>
          <w:kern w:val="44"/>
          <w:sz w:val="32"/>
          <w:szCs w:val="32"/>
        </w:rPr>
        <w:t>二、制定标准的必要性和意义</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（一）制定标准的必要性</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部印发《教育信息化2.0行动计划》（教技〔2018〕6号）中的主要任务是持续推动信息技术与教育深度融合促进两个方面水平提高。随着社会经济的发展和科学技术的进步，安全防范技术和手段也得到了快速地发展和技术迭代。2021年，我区发布并实施了DB45/T 2283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2021《幼儿园安全管理规范》，其中规定了幼儿园应在大门、围墙、活动室、服务厅、寝室、食堂操作间等重点部位安装视频监控设备，并对视频监控的要求对GB/T 29315进行了规范性引用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2022年修订的GB/T 29315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2022中，则对于中小学、幼儿</w:t>
      </w:r>
      <w:r>
        <w:rPr>
          <w:rFonts w:hint="eastAsia" w:ascii="仿宋_GB2312" w:hAnsi="仿宋_GB2312" w:eastAsia="仿宋_GB2312" w:cs="仿宋_GB2312"/>
          <w:sz w:val="32"/>
          <w:szCs w:val="32"/>
        </w:rPr>
        <w:t>园“电子防范”提出了更</w:t>
      </w:r>
      <w:r>
        <w:rPr>
          <w:rFonts w:hint="default" w:ascii="Times New Roman" w:hAnsi="Times New Roman" w:eastAsia="仿宋_GB2312" w:cs="Times New Roman"/>
          <w:sz w:val="32"/>
          <w:szCs w:val="32"/>
        </w:rPr>
        <w:t>新的要求，幼儿园信息化建设特别是安防方面的信息化建设已经是大势所趋。现根据当前我区幼儿园安防智能化建设需求提出制定本文件，以健全我区幼儿园安防标准体系，有利于帮助幼儿园落实安防主体责任单位的意识，促进平安校园建设，在实现智能、安全、高效管理，推动维护社会稳定方面也将发挥重要作用。</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目前，国内还未有正式公开发布关于幼儿园智慧安防的国家标准。国家标准GB/T 29315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2022《中小学、幼儿园安全防范要求》对中小学及幼儿园的人力防范、实体防范、电子防范和安全防范系统技术提出了总体要求，未对各系统细项技术指标作要求。例如：GB/T 29315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2022的9.3视频监控系统这一条款，对存储图像的帧率、像素及存储时间等技术指标做出了规定。而本文件的第5章视频监控系统中，在GB/T 29315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2022规定的相关要求基础上还对人脸监测、权限功能设置等功能及技术指标提出了要求。本文件的制定在国标GB/T 29315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相关要求的基础上，结合广西幼儿园实际情况对幼儿园智慧安防技术提出了相关要求。广西区内也未有相关幼儿园智慧安防的标准。校园安全问题关系着千家万户的幸福，也涉及社会的安宁和国家的长远发展。加强校园安全防范系统建设是增强校园安防能力、有效抵御不法侵害的迫切需要。为提高我区幼儿园智慧安防技术的规范化、科学化水平研制《幼儿园智慧安防技术规范》广西地方标准是十分必要的。</w:t>
      </w:r>
    </w:p>
    <w:p>
      <w:pPr>
        <w:ind w:firstLine="640" w:firstLineChars="200"/>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（二）制定标准的意义</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方标准《幼儿园智慧安防技术规范》是认真贯彻落实习近平总书记关于进一步加强校园、社会少年儿童安全防护工作重要指示精神的具体实践，是贯彻落实党中央关于未成年人保护方面决策部署的重要举措。标准的制定弥补了系统技术指标与新技术应用不匹配不协调等问题，对于进一步完善幼儿园安全防范工作规范体系、保障亿万家庭幸福、实现人民群众美好生活需要具有重要意义。</w:t>
      </w:r>
    </w:p>
    <w:p>
      <w:pPr>
        <w:keepNext/>
        <w:keepLines/>
        <w:ind w:firstLine="640" w:firstLineChars="200"/>
        <w:jc w:val="both"/>
        <w:outlineLvl w:val="0"/>
        <w:rPr>
          <w:rFonts w:hint="default" w:ascii="黑体" w:hAnsi="黑体" w:eastAsia="黑体" w:cs="黑体"/>
          <w:b w:val="0"/>
          <w:bCs w:val="0"/>
          <w:kern w:val="44"/>
          <w:sz w:val="32"/>
          <w:szCs w:val="32"/>
        </w:rPr>
      </w:pPr>
      <w:r>
        <w:rPr>
          <w:rFonts w:hint="default" w:ascii="黑体" w:hAnsi="黑体" w:eastAsia="黑体" w:cs="黑体"/>
          <w:b w:val="0"/>
          <w:bCs w:val="0"/>
          <w:kern w:val="44"/>
          <w:sz w:val="32"/>
          <w:szCs w:val="32"/>
        </w:rPr>
        <w:t>三、主要起草过程</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成立编制工作组</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西地方标准《幼儿园智慧安防技术规范》工作任务下达后，广西壮族自治区直属机关第三幼儿园、广西壮族自治区直属机关第一幼儿园及广西壮族自治区标准技术研究院共同成立了标准编制工作组，制定了标准编制的工作方案和起草组成员调研、起草工作时间安排表，就标准研制进行任务分工。</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资料收集与实地调研</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制小组根据任务分工进行了资料收集和调查研究分析工作。一是开展文献和政策调研，对国家、自治区、其他省（直辖市）有关校园安全防范标准及相关政策进行调研和梳理；二是开展体系建设调研，对区内幼儿园智慧安防体系建设情况调研，包括防范区域、技防设施、安防系统技术指标等；三是开展资源配置调研，调研区内开展幼儿园智慧安防技术所需的信息资源、人力资源、基础设施以及财务资源配置情况；四是开展规范性文件调研，包括《幼儿园智慧安防技术规范》地方标准涉及的范围、术语与定义、规范性引用文件、总体要求、系统技术功能要求以及技术指标要求等方面的内容开展调研。</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研讨确定标准主体内容</w:t>
      </w:r>
    </w:p>
    <w:p>
      <w:pPr>
        <w:ind w:firstLine="640" w:firstLineChars="200"/>
        <w:jc w:val="both"/>
        <w:rPr>
          <w:rFonts w:hint="default" w:ascii="Times New Roman" w:hAnsi="Times New Roman" w:eastAsia="仿宋_GB2312" w:cs="Times New Roman"/>
          <w:sz w:val="32"/>
          <w:szCs w:val="32"/>
        </w:rPr>
      </w:pPr>
      <w:bookmarkStart w:id="0" w:name="_Hlk118979511"/>
      <w:r>
        <w:rPr>
          <w:rFonts w:hint="default" w:ascii="Times New Roman" w:hAnsi="Times New Roman" w:eastAsia="仿宋_GB2312" w:cs="Times New Roman"/>
          <w:sz w:val="32"/>
          <w:szCs w:val="32"/>
        </w:rPr>
        <w:t>在对收集的资料进行整理研究之后，编写小组召开了标准编制会议，对标准的框架结构进行了研究，并对关键性内容进行了初步探讨。经过研究，标准的主体内容为总体要求、视频监控系统、入侵报警系统、紧急报警系统、一键式紧急报警系统、出入口控制系统、电子巡查系统、访客管理系统、防冲撞系统或设施、应急广播系统、安全技术防范管理平台、监控中心、检验及验收与运行及维护14个部分。</w:t>
      </w:r>
      <w:bookmarkEnd w:id="0"/>
    </w:p>
    <w:p>
      <w:pPr>
        <w:ind w:firstLine="640" w:firstLineChars="200"/>
        <w:jc w:val="both"/>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（四）编制标准</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在调研的基础上，根据幼儿园智慧安防技术的关键要点和区内外智慧安防技术的先进经验和要求，形成地方标准《幼儿园智慧安防技术规范》（征求意见稿）。</w:t>
      </w:r>
    </w:p>
    <w:p>
      <w:pPr>
        <w:keepNext/>
        <w:keepLines/>
        <w:ind w:firstLine="640" w:firstLineChars="200"/>
        <w:jc w:val="both"/>
        <w:outlineLvl w:val="0"/>
        <w:rPr>
          <w:rFonts w:hint="default" w:ascii="黑体" w:hAnsi="黑体" w:eastAsia="黑体" w:cs="黑体"/>
          <w:b w:val="0"/>
          <w:bCs w:val="0"/>
          <w:kern w:val="44"/>
          <w:sz w:val="32"/>
          <w:szCs w:val="32"/>
        </w:rPr>
      </w:pPr>
      <w:r>
        <w:rPr>
          <w:rFonts w:hint="default" w:ascii="黑体" w:hAnsi="黑体" w:eastAsia="黑体" w:cs="黑体"/>
          <w:b w:val="0"/>
          <w:bCs w:val="0"/>
          <w:kern w:val="44"/>
          <w:sz w:val="32"/>
          <w:szCs w:val="32"/>
        </w:rPr>
        <w:t>四、制定标准的原则和依据，与现行法律、法规的关系， 与有关国家标准、行业标准的协调情况</w:t>
      </w:r>
    </w:p>
    <w:p>
      <w:pPr>
        <w:ind w:firstLine="640" w:firstLineChars="200"/>
        <w:jc w:val="both"/>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（一）制定标准的原则</w:t>
      </w:r>
    </w:p>
    <w:p>
      <w:pPr>
        <w:numPr>
          <w:ilvl w:val="2"/>
          <w:numId w:val="0"/>
        </w:numPr>
        <w:spacing w:line="560" w:lineRule="exact"/>
        <w:ind w:firstLine="640"/>
        <w:jc w:val="both"/>
        <w:outlineLvl w:val="2"/>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1.规范性原则</w:t>
      </w:r>
    </w:p>
    <w:p>
      <w:pPr>
        <w:spacing w:line="560" w:lineRule="exact"/>
        <w:ind w:firstLine="640" w:firstLineChars="200"/>
        <w:jc w:val="both"/>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标准的编写格式按GB/T 1.1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28"/>
        </w:rPr>
        <w:t>2020《标准化工作导则  第1部分：标准化文件的结构和起草规则》给出的规定进行编写。</w:t>
      </w:r>
    </w:p>
    <w:p>
      <w:pPr>
        <w:numPr>
          <w:ilvl w:val="2"/>
          <w:numId w:val="0"/>
        </w:numPr>
        <w:spacing w:line="560" w:lineRule="exact"/>
        <w:ind w:firstLine="640"/>
        <w:jc w:val="both"/>
        <w:outlineLvl w:val="2"/>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2.一致性原则</w:t>
      </w:r>
    </w:p>
    <w:p>
      <w:pPr>
        <w:spacing w:line="560" w:lineRule="exact"/>
        <w:ind w:firstLine="640" w:firstLineChars="200"/>
        <w:jc w:val="both"/>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标准内容与现行的国家和自治区相关法律法规、政策等保持一致。</w:t>
      </w:r>
    </w:p>
    <w:p>
      <w:pPr>
        <w:numPr>
          <w:ilvl w:val="2"/>
          <w:numId w:val="0"/>
        </w:numPr>
        <w:spacing w:line="560" w:lineRule="exact"/>
        <w:ind w:firstLine="640"/>
        <w:jc w:val="both"/>
        <w:outlineLvl w:val="2"/>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3.可操作性原则</w:t>
      </w:r>
    </w:p>
    <w:p>
      <w:pPr>
        <w:spacing w:line="560" w:lineRule="exact"/>
        <w:ind w:firstLine="640" w:firstLineChars="200"/>
        <w:jc w:val="both"/>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确保标准文本内容准确与严谨，使标准具有良好的实用性和可行性。</w:t>
      </w:r>
    </w:p>
    <w:p>
      <w:pPr>
        <w:ind w:firstLine="640" w:firstLineChars="200"/>
        <w:jc w:val="both"/>
        <w:rPr>
          <w:rFonts w:hint="default" w:ascii="楷体_GB2312" w:hAnsi="楷体_GB2312" w:eastAsia="楷体_GB2312" w:cs="楷体_GB2312"/>
          <w:sz w:val="32"/>
          <w:szCs w:val="32"/>
        </w:rPr>
      </w:pPr>
      <w:r>
        <w:rPr>
          <w:rFonts w:hint="default" w:ascii="楷体_GB2312" w:hAnsi="楷体_GB2312" w:eastAsia="楷体_GB2312" w:cs="楷体_GB2312"/>
          <w:sz w:val="32"/>
          <w:szCs w:val="32"/>
        </w:rPr>
        <w:t>（二）与现行法律、法规的关系，与有关国家标准、行业标准的协调情况</w:t>
      </w:r>
    </w:p>
    <w:p>
      <w:pPr>
        <w:spacing w:line="560" w:lineRule="exact"/>
        <w:ind w:firstLine="640" w:firstLineChars="200"/>
        <w:jc w:val="both"/>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本标准与现行法律、法规及强制性标准无冲突。目前，幼儿园智慧安防技术规范尚无国家标准和行业标准，广西区内尚无相关地方标准。</w:t>
      </w:r>
    </w:p>
    <w:p>
      <w:pPr>
        <w:keepNext/>
        <w:keepLines/>
        <w:ind w:firstLine="640" w:firstLineChars="200"/>
        <w:jc w:val="both"/>
        <w:outlineLvl w:val="0"/>
        <w:rPr>
          <w:rFonts w:hint="default" w:ascii="黑体" w:hAnsi="黑体" w:eastAsia="黑体" w:cs="黑体"/>
          <w:b w:val="0"/>
          <w:bCs w:val="0"/>
          <w:kern w:val="44"/>
          <w:sz w:val="32"/>
          <w:szCs w:val="32"/>
        </w:rPr>
      </w:pPr>
      <w:r>
        <w:rPr>
          <w:rFonts w:hint="default" w:ascii="黑体" w:hAnsi="黑体" w:eastAsia="黑体" w:cs="黑体"/>
          <w:b w:val="0"/>
          <w:bCs w:val="0"/>
          <w:kern w:val="44"/>
          <w:sz w:val="32"/>
          <w:szCs w:val="32"/>
        </w:rPr>
        <w:t>五、主要条款的说明，主要技术指标、参数、试验验证的论述</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幼儿园智慧安防技术规范》给出了范围、规范性引用文件、术语和定义、总体要求、视频监控系统、入侵报警系统、紧急报警系统、一键式紧急报警系统、出入口控制系统、电子巡查系统、访客管理系统、防冲撞系统或设施、应急广播系统、安全技术防范管理平台、监控中心、检验及验收与运行及维护。以下对标准的主要条款进行简要说明。</w:t>
      </w:r>
    </w:p>
    <w:p>
      <w:pPr>
        <w:ind w:firstLine="640" w:firstLineChars="200"/>
        <w:jc w:val="both"/>
        <w:rPr>
          <w:rFonts w:hint="default"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default" w:ascii="楷体_GB2312" w:hAnsi="楷体_GB2312" w:eastAsia="楷体_GB2312" w:cs="楷体_GB2312"/>
          <w:sz w:val="32"/>
          <w:szCs w:val="32"/>
        </w:rPr>
        <w:t>范围</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界定了对幼儿园智慧安防技术的术语定义，规定了幼儿园智慧安防技术的总体要求、视频监控系统、入侵和紧急报警系统、出入口控制系统、电子巡查系统、访客管理系统、防冲撞系统或设施、应急广播系统、安全技术防范管理平台、监控中心、检验及验收与运行及维护的要求。</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本文件适用于广西壮族自治区行政区域内各类幼儿园智慧安防系统的建设。</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规范性引用文件</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本标准要求中引用文件为规范性引用，直接引用已有标准中的相关内容，相关引用文件列入了规范性引用文件中。</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术语和定义</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50348界定的以及标准中列出的术语和定义适用于本文件。</w:t>
      </w:r>
    </w:p>
    <w:p>
      <w:pPr>
        <w:numPr>
          <w:ilvl w:val="0"/>
          <w:numId w:val="0"/>
        </w:numPr>
        <w:ind w:firstLine="640" w:firstLineChars="200"/>
        <w:jc w:val="both"/>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（四）</w:t>
      </w:r>
      <w:r>
        <w:rPr>
          <w:rFonts w:hint="eastAsia" w:ascii="楷体_GB2312" w:hAnsi="楷体_GB2312" w:eastAsia="楷体_GB2312" w:cs="楷体_GB2312"/>
          <w:sz w:val="32"/>
          <w:szCs w:val="32"/>
        </w:rPr>
        <w:t>总体要求</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本章提出了幼儿园智慧安防技术的总体要求。</w:t>
      </w:r>
    </w:p>
    <w:p>
      <w:pPr>
        <w:numPr>
          <w:ilvl w:val="0"/>
          <w:numId w:val="0"/>
        </w:numPr>
        <w:ind w:firstLine="640" w:firstLineChars="200"/>
        <w:jc w:val="both"/>
        <w:outlineLvl w:val="1"/>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（五）</w:t>
      </w:r>
      <w:r>
        <w:rPr>
          <w:rFonts w:hint="eastAsia" w:ascii="楷体_GB2312" w:hAnsi="楷体_GB2312" w:eastAsia="楷体_GB2312" w:cs="楷体_GB2312"/>
          <w:color w:val="000000" w:themeColor="text1"/>
          <w:sz w:val="32"/>
          <w:szCs w:val="32"/>
          <w14:textFill>
            <w14:solidFill>
              <w14:schemeClr w14:val="tx1"/>
            </w14:solidFill>
          </w14:textFill>
        </w:rPr>
        <w:t>视频监控系统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本章提出了视频监控系统的基本要求、主要功能及主要技术指标的要求。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图像手动或自动切换功能，记录图像包含图像编号/地址、时间和日期的字符叠加，视频切换系统信息存储，自主添加标记重点关注人员或加入重点关注人员名单，人脸识别功能的系统配置有存储管理设备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主要技术指标包含：图像分辨率不低于1920×1080像素（依据：GB/T 28181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14:textFill>
            <w14:solidFill>
              <w14:schemeClr w14:val="tx1"/>
            </w14:solidFill>
          </w14:textFill>
        </w:rPr>
        <w:t>2018 视频监控数字接口规范）;监控图像和声音记录保存时间不少于30d；人脸识别准确率：不低于95%。</w:t>
      </w:r>
    </w:p>
    <w:p>
      <w:pPr>
        <w:numPr>
          <w:ilvl w:val="0"/>
          <w:numId w:val="0"/>
        </w:numPr>
        <w:ind w:firstLine="640" w:firstLineChars="200"/>
        <w:jc w:val="both"/>
        <w:outlineLvl w:val="1"/>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（六）</w:t>
      </w:r>
      <w:r>
        <w:rPr>
          <w:rFonts w:hint="eastAsia" w:ascii="楷体_GB2312" w:hAnsi="楷体_GB2312" w:eastAsia="楷体_GB2312" w:cs="楷体_GB2312"/>
          <w:color w:val="000000" w:themeColor="text1"/>
          <w:sz w:val="32"/>
          <w:szCs w:val="32"/>
          <w14:textFill>
            <w14:solidFill>
              <w14:schemeClr w14:val="tx1"/>
            </w14:solidFill>
          </w14:textFill>
        </w:rPr>
        <w:t>入侵报警系统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本章提出了入侵报警系统的基本要求、主要功能和主要技术指标要求。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主要功能包含：能分区域或独立布撤防，入侵探测装置设置无盲区，编程、密码操作保护和联网，报警、故障、被破坏、操作信息显示和记录等；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主要技术指标包含：发出声光报警，室内报警声压不小于80dB</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A</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，室外报警声压不小于100dB</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A</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，报警持续时间不小于5min，报警响应时间不大于2s，使用公共电话网络传输时报警响应时间不大于20s等。</w:t>
      </w:r>
    </w:p>
    <w:p>
      <w:pPr>
        <w:numPr>
          <w:ilvl w:val="0"/>
          <w:numId w:val="0"/>
        </w:numPr>
        <w:ind w:firstLine="640" w:firstLineChars="200"/>
        <w:jc w:val="both"/>
        <w:outlineLvl w:val="1"/>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（七）</w:t>
      </w:r>
      <w:r>
        <w:rPr>
          <w:rFonts w:hint="eastAsia" w:ascii="楷体_GB2312" w:hAnsi="楷体_GB2312" w:eastAsia="楷体_GB2312" w:cs="楷体_GB2312"/>
          <w:color w:val="000000" w:themeColor="text1"/>
          <w:sz w:val="32"/>
          <w:szCs w:val="32"/>
          <w14:textFill>
            <w14:solidFill>
              <w14:schemeClr w14:val="tx1"/>
            </w14:solidFill>
          </w14:textFill>
        </w:rPr>
        <w:t>紧急报警系统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本章提出了紧急报警系统的基本要求、主要功能和主要技术指标要求。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主要功能包含：任何情况下触发紧急报警求助按钮在系统上显示出报警求助发生的地址，安装紧急报警求助装置的幼儿园系统支持联动报警点附近的摄像机画面在监控中心（室）电视墙上做弹屏显示；</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主要技术指标包含：报警响应时间不大于2s，使用IP网络传输时系统的报警响应时间不大于4s等。</w:t>
      </w:r>
    </w:p>
    <w:p>
      <w:pPr>
        <w:numPr>
          <w:ilvl w:val="0"/>
          <w:numId w:val="0"/>
        </w:numPr>
        <w:ind w:firstLine="640" w:firstLineChars="200"/>
        <w:jc w:val="both"/>
        <w:outlineLvl w:val="1"/>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（八）</w:t>
      </w:r>
      <w:r>
        <w:rPr>
          <w:rFonts w:hint="eastAsia" w:ascii="楷体_GB2312" w:hAnsi="楷体_GB2312" w:eastAsia="楷体_GB2312" w:cs="楷体_GB2312"/>
          <w:color w:val="000000" w:themeColor="text1"/>
          <w:sz w:val="32"/>
          <w:szCs w:val="32"/>
          <w14:textFill>
            <w14:solidFill>
              <w14:schemeClr w14:val="tx1"/>
            </w14:solidFill>
          </w14:textFill>
        </w:rPr>
        <w:t>一键式紧急报警系统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本章提出了一键式紧急报警系统的基本要求、主要功能和主要技术指标要求。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主要功能包含：支持通过固定电话（PSTN）或移动电话网络（2G/3G/4G/5G）拨打属地110报警电话，支持模式包括但不限于电话报警、网络报警两种模式等；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主要技术指标包含：经由PSTN网络传输的不大于20s，经由IP网络传输的，不大于4s等。</w:t>
      </w:r>
    </w:p>
    <w:p>
      <w:pPr>
        <w:numPr>
          <w:ilvl w:val="0"/>
          <w:numId w:val="0"/>
        </w:numPr>
        <w:ind w:firstLine="640" w:firstLineChars="200"/>
        <w:jc w:val="both"/>
        <w:outlineLvl w:val="1"/>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（九）</w:t>
      </w:r>
      <w:r>
        <w:rPr>
          <w:rFonts w:hint="eastAsia" w:ascii="楷体_GB2312" w:hAnsi="楷体_GB2312" w:eastAsia="楷体_GB2312" w:cs="楷体_GB2312"/>
          <w:color w:val="000000" w:themeColor="text1"/>
          <w:sz w:val="32"/>
          <w:szCs w:val="32"/>
          <w14:textFill>
            <w14:solidFill>
              <w14:schemeClr w14:val="tx1"/>
            </w14:solidFill>
          </w14:textFill>
        </w:rPr>
        <w:t>出入口控制系统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本章提出了出入口控制系统的基本要求、主要功能和主要技术指标要求。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管理主机能对系统中的有关信息自动记录、存储、打印，并防篡改、防销毁，支持进出校园的人员信息自动通知相关人员，用于消防通道口的出入口控制系统与消防报警系统或其他紧急疏散系统相互联动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主要技术指标包含：主要操作响应时间不大于2s，触发报警响应时间不大于1s，能根据安装环境以及校园高峰期人流量设计多个人员通道等。</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w:t>
      </w:r>
      <w:r>
        <w:rPr>
          <w:rFonts w:hint="default" w:ascii="楷体_GB2312" w:hAnsi="楷体_GB2312" w:eastAsia="楷体_GB2312" w:cs="楷体_GB2312"/>
          <w:color w:val="000000" w:themeColor="text1"/>
          <w:sz w:val="32"/>
          <w:szCs w:val="32"/>
          <w14:textFill>
            <w14:solidFill>
              <w14:schemeClr w14:val="tx1"/>
            </w14:solidFill>
          </w14:textFill>
        </w:rPr>
        <w:t>电子巡查系统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本章提出了电子巡查系统的基本要求、主要功能和主要技术指标要求。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主要功能包含：能够设定巡查人员的时间、点位和路线，能显示、存储、查询、输出巡查的时间、地点、人员等信息，支持巡查违规记录提示等；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主要技术指标包含：采集装置存储巡查信息不小于4000条，巡查时间、线路等相关信息的存储时间不小于90d等。</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（十一）</w:t>
      </w:r>
      <w:r>
        <w:rPr>
          <w:rFonts w:hint="default" w:ascii="楷体_GB2312" w:hAnsi="楷体_GB2312" w:eastAsia="楷体_GB2312" w:cs="楷体_GB2312"/>
          <w:color w:val="000000" w:themeColor="text1"/>
          <w:sz w:val="32"/>
          <w:szCs w:val="32"/>
          <w14:textFill>
            <w14:solidFill>
              <w14:schemeClr w14:val="tx1"/>
            </w14:solidFill>
          </w14:textFill>
        </w:rPr>
        <w:t>访客管理系统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本章提出了访客管理系统的主要功能和主要技术指标要求。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主要功能包含：人证比对，登记和管理外来人员的基本信息等；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主要技术指标：访客人员信息保存时间应不小于180d。</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（十二）</w:t>
      </w:r>
      <w:r>
        <w:rPr>
          <w:rFonts w:hint="default" w:ascii="楷体_GB2312" w:hAnsi="楷体_GB2312" w:eastAsia="楷体_GB2312" w:cs="楷体_GB2312"/>
          <w:color w:val="000000" w:themeColor="text1"/>
          <w:sz w:val="32"/>
          <w:szCs w:val="32"/>
          <w14:textFill>
            <w14:solidFill>
              <w14:schemeClr w14:val="tx1"/>
            </w14:solidFill>
          </w14:textFill>
        </w:rPr>
        <w:t>防冲撞系统或设施</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本章提出了防冲撞系统或设施的主要功能和主要技术指标要求。</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（十三）</w:t>
      </w:r>
      <w:r>
        <w:rPr>
          <w:rFonts w:hint="default" w:ascii="楷体_GB2312" w:hAnsi="楷体_GB2312" w:eastAsia="楷体_GB2312" w:cs="楷体_GB2312"/>
          <w:color w:val="000000" w:themeColor="text1"/>
          <w:sz w:val="32"/>
          <w:szCs w:val="32"/>
          <w14:textFill>
            <w14:solidFill>
              <w14:schemeClr w14:val="tx1"/>
            </w14:solidFill>
          </w14:textFill>
        </w:rPr>
        <w:t>应急广播系统</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本章提出了应急广播系统的主要功能和主要技术指标要求。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主要功能包含：能有效地覆盖到幼儿园的每个地点，能独立向师生传递准确信息，与幼儿园日常的铃声、广播声等声音要有所差异，多种图文警报及对应音频模式等；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主要技术指标包含：在报警状态下播放报警声音声压不小于80dB</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A</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，有线或无线话筒喊话对讲2 km内（直线距离）能清晰传音等。</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（十四）</w:t>
      </w:r>
      <w:r>
        <w:rPr>
          <w:rFonts w:hint="default" w:ascii="楷体_GB2312" w:hAnsi="楷体_GB2312" w:eastAsia="楷体_GB2312" w:cs="楷体_GB2312"/>
          <w:color w:val="000000" w:themeColor="text1"/>
          <w:sz w:val="32"/>
          <w:szCs w:val="32"/>
          <w14:textFill>
            <w14:solidFill>
              <w14:schemeClr w14:val="tx1"/>
            </w14:solidFill>
          </w14:textFill>
        </w:rPr>
        <w:t>安全技术防范管理平台</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本章提出了安全技术防范管理平台的基本要求、主要功能和主要技术指标要求。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主要功能包含：支持从设备、网页、小程序等渠道通过拍照方式录入人脸，所有出入口控制装置同步出入数据至安全技术防范管理平台，智能人脸抓拍识别摄像机能同步人脸识别数据至安全技术防范管理平台等；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主要技术指标包含：执行查询操作到获得最新人员进出数据的等待时长宜不大于10s，系统执行查询操作到获得最新人员进出数据（如人脸图、姓名、识别地点、识别时间等）的等待时长宜不大于10s等。</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（十五）</w:t>
      </w:r>
      <w:r>
        <w:rPr>
          <w:rFonts w:hint="default" w:ascii="楷体_GB2312" w:hAnsi="楷体_GB2312" w:eastAsia="楷体_GB2312" w:cs="楷体_GB2312"/>
          <w:color w:val="000000" w:themeColor="text1"/>
          <w:sz w:val="32"/>
          <w:szCs w:val="32"/>
          <w14:textFill>
            <w14:solidFill>
              <w14:schemeClr w14:val="tx1"/>
            </w14:solidFill>
          </w14:textFill>
        </w:rPr>
        <w:t>监控中心</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本章提出了监控中心的主要功能和主要技术指标要求。</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主要功能包含：系统规模较大、中心设备较多时监控中心（室）设置专用机房，幼儿园大门门卫值班室（传达室）、幼儿园宿舍楼（区）值班室设置分控中心（室）等；</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主要技术指标：应符合GB/T 2887、GB 50348的规定。</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（十六）</w:t>
      </w:r>
      <w:r>
        <w:rPr>
          <w:rFonts w:hint="default" w:ascii="楷体_GB2312" w:hAnsi="楷体_GB2312" w:eastAsia="楷体_GB2312" w:cs="楷体_GB2312"/>
          <w:color w:val="000000" w:themeColor="text1"/>
          <w:sz w:val="32"/>
          <w:szCs w:val="32"/>
          <w14:textFill>
            <w14:solidFill>
              <w14:schemeClr w14:val="tx1"/>
            </w14:solidFill>
          </w14:textFill>
        </w:rPr>
        <w:t>检验及验收</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检验要求及测试方法：需对每个子系统（视频监控、入侵报警等）进行单独测试，并进行系统集成测试，确保各系统之间能够正常联动。测试项目包括功能测试、性能测试、安全测试、可靠性测试等。具体测试方法符合GB 50348中的规定。</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验收标准：所有测试项目均需达到规定的技术指标要求，并出具相应的测试报告。系统运行稳定可靠，满足幼儿园的安全需求。需提供完整的技术文档和操作手册。</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（十七）</w:t>
      </w:r>
      <w:r>
        <w:rPr>
          <w:rFonts w:hint="default" w:ascii="楷体_GB2312" w:hAnsi="楷体_GB2312" w:eastAsia="楷体_GB2312" w:cs="楷体_GB2312"/>
          <w:color w:val="000000" w:themeColor="text1"/>
          <w:sz w:val="32"/>
          <w:szCs w:val="32"/>
          <w14:textFill>
            <w14:solidFill>
              <w14:schemeClr w14:val="tx1"/>
            </w14:solidFill>
          </w14:textFill>
        </w:rPr>
        <w:t>运行及维护</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系统运行：系统运行应符合GB 50348和GA 1383的规定。应保持7×24小时稳定运行，并定期进行维护和检查。应建立完善的运行日志和故障记录，以便及时发现和解决问题。</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系统维护应符合GB 50348、GA/T 669.1和GA 1383的规定。应制定详细的维护计划，包括定期巡检、设备维护、软件升级、数据备份等。应有专业的技术人员负责系统的日常维护和故障排除。定期进行安全漏洞扫描和修复。</w:t>
      </w:r>
    </w:p>
    <w:p>
      <w:pPr>
        <w:ind w:firstLine="640" w:firstLineChars="200"/>
        <w:jc w:val="both"/>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安全管理：建立完善的安全管理制度，包括人员管理、权限控制、数据安全等。定期对系统进行安全评估，确保系统的安全性和可靠性。制定数据备份和恢复方案，防止数据丢失。</w:t>
      </w:r>
    </w:p>
    <w:p>
      <w:pPr>
        <w:keepNext/>
        <w:keepLines/>
        <w:ind w:firstLine="640" w:firstLineChars="200"/>
        <w:jc w:val="both"/>
        <w:outlineLvl w:val="0"/>
        <w:rPr>
          <w:rFonts w:hint="default" w:ascii="黑体" w:hAnsi="黑体" w:eastAsia="黑体" w:cs="黑体"/>
          <w:b w:val="0"/>
          <w:bCs w:val="0"/>
          <w:kern w:val="44"/>
          <w:sz w:val="32"/>
          <w:szCs w:val="32"/>
        </w:rPr>
      </w:pPr>
      <w:r>
        <w:rPr>
          <w:rFonts w:hint="default" w:ascii="黑体" w:hAnsi="黑体" w:eastAsia="黑体" w:cs="黑体"/>
          <w:b w:val="0"/>
          <w:bCs w:val="0"/>
          <w:kern w:val="44"/>
          <w:sz w:val="32"/>
          <w:szCs w:val="32"/>
        </w:rPr>
        <w:t>六、重大意见分歧的处理依据和结果</w:t>
      </w:r>
    </w:p>
    <w:p>
      <w:pPr>
        <w:pStyle w:val="13"/>
        <w:autoSpaceDE w:val="0"/>
        <w:autoSpaceDN w:val="0"/>
        <w:adjustRightInd w:val="0"/>
        <w:ind w:left="720" w:firstLine="0" w:firstLineChars="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本标准研制过程中无重大分歧意见。</w:t>
      </w:r>
    </w:p>
    <w:p>
      <w:pPr>
        <w:keepNext/>
        <w:keepLines/>
        <w:ind w:firstLine="640" w:firstLineChars="200"/>
        <w:jc w:val="both"/>
        <w:outlineLvl w:val="0"/>
        <w:rPr>
          <w:rFonts w:hint="default" w:ascii="黑体" w:hAnsi="黑体" w:eastAsia="黑体" w:cs="黑体"/>
          <w:b w:val="0"/>
          <w:bCs w:val="0"/>
          <w:kern w:val="44"/>
          <w:sz w:val="32"/>
          <w:szCs w:val="32"/>
        </w:rPr>
      </w:pPr>
      <w:r>
        <w:rPr>
          <w:rFonts w:hint="default" w:ascii="黑体" w:hAnsi="黑体" w:eastAsia="黑体" w:cs="黑体"/>
          <w:b w:val="0"/>
          <w:bCs w:val="0"/>
          <w:kern w:val="44"/>
          <w:sz w:val="32"/>
          <w:szCs w:val="32"/>
        </w:rPr>
        <w:t>七、实施标准的措施</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（一）</w:t>
      </w:r>
      <w:r>
        <w:rPr>
          <w:rFonts w:hint="default" w:ascii="楷体_GB2312" w:hAnsi="楷体_GB2312" w:eastAsia="楷体_GB2312" w:cs="楷体_GB2312"/>
          <w:color w:val="000000" w:themeColor="text1"/>
          <w:sz w:val="32"/>
          <w:szCs w:val="32"/>
          <w14:textFill>
            <w14:solidFill>
              <w14:schemeClr w14:val="tx1"/>
            </w14:solidFill>
          </w14:textFill>
        </w:rPr>
        <w:t>成立标准宣贯工作组</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广西壮族自治区直属机关第三幼儿园、广西壮族自治区直属机关第一幼儿园牵头组织成立宣贯工作组，在广西壮族自治区直属机关第三幼儿园、广西壮族自治区直属机关第一幼儿园中开展本标准相关解读和培训，可提供线下、线上参会渠道，确保相关人员熟知本标准、会用本标准。</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（二）</w:t>
      </w:r>
      <w:r>
        <w:rPr>
          <w:rFonts w:hint="default" w:ascii="楷体_GB2312" w:hAnsi="楷体_GB2312" w:eastAsia="楷体_GB2312" w:cs="楷体_GB2312"/>
          <w:color w:val="000000" w:themeColor="text1"/>
          <w:sz w:val="32"/>
          <w:szCs w:val="32"/>
          <w14:textFill>
            <w14:solidFill>
              <w14:schemeClr w14:val="tx1"/>
            </w14:solidFill>
          </w14:textFill>
        </w:rPr>
        <w:t>开展线上宣贯</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邀请智慧安防技术领域和标准化领域专家对标准各部分内容录制解读视频，供我区各幼儿园开展培训使用。</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（三）</w:t>
      </w:r>
      <w:r>
        <w:rPr>
          <w:rFonts w:hint="default" w:ascii="楷体_GB2312" w:hAnsi="楷体_GB2312" w:eastAsia="楷体_GB2312" w:cs="楷体_GB2312"/>
          <w:color w:val="000000" w:themeColor="text1"/>
          <w:sz w:val="32"/>
          <w:szCs w:val="32"/>
          <w14:textFill>
            <w14:solidFill>
              <w14:schemeClr w14:val="tx1"/>
            </w14:solidFill>
          </w14:textFill>
        </w:rPr>
        <w:t>收集标准实施情况</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根据工作实际，对需要执行本标准的相关人员，提供有效标准实施反馈渠道，收集标准实施过程中的意见和建议，并根据情况提出标准改进计划。</w:t>
      </w:r>
    </w:p>
    <w:p>
      <w:pPr>
        <w:numPr>
          <w:ilvl w:val="0"/>
          <w:numId w:val="0"/>
        </w:numPr>
        <w:ind w:firstLine="640" w:firstLineChars="200"/>
        <w:jc w:val="both"/>
        <w:outlineLvl w:val="1"/>
        <w:rPr>
          <w:rFonts w:hint="default"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（四）</w:t>
      </w:r>
      <w:r>
        <w:rPr>
          <w:rFonts w:hint="default" w:ascii="楷体_GB2312" w:hAnsi="楷体_GB2312" w:eastAsia="楷体_GB2312" w:cs="楷体_GB2312"/>
          <w:color w:val="000000" w:themeColor="text1"/>
          <w:sz w:val="32"/>
          <w:szCs w:val="32"/>
          <w14:textFill>
            <w14:solidFill>
              <w14:schemeClr w14:val="tx1"/>
            </w14:solidFill>
          </w14:textFill>
        </w:rPr>
        <w:t>标准宣贯成效评估</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标准实施后，根据工作人员及群众意见反馈对标准宣贯成效进行调查评估；在标准发布后定期对标准使用单位进行调研，并根据法律法规、政策变化适时提出修订，确保标准的适用性。</w:t>
      </w:r>
    </w:p>
    <w:p>
      <w:pPr>
        <w:keepNext/>
        <w:keepLines/>
        <w:ind w:firstLine="640" w:firstLineChars="200"/>
        <w:jc w:val="both"/>
        <w:outlineLvl w:val="0"/>
        <w:rPr>
          <w:rFonts w:hint="eastAsia" w:ascii="黑体" w:hAnsi="黑体" w:eastAsia="黑体" w:cs="黑体"/>
          <w:b w:val="0"/>
          <w:bCs w:val="0"/>
          <w:kern w:val="44"/>
          <w:sz w:val="32"/>
          <w:szCs w:val="32"/>
        </w:rPr>
      </w:pPr>
      <w:r>
        <w:rPr>
          <w:rFonts w:hint="eastAsia" w:ascii="黑体" w:hAnsi="黑体" w:eastAsia="黑体" w:cs="黑体"/>
          <w:b w:val="0"/>
          <w:bCs w:val="0"/>
          <w:kern w:val="44"/>
          <w:sz w:val="32"/>
          <w:szCs w:val="32"/>
        </w:rPr>
        <w:t>八、其他应当说明的事项</w:t>
      </w:r>
    </w:p>
    <w:p>
      <w:pPr>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本标准无其他应当说明的事项。</w:t>
      </w:r>
    </w:p>
    <w:p>
      <w:pPr>
        <w:ind w:firstLine="640" w:firstLineChars="200"/>
        <w:rPr>
          <w:rFonts w:hint="eastAsia" w:ascii="仿宋_GB2312" w:hAnsi="仿宋" w:eastAsia="仿宋_GB2312" w:cs="仿宋"/>
          <w:sz w:val="32"/>
          <w:szCs w:val="32"/>
        </w:rPr>
      </w:pPr>
    </w:p>
    <w:p>
      <w:pPr>
        <w:ind w:firstLine="640" w:firstLineChars="200"/>
        <w:rPr>
          <w:rFonts w:hint="eastAsia" w:ascii="仿宋_GB2312" w:hAnsi="仿宋" w:eastAsia="仿宋_GB2312" w:cs="仿宋"/>
          <w:sz w:val="32"/>
          <w:szCs w:val="32"/>
        </w:rPr>
      </w:pPr>
    </w:p>
    <w:p>
      <w:pPr>
        <w:wordWrap w:val="0"/>
        <w:ind w:right="840" w:rightChars="400" w:firstLine="640" w:firstLineChars="200"/>
        <w:jc w:val="right"/>
        <w:rPr>
          <w:rFonts w:hint="eastAsia" w:ascii="仿宋_GB2312" w:hAnsi="仿宋" w:eastAsia="仿宋_GB2312" w:cs="仿宋"/>
          <w:sz w:val="32"/>
          <w:szCs w:val="32"/>
        </w:rPr>
      </w:pPr>
      <w:r>
        <w:rPr>
          <w:rFonts w:hint="eastAsia" w:ascii="仿宋_GB2312" w:hAnsi="仿宋" w:eastAsia="仿宋_GB2312" w:cs="仿宋"/>
          <w:sz w:val="32"/>
          <w:szCs w:val="32"/>
        </w:rPr>
        <w:t xml:space="preserve">标准编制工作组 </w:t>
      </w:r>
    </w:p>
    <w:p>
      <w:pPr>
        <w:ind w:right="840" w:firstLine="640" w:firstLineChars="200"/>
        <w:jc w:val="right"/>
        <w:rPr>
          <w:rFonts w:hint="eastAsia" w:ascii="仿宋_GB2312" w:hAnsi="仿宋" w:eastAsia="仿宋_GB2312" w:cs="仿宋"/>
          <w:sz w:val="32"/>
          <w:szCs w:val="32"/>
        </w:rPr>
      </w:pPr>
      <w:r>
        <w:rPr>
          <w:rFonts w:hint="eastAsia" w:ascii="仿宋_GB2312" w:hAnsi="仿宋" w:eastAsia="仿宋_GB2312" w:cs="仿宋"/>
          <w:sz w:val="32"/>
          <w:szCs w:val="32"/>
        </w:rPr>
        <w:t>2025年1月21日</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MDe54oUAgAAEwQAAA4AAAAAAAAAAQAgAAAANQEAAGRycy9lMm9Eb2MueG1sUEsFBgAAAAAGAAYA&#10;WQEAALsFA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ind w:firstLine="420"/>
    </w:pPr>
  </w:p>
  <w:p>
    <w:pPr>
      <w:ind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ImpTraceLabel" o:spid="_x0000_s4097" o:spt="202" type="#_x0000_t202" style="position:absolute;left:0pt;margin-left:0pt;margin-top:0pt;height:0pt;width:0pt;mso-position-horizontal-relative:page;mso-position-vertical-relative:page;z-index:251658240;mso-width-relative:page;mso-height-relative:page;" filled="f" stroked="f" coordsize="21600,21600">
          <v:path/>
          <v:fill on="f" focussize="0,0"/>
          <v:stroke on="f" joinstyle="miter"/>
          <v:imagedata o:title=""/>
          <o:lock v:ext="edit"/>
          <v:textbox>
            <w:txbxContent>
              <w:p>
                <w:r>
                  <w:t>ImpTraceLabel=PD94bWwgdmVyc2lvbj0nMS4wJyBlbmNvZGluZz0nVVRGLTgnPz48dHJhY2U+PGNvbnRlbnQ+PC9jb250ZW50PjxhY2NvdW50PjdpZmk3bHJkZjFzcTdsOXNwa2RycTE8L2FjY291bnQ+PG1hY2hpbmVDb2RlPk5NWlRMMUJOMlJESzA1MjgzCjwvbWFjaGluZUNvZGU+PHRpbWU+MjAyNS0wMS0yMyAxMTozOTozNzwvdGltZT48c3lzdGVtPk1CPHN5c3RlbT48L3RyYWNlPg==</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3ZGJkOWNiZDI0Y2JkOTVjZTQ5Y2M5ODc4ZTY3ZDIifQ=="/>
  </w:docVars>
  <w:rsids>
    <w:rsidRoot w:val="00000000"/>
    <w:rsid w:val="37FFCE7B"/>
    <w:rsid w:val="6BFFC831"/>
    <w:rsid w:val="7BFFDCFA"/>
    <w:rsid w:val="7F74D72F"/>
    <w:rsid w:val="EFEFB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仿宋" w:hAnsi="仿宋" w:eastAsia="仿宋"/>
      <w:b/>
      <w:bCs/>
      <w:kern w:val="44"/>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0">
    <w:name w:val="BodyText2"/>
    <w:basedOn w:val="1"/>
    <w:qFormat/>
    <w:uiPriority w:val="0"/>
    <w:pPr>
      <w:spacing w:after="120" w:line="480" w:lineRule="auto"/>
    </w:pPr>
    <w:rPr>
      <w:rFonts w:ascii="Times New Roman" w:hAnsi="Times New Roman" w:eastAsia="宋体" w:cs="Times New Roman"/>
      <w:sz w:val="32"/>
      <w:szCs w:val="32"/>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 w:type="paragraph" w:styleId="13">
    <w:name w:val="List Paragraph"/>
    <w:basedOn w:val="1"/>
    <w:qFormat/>
    <w:uiPriority w:val="99"/>
    <w:pPr>
      <w:ind w:firstLine="420" w:firstLineChars="200"/>
    </w:pPr>
  </w:style>
  <w:style w:type="character" w:customStyle="1" w:styleId="14">
    <w:name w:val="批注框文本 字符"/>
    <w:basedOn w:val="9"/>
    <w:link w:val="3"/>
    <w:qFormat/>
    <w:uiPriority w:val="0"/>
    <w:rPr>
      <w:rFonts w:asciiTheme="minorHAnsi" w:hAnsiTheme="minorHAnsi" w:eastAsiaTheme="minorEastAsia" w:cstheme="minorBidi"/>
      <w:kern w:val="2"/>
      <w:sz w:val="18"/>
      <w:szCs w:val="18"/>
    </w:rPr>
  </w:style>
  <w:style w:type="paragraph" w:customStyle="1" w:styleId="15">
    <w:name w:val="标准文件_章标题"/>
    <w:next w:val="1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标准文件_段 Char"/>
    <w:basedOn w:val="9"/>
    <w:qFormat/>
    <w:uiPriority w:val="0"/>
    <w:rPr>
      <w:rFonts w:hint="eastAsia" w:ascii="宋体" w:hAnsi="Times New Roman" w:eastAsia="宋体" w:cs="宋体"/>
      <w:sz w:val="21"/>
    </w:rPr>
  </w:style>
  <w:style w:type="paragraph" w:customStyle="1" w:styleId="18">
    <w:name w:val="Table Text"/>
    <w:basedOn w:val="1"/>
    <w:semiHidden/>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24"/>
      <w:lang w:eastAsia="en-US"/>
    </w:rPr>
  </w:style>
  <w:style w:type="table" w:customStyle="1" w:styleId="19">
    <w:name w:val="Table Normal_0"/>
    <w:semiHidden/>
    <w:unhideWhenUsed/>
    <w:qFormat/>
    <w:uiPriority w:val="0"/>
    <w:rPr>
      <w:rFonts w:ascii="Arial" w:hAnsi="Arial" w:cs="Arial"/>
      <w:snapToGrid w:val="0"/>
      <w:color w:val="000000"/>
      <w:szCs w:val="21"/>
      <w:lang w:eastAsia="en-US"/>
    </w:rPr>
    <w:tblPr>
      <w:tblCellMar>
        <w:top w:w="0" w:type="dxa"/>
        <w:left w:w="0" w:type="dxa"/>
        <w:bottom w:w="0" w:type="dxa"/>
        <w:right w:w="0" w:type="dxa"/>
      </w:tblCellMar>
    </w:tblPr>
  </w:style>
  <w:style w:type="table" w:customStyle="1" w:styleId="20">
    <w:name w:val="网格型1"/>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GXIST</Company>
  <Pages>16</Pages>
  <Words>6174</Words>
  <Characters>485</Characters>
  <Lines>4</Lines>
  <Paragraphs>13</Paragraphs>
  <TotalTime>10</TotalTime>
  <ScaleCrop>false</ScaleCrop>
  <LinksUpToDate>false</LinksUpToDate>
  <CharactersWithSpaces>6646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2023-08-16T09:16:00Z</dcterms:created>
  <dc:creator>蔚</dc:creator>
  <cp:lastModifiedBy>gxxc</cp:lastModifiedBy>
  <cp:lastPrinted>2025-01-26T17:09:12Z</cp:lastPrinted>
  <dcterms:modified xsi:type="dcterms:W3CDTF">2025-01-26T17:11:47Z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50A30298EC92471C92F7633BF6E92A09_13</vt:lpwstr>
  </property>
  <property fmtid="{D5CDD505-2E9C-101B-9397-08002B2CF9AE}" pid="3" name="KSOProductBuildVer">
    <vt:lpwstr>2052-11.8.2.10624</vt:lpwstr>
  </property>
</Properties>
</file>