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5F9F95">
      <w:pPr>
        <w:spacing w:line="360" w:lineRule="auto"/>
        <w:jc w:val="center"/>
        <w:rPr>
          <w:rFonts w:hint="eastAsia" w:ascii="方正小标宋_GBK" w:hAnsi="方正小标宋_GBK" w:eastAsia="方正小标宋_GBK" w:cs="方正小标宋_GBK"/>
          <w:sz w:val="40"/>
          <w:szCs w:val="40"/>
        </w:rPr>
      </w:pPr>
      <w:r>
        <w:rPr>
          <w:rFonts w:hint="eastAsia" w:ascii="方正小标宋简体" w:hAnsi="宋体" w:eastAsia="方正小标宋简体"/>
          <w:color w:val="000000"/>
          <w:sz w:val="44"/>
          <w:szCs w:val="36"/>
        </w:rPr>
        <w:t>广西地方标准《肝性脑病中西医结合诊疗</w:t>
      </w:r>
      <w:r>
        <w:rPr>
          <w:rFonts w:hint="eastAsia" w:ascii="方正小标宋简体" w:hAnsi="宋体" w:eastAsia="方正小标宋简体"/>
          <w:color w:val="000000"/>
          <w:sz w:val="44"/>
          <w:szCs w:val="36"/>
          <w:lang w:val="en-US" w:eastAsia="zh-CN"/>
        </w:rPr>
        <w:t>规范</w:t>
      </w:r>
      <w:r>
        <w:rPr>
          <w:rFonts w:hint="eastAsia" w:ascii="方正小标宋简体" w:hAnsi="宋体" w:eastAsia="方正小标宋简体"/>
          <w:color w:val="000000"/>
          <w:sz w:val="44"/>
          <w:szCs w:val="36"/>
        </w:rPr>
        <w:t>》（征求意见稿）编制说明</w:t>
      </w:r>
    </w:p>
    <w:p w14:paraId="32BF53CA">
      <w:pPr>
        <w:pStyle w:val="8"/>
        <w:numPr>
          <w:ilvl w:val="0"/>
          <w:numId w:val="1"/>
        </w:numPr>
        <w:spacing w:line="360" w:lineRule="auto"/>
        <w:ind w:left="443" w:leftChars="0" w:firstLine="397"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项目</w:t>
      </w:r>
      <w:r>
        <w:rPr>
          <w:rFonts w:hint="eastAsia" w:asciiTheme="minorEastAsia" w:hAnsiTheme="minorEastAsia" w:eastAsiaTheme="minorEastAsia"/>
          <w:b/>
          <w:bCs/>
          <w:sz w:val="32"/>
          <w:szCs w:val="32"/>
        </w:rPr>
        <w:t>来源</w:t>
      </w:r>
    </w:p>
    <w:p w14:paraId="54456BE5">
      <w:pPr>
        <w:autoSpaceDE w:val="0"/>
        <w:autoSpaceDN w:val="0"/>
        <w:adjustRightInd w:val="0"/>
        <w:spacing w:line="560" w:lineRule="exact"/>
        <w:ind w:firstLine="560" w:firstLineChars="200"/>
        <w:jc w:val="left"/>
        <w:rPr>
          <w:rFonts w:hint="eastAsia" w:ascii="仿宋" w:hAnsi="仿宋" w:eastAsia="仿宋"/>
          <w:kern w:val="0"/>
          <w:sz w:val="28"/>
          <w:szCs w:val="28"/>
        </w:rPr>
      </w:pPr>
      <w:r>
        <w:rPr>
          <w:rFonts w:hint="eastAsia" w:ascii="仿宋" w:hAnsi="仿宋" w:eastAsia="仿宋"/>
          <w:kern w:val="0"/>
          <w:sz w:val="28"/>
          <w:szCs w:val="28"/>
          <w:lang w:val="en-US" w:eastAsia="zh-CN"/>
        </w:rPr>
        <w:t>根据《广西壮族自治区市场监督管理局关于下达</w:t>
      </w:r>
      <w:r>
        <w:rPr>
          <w:rFonts w:hint="default" w:ascii="仿宋" w:hAnsi="仿宋" w:eastAsia="仿宋"/>
          <w:kern w:val="0"/>
          <w:sz w:val="28"/>
          <w:szCs w:val="28"/>
          <w:lang w:val="en-US" w:eastAsia="zh-CN"/>
        </w:rPr>
        <w:t>2023</w:t>
      </w:r>
      <w:r>
        <w:rPr>
          <w:rFonts w:hint="eastAsia" w:ascii="仿宋" w:hAnsi="仿宋" w:eastAsia="仿宋"/>
          <w:kern w:val="0"/>
          <w:sz w:val="28"/>
          <w:szCs w:val="28"/>
          <w:lang w:val="en-US" w:eastAsia="zh-CN"/>
        </w:rPr>
        <w:t>年广西地方标准制修订项目计划的通知》（桂市监函〔</w:t>
      </w:r>
      <w:r>
        <w:rPr>
          <w:rFonts w:hint="default" w:ascii="仿宋" w:hAnsi="仿宋" w:eastAsia="仿宋"/>
          <w:kern w:val="0"/>
          <w:sz w:val="28"/>
          <w:szCs w:val="28"/>
          <w:lang w:val="en-US" w:eastAsia="zh-CN"/>
        </w:rPr>
        <w:t>2023</w:t>
      </w:r>
      <w:r>
        <w:rPr>
          <w:rFonts w:hint="eastAsia" w:ascii="仿宋" w:hAnsi="仿宋" w:eastAsia="仿宋"/>
          <w:kern w:val="0"/>
          <w:sz w:val="28"/>
          <w:szCs w:val="28"/>
          <w:lang w:val="en-US" w:eastAsia="zh-CN"/>
        </w:rPr>
        <w:t>〕</w:t>
      </w:r>
      <w:r>
        <w:rPr>
          <w:rFonts w:hint="default" w:ascii="仿宋" w:hAnsi="仿宋" w:eastAsia="仿宋"/>
          <w:kern w:val="0"/>
          <w:sz w:val="28"/>
          <w:szCs w:val="28"/>
          <w:lang w:val="en-US" w:eastAsia="zh-CN"/>
        </w:rPr>
        <w:t>2257</w:t>
      </w:r>
      <w:r>
        <w:rPr>
          <w:rFonts w:hint="eastAsia" w:ascii="仿宋" w:hAnsi="仿宋" w:eastAsia="仿宋"/>
          <w:kern w:val="0"/>
          <w:sz w:val="28"/>
          <w:szCs w:val="28"/>
          <w:lang w:val="en-US" w:eastAsia="zh-CN"/>
        </w:rPr>
        <w:t>号）精神，</w:t>
      </w:r>
      <w:bookmarkStart w:id="0" w:name="_Hlk120606094"/>
      <w:r>
        <w:rPr>
          <w:rFonts w:hint="eastAsia" w:ascii="仿宋" w:hAnsi="仿宋" w:eastAsia="仿宋"/>
          <w:kern w:val="0"/>
          <w:sz w:val="28"/>
          <w:szCs w:val="28"/>
          <w:lang w:val="en-US" w:eastAsia="zh-CN"/>
        </w:rPr>
        <w:t>依托2022年广西科技计划项目《肝性脑病中医药防治的系统集成创新及示范研究》、2023年《国家中医药传承创新中心研究任务-肝衰竭》，由广西壮族自治区中医药管理局提出，广西中</w:t>
      </w:r>
      <w:bookmarkStart w:id="2" w:name="_GoBack"/>
      <w:bookmarkEnd w:id="2"/>
      <w:r>
        <w:rPr>
          <w:rFonts w:hint="eastAsia" w:ascii="仿宋" w:hAnsi="仿宋" w:eastAsia="仿宋"/>
          <w:kern w:val="0"/>
          <w:sz w:val="28"/>
          <w:szCs w:val="28"/>
          <w:lang w:val="en-US" w:eastAsia="zh-CN"/>
        </w:rPr>
        <w:t>医药大学第一附属医院主要负责起草</w:t>
      </w:r>
      <w:bookmarkEnd w:id="0"/>
      <w:r>
        <w:rPr>
          <w:rFonts w:hint="eastAsia" w:ascii="仿宋" w:hAnsi="仿宋" w:eastAsia="仿宋"/>
          <w:kern w:val="0"/>
          <w:sz w:val="28"/>
          <w:szCs w:val="28"/>
          <w:lang w:val="en-US" w:eastAsia="zh-CN"/>
        </w:rPr>
        <w:t>的推荐性团体标准《肝性脑病中西医结合诊疗规范》获批立项，项目编号：2023-1292。</w:t>
      </w:r>
    </w:p>
    <w:p w14:paraId="7B5054CB">
      <w:pPr>
        <w:pStyle w:val="8"/>
        <w:numPr>
          <w:ilvl w:val="0"/>
          <w:numId w:val="1"/>
        </w:numPr>
        <w:spacing w:line="360" w:lineRule="auto"/>
        <w:ind w:left="443" w:leftChars="0" w:firstLine="397"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项目背景及目的</w:t>
      </w:r>
      <w:r>
        <w:rPr>
          <w:rFonts w:hint="eastAsia" w:asciiTheme="minorEastAsia" w:hAnsiTheme="minorEastAsia" w:eastAsiaTheme="minorEastAsia"/>
          <w:b/>
          <w:bCs/>
          <w:sz w:val="32"/>
          <w:szCs w:val="32"/>
        </w:rPr>
        <w:t>意义</w:t>
      </w:r>
    </w:p>
    <w:p w14:paraId="195E5FD8">
      <w:pPr>
        <w:spacing w:line="360" w:lineRule="auto"/>
        <w:ind w:firstLine="560" w:firstLineChars="200"/>
        <w:rPr>
          <w:rFonts w:asciiTheme="minorEastAsia" w:hAnsiTheme="minorEastAsia" w:eastAsiaTheme="minorEastAsia"/>
          <w:sz w:val="32"/>
          <w:szCs w:val="32"/>
        </w:rPr>
      </w:pPr>
      <w:r>
        <w:rPr>
          <w:rFonts w:hint="eastAsia" w:ascii="仿宋" w:hAnsi="仿宋" w:eastAsia="仿宋"/>
          <w:kern w:val="0"/>
          <w:sz w:val="28"/>
          <w:szCs w:val="28"/>
        </w:rPr>
        <w:t>肝性脑病（HE）发病日渐增高，有研究显示其发病三年后存活率仅为 23%，严重影响患者和亲属的生活质量。肝性脑病缺乏特效药，从医学和社会心理学的角度来看，肝性脑病的治疗极具挑战性，目前临床上针对肝性脑病的西医治疗有降血氨、镇静、调节肠道菌群、营养支持等处理，但临床疗效欠佳；此外，缺乏规范化的HE中医药防治管理</w:t>
      </w:r>
      <w:r>
        <w:rPr>
          <w:rFonts w:hint="eastAsia" w:ascii="仿宋" w:hAnsi="仿宋" w:eastAsia="仿宋"/>
          <w:kern w:val="0"/>
          <w:sz w:val="28"/>
          <w:szCs w:val="28"/>
          <w:lang w:eastAsia="zh-CN"/>
        </w:rPr>
        <w:t>规范</w:t>
      </w:r>
      <w:r>
        <w:rPr>
          <w:rFonts w:hint="eastAsia" w:ascii="仿宋" w:hAnsi="仿宋" w:eastAsia="仿宋"/>
          <w:kern w:val="0"/>
          <w:sz w:val="28"/>
          <w:szCs w:val="28"/>
        </w:rPr>
        <w:t>，故临床应用推广难度高。因此，形成一套经济有效的治疗肝性脑病的中西医结合诊疗方案，仍为肝病领域急需攻克的医学难题。各级医院、基层单位等作为防治肝性脑病的主战场，广大医务工作者迫切需要一套“中西医并重”的诊疗</w:t>
      </w:r>
      <w:r>
        <w:rPr>
          <w:rFonts w:hint="eastAsia" w:ascii="仿宋" w:hAnsi="仿宋" w:eastAsia="仿宋"/>
          <w:kern w:val="0"/>
          <w:sz w:val="28"/>
          <w:szCs w:val="28"/>
          <w:lang w:eastAsia="zh-CN"/>
        </w:rPr>
        <w:t>规范</w:t>
      </w:r>
      <w:r>
        <w:rPr>
          <w:rFonts w:hint="eastAsia" w:ascii="仿宋" w:hAnsi="仿宋" w:eastAsia="仿宋"/>
          <w:kern w:val="0"/>
          <w:sz w:val="28"/>
          <w:szCs w:val="28"/>
        </w:rPr>
        <w:t>作为指导，以满足临床所需。</w:t>
      </w:r>
    </w:p>
    <w:p w14:paraId="5E7A379B">
      <w:pPr>
        <w:numPr>
          <w:ilvl w:val="0"/>
          <w:numId w:val="1"/>
        </w:numPr>
        <w:spacing w:line="360" w:lineRule="auto"/>
        <w:ind w:left="443" w:leftChars="0" w:firstLine="397"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编制</w:t>
      </w:r>
      <w:r>
        <w:rPr>
          <w:rFonts w:hint="eastAsia" w:asciiTheme="minorEastAsia" w:hAnsiTheme="minorEastAsia" w:eastAsiaTheme="minorEastAsia"/>
          <w:b/>
          <w:bCs/>
          <w:sz w:val="32"/>
          <w:szCs w:val="32"/>
        </w:rPr>
        <w:t>工作组简况</w:t>
      </w:r>
    </w:p>
    <w:p w14:paraId="701EB443">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w:t>
      </w:r>
      <w:r>
        <w:rPr>
          <w:rFonts w:hint="eastAsia" w:ascii="仿宋" w:hAnsi="仿宋" w:eastAsia="仿宋"/>
          <w:kern w:val="0"/>
          <w:sz w:val="28"/>
          <w:szCs w:val="28"/>
          <w:lang w:val="en-US" w:eastAsia="zh-CN"/>
        </w:rPr>
        <w:t>标准</w:t>
      </w:r>
      <w:r>
        <w:rPr>
          <w:rFonts w:hint="eastAsia" w:ascii="仿宋" w:hAnsi="仿宋" w:eastAsia="仿宋"/>
          <w:kern w:val="0"/>
          <w:sz w:val="28"/>
          <w:szCs w:val="28"/>
        </w:rPr>
        <w:t>的编制将通过广西省内</w:t>
      </w:r>
      <w:r>
        <w:rPr>
          <w:rFonts w:hint="eastAsia" w:ascii="仿宋" w:hAnsi="仿宋" w:eastAsia="仿宋"/>
          <w:kern w:val="0"/>
          <w:sz w:val="28"/>
          <w:szCs w:val="28"/>
          <w:lang w:val="en-US" w:eastAsia="zh-CN"/>
        </w:rPr>
        <w:t>6</w:t>
      </w:r>
      <w:r>
        <w:rPr>
          <w:rFonts w:hint="eastAsia" w:ascii="仿宋" w:hAnsi="仿宋" w:eastAsia="仿宋"/>
          <w:kern w:val="0"/>
          <w:sz w:val="28"/>
          <w:szCs w:val="28"/>
        </w:rPr>
        <w:t>家三级甲等中医医院（广西中医药大学第一附属医院、广西中医药大学瑞康医院、广西医科大学附属肿瘤医院、广西国际壮医医院、桂林市中西医结合医院、玉林市中医院），广西省外6家三级甲等中医医院（上海中医药大学附属曙光医院、湖南中医药大学第一附属医院、湖北省中医院、成都中医药大学附属医院、深圳市中医院、重庆市中医院）采用专家访谈、专家咨询、临床调研、文献检索、证据收集及评定、公开征求意见等技术手段开展相关工作。</w:t>
      </w:r>
    </w:p>
    <w:p w14:paraId="6CF37D87">
      <w:pPr>
        <w:numPr>
          <w:ilvl w:val="0"/>
          <w:numId w:val="1"/>
        </w:numPr>
        <w:spacing w:line="360" w:lineRule="auto"/>
        <w:ind w:left="443" w:leftChars="0" w:firstLine="420"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标准编制</w:t>
      </w:r>
      <w:r>
        <w:rPr>
          <w:rFonts w:hint="eastAsia" w:asciiTheme="minorEastAsia" w:hAnsiTheme="minorEastAsia" w:eastAsiaTheme="minorEastAsia"/>
          <w:b/>
          <w:bCs/>
          <w:sz w:val="32"/>
          <w:szCs w:val="32"/>
        </w:rPr>
        <w:t>过程</w:t>
      </w:r>
    </w:p>
    <w:p w14:paraId="5DEF70F3">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（一）成立</w:t>
      </w:r>
      <w:r>
        <w:rPr>
          <w:rFonts w:hint="eastAsia" w:ascii="仿宋" w:hAnsi="仿宋" w:eastAsia="仿宋"/>
          <w:b/>
          <w:bCs/>
          <w:kern w:val="0"/>
          <w:sz w:val="28"/>
          <w:szCs w:val="28"/>
          <w:lang w:val="en-US" w:eastAsia="zh-CN"/>
        </w:rPr>
        <w:t>标准</w:t>
      </w:r>
      <w:r>
        <w:rPr>
          <w:rFonts w:hint="eastAsia" w:ascii="仿宋" w:hAnsi="仿宋" w:eastAsia="仿宋"/>
          <w:b/>
          <w:bCs/>
          <w:kern w:val="0"/>
          <w:sz w:val="28"/>
          <w:szCs w:val="28"/>
        </w:rPr>
        <w:t>起草组</w:t>
      </w:r>
    </w:p>
    <w:p w14:paraId="3CF6516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w:t>
      </w:r>
      <w:r>
        <w:rPr>
          <w:rFonts w:hint="eastAsia" w:ascii="仿宋" w:hAnsi="仿宋" w:eastAsia="仿宋"/>
          <w:kern w:val="0"/>
          <w:sz w:val="28"/>
          <w:szCs w:val="28"/>
          <w:lang w:eastAsia="zh-CN"/>
        </w:rPr>
        <w:t>规范</w:t>
      </w:r>
      <w:r>
        <w:rPr>
          <w:rFonts w:hint="eastAsia" w:ascii="仿宋" w:hAnsi="仿宋" w:eastAsia="仿宋"/>
          <w:kern w:val="0"/>
          <w:sz w:val="28"/>
          <w:szCs w:val="28"/>
        </w:rPr>
        <w:t>采用负责人召集的方式确定项目组成员；采用召开会议、面对面沟通或电话沟通等相结合的方式成立项目组。</w:t>
      </w:r>
    </w:p>
    <w:p w14:paraId="6609D460">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（二）确定</w:t>
      </w:r>
      <w:r>
        <w:rPr>
          <w:rFonts w:hint="eastAsia" w:ascii="仿宋" w:hAnsi="仿宋" w:eastAsia="仿宋"/>
          <w:b/>
          <w:bCs/>
          <w:kern w:val="0"/>
          <w:sz w:val="28"/>
          <w:szCs w:val="28"/>
          <w:lang w:val="en-US" w:eastAsia="zh-CN"/>
        </w:rPr>
        <w:t>标准</w:t>
      </w:r>
      <w:r>
        <w:rPr>
          <w:rFonts w:hint="eastAsia" w:ascii="仿宋" w:hAnsi="仿宋" w:eastAsia="仿宋"/>
          <w:b/>
          <w:bCs/>
          <w:kern w:val="0"/>
          <w:sz w:val="28"/>
          <w:szCs w:val="28"/>
        </w:rPr>
        <w:t>的题目和范围</w:t>
      </w:r>
    </w:p>
    <w:p w14:paraId="246A9C3A">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中医药在肝性脑病防治方面具有不可替代的优势，基层是肝性脑病防控的主战场，而目前尚缺乏专门针对于基层的肝性脑病基层中医防治管理</w:t>
      </w:r>
      <w:r>
        <w:rPr>
          <w:rFonts w:hint="eastAsia" w:ascii="仿宋" w:hAnsi="仿宋" w:eastAsia="仿宋"/>
          <w:kern w:val="0"/>
          <w:sz w:val="28"/>
          <w:szCs w:val="28"/>
          <w:lang w:eastAsia="zh-CN"/>
        </w:rPr>
        <w:t>规范</w:t>
      </w:r>
      <w:r>
        <w:rPr>
          <w:rFonts w:hint="eastAsia" w:ascii="仿宋" w:hAnsi="仿宋" w:eastAsia="仿宋"/>
          <w:kern w:val="0"/>
          <w:sz w:val="28"/>
          <w:szCs w:val="28"/>
        </w:rPr>
        <w:t>，在“中西医并重”方针指引下，为满足广大基层医务工作者的临床需求，特制订本部</w:t>
      </w:r>
      <w:r>
        <w:rPr>
          <w:rFonts w:hint="eastAsia" w:ascii="仿宋" w:hAnsi="仿宋" w:eastAsia="仿宋"/>
          <w:kern w:val="0"/>
          <w:sz w:val="28"/>
          <w:szCs w:val="28"/>
          <w:lang w:val="en-US" w:eastAsia="zh-CN"/>
        </w:rPr>
        <w:t>标准</w:t>
      </w:r>
      <w:r>
        <w:rPr>
          <w:rFonts w:hint="eastAsia" w:ascii="仿宋" w:hAnsi="仿宋" w:eastAsia="仿宋"/>
          <w:kern w:val="0"/>
          <w:sz w:val="28"/>
          <w:szCs w:val="28"/>
        </w:rPr>
        <w:t>。经过文献检索、专家多次研讨，确定本</w:t>
      </w:r>
      <w:r>
        <w:rPr>
          <w:rFonts w:hint="eastAsia" w:ascii="仿宋" w:hAnsi="仿宋" w:eastAsia="仿宋"/>
          <w:kern w:val="0"/>
          <w:sz w:val="28"/>
          <w:szCs w:val="28"/>
          <w:lang w:val="en-US" w:eastAsia="zh-CN"/>
        </w:rPr>
        <w:t>标准</w:t>
      </w:r>
      <w:r>
        <w:rPr>
          <w:rFonts w:hint="eastAsia" w:ascii="仿宋" w:hAnsi="仿宋" w:eastAsia="仿宋"/>
          <w:kern w:val="0"/>
          <w:sz w:val="28"/>
          <w:szCs w:val="28"/>
        </w:rPr>
        <w:t>题目为《肝性脑病中西医结合临床诊疗</w:t>
      </w:r>
      <w:r>
        <w:rPr>
          <w:rFonts w:hint="eastAsia" w:ascii="仿宋" w:hAnsi="仿宋" w:eastAsia="仿宋"/>
          <w:kern w:val="0"/>
          <w:sz w:val="28"/>
          <w:szCs w:val="28"/>
          <w:lang w:val="en-US" w:eastAsia="zh-CN"/>
        </w:rPr>
        <w:t>规范</w:t>
      </w:r>
      <w:r>
        <w:rPr>
          <w:rFonts w:hint="eastAsia" w:ascii="仿宋" w:hAnsi="仿宋" w:eastAsia="仿宋"/>
          <w:kern w:val="0"/>
          <w:sz w:val="28"/>
          <w:szCs w:val="28"/>
        </w:rPr>
        <w:t>》，针对基层医务人员在肝性脑病中医防治管理中的实践活动，形成推荐意见。</w:t>
      </w:r>
    </w:p>
    <w:p w14:paraId="4D11BC2B">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（三）构建</w:t>
      </w:r>
      <w:r>
        <w:rPr>
          <w:rFonts w:hint="eastAsia" w:ascii="仿宋" w:hAnsi="仿宋" w:eastAsia="仿宋"/>
          <w:b/>
          <w:bCs/>
          <w:kern w:val="0"/>
          <w:sz w:val="28"/>
          <w:szCs w:val="28"/>
          <w:lang w:val="en-US" w:eastAsia="zh-CN"/>
        </w:rPr>
        <w:t>标准</w:t>
      </w:r>
      <w:r>
        <w:rPr>
          <w:rFonts w:hint="eastAsia" w:ascii="仿宋" w:hAnsi="仿宋" w:eastAsia="仿宋"/>
          <w:b/>
          <w:bCs/>
          <w:kern w:val="0"/>
          <w:sz w:val="28"/>
          <w:szCs w:val="28"/>
        </w:rPr>
        <w:t>问题</w:t>
      </w:r>
    </w:p>
    <w:p w14:paraId="7B415C6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1.专家访谈</w:t>
      </w:r>
    </w:p>
    <w:p w14:paraId="4D0C2D36">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w:t>
      </w:r>
      <w:r>
        <w:rPr>
          <w:rFonts w:hint="eastAsia" w:ascii="仿宋" w:hAnsi="仿宋" w:eastAsia="仿宋"/>
          <w:kern w:val="0"/>
          <w:sz w:val="28"/>
          <w:szCs w:val="28"/>
          <w:lang w:eastAsia="zh-CN"/>
        </w:rPr>
        <w:t>规范</w:t>
      </w:r>
      <w:r>
        <w:rPr>
          <w:rFonts w:hint="eastAsia" w:ascii="仿宋" w:hAnsi="仿宋" w:eastAsia="仿宋"/>
          <w:kern w:val="0"/>
          <w:sz w:val="28"/>
          <w:szCs w:val="28"/>
        </w:rPr>
        <w:t>主要对肝性脑病基层中医防治管理临床实践进行原则性的提示，访谈专家以基层全科医师、肝病科医师为主，结合临床经验、文献学习、专家意见等形成访谈提纲，受访专家的选择以涵盖基层乡镇卫生院、社区卫生服务中心、村卫生室等的医师为主，预计访谈专家40人。</w:t>
      </w:r>
    </w:p>
    <w:p w14:paraId="4432047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2.</w:t>
      </w:r>
      <w:r>
        <w:rPr>
          <w:rFonts w:hint="eastAsia" w:ascii="仿宋" w:hAnsi="仿宋" w:eastAsia="仿宋"/>
          <w:kern w:val="0"/>
          <w:sz w:val="28"/>
          <w:szCs w:val="28"/>
          <w:lang w:eastAsia="zh-CN"/>
        </w:rPr>
        <w:t>规范</w:t>
      </w:r>
      <w:r>
        <w:rPr>
          <w:rFonts w:hint="eastAsia" w:ascii="仿宋" w:hAnsi="仿宋" w:eastAsia="仿宋"/>
          <w:kern w:val="0"/>
          <w:sz w:val="28"/>
          <w:szCs w:val="28"/>
        </w:rPr>
        <w:t>问题</w:t>
      </w:r>
    </w:p>
    <w:p w14:paraId="6F88404B">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采用文献学习、临床经验、专家意见等方法形成重要</w:t>
      </w:r>
      <w:r>
        <w:rPr>
          <w:rFonts w:hint="eastAsia" w:ascii="仿宋" w:hAnsi="仿宋" w:eastAsia="仿宋"/>
          <w:kern w:val="0"/>
          <w:sz w:val="28"/>
          <w:szCs w:val="28"/>
          <w:lang w:eastAsia="zh-CN"/>
        </w:rPr>
        <w:t>规范</w:t>
      </w:r>
      <w:r>
        <w:rPr>
          <w:rFonts w:hint="eastAsia" w:ascii="仿宋" w:hAnsi="仿宋" w:eastAsia="仿宋"/>
          <w:kern w:val="0"/>
          <w:sz w:val="28"/>
          <w:szCs w:val="28"/>
        </w:rPr>
        <w:t xml:space="preserve">问题提纲。通过专家共识的方式，邀请专家对每一问题勾选“重要”、“一般”、“不重要”的选项，最后根据临床问题中“重要”票数，达成共识，并对问题进行解答。 </w:t>
      </w:r>
    </w:p>
    <w:p w14:paraId="6EF07656">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（四）证据的检索、筛选、提取与综合</w:t>
      </w:r>
    </w:p>
    <w:p w14:paraId="739BE21B">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1.证据检索</w:t>
      </w:r>
    </w:p>
    <w:p w14:paraId="38DBF576">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文献证据来源：中国知网学术文献总库（CNKI）、维普期刊中文期刊服务平台（VIP）、万方数据知识服务平台（Wan fang）、中国生物医学文献数据库（Sinomed）、Pubmed、Cochrane Library。手工查阅各专业学会和协会发布的肝性脑病中医相关指南、高等教育教材、古籍文献、名医经验专著等。</w:t>
      </w:r>
    </w:p>
    <w:p w14:paraId="58AEC06B">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2.证据筛选和资料提取方法</w:t>
      </w:r>
    </w:p>
    <w:p w14:paraId="27861247">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运用Note Express 3.0软件进行文献管理，将从各个数据库检索到的文献题录导入文献管理软件Note Express 3.0软件进行文献管理，首先排除重复的文献。基于检索文献的引文信息筛除不相关的文献，查找全文对不能肯定的文献进行再筛选，最后逐一阅读和分析全文以确定纳入文献是否合格，遇到不确定因素和第三方讨论决定。文献的资料提取信息包括：文章的题目、研究发表时间、作者、研究对象、干预措施、对照措施、结局指标、质量评价等。资料提取过程由两人单独进行提取，遇到不确定问题与第三方商议。</w:t>
      </w:r>
    </w:p>
    <w:p w14:paraId="3AF3EE6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3.证据综合</w:t>
      </w:r>
    </w:p>
    <w:p w14:paraId="7817E7B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首先检索符合本</w:t>
      </w:r>
      <w:r>
        <w:rPr>
          <w:rFonts w:hint="eastAsia" w:ascii="仿宋" w:hAnsi="仿宋" w:eastAsia="仿宋"/>
          <w:kern w:val="0"/>
          <w:sz w:val="28"/>
          <w:szCs w:val="28"/>
          <w:lang w:eastAsia="zh-CN"/>
        </w:rPr>
        <w:t>规范</w:t>
      </w:r>
      <w:r>
        <w:rPr>
          <w:rFonts w:hint="eastAsia" w:ascii="仿宋" w:hAnsi="仿宋" w:eastAsia="仿宋"/>
          <w:kern w:val="0"/>
          <w:sz w:val="28"/>
          <w:szCs w:val="28"/>
        </w:rPr>
        <w:t>纳入标准的近五年现有系统评价研究，对现有系统评价研究进行资料提取，获得需要的数据；对于缺少现成系统评价研究的主题，再检索随机对照临床试验文献进行补充。</w:t>
      </w:r>
    </w:p>
    <w:p w14:paraId="40B3329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检索获得的系统评价研究，采用证据综合方法一般为Meta分析法，对于二分类变量数据结果通过合并相对危险度（relative risk, RR）分析效应量，连续性变量数据结果则采用平均差（Mean Deviation, MD）表示，区间估计均使用95%置信区间。通过I2值的大小判断纳入文献统计学异质性的大小，当I2≤25%，异质性较小，则采用固定效应模型;当25%＜I2≤75%，异质性较大采用校正后的随机效应模型;若I2＞75%，则认为其为高异质性，不对其进行效应量合并，对其结果进行定性描述。</w:t>
      </w:r>
    </w:p>
    <w:p w14:paraId="68C31BB8">
      <w:pPr>
        <w:spacing w:line="360" w:lineRule="auto"/>
        <w:ind w:firstLine="562" w:firstLineChars="200"/>
        <w:rPr>
          <w:rFonts w:hint="eastAsia" w:ascii="仿宋" w:hAnsi="仿宋" w:eastAsia="仿宋"/>
          <w:b/>
          <w:bCs/>
          <w:i w:val="0"/>
          <w:iCs w:val="0"/>
          <w:kern w:val="0"/>
          <w:sz w:val="28"/>
          <w:szCs w:val="28"/>
        </w:rPr>
      </w:pPr>
      <w:r>
        <w:rPr>
          <w:rFonts w:hint="eastAsia" w:ascii="仿宋" w:hAnsi="仿宋" w:eastAsia="仿宋"/>
          <w:b/>
          <w:bCs/>
          <w:i w:val="0"/>
          <w:iCs w:val="0"/>
          <w:kern w:val="0"/>
          <w:sz w:val="28"/>
          <w:szCs w:val="28"/>
        </w:rPr>
        <w:t>（五）证据分级</w:t>
      </w:r>
    </w:p>
    <w:p w14:paraId="2255F115">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通过整理提取纳入系统评价研究的质量评价结果做出证据分级，主要采用了Cochrane 协作网“偏倚风险”评价工具ROB（risk of bias）量表、GRADE分级方法The GRADEpro 在线评价系统等对原始研究证据进行证据质量评价；对于中医经典名方，暂无公认的证据分级标准，但因临床疗效确切且结合专家共识意见，进行证据分级。</w:t>
      </w:r>
    </w:p>
    <w:p w14:paraId="523B252A">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（六）形成推荐意见</w:t>
      </w:r>
    </w:p>
    <w:p w14:paraId="1504658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1.1中医药措施遴选</w:t>
      </w:r>
    </w:p>
    <w:p w14:paraId="2DCB584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针对19类中医措施包括汤剂、中成药、中药颗粒剂、针灸、推拿、刮痧、中药熏洗、中药穴位贴敷、穴位埋线、耳穴、食疗、传统养生功法、音乐疗法、情志疗法、减重治疗、中药外涂、定向透药、雾化、汗浴疗法等，结合临床调研、文献证据、规范性文件、专家共识等进行遴选。具体遴选方式：①医师问卷调查，了解肝性脑病诊疗中医措施使用现状、中药房配备、应用与学习需求等；②针对具体用药，查阅2018年版《国家基本药物目录》、2020年版《国家医保目录》和2020年版《中华人民共和国药典》，收集目前在售的批准文号为国药准字号、说明书中明确指出研究对象为肝性脑病患者的中药（合并同名不同剂型品种）；③检索查阅文献，筛选符合纳入标准、具有参考价值的中医措施；④针对拟推荐措施和具体推荐意见进行专家共识，形成推荐意见。</w:t>
      </w:r>
    </w:p>
    <w:p w14:paraId="39F95818">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1.2专家共识</w:t>
      </w:r>
    </w:p>
    <w:p w14:paraId="72C2F925">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课题将采用改良德尔菲法形成专家共识，拟邀请中医学专家、现代医学专家、中西医临床专家、循证方法学专家、药学专家、康复学专家、营养学专家、基层医师等，通过改良德尔菲法共识，达成肝性脑病基层中医防治管理</w:t>
      </w:r>
      <w:r>
        <w:rPr>
          <w:rFonts w:hint="eastAsia" w:ascii="仿宋" w:hAnsi="仿宋" w:eastAsia="仿宋"/>
          <w:kern w:val="0"/>
          <w:sz w:val="28"/>
          <w:szCs w:val="28"/>
          <w:lang w:eastAsia="zh-CN"/>
        </w:rPr>
        <w:t>规范</w:t>
      </w:r>
      <w:r>
        <w:rPr>
          <w:rFonts w:hint="eastAsia" w:ascii="仿宋" w:hAnsi="仿宋" w:eastAsia="仿宋"/>
          <w:kern w:val="0"/>
          <w:sz w:val="28"/>
          <w:szCs w:val="28"/>
        </w:rPr>
        <w:t>推荐意见的共识内容。</w:t>
      </w:r>
    </w:p>
    <w:p w14:paraId="7CA3C495">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1.3推荐意见形成</w:t>
      </w:r>
    </w:p>
    <w:p w14:paraId="1DBAFAE4">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采用GRADE方法及其The GRADEpro在线评价系统对纳入的评估中医措施有效性和安全性的证据体进行汇总和质量评价，GRADE 评价中主要考虑的证据降级因素包括：纳入研究的方法学质量情况、对应结局合并结果间的一致性情况、研究证据的直接性、研究证据的精确性以及发表偏倚可能性等5个方面，存在上面某一个因素则对应证据质量降一级；考虑三个升级因素，包括效应量大、剂量反应关系以及可能的混杂因素（负偏倚）。最后基于以上几个方面对纳入的研究证据级别进行综合判断，将证据等级结果依次评价为高、中、低或极低四个等级。</w:t>
      </w:r>
    </w:p>
    <w:p w14:paraId="36CE2813">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最终以GRADE系统推荐分级方法评价证据质量，由</w:t>
      </w:r>
      <w:r>
        <w:rPr>
          <w:rFonts w:hint="eastAsia" w:ascii="仿宋" w:hAnsi="仿宋" w:eastAsia="仿宋"/>
          <w:kern w:val="0"/>
          <w:sz w:val="28"/>
          <w:szCs w:val="28"/>
          <w:lang w:eastAsia="zh-CN"/>
        </w:rPr>
        <w:t>规范</w:t>
      </w:r>
      <w:r>
        <w:rPr>
          <w:rFonts w:hint="eastAsia" w:ascii="仿宋" w:hAnsi="仿宋" w:eastAsia="仿宋"/>
          <w:kern w:val="0"/>
          <w:sz w:val="28"/>
          <w:szCs w:val="28"/>
        </w:rPr>
        <w:t>工作组制作《GRADE决策表》，利用专家共识会议法，通过多轮共识会议达成本</w:t>
      </w:r>
      <w:r>
        <w:rPr>
          <w:rFonts w:hint="eastAsia" w:ascii="仿宋" w:hAnsi="仿宋" w:eastAsia="仿宋"/>
          <w:kern w:val="0"/>
          <w:sz w:val="28"/>
          <w:szCs w:val="28"/>
          <w:lang w:eastAsia="zh-CN"/>
        </w:rPr>
        <w:t>规范</w:t>
      </w:r>
      <w:r>
        <w:rPr>
          <w:rFonts w:hint="eastAsia" w:ascii="仿宋" w:hAnsi="仿宋" w:eastAsia="仿宋"/>
          <w:kern w:val="0"/>
          <w:sz w:val="28"/>
          <w:szCs w:val="28"/>
        </w:rPr>
        <w:t>推荐意见共识。</w:t>
      </w:r>
    </w:p>
    <w:p w14:paraId="420BBAD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GRADE决策表》单项投票大于50%为通过；如各项投票均未超过50%，强推荐及弱推荐之和，或强不推荐及弱不推荐之和大于75%，则结果为弱推荐或弱不推荐。对于某些中医传统经典名方或根据名老中医验方化裁研制的有一定有效性和安全性、为临床不可或缺、但缺乏循证医学证据的中医措施，制定专家调査问卷，采用改良德尔菲法通过问卷调查和共识会议，形成推荐意见。</w:t>
      </w:r>
    </w:p>
    <w:p w14:paraId="38A9C0A9">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（七）撰写</w:t>
      </w:r>
      <w:r>
        <w:rPr>
          <w:rFonts w:hint="eastAsia" w:ascii="仿宋" w:hAnsi="仿宋" w:eastAsia="仿宋"/>
          <w:b/>
          <w:bCs/>
          <w:kern w:val="0"/>
          <w:sz w:val="28"/>
          <w:szCs w:val="28"/>
          <w:lang w:eastAsia="zh-CN"/>
        </w:rPr>
        <w:t>规范</w:t>
      </w:r>
      <w:r>
        <w:rPr>
          <w:rFonts w:hint="eastAsia" w:ascii="仿宋" w:hAnsi="仿宋" w:eastAsia="仿宋"/>
          <w:b/>
          <w:bCs/>
          <w:kern w:val="0"/>
          <w:sz w:val="28"/>
          <w:szCs w:val="28"/>
        </w:rPr>
        <w:t>草案</w:t>
      </w:r>
    </w:p>
    <w:p w14:paraId="63BBA6D4">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指导专家：4-5人</w:t>
      </w:r>
    </w:p>
    <w:p w14:paraId="5701F7C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牵头和主要起草人：1人</w:t>
      </w:r>
    </w:p>
    <w:p w14:paraId="0816166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 xml:space="preserve">参与起草专家：25-30人 </w:t>
      </w:r>
    </w:p>
    <w:p w14:paraId="617AD5C7">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参与制订专家：20-25人</w:t>
      </w:r>
    </w:p>
    <w:p w14:paraId="5569457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 xml:space="preserve">秘书组：3-5人 </w:t>
      </w:r>
    </w:p>
    <w:p w14:paraId="134074C3">
      <w:pPr>
        <w:spacing w:line="360" w:lineRule="auto"/>
        <w:ind w:firstLine="560" w:firstLineChars="200"/>
        <w:rPr>
          <w:rFonts w:hint="eastAsia" w:ascii="仿宋" w:hAnsi="仿宋" w:eastAsia="仿宋"/>
          <w:kern w:val="0"/>
          <w:sz w:val="28"/>
          <w:szCs w:val="28"/>
          <w:lang w:eastAsia="zh-CN"/>
        </w:rPr>
      </w:pPr>
      <w:r>
        <w:rPr>
          <w:rFonts w:hint="eastAsia" w:ascii="仿宋" w:hAnsi="仿宋" w:eastAsia="仿宋"/>
          <w:kern w:val="0"/>
          <w:sz w:val="28"/>
          <w:szCs w:val="28"/>
        </w:rPr>
        <w:t>通讯作者为牵头人</w:t>
      </w:r>
      <w:r>
        <w:rPr>
          <w:rFonts w:hint="eastAsia" w:ascii="仿宋" w:hAnsi="仿宋" w:eastAsia="仿宋"/>
          <w:kern w:val="0"/>
          <w:sz w:val="28"/>
          <w:szCs w:val="28"/>
          <w:lang w:eastAsia="zh-CN"/>
        </w:rPr>
        <w:t>。</w:t>
      </w:r>
    </w:p>
    <w:p w14:paraId="3362A8D9">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（八）</w:t>
      </w:r>
      <w:r>
        <w:rPr>
          <w:rFonts w:hint="eastAsia" w:ascii="仿宋" w:hAnsi="仿宋" w:eastAsia="仿宋"/>
          <w:b/>
          <w:bCs/>
          <w:kern w:val="0"/>
          <w:sz w:val="28"/>
          <w:szCs w:val="28"/>
          <w:lang w:eastAsia="zh-CN"/>
        </w:rPr>
        <w:t>规范</w:t>
      </w:r>
      <w:r>
        <w:rPr>
          <w:rFonts w:hint="eastAsia" w:ascii="仿宋" w:hAnsi="仿宋" w:eastAsia="仿宋"/>
          <w:b/>
          <w:bCs/>
          <w:kern w:val="0"/>
          <w:sz w:val="28"/>
          <w:szCs w:val="28"/>
        </w:rPr>
        <w:t>草案的质量评价及适用性评价</w:t>
      </w:r>
    </w:p>
    <w:p w14:paraId="5063B637">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1.质量评价</w:t>
      </w:r>
    </w:p>
    <w:p w14:paraId="2FA74E13">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描述对</w:t>
      </w:r>
      <w:r>
        <w:rPr>
          <w:rFonts w:hint="eastAsia" w:ascii="仿宋" w:hAnsi="仿宋" w:eastAsia="仿宋"/>
          <w:kern w:val="0"/>
          <w:sz w:val="28"/>
          <w:szCs w:val="28"/>
          <w:lang w:eastAsia="zh-CN"/>
        </w:rPr>
        <w:t>规范</w:t>
      </w:r>
      <w:r>
        <w:rPr>
          <w:rFonts w:hint="eastAsia" w:ascii="仿宋" w:hAnsi="仿宋" w:eastAsia="仿宋"/>
          <w:kern w:val="0"/>
          <w:sz w:val="28"/>
          <w:szCs w:val="28"/>
        </w:rPr>
        <w:t>进行质量评价的专家姓名、单位、职务或职称，并对质量评价的主要结果进行总结，同时建议以表格形式汇总</w:t>
      </w:r>
      <w:r>
        <w:rPr>
          <w:rFonts w:hint="eastAsia" w:ascii="仿宋" w:hAnsi="仿宋" w:eastAsia="仿宋"/>
          <w:kern w:val="0"/>
          <w:sz w:val="28"/>
          <w:szCs w:val="28"/>
          <w:lang w:eastAsia="zh-CN"/>
        </w:rPr>
        <w:t>规范</w:t>
      </w:r>
      <w:r>
        <w:rPr>
          <w:rFonts w:hint="eastAsia" w:ascii="仿宋" w:hAnsi="仿宋" w:eastAsia="仿宋"/>
          <w:kern w:val="0"/>
          <w:sz w:val="28"/>
          <w:szCs w:val="28"/>
        </w:rPr>
        <w:t>的质量评价结果。</w:t>
      </w:r>
    </w:p>
    <w:p w14:paraId="1E0B14F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随机对照临床试验研究的质量评价标准采用Cochrane协作网“偏倚风险”评价工具，评价内容包括：（1）随机的方法是否正确;（2）是否做到随机方案分配隐藏;（3）是否采用盲法，包括操作者和受试者盲法以及结局评价者盲法，考虑到</w:t>
      </w:r>
      <w:r>
        <w:rPr>
          <w:rFonts w:hint="eastAsia" w:ascii="仿宋" w:hAnsi="仿宋" w:eastAsia="仿宋"/>
          <w:kern w:val="0"/>
          <w:sz w:val="28"/>
          <w:szCs w:val="28"/>
          <w:lang w:val="en-US" w:eastAsia="zh-CN"/>
        </w:rPr>
        <w:t>临床</w:t>
      </w:r>
      <w:r>
        <w:rPr>
          <w:rFonts w:hint="eastAsia" w:ascii="仿宋" w:hAnsi="仿宋" w:eastAsia="仿宋"/>
          <w:kern w:val="0"/>
          <w:sz w:val="28"/>
          <w:szCs w:val="28"/>
        </w:rPr>
        <w:t>操作的特殊性，对于参与者和操作者无法实施盲法，本研究只评价结局评价者盲法;（4）结果数据是否完整报告[失访或退出，如有失访或退出时是否采用意向治疗分析（ITT）］;（5）是否存在选择性结局报告;（6）有无其他偏倚，本研究主要评价基线资料信息的完整性。</w:t>
      </w:r>
    </w:p>
    <w:p w14:paraId="2861CF4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2.适用性评价</w:t>
      </w:r>
    </w:p>
    <w:p w14:paraId="60A840B8">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对适用性评价的主要结果进行总结，同时以表格形式汇总</w:t>
      </w:r>
      <w:r>
        <w:rPr>
          <w:rFonts w:hint="eastAsia" w:ascii="仿宋" w:hAnsi="仿宋" w:eastAsia="仿宋"/>
          <w:kern w:val="0"/>
          <w:sz w:val="28"/>
          <w:szCs w:val="28"/>
          <w:lang w:eastAsia="zh-CN"/>
        </w:rPr>
        <w:t>规范</w:t>
      </w:r>
      <w:r>
        <w:rPr>
          <w:rFonts w:hint="eastAsia" w:ascii="仿宋" w:hAnsi="仿宋" w:eastAsia="仿宋"/>
          <w:kern w:val="0"/>
          <w:sz w:val="28"/>
          <w:szCs w:val="28"/>
        </w:rPr>
        <w:t>的适用性评价结果。</w:t>
      </w:r>
    </w:p>
    <w:p w14:paraId="0162735C">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3.评价结果分析</w:t>
      </w:r>
    </w:p>
    <w:p w14:paraId="5412D14B">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分析记录质量评价和适用性评价结果，根据其结果，修改完善</w:t>
      </w:r>
      <w:r>
        <w:rPr>
          <w:rFonts w:hint="eastAsia" w:ascii="仿宋" w:hAnsi="仿宋" w:eastAsia="仿宋"/>
          <w:kern w:val="0"/>
          <w:sz w:val="28"/>
          <w:szCs w:val="28"/>
          <w:lang w:eastAsia="zh-CN"/>
        </w:rPr>
        <w:t>规范</w:t>
      </w:r>
      <w:r>
        <w:rPr>
          <w:rFonts w:hint="eastAsia" w:ascii="仿宋" w:hAnsi="仿宋" w:eastAsia="仿宋"/>
          <w:kern w:val="0"/>
          <w:sz w:val="28"/>
          <w:szCs w:val="28"/>
        </w:rPr>
        <w:t>草案，形成征求意见稿。</w:t>
      </w:r>
    </w:p>
    <w:p w14:paraId="5D43823B">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（九）征求意见</w:t>
      </w:r>
    </w:p>
    <w:p w14:paraId="4D653B49">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采用线上线下相结合的形式，记录征求意见的时间、方式、专家人数和单位数量，以及收到反馈意见的情况。</w:t>
      </w:r>
    </w:p>
    <w:p w14:paraId="106B6623">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（十）送审</w:t>
      </w:r>
    </w:p>
    <w:p w14:paraId="41A3652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记录提交审查的时间，标准化办公室形式审核意见及处理情况。记录审查会议的情况，包括会议时间、评审专家、评审意见和意见处理情况。</w:t>
      </w:r>
    </w:p>
    <w:p w14:paraId="0DC3C4ED">
      <w:pPr>
        <w:spacing w:line="360" w:lineRule="auto"/>
        <w:ind w:firstLine="562" w:firstLineChars="200"/>
        <w:rPr>
          <w:rFonts w:hint="eastAsia" w:ascii="仿宋" w:hAnsi="仿宋" w:eastAsia="仿宋"/>
          <w:b/>
          <w:bCs/>
          <w:kern w:val="0"/>
          <w:sz w:val="28"/>
          <w:szCs w:val="28"/>
        </w:rPr>
      </w:pPr>
      <w:r>
        <w:rPr>
          <w:rFonts w:hint="eastAsia" w:ascii="仿宋" w:hAnsi="仿宋" w:eastAsia="仿宋"/>
          <w:b/>
          <w:bCs/>
          <w:kern w:val="0"/>
          <w:sz w:val="28"/>
          <w:szCs w:val="28"/>
        </w:rPr>
        <w:t>（十一）发布推广</w:t>
      </w:r>
    </w:p>
    <w:p w14:paraId="4AD36E9A">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1.</w:t>
      </w:r>
      <w:r>
        <w:rPr>
          <w:rFonts w:hint="eastAsia" w:ascii="仿宋" w:hAnsi="仿宋" w:eastAsia="仿宋"/>
          <w:kern w:val="0"/>
          <w:sz w:val="28"/>
          <w:szCs w:val="28"/>
          <w:lang w:eastAsia="zh-CN"/>
        </w:rPr>
        <w:t>规范</w:t>
      </w:r>
      <w:r>
        <w:rPr>
          <w:rFonts w:hint="eastAsia" w:ascii="仿宋" w:hAnsi="仿宋" w:eastAsia="仿宋"/>
          <w:kern w:val="0"/>
          <w:sz w:val="28"/>
          <w:szCs w:val="28"/>
        </w:rPr>
        <w:t>的实施单位</w:t>
      </w:r>
    </w:p>
    <w:p w14:paraId="0086F5A2">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实施单位包含广西省内6家三级甲等中医医院，广西省外</w:t>
      </w:r>
      <w:r>
        <w:rPr>
          <w:rFonts w:hint="eastAsia" w:ascii="仿宋" w:hAnsi="仿宋" w:eastAsia="仿宋"/>
          <w:kern w:val="0"/>
          <w:sz w:val="28"/>
          <w:szCs w:val="28"/>
          <w:lang w:val="en-US" w:eastAsia="zh-CN"/>
        </w:rPr>
        <w:t>6</w:t>
      </w:r>
      <w:r>
        <w:rPr>
          <w:rFonts w:hint="eastAsia" w:ascii="仿宋" w:hAnsi="仿宋" w:eastAsia="仿宋"/>
          <w:kern w:val="0"/>
          <w:sz w:val="28"/>
          <w:szCs w:val="28"/>
        </w:rPr>
        <w:t>家三级甲等中医医院。</w:t>
      </w:r>
    </w:p>
    <w:p w14:paraId="05434773">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2.开展</w:t>
      </w:r>
      <w:r>
        <w:rPr>
          <w:rFonts w:hint="eastAsia" w:ascii="仿宋" w:hAnsi="仿宋" w:eastAsia="仿宋"/>
          <w:kern w:val="0"/>
          <w:sz w:val="28"/>
          <w:szCs w:val="28"/>
          <w:lang w:eastAsia="zh-CN"/>
        </w:rPr>
        <w:t>规范</w:t>
      </w:r>
      <w:r>
        <w:rPr>
          <w:rFonts w:hint="eastAsia" w:ascii="仿宋" w:hAnsi="仿宋" w:eastAsia="仿宋"/>
          <w:kern w:val="0"/>
          <w:sz w:val="28"/>
          <w:szCs w:val="28"/>
        </w:rPr>
        <w:t>培训</w:t>
      </w:r>
    </w:p>
    <w:p w14:paraId="0AF5086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拟召开</w:t>
      </w:r>
      <w:r>
        <w:rPr>
          <w:rFonts w:hint="eastAsia" w:ascii="仿宋" w:hAnsi="仿宋" w:eastAsia="仿宋"/>
          <w:kern w:val="0"/>
          <w:sz w:val="28"/>
          <w:szCs w:val="28"/>
          <w:lang w:val="en-US" w:eastAsia="zh-CN"/>
        </w:rPr>
        <w:t>5</w:t>
      </w:r>
      <w:r>
        <w:rPr>
          <w:rFonts w:hint="eastAsia" w:ascii="仿宋" w:hAnsi="仿宋" w:eastAsia="仿宋"/>
          <w:kern w:val="0"/>
          <w:sz w:val="28"/>
          <w:szCs w:val="28"/>
        </w:rPr>
        <w:t>场，对全国三级、二级及一级公立医院全科医师、肝病科医生进行培训，涵盖基层乡镇卫生院、社区卫生服务中心、村卫生室等的医师。</w:t>
      </w:r>
    </w:p>
    <w:p w14:paraId="2930C810">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3.发表论文</w:t>
      </w:r>
    </w:p>
    <w:p w14:paraId="3246C3F9">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将研究成果以论文形式发布于核心期刊。</w:t>
      </w:r>
    </w:p>
    <w:p w14:paraId="05BF3DC3">
      <w:pPr>
        <w:numPr>
          <w:ilvl w:val="0"/>
          <w:numId w:val="1"/>
        </w:numPr>
        <w:spacing w:line="360" w:lineRule="auto"/>
        <w:ind w:left="443" w:leftChars="0" w:firstLine="420"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标准编制的原则</w:t>
      </w:r>
    </w:p>
    <w:p w14:paraId="22DD253F">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（一）实用性原则</w:t>
      </w:r>
    </w:p>
    <w:p w14:paraId="0FA81090">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本标准是在充分收集大量相关资料和文献，对区内</w:t>
      </w:r>
      <w:r>
        <w:rPr>
          <w:rFonts w:hint="eastAsia" w:ascii="仿宋" w:hAnsi="仿宋" w:eastAsia="仿宋"/>
          <w:kern w:val="0"/>
          <w:sz w:val="28"/>
          <w:szCs w:val="28"/>
          <w:lang w:val="en-US" w:eastAsia="zh-CN"/>
        </w:rPr>
        <w:t>肝性脑病中西医结合防治</w:t>
      </w:r>
      <w:r>
        <w:rPr>
          <w:rFonts w:hint="eastAsia" w:ascii="仿宋" w:hAnsi="仿宋" w:eastAsia="仿宋"/>
          <w:kern w:val="0"/>
          <w:sz w:val="28"/>
          <w:szCs w:val="28"/>
        </w:rPr>
        <w:t>相关工作进行了大量调研与分析工作，在参照有关标准及行业内技术指南及专家共识的基础上，结合我区实际而总结起草的，符合</w:t>
      </w:r>
      <w:r>
        <w:rPr>
          <w:rFonts w:hint="eastAsia" w:ascii="仿宋" w:hAnsi="仿宋" w:eastAsia="仿宋"/>
          <w:kern w:val="0"/>
          <w:sz w:val="28"/>
          <w:szCs w:val="28"/>
          <w:lang w:val="en-US" w:eastAsia="zh-CN"/>
        </w:rPr>
        <w:t>肝性脑病中西医结合防治</w:t>
      </w:r>
      <w:r>
        <w:rPr>
          <w:rFonts w:hint="eastAsia" w:ascii="仿宋" w:hAnsi="仿宋" w:eastAsia="仿宋"/>
          <w:kern w:val="0"/>
          <w:sz w:val="28"/>
          <w:szCs w:val="28"/>
        </w:rPr>
        <w:t>科学性、规范性的需求，具有较强的实用性和可操作性。</w:t>
      </w:r>
    </w:p>
    <w:p w14:paraId="6022F78E">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（二）协调性原则</w:t>
      </w:r>
    </w:p>
    <w:p w14:paraId="7FE478B8">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本标准在编写过程中，强调了与国家相关法律法规和政策规定的高度一致性，重视知识产权，在内容上与现行法律法规、强制性标准等协调一致。</w:t>
      </w:r>
    </w:p>
    <w:p w14:paraId="662C57E1">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（三）规范性原则</w:t>
      </w:r>
    </w:p>
    <w:p w14:paraId="13CFF6B9">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本标准参照GB/T 1.1—2020《标准化工作导则第1部分：标准的结构和编写》的要求和规定编写本标准的内容，保证标准的编写质量。</w:t>
      </w:r>
    </w:p>
    <w:p w14:paraId="6472B087">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（四）前瞻性原则</w:t>
      </w:r>
    </w:p>
    <w:p w14:paraId="11B70515">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本标准在兼顾当前区内</w:t>
      </w:r>
      <w:r>
        <w:rPr>
          <w:rFonts w:hint="eastAsia" w:ascii="仿宋" w:hAnsi="仿宋" w:eastAsia="仿宋"/>
          <w:kern w:val="0"/>
          <w:sz w:val="28"/>
          <w:szCs w:val="28"/>
          <w:lang w:val="en-US" w:eastAsia="zh-CN"/>
        </w:rPr>
        <w:t>肝性脑病中西医结合防治</w:t>
      </w:r>
      <w:r>
        <w:rPr>
          <w:rFonts w:hint="eastAsia" w:ascii="仿宋" w:hAnsi="仿宋" w:eastAsia="仿宋"/>
          <w:kern w:val="0"/>
          <w:sz w:val="28"/>
          <w:szCs w:val="28"/>
        </w:rPr>
        <w:t>实际情况的同时，还考虑到了</w:t>
      </w:r>
      <w:r>
        <w:rPr>
          <w:rFonts w:hint="eastAsia" w:ascii="仿宋" w:hAnsi="仿宋" w:eastAsia="仿宋"/>
          <w:kern w:val="0"/>
          <w:sz w:val="28"/>
          <w:szCs w:val="28"/>
          <w:lang w:val="en-US" w:eastAsia="zh-CN"/>
        </w:rPr>
        <w:t>肝性脑病防治</w:t>
      </w:r>
      <w:r>
        <w:rPr>
          <w:rFonts w:hint="eastAsia" w:ascii="仿宋" w:hAnsi="仿宋" w:eastAsia="仿宋"/>
          <w:kern w:val="0"/>
          <w:sz w:val="28"/>
          <w:szCs w:val="28"/>
        </w:rPr>
        <w:t>水平发展的趋势和需要，体现了前瞻性和先进性条款，对各大医院开展</w:t>
      </w:r>
      <w:r>
        <w:rPr>
          <w:rFonts w:hint="eastAsia" w:ascii="仿宋" w:hAnsi="仿宋" w:eastAsia="仿宋"/>
          <w:kern w:val="0"/>
          <w:sz w:val="28"/>
          <w:szCs w:val="28"/>
          <w:lang w:val="en-US" w:eastAsia="zh-CN"/>
        </w:rPr>
        <w:t>肝性脑病中西医结合防治</w:t>
      </w:r>
      <w:r>
        <w:rPr>
          <w:rFonts w:hint="eastAsia" w:ascii="仿宋" w:hAnsi="仿宋" w:eastAsia="仿宋"/>
          <w:kern w:val="0"/>
          <w:sz w:val="28"/>
          <w:szCs w:val="28"/>
        </w:rPr>
        <w:t>将起到指导作用。</w:t>
      </w:r>
    </w:p>
    <w:p w14:paraId="72C204F0">
      <w:pPr>
        <w:numPr>
          <w:ilvl w:val="0"/>
          <w:numId w:val="1"/>
        </w:numPr>
        <w:spacing w:line="360" w:lineRule="auto"/>
        <w:ind w:left="443" w:leftChars="0" w:firstLine="420"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标准条文说明与依据</w:t>
      </w:r>
    </w:p>
    <w:sdt>
      <w:sdtPr>
        <w:rPr>
          <w:sz w:val="24"/>
          <w:szCs w:val="24"/>
        </w:rPr>
        <w:id w:val="-1909835108"/>
        <w:placeholder>
          <w:docPart w:val="{67ae745f-41f2-46a7-9689-a554c3f451f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仿宋" w:hAnsi="仿宋" w:eastAsia="仿宋" w:cs="Times New Roman"/>
          <w:kern w:val="0"/>
          <w:sz w:val="28"/>
          <w:szCs w:val="28"/>
          <w:lang w:val="en-US" w:eastAsia="zh-CN" w:bidi="ar-SA"/>
        </w:rPr>
      </w:sdtEndPr>
      <w:sdtContent>
        <w:p w14:paraId="0D948F3F">
          <w:pPr>
            <w:pStyle w:val="9"/>
            <w:ind w:firstLine="480"/>
            <w:rPr>
              <w:rFonts w:hint="eastAsia" w:ascii="仿宋" w:hAnsi="仿宋" w:eastAsia="仿宋" w:cs="Times New Roman"/>
              <w:kern w:val="0"/>
              <w:sz w:val="28"/>
              <w:szCs w:val="28"/>
              <w:lang w:val="en-US" w:eastAsia="zh-CN" w:bidi="ar-SA"/>
            </w:rPr>
          </w:pPr>
          <w:bookmarkStart w:id="1" w:name="_Toc26986532"/>
          <w:bookmarkEnd w:id="1"/>
          <w:r>
            <w:rPr>
              <w:rFonts w:hint="eastAsia" w:ascii="仿宋" w:hAnsi="仿宋" w:eastAsia="仿宋" w:cs="Times New Roman"/>
              <w:kern w:val="0"/>
              <w:sz w:val="28"/>
              <w:szCs w:val="28"/>
              <w:lang w:val="en-US" w:eastAsia="zh-CN" w:bidi="ar-SA"/>
            </w:rPr>
            <w:t>下列术语和定义适用于本文件。</w:t>
          </w:r>
        </w:p>
      </w:sdtContent>
    </w:sdt>
    <w:p w14:paraId="3C308CEC">
      <w:pPr>
        <w:pStyle w:val="9"/>
        <w:ind w:firstLine="480"/>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肝性脑病（hepatic encephalopathy，HE）</w:t>
      </w:r>
    </w:p>
    <w:p w14:paraId="6C77169B">
      <w:pPr>
        <w:pStyle w:val="9"/>
        <w:ind w:firstLine="480"/>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《2014 Practice Guideline by the American Association for the Study of Liver Diseases and the European Association for the Study of the Liver. Hepatology》指南定义肝性脑病是由肝功能不全和/或PSS引起的脑功能障碍；它表现为从亚临床改变到昏迷的广泛神经或精神异常。根据我国《肝硬化肝性脑病诊疗指南（2018年）》：肝性脑病是由急、慢性肝功能严重障碍或各种门静脉-体循环分流异常所致的、以代谢紊乱为基础、轻重程度不同的神经精神异常综合征。</w:t>
      </w:r>
    </w:p>
    <w:p w14:paraId="0743CC15">
      <w:pPr>
        <w:pStyle w:val="9"/>
        <w:ind w:firstLine="480"/>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显性肝性脑病、隐性肝性脑病、轻微肝性脑病</w:t>
      </w:r>
    </w:p>
    <w:p w14:paraId="298CA64B">
      <w:pPr>
        <w:pStyle w:val="9"/>
        <w:ind w:firstLine="480"/>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依据《中国肝性脑病诊治共识意见(2013年,重庆)》，根据患者意识改变、认知功能障碍及运动等症状为基础的WHC分级对HE进行分级的标准，将MHE和I级HE合并并归类为“隐性HE”，临床表现为II-IV归类为“显性HE”。MHE常无明显临床症状， 只有通过神经心理测试才能发现。</w:t>
      </w:r>
    </w:p>
    <w:p w14:paraId="355BFF76">
      <w:pPr>
        <w:pStyle w:val="9"/>
        <w:ind w:firstLine="480"/>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肝厥</w:t>
      </w:r>
    </w:p>
    <w:p w14:paraId="37AF3A42">
      <w:pPr>
        <w:pStyle w:val="9"/>
        <w:ind w:firstLine="480"/>
        <w:rPr>
          <w:rFonts w:hint="eastAsia" w:ascii="仿宋" w:hAnsi="仿宋" w:eastAsia="仿宋"/>
          <w:kern w:val="0"/>
          <w:sz w:val="28"/>
          <w:szCs w:val="28"/>
        </w:rPr>
      </w:pPr>
      <w:r>
        <w:rPr>
          <w:rFonts w:hint="eastAsia" w:ascii="仿宋" w:hAnsi="仿宋" w:eastAsia="仿宋" w:cs="Times New Roman"/>
          <w:kern w:val="0"/>
          <w:sz w:val="28"/>
          <w:szCs w:val="28"/>
          <w:lang w:val="en-US" w:eastAsia="zh-CN" w:bidi="ar-SA"/>
        </w:rPr>
        <w:t>参照中华人民共和国国家标准《中医临床诊疗术语•疾病部分》（GB/T 16751.1-1997）。肝厥是指浊毒痰火内盛，不得外泄而熏蒸、蒙闭清窍，在肝病症状基础上，出现以情志举止失常、嗜睡、言语不清主要表现的疾病。</w:t>
      </w:r>
    </w:p>
    <w:p w14:paraId="4DC67BDC">
      <w:pPr>
        <w:numPr>
          <w:ilvl w:val="0"/>
          <w:numId w:val="1"/>
        </w:numPr>
        <w:spacing w:line="360" w:lineRule="auto"/>
        <w:ind w:left="443" w:leftChars="0" w:firstLine="397"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重大分歧意见的处理经过和依据</w:t>
      </w:r>
    </w:p>
    <w:p w14:paraId="4224BB30">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本标准研制过程中无重大分歧意见。</w:t>
      </w:r>
    </w:p>
    <w:p w14:paraId="2207E500">
      <w:pPr>
        <w:spacing w:line="360" w:lineRule="auto"/>
        <w:ind w:firstLine="560" w:firstLineChars="200"/>
        <w:rPr>
          <w:rFonts w:hint="eastAsia" w:ascii="仿宋" w:hAnsi="仿宋" w:eastAsia="仿宋"/>
          <w:kern w:val="0"/>
          <w:sz w:val="28"/>
          <w:szCs w:val="28"/>
        </w:rPr>
      </w:pPr>
      <w:r>
        <w:rPr>
          <w:rFonts w:hint="eastAsia" w:ascii="仿宋" w:hAnsi="仿宋" w:eastAsia="仿宋"/>
          <w:kern w:val="0"/>
          <w:sz w:val="28"/>
          <w:szCs w:val="28"/>
        </w:rPr>
        <w:t>针对缺少充足循证医学证据的经典名方、古籍医案、名医经典或临床应用广泛、基层实用的中医防治措施，由</w:t>
      </w:r>
      <w:r>
        <w:rPr>
          <w:rFonts w:hint="eastAsia" w:ascii="仿宋" w:hAnsi="仿宋" w:eastAsia="仿宋"/>
          <w:kern w:val="0"/>
          <w:sz w:val="28"/>
          <w:szCs w:val="28"/>
          <w:lang w:eastAsia="zh-CN"/>
        </w:rPr>
        <w:t>规范</w:t>
      </w:r>
      <w:r>
        <w:rPr>
          <w:rFonts w:hint="eastAsia" w:ascii="仿宋" w:hAnsi="仿宋" w:eastAsia="仿宋"/>
          <w:kern w:val="0"/>
          <w:sz w:val="28"/>
          <w:szCs w:val="28"/>
        </w:rPr>
        <w:t>制定小组制定共识意见表通过改良德尔菲法进行专家共识，基于专家意见和讨论达成共识，形成初步的推荐建议。</w:t>
      </w:r>
    </w:p>
    <w:p w14:paraId="5A7DD829">
      <w:pPr>
        <w:numPr>
          <w:ilvl w:val="0"/>
          <w:numId w:val="1"/>
        </w:numPr>
        <w:spacing w:line="360" w:lineRule="auto"/>
        <w:ind w:left="443" w:leftChars="0" w:firstLine="397" w:firstLineChars="0"/>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与相关法律、法规和强制性标准的关系</w:t>
      </w:r>
    </w:p>
    <w:p w14:paraId="0331BCFB">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经查阅，国内暂无与肝性脑病中西医结合防治有关的国家标准、行业标准、地方标准情况。属于标准空白。</w:t>
      </w:r>
    </w:p>
    <w:p w14:paraId="6D067ABA">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本标准的内容与现行的法律、法规及强制性标准无冲突，标准的编写符合GB/T 1.1-2020的要求。</w:t>
      </w:r>
    </w:p>
    <w:p w14:paraId="2E90E515">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本标准编制工作组收集了国内外肝性脑病相关文献资料，参考相关指南如下：</w:t>
      </w:r>
    </w:p>
    <w:p w14:paraId="00E2ACDC">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（一）国内：</w:t>
      </w:r>
    </w:p>
    <w:p w14:paraId="147E7D90">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2014年6月中华医学会消化病学分会、中华医学会肝病学分会发布《中国肝性脑病诊治共识意见》；</w:t>
      </w:r>
    </w:p>
    <w:p w14:paraId="5D40919C">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2018年10月中华医学会肝病学分会发布《肝硬化肝性脑病诊疗指南》。</w:t>
      </w:r>
    </w:p>
    <w:p w14:paraId="6CF71E9A">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（二）国际</w:t>
      </w:r>
    </w:p>
    <w:p w14:paraId="0C909B8B">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1998年维也纳第11届世界胃肠病大会(World Congresses of Gastroenterology，WCOG) 成立HE工作小组，并于2002年制定了《肝性脑病的定义、命名、诊断及定量分析》；</w:t>
      </w:r>
    </w:p>
    <w:p w14:paraId="4B15216A">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2001年1月美国胃肠病学院(ACG,American College of Gastroenterology)发布《肝性脑病治疗指南》；</w:t>
      </w:r>
    </w:p>
    <w:p w14:paraId="040578DC">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2014年7月美国肝病研究学会(AASLD,American Association for the Study of Liver Diseases)、欧洲肝脏研究学会(EASL,European Association for the Study of the Liver)发布《</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"https://www.medlive.cn/redirect.php?resource=guide_relatedguide&amp;index=1&amp;url=https%3A%2F%2Fguide.medlive.cn%2Fguideline%2F6625"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2014 AASLD/EASL实践指南：慢性肝病中的肝性脑病</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1FC22E63">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2009年3月国际肝性脑病和氮代谢协会(ISHEN,International Society on Hepatic Encephalopathy and Nitrogen Metabolism)《</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"https://guide.medlive.cn/guideline/1799"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肝性脑病的神经心理学评估：ISHEN实践指南</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111AF3FC">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2013年7月国际肝性脑病和氮代谢协会(ISHEN,International Society on Hepatic Encephalopathy and Nitrogen Metabolism)《</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"https://guide.medlive.cn/guideline/5221"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2013肝硬化患者肝性脑病的营养管理：ISHEN共识</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1BB6722D">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2014年7月美国肝病研究学会(AASLD,American Association for the Study of Liver Diseases),欧洲肝脏研究学会(EASL,European Association for the Study of the Liver)发布《</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"https://www.medlive.cn/redirect.php?resource=guide_relatedguide&amp;index=1&amp;url=https%3A%2F%2Fguide.medlive.cn%2Fguideline%2F6625"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2014 AASLD/EASL实践指南：慢性肝病中的肝性脑病</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71713062">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2018年12月意大利肝病学会(AISF,Italian Association for the Study of the Liver)发布《</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"https://www.medlive.cn/redirect.php?resource=guide_relatedguide&amp;index=1&amp;url=https%3A%2F%2Fguide.medlive.cn%2Fguideline%2F17243"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2018 AISF临床实践指南：肝性脑病</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3C826FDB">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2022年6月欧洲肝脏研究学会(EASL,European Association for the Study of the Liver)发布《</w:t>
      </w:r>
      <w:r>
        <w:rPr>
          <w:rFonts w:hint="eastAsia" w:ascii="仿宋" w:hAnsi="仿宋" w:eastAsia="仿宋"/>
          <w:kern w:val="0"/>
          <w:sz w:val="28"/>
          <w:szCs w:val="28"/>
          <w:lang w:val="en-US" w:eastAsia="zh-CN"/>
        </w:rPr>
        <w:fldChar w:fldCharType="begin"/>
      </w:r>
      <w:r>
        <w:rPr>
          <w:rFonts w:hint="eastAsia" w:ascii="仿宋" w:hAnsi="仿宋" w:eastAsia="仿宋"/>
          <w:kern w:val="0"/>
          <w:sz w:val="28"/>
          <w:szCs w:val="28"/>
          <w:lang w:val="en-US" w:eastAsia="zh-CN"/>
        </w:rPr>
        <w:instrText xml:space="preserve"> HYPERLINK "https://www.medlive.cn/redirect.php?resource=guide_relatedguide&amp;index=1&amp;url=https%3A%2F%2Fguide.medlive.cn%2Fguideline%2F26170" \t "_blank" </w:instrText>
      </w:r>
      <w:r>
        <w:rPr>
          <w:rFonts w:hint="eastAsia" w:ascii="仿宋" w:hAnsi="仿宋" w:eastAsia="仿宋"/>
          <w:kern w:val="0"/>
          <w:sz w:val="28"/>
          <w:szCs w:val="28"/>
          <w:lang w:val="en-US" w:eastAsia="zh-CN"/>
        </w:rPr>
        <w:fldChar w:fldCharType="separate"/>
      </w:r>
      <w:r>
        <w:rPr>
          <w:rFonts w:hint="eastAsia" w:ascii="仿宋" w:hAnsi="仿宋" w:eastAsia="仿宋"/>
          <w:kern w:val="0"/>
          <w:sz w:val="28"/>
          <w:szCs w:val="28"/>
          <w:lang w:val="en-US" w:eastAsia="zh-CN"/>
        </w:rPr>
        <w:t>2022 EASL临床实践指南：肝性脑病的管理</w:t>
      </w:r>
      <w:r>
        <w:rPr>
          <w:rFonts w:hint="eastAsia" w:ascii="仿宋" w:hAnsi="仿宋" w:eastAsia="仿宋"/>
          <w:kern w:val="0"/>
          <w:sz w:val="28"/>
          <w:szCs w:val="28"/>
          <w:lang w:val="en-US" w:eastAsia="zh-CN"/>
        </w:rPr>
        <w:fldChar w:fldCharType="end"/>
      </w:r>
      <w:r>
        <w:rPr>
          <w:rFonts w:hint="eastAsia" w:ascii="仿宋" w:hAnsi="仿宋" w:eastAsia="仿宋"/>
          <w:kern w:val="0"/>
          <w:sz w:val="28"/>
          <w:szCs w:val="28"/>
          <w:lang w:val="en-US" w:eastAsia="zh-CN"/>
        </w:rPr>
        <w:t>》。</w:t>
      </w:r>
    </w:p>
    <w:p w14:paraId="7560C692">
      <w:pPr>
        <w:numPr>
          <w:ilvl w:val="0"/>
          <w:numId w:val="1"/>
        </w:numPr>
        <w:spacing w:line="360" w:lineRule="auto"/>
        <w:ind w:left="443" w:leftChars="0" w:firstLine="397" w:firstLineChars="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自我承诺</w:t>
      </w:r>
    </w:p>
    <w:p w14:paraId="6E926945">
      <w:pPr>
        <w:spacing w:line="360" w:lineRule="auto"/>
        <w:ind w:firstLine="560" w:firstLineChars="200"/>
        <w:rPr>
          <w:rFonts w:hint="eastAsia" w:ascii="仿宋" w:hAnsi="仿宋" w:eastAsia="仿宋"/>
          <w:kern w:val="0"/>
          <w:sz w:val="28"/>
          <w:szCs w:val="28"/>
          <w:lang w:val="en-US" w:eastAsia="zh-CN"/>
        </w:rPr>
      </w:pPr>
      <w:r>
        <w:rPr>
          <w:rFonts w:hint="eastAsia" w:ascii="仿宋" w:hAnsi="仿宋" w:eastAsia="仿宋"/>
          <w:kern w:val="0"/>
          <w:sz w:val="28"/>
          <w:szCs w:val="28"/>
          <w:lang w:val="en-US" w:eastAsia="zh-CN"/>
        </w:rPr>
        <w:t>本标准内容与各项指标不低于国家强制性标准。</w:t>
      </w:r>
    </w:p>
    <w:p w14:paraId="2C9D4FA2">
      <w:pPr>
        <w:numPr>
          <w:ilvl w:val="0"/>
          <w:numId w:val="1"/>
        </w:numPr>
        <w:spacing w:line="360" w:lineRule="auto"/>
        <w:ind w:left="443" w:leftChars="0" w:firstLine="397" w:firstLineChars="0"/>
        <w:rPr>
          <w:rFonts w:hint="eastAsia" w:asciiTheme="minorEastAsia" w:hAnsiTheme="minorEastAsia" w:eastAsiaTheme="minorEastAsia"/>
          <w:b/>
          <w:bCs/>
          <w:sz w:val="32"/>
          <w:szCs w:val="32"/>
          <w:lang w:val="en-US" w:eastAsia="zh-CN"/>
        </w:rPr>
      </w:pPr>
      <w:r>
        <w:rPr>
          <w:rFonts w:hint="eastAsia" w:asciiTheme="minorEastAsia" w:hAnsiTheme="minorEastAsia" w:eastAsiaTheme="minorEastAsia"/>
          <w:b/>
          <w:bCs/>
          <w:sz w:val="32"/>
          <w:szCs w:val="32"/>
          <w:lang w:val="en-US" w:eastAsia="zh-CN"/>
        </w:rPr>
        <w:t>标准编写时间进度表</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84"/>
        <w:gridCol w:w="2295"/>
        <w:gridCol w:w="4343"/>
      </w:tblGrid>
      <w:tr w14:paraId="719F5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053A0DF1">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时间安排</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058FD9C1">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工作内容</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6166301D">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阶段成果</w:t>
            </w:r>
          </w:p>
        </w:tc>
      </w:tr>
      <w:tr w14:paraId="7E019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4BF0CFBD">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2023年</w:t>
            </w:r>
            <w:r>
              <w:rPr>
                <w:rFonts w:hint="eastAsia" w:ascii="Times New Roman" w:hAnsi="Times New Roman" w:eastAsia="仿宋_GB2312" w:cs="Times New Roman"/>
                <w:color w:val="000000"/>
                <w:sz w:val="24"/>
                <w:szCs w:val="24"/>
                <w:lang w:val="en-US" w:eastAsia="zh-CN"/>
              </w:rPr>
              <w:t>09</w:t>
            </w:r>
            <w:r>
              <w:rPr>
                <w:rFonts w:hint="eastAsia" w:ascii="Times New Roman" w:hAnsi="Times New Roman" w:eastAsia="仿宋_GB2312" w:cs="Times New Roman"/>
                <w:color w:val="000000"/>
                <w:sz w:val="24"/>
                <w:szCs w:val="24"/>
                <w:lang w:val="en-US"/>
              </w:rPr>
              <w:t>-</w:t>
            </w:r>
            <w:r>
              <w:rPr>
                <w:rFonts w:hint="eastAsia" w:ascii="Times New Roman" w:hAnsi="Times New Roman" w:eastAsia="仿宋_GB2312" w:cs="Times New Roman"/>
                <w:color w:val="000000"/>
                <w:sz w:val="24"/>
                <w:szCs w:val="24"/>
                <w:lang w:val="en-US" w:eastAsia="zh-CN"/>
              </w:rPr>
              <w:t>10</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3295B91B">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成立标准编制工作组</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731B17C7">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1.确认项目组名单</w:t>
            </w:r>
          </w:p>
          <w:p w14:paraId="5EB25DE3">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2.签署专家组知情同意书</w:t>
            </w:r>
          </w:p>
          <w:p w14:paraId="73373F4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3.起草标准草案的“工作组讨论稿”</w:t>
            </w:r>
          </w:p>
        </w:tc>
      </w:tr>
      <w:tr w14:paraId="4E248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50FE715A">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rPr>
              <w:t>2023年</w:t>
            </w:r>
            <w:r>
              <w:rPr>
                <w:rFonts w:hint="eastAsia" w:ascii="Times New Roman" w:hAnsi="Times New Roman" w:eastAsia="仿宋_GB2312" w:cs="Times New Roman"/>
                <w:color w:val="000000"/>
                <w:sz w:val="24"/>
                <w:szCs w:val="24"/>
                <w:lang w:val="en-US" w:eastAsia="zh-CN"/>
              </w:rPr>
              <w:t>11</w:t>
            </w:r>
            <w:r>
              <w:rPr>
                <w:rFonts w:hint="eastAsia" w:ascii="Times New Roman" w:hAnsi="Times New Roman" w:eastAsia="仿宋_GB2312" w:cs="Times New Roman"/>
                <w:color w:val="000000"/>
                <w:sz w:val="24"/>
                <w:szCs w:val="24"/>
                <w:lang w:val="en-US"/>
              </w:rPr>
              <w:t>月</w:t>
            </w:r>
            <w:r>
              <w:rPr>
                <w:rFonts w:hint="eastAsia" w:ascii="Times New Roman" w:hAnsi="Times New Roman" w:eastAsia="仿宋_GB2312" w:cs="Times New Roman"/>
                <w:color w:val="000000"/>
                <w:sz w:val="24"/>
                <w:szCs w:val="24"/>
                <w:lang w:val="en-US" w:eastAsia="zh-CN"/>
              </w:rPr>
              <w:t>-2024年1月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496D9556">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rPr>
              <w:t>1.专家访谈</w:t>
            </w:r>
            <w:r>
              <w:rPr>
                <w:rFonts w:hint="eastAsia" w:ascii="Times New Roman" w:hAnsi="Times New Roman" w:eastAsia="仿宋_GB2312" w:cs="Times New Roman"/>
                <w:color w:val="000000"/>
                <w:sz w:val="24"/>
                <w:szCs w:val="24"/>
                <w:lang w:val="en-US" w:eastAsia="zh-CN"/>
              </w:rPr>
              <w:t xml:space="preserve"> </w:t>
            </w:r>
          </w:p>
          <w:p w14:paraId="7508DE87">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2.临床调研</w:t>
            </w:r>
          </w:p>
          <w:p w14:paraId="4E40616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3.确定临床问题</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496815BD">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1.专家访谈报告</w:t>
            </w:r>
          </w:p>
          <w:p w14:paraId="7869937E">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2.调研报告</w:t>
            </w:r>
          </w:p>
          <w:p w14:paraId="1296B7F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3.临床问题确定会纪要及临床清单</w:t>
            </w:r>
          </w:p>
          <w:p w14:paraId="021CA79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3.起草并完成“标准草案征求意见稿”及其编制说明</w:t>
            </w:r>
          </w:p>
        </w:tc>
      </w:tr>
      <w:tr w14:paraId="0168D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6D098883">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w:t>
            </w:r>
            <w:r>
              <w:rPr>
                <w:rFonts w:hint="eastAsia" w:ascii="Times New Roman" w:hAnsi="Times New Roman" w:eastAsia="仿宋_GB2312" w:cs="Times New Roman"/>
                <w:color w:val="000000"/>
                <w:sz w:val="24"/>
                <w:szCs w:val="24"/>
                <w:lang w:val="en-US" w:eastAsia="zh-CN"/>
              </w:rPr>
              <w:t>4</w:t>
            </w:r>
            <w:r>
              <w:rPr>
                <w:rFonts w:hint="eastAsia" w:ascii="Times New Roman" w:hAnsi="Times New Roman" w:eastAsia="仿宋_GB2312" w:cs="Times New Roman"/>
                <w:color w:val="000000"/>
                <w:sz w:val="24"/>
                <w:szCs w:val="24"/>
                <w:lang w:val="en-US"/>
              </w:rPr>
              <w:t>年</w:t>
            </w:r>
            <w:r>
              <w:rPr>
                <w:rFonts w:hint="eastAsia" w:ascii="Times New Roman" w:hAnsi="Times New Roman" w:eastAsia="仿宋_GB2312" w:cs="Times New Roman"/>
                <w:color w:val="000000"/>
                <w:sz w:val="24"/>
                <w:szCs w:val="24"/>
                <w:lang w:val="en-US" w:eastAsia="zh-CN"/>
              </w:rPr>
              <w:t>02-05</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5060F79B">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1.文献检索、筛选、综合</w:t>
            </w:r>
          </w:p>
          <w:p w14:paraId="682EA498">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2.证据分级</w:t>
            </w:r>
          </w:p>
          <w:p w14:paraId="39F9E36F">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3.形成推荐意见</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35ED8A06">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1.检索报告</w:t>
            </w:r>
          </w:p>
          <w:p w14:paraId="2217548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2.证据综合报告</w:t>
            </w:r>
          </w:p>
          <w:p w14:paraId="27A676C9">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3.证据概要表</w:t>
            </w:r>
          </w:p>
          <w:p w14:paraId="6F1EDDF3">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4.推荐意见形成会议及推荐意见清单</w:t>
            </w:r>
          </w:p>
        </w:tc>
      </w:tr>
      <w:tr w14:paraId="5587F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1894DC3D">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w:t>
            </w:r>
            <w:r>
              <w:rPr>
                <w:rFonts w:hint="eastAsia" w:ascii="Times New Roman" w:hAnsi="Times New Roman" w:eastAsia="仿宋_GB2312" w:cs="Times New Roman"/>
                <w:color w:val="000000"/>
                <w:sz w:val="24"/>
                <w:szCs w:val="24"/>
                <w:lang w:val="en-US" w:eastAsia="zh-CN"/>
              </w:rPr>
              <w:t>4</w:t>
            </w:r>
            <w:r>
              <w:rPr>
                <w:rFonts w:hint="eastAsia" w:ascii="Times New Roman" w:hAnsi="Times New Roman" w:eastAsia="仿宋_GB2312" w:cs="Times New Roman"/>
                <w:color w:val="000000"/>
                <w:sz w:val="24"/>
                <w:szCs w:val="24"/>
                <w:lang w:val="en-US"/>
              </w:rPr>
              <w:t>年</w:t>
            </w:r>
            <w:r>
              <w:rPr>
                <w:rFonts w:hint="eastAsia" w:ascii="Times New Roman" w:hAnsi="Times New Roman" w:eastAsia="仿宋_GB2312" w:cs="Times New Roman"/>
                <w:color w:val="000000"/>
                <w:sz w:val="24"/>
                <w:szCs w:val="24"/>
                <w:lang w:val="en-US" w:eastAsia="zh-CN"/>
              </w:rPr>
              <w:t>06</w:t>
            </w:r>
            <w:r>
              <w:rPr>
                <w:rFonts w:hint="eastAsia" w:ascii="Times New Roman" w:hAnsi="Times New Roman" w:eastAsia="仿宋_GB2312" w:cs="Times New Roman"/>
                <w:color w:val="000000"/>
                <w:sz w:val="24"/>
                <w:szCs w:val="24"/>
                <w:lang w:val="en-US"/>
              </w:rPr>
              <w:t>-</w:t>
            </w:r>
            <w:r>
              <w:rPr>
                <w:rFonts w:hint="eastAsia" w:ascii="Times New Roman" w:hAnsi="Times New Roman" w:eastAsia="仿宋_GB2312" w:cs="Times New Roman"/>
                <w:color w:val="000000"/>
                <w:sz w:val="24"/>
                <w:szCs w:val="24"/>
                <w:lang w:val="en-US" w:eastAsia="zh-CN"/>
              </w:rPr>
              <w:t>09</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4890562F">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eastAsia="zh-CN"/>
              </w:rPr>
              <w:t>1.</w:t>
            </w:r>
            <w:r>
              <w:rPr>
                <w:rFonts w:hint="eastAsia" w:ascii="Times New Roman" w:hAnsi="Times New Roman" w:eastAsia="仿宋_GB2312" w:cs="Times New Roman"/>
                <w:color w:val="000000"/>
                <w:sz w:val="24"/>
                <w:szCs w:val="24"/>
                <w:lang w:val="en-US"/>
              </w:rPr>
              <w:t>撰写指南草案</w:t>
            </w:r>
          </w:p>
          <w:p w14:paraId="4CBDB0A6">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eastAsia="zh-CN"/>
              </w:rPr>
              <w:t>2</w:t>
            </w:r>
            <w:r>
              <w:rPr>
                <w:rFonts w:hint="eastAsia" w:ascii="Times New Roman" w:hAnsi="Times New Roman" w:eastAsia="仿宋_GB2312" w:cs="Times New Roman"/>
                <w:color w:val="000000"/>
                <w:sz w:val="24"/>
                <w:szCs w:val="24"/>
                <w:lang w:val="en-US"/>
              </w:rPr>
              <w:t>.开展自评</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00E637CB">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1.草案和编制说明</w:t>
            </w:r>
          </w:p>
          <w:p w14:paraId="58BA962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2.指南质量评价报告</w:t>
            </w:r>
          </w:p>
          <w:p w14:paraId="4977B236">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3.指南适用性评价报告</w:t>
            </w:r>
          </w:p>
        </w:tc>
      </w:tr>
      <w:tr w14:paraId="3E903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2781CE33">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2024年</w:t>
            </w:r>
            <w:r>
              <w:rPr>
                <w:rFonts w:hint="eastAsia" w:ascii="Times New Roman" w:hAnsi="Times New Roman" w:eastAsia="仿宋_GB2312" w:cs="Times New Roman"/>
                <w:color w:val="000000"/>
                <w:sz w:val="24"/>
                <w:szCs w:val="24"/>
                <w:lang w:val="en-US" w:eastAsia="zh-CN"/>
              </w:rPr>
              <w:t>10</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4D33443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开展征求意见</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0E80CAE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征求意见汇总处理表</w:t>
            </w:r>
          </w:p>
        </w:tc>
      </w:tr>
      <w:tr w14:paraId="2385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7D498A8A">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2024年</w:t>
            </w:r>
            <w:r>
              <w:rPr>
                <w:rFonts w:hint="eastAsia" w:ascii="Times New Roman" w:hAnsi="Times New Roman" w:eastAsia="仿宋_GB2312" w:cs="Times New Roman"/>
                <w:color w:val="000000"/>
                <w:sz w:val="24"/>
                <w:szCs w:val="24"/>
                <w:lang w:val="en-US" w:eastAsia="zh-CN"/>
              </w:rPr>
              <w:t>11-12</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621E5EF9">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1.送审</w:t>
            </w:r>
          </w:p>
          <w:p w14:paraId="3DF9595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2.公示</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0D854862">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eastAsia"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1.送审稿和编制说明</w:t>
            </w:r>
          </w:p>
          <w:p w14:paraId="304D951A">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2.公示稿和编制说明</w:t>
            </w:r>
          </w:p>
        </w:tc>
      </w:tr>
      <w:tr w14:paraId="5AF36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2A8CA5D3">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w:t>
            </w:r>
            <w:r>
              <w:rPr>
                <w:rFonts w:hint="eastAsia" w:ascii="Times New Roman" w:hAnsi="Times New Roman" w:eastAsia="仿宋_GB2312" w:cs="Times New Roman"/>
                <w:color w:val="000000"/>
                <w:sz w:val="24"/>
                <w:szCs w:val="24"/>
                <w:lang w:val="en-US" w:eastAsia="zh-CN"/>
              </w:rPr>
              <w:t>5</w:t>
            </w:r>
            <w:r>
              <w:rPr>
                <w:rFonts w:hint="eastAsia" w:ascii="Times New Roman" w:hAnsi="Times New Roman" w:eastAsia="仿宋_GB2312" w:cs="Times New Roman"/>
                <w:color w:val="000000"/>
                <w:sz w:val="24"/>
                <w:szCs w:val="24"/>
                <w:lang w:val="en-US"/>
              </w:rPr>
              <w:t>年</w:t>
            </w:r>
            <w:r>
              <w:rPr>
                <w:rFonts w:hint="eastAsia" w:ascii="Times New Roman" w:hAnsi="Times New Roman" w:eastAsia="仿宋_GB2312" w:cs="Times New Roman"/>
                <w:color w:val="000000"/>
                <w:sz w:val="24"/>
                <w:szCs w:val="24"/>
                <w:lang w:val="en-US" w:eastAsia="zh-CN"/>
              </w:rPr>
              <w:t>01</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0F8E3706">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发布</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1542AD5C">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报批稿和编制说明</w:t>
            </w:r>
          </w:p>
        </w:tc>
      </w:tr>
      <w:tr w14:paraId="1388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2" w:hRule="atLeast"/>
        </w:trPr>
        <w:tc>
          <w:tcPr>
            <w:tcW w:w="1105" w:type="pct"/>
            <w:tcBorders>
              <w:top w:val="single" w:color="auto" w:sz="4" w:space="0"/>
              <w:left w:val="single" w:color="auto" w:sz="4" w:space="0"/>
              <w:bottom w:val="single" w:color="auto" w:sz="4" w:space="0"/>
              <w:right w:val="single" w:color="auto" w:sz="4" w:space="0"/>
            </w:tcBorders>
            <w:noWrap w:val="0"/>
            <w:vAlign w:val="center"/>
          </w:tcPr>
          <w:p w14:paraId="05C2624E">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202</w:t>
            </w:r>
            <w:r>
              <w:rPr>
                <w:rFonts w:hint="eastAsia" w:ascii="Times New Roman" w:hAnsi="Times New Roman" w:eastAsia="仿宋_GB2312" w:cs="Times New Roman"/>
                <w:color w:val="000000"/>
                <w:sz w:val="24"/>
                <w:szCs w:val="24"/>
                <w:lang w:val="en-US" w:eastAsia="zh-CN"/>
              </w:rPr>
              <w:t>5</w:t>
            </w:r>
            <w:r>
              <w:rPr>
                <w:rFonts w:hint="eastAsia" w:ascii="Times New Roman" w:hAnsi="Times New Roman" w:eastAsia="仿宋_GB2312" w:cs="Times New Roman"/>
                <w:color w:val="000000"/>
                <w:sz w:val="24"/>
                <w:szCs w:val="24"/>
                <w:lang w:val="en-US"/>
              </w:rPr>
              <w:t>年</w:t>
            </w:r>
            <w:r>
              <w:rPr>
                <w:rFonts w:hint="eastAsia" w:ascii="Times New Roman" w:hAnsi="Times New Roman" w:eastAsia="仿宋_GB2312" w:cs="Times New Roman"/>
                <w:color w:val="000000"/>
                <w:sz w:val="24"/>
                <w:szCs w:val="24"/>
                <w:lang w:val="en-US" w:eastAsia="zh-CN"/>
              </w:rPr>
              <w:t>02</w:t>
            </w:r>
            <w:r>
              <w:rPr>
                <w:rFonts w:hint="eastAsia" w:ascii="Times New Roman" w:hAnsi="Times New Roman" w:eastAsia="仿宋_GB2312" w:cs="Times New Roman"/>
                <w:color w:val="000000"/>
                <w:sz w:val="24"/>
                <w:szCs w:val="24"/>
                <w:lang w:val="en-US"/>
              </w:rPr>
              <w:t>月</w:t>
            </w:r>
          </w:p>
        </w:tc>
        <w:tc>
          <w:tcPr>
            <w:tcW w:w="1346" w:type="pct"/>
            <w:tcBorders>
              <w:top w:val="single" w:color="auto" w:sz="4" w:space="0"/>
              <w:left w:val="single" w:color="auto" w:sz="4" w:space="0"/>
              <w:bottom w:val="single" w:color="auto" w:sz="4" w:space="0"/>
              <w:right w:val="single" w:color="auto" w:sz="4" w:space="0"/>
            </w:tcBorders>
            <w:noWrap w:val="0"/>
            <w:vAlign w:val="center"/>
          </w:tcPr>
          <w:p w14:paraId="4E2D1838">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推广</w:t>
            </w:r>
          </w:p>
        </w:tc>
        <w:tc>
          <w:tcPr>
            <w:tcW w:w="2548" w:type="pct"/>
            <w:tcBorders>
              <w:top w:val="single" w:color="auto" w:sz="4" w:space="0"/>
              <w:left w:val="single" w:color="auto" w:sz="4" w:space="0"/>
              <w:bottom w:val="single" w:color="auto" w:sz="4" w:space="0"/>
              <w:right w:val="single" w:color="auto" w:sz="4" w:space="0"/>
            </w:tcBorders>
            <w:noWrap w:val="0"/>
            <w:vAlign w:val="center"/>
          </w:tcPr>
          <w:p w14:paraId="67BADA3D">
            <w:pPr>
              <w:keepNext w:val="0"/>
              <w:keepLines w:val="0"/>
              <w:pageBreakBefore w:val="0"/>
              <w:widowControl w:val="0"/>
              <w:numPr>
                <w:ilvl w:val="0"/>
                <w:numId w:val="0"/>
              </w:numPr>
              <w:suppressLineNumbers w:val="0"/>
              <w:kinsoku/>
              <w:overflowPunct/>
              <w:topLinePunct w:val="0"/>
              <w:autoSpaceDE/>
              <w:autoSpaceDN/>
              <w:bidi w:val="0"/>
              <w:adjustRightInd/>
              <w:snapToGrid/>
              <w:spacing w:before="0" w:beforeAutospacing="0" w:after="0" w:afterAutospacing="0" w:line="560" w:lineRule="exact"/>
              <w:ind w:right="0" w:rightChars="0"/>
              <w:jc w:val="left"/>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rPr>
              <w:t>指南用户报告和实施效果报告</w:t>
            </w:r>
          </w:p>
        </w:tc>
      </w:tr>
    </w:tbl>
    <w:p w14:paraId="1806F2FB">
      <w:pPr>
        <w:pStyle w:val="7"/>
        <w:numPr>
          <w:ilvl w:val="0"/>
          <w:numId w:val="0"/>
        </w:numPr>
        <w:rPr>
          <w:rFonts w:hint="default" w:ascii="仿宋" w:hAnsi="仿宋" w:eastAsia="仿宋"/>
          <w:kern w:val="0"/>
          <w:sz w:val="28"/>
          <w:szCs w:val="28"/>
          <w:lang w:val="en-US" w:eastAsia="zh-CN"/>
        </w:rPr>
      </w:pPr>
    </w:p>
    <w:p w14:paraId="6C10EA61">
      <w:pPr>
        <w:spacing w:line="360" w:lineRule="auto"/>
        <w:ind w:firstLine="560" w:firstLineChars="200"/>
        <w:jc w:val="right"/>
        <w:rPr>
          <w:rFonts w:hint="eastAsia" w:ascii="仿宋" w:hAnsi="仿宋" w:eastAsia="仿宋" w:cs="Times New Roman"/>
          <w:kern w:val="0"/>
          <w:sz w:val="28"/>
          <w:szCs w:val="28"/>
          <w:lang w:val="en-US" w:eastAsia="zh-CN"/>
        </w:rPr>
      </w:pPr>
      <w:r>
        <w:rPr>
          <w:rFonts w:hint="eastAsia" w:ascii="仿宋" w:hAnsi="仿宋" w:eastAsia="仿宋" w:cs="Times New Roman"/>
          <w:kern w:val="0"/>
          <w:sz w:val="28"/>
          <w:szCs w:val="28"/>
          <w:lang w:val="en-US" w:eastAsia="zh-CN"/>
        </w:rPr>
        <w:t xml:space="preserve">团体标准《肝性脑病中西医结合诊疗规范》                     </w:t>
      </w:r>
    </w:p>
    <w:p w14:paraId="63856185">
      <w:pPr>
        <w:spacing w:line="360" w:lineRule="auto"/>
        <w:ind w:firstLine="560" w:firstLineChars="200"/>
        <w:jc w:val="right"/>
        <w:rPr>
          <w:rFonts w:hint="eastAsia" w:ascii="仿宋" w:hAnsi="仿宋" w:eastAsia="仿宋" w:cs="Times New Roman"/>
          <w:kern w:val="0"/>
          <w:sz w:val="28"/>
          <w:szCs w:val="28"/>
          <w:lang w:val="en-US" w:eastAsia="zh-CN"/>
        </w:rPr>
      </w:pPr>
      <w:r>
        <w:rPr>
          <w:rFonts w:hint="eastAsia" w:ascii="仿宋" w:hAnsi="仿宋" w:eastAsia="仿宋" w:cs="Times New Roman"/>
          <w:kern w:val="0"/>
          <w:sz w:val="28"/>
          <w:szCs w:val="28"/>
          <w:lang w:val="en-US" w:eastAsia="zh-CN"/>
        </w:rPr>
        <w:t xml:space="preserve">             标准编制工作组</w:t>
      </w:r>
    </w:p>
    <w:p w14:paraId="304C7DB8">
      <w:pPr>
        <w:spacing w:line="360" w:lineRule="auto"/>
        <w:ind w:firstLine="560" w:firstLineChars="200"/>
        <w:jc w:val="right"/>
        <w:rPr>
          <w:rFonts w:hint="eastAsia" w:ascii="仿宋" w:hAnsi="仿宋" w:eastAsia="仿宋" w:cs="Times New Roman"/>
          <w:kern w:val="0"/>
          <w:sz w:val="28"/>
          <w:szCs w:val="28"/>
          <w:lang w:val="en-US" w:eastAsia="zh-CN"/>
        </w:rPr>
      </w:pPr>
      <w:r>
        <w:rPr>
          <w:rFonts w:hint="eastAsia" w:ascii="仿宋" w:hAnsi="仿宋" w:eastAsia="仿宋" w:cs="Times New Roman"/>
          <w:kern w:val="0"/>
          <w:sz w:val="28"/>
          <w:szCs w:val="28"/>
          <w:lang w:val="en-US" w:eastAsia="zh-CN"/>
        </w:rPr>
        <w:t xml:space="preserve">             2023年09月05日</w:t>
      </w:r>
    </w:p>
    <w:p w14:paraId="169AE134">
      <w:pPr>
        <w:pStyle w:val="7"/>
        <w:numPr>
          <w:ilvl w:val="0"/>
          <w:numId w:val="0"/>
        </w:numPr>
        <w:jc w:val="right"/>
        <w:rPr>
          <w:rFonts w:hint="default" w:ascii="仿宋" w:hAnsi="仿宋" w:eastAsia="仿宋"/>
          <w:kern w:val="0"/>
          <w:sz w:val="28"/>
          <w:szCs w:val="28"/>
          <w:lang w:val="en-US" w:eastAsia="zh-CN"/>
        </w:rPr>
      </w:pPr>
    </w:p>
    <w:p w14:paraId="4EFA54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461730F4-8847-4081-AC00-FE61EA0A4A4C}"/>
  </w:font>
  <w:font w:name="方正小标宋简体">
    <w:panose1 w:val="02000000000000000000"/>
    <w:charset w:val="86"/>
    <w:family w:val="auto"/>
    <w:pitch w:val="default"/>
    <w:sig w:usb0="00000001" w:usb1="08000000" w:usb2="00000000" w:usb3="00000000" w:csb0="00040000" w:csb1="00000000"/>
    <w:embedRegular r:id="rId2" w:fontKey="{381CE56F-386C-496D-A7C8-4FB543C8C027}"/>
  </w:font>
  <w:font w:name="仿宋">
    <w:panose1 w:val="02010609060101010101"/>
    <w:charset w:val="86"/>
    <w:family w:val="modern"/>
    <w:pitch w:val="default"/>
    <w:sig w:usb0="800002BF" w:usb1="38CF7CFA" w:usb2="00000016" w:usb3="00000000" w:csb0="00040001" w:csb1="00000000"/>
    <w:embedRegular r:id="rId3" w:fontKey="{D67A25A5-7EE5-4734-82F4-5B47175B5C36}"/>
  </w:font>
  <w:font w:name="仿宋_GB2312">
    <w:altName w:val="仿宋"/>
    <w:panose1 w:val="02010609030101010101"/>
    <w:charset w:val="86"/>
    <w:family w:val="auto"/>
    <w:pitch w:val="default"/>
    <w:sig w:usb0="00000000" w:usb1="00000000" w:usb2="00000000" w:usb3="00000000" w:csb0="00040000" w:csb1="00000000"/>
    <w:embedRegular r:id="rId4" w:fontKey="{372FE0A9-73A3-45E6-ACDD-DF732E4F1DA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261F4"/>
    <w:multiLevelType w:val="singleLevel"/>
    <w:tmpl w:val="A48261F4"/>
    <w:lvl w:ilvl="0" w:tentative="0">
      <w:start w:val="1"/>
      <w:numFmt w:val="chineseCounting"/>
      <w:suff w:val="nothing"/>
      <w:lvlText w:val="%1、"/>
      <w:lvlJc w:val="left"/>
      <w:pPr>
        <w:ind w:left="443" w:firstLine="39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yZjkyMDBjODNjMGQwMTZiYTQxMDFjZmZlN2MxMWEifQ=="/>
  </w:docVars>
  <w:rsids>
    <w:rsidRoot w:val="63835D8D"/>
    <w:rsid w:val="0CA57A5D"/>
    <w:rsid w:val="15832DE6"/>
    <w:rsid w:val="1C47643B"/>
    <w:rsid w:val="21196058"/>
    <w:rsid w:val="37EC3FD2"/>
    <w:rsid w:val="3B7701D0"/>
    <w:rsid w:val="48C9530B"/>
    <w:rsid w:val="4EE01C53"/>
    <w:rsid w:val="63835D8D"/>
    <w:rsid w:val="676858DB"/>
    <w:rsid w:val="789E1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next w:val="1"/>
    <w:qFormat/>
    <w:uiPriority w:val="0"/>
    <w:pPr>
      <w:spacing w:after="120"/>
      <w:ind w:left="200" w:left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Title"/>
    <w:basedOn w:val="1"/>
    <w:next w:val="2"/>
    <w:qFormat/>
    <w:uiPriority w:val="10"/>
    <w:pPr>
      <w:spacing w:line="0" w:lineRule="atLeast"/>
      <w:jc w:val="center"/>
    </w:pPr>
    <w:rPr>
      <w:rFonts w:ascii="Arial" w:hAnsi="Arial" w:eastAsia="黑体"/>
      <w:sz w:val="52"/>
      <w:szCs w:val="52"/>
    </w:rPr>
  </w:style>
  <w:style w:type="paragraph" w:customStyle="1" w:styleId="7">
    <w:name w:val="BodyText2"/>
    <w:basedOn w:val="1"/>
    <w:qFormat/>
    <w:uiPriority w:val="0"/>
    <w:pPr>
      <w:spacing w:after="120" w:line="480" w:lineRule="auto"/>
      <w:textAlignment w:val="baseline"/>
    </w:pPr>
    <w:rPr>
      <w:sz w:val="32"/>
      <w:szCs w:val="32"/>
    </w:rPr>
  </w:style>
  <w:style w:type="paragraph" w:styleId="8">
    <w:name w:val="List Paragraph"/>
    <w:basedOn w:val="1"/>
    <w:unhideWhenUsed/>
    <w:qFormat/>
    <w:uiPriority w:val="99"/>
    <w:pPr>
      <w:ind w:firstLine="420" w:firstLineChars="200"/>
    </w:p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正文-公1"/>
    <w:qFormat/>
    <w:uiPriority w:val="99"/>
    <w:pPr>
      <w:widowControl w:val="0"/>
      <w:suppressAutoHyphens/>
      <w:bidi w:val="0"/>
      <w:jc w:val="both"/>
    </w:pPr>
    <w:rPr>
      <w:rFonts w:ascii="Calibri" w:hAnsi="Calibri" w:eastAsia="宋体" w:cs="Times New Roman"/>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7ae745f-41f2-46a7-9689-a554c3f451f8}"/>
        <w:style w:val=""/>
        <w:category>
          <w:name w:val="常规"/>
          <w:gallery w:val="placeholder"/>
        </w:category>
        <w:types>
          <w:type w:val="bbPlcHdr"/>
        </w:types>
        <w:behaviors>
          <w:behavior w:val="content"/>
        </w:behaviors>
        <w:description w:val=""/>
        <w:guid w:val="{67ae745f-41f2-46a7-9689-a554c3f451f8}"/>
      </w:docPartPr>
      <w:docPartBody>
        <w:p w14:paraId="4B09CC87">
          <w:pPr>
            <w:pStyle w:val="2"/>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44D175DF9E6B424E97EA458D477EF83A"/>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5570</Words>
  <Characters>6590</Characters>
  <Lines>0</Lines>
  <Paragraphs>0</Paragraphs>
  <TotalTime>9</TotalTime>
  <ScaleCrop>false</ScaleCrop>
  <LinksUpToDate>false</LinksUpToDate>
  <CharactersWithSpaces>6754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2022-09-14T17:11:00Z</dcterms:created>
  <dc:creator>my1986yao</dc:creator>
  <cp:lastModifiedBy>my1986yao</cp:lastModifiedBy>
  <cp:lastPrinted>2023-09-06T00:32:00Z</cp:lastPrinted>
  <dcterms:modified xsi:type="dcterms:W3CDTF">2024-06-17T03:08:17Z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8A94AB1BDAF7405A9B3CCBD43FD8E9C3_13</vt:lpwstr>
  </property>
</Properties>
</file>