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67.050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09</w:t>
            </w:r>
            <w:r>
              <w:rPr>
                <w:rFonts w:ascii="黑体" w:hAnsi="黑体" w:eastAsia="黑体"/>
                <w:sz w:val="21"/>
                <w:szCs w:val="21"/>
              </w:rPr>
              <w:fldChar w:fldCharType="end"/>
            </w:r>
            <w:bookmarkEnd w:id="1"/>
          </w:p>
        </w:tc>
      </w:tr>
    </w:tbl>
    <w:tbl>
      <w:tblPr>
        <w:tblStyle w:val="33"/>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60288;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pPr>
        <w:pStyle w:val="50"/>
        <w:framePr w:w="9639" w:h="6976" w:hRule="exact" w:hSpace="0" w:vSpace="0" w:hAnchor="page" w:y="6408"/>
        <w:jc w:val="center"/>
        <w:rPr>
          <w:rFonts w:ascii="黑体" w:hAnsi="黑体" w:eastAsia="黑体"/>
          <w:b w:val="0"/>
          <w:bCs w:val="0"/>
          <w:w w:val="100"/>
        </w:rPr>
      </w:pPr>
    </w:p>
    <w:p>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粉状食品中总肽含量的测定</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Determination of total content of peptide in powdered food</w:t>
      </w:r>
      <w:r>
        <w:rPr>
          <w:rFonts w:hint="eastAsia" w:eastAsia="黑体"/>
          <w:szCs w:val="28"/>
        </w:rPr>
        <w:t>s</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ab/>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ab/>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w:t>
      </w:r>
      <w:r>
        <w:rPr>
          <w:rFonts w:hint="eastAsia" w:hAnsi="黑体"/>
          <w:w w:val="100"/>
          <w:sz w:val="28"/>
          <w:lang w:eastAsia="zh-CN"/>
        </w:rPr>
        <w:t>省</w:t>
      </w:r>
      <w:r>
        <w:rPr>
          <w:rFonts w:hint="eastAsia"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pPr>
        <w:pStyle w:val="91"/>
        <w:spacing w:after="468"/>
      </w:pPr>
      <w:bookmarkStart w:id="21" w:name="BookMark1"/>
      <w:bookmarkStart w:id="22" w:name="_Toc190863995"/>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"_Toc197959274" </w:instrText>
      </w:r>
      <w:r>
        <w:fldChar w:fldCharType="separate"/>
      </w:r>
      <w:r>
        <w:rPr>
          <w:rStyle w:val="30"/>
          <w:rFonts w:hint="eastAsia"/>
          <w:spacing w:val="320"/>
        </w:rPr>
        <w:t>前</w:t>
      </w:r>
      <w:r>
        <w:rPr>
          <w:rStyle w:val="30"/>
          <w:rFonts w:hint="eastAsia"/>
        </w:rPr>
        <w:t>言</w:t>
      </w:r>
      <w:r>
        <w:tab/>
      </w:r>
      <w:r>
        <w:fldChar w:fldCharType="begin"/>
      </w:r>
      <w:r>
        <w:instrText xml:space="preserve"> PAGEREF _Toc197959274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"_Toc197959275" </w:instrText>
      </w:r>
      <w:r>
        <w:fldChar w:fldCharType="separate"/>
      </w:r>
      <w:r>
        <w:rPr>
          <w:rStyle w:val="30"/>
        </w:rPr>
        <w:t>1</w:t>
      </w:r>
      <w:r>
        <w:rPr>
          <w:rStyle w:val="30"/>
          <w:rFonts w:hint="eastAsia"/>
        </w:rPr>
        <w:t xml:space="preserve"> 范围</w:t>
      </w:r>
      <w:r>
        <w:tab/>
      </w:r>
      <w:r>
        <w:fldChar w:fldCharType="begin"/>
      </w:r>
      <w:r>
        <w:instrText xml:space="preserve"> PAGEREF _Toc197959275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"_Toc197959276" </w:instrText>
      </w:r>
      <w:r>
        <w:fldChar w:fldCharType="separate"/>
      </w:r>
      <w:r>
        <w:rPr>
          <w:rStyle w:val="30"/>
        </w:rPr>
        <w:t>2</w:t>
      </w:r>
      <w:r>
        <w:rPr>
          <w:rStyle w:val="30"/>
          <w:rFonts w:hint="eastAsia"/>
        </w:rPr>
        <w:t xml:space="preserve"> 规范性引用文件</w:t>
      </w:r>
      <w:r>
        <w:tab/>
      </w:r>
      <w:r>
        <w:fldChar w:fldCharType="begin"/>
      </w:r>
      <w:r>
        <w:instrText xml:space="preserve"> PAGEREF _Toc197959276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"_Toc197959277" </w:instrText>
      </w:r>
      <w:r>
        <w:fldChar w:fldCharType="separate"/>
      </w:r>
      <w:r>
        <w:rPr>
          <w:rStyle w:val="30"/>
        </w:rPr>
        <w:t>3</w:t>
      </w:r>
      <w:r>
        <w:rPr>
          <w:rStyle w:val="30"/>
          <w:rFonts w:hint="eastAsia"/>
        </w:rPr>
        <w:t xml:space="preserve"> 术语和定义</w:t>
      </w:r>
      <w:r>
        <w:tab/>
      </w:r>
      <w:r>
        <w:fldChar w:fldCharType="begin"/>
      </w:r>
      <w:r>
        <w:instrText xml:space="preserve"> PAGEREF _Toc197959277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"_Toc197959278" </w:instrText>
      </w:r>
      <w:r>
        <w:fldChar w:fldCharType="separate"/>
      </w:r>
      <w:r>
        <w:rPr>
          <w:rStyle w:val="30"/>
        </w:rPr>
        <w:t>4</w:t>
      </w:r>
      <w:r>
        <w:rPr>
          <w:rStyle w:val="30"/>
          <w:rFonts w:hint="eastAsia"/>
        </w:rPr>
        <w:t xml:space="preserve"> 原理</w:t>
      </w:r>
      <w:r>
        <w:tab/>
      </w:r>
      <w:r>
        <w:fldChar w:fldCharType="begin"/>
      </w:r>
      <w:r>
        <w:instrText xml:space="preserve"> PAGEREF _Toc197959278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"_Toc197959279" </w:instrText>
      </w:r>
      <w:r>
        <w:fldChar w:fldCharType="separate"/>
      </w:r>
      <w:r>
        <w:rPr>
          <w:rStyle w:val="30"/>
          <w:snapToGrid w:val="0"/>
        </w:rPr>
        <w:t>5</w:t>
      </w:r>
      <w:r>
        <w:rPr>
          <w:rStyle w:val="30"/>
          <w:rFonts w:hint="eastAsia"/>
          <w:snapToGrid w:val="0"/>
        </w:rPr>
        <w:t xml:space="preserve"> 试剂和材料</w:t>
      </w:r>
      <w:r>
        <w:tab/>
      </w:r>
      <w:r>
        <w:fldChar w:fldCharType="begin"/>
      </w:r>
      <w:r>
        <w:instrText xml:space="preserve"> PAGEREF _Toc197959279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"_Toc197959280" </w:instrText>
      </w:r>
      <w:r>
        <w:fldChar w:fldCharType="separate"/>
      </w:r>
      <w:r>
        <w:rPr>
          <w:rStyle w:val="30"/>
          <w:snapToGrid w:val="0"/>
        </w:rPr>
        <w:t>6</w:t>
      </w:r>
      <w:r>
        <w:rPr>
          <w:rStyle w:val="30"/>
          <w:rFonts w:hint="eastAsia"/>
          <w:snapToGrid w:val="0"/>
        </w:rPr>
        <w:t xml:space="preserve"> 仪器和设备</w:t>
      </w:r>
      <w:r>
        <w:tab/>
      </w:r>
      <w:r>
        <w:fldChar w:fldCharType="begin"/>
      </w:r>
      <w:r>
        <w:instrText xml:space="preserve"> PAGEREF _Toc197959280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"_Toc197959281" </w:instrText>
      </w:r>
      <w:r>
        <w:fldChar w:fldCharType="separate"/>
      </w:r>
      <w:r>
        <w:rPr>
          <w:rStyle w:val="30"/>
          <w:snapToGrid w:val="0"/>
        </w:rPr>
        <w:t>7</w:t>
      </w:r>
      <w:r>
        <w:rPr>
          <w:rStyle w:val="30"/>
          <w:rFonts w:hint="eastAsia"/>
        </w:rPr>
        <w:t xml:space="preserve"> 分析步骤</w:t>
      </w:r>
      <w:r>
        <w:tab/>
      </w:r>
      <w:r>
        <w:fldChar w:fldCharType="begin"/>
      </w:r>
      <w:r>
        <w:instrText xml:space="preserve"> PAGEREF _Toc197959281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"_Toc197959282" </w:instrText>
      </w:r>
      <w:r>
        <w:fldChar w:fldCharType="separate"/>
      </w:r>
      <w:r>
        <w:rPr>
          <w:rStyle w:val="30"/>
          <w:snapToGrid w:val="0"/>
        </w:rPr>
        <w:t>8</w:t>
      </w:r>
      <w:r>
        <w:rPr>
          <w:rStyle w:val="30"/>
          <w:rFonts w:hint="eastAsia"/>
        </w:rPr>
        <w:t xml:space="preserve"> 结果计算及表示</w:t>
      </w:r>
      <w:r>
        <w:tab/>
      </w:r>
      <w:r>
        <w:fldChar w:fldCharType="begin"/>
      </w:r>
      <w:r>
        <w:instrText xml:space="preserve"> PAGEREF _Toc197959282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"_Toc197959283" </w:instrText>
      </w:r>
      <w:r>
        <w:fldChar w:fldCharType="separate"/>
      </w:r>
      <w:r>
        <w:rPr>
          <w:rStyle w:val="30"/>
          <w:snapToGrid w:val="0"/>
        </w:rPr>
        <w:t>9</w:t>
      </w:r>
      <w:r>
        <w:rPr>
          <w:rStyle w:val="30"/>
          <w:rFonts w:hint="eastAsia"/>
        </w:rPr>
        <w:t xml:space="preserve"> 精密度</w:t>
      </w:r>
      <w:r>
        <w:tab/>
      </w:r>
      <w:r>
        <w:fldChar w:fldCharType="begin"/>
      </w:r>
      <w:r>
        <w:instrText xml:space="preserve"> PAGEREF _Toc197959283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"_Toc197959284" </w:instrText>
      </w:r>
      <w:r>
        <w:fldChar w:fldCharType="separate"/>
      </w:r>
      <w:r>
        <w:rPr>
          <w:rStyle w:val="30"/>
          <w:snapToGrid w:val="0"/>
        </w:rPr>
        <w:t>10</w:t>
      </w:r>
      <w:r>
        <w:rPr>
          <w:rStyle w:val="30"/>
          <w:rFonts w:hint="eastAsia"/>
          <w:snapToGrid w:val="0"/>
        </w:rPr>
        <w:t xml:space="preserve"> 其他</w:t>
      </w:r>
      <w:r>
        <w:tab/>
      </w:r>
      <w:r>
        <w:fldChar w:fldCharType="begin"/>
      </w:r>
      <w:r>
        <w:instrText xml:space="preserve"> PAGEREF _Toc197959284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"_Toc197959285" </w:instrText>
      </w:r>
      <w:r>
        <w:fldChar w:fldCharType="separate"/>
      </w:r>
      <w:r>
        <w:rPr>
          <w:rStyle w:val="30"/>
          <w:rFonts w:hint="eastAsia"/>
        </w:rPr>
        <w:t>附录</w:t>
      </w:r>
      <w:r>
        <w:rPr>
          <w:rStyle w:val="30"/>
        </w:rPr>
        <w:t>A</w:t>
      </w:r>
      <w:r>
        <w:tab/>
      </w:r>
      <w:r>
        <w:fldChar w:fldCharType="begin"/>
      </w:r>
      <w:r>
        <w:instrText xml:space="preserve"> PAGEREF _Toc197959285 \h </w:instrText>
      </w:r>
      <w:r>
        <w:fldChar w:fldCharType="separate"/>
      </w:r>
      <w:r>
        <w:t>5</w:t>
      </w:r>
      <w:r>
        <w:fldChar w:fldCharType="end"/>
      </w:r>
      <w:r>
        <w:fldChar w:fldCharType="end"/>
      </w:r>
    </w:p>
    <w:p>
      <w:pPr>
        <w:pStyle w:val="91"/>
        <w:spacing w:after="468"/>
        <w:sectPr>
          <w:headerReference r:id="rId7" w:type="default"/>
          <w:footerReference r:id="rId9" w:type="default"/>
          <w:headerReference r:id="rId8"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3" w:name="_Toc197959274"/>
      <w:bookmarkStart w:id="24" w:name="BookMark2"/>
      <w:r>
        <w:rPr>
          <w:rFonts w:hint="eastAsia"/>
          <w:spacing w:val="320"/>
        </w:rPr>
        <w:t>前</w:t>
      </w:r>
      <w:r>
        <w:rPr>
          <w:rFonts w:hint="eastAsia"/>
        </w:rPr>
        <w:t>言</w:t>
      </w:r>
      <w:bookmarkEnd w:id="22"/>
      <w:bookmarkEnd w:id="23"/>
    </w:p>
    <w:p>
      <w:pPr>
        <w:pStyle w:val="230"/>
        <w:spacing w:before="156" w:after="156"/>
      </w:pPr>
      <w:r>
        <w:rPr>
          <w:rFonts w:hint="eastAsia"/>
        </w:rPr>
        <w:t>本本文件按照GB/T 1.1—2020《标准化工作导则第1部分：标准化文件的结构和起草规则》的规定起草。</w:t>
      </w:r>
    </w:p>
    <w:p>
      <w:pPr>
        <w:pStyle w:val="230"/>
      </w:pPr>
      <w:r>
        <w:rPr>
          <w:rFonts w:hint="eastAsia"/>
        </w:rPr>
        <w:t>请注意本文件的某些内容可能涉及专利。本文件的发布机构不承担识别专利的责任。</w:t>
      </w:r>
    </w:p>
    <w:p>
      <w:pPr>
        <w:pStyle w:val="230"/>
      </w:pPr>
      <w:r>
        <w:rPr>
          <w:rFonts w:hint="eastAsia"/>
        </w:rPr>
        <w:t>本文件由湖南省市场监督管理局提出。</w:t>
      </w:r>
    </w:p>
    <w:p>
      <w:pPr>
        <w:pStyle w:val="230"/>
      </w:pPr>
      <w:r>
        <w:rPr>
          <w:rFonts w:hint="eastAsia"/>
        </w:rPr>
        <w:t>本文件由湖南省食品标准化技术委员会归口。</w:t>
      </w:r>
    </w:p>
    <w:p>
      <w:pPr>
        <w:pStyle w:val="230"/>
      </w:pPr>
      <w:r>
        <w:rPr>
          <w:rFonts w:hint="eastAsia"/>
        </w:rPr>
        <w:t>本文件起草单位：湖南英氏营养食品有限公司、中南林业科技大学。</w:t>
      </w:r>
    </w:p>
    <w:p>
      <w:pPr>
        <w:pStyle w:val="230"/>
      </w:pPr>
      <w:r>
        <w:rPr>
          <w:rFonts w:hint="eastAsia"/>
        </w:rPr>
        <w:t>本文件主要起草人:</w:t>
      </w:r>
      <w:r>
        <w:t xml:space="preserve"> </w:t>
      </w:r>
    </w:p>
    <w:p>
      <w:pPr>
        <w:pStyle w:val="56"/>
        <w:ind w:firstLine="420"/>
      </w:pPr>
      <w:r>
        <w:rPr>
          <w:rFonts w:hint="eastAsia"/>
        </w:rPr>
        <w:t>本文件为首次发布。</w:t>
      </w:r>
    </w:p>
    <w:p>
      <w:pPr>
        <w:pStyle w:val="56"/>
        <w:ind w:firstLine="420"/>
      </w:pPr>
    </w:p>
    <w:p>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ADEC21A9546D40F6806800C56C8B922D"/>
        </w:placeholder>
      </w:sdtPr>
      <w:sdtContent>
        <w:p>
          <w:pPr>
            <w:pStyle w:val="177"/>
            <w:spacing w:beforeLines="100" w:afterLines="220"/>
          </w:pPr>
          <w:bookmarkStart w:id="26" w:name="_Hlk194265616"/>
          <w:bookmarkStart w:id="27" w:name="NEW_STAND_NAME"/>
          <w:r>
            <w:rPr>
              <w:rFonts w:hint="eastAsia"/>
            </w:rPr>
            <w:t>粉状</w:t>
          </w:r>
          <w:r>
            <w:t>食品中</w:t>
          </w:r>
          <w:r>
            <w:rPr>
              <w:rFonts w:hint="eastAsia"/>
            </w:rPr>
            <w:t>总肽含量的测定</w:t>
          </w:r>
        </w:p>
      </w:sdtContent>
    </w:sdt>
    <w:bookmarkEnd w:id="26"/>
    <w:bookmarkEnd w:id="27"/>
    <w:p>
      <w:pPr>
        <w:pStyle w:val="104"/>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190863996"/>
      <w:bookmarkStart w:id="37" w:name="_Toc197959275"/>
      <w:r>
        <w:rPr>
          <w:rFonts w:hint="eastAsia"/>
        </w:rPr>
        <w:t>范围</w:t>
      </w:r>
      <w:bookmarkEnd w:id="28"/>
      <w:bookmarkEnd w:id="29"/>
      <w:bookmarkEnd w:id="30"/>
      <w:bookmarkEnd w:id="31"/>
      <w:bookmarkEnd w:id="32"/>
      <w:bookmarkEnd w:id="33"/>
      <w:bookmarkEnd w:id="34"/>
      <w:bookmarkEnd w:id="35"/>
      <w:bookmarkEnd w:id="36"/>
      <w:bookmarkEnd w:id="37"/>
    </w:p>
    <w:p>
      <w:pPr>
        <w:pStyle w:val="56"/>
        <w:ind w:firstLine="420"/>
      </w:pPr>
      <w:bookmarkStart w:id="38" w:name="_Toc17233326"/>
      <w:bookmarkStart w:id="39" w:name="_Toc24884212"/>
      <w:bookmarkStart w:id="40" w:name="_Toc24884219"/>
      <w:bookmarkStart w:id="41" w:name="_Toc17233334"/>
      <w:bookmarkStart w:id="42" w:name="_Toc26648466"/>
      <w:r>
        <w:rPr>
          <w:rFonts w:hint="eastAsia"/>
        </w:rPr>
        <w:t>本</w:t>
      </w:r>
      <w:bookmarkStart w:id="43" w:name="_Hlk195483689"/>
      <w:r>
        <w:rPr>
          <w:rFonts w:hint="eastAsia"/>
        </w:rPr>
        <w:t>文件</w:t>
      </w:r>
      <w:r>
        <w:t>规定了</w:t>
      </w:r>
      <w:r>
        <w:rPr>
          <w:rFonts w:hint="eastAsia"/>
        </w:rPr>
        <w:t>粉状食品中总肽含量测定的原理、试剂和材料、仪器和设备、分析步骤、结果计算和表示、精密度、检出限和定量限等内容。</w:t>
      </w:r>
      <w:bookmarkEnd w:id="43"/>
    </w:p>
    <w:p>
      <w:pPr>
        <w:pStyle w:val="56"/>
        <w:ind w:firstLine="420"/>
      </w:pPr>
      <w:r>
        <w:rPr>
          <w:rFonts w:hint="eastAsia"/>
        </w:rPr>
        <w:t>本文件</w:t>
      </w:r>
      <w:r>
        <w:t>适用于</w:t>
      </w:r>
      <w:r>
        <w:rPr>
          <w:rFonts w:hint="eastAsia"/>
        </w:rPr>
        <w:t>粉状食品中总肽含量的测定。</w:t>
      </w:r>
    </w:p>
    <w:p>
      <w:pPr>
        <w:pStyle w:val="104"/>
        <w:spacing w:before="312" w:after="312"/>
      </w:pPr>
      <w:bookmarkStart w:id="44" w:name="_Toc26718931"/>
      <w:bookmarkStart w:id="45" w:name="_Toc26986531"/>
      <w:bookmarkStart w:id="46" w:name="_Toc26986772"/>
      <w:bookmarkStart w:id="47" w:name="_Toc190863997"/>
      <w:bookmarkStart w:id="48" w:name="_Toc197959276"/>
      <w:r>
        <w:rPr>
          <w:rFonts w:hint="eastAsia"/>
        </w:rPr>
        <w:t>规范性引用文件</w:t>
      </w:r>
      <w:bookmarkEnd w:id="38"/>
      <w:bookmarkEnd w:id="39"/>
      <w:bookmarkEnd w:id="40"/>
      <w:bookmarkEnd w:id="41"/>
      <w:bookmarkEnd w:id="42"/>
      <w:bookmarkEnd w:id="44"/>
      <w:bookmarkEnd w:id="45"/>
      <w:bookmarkEnd w:id="46"/>
      <w:bookmarkEnd w:id="47"/>
      <w:bookmarkEnd w:id="48"/>
    </w:p>
    <w:sdt>
      <w:sdtPr>
        <w:rPr>
          <w:rFonts w:hint="eastAsia"/>
        </w:rPr>
        <w:id w:val="715848253"/>
        <w:placeholder>
          <w:docPart w:val="D380308E03B5415D8A8C5D8CA4EE6C4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 </w:t>
      </w:r>
      <w:r>
        <w:rPr>
          <w:rFonts w:ascii="Times New Roman"/>
        </w:rPr>
        <w:t>6682</w:t>
      </w:r>
      <w:r>
        <w:t xml:space="preserve"> 分析实验室用水规格和试验方法</w:t>
      </w:r>
      <w:r>
        <w:rPr>
          <w:rFonts w:hint="eastAsia"/>
        </w:rPr>
        <w:t>。</w:t>
      </w:r>
    </w:p>
    <w:p>
      <w:pPr>
        <w:pStyle w:val="104"/>
        <w:spacing w:before="312" w:after="312"/>
      </w:pPr>
      <w:bookmarkStart w:id="49" w:name="_Toc190863998"/>
      <w:bookmarkStart w:id="50" w:name="_Toc197959277"/>
      <w:r>
        <w:rPr>
          <w:rFonts w:hint="eastAsia"/>
          <w:szCs w:val="21"/>
        </w:rPr>
        <w:t>术语和定义</w:t>
      </w:r>
      <w:bookmarkEnd w:id="49"/>
      <w:bookmarkEnd w:id="50"/>
    </w:p>
    <w:sdt>
      <w:sdtPr>
        <w:id w:val="-1909835108"/>
        <w:placeholder>
          <w:docPart w:val="824C23242CF943C1B0E8B3EA773DBD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1" w:name="_Toc26986532"/>
          <w:bookmarkEnd w:id="51"/>
          <w:bookmarkStart w:id="52" w:name="_Hlk195483713"/>
          <w:r>
            <w:t>下列术语和定义适用于本文件。</w:t>
          </w:r>
        </w:p>
      </w:sdtContent>
    </w:sdt>
    <w:bookmarkEnd w:id="52"/>
    <w:p>
      <w:pPr>
        <w:pStyle w:val="105"/>
        <w:spacing w:before="156" w:after="156"/>
      </w:pPr>
      <w:bookmarkStart w:id="53" w:name="_Toc190863999"/>
    </w:p>
    <w:p>
      <w:pPr>
        <w:pStyle w:val="105"/>
        <w:numPr>
          <w:ilvl w:val="0"/>
          <w:numId w:val="0"/>
        </w:numPr>
        <w:spacing w:before="156" w:after="156"/>
        <w:ind w:firstLine="420" w:firstLineChars="200"/>
        <w:rPr>
          <w:snapToGrid w:val="0"/>
        </w:rPr>
      </w:pPr>
      <w:r>
        <w:rPr>
          <w:rFonts w:hint="eastAsia" w:hAnsi="黑体"/>
        </w:rPr>
        <w:t>粉</w:t>
      </w:r>
      <w:r>
        <w:rPr>
          <w:rFonts w:hint="eastAsia" w:hAnsi="黑体"/>
          <w:snapToGrid w:val="0"/>
        </w:rPr>
        <w:t xml:space="preserve">状食品 </w:t>
      </w:r>
      <w:r>
        <w:rPr>
          <w:rFonts w:hAnsi="黑体"/>
          <w:b/>
          <w:snapToGrid w:val="0"/>
        </w:rPr>
        <w:t>powdered food</w:t>
      </w:r>
      <w:r>
        <w:rPr>
          <w:rFonts w:ascii="Times New Roman"/>
          <w:b/>
          <w:snapToGrid w:val="0"/>
        </w:rPr>
        <w:t>s</w:t>
      </w:r>
    </w:p>
    <w:p>
      <w:pPr>
        <w:pStyle w:val="162"/>
        <w:numPr>
          <w:ilvl w:val="0"/>
          <w:numId w:val="0"/>
        </w:numPr>
        <w:ind w:firstLine="420" w:firstLineChars="200"/>
      </w:pPr>
      <w:r>
        <w:rPr>
          <w:rFonts w:hint="eastAsia"/>
        </w:rPr>
        <w:t>粉状食品是指含有天然肽的粉末状食品，以及利用动（植）物蛋白质为原料，通过酶解或者微生物发酵法加工后得到分子量小于</w:t>
      </w:r>
      <w:r>
        <w:rPr>
          <w:rFonts w:ascii="Times New Roman"/>
        </w:rPr>
        <w:t>6,000</w:t>
      </w:r>
      <w:r>
        <w:rPr>
          <w:rFonts w:hint="eastAsia"/>
        </w:rPr>
        <w:t>道尔顿降解肽的粉末状食品。</w:t>
      </w:r>
    </w:p>
    <w:p>
      <w:pPr>
        <w:pStyle w:val="105"/>
        <w:spacing w:before="156" w:after="156"/>
      </w:pPr>
    </w:p>
    <w:p>
      <w:pPr>
        <w:pStyle w:val="105"/>
        <w:numPr>
          <w:ilvl w:val="0"/>
          <w:numId w:val="0"/>
        </w:numPr>
        <w:spacing w:before="156" w:after="156"/>
        <w:ind w:firstLine="420" w:firstLineChars="200"/>
        <w:rPr>
          <w:snapToGrid w:val="0"/>
        </w:rPr>
      </w:pPr>
      <w:r>
        <w:rPr>
          <w:rFonts w:hint="eastAsia"/>
        </w:rPr>
        <w:t>总</w:t>
      </w:r>
      <w:r>
        <w:rPr>
          <w:rFonts w:hint="eastAsia"/>
          <w:snapToGrid w:val="0"/>
        </w:rPr>
        <w:t xml:space="preserve">肽含量 </w:t>
      </w:r>
      <w:r>
        <w:rPr>
          <w:rFonts w:ascii="Times New Roman"/>
          <w:b/>
          <w:snapToGrid w:val="0"/>
        </w:rPr>
        <w:t>total content of peptide</w:t>
      </w:r>
      <w:bookmarkStart w:id="77" w:name="_GoBack"/>
      <w:bookmarkEnd w:id="77"/>
    </w:p>
    <w:p>
      <w:pPr>
        <w:pStyle w:val="162"/>
        <w:numPr>
          <w:ilvl w:val="0"/>
          <w:numId w:val="0"/>
        </w:numPr>
        <w:ind w:firstLine="420" w:firstLineChars="200"/>
      </w:pPr>
      <w:r>
        <w:rPr>
          <w:rFonts w:hint="eastAsia"/>
        </w:rPr>
        <w:t>粉状食品中肽类物质的总量，以占试样的质量分数来表示。</w:t>
      </w:r>
    </w:p>
    <w:p>
      <w:pPr>
        <w:pStyle w:val="104"/>
        <w:spacing w:before="312" w:after="312"/>
      </w:pPr>
      <w:bookmarkStart w:id="54" w:name="_Toc197521841"/>
      <w:bookmarkStart w:id="55" w:name="_Toc197942169"/>
      <w:bookmarkStart w:id="56" w:name="_Toc197959278"/>
      <w:r>
        <w:rPr>
          <w:rFonts w:hint="eastAsia"/>
        </w:rPr>
        <w:t>原理</w:t>
      </w:r>
      <w:bookmarkEnd w:id="53"/>
      <w:bookmarkEnd w:id="54"/>
      <w:bookmarkEnd w:id="55"/>
      <w:bookmarkEnd w:id="56"/>
    </w:p>
    <w:p>
      <w:pPr>
        <w:pStyle w:val="162"/>
        <w:numPr>
          <w:ilvl w:val="0"/>
          <w:numId w:val="0"/>
        </w:numPr>
        <w:ind w:firstLine="420" w:firstLineChars="200"/>
      </w:pPr>
      <w:bookmarkStart w:id="57" w:name="_Hlk195483733"/>
      <w:r>
        <w:rPr>
          <w:rFonts w:hint="eastAsia"/>
        </w:rPr>
        <w:t>利用中性磷酸盐缓冲液超声辅助法提取样品中的可溶性蛋白质和多肽，酸沉法去除提取液中的蛋白质，通过双缩脲试剂与酰胺键的显色反应，采用紫外-可见光吸收光谱仪和标准曲线法测定样品中总肽的含量。</w:t>
      </w:r>
    </w:p>
    <w:p>
      <w:pPr>
        <w:pStyle w:val="105"/>
        <w:spacing w:before="156" w:after="156"/>
        <w:rPr>
          <w:snapToGrid w:val="0"/>
        </w:rPr>
      </w:pPr>
      <w:r>
        <w:rPr>
          <w:rFonts w:hint="eastAsia"/>
          <w:snapToGrid w:val="0"/>
        </w:rPr>
        <w:t>酸沉</w:t>
      </w:r>
    </w:p>
    <w:p>
      <w:pPr>
        <w:pStyle w:val="56"/>
        <w:ind w:firstLine="420"/>
      </w:pPr>
      <w:r>
        <w:rPr>
          <w:rFonts w:hint="eastAsia"/>
        </w:rPr>
        <w:t>酸沉是利用调整溶液的pH值使蛋白质的溶解度降低，从而促使蛋白质从溶液中沉淀出来的过程。</w:t>
      </w:r>
    </w:p>
    <w:p>
      <w:pPr>
        <w:pStyle w:val="105"/>
        <w:spacing w:before="156" w:after="156"/>
        <w:rPr>
          <w:snapToGrid w:val="0"/>
        </w:rPr>
      </w:pPr>
      <w:r>
        <w:rPr>
          <w:rFonts w:hint="eastAsia"/>
          <w:snapToGrid w:val="0"/>
        </w:rPr>
        <w:t>双缩脲比色法</w:t>
      </w:r>
    </w:p>
    <w:p>
      <w:pPr>
        <w:pStyle w:val="162"/>
        <w:numPr>
          <w:ilvl w:val="0"/>
          <w:numId w:val="0"/>
        </w:numPr>
        <w:ind w:firstLine="420" w:firstLineChars="200"/>
      </w:pPr>
      <w:r>
        <w:rPr>
          <w:rFonts w:hint="eastAsia"/>
        </w:rPr>
        <w:t>在强碱性条件下，酰胺键与硫酸铜生成紫红色络合物，其吸光度与酰胺键的数量成正比，通过紫外-可见光吸收光谱分析法测定</w:t>
      </w:r>
      <w:r>
        <w:rPr>
          <w:rFonts w:ascii="Times New Roman"/>
        </w:rPr>
        <w:t>540 n</w:t>
      </w:r>
      <w:r>
        <w:rPr>
          <w:rFonts w:hint="eastAsia"/>
        </w:rPr>
        <w:t>m波长下的吸光度值，计算总肽的含量。</w:t>
      </w:r>
    </w:p>
    <w:bookmarkEnd w:id="57"/>
    <w:p>
      <w:pPr>
        <w:pStyle w:val="104"/>
        <w:spacing w:before="312" w:after="312"/>
        <w:rPr>
          <w:snapToGrid w:val="0"/>
        </w:rPr>
      </w:pPr>
      <w:bookmarkStart w:id="58" w:name="_Toc197959279"/>
      <w:bookmarkStart w:id="59" w:name="_Toc190864000"/>
      <w:r>
        <w:rPr>
          <w:rFonts w:hint="eastAsia"/>
          <w:snapToGrid w:val="0"/>
        </w:rPr>
        <w:t>试剂和材料</w:t>
      </w:r>
      <w:bookmarkEnd w:id="58"/>
      <w:bookmarkEnd w:id="59"/>
    </w:p>
    <w:p>
      <w:pPr>
        <w:pStyle w:val="56"/>
        <w:ind w:firstLine="420"/>
        <w:rPr>
          <w:snapToGrid w:val="0"/>
        </w:rPr>
      </w:pPr>
      <w:r>
        <w:rPr>
          <w:rFonts w:hint="eastAsia" w:ascii="Times New Roman"/>
        </w:rPr>
        <w:t>除非另有说明，本方法所用试剂均为分析纯，水为</w:t>
      </w:r>
      <w:r>
        <w:rPr>
          <w:rFonts w:hint="eastAsia" w:hAnsi="宋体"/>
        </w:rPr>
        <w:t xml:space="preserve">GB/T 6682 </w:t>
      </w:r>
      <w:r>
        <w:rPr>
          <w:rFonts w:hint="eastAsia" w:ascii="Times New Roman"/>
        </w:rPr>
        <w:t>规定的一级水。</w:t>
      </w:r>
    </w:p>
    <w:p>
      <w:pPr>
        <w:pStyle w:val="105"/>
        <w:spacing w:before="156" w:after="156"/>
        <w:rPr>
          <w:snapToGrid w:val="0"/>
        </w:rPr>
      </w:pPr>
      <w:r>
        <w:rPr>
          <w:rFonts w:hint="eastAsia"/>
          <w:snapToGrid w:val="0"/>
        </w:rPr>
        <w:t>试剂</w:t>
      </w:r>
    </w:p>
    <w:p>
      <w:pPr>
        <w:pStyle w:val="165"/>
        <w:ind w:left="284"/>
        <w:rPr>
          <w:snapToGrid w:val="0"/>
        </w:rPr>
      </w:pPr>
      <w:r>
        <w:rPr>
          <w:rFonts w:hint="eastAsia"/>
          <w:snapToGrid w:val="0"/>
        </w:rPr>
        <w:t>三氯乙酸（</w:t>
      </w:r>
      <w:r>
        <w:rPr>
          <w:rFonts w:ascii="Times New Roman"/>
          <w:snapToGrid w:val="0"/>
        </w:rPr>
        <w:t>CCl</w:t>
      </w:r>
      <w:r>
        <w:rPr>
          <w:rFonts w:ascii="Times New Roman"/>
          <w:snapToGrid w:val="0"/>
          <w:vertAlign w:val="subscript"/>
        </w:rPr>
        <w:t>3</w:t>
      </w:r>
      <w:r>
        <w:rPr>
          <w:rFonts w:ascii="Times New Roman"/>
          <w:snapToGrid w:val="0"/>
        </w:rPr>
        <w:t>COOH</w:t>
      </w:r>
      <w:r>
        <w:rPr>
          <w:rFonts w:hint="eastAsia"/>
          <w:snapToGrid w:val="0"/>
        </w:rPr>
        <w:t>）。</w:t>
      </w:r>
    </w:p>
    <w:p>
      <w:pPr>
        <w:pStyle w:val="165"/>
        <w:ind w:left="284"/>
        <w:rPr>
          <w:snapToGrid w:val="0"/>
        </w:rPr>
      </w:pPr>
      <w:r>
        <w:rPr>
          <w:rFonts w:hint="eastAsia"/>
          <w:snapToGrid w:val="0"/>
        </w:rPr>
        <w:t>氢氧化钠（</w:t>
      </w:r>
      <w:r>
        <w:rPr>
          <w:rFonts w:ascii="Times New Roman"/>
          <w:snapToGrid w:val="0"/>
        </w:rPr>
        <w:t>NaOH</w:t>
      </w:r>
      <w:r>
        <w:rPr>
          <w:rFonts w:hint="eastAsia" w:ascii="Times New Roman"/>
          <w:snapToGrid w:val="0"/>
        </w:rPr>
        <w:t>）。</w:t>
      </w:r>
    </w:p>
    <w:p>
      <w:pPr>
        <w:pStyle w:val="165"/>
        <w:ind w:left="284"/>
        <w:rPr>
          <w:snapToGrid w:val="0"/>
        </w:rPr>
      </w:pPr>
      <w:r>
        <w:rPr>
          <w:rFonts w:hint="eastAsia"/>
          <w:snapToGrid w:val="0"/>
        </w:rPr>
        <w:t>硫酸铜（</w:t>
      </w:r>
      <w:r>
        <w:rPr>
          <w:rFonts w:ascii="Times New Roman"/>
          <w:snapToGrid w:val="0"/>
        </w:rPr>
        <w:t>CuSO</w:t>
      </w:r>
      <w:r>
        <w:rPr>
          <w:rFonts w:ascii="Times New Roman"/>
          <w:snapToGrid w:val="0"/>
          <w:vertAlign w:val="subscript"/>
        </w:rPr>
        <w:t>4</w:t>
      </w:r>
      <w:r>
        <w:rPr>
          <w:rFonts w:ascii="Times New Roman"/>
        </w:rPr>
        <w:t>·</w:t>
      </w:r>
      <w:r>
        <w:rPr>
          <w:rFonts w:ascii="Times New Roman"/>
          <w:snapToGrid w:val="0"/>
        </w:rPr>
        <w:t>5H</w:t>
      </w:r>
      <w:r>
        <w:rPr>
          <w:rFonts w:ascii="Times New Roman"/>
          <w:snapToGrid w:val="0"/>
          <w:vertAlign w:val="subscript"/>
        </w:rPr>
        <w:t>2</w:t>
      </w:r>
      <w:r>
        <w:rPr>
          <w:rFonts w:ascii="Times New Roman"/>
          <w:snapToGrid w:val="0"/>
        </w:rPr>
        <w:t>O</w:t>
      </w:r>
      <w:r>
        <w:rPr>
          <w:rFonts w:hint="eastAsia"/>
          <w:snapToGrid w:val="0"/>
        </w:rPr>
        <w:t>）。</w:t>
      </w:r>
    </w:p>
    <w:p>
      <w:pPr>
        <w:pStyle w:val="165"/>
        <w:ind w:left="284"/>
        <w:rPr>
          <w:snapToGrid w:val="0"/>
        </w:rPr>
      </w:pPr>
      <w:r>
        <w:rPr>
          <w:rFonts w:hint="eastAsia"/>
          <w:snapToGrid w:val="0"/>
        </w:rPr>
        <w:t>酒石酸钾钠（</w:t>
      </w:r>
      <w:r>
        <w:rPr>
          <w:rFonts w:ascii="Times New Roman"/>
          <w:snapToGrid w:val="0"/>
        </w:rPr>
        <w:t>NaKC</w:t>
      </w:r>
      <w:r>
        <w:rPr>
          <w:rFonts w:ascii="Times New Roman"/>
          <w:snapToGrid w:val="0"/>
          <w:vertAlign w:val="subscript"/>
        </w:rPr>
        <w:t>4</w:t>
      </w:r>
      <w:r>
        <w:rPr>
          <w:rFonts w:ascii="Times New Roman"/>
          <w:snapToGrid w:val="0"/>
        </w:rPr>
        <w:t>H</w:t>
      </w:r>
      <w:r>
        <w:rPr>
          <w:rFonts w:ascii="Times New Roman"/>
          <w:snapToGrid w:val="0"/>
          <w:vertAlign w:val="subscript"/>
        </w:rPr>
        <w:t>4</w:t>
      </w:r>
      <w:r>
        <w:rPr>
          <w:rFonts w:ascii="Times New Roman"/>
          <w:snapToGrid w:val="0"/>
        </w:rPr>
        <w:t>O</w:t>
      </w:r>
      <w:r>
        <w:rPr>
          <w:rFonts w:ascii="Times New Roman"/>
          <w:snapToGrid w:val="0"/>
          <w:vertAlign w:val="subscript"/>
        </w:rPr>
        <w:t>6</w:t>
      </w:r>
      <w:r>
        <w:rPr>
          <w:rFonts w:ascii="Times New Roman"/>
        </w:rPr>
        <w:t>·</w:t>
      </w:r>
      <w:r>
        <w:rPr>
          <w:rFonts w:ascii="Times New Roman"/>
          <w:snapToGrid w:val="0"/>
        </w:rPr>
        <w:t>4H</w:t>
      </w:r>
      <w:r>
        <w:rPr>
          <w:rFonts w:ascii="Times New Roman"/>
          <w:snapToGrid w:val="0"/>
          <w:vertAlign w:val="subscript"/>
        </w:rPr>
        <w:t>2</w:t>
      </w:r>
      <w:r>
        <w:rPr>
          <w:rFonts w:ascii="Times New Roman"/>
          <w:snapToGrid w:val="0"/>
        </w:rPr>
        <w:t>O</w:t>
      </w:r>
      <w:r>
        <w:rPr>
          <w:rFonts w:hint="eastAsia"/>
          <w:snapToGrid w:val="0"/>
        </w:rPr>
        <w:t>）。</w:t>
      </w:r>
    </w:p>
    <w:p>
      <w:pPr>
        <w:pStyle w:val="165"/>
        <w:ind w:left="284"/>
        <w:rPr>
          <w:snapToGrid w:val="0"/>
        </w:rPr>
      </w:pPr>
      <w:r>
        <w:rPr>
          <w:rFonts w:hint="eastAsia"/>
          <w:snapToGrid w:val="0"/>
        </w:rPr>
        <w:t>磷酸二氢钠（</w:t>
      </w:r>
      <w:r>
        <w:rPr>
          <w:rFonts w:ascii="Times New Roman"/>
          <w:snapToGrid w:val="0"/>
        </w:rPr>
        <w:t>NaH</w:t>
      </w:r>
      <w:r>
        <w:rPr>
          <w:rFonts w:ascii="Times New Roman"/>
          <w:snapToGrid w:val="0"/>
          <w:vertAlign w:val="subscript"/>
        </w:rPr>
        <w:t>2</w:t>
      </w:r>
      <w:r>
        <w:rPr>
          <w:rFonts w:ascii="Times New Roman"/>
          <w:snapToGrid w:val="0"/>
        </w:rPr>
        <w:t>PO</w:t>
      </w:r>
      <w:r>
        <w:rPr>
          <w:rFonts w:ascii="Times New Roman"/>
          <w:snapToGrid w:val="0"/>
          <w:vertAlign w:val="subscript"/>
        </w:rPr>
        <w:t>4</w:t>
      </w:r>
      <w:r>
        <w:rPr>
          <w:rFonts w:ascii="Times New Roman"/>
        </w:rPr>
        <w:t>·</w:t>
      </w:r>
      <w:r>
        <w:rPr>
          <w:rFonts w:ascii="Times New Roman"/>
          <w:snapToGrid w:val="0"/>
        </w:rPr>
        <w:t>2H</w:t>
      </w:r>
      <w:r>
        <w:rPr>
          <w:rFonts w:ascii="Times New Roman"/>
          <w:snapToGrid w:val="0"/>
          <w:vertAlign w:val="subscript"/>
        </w:rPr>
        <w:t>2</w:t>
      </w:r>
      <w:r>
        <w:rPr>
          <w:rFonts w:ascii="Times New Roman"/>
          <w:snapToGrid w:val="0"/>
        </w:rPr>
        <w:t>O</w:t>
      </w:r>
      <w:r>
        <w:rPr>
          <w:rFonts w:hint="eastAsia"/>
          <w:snapToGrid w:val="0"/>
        </w:rPr>
        <w:t>）。</w:t>
      </w:r>
    </w:p>
    <w:p>
      <w:pPr>
        <w:pStyle w:val="165"/>
        <w:ind w:left="284"/>
        <w:rPr>
          <w:snapToGrid w:val="0"/>
        </w:rPr>
      </w:pPr>
      <w:r>
        <w:rPr>
          <w:rFonts w:hint="eastAsia"/>
          <w:snapToGrid w:val="0"/>
        </w:rPr>
        <w:t>磷酸氢二钠（</w:t>
      </w:r>
      <w:r>
        <w:rPr>
          <w:rFonts w:ascii="Times New Roman"/>
          <w:snapToGrid w:val="0"/>
        </w:rPr>
        <w:t>Na</w:t>
      </w:r>
      <w:r>
        <w:rPr>
          <w:rFonts w:ascii="Times New Roman"/>
          <w:snapToGrid w:val="0"/>
          <w:vertAlign w:val="subscript"/>
        </w:rPr>
        <w:t>2</w:t>
      </w:r>
      <w:r>
        <w:rPr>
          <w:rFonts w:ascii="Times New Roman"/>
          <w:snapToGrid w:val="0"/>
        </w:rPr>
        <w:t>HPO</w:t>
      </w:r>
      <w:r>
        <w:rPr>
          <w:rFonts w:ascii="Times New Roman"/>
          <w:snapToGrid w:val="0"/>
          <w:vertAlign w:val="subscript"/>
        </w:rPr>
        <w:t>4</w:t>
      </w:r>
      <w:r>
        <w:rPr>
          <w:rFonts w:ascii="Times New Roman"/>
        </w:rPr>
        <w:t>·</w:t>
      </w:r>
      <w:r>
        <w:rPr>
          <w:rFonts w:ascii="Times New Roman"/>
          <w:snapToGrid w:val="0"/>
        </w:rPr>
        <w:t>12H</w:t>
      </w:r>
      <w:r>
        <w:rPr>
          <w:rFonts w:ascii="Times New Roman"/>
          <w:snapToGrid w:val="0"/>
          <w:vertAlign w:val="subscript"/>
        </w:rPr>
        <w:t>2</w:t>
      </w:r>
      <w:r>
        <w:rPr>
          <w:rFonts w:ascii="Times New Roman"/>
          <w:snapToGrid w:val="0"/>
        </w:rPr>
        <w:t>O</w:t>
      </w:r>
      <w:r>
        <w:rPr>
          <w:rFonts w:hint="eastAsia"/>
          <w:snapToGrid w:val="0"/>
        </w:rPr>
        <w:t>）。</w:t>
      </w:r>
    </w:p>
    <w:p>
      <w:pPr>
        <w:pStyle w:val="165"/>
        <w:ind w:left="284"/>
        <w:rPr>
          <w:snapToGrid w:val="0"/>
        </w:rPr>
      </w:pPr>
      <w:r>
        <w:rPr>
          <w:rFonts w:hint="eastAsia"/>
          <w:snapToGrid w:val="0"/>
        </w:rPr>
        <w:t>牛血清白蛋白标准品（</w:t>
      </w:r>
      <w:r>
        <w:rPr>
          <w:rFonts w:ascii="Times New Roman"/>
          <w:snapToGrid w:val="0"/>
        </w:rPr>
        <w:t>BSA</w:t>
      </w:r>
      <w:r>
        <w:rPr>
          <w:rFonts w:hint="eastAsia"/>
          <w:snapToGrid w:val="0"/>
        </w:rPr>
        <w:t>）：纯度≥</w:t>
      </w:r>
      <w:r>
        <w:rPr>
          <w:rFonts w:ascii="Times New Roman"/>
          <w:snapToGrid w:val="0"/>
        </w:rPr>
        <w:t>99%</w:t>
      </w:r>
      <w:r>
        <w:rPr>
          <w:rFonts w:hint="eastAsia"/>
          <w:snapToGrid w:val="0"/>
        </w:rPr>
        <w:t>。</w:t>
      </w:r>
    </w:p>
    <w:p>
      <w:pPr>
        <w:pStyle w:val="165"/>
        <w:numPr>
          <w:ilvl w:val="0"/>
          <w:numId w:val="0"/>
        </w:numPr>
        <w:ind w:left="283" w:leftChars="135" w:firstLine="720" w:firstLineChars="400"/>
        <w:rPr>
          <w:rFonts w:ascii="Times New Roman"/>
          <w:snapToGrid w:val="0"/>
          <w:sz w:val="18"/>
          <w:szCs w:val="18"/>
        </w:rPr>
      </w:pPr>
      <w:r>
        <w:rPr>
          <w:rFonts w:hint="eastAsia"/>
          <w:snapToGrid w:val="0"/>
          <w:sz w:val="18"/>
          <w:szCs w:val="18"/>
        </w:rPr>
        <w:t>注：</w:t>
      </w:r>
      <w:r>
        <w:rPr>
          <w:rFonts w:hint="eastAsia" w:ascii="Times New Roman"/>
          <w:snapToGrid w:val="0"/>
          <w:sz w:val="18"/>
          <w:szCs w:val="18"/>
        </w:rPr>
        <w:t>BSA浓度为1.0 mg/ml时在280 nm</w:t>
      </w:r>
      <w:r>
        <w:rPr>
          <w:rFonts w:hint="eastAsia"/>
          <w:sz w:val="18"/>
          <w:szCs w:val="18"/>
        </w:rPr>
        <w:t>波长下的吸光度值</w:t>
      </w:r>
      <w:r>
        <w:rPr>
          <w:rFonts w:hint="eastAsia" w:ascii="Times New Roman"/>
          <w:snapToGrid w:val="0"/>
          <w:sz w:val="18"/>
          <w:szCs w:val="18"/>
        </w:rPr>
        <w:t>为0.66来校正其纯度。</w:t>
      </w:r>
    </w:p>
    <w:p>
      <w:pPr>
        <w:pStyle w:val="105"/>
        <w:spacing w:before="156" w:after="156"/>
        <w:rPr>
          <w:snapToGrid w:val="0"/>
        </w:rPr>
      </w:pPr>
      <w:r>
        <w:rPr>
          <w:rFonts w:hint="eastAsia"/>
          <w:snapToGrid w:val="0"/>
        </w:rPr>
        <w:t>溶液配制</w:t>
      </w:r>
    </w:p>
    <w:p>
      <w:pPr>
        <w:pStyle w:val="165"/>
        <w:ind w:left="284"/>
        <w:rPr>
          <w:snapToGrid w:val="0"/>
        </w:rPr>
      </w:pPr>
      <w:r>
        <w:rPr>
          <w:rFonts w:hint="eastAsia" w:ascii="Times New Roman"/>
        </w:rPr>
        <w:t xml:space="preserve">10%氢氧化钠溶液：准确称取50.00 g氢氧化钠(5.1.2)，置入500 </w:t>
      </w:r>
      <w:r>
        <w:rPr>
          <w:rFonts w:ascii="Times New Roman"/>
        </w:rPr>
        <w:t>mL</w:t>
      </w:r>
      <w:r>
        <w:rPr>
          <w:rFonts w:hint="eastAsia" w:ascii="Times New Roman"/>
        </w:rPr>
        <w:t>容量瓶中，加煮沸后冷却至室温的水溶解，后定容至刻度。</w:t>
      </w:r>
    </w:p>
    <w:p>
      <w:pPr>
        <w:pStyle w:val="165"/>
        <w:ind w:left="284"/>
        <w:rPr>
          <w:snapToGrid w:val="0"/>
        </w:rPr>
      </w:pPr>
      <w:r>
        <w:rPr>
          <w:rFonts w:hint="eastAsia" w:ascii="Times New Roman"/>
        </w:rPr>
        <w:t>双缩脲试剂：称取</w:t>
      </w:r>
      <w:r>
        <w:rPr>
          <w:rFonts w:ascii="Times New Roman"/>
        </w:rPr>
        <w:t>1.5 g</w:t>
      </w:r>
      <w:r>
        <w:rPr>
          <w:rFonts w:hint="eastAsia" w:ascii="Times New Roman"/>
        </w:rPr>
        <w:t>硫酸铜(5.1.3)、</w:t>
      </w:r>
      <w:r>
        <w:rPr>
          <w:rFonts w:ascii="Times New Roman"/>
        </w:rPr>
        <w:t>6</w:t>
      </w:r>
      <w:r>
        <w:rPr>
          <w:rFonts w:hint="eastAsia" w:ascii="Times New Roman"/>
        </w:rPr>
        <w:t>.</w:t>
      </w:r>
      <w:r>
        <w:rPr>
          <w:rFonts w:ascii="Times New Roman"/>
        </w:rPr>
        <w:t>0 g</w:t>
      </w:r>
      <w:r>
        <w:rPr>
          <w:rFonts w:hint="eastAsia" w:ascii="Times New Roman"/>
        </w:rPr>
        <w:t xml:space="preserve">酒石酸钾钠(5.1.4)，置入1,000 </w:t>
      </w:r>
      <w:r>
        <w:rPr>
          <w:rFonts w:ascii="Times New Roman"/>
        </w:rPr>
        <w:t>mL</w:t>
      </w:r>
      <w:r>
        <w:rPr>
          <w:rFonts w:hint="eastAsia" w:ascii="Times New Roman"/>
        </w:rPr>
        <w:t>烧杯中，加入</w:t>
      </w:r>
      <w:r>
        <w:rPr>
          <w:rFonts w:ascii="Times New Roman"/>
        </w:rPr>
        <w:t>500 mL</w:t>
      </w:r>
      <w:r>
        <w:rPr>
          <w:rFonts w:hint="eastAsia" w:ascii="Times New Roman"/>
        </w:rPr>
        <w:t>水溶解，在玻璃棒搅拌下缓慢加入</w:t>
      </w:r>
      <w:r>
        <w:rPr>
          <w:rFonts w:ascii="Times New Roman"/>
        </w:rPr>
        <w:t>30</w:t>
      </w:r>
      <w:r>
        <w:rPr>
          <w:rFonts w:hint="eastAsia" w:ascii="Times New Roman"/>
        </w:rPr>
        <w:t xml:space="preserve">0 </w:t>
      </w:r>
      <w:r>
        <w:rPr>
          <w:rFonts w:ascii="Times New Roman"/>
        </w:rPr>
        <w:t>mL</w:t>
      </w:r>
      <w:r>
        <w:rPr>
          <w:rFonts w:hint="eastAsia" w:ascii="Times New Roman"/>
        </w:rPr>
        <w:t xml:space="preserve">10%氢氧化钠溶液（5.2.1），转移至1000 </w:t>
      </w:r>
      <w:r>
        <w:rPr>
          <w:rFonts w:ascii="Times New Roman"/>
        </w:rPr>
        <w:t>mL</w:t>
      </w:r>
      <w:r>
        <w:rPr>
          <w:rFonts w:hint="eastAsia" w:ascii="Times New Roman"/>
        </w:rPr>
        <w:t>容量瓶中，加水定容至刻度，贮存于聚乙烯瓶中。</w:t>
      </w:r>
    </w:p>
    <w:p>
      <w:pPr>
        <w:pStyle w:val="165"/>
        <w:ind w:left="284"/>
        <w:rPr>
          <w:snapToGrid w:val="0"/>
        </w:rPr>
      </w:pPr>
      <w:r>
        <w:rPr>
          <w:rFonts w:hint="eastAsia" w:ascii="Times New Roman"/>
        </w:rPr>
        <w:t xml:space="preserve">三氯乙酸溶液（150 g/L）：称取150 g三氯乙酸(5.1.1)，置入1,000 </w:t>
      </w:r>
      <w:r>
        <w:rPr>
          <w:rFonts w:ascii="Times New Roman"/>
        </w:rPr>
        <w:t>mL</w:t>
      </w:r>
      <w:r>
        <w:rPr>
          <w:rFonts w:hint="eastAsia" w:ascii="Times New Roman"/>
        </w:rPr>
        <w:t>容量瓶中，用水溶解并定容至刻度。</w:t>
      </w:r>
    </w:p>
    <w:p>
      <w:pPr>
        <w:pStyle w:val="165"/>
        <w:ind w:left="284"/>
        <w:rPr>
          <w:snapToGrid w:val="0"/>
        </w:rPr>
      </w:pPr>
      <w:r>
        <w:rPr>
          <w:rFonts w:hint="eastAsia" w:ascii="Times New Roman"/>
        </w:rPr>
        <w:t>磷酸盐缓冲液（20 mmol/L，pH = 7.0）：准确称取3.12 g的磷酸二氢钠（5.1.5）和7.16 g的磷酸氢二钠（5.1.6），分别置入1,000 mL容量瓶中，加水溶解并定容至刻度，得到0.2 mol/L的磷酸二氢钠和磷酸氢二钠母液。分别量取39 mL的磷酸二氢钠和61 mL的磷酸氢二钠母液置入1,000 mL容量瓶中，混匀，加水定容至刻度，即得到20 mmol/L的磷酸缓冲液（pH = 7.0））。</w:t>
      </w:r>
    </w:p>
    <w:p>
      <w:pPr>
        <w:pStyle w:val="165"/>
        <w:ind w:left="284"/>
        <w:rPr>
          <w:snapToGrid w:val="0"/>
        </w:rPr>
      </w:pPr>
      <w:r>
        <w:rPr>
          <w:rFonts w:hint="eastAsia" w:ascii="Times New Roman"/>
        </w:rPr>
        <w:t>牛血清白蛋白标准储备液（10 mg/mL）：准确称取1.0 g牛血清白蛋白标准品（5.1.7）（精确至0.0001 g），置入100 mL容量瓶中，用磷酸盐缓冲液（5.2.4）溶解并定容至刻度，4 ℃保存，有效期1 个月。</w:t>
      </w:r>
    </w:p>
    <w:p>
      <w:pPr>
        <w:pStyle w:val="104"/>
        <w:spacing w:before="312" w:after="312"/>
        <w:rPr>
          <w:snapToGrid w:val="0"/>
        </w:rPr>
      </w:pPr>
      <w:bookmarkStart w:id="60" w:name="_Toc197959280"/>
      <w:bookmarkStart w:id="61" w:name="_Toc190864001"/>
      <w:r>
        <w:rPr>
          <w:rFonts w:hint="eastAsia"/>
          <w:snapToGrid w:val="0"/>
        </w:rPr>
        <w:t>仪器和设备</w:t>
      </w:r>
      <w:bookmarkEnd w:id="60"/>
      <w:bookmarkEnd w:id="61"/>
    </w:p>
    <w:p>
      <w:pPr>
        <w:pStyle w:val="105"/>
        <w:spacing w:before="156" w:after="156"/>
        <w:rPr>
          <w:snapToGrid w:val="0"/>
        </w:rPr>
      </w:pPr>
      <w:r>
        <w:rPr>
          <w:rFonts w:hint="eastAsia"/>
          <w:snapToGrid w:val="0"/>
        </w:rPr>
        <w:t>紫外-可见光吸收光谱仪（波长范围</w:t>
      </w:r>
      <w:r>
        <w:rPr>
          <w:snapToGrid w:val="0"/>
        </w:rPr>
        <w:t>190～900 nm</w:t>
      </w:r>
      <w:r>
        <w:rPr>
          <w:rFonts w:hint="eastAsia"/>
          <w:snapToGrid w:val="0"/>
        </w:rPr>
        <w:t>，配备</w:t>
      </w:r>
      <w:r>
        <w:rPr>
          <w:snapToGrid w:val="0"/>
        </w:rPr>
        <w:t>1 cm比</w:t>
      </w:r>
      <w:r>
        <w:rPr>
          <w:rFonts w:hint="eastAsia"/>
          <w:snapToGrid w:val="0"/>
        </w:rPr>
        <w:t>色皿）。</w:t>
      </w:r>
    </w:p>
    <w:p>
      <w:pPr>
        <w:pStyle w:val="105"/>
        <w:spacing w:before="156" w:after="156"/>
      </w:pPr>
      <w:r>
        <w:rPr>
          <w:rFonts w:hint="eastAsia"/>
        </w:rPr>
        <w:t>高速冷冻离心机（≥</w:t>
      </w:r>
      <w:r>
        <w:t>10,000 r/min</w:t>
      </w:r>
      <w:r>
        <w:rPr>
          <w:rFonts w:hint="eastAsia"/>
        </w:rPr>
        <w:t>）。</w:t>
      </w:r>
    </w:p>
    <w:p>
      <w:pPr>
        <w:pStyle w:val="105"/>
        <w:spacing w:before="156" w:after="156"/>
      </w:pPr>
      <w:r>
        <w:rPr>
          <w:rFonts w:hint="eastAsia"/>
        </w:rPr>
        <w:t>分析天平（感量</w:t>
      </w:r>
      <w:r>
        <w:rPr>
          <w:rFonts w:ascii="Times New Roman"/>
        </w:rPr>
        <w:t>0.0001 g</w:t>
      </w:r>
      <w:r>
        <w:rPr>
          <w:rFonts w:hint="eastAsia"/>
        </w:rPr>
        <w:t>）。</w:t>
      </w:r>
    </w:p>
    <w:p>
      <w:pPr>
        <w:pStyle w:val="105"/>
        <w:spacing w:before="156" w:after="156"/>
      </w:pPr>
      <w:r>
        <w:rPr>
          <w:rFonts w:hint="eastAsia"/>
        </w:rPr>
        <w:t>超声波清洗器。</w:t>
      </w:r>
    </w:p>
    <w:p>
      <w:pPr>
        <w:pStyle w:val="105"/>
        <w:spacing w:before="156" w:after="156"/>
        <w:rPr>
          <w:snapToGrid w:val="0"/>
        </w:rPr>
      </w:pPr>
      <w:r>
        <w:rPr>
          <w:rFonts w:hint="eastAsia" w:ascii="Times New Roman"/>
        </w:rPr>
        <w:t>涡旋振荡器。</w:t>
      </w:r>
    </w:p>
    <w:p>
      <w:pPr>
        <w:pStyle w:val="104"/>
        <w:spacing w:before="312" w:after="312"/>
        <w:rPr>
          <w:snapToGrid w:val="0"/>
        </w:rPr>
      </w:pPr>
      <w:bookmarkStart w:id="62" w:name="_Toc197942172"/>
      <w:bookmarkStart w:id="63" w:name="_Toc197959281"/>
      <w:bookmarkStart w:id="64" w:name="_Toc190864002"/>
      <w:bookmarkStart w:id="65" w:name="_Toc197521844"/>
      <w:r>
        <w:rPr>
          <w:rFonts w:hint="eastAsia"/>
        </w:rPr>
        <w:t>分析步骤</w:t>
      </w:r>
      <w:bookmarkEnd w:id="62"/>
      <w:bookmarkEnd w:id="63"/>
      <w:bookmarkEnd w:id="64"/>
      <w:bookmarkEnd w:id="65"/>
    </w:p>
    <w:p>
      <w:pPr>
        <w:pStyle w:val="105"/>
        <w:spacing w:before="156" w:after="156"/>
        <w:rPr>
          <w:snapToGrid w:val="0"/>
        </w:rPr>
      </w:pPr>
      <w:r>
        <w:rPr>
          <w:rFonts w:hint="eastAsia"/>
          <w:snapToGrid w:val="0"/>
        </w:rPr>
        <w:t>试样溶液的制备</w:t>
      </w:r>
    </w:p>
    <w:p>
      <w:pPr>
        <w:pStyle w:val="165"/>
        <w:ind w:left="284"/>
        <w:rPr>
          <w:snapToGrid w:val="0"/>
        </w:rPr>
      </w:pPr>
      <w:r>
        <w:rPr>
          <w:rFonts w:hint="eastAsia"/>
          <w:snapToGrid w:val="0"/>
        </w:rPr>
        <w:t>提取</w:t>
      </w:r>
    </w:p>
    <w:p>
      <w:pPr>
        <w:pStyle w:val="165"/>
        <w:numPr>
          <w:ilvl w:val="0"/>
          <w:numId w:val="0"/>
        </w:numPr>
        <w:ind w:left="283" w:leftChars="135" w:firstLine="420" w:firstLineChars="200"/>
        <w:rPr>
          <w:snapToGrid w:val="0"/>
        </w:rPr>
      </w:pPr>
      <w:r>
        <w:rPr>
          <w:rFonts w:hint="eastAsia" w:ascii="Times New Roman"/>
        </w:rPr>
        <w:t xml:space="preserve">准确称取1.0 g样品（精确至0.0001 g），置入25 </w:t>
      </w:r>
      <w:r>
        <w:rPr>
          <w:rFonts w:ascii="Times New Roman"/>
        </w:rPr>
        <w:t>mL塑料</w:t>
      </w:r>
      <w:r>
        <w:rPr>
          <w:rFonts w:hint="eastAsia"/>
        </w:rPr>
        <w:t>离心管</w:t>
      </w:r>
      <w:r>
        <w:rPr>
          <w:rFonts w:hint="eastAsia" w:ascii="Times New Roman"/>
        </w:rPr>
        <w:t>中，加入10 mL磷酸盐缓冲液（5.2.4），放入</w:t>
      </w:r>
      <w:r>
        <w:rPr>
          <w:rFonts w:hint="eastAsia"/>
        </w:rPr>
        <w:t>超声波清洗器超声提取</w:t>
      </w:r>
      <w:r>
        <w:rPr>
          <w:rFonts w:ascii="Times New Roman"/>
        </w:rPr>
        <w:t>1</w:t>
      </w:r>
      <w:r>
        <w:rPr>
          <w:rFonts w:hint="eastAsia" w:ascii="Times New Roman"/>
        </w:rPr>
        <w:t>5 min，静置10 min，后10,000 r/min离心10 min，取上清液，即为</w:t>
      </w:r>
      <w:r>
        <w:rPr>
          <w:rFonts w:hint="eastAsia"/>
        </w:rPr>
        <w:t>可溶性蛋白质和多肽提取液。</w:t>
      </w:r>
    </w:p>
    <w:p>
      <w:pPr>
        <w:pStyle w:val="165"/>
        <w:ind w:left="284"/>
        <w:rPr>
          <w:snapToGrid w:val="0"/>
        </w:rPr>
      </w:pPr>
      <w:r>
        <w:rPr>
          <w:rFonts w:hint="eastAsia"/>
          <w:snapToGrid w:val="0"/>
        </w:rPr>
        <w:t>酸沉</w:t>
      </w:r>
    </w:p>
    <w:p>
      <w:pPr>
        <w:pStyle w:val="165"/>
        <w:numPr>
          <w:ilvl w:val="0"/>
          <w:numId w:val="0"/>
        </w:numPr>
        <w:ind w:left="283" w:leftChars="135" w:firstLine="420" w:firstLineChars="200"/>
        <w:rPr>
          <w:snapToGrid w:val="0"/>
        </w:rPr>
      </w:pPr>
      <w:r>
        <w:rPr>
          <w:rFonts w:hint="eastAsia" w:ascii="Times New Roman"/>
        </w:rPr>
        <w:t>吸取5 mL</w:t>
      </w:r>
      <w:r>
        <w:rPr>
          <w:rFonts w:hint="eastAsia"/>
        </w:rPr>
        <w:t>可溶性蛋白质和多肽提取液（</w:t>
      </w:r>
      <w:r>
        <w:rPr>
          <w:rFonts w:hint="eastAsia" w:ascii="Times New Roman"/>
        </w:rPr>
        <w:t>7.1.1</w:t>
      </w:r>
      <w:r>
        <w:rPr>
          <w:rFonts w:hint="eastAsia"/>
        </w:rPr>
        <w:t>）</w:t>
      </w:r>
      <w:r>
        <w:rPr>
          <w:rFonts w:hint="eastAsia" w:ascii="Times New Roman"/>
        </w:rPr>
        <w:t xml:space="preserve">，置入15 </w:t>
      </w:r>
      <w:r>
        <w:rPr>
          <w:rFonts w:ascii="Times New Roman"/>
        </w:rPr>
        <w:t>mL塑料</w:t>
      </w:r>
      <w:r>
        <w:rPr>
          <w:rFonts w:hint="eastAsia"/>
        </w:rPr>
        <w:t>离心管</w:t>
      </w:r>
      <w:r>
        <w:rPr>
          <w:rFonts w:hint="eastAsia" w:ascii="Times New Roman"/>
        </w:rPr>
        <w:t>中，加入2.5 mL三氯乙酸溶液（5.2.3），涡旋振荡5 min，静置10 min，后10,000 r/min离心10 min，取上清液，即为试样溶液，备用。</w:t>
      </w:r>
    </w:p>
    <w:p>
      <w:pPr>
        <w:pStyle w:val="105"/>
        <w:spacing w:before="156" w:after="156"/>
        <w:rPr>
          <w:snapToGrid w:val="0"/>
        </w:rPr>
      </w:pPr>
      <w:r>
        <w:rPr>
          <w:rFonts w:hint="eastAsia"/>
          <w:snapToGrid w:val="0"/>
        </w:rPr>
        <w:t>总肽含量测定</w:t>
      </w:r>
    </w:p>
    <w:p>
      <w:pPr>
        <w:pStyle w:val="165"/>
        <w:ind w:left="284"/>
        <w:rPr>
          <w:snapToGrid w:val="0"/>
        </w:rPr>
      </w:pPr>
      <w:r>
        <w:rPr>
          <w:rFonts w:hint="eastAsia" w:ascii="Times New Roman"/>
        </w:rPr>
        <w:t>牛血清白蛋白标准溶液的配制</w:t>
      </w:r>
    </w:p>
    <w:p>
      <w:pPr>
        <w:pStyle w:val="165"/>
        <w:numPr>
          <w:ilvl w:val="0"/>
          <w:numId w:val="0"/>
        </w:numPr>
        <w:ind w:left="283" w:leftChars="135" w:firstLine="420" w:firstLineChars="200"/>
        <w:rPr>
          <w:snapToGrid w:val="0"/>
        </w:rPr>
      </w:pPr>
      <w:r>
        <w:rPr>
          <w:rFonts w:hint="eastAsia" w:ascii="Times New Roman"/>
        </w:rPr>
        <w:t xml:space="preserve">分别吸取2.0、4.0、6.0、8.0、和10 mL的牛血清白蛋白标准储备液（5.2.5），置入10 </w:t>
      </w:r>
      <w:r>
        <w:rPr>
          <w:rFonts w:ascii="Times New Roman"/>
        </w:rPr>
        <w:t>mL</w:t>
      </w:r>
      <w:r>
        <w:rPr>
          <w:rFonts w:hint="eastAsia" w:ascii="Times New Roman"/>
        </w:rPr>
        <w:t>容量</w:t>
      </w:r>
      <w:r>
        <w:rPr>
          <w:rFonts w:ascii="Times New Roman"/>
        </w:rPr>
        <w:t>瓶</w:t>
      </w:r>
      <w:r>
        <w:rPr>
          <w:rFonts w:hint="eastAsia" w:ascii="Times New Roman"/>
        </w:rPr>
        <w:t>中，再用磷酸盐缓冲液（5.2.4）稀释至刻度，即得浓度为2.0～10.0 mg/mL系列牛血清白蛋白标准溶液（每个浓度配制3份标准溶液）。</w:t>
      </w:r>
    </w:p>
    <w:p>
      <w:pPr>
        <w:pStyle w:val="165"/>
        <w:ind w:left="284"/>
        <w:rPr>
          <w:snapToGrid w:val="0"/>
        </w:rPr>
      </w:pPr>
      <w:r>
        <w:rPr>
          <w:rFonts w:hint="eastAsia" w:ascii="Times New Roman"/>
        </w:rPr>
        <w:t>标准曲线的绘制</w:t>
      </w:r>
    </w:p>
    <w:p>
      <w:pPr>
        <w:pStyle w:val="165"/>
        <w:numPr>
          <w:ilvl w:val="0"/>
          <w:numId w:val="0"/>
        </w:numPr>
        <w:ind w:left="283" w:leftChars="135" w:firstLine="420" w:firstLineChars="200"/>
        <w:rPr>
          <w:snapToGrid w:val="0"/>
        </w:rPr>
      </w:pPr>
      <w:r>
        <w:rPr>
          <w:rFonts w:hint="eastAsia" w:ascii="Times New Roman"/>
        </w:rPr>
        <w:t xml:space="preserve">分别吸取2.0 mL系列蛋白质标准溶液（7.2.1），置入15 </w:t>
      </w:r>
      <w:r>
        <w:rPr>
          <w:rFonts w:ascii="Times New Roman"/>
        </w:rPr>
        <w:t>mL塑料</w:t>
      </w:r>
      <w:r>
        <w:rPr>
          <w:rFonts w:hint="eastAsia"/>
        </w:rPr>
        <w:t>离心管</w:t>
      </w:r>
      <w:r>
        <w:rPr>
          <w:rFonts w:hint="eastAsia" w:ascii="Times New Roman"/>
        </w:rPr>
        <w:t>中，加入8.0 mL双缩脲试剂（</w:t>
      </w:r>
      <w:r>
        <w:rPr>
          <w:rFonts w:ascii="Times New Roman"/>
        </w:rPr>
        <w:t>5.2.</w:t>
      </w:r>
      <w:r>
        <w:rPr>
          <w:rFonts w:hint="eastAsia" w:ascii="Times New Roman"/>
        </w:rPr>
        <w:t>2），混匀后室温静置20 min进行显色反应，吸取3.0 mL反应后溶液移入</w:t>
      </w:r>
      <w:r>
        <w:rPr>
          <w:rFonts w:ascii="Times New Roman"/>
        </w:rPr>
        <w:t>1 cm比</w:t>
      </w:r>
      <w:r>
        <w:rPr>
          <w:rFonts w:hint="eastAsia"/>
        </w:rPr>
        <w:t>色皿中，</w:t>
      </w:r>
      <w:r>
        <w:rPr>
          <w:rFonts w:hint="eastAsia" w:ascii="Times New Roman"/>
        </w:rPr>
        <w:t>测定540 nm波长处吸光度，用磷酸盐缓冲液（5.2.4）代替蛋白质溶液作为空白对照液。每份标准溶液测定2次求平均值，以牛血清白蛋白标准溶液浓度为横坐标，吸光度为纵坐标绘制标准曲线、计算线性方程和相关系数（示例见附录A）。</w:t>
      </w:r>
    </w:p>
    <w:p>
      <w:pPr>
        <w:pStyle w:val="165"/>
        <w:ind w:left="284"/>
        <w:rPr>
          <w:snapToGrid w:val="0"/>
        </w:rPr>
      </w:pPr>
      <w:r>
        <w:rPr>
          <w:rFonts w:hint="eastAsia" w:ascii="Times New Roman"/>
        </w:rPr>
        <w:t>样品测定</w:t>
      </w:r>
    </w:p>
    <w:p>
      <w:pPr>
        <w:pStyle w:val="165"/>
        <w:numPr>
          <w:ilvl w:val="0"/>
          <w:numId w:val="0"/>
        </w:numPr>
        <w:ind w:left="283" w:leftChars="135" w:firstLine="420" w:firstLineChars="200"/>
        <w:rPr>
          <w:snapToGrid w:val="0"/>
        </w:rPr>
      </w:pPr>
      <w:r>
        <w:rPr>
          <w:rFonts w:hint="eastAsia" w:ascii="Times New Roman"/>
        </w:rPr>
        <w:t xml:space="preserve">吸取2.0 mL试样溶液（7.1.2），置入15 </w:t>
      </w:r>
      <w:r>
        <w:rPr>
          <w:rFonts w:ascii="Times New Roman"/>
        </w:rPr>
        <w:t>mL塑料</w:t>
      </w:r>
      <w:r>
        <w:rPr>
          <w:rFonts w:hint="eastAsia"/>
        </w:rPr>
        <w:t>离心管</w:t>
      </w:r>
      <w:r>
        <w:rPr>
          <w:rFonts w:hint="eastAsia" w:ascii="Times New Roman"/>
        </w:rPr>
        <w:t>中，加入8.0 mL双缩脲试剂（</w:t>
      </w:r>
      <w:r>
        <w:rPr>
          <w:rFonts w:ascii="Times New Roman"/>
        </w:rPr>
        <w:t>5.2.</w:t>
      </w:r>
      <w:r>
        <w:rPr>
          <w:rFonts w:hint="eastAsia" w:ascii="Times New Roman"/>
        </w:rPr>
        <w:t>2），混匀后室温静置20 min进行显色反应，吸取3.0 mL反应后溶液移入</w:t>
      </w:r>
      <w:r>
        <w:rPr>
          <w:rFonts w:ascii="Times New Roman"/>
        </w:rPr>
        <w:t>1 cm比</w:t>
      </w:r>
      <w:r>
        <w:rPr>
          <w:rFonts w:hint="eastAsia"/>
        </w:rPr>
        <w:t>色皿中，</w:t>
      </w:r>
      <w:r>
        <w:rPr>
          <w:rFonts w:hint="eastAsia" w:ascii="Times New Roman"/>
        </w:rPr>
        <w:t>测定540 nm波长处吸光度，根据线性方程计算总肽含量</w:t>
      </w:r>
    </w:p>
    <w:p>
      <w:pPr>
        <w:pStyle w:val="104"/>
        <w:spacing w:before="312" w:after="312"/>
        <w:rPr>
          <w:snapToGrid w:val="0"/>
        </w:rPr>
      </w:pPr>
      <w:bookmarkStart w:id="66" w:name="_Toc197521845"/>
      <w:bookmarkStart w:id="67" w:name="_Toc190864003"/>
      <w:bookmarkStart w:id="68" w:name="_Toc197959282"/>
      <w:r>
        <w:rPr>
          <w:rFonts w:hint="eastAsia"/>
        </w:rPr>
        <w:t>结果计算</w:t>
      </w:r>
      <w:bookmarkEnd w:id="66"/>
      <w:bookmarkEnd w:id="67"/>
      <w:r>
        <w:rPr>
          <w:rFonts w:hint="eastAsia"/>
        </w:rPr>
        <w:t>和表示</w:t>
      </w:r>
      <w:bookmarkEnd w:id="68"/>
    </w:p>
    <w:p>
      <w:pPr>
        <w:pStyle w:val="162"/>
        <w:rPr>
          <w:snapToGrid w:val="0"/>
        </w:rPr>
      </w:pPr>
      <w:r>
        <w:rPr>
          <w:snapToGrid w:val="0"/>
        </w:rPr>
        <w:t>结果计算</w:t>
      </w:r>
    </w:p>
    <w:p>
      <w:pPr>
        <w:pStyle w:val="232"/>
        <w:ind w:firstLine="411" w:firstLineChars="196"/>
      </w:pPr>
      <w:r>
        <w:rPr>
          <w:rFonts w:hint="eastAsia" w:ascii="Times New Roman" w:eastAsia="宋体"/>
          <w:b w:val="0"/>
        </w:rPr>
        <w:t>试样中总肽含量以质量分数</w:t>
      </w:r>
      <w:r>
        <w:rPr>
          <w:rFonts w:hint="eastAsia" w:ascii="Times New Roman" w:eastAsia="宋体"/>
          <w:b w:val="0"/>
          <w:i/>
        </w:rPr>
        <w:t>X</w:t>
      </w:r>
      <w:r>
        <w:rPr>
          <w:rFonts w:hint="eastAsia" w:ascii="Times New Roman" w:eastAsia="宋体"/>
          <w:b w:val="0"/>
        </w:rPr>
        <w:t>计，数值以克每百克（g/100 g）表示，结果按式（1）计算</w:t>
      </w:r>
    </w:p>
    <w:p>
      <w:pPr>
        <w:pStyle w:val="230"/>
        <w:jc w:val="right"/>
      </w:pPr>
      <w:r>
        <w:t xml:space="preserve">                              </w:t>
      </w:r>
      <w:r>
        <w:rPr>
          <w:position w:val="-24"/>
        </w:rPr>
        <w:object>
          <v:shape id="_x0000_i1025" o:spt="75" type="#_x0000_t75" style="height:31.15pt;width:96.7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color w:val="000000"/>
          <w:sz w:val="24"/>
        </w:rPr>
        <w:t>.... .... .........................</w:t>
      </w:r>
      <w:r>
        <w:rPr>
          <w:rFonts w:hint="eastAsia"/>
          <w:color w:val="000000"/>
          <w:sz w:val="24"/>
        </w:rPr>
        <w:t>（</w:t>
      </w:r>
      <w:r>
        <w:rPr>
          <w:rFonts w:hint="eastAsia" w:ascii="Times New Roman"/>
          <w:color w:val="000000"/>
          <w:sz w:val="24"/>
        </w:rPr>
        <w:t>1</w:t>
      </w:r>
      <w:r>
        <w:rPr>
          <w:rFonts w:hint="eastAsia"/>
          <w:color w:val="000000"/>
          <w:sz w:val="24"/>
        </w:rPr>
        <w:t>）</w:t>
      </w:r>
    </w:p>
    <w:p>
      <w:pPr>
        <w:pStyle w:val="230"/>
      </w:pPr>
      <w:r>
        <w:rPr>
          <w:rFonts w:hint="eastAsia"/>
        </w:rPr>
        <w:t>式中：</w:t>
      </w:r>
    </w:p>
    <w:p>
      <w:pPr>
        <w:pStyle w:val="230"/>
      </w:pPr>
      <w:r>
        <w:rPr>
          <w:rFonts w:ascii="Times New Roman"/>
          <w:i/>
        </w:rPr>
        <w:t>X</w:t>
      </w:r>
      <w:r>
        <w:rPr>
          <w:rFonts w:hint="eastAsia" w:ascii="Times New Roman"/>
          <w:i/>
        </w:rPr>
        <w:t xml:space="preserve">   </w:t>
      </w:r>
      <w:r>
        <w:rPr>
          <w:rFonts w:hint="eastAsia"/>
        </w:rPr>
        <w:t>———总肽含量（</w:t>
      </w:r>
      <w:r>
        <w:rPr>
          <w:rFonts w:ascii="Times New Roman"/>
        </w:rPr>
        <w:t>g/100 g</w:t>
      </w:r>
      <w:r>
        <w:rPr>
          <w:rFonts w:hint="eastAsia"/>
        </w:rPr>
        <w:t>）；</w:t>
      </w:r>
    </w:p>
    <w:p>
      <w:pPr>
        <w:pStyle w:val="230"/>
      </w:pPr>
      <w:r>
        <w:rPr>
          <w:rFonts w:ascii="Times New Roman"/>
          <w:i/>
        </w:rPr>
        <w:t>C</w:t>
      </w:r>
      <w:r>
        <w:rPr>
          <w:rFonts w:hint="eastAsia"/>
        </w:rPr>
        <w:t xml:space="preserve">   ———标准曲线计算的肽浓度（</w:t>
      </w:r>
      <w:r>
        <w:rPr>
          <w:rFonts w:ascii="Times New Roman"/>
        </w:rPr>
        <w:t>mg/mL</w:t>
      </w:r>
      <w:r>
        <w:rPr>
          <w:rFonts w:hint="eastAsia"/>
        </w:rPr>
        <w:t>）；</w:t>
      </w:r>
    </w:p>
    <w:p>
      <w:pPr>
        <w:pStyle w:val="230"/>
      </w:pPr>
      <w:r>
        <w:rPr>
          <w:rFonts w:ascii="Times New Roman"/>
          <w:i/>
        </w:rPr>
        <w:t>V</w:t>
      </w:r>
      <w:r>
        <w:rPr>
          <w:rFonts w:hint="eastAsia"/>
        </w:rPr>
        <w:t xml:space="preserve">   ———试样最终定容体积（</w:t>
      </w:r>
      <w:r>
        <w:rPr>
          <w:rFonts w:ascii="Times New Roman"/>
        </w:rPr>
        <w:t>mL</w:t>
      </w:r>
      <w:r>
        <w:rPr>
          <w:rFonts w:hint="eastAsia"/>
        </w:rPr>
        <w:t>）；</w:t>
      </w:r>
    </w:p>
    <w:p>
      <w:pPr>
        <w:pStyle w:val="230"/>
      </w:pPr>
      <w:r>
        <w:rPr>
          <w:rFonts w:ascii="Times New Roman"/>
          <w:i/>
        </w:rPr>
        <w:t>M</w:t>
      </w:r>
      <w:r>
        <w:rPr>
          <w:rFonts w:hint="eastAsia" w:ascii="Times New Roman"/>
          <w:i/>
        </w:rPr>
        <w:t xml:space="preserve">   </w:t>
      </w:r>
      <w:r>
        <w:rPr>
          <w:rFonts w:hint="eastAsia"/>
        </w:rPr>
        <w:t>———试样质量（</w:t>
      </w:r>
      <w:r>
        <w:rPr>
          <w:rFonts w:ascii="Times New Roman"/>
        </w:rPr>
        <w:t>g</w:t>
      </w:r>
      <w:r>
        <w:rPr>
          <w:rFonts w:hint="eastAsia"/>
        </w:rPr>
        <w:t>）。</w:t>
      </w:r>
    </w:p>
    <w:p>
      <w:pPr>
        <w:pStyle w:val="105"/>
        <w:spacing w:before="156" w:after="156"/>
        <w:rPr>
          <w:snapToGrid w:val="0"/>
        </w:rPr>
      </w:pPr>
      <w:r>
        <w:rPr>
          <w:rFonts w:hint="eastAsia"/>
          <w:snapToGrid w:val="0"/>
        </w:rPr>
        <w:t>结果表示。</w:t>
      </w:r>
    </w:p>
    <w:p>
      <w:pPr>
        <w:pStyle w:val="162"/>
        <w:numPr>
          <w:ilvl w:val="0"/>
          <w:numId w:val="0"/>
        </w:numPr>
        <w:ind w:firstLine="420" w:firstLineChars="200"/>
        <w:rPr>
          <w:snapToGrid w:val="0"/>
        </w:rPr>
      </w:pPr>
      <w:r>
        <w:rPr>
          <w:rFonts w:hint="eastAsia"/>
        </w:rPr>
        <w:t>测定结果用平行测定的算术平均值表示,当总肽含量大于或等于1</w:t>
      </w:r>
      <w:r>
        <w:rPr>
          <w:rFonts w:hint="eastAsia" w:ascii="Times New Roman"/>
        </w:rPr>
        <w:t xml:space="preserve">.0 </w:t>
      </w:r>
      <w:r>
        <w:rPr>
          <w:rFonts w:hint="eastAsia"/>
        </w:rPr>
        <w:t>g/100 g时,结果保留两位小数，当总肽含量小于1</w:t>
      </w:r>
      <w:r>
        <w:rPr>
          <w:rFonts w:hint="eastAsia" w:ascii="Times New Roman"/>
        </w:rPr>
        <w:t xml:space="preserve">.0 </w:t>
      </w:r>
      <w:r>
        <w:rPr>
          <w:rFonts w:hint="eastAsia"/>
        </w:rPr>
        <w:t>g/100 g时,结果保留两位有效数字</w:t>
      </w:r>
      <w:r>
        <w:rPr>
          <w:rFonts w:hint="eastAsia"/>
          <w:snapToGrid w:val="0"/>
        </w:rPr>
        <w:t>。</w:t>
      </w:r>
    </w:p>
    <w:p>
      <w:pPr>
        <w:pStyle w:val="104"/>
        <w:spacing w:before="312" w:after="312"/>
        <w:rPr>
          <w:snapToGrid w:val="0"/>
        </w:rPr>
      </w:pPr>
      <w:bookmarkStart w:id="69" w:name="_Toc197959283"/>
      <w:bookmarkStart w:id="70" w:name="_Toc197942174"/>
      <w:bookmarkStart w:id="71" w:name="_Toc190864004"/>
      <w:r>
        <w:rPr>
          <w:rFonts w:hint="eastAsia"/>
        </w:rPr>
        <w:t>精密度</w:t>
      </w:r>
      <w:bookmarkEnd w:id="69"/>
      <w:bookmarkEnd w:id="70"/>
      <w:bookmarkEnd w:id="71"/>
    </w:p>
    <w:p>
      <w:pPr>
        <w:pStyle w:val="105"/>
        <w:numPr>
          <w:ilvl w:val="0"/>
          <w:numId w:val="0"/>
        </w:numPr>
        <w:spacing w:before="156" w:after="156"/>
        <w:ind w:firstLine="420" w:firstLineChars="200"/>
        <w:rPr>
          <w:rFonts w:ascii="宋体" w:hAnsi="宋体" w:eastAsia="宋体"/>
          <w:snapToGrid w:val="0"/>
        </w:rPr>
      </w:pPr>
      <w:r>
        <w:rPr>
          <w:rFonts w:hint="eastAsia" w:ascii="宋体" w:hAnsi="宋体" w:eastAsia="宋体"/>
        </w:rPr>
        <w:t>精密度在重复性条件下获得的两次独立测定结果的绝对差值不得超过算术平均值的10</w:t>
      </w:r>
      <w:r>
        <w:rPr>
          <w:rFonts w:ascii="宋体" w:hAnsi="宋体" w:eastAsia="宋体"/>
        </w:rPr>
        <w:t>%</w:t>
      </w:r>
      <w:r>
        <w:rPr>
          <w:rFonts w:hint="eastAsia" w:ascii="宋体" w:hAnsi="宋体" w:eastAsia="宋体"/>
        </w:rPr>
        <w:t>。</w:t>
      </w:r>
    </w:p>
    <w:p>
      <w:pPr>
        <w:pStyle w:val="104"/>
        <w:spacing w:before="312" w:after="312"/>
        <w:rPr>
          <w:snapToGrid w:val="0"/>
        </w:rPr>
      </w:pPr>
      <w:bookmarkStart w:id="72" w:name="_Toc197959284"/>
      <w:r>
        <w:rPr>
          <w:rFonts w:hint="eastAsia"/>
          <w:snapToGrid w:val="0"/>
        </w:rPr>
        <w:t>其他</w:t>
      </w:r>
      <w:bookmarkEnd w:id="72"/>
    </w:p>
    <w:p>
      <w:pPr>
        <w:pStyle w:val="162"/>
        <w:numPr>
          <w:ilvl w:val="0"/>
          <w:numId w:val="0"/>
        </w:numPr>
        <w:ind w:firstLine="420" w:firstLineChars="200"/>
        <w:rPr>
          <w:rFonts w:ascii="Times New Roman"/>
          <w:snapToGrid w:val="0"/>
        </w:rPr>
      </w:pPr>
      <w:r>
        <w:rPr>
          <w:rFonts w:hint="eastAsia"/>
          <w:snapToGrid w:val="0"/>
        </w:rPr>
        <w:t>当试样称重量为</w:t>
      </w:r>
      <w:r>
        <w:rPr>
          <w:rFonts w:ascii="Times New Roman"/>
          <w:snapToGrid w:val="0"/>
        </w:rPr>
        <w:t>1.0</w:t>
      </w:r>
      <w:r>
        <w:rPr>
          <w:snapToGrid w:val="0"/>
        </w:rPr>
        <w:t xml:space="preserve"> </w:t>
      </w:r>
      <w:r>
        <w:rPr>
          <w:rFonts w:hint="eastAsia"/>
          <w:snapToGrid w:val="0"/>
        </w:rPr>
        <w:t>g，提取液体积为10</w:t>
      </w:r>
      <w:r>
        <w:rPr>
          <w:rFonts w:hint="eastAsia" w:ascii="Times New Roman"/>
          <w:snapToGrid w:val="0"/>
        </w:rPr>
        <w:t xml:space="preserve"> mL时，</w:t>
      </w:r>
      <w:r>
        <w:rPr>
          <w:rFonts w:hint="eastAsia"/>
          <w:snapToGrid w:val="0"/>
        </w:rPr>
        <w:t>检出限和定量限分别为</w:t>
      </w:r>
      <w:r>
        <w:rPr>
          <w:rFonts w:hint="eastAsia" w:ascii="Times New Roman"/>
          <w:snapToGrid w:val="0"/>
        </w:rPr>
        <w:t>0.061、0.20 g/100 g。</w:t>
      </w:r>
    </w:p>
    <w:bookmarkEnd w:id="25"/>
    <w:p>
      <w:pPr>
        <w:pStyle w:val="56"/>
        <w:ind w:firstLine="0" w:firstLineChars="0"/>
        <w:jc w:val="center"/>
      </w:pPr>
      <w:bookmarkStart w:id="73" w:name="BookMark8"/>
    </w:p>
    <w:p>
      <w:pPr>
        <w:widowControl/>
        <w:adjustRightInd/>
        <w:spacing w:line="240" w:lineRule="auto"/>
        <w:jc w:val="left"/>
        <w:rPr>
          <w:rFonts w:ascii="宋体" w:hAnsi="Times New Roman"/>
          <w:kern w:val="0"/>
          <w:szCs w:val="20"/>
        </w:rPr>
      </w:pPr>
      <w:r>
        <w:br w:type="page"/>
      </w:r>
    </w:p>
    <w:p>
      <w:pPr>
        <w:pStyle w:val="89"/>
        <w:numPr>
          <w:ilvl w:val="0"/>
          <w:numId w:val="0"/>
        </w:numPr>
        <w:spacing w:before="156" w:after="468"/>
        <w:ind w:firstLine="4160" w:firstLineChars="1300"/>
        <w:jc w:val="both"/>
        <w:rPr>
          <w:spacing w:val="320"/>
        </w:rPr>
      </w:pPr>
      <w:bookmarkStart w:id="74" w:name="_Toc197521847"/>
      <w:bookmarkStart w:id="75" w:name="_Toc197942176"/>
      <w:bookmarkStart w:id="76" w:name="_Toc197959285"/>
      <w:r>
        <w:t>附录</w:t>
      </w:r>
      <w:r>
        <w:rPr>
          <w:rFonts w:hint="eastAsia"/>
        </w:rPr>
        <w:t>A</w:t>
      </w:r>
      <w:bookmarkEnd w:id="74"/>
      <w:bookmarkEnd w:id="75"/>
      <w:bookmarkEnd w:id="76"/>
    </w:p>
    <w:p>
      <w:pPr>
        <w:spacing w:beforeLines="50" w:afterLines="50" w:line="360" w:lineRule="auto"/>
        <w:jc w:val="center"/>
        <w:rPr>
          <w:rFonts w:eastAsia="黑体"/>
          <w:kern w:val="0"/>
        </w:rPr>
      </w:pPr>
      <w:r>
        <w:rPr>
          <w:rFonts w:hint="eastAsia" w:eastAsia="黑体"/>
          <w:kern w:val="0"/>
        </w:rPr>
        <w:t>标准曲线示例</w:t>
      </w:r>
    </w:p>
    <w:p>
      <w:pPr>
        <w:ind w:firstLine="420" w:firstLineChars="200"/>
      </w:pPr>
      <w:r>
        <w:t>以</w:t>
      </w:r>
      <w:r>
        <w:rPr>
          <w:rFonts w:hint="eastAsia"/>
        </w:rPr>
        <w:t>牛血清白蛋白</w:t>
      </w:r>
      <w:r>
        <w:t>标准品为例，标准曲线回归方程为</w:t>
      </w:r>
      <w:r>
        <w:rPr>
          <w:rFonts w:hint="eastAsia"/>
        </w:rPr>
        <w:t>：</w:t>
      </w:r>
      <w:r>
        <w:rPr>
          <w:rFonts w:hint="eastAsia"/>
          <w:i/>
        </w:rPr>
        <w:t>A</w:t>
      </w:r>
      <w:r>
        <w:t>=0.0</w:t>
      </w:r>
      <w:r>
        <w:rPr>
          <w:rFonts w:hint="eastAsia"/>
        </w:rPr>
        <w:t>489×</w:t>
      </w:r>
      <w:r>
        <w:rPr>
          <w:rFonts w:hint="eastAsia"/>
          <w:i/>
        </w:rPr>
        <w:t xml:space="preserve">C </w:t>
      </w:r>
      <w:r>
        <w:t>+</w:t>
      </w:r>
      <w:r>
        <w:rPr>
          <w:rFonts w:hint="eastAsia"/>
        </w:rPr>
        <w:t xml:space="preserve"> </w:t>
      </w:r>
      <w:r>
        <w:t>0.</w:t>
      </w:r>
      <w:r>
        <w:rPr>
          <w:rFonts w:hint="eastAsia"/>
        </w:rPr>
        <w:t>0886</w:t>
      </w:r>
      <w:r>
        <w:t>，相关系数R</w:t>
      </w:r>
      <w:r>
        <w:rPr>
          <w:vertAlign w:val="superscript"/>
        </w:rPr>
        <w:t xml:space="preserve">2 </w:t>
      </w:r>
      <w:r>
        <w:rPr>
          <w:rFonts w:hint="eastAsia"/>
        </w:rPr>
        <w:t>＞</w:t>
      </w:r>
      <w:r>
        <w:t>0.99</w:t>
      </w:r>
      <w:r>
        <w:rPr>
          <w:rFonts w:hint="eastAsia"/>
        </w:rPr>
        <w:t>（其中：</w:t>
      </w:r>
      <w:r>
        <w:rPr>
          <w:rFonts w:hint="eastAsia"/>
          <w:i/>
        </w:rPr>
        <w:t>A</w:t>
      </w:r>
      <w:r>
        <w:rPr>
          <w:rFonts w:hint="eastAsia"/>
        </w:rPr>
        <w:t>为吸光度，</w:t>
      </w:r>
      <w:r>
        <w:rPr>
          <w:rFonts w:hint="eastAsia"/>
          <w:i/>
        </w:rPr>
        <w:t>C</w:t>
      </w:r>
      <w:r>
        <w:rPr>
          <w:rFonts w:hint="eastAsia"/>
        </w:rPr>
        <w:t>为牛血清白蛋白标准溶液的浓度）</w:t>
      </w:r>
      <w:r>
        <w:t>。</w:t>
      </w:r>
    </w:p>
    <w:p>
      <w:pPr>
        <w:spacing w:beforeLines="50" w:afterLines="50" w:line="360" w:lineRule="auto"/>
        <w:jc w:val="center"/>
        <w:rPr>
          <w:rFonts w:eastAsia="黑体"/>
          <w:kern w:val="0"/>
        </w:rPr>
      </w:pPr>
      <w:r>
        <w:rPr>
          <w:rFonts w:eastAsia="黑体"/>
          <w:kern w:val="0"/>
        </w:rPr>
        <w:drawing>
          <wp:inline distT="0" distB="0" distL="0" distR="0">
            <wp:extent cx="5093335" cy="3867150"/>
            <wp:effectExtent l="19050" t="0" r="0" b="0"/>
            <wp:docPr id="1" name="图片 3" descr="C:\Users\Lenovo\Desktop\Grap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Lenovo\Desktop\Graph2-1.jpg"/>
                    <pic:cNvPicPr>
                      <a:picLocks noChangeAspect="1" noChangeArrowheads="1"/>
                    </pic:cNvPicPr>
                  </pic:nvPicPr>
                  <pic:blipFill>
                    <a:blip r:embed="rId14" cstate="print"/>
                    <a:srcRect/>
                    <a:stretch>
                      <a:fillRect/>
                    </a:stretch>
                  </pic:blipFill>
                  <pic:spPr>
                    <a:xfrm>
                      <a:off x="0" y="0"/>
                      <a:ext cx="5098947" cy="3870999"/>
                    </a:xfrm>
                    <a:prstGeom prst="rect">
                      <a:avLst/>
                    </a:prstGeom>
                    <a:noFill/>
                    <a:ln w="9525">
                      <a:noFill/>
                      <a:miter lim="800000"/>
                      <a:headEnd/>
                      <a:tailEnd/>
                    </a:ln>
                  </pic:spPr>
                </pic:pic>
              </a:graphicData>
            </a:graphic>
          </wp:inline>
        </w:drawing>
      </w:r>
    </w:p>
    <w:p>
      <w:pPr>
        <w:widowControl/>
        <w:jc w:val="center"/>
        <w:rPr>
          <w:rFonts w:ascii="黑体" w:hAnsi="黑体" w:eastAsia="黑体"/>
          <w:kern w:val="0"/>
        </w:rPr>
      </w:pPr>
      <w:r>
        <w:rPr>
          <w:rFonts w:ascii="黑体" w:hAnsi="黑体" w:eastAsia="黑体"/>
          <w:kern w:val="0"/>
        </w:rPr>
        <w:t>图</w:t>
      </w:r>
      <w:r>
        <w:rPr>
          <w:rFonts w:hint="eastAsia" w:ascii="黑体" w:hAnsi="黑体" w:eastAsia="黑体"/>
          <w:kern w:val="0"/>
        </w:rPr>
        <w:t xml:space="preserve">1 </w:t>
      </w:r>
      <w:r>
        <w:rPr>
          <w:rFonts w:hint="eastAsia" w:ascii="黑体" w:hAnsi="黑体" w:eastAsia="黑体"/>
        </w:rPr>
        <w:t>牛血清白蛋白标准曲线图</w:t>
      </w:r>
    </w:p>
    <w:p>
      <w:pPr>
        <w:pStyle w:val="56"/>
        <w:ind w:firstLine="0" w:firstLineChars="0"/>
        <w:jc w:val="center"/>
      </w:pPr>
      <w:r>
        <w:drawing>
          <wp:inline distT="0" distB="0" distL="0" distR="0">
            <wp:extent cx="1485900" cy="317500"/>
            <wp:effectExtent l="0" t="0" r="0" b="6350"/>
            <wp:docPr id="790389507" name="图片 3"/>
            <wp:cNvGraphicFramePr/>
            <a:graphic xmlns:a="http://schemas.openxmlformats.org/drawingml/2006/main">
              <a:graphicData uri="http://schemas.openxmlformats.org/drawingml/2006/picture">
                <pic:pic xmlns:pic="http://schemas.openxmlformats.org/drawingml/2006/picture">
                  <pic:nvPicPr>
                    <pic:cNvPr id="790389507"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pgSz w:w="11906" w:h="16838"/>
      <w:pgMar w:top="567"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rPr>
        <w:lang w:val="fr-FR"/>
      </w:rPr>
      <w:t>DB 43/T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3455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ACB"/>
    <w:rsid w:val="00086AA1"/>
    <w:rsid w:val="00087A77"/>
    <w:rsid w:val="00090CA6"/>
    <w:rsid w:val="00092B8A"/>
    <w:rsid w:val="00092FB0"/>
    <w:rsid w:val="000934C5"/>
    <w:rsid w:val="00093D25"/>
    <w:rsid w:val="00093DAB"/>
    <w:rsid w:val="000944C3"/>
    <w:rsid w:val="00094D73"/>
    <w:rsid w:val="00096D63"/>
    <w:rsid w:val="000A0B60"/>
    <w:rsid w:val="000A0EB8"/>
    <w:rsid w:val="000A19FC"/>
    <w:rsid w:val="000A296B"/>
    <w:rsid w:val="000A532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61A"/>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7C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020"/>
    <w:rsid w:val="0034194F"/>
    <w:rsid w:val="00344605"/>
    <w:rsid w:val="003474AA"/>
    <w:rsid w:val="00350D1D"/>
    <w:rsid w:val="00351965"/>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B21"/>
    <w:rsid w:val="003A1582"/>
    <w:rsid w:val="003A35EA"/>
    <w:rsid w:val="003A4077"/>
    <w:rsid w:val="003A6D85"/>
    <w:rsid w:val="003B09AD"/>
    <w:rsid w:val="003B1F18"/>
    <w:rsid w:val="003B5BF0"/>
    <w:rsid w:val="003B60BF"/>
    <w:rsid w:val="003B6BE3"/>
    <w:rsid w:val="003C010C"/>
    <w:rsid w:val="003C0A6C"/>
    <w:rsid w:val="003C14F8"/>
    <w:rsid w:val="003C471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BCA"/>
    <w:rsid w:val="00432DAA"/>
    <w:rsid w:val="00434305"/>
    <w:rsid w:val="00435DF7"/>
    <w:rsid w:val="00436743"/>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6EC"/>
    <w:rsid w:val="00510A7B"/>
    <w:rsid w:val="00512F6E"/>
    <w:rsid w:val="00513038"/>
    <w:rsid w:val="00514174"/>
    <w:rsid w:val="00516088"/>
    <w:rsid w:val="00516B0B"/>
    <w:rsid w:val="005220EC"/>
    <w:rsid w:val="00523F95"/>
    <w:rsid w:val="00524D65"/>
    <w:rsid w:val="00525B16"/>
    <w:rsid w:val="00532E8E"/>
    <w:rsid w:val="00533D04"/>
    <w:rsid w:val="00534804"/>
    <w:rsid w:val="00534BDF"/>
    <w:rsid w:val="005354EA"/>
    <w:rsid w:val="0053585F"/>
    <w:rsid w:val="00535EC4"/>
    <w:rsid w:val="00535ED9"/>
    <w:rsid w:val="0053692B"/>
    <w:rsid w:val="005404C0"/>
    <w:rsid w:val="00541853"/>
    <w:rsid w:val="00543BDA"/>
    <w:rsid w:val="005441CC"/>
    <w:rsid w:val="005479DA"/>
    <w:rsid w:val="00547BCC"/>
    <w:rsid w:val="0055013B"/>
    <w:rsid w:val="005509F2"/>
    <w:rsid w:val="00551F6F"/>
    <w:rsid w:val="00555044"/>
    <w:rsid w:val="00561475"/>
    <w:rsid w:val="0056487B"/>
    <w:rsid w:val="00564880"/>
    <w:rsid w:val="00564FB9"/>
    <w:rsid w:val="00573D9E"/>
    <w:rsid w:val="005801E3"/>
    <w:rsid w:val="00581802"/>
    <w:rsid w:val="005836A8"/>
    <w:rsid w:val="0058409C"/>
    <w:rsid w:val="00584262"/>
    <w:rsid w:val="00586630"/>
    <w:rsid w:val="00587ADD"/>
    <w:rsid w:val="005930C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6ED"/>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1762A"/>
    <w:rsid w:val="006205D6"/>
    <w:rsid w:val="006229E9"/>
    <w:rsid w:val="006252D8"/>
    <w:rsid w:val="006259BC"/>
    <w:rsid w:val="0062636B"/>
    <w:rsid w:val="00632182"/>
    <w:rsid w:val="00632AE0"/>
    <w:rsid w:val="00633A0E"/>
    <w:rsid w:val="00633C17"/>
    <w:rsid w:val="0063455C"/>
    <w:rsid w:val="00634D9E"/>
    <w:rsid w:val="00636E3E"/>
    <w:rsid w:val="006371DE"/>
    <w:rsid w:val="006379F7"/>
    <w:rsid w:val="00637E4D"/>
    <w:rsid w:val="00640620"/>
    <w:rsid w:val="00641A1F"/>
    <w:rsid w:val="00645904"/>
    <w:rsid w:val="00651ACB"/>
    <w:rsid w:val="00651C47"/>
    <w:rsid w:val="00652AB2"/>
    <w:rsid w:val="00653FED"/>
    <w:rsid w:val="00654EC0"/>
    <w:rsid w:val="0065525B"/>
    <w:rsid w:val="00655D4F"/>
    <w:rsid w:val="00656B30"/>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673"/>
    <w:rsid w:val="006E23EA"/>
    <w:rsid w:val="006F03A8"/>
    <w:rsid w:val="006F2ACA"/>
    <w:rsid w:val="006F2ADC"/>
    <w:rsid w:val="006F2BFE"/>
    <w:rsid w:val="006F31E9"/>
    <w:rsid w:val="006F520F"/>
    <w:rsid w:val="006F6284"/>
    <w:rsid w:val="007002C5"/>
    <w:rsid w:val="00704387"/>
    <w:rsid w:val="00705876"/>
    <w:rsid w:val="00707669"/>
    <w:rsid w:val="00711CBA"/>
    <w:rsid w:val="00711FB5"/>
    <w:rsid w:val="00712A01"/>
    <w:rsid w:val="00714F58"/>
    <w:rsid w:val="007170DD"/>
    <w:rsid w:val="00722FBF"/>
    <w:rsid w:val="00722FC2"/>
    <w:rsid w:val="0072436C"/>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E46"/>
    <w:rsid w:val="00776599"/>
    <w:rsid w:val="00780183"/>
    <w:rsid w:val="0078114B"/>
    <w:rsid w:val="00781DD2"/>
    <w:rsid w:val="00783ECF"/>
    <w:rsid w:val="0078413A"/>
    <w:rsid w:val="00786593"/>
    <w:rsid w:val="0079219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9F8"/>
    <w:rsid w:val="007B7453"/>
    <w:rsid w:val="007C1E8B"/>
    <w:rsid w:val="007C2D89"/>
    <w:rsid w:val="007C4593"/>
    <w:rsid w:val="007C5309"/>
    <w:rsid w:val="007C6069"/>
    <w:rsid w:val="007C74E3"/>
    <w:rsid w:val="007D06C4"/>
    <w:rsid w:val="007D1352"/>
    <w:rsid w:val="007D2508"/>
    <w:rsid w:val="007D346A"/>
    <w:rsid w:val="007D6518"/>
    <w:rsid w:val="007D76BD"/>
    <w:rsid w:val="007E0BF1"/>
    <w:rsid w:val="007E1B67"/>
    <w:rsid w:val="007F0ED8"/>
    <w:rsid w:val="007F0F63"/>
    <w:rsid w:val="007F53BD"/>
    <w:rsid w:val="007F75CE"/>
    <w:rsid w:val="008013A4"/>
    <w:rsid w:val="00801A0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798"/>
    <w:rsid w:val="00865ACA"/>
    <w:rsid w:val="00865D28"/>
    <w:rsid w:val="00865F85"/>
    <w:rsid w:val="00867C10"/>
    <w:rsid w:val="00870439"/>
    <w:rsid w:val="00870DA1"/>
    <w:rsid w:val="00871847"/>
    <w:rsid w:val="008818B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9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13A"/>
    <w:rsid w:val="00A138BA"/>
    <w:rsid w:val="00A14C8E"/>
    <w:rsid w:val="00A153D9"/>
    <w:rsid w:val="00A15F09"/>
    <w:rsid w:val="00A169B6"/>
    <w:rsid w:val="00A2271D"/>
    <w:rsid w:val="00A237D5"/>
    <w:rsid w:val="00A30EFC"/>
    <w:rsid w:val="00A31984"/>
    <w:rsid w:val="00A31B4D"/>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A74"/>
    <w:rsid w:val="00AF0C18"/>
    <w:rsid w:val="00AF47C5"/>
    <w:rsid w:val="00AF5398"/>
    <w:rsid w:val="00B049AF"/>
    <w:rsid w:val="00B07242"/>
    <w:rsid w:val="00B10534"/>
    <w:rsid w:val="00B113DB"/>
    <w:rsid w:val="00B11D8A"/>
    <w:rsid w:val="00B122B9"/>
    <w:rsid w:val="00B12981"/>
    <w:rsid w:val="00B147DD"/>
    <w:rsid w:val="00B156FD"/>
    <w:rsid w:val="00B15A4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4F2C"/>
    <w:rsid w:val="00B758BF"/>
    <w:rsid w:val="00B77EC8"/>
    <w:rsid w:val="00B827A6"/>
    <w:rsid w:val="00B831CE"/>
    <w:rsid w:val="00B86677"/>
    <w:rsid w:val="00B87131"/>
    <w:rsid w:val="00B939B1"/>
    <w:rsid w:val="00B96D40"/>
    <w:rsid w:val="00B97386"/>
    <w:rsid w:val="00BA0CD2"/>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49C0"/>
    <w:rsid w:val="00C056B3"/>
    <w:rsid w:val="00C103E5"/>
    <w:rsid w:val="00C13319"/>
    <w:rsid w:val="00C13EE9"/>
    <w:rsid w:val="00C21540"/>
    <w:rsid w:val="00C21906"/>
    <w:rsid w:val="00C21BFA"/>
    <w:rsid w:val="00C22148"/>
    <w:rsid w:val="00C24C8D"/>
    <w:rsid w:val="00C255BE"/>
    <w:rsid w:val="00C25FE2"/>
    <w:rsid w:val="00C26B53"/>
    <w:rsid w:val="00C279B2"/>
    <w:rsid w:val="00C33E50"/>
    <w:rsid w:val="00C34C20"/>
    <w:rsid w:val="00C35A3E"/>
    <w:rsid w:val="00C3685A"/>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F67"/>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F78"/>
    <w:rsid w:val="00D84941"/>
    <w:rsid w:val="00D84FA1"/>
    <w:rsid w:val="00D851F0"/>
    <w:rsid w:val="00D86DB7"/>
    <w:rsid w:val="00D92596"/>
    <w:rsid w:val="00D926D0"/>
    <w:rsid w:val="00D93030"/>
    <w:rsid w:val="00D950E1"/>
    <w:rsid w:val="00D952A6"/>
    <w:rsid w:val="00D97F99"/>
    <w:rsid w:val="00DA1E08"/>
    <w:rsid w:val="00DA24F8"/>
    <w:rsid w:val="00DA28E8"/>
    <w:rsid w:val="00DA38D3"/>
    <w:rsid w:val="00DA3932"/>
    <w:rsid w:val="00DA3AFC"/>
    <w:rsid w:val="00DA4C47"/>
    <w:rsid w:val="00DA5A9F"/>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B07"/>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DEE"/>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E5D"/>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462B"/>
    <w:rsid w:val="00F34AD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CF6"/>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768"/>
    <w:rsid w:val="00FB7054"/>
    <w:rsid w:val="00FC17B7"/>
    <w:rsid w:val="00FC2CB7"/>
    <w:rsid w:val="00FC4090"/>
    <w:rsid w:val="00FC55B4"/>
    <w:rsid w:val="00FD00E6"/>
    <w:rsid w:val="00FD09A1"/>
    <w:rsid w:val="00FD2A29"/>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1C044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6">
    <w:name w:val="Default Paragraph Font"/>
    <w:unhideWhenUsed/>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character" w:styleId="27">
    <w:name w:val="Strong"/>
    <w:qFormat/>
    <w:uiPriority w:val="22"/>
    <w:rPr>
      <w:b/>
      <w:bCs/>
    </w:rPr>
  </w:style>
  <w:style w:type="character" w:styleId="28">
    <w:name w:val="page number"/>
    <w:qFormat/>
    <w:uiPriority w:val="0"/>
    <w:rPr>
      <w:rFonts w:ascii="宋体" w:hAnsi="Times New Roman" w:eastAsia="宋体"/>
      <w:sz w:val="18"/>
    </w:rPr>
  </w:style>
  <w:style w:type="character" w:styleId="29">
    <w:name w:val="Emphasis"/>
    <w:qFormat/>
    <w:uiPriority w:val="20"/>
    <w:rPr>
      <w:i/>
      <w:iCs/>
    </w:rPr>
  </w:style>
  <w:style w:type="character" w:styleId="30">
    <w:name w:val="Hyperlink"/>
    <w:qFormat/>
    <w:uiPriority w:val="99"/>
    <w:rPr>
      <w:rFonts w:ascii="宋体" w:hAnsi="Times New Roman" w:eastAsia="宋体"/>
      <w:color w:val="auto"/>
      <w:spacing w:val="0"/>
      <w:w w:val="100"/>
      <w:position w:val="0"/>
      <w:sz w:val="21"/>
      <w:u w:val="none"/>
      <w:vertAlign w:val="baseline"/>
    </w:rPr>
  </w:style>
  <w:style w:type="character" w:styleId="31">
    <w:name w:val="footnote reference"/>
    <w:semiHidden/>
    <w:uiPriority w:val="0"/>
    <w:rPr>
      <w:rFonts w:ascii="宋体" w:hAnsi="宋体" w:eastAsia="宋体" w:cs="Times New Roman"/>
      <w:spacing w:val="0"/>
      <w:sz w:val="18"/>
      <w:vertAlign w:val="superscript"/>
    </w:rPr>
  </w:style>
  <w:style w:type="table" w:styleId="33">
    <w:name w:val="Table Grid"/>
    <w:basedOn w:val="3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uiPriority w:val="0"/>
    <w:rPr>
      <w:rFonts w:ascii="Times New Roman" w:hAnsi="Times New Roman" w:eastAsia="宋体" w:cs="Times New Roman"/>
      <w:b/>
      <w:bCs/>
      <w:sz w:val="28"/>
      <w:szCs w:val="28"/>
    </w:rPr>
  </w:style>
  <w:style w:type="character" w:customStyle="1" w:styleId="39">
    <w:name w:val="标题 6 Char"/>
    <w:link w:val="7"/>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customStyle="1" w:styleId="46">
    <w:name w:val="Quote"/>
    <w:basedOn w:val="1"/>
    <w:next w:val="1"/>
    <w:link w:val="47"/>
    <w:qFormat/>
    <w:uiPriority w:val="29"/>
    <w:rPr>
      <w:i/>
      <w:iCs/>
      <w:color w:val="000000"/>
    </w:rPr>
  </w:style>
  <w:style w:type="character" w:customStyle="1" w:styleId="47">
    <w:name w:val="引用 Char"/>
    <w:link w:val="46"/>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Placeholder Text"/>
    <w:basedOn w:val="26"/>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6"/>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6"/>
    <w:uiPriority w:val="0"/>
    <w:rPr>
      <w:rFonts w:ascii="黑体" w:eastAsia="黑体"/>
      <w:spacing w:val="85"/>
      <w:w w:val="100"/>
      <w:position w:val="3"/>
      <w:sz w:val="28"/>
      <w:szCs w:val="28"/>
    </w:rPr>
  </w:style>
  <w:style w:type="paragraph" w:customStyle="1" w:styleId="230">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章标题 Char"/>
    <w:basedOn w:val="26"/>
    <w:link w:val="232"/>
    <w:uiPriority w:val="0"/>
    <w:rPr>
      <w:rFonts w:ascii="黑体" w:eastAsia="黑体"/>
      <w:b/>
      <w:sz w:val="21"/>
    </w:rPr>
  </w:style>
  <w:style w:type="paragraph" w:customStyle="1" w:styleId="232">
    <w:name w:val="章标题"/>
    <w:next w:val="230"/>
    <w:link w:val="231"/>
    <w:uiPriority w:val="0"/>
    <w:pPr>
      <w:spacing w:before="156" w:after="156"/>
      <w:jc w:val="both"/>
      <w:outlineLvl w:val="1"/>
    </w:pPr>
    <w:rPr>
      <w:rFonts w:ascii="黑体" w:hAnsi="Calibri" w:eastAsia="黑体" w:cs="Times New Roman"/>
      <w:b/>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DEC21A9546D40F6806800C56C8B922D"/>
        <w:style w:val=""/>
        <w:category>
          <w:name w:val="常规"/>
          <w:gallery w:val="placeholder"/>
        </w:category>
        <w:types>
          <w:type w:val="bbPlcHdr"/>
        </w:types>
        <w:behaviors>
          <w:behavior w:val="content"/>
        </w:behaviors>
        <w:description w:val=""/>
        <w:guid w:val="{1B4DE96D-CEF6-4632-865D-4EE467AD37E8}"/>
      </w:docPartPr>
      <w:docPartBody>
        <w:p>
          <w:pPr>
            <w:pStyle w:val="5"/>
          </w:pPr>
          <w:r>
            <w:rPr>
              <w:rStyle w:val="4"/>
              <w:rFonts w:hint="eastAsia"/>
            </w:rPr>
            <w:t>单击或点击此处输入文字。</w:t>
          </w:r>
        </w:p>
      </w:docPartBody>
    </w:docPart>
    <w:docPart>
      <w:docPartPr>
        <w:name w:val="D380308E03B5415D8A8C5D8CA4EE6C42"/>
        <w:style w:val=""/>
        <w:category>
          <w:name w:val="常规"/>
          <w:gallery w:val="placeholder"/>
        </w:category>
        <w:types>
          <w:type w:val="bbPlcHdr"/>
        </w:types>
        <w:behaviors>
          <w:behavior w:val="content"/>
        </w:behaviors>
        <w:description w:val=""/>
        <w:guid w:val="{DEED3DAD-094A-4DF6-B059-7276E4639F51}"/>
      </w:docPartPr>
      <w:docPartBody>
        <w:p>
          <w:pPr>
            <w:pStyle w:val="6"/>
          </w:pPr>
          <w:r>
            <w:rPr>
              <w:rStyle w:val="4"/>
              <w:rFonts w:hint="eastAsia"/>
            </w:rPr>
            <w:t>选择一项。</w:t>
          </w:r>
        </w:p>
      </w:docPartBody>
    </w:docPart>
    <w:docPart>
      <w:docPartPr>
        <w:name w:val="824C23242CF943C1B0E8B3EA773DBDD2"/>
        <w:style w:val=""/>
        <w:category>
          <w:name w:val="常规"/>
          <w:gallery w:val="placeholder"/>
        </w:category>
        <w:types>
          <w:type w:val="bbPlcHdr"/>
        </w:types>
        <w:behaviors>
          <w:behavior w:val="content"/>
        </w:behaviors>
        <w:description w:val=""/>
        <w:guid w:val="{2F47BEF7-FA65-4C2B-A123-94CDC2AD170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6D5B"/>
    <w:rsid w:val="00051849"/>
    <w:rsid w:val="00081F93"/>
    <w:rsid w:val="000C1114"/>
    <w:rsid w:val="000C7D1A"/>
    <w:rsid w:val="00204553"/>
    <w:rsid w:val="002B6D5B"/>
    <w:rsid w:val="002C1E41"/>
    <w:rsid w:val="003A0B21"/>
    <w:rsid w:val="003C4714"/>
    <w:rsid w:val="00430FAA"/>
    <w:rsid w:val="004540A0"/>
    <w:rsid w:val="004C3E33"/>
    <w:rsid w:val="00635999"/>
    <w:rsid w:val="00656B30"/>
    <w:rsid w:val="007816E4"/>
    <w:rsid w:val="00786593"/>
    <w:rsid w:val="007C74E3"/>
    <w:rsid w:val="008D29E8"/>
    <w:rsid w:val="00AE78D2"/>
    <w:rsid w:val="00AE7A74"/>
    <w:rsid w:val="00B122B9"/>
    <w:rsid w:val="00B30FBC"/>
    <w:rsid w:val="00B603A6"/>
    <w:rsid w:val="00D544D2"/>
    <w:rsid w:val="00DA3A3F"/>
    <w:rsid w:val="00F95A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uiPriority w:val="99"/>
    <w:rPr>
      <w:color w:val="808080"/>
    </w:rPr>
  </w:style>
  <w:style w:type="paragraph" w:customStyle="1" w:styleId="5">
    <w:name w:val="ADEC21A9546D40F6806800C56C8B922D"/>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D380308E03B5415D8A8C5D8CA4EE6C42"/>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824C23242CF943C1B0E8B3EA773DBDD2"/>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8">
    <w:name w:val="1B96A1527C9D47BABC3D179F6875AFC5"/>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AA66F-20E6-48E1-8D17-A523E553FFC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658</Words>
  <Characters>3754</Characters>
  <Lines>31</Lines>
  <Paragraphs>8</Paragraphs>
  <TotalTime>50</TotalTime>
  <ScaleCrop>false</ScaleCrop>
  <LinksUpToDate>false</LinksUpToDate>
  <CharactersWithSpaces>4404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2025-05-12T06:06:00Z</dcterms:created>
  <dc:creator>标准化协会</dc:creator>
  <dc:description>&lt;config cover="true" show_menu="true" version="1.0.0" doctype="SDKXY"&gt;_x000d_
&lt;/config&gt;</dc:description>
  <cp:lastModifiedBy>admin</cp:lastModifiedBy>
  <cp:lastPrinted>2025-05-13T04:58:00Z</cp:lastPrinted>
  <dcterms:modified xsi:type="dcterms:W3CDTF">2025-05-14T00:49:52Z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ies>
</file>