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0" w:name="_Hlk196817464"/>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65.020.30</w:t>
            </w:r>
            <w:r>
              <w:rPr>
                <w:rFonts w:ascii="黑体" w:hAnsi="黑体" w:eastAsia="黑体"/>
                <w:sz w:val="21"/>
                <w:szCs w:val="21"/>
              </w:rPr>
              <w:fldChar w:fldCharType="end"/>
            </w:r>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B43</w:t>
            </w:r>
            <w:r>
              <w:rPr>
                <w:rFonts w:ascii="黑体" w:hAnsi="黑体" w:eastAsia="黑体"/>
                <w:sz w:val="21"/>
                <w:szCs w:val="21"/>
              </w:rPr>
              <w:fldChar w:fldCharType="end"/>
            </w:r>
            <w:bookmarkEnd w:id="2"/>
          </w:p>
        </w:tc>
      </w:tr>
    </w:tbl>
    <w:tbl>
      <w:tblPr>
        <w:tblStyle w:val="33"/>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3"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Pr>
                <w:rFonts w:hint="eastAsia"/>
              </w:rPr>
              <w:t>43</w:t>
            </w:r>
            <w:r>
              <w:fldChar w:fldCharType="end"/>
            </w:r>
            <w:bookmarkEnd w:id="4"/>
          </w:p>
        </w:tc>
      </w:tr>
    </w:tbl>
    <w:p>
      <w:pPr>
        <w:pStyle w:val="50"/>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5"/>
      <w:r>
        <w:rPr>
          <w:rFonts w:hint="eastAsia" w:ascii="黑体" w:hAnsi="黑体" w:eastAsia="黑体"/>
          <w:b w:val="0"/>
          <w:bCs w:val="0"/>
          <w:w w:val="100"/>
          <w:sz w:val="48"/>
          <w:szCs w:val="48"/>
        </w:rPr>
        <w:t>地方标准</w:t>
      </w:r>
    </w:p>
    <w:bookmarkEnd w:id="3"/>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rFonts w:hint="eastAsia"/>
          <w:lang w:val="fr-FR"/>
        </w:rPr>
        <w:t>43</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rFonts w:hint="eastAsia"/>
        </w:rPr>
        <w:t>2025</w:t>
      </w:r>
      <w:r>
        <w:fldChar w:fldCharType="end"/>
      </w:r>
      <w:bookmarkEnd w:id="8"/>
    </w:p>
    <w:p>
      <w:pPr>
        <w:pStyle w:val="196"/>
        <w:rPr>
          <w:rFonts w:hint="eastAsia"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9"/>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hint="eastAsia" w:ascii="黑体" w:hAnsi="黑体" w:eastAsia="黑体"/>
          <w:b w:val="0"/>
          <w:bCs w:val="0"/>
          <w:w w:val="100"/>
        </w:rPr>
      </w:pPr>
    </w:p>
    <w:p>
      <w:pPr>
        <w:pStyle w:val="197"/>
        <w:framePr w:h="6974" w:hRule="exact" w:x="1419" w:anchorLock="1"/>
        <w:rPr>
          <w:rFonts w:hint="eastAsia"/>
        </w:rPr>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梅花鹿人工输精技术规程</w:t>
      </w:r>
      <w:r>
        <w:fldChar w:fldCharType="end"/>
      </w:r>
      <w:bookmarkEnd w:id="10"/>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fldChar w:fldCharType="separate"/>
      </w:r>
      <w:r>
        <w:rPr>
          <w:rFonts w:hint="eastAsia" w:eastAsia="黑体"/>
          <w:szCs w:val="28"/>
        </w:rPr>
        <w:t>Technical programs of artificial insemination in sika deer</w:t>
      </w:r>
      <w:r>
        <w:rPr>
          <w:rFonts w:eastAsia="黑体"/>
          <w:szCs w:val="28"/>
        </w:rPr>
        <w:fldChar w:fldCharType="end"/>
      </w:r>
      <w:bookmarkEnd w:id="11"/>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3"/>
        <w:framePr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1"/>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1"/>
        <w:spacing w:after="468"/>
        <w:rPr>
          <w:rFonts w:hint="eastAsia"/>
        </w:rPr>
      </w:pPr>
      <w:bookmarkStart w:id="22" w:name="BookMark1"/>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"_Toc196817539" </w:instrText>
      </w:r>
      <w:r>
        <w:fldChar w:fldCharType="separate"/>
      </w:r>
      <w:r>
        <w:rPr>
          <w:rStyle w:val="30"/>
          <w:rFonts w:hint="eastAsia"/>
        </w:rPr>
        <w:t>前言</w:t>
      </w:r>
      <w:r>
        <w:rPr>
          <w:rFonts w:hint="eastAsia"/>
        </w:rPr>
        <w:tab/>
      </w:r>
      <w:r>
        <w:rPr>
          <w:rFonts w:hint="eastAsia"/>
        </w:rPr>
        <w:fldChar w:fldCharType="begin"/>
      </w:r>
      <w:r>
        <w:rPr>
          <w:rFonts w:hint="eastAsia"/>
        </w:rPr>
        <w:instrText xml:space="preserve"> </w:instrText>
      </w:r>
      <w:r>
        <w:instrText xml:space="preserve">PAGEREF _Toc196817539 \h</w:instrText>
      </w:r>
      <w:r>
        <w:rPr>
          <w:rFonts w:hint="eastAsia"/>
        </w:rPr>
        <w:instrText xml:space="preserve"> </w:instrText>
      </w:r>
      <w:r>
        <w:fldChar w:fldCharType="separate"/>
      </w:r>
      <w:r>
        <w:t>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"_Toc196817540" </w:instrText>
      </w:r>
      <w:r>
        <w:fldChar w:fldCharType="separate"/>
      </w:r>
      <w:r>
        <w:rPr>
          <w:rStyle w:val="30"/>
          <w:rFonts w:hint="eastAsia"/>
        </w:rPr>
        <w:t>1</w:t>
      </w:r>
      <w:r>
        <w:rPr>
          <w:rStyle w:val="30"/>
        </w:rPr>
        <w:t xml:space="preserve"> </w:t>
      </w:r>
      <w:r>
        <w:rPr>
          <w:rStyle w:val="30"/>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_Toc196817540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"_Toc196817541" </w:instrText>
      </w:r>
      <w:r>
        <w:fldChar w:fldCharType="separate"/>
      </w:r>
      <w:r>
        <w:rPr>
          <w:rStyle w:val="30"/>
          <w:rFonts w:hint="eastAsia"/>
        </w:rPr>
        <w:t>2</w:t>
      </w:r>
      <w:r>
        <w:rPr>
          <w:rStyle w:val="30"/>
        </w:rPr>
        <w:t xml:space="preserve"> </w:t>
      </w:r>
      <w:r>
        <w:rPr>
          <w:rStyle w:val="30"/>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_Toc196817541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"_Toc196817542" </w:instrText>
      </w:r>
      <w:r>
        <w:fldChar w:fldCharType="separate"/>
      </w:r>
      <w:r>
        <w:rPr>
          <w:rStyle w:val="30"/>
          <w:rFonts w:hint="eastAsia"/>
        </w:rPr>
        <w:t>3</w:t>
      </w:r>
      <w:r>
        <w:rPr>
          <w:rStyle w:val="30"/>
        </w:rPr>
        <w:t xml:space="preserve"> </w:t>
      </w:r>
      <w:r>
        <w:rPr>
          <w:rStyle w:val="30"/>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_Toc196817542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"_Toc196817543" </w:instrText>
      </w:r>
      <w:r>
        <w:fldChar w:fldCharType="separate"/>
      </w:r>
      <w:r>
        <w:rPr>
          <w:rStyle w:val="30"/>
          <w:rFonts w:hint="eastAsia"/>
          <w14:scene3d>
            <w14:lightRig w14:rig="threePt" w14:dir="t">
              <w14:rot w14:lat="0" w14:lon="0" w14:rev="0"/>
            </w14:lightRig>
          </w14:scene3d>
        </w:rPr>
        <w:t>3.1</w:t>
      </w:r>
      <w:r>
        <w:rPr>
          <w:rStyle w:val="30"/>
          <w14:scene3d>
            <w14:lightRig w14:rig="threePt" w14:dir="t">
              <w14:rot w14:lat="0" w14:lon="0" w14:rev="0"/>
            </w14:lightRig>
          </w14:scene3d>
        </w:rPr>
        <w:t xml:space="preserve"> </w:t>
      </w:r>
      <w:r>
        <w:rPr>
          <w:rStyle w:val="30"/>
          <w:rFonts w:hint="eastAsia"/>
        </w:rPr>
        <w:t xml:space="preserve"> 同期发情  Synchronous estrus</w:t>
      </w:r>
      <w:r>
        <w:rPr>
          <w:rFonts w:hint="eastAsia"/>
        </w:rPr>
        <w:tab/>
      </w:r>
      <w:r>
        <w:rPr>
          <w:rFonts w:hint="eastAsia"/>
        </w:rPr>
        <w:fldChar w:fldCharType="begin"/>
      </w:r>
      <w:r>
        <w:rPr>
          <w:rFonts w:hint="eastAsia"/>
        </w:rPr>
        <w:instrText xml:space="preserve"> </w:instrText>
      </w:r>
      <w:r>
        <w:instrText xml:space="preserve">PAGEREF _Toc196817543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"_Toc196817544" </w:instrText>
      </w:r>
      <w:r>
        <w:fldChar w:fldCharType="separate"/>
      </w:r>
      <w:r>
        <w:rPr>
          <w:rStyle w:val="30"/>
          <w:rFonts w:hint="eastAsia"/>
          <w14:scene3d>
            <w14:lightRig w14:rig="threePt" w14:dir="t">
              <w14:rot w14:lat="0" w14:lon="0" w14:rev="0"/>
            </w14:lightRig>
          </w14:scene3d>
        </w:rPr>
        <w:t>3.2</w:t>
      </w:r>
      <w:r>
        <w:rPr>
          <w:rStyle w:val="30"/>
          <w14:scene3d>
            <w14:lightRig w14:rig="threePt" w14:dir="t">
              <w14:rot w14:lat="0" w14:lon="0" w14:rev="0"/>
            </w14:lightRig>
          </w14:scene3d>
        </w:rPr>
        <w:t xml:space="preserve"> </w:t>
      </w:r>
      <w:r>
        <w:rPr>
          <w:rStyle w:val="30"/>
          <w:rFonts w:hint="eastAsia"/>
        </w:rPr>
        <w:t xml:space="preserve"> 定时输精  Timing insemination</w:t>
      </w:r>
      <w:r>
        <w:rPr>
          <w:rFonts w:hint="eastAsia"/>
        </w:rPr>
        <w:tab/>
      </w:r>
      <w:r>
        <w:rPr>
          <w:rFonts w:hint="eastAsia"/>
        </w:rPr>
        <w:fldChar w:fldCharType="begin"/>
      </w:r>
      <w:r>
        <w:rPr>
          <w:rFonts w:hint="eastAsia"/>
        </w:rPr>
        <w:instrText xml:space="preserve"> </w:instrText>
      </w:r>
      <w:r>
        <w:instrText xml:space="preserve">PAGEREF _Toc196817544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"_Toc196817545" </w:instrText>
      </w:r>
      <w:r>
        <w:fldChar w:fldCharType="separate"/>
      </w:r>
      <w:r>
        <w:rPr>
          <w:rStyle w:val="30"/>
          <w:rFonts w:hint="eastAsia"/>
        </w:rPr>
        <w:t>4</w:t>
      </w:r>
      <w:r>
        <w:rPr>
          <w:rStyle w:val="30"/>
        </w:rPr>
        <w:t xml:space="preserve"> </w:t>
      </w:r>
      <w:r>
        <w:rPr>
          <w:rStyle w:val="30"/>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_Toc196817545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"_Toc196817546" </w:instrText>
      </w:r>
      <w:r>
        <w:fldChar w:fldCharType="separate"/>
      </w:r>
      <w:r>
        <w:rPr>
          <w:rStyle w:val="30"/>
          <w:rFonts w:hint="eastAsia"/>
          <w14:scene3d>
            <w14:lightRig w14:rig="threePt" w14:dir="t">
              <w14:rot w14:lat="0" w14:lon="0" w14:rev="0"/>
            </w14:lightRig>
          </w14:scene3d>
        </w:rPr>
        <w:t>4.1</w:t>
      </w:r>
      <w:r>
        <w:rPr>
          <w:rStyle w:val="30"/>
          <w14:scene3d>
            <w14:lightRig w14:rig="threePt" w14:dir="t">
              <w14:rot w14:lat="0" w14:lon="0" w14:rev="0"/>
            </w14:lightRig>
          </w14:scene3d>
        </w:rPr>
        <w:t xml:space="preserve"> </w:t>
      </w:r>
      <w:r>
        <w:rPr>
          <w:rStyle w:val="30"/>
          <w:rFonts w:hint="eastAsia"/>
        </w:rPr>
        <w:t xml:space="preserve"> 设施设备</w:t>
      </w:r>
      <w:r>
        <w:rPr>
          <w:rFonts w:hint="eastAsia"/>
        </w:rPr>
        <w:tab/>
      </w:r>
      <w:r>
        <w:rPr>
          <w:rFonts w:hint="eastAsia"/>
        </w:rPr>
        <w:fldChar w:fldCharType="begin"/>
      </w:r>
      <w:r>
        <w:rPr>
          <w:rFonts w:hint="eastAsia"/>
        </w:rPr>
        <w:instrText xml:space="preserve"> </w:instrText>
      </w:r>
      <w:r>
        <w:instrText xml:space="preserve">PAGEREF _Toc196817546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"_Toc196817547" </w:instrText>
      </w:r>
      <w:r>
        <w:fldChar w:fldCharType="separate"/>
      </w:r>
      <w:r>
        <w:rPr>
          <w:rStyle w:val="30"/>
          <w:rFonts w:hint="eastAsia"/>
          <w14:scene3d>
            <w14:lightRig w14:rig="threePt" w14:dir="t">
              <w14:rot w14:lat="0" w14:lon="0" w14:rev="0"/>
            </w14:lightRig>
          </w14:scene3d>
        </w:rPr>
        <w:t>4.2</w:t>
      </w:r>
      <w:r>
        <w:rPr>
          <w:rStyle w:val="30"/>
          <w14:scene3d>
            <w14:lightRig w14:rig="threePt" w14:dir="t">
              <w14:rot w14:lat="0" w14:lon="0" w14:rev="0"/>
            </w14:lightRig>
          </w14:scene3d>
        </w:rPr>
        <w:t xml:space="preserve"> </w:t>
      </w:r>
      <w:r>
        <w:rPr>
          <w:rStyle w:val="30"/>
          <w:rFonts w:hint="eastAsia"/>
        </w:rPr>
        <w:t xml:space="preserve"> 人员要求</w:t>
      </w:r>
      <w:r>
        <w:rPr>
          <w:rFonts w:hint="eastAsia"/>
        </w:rPr>
        <w:tab/>
      </w:r>
      <w:r>
        <w:rPr>
          <w:rFonts w:hint="eastAsia"/>
        </w:rPr>
        <w:fldChar w:fldCharType="begin"/>
      </w:r>
      <w:r>
        <w:rPr>
          <w:rFonts w:hint="eastAsia"/>
        </w:rPr>
        <w:instrText xml:space="preserve"> </w:instrText>
      </w:r>
      <w:r>
        <w:instrText xml:space="preserve">PAGEREF _Toc196817547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"_Toc196817548" </w:instrText>
      </w:r>
      <w:r>
        <w:fldChar w:fldCharType="separate"/>
      </w:r>
      <w:r>
        <w:rPr>
          <w:rStyle w:val="30"/>
          <w:rFonts w:hint="eastAsia"/>
        </w:rPr>
        <w:t>5</w:t>
      </w:r>
      <w:r>
        <w:rPr>
          <w:rStyle w:val="30"/>
        </w:rPr>
        <w:t xml:space="preserve"> </w:t>
      </w:r>
      <w:r>
        <w:rPr>
          <w:rStyle w:val="30"/>
          <w:rFonts w:hint="eastAsia"/>
        </w:rPr>
        <w:t xml:space="preserve"> 同期发情</w:t>
      </w:r>
      <w:r>
        <w:rPr>
          <w:rFonts w:hint="eastAsia"/>
        </w:rPr>
        <w:tab/>
      </w:r>
      <w:r>
        <w:rPr>
          <w:rFonts w:hint="eastAsia"/>
        </w:rPr>
        <w:fldChar w:fldCharType="begin"/>
      </w:r>
      <w:r>
        <w:rPr>
          <w:rFonts w:hint="eastAsia"/>
        </w:rPr>
        <w:instrText xml:space="preserve"> </w:instrText>
      </w:r>
      <w:r>
        <w:instrText xml:space="preserve">PAGEREF _Toc196817548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"_Toc196817549" </w:instrText>
      </w:r>
      <w:r>
        <w:fldChar w:fldCharType="separate"/>
      </w:r>
      <w:r>
        <w:rPr>
          <w:rStyle w:val="30"/>
          <w:rFonts w:hint="eastAsia"/>
          <w14:scene3d>
            <w14:lightRig w14:rig="threePt" w14:dir="t">
              <w14:rot w14:lat="0" w14:lon="0" w14:rev="0"/>
            </w14:lightRig>
          </w14:scene3d>
        </w:rPr>
        <w:t>5.1</w:t>
      </w:r>
      <w:r>
        <w:rPr>
          <w:rStyle w:val="30"/>
          <w14:scene3d>
            <w14:lightRig w14:rig="threePt" w14:dir="t">
              <w14:rot w14:lat="0" w14:lon="0" w14:rev="0"/>
            </w14:lightRig>
          </w14:scene3d>
        </w:rPr>
        <w:t xml:space="preserve"> </w:t>
      </w:r>
      <w:r>
        <w:rPr>
          <w:rStyle w:val="30"/>
          <w:rFonts w:hint="eastAsia"/>
        </w:rPr>
        <w:t xml:space="preserve"> 母鹿的选择</w:t>
      </w:r>
      <w:r>
        <w:rPr>
          <w:rFonts w:hint="eastAsia"/>
        </w:rPr>
        <w:tab/>
      </w:r>
      <w:r>
        <w:rPr>
          <w:rFonts w:hint="eastAsia"/>
        </w:rPr>
        <w:fldChar w:fldCharType="begin"/>
      </w:r>
      <w:r>
        <w:rPr>
          <w:rFonts w:hint="eastAsia"/>
        </w:rPr>
        <w:instrText xml:space="preserve"> </w:instrText>
      </w:r>
      <w:r>
        <w:instrText xml:space="preserve">PAGEREF _Toc196817549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"_Toc196817550" </w:instrText>
      </w:r>
      <w:r>
        <w:fldChar w:fldCharType="separate"/>
      </w:r>
      <w:r>
        <w:rPr>
          <w:rStyle w:val="30"/>
          <w:rFonts w:hint="eastAsia"/>
          <w14:scene3d>
            <w14:lightRig w14:rig="threePt" w14:dir="t">
              <w14:rot w14:lat="0" w14:lon="0" w14:rev="0"/>
            </w14:lightRig>
          </w14:scene3d>
        </w:rPr>
        <w:t>5.2</w:t>
      </w:r>
      <w:r>
        <w:rPr>
          <w:rStyle w:val="30"/>
          <w14:scene3d>
            <w14:lightRig w14:rig="threePt" w14:dir="t">
              <w14:rot w14:lat="0" w14:lon="0" w14:rev="0"/>
            </w14:lightRig>
          </w14:scene3d>
        </w:rPr>
        <w:t xml:space="preserve"> </w:t>
      </w:r>
      <w:r>
        <w:rPr>
          <w:rStyle w:val="30"/>
          <w:rFonts w:hint="eastAsia"/>
        </w:rPr>
        <w:t xml:space="preserve"> 处理程序</w:t>
      </w:r>
      <w:r>
        <w:rPr>
          <w:rFonts w:hint="eastAsia"/>
        </w:rPr>
        <w:tab/>
      </w:r>
      <w:r>
        <w:rPr>
          <w:rFonts w:hint="eastAsia"/>
        </w:rPr>
        <w:fldChar w:fldCharType="begin"/>
      </w:r>
      <w:r>
        <w:rPr>
          <w:rFonts w:hint="eastAsia"/>
        </w:rPr>
        <w:instrText xml:space="preserve"> </w:instrText>
      </w:r>
      <w:r>
        <w:instrText xml:space="preserve">PAGEREF _Toc196817550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"_Toc196817551" </w:instrText>
      </w:r>
      <w:r>
        <w:fldChar w:fldCharType="separate"/>
      </w:r>
      <w:r>
        <w:rPr>
          <w:rStyle w:val="30"/>
          <w:rFonts w:hint="eastAsia"/>
        </w:rPr>
        <w:t>6</w:t>
      </w:r>
      <w:r>
        <w:rPr>
          <w:rStyle w:val="30"/>
        </w:rPr>
        <w:t xml:space="preserve"> </w:t>
      </w:r>
      <w:r>
        <w:rPr>
          <w:rStyle w:val="30"/>
          <w:rFonts w:hint="eastAsia"/>
        </w:rPr>
        <w:t xml:space="preserve"> 输精</w:t>
      </w:r>
      <w:r>
        <w:rPr>
          <w:rFonts w:hint="eastAsia"/>
        </w:rPr>
        <w:tab/>
      </w:r>
      <w:r>
        <w:rPr>
          <w:rFonts w:hint="eastAsia"/>
        </w:rPr>
        <w:fldChar w:fldCharType="begin"/>
      </w:r>
      <w:r>
        <w:rPr>
          <w:rFonts w:hint="eastAsia"/>
        </w:rPr>
        <w:instrText xml:space="preserve"> </w:instrText>
      </w:r>
      <w:r>
        <w:instrText xml:space="preserve">PAGEREF _Toc196817551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"_Toc196817552" </w:instrText>
      </w:r>
      <w:r>
        <w:fldChar w:fldCharType="separate"/>
      </w:r>
      <w:r>
        <w:rPr>
          <w:rStyle w:val="30"/>
          <w:rFonts w:hint="eastAsia"/>
          <w14:scene3d>
            <w14:lightRig w14:rig="threePt" w14:dir="t">
              <w14:rot w14:lat="0" w14:lon="0" w14:rev="0"/>
            </w14:lightRig>
          </w14:scene3d>
        </w:rPr>
        <w:t>6.1</w:t>
      </w:r>
      <w:r>
        <w:rPr>
          <w:rStyle w:val="30"/>
          <w14:scene3d>
            <w14:lightRig w14:rig="threePt" w14:dir="t">
              <w14:rot w14:lat="0" w14:lon="0" w14:rev="0"/>
            </w14:lightRig>
          </w14:scene3d>
        </w:rPr>
        <w:t xml:space="preserve"> </w:t>
      </w:r>
      <w:r>
        <w:rPr>
          <w:rStyle w:val="30"/>
          <w:rFonts w:hint="eastAsia"/>
        </w:rPr>
        <w:t xml:space="preserve"> 输精前的准备</w:t>
      </w:r>
      <w:r>
        <w:rPr>
          <w:rFonts w:hint="eastAsia"/>
        </w:rPr>
        <w:tab/>
      </w:r>
      <w:r>
        <w:rPr>
          <w:rFonts w:hint="eastAsia"/>
        </w:rPr>
        <w:fldChar w:fldCharType="begin"/>
      </w:r>
      <w:r>
        <w:rPr>
          <w:rFonts w:hint="eastAsia"/>
        </w:rPr>
        <w:instrText xml:space="preserve"> </w:instrText>
      </w:r>
      <w:r>
        <w:instrText xml:space="preserve">PAGEREF _Toc196817552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"_Toc196817553" </w:instrText>
      </w:r>
      <w:r>
        <w:fldChar w:fldCharType="separate"/>
      </w:r>
      <w:r>
        <w:rPr>
          <w:rStyle w:val="30"/>
          <w:rFonts w:hint="eastAsia"/>
          <w14:scene3d>
            <w14:lightRig w14:rig="threePt" w14:dir="t">
              <w14:rot w14:lat="0" w14:lon="0" w14:rev="0"/>
            </w14:lightRig>
          </w14:scene3d>
        </w:rPr>
        <w:t>6.2</w:t>
      </w:r>
      <w:r>
        <w:rPr>
          <w:rStyle w:val="30"/>
          <w14:scene3d>
            <w14:lightRig w14:rig="threePt" w14:dir="t">
              <w14:rot w14:lat="0" w14:lon="0" w14:rev="0"/>
            </w14:lightRig>
          </w14:scene3d>
        </w:rPr>
        <w:t xml:space="preserve"> </w:t>
      </w:r>
      <w:r>
        <w:rPr>
          <w:rStyle w:val="30"/>
          <w:rFonts w:hint="eastAsia"/>
        </w:rPr>
        <w:t xml:space="preserve"> 输精</w:t>
      </w:r>
      <w:r>
        <w:rPr>
          <w:rFonts w:hint="eastAsia"/>
        </w:rPr>
        <w:tab/>
      </w:r>
      <w:r>
        <w:rPr>
          <w:rFonts w:hint="eastAsia"/>
        </w:rPr>
        <w:fldChar w:fldCharType="begin"/>
      </w:r>
      <w:r>
        <w:rPr>
          <w:rFonts w:hint="eastAsia"/>
        </w:rPr>
        <w:instrText xml:space="preserve"> </w:instrText>
      </w:r>
      <w:r>
        <w:instrText xml:space="preserve">PAGEREF _Toc196817553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"_Toc196817554" </w:instrText>
      </w:r>
      <w:r>
        <w:fldChar w:fldCharType="separate"/>
      </w:r>
      <w:r>
        <w:rPr>
          <w:rStyle w:val="30"/>
          <w:rFonts w:hint="eastAsia"/>
          <w14:scene3d>
            <w14:lightRig w14:rig="threePt" w14:dir="t">
              <w14:rot w14:lat="0" w14:lon="0" w14:rev="0"/>
            </w14:lightRig>
          </w14:scene3d>
        </w:rPr>
        <w:t>6.3</w:t>
      </w:r>
      <w:r>
        <w:rPr>
          <w:rStyle w:val="30"/>
          <w14:scene3d>
            <w14:lightRig w14:rig="threePt" w14:dir="t">
              <w14:rot w14:lat="0" w14:lon="0" w14:rev="0"/>
            </w14:lightRig>
          </w14:scene3d>
        </w:rPr>
        <w:t xml:space="preserve"> </w:t>
      </w:r>
      <w:r>
        <w:rPr>
          <w:rStyle w:val="30"/>
          <w:rFonts w:hint="eastAsia"/>
        </w:rPr>
        <w:t xml:space="preserve"> 输精后补配</w:t>
      </w:r>
      <w:r>
        <w:rPr>
          <w:rFonts w:hint="eastAsia"/>
        </w:rPr>
        <w:tab/>
      </w:r>
      <w:r>
        <w:rPr>
          <w:rFonts w:hint="eastAsia"/>
        </w:rPr>
        <w:fldChar w:fldCharType="begin"/>
      </w:r>
      <w:r>
        <w:rPr>
          <w:rFonts w:hint="eastAsia"/>
        </w:rPr>
        <w:instrText xml:space="preserve"> </w:instrText>
      </w:r>
      <w:r>
        <w:instrText xml:space="preserve">PAGEREF _Toc196817554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"_Toc196817555" </w:instrText>
      </w:r>
      <w:r>
        <w:fldChar w:fldCharType="separate"/>
      </w:r>
      <w:r>
        <w:rPr>
          <w:rStyle w:val="30"/>
          <w:rFonts w:hint="eastAsia"/>
        </w:rPr>
        <w:t>7</w:t>
      </w:r>
      <w:r>
        <w:rPr>
          <w:rStyle w:val="30"/>
        </w:rPr>
        <w:t xml:space="preserve"> </w:t>
      </w:r>
      <w:r>
        <w:rPr>
          <w:rStyle w:val="30"/>
          <w:rFonts w:hint="eastAsia"/>
        </w:rPr>
        <w:t xml:space="preserve"> 档案管理</w:t>
      </w:r>
      <w:r>
        <w:rPr>
          <w:rFonts w:hint="eastAsia"/>
        </w:rPr>
        <w:tab/>
      </w:r>
      <w:r>
        <w:rPr>
          <w:rFonts w:hint="eastAsia"/>
        </w:rPr>
        <w:fldChar w:fldCharType="begin"/>
      </w:r>
      <w:r>
        <w:rPr>
          <w:rFonts w:hint="eastAsia"/>
        </w:rPr>
        <w:instrText xml:space="preserve"> </w:instrText>
      </w:r>
      <w:r>
        <w:instrText xml:space="preserve">PAGEREF _Toc196817555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"_Toc196817556" </w:instrText>
      </w:r>
      <w:r>
        <w:fldChar w:fldCharType="separate"/>
      </w:r>
      <w:r>
        <w:rPr>
          <w:rStyle w:val="30"/>
          <w:rFonts w:hint="eastAsia"/>
        </w:rPr>
        <w:t>附录A（资料性）</w:t>
      </w:r>
      <w:r>
        <w:rPr>
          <w:rStyle w:val="30"/>
        </w:rPr>
        <w:t xml:space="preserve"> </w:t>
      </w:r>
      <w:r>
        <w:rPr>
          <w:rStyle w:val="30"/>
          <w:rFonts w:hint="eastAsia"/>
        </w:rPr>
        <w:t xml:space="preserve"> 同期发情定时输精记录表</w:t>
      </w:r>
      <w:r>
        <w:rPr>
          <w:rFonts w:hint="eastAsia"/>
        </w:rPr>
        <w:tab/>
      </w:r>
      <w:r>
        <w:rPr>
          <w:rFonts w:hint="eastAsia"/>
        </w:rPr>
        <w:fldChar w:fldCharType="begin"/>
      </w:r>
      <w:r>
        <w:rPr>
          <w:rFonts w:hint="eastAsia"/>
        </w:rPr>
        <w:instrText xml:space="preserve"> </w:instrText>
      </w:r>
      <w:r>
        <w:instrText xml:space="preserve">PAGEREF _Toc196817556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"_Toc196817557" </w:instrText>
      </w:r>
      <w:r>
        <w:fldChar w:fldCharType="separate"/>
      </w:r>
      <w:r>
        <w:rPr>
          <w:rStyle w:val="30"/>
          <w:rFonts w:hint="eastAsia" w:hAnsi="宋体" w:cs="黑体"/>
          <w:snapToGrid w:val="0"/>
          <w:lang w:bidi="ar"/>
        </w:rPr>
        <w:t>表A.1  同期发情定时输精记录表</w:t>
      </w:r>
      <w:r>
        <w:rPr>
          <w:rFonts w:hint="eastAsia"/>
        </w:rPr>
        <w:tab/>
      </w:r>
      <w:r>
        <w:rPr>
          <w:rFonts w:hint="eastAsia"/>
        </w:rPr>
        <w:fldChar w:fldCharType="begin"/>
      </w:r>
      <w:r>
        <w:rPr>
          <w:rFonts w:hint="eastAsia"/>
        </w:rPr>
        <w:instrText xml:space="preserve"> </w:instrText>
      </w:r>
      <w:r>
        <w:instrText xml:space="preserve">PAGEREF _Toc196817557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91"/>
        <w:spacing w:after="468"/>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2"/>
    <w:p>
      <w:pPr>
        <w:pStyle w:val="89"/>
        <w:spacing w:after="468"/>
        <w:rPr>
          <w:rFonts w:hint="eastAsia"/>
        </w:rPr>
      </w:pPr>
      <w:bookmarkStart w:id="23" w:name="_Toc196817539"/>
      <w:bookmarkStart w:id="24" w:name="BookMark2"/>
      <w:r>
        <w:rPr>
          <w:rFonts w:hint="eastAsia"/>
          <w:spacing w:val="320"/>
        </w:rPr>
        <w:t>前</w:t>
      </w:r>
      <w:r>
        <w:rPr>
          <w:rFonts w:hint="eastAsia"/>
        </w:rPr>
        <w:t>言</w:t>
      </w:r>
      <w:bookmarkEnd w:id="23"/>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p>
    <w:p>
      <w:pPr>
        <w:pStyle w:val="56"/>
        <w:ind w:firstLine="420"/>
      </w:pPr>
      <w:bookmarkStart w:id="80" w:name="_GoBack"/>
      <w:bookmarkEnd w:id="80"/>
    </w:p>
    <w:p>
      <w:pPr>
        <w:pStyle w:val="56"/>
        <w:ind w:firstLine="420"/>
      </w:pPr>
    </w:p>
    <w:p>
      <w:pPr>
        <w:pStyle w:val="56"/>
        <w:ind w:firstLine="420"/>
        <w:rPr>
          <w:rFonts w:hint="eastAsia"/>
        </w:rPr>
      </w:pPr>
      <w:r>
        <w:rPr>
          <w:rFonts w:hint="eastAsia"/>
        </w:rPr>
        <w:t>本文件由湖南省农业农村厅提出。</w:t>
      </w:r>
    </w:p>
    <w:p>
      <w:pPr>
        <w:pStyle w:val="56"/>
        <w:ind w:firstLine="420"/>
        <w:rPr>
          <w:rFonts w:hint="eastAsia"/>
        </w:rPr>
      </w:pPr>
      <w:r>
        <w:rPr>
          <w:rFonts w:hint="eastAsia"/>
        </w:rPr>
        <w:t>本文件由湖南省农业标准化</w:t>
      </w:r>
      <w:r>
        <w:rPr>
          <w:rFonts w:hint="eastAsia"/>
          <w:lang w:eastAsia="zh-CN"/>
        </w:rPr>
        <w:t>技术</w:t>
      </w:r>
      <w:r>
        <w:rPr>
          <w:rFonts w:hint="eastAsia"/>
        </w:rPr>
        <w:t>委员会归口。</w:t>
      </w:r>
    </w:p>
    <w:p>
      <w:pPr>
        <w:pStyle w:val="56"/>
        <w:ind w:firstLine="420"/>
        <w:rPr>
          <w:rFonts w:hint="eastAsia"/>
        </w:rPr>
      </w:pPr>
      <w:r>
        <w:rPr>
          <w:rFonts w:hint="eastAsia"/>
        </w:rPr>
        <w:t>本文件起草单位：湖南省畜牧兽医研究所，慈利县板栗山生态农业旅游开发有限责任公司，湖南金枫农牧发展有限公司，慈利县畜牧水产事务中心，武冈市畜牧水产事务中心</w:t>
      </w:r>
      <w:r>
        <w:rPr>
          <w:rFonts w:hint="eastAsia"/>
          <w:lang w:eastAsia="zh-CN"/>
        </w:rPr>
        <w:t>，</w:t>
      </w:r>
      <w:r>
        <w:rPr>
          <w:rFonts w:hint="eastAsia" w:cs="Times New Roman"/>
          <w:kern w:val="0"/>
          <w:sz w:val="24"/>
          <w:lang w:eastAsia="zh-CN"/>
        </w:rPr>
        <w:t>永州观音山原生态观光农业有限公司，</w:t>
      </w:r>
      <w:r>
        <w:rPr>
          <w:rFonts w:hint="eastAsia"/>
        </w:rPr>
        <w:t>长沙市农业科学院。</w:t>
      </w:r>
    </w:p>
    <w:p>
      <w:pPr>
        <w:pStyle w:val="56"/>
        <w:ind w:firstLine="420"/>
        <w:rPr>
          <w:rFonts w:hint="eastAsia"/>
        </w:rPr>
      </w:pPr>
      <w:r>
        <w:rPr>
          <w:rFonts w:hint="eastAsia"/>
        </w:rPr>
        <w:t>本文件主要起草人：李昊帮、李剑波、唐枫、文建强、易康乐、李雄、段洪峰、胡仁科、张佰忠、宋武、高帅、唐平、孙</w:t>
      </w:r>
      <w:r>
        <w:rPr>
          <w:rFonts w:hint="eastAsia"/>
          <w:lang w:eastAsia="zh-CN"/>
        </w:rPr>
        <w:t>建</w:t>
      </w:r>
      <w:r>
        <w:rPr>
          <w:rFonts w:hint="eastAsia"/>
        </w:rPr>
        <w:t>国、李熙、孙鏖</w:t>
      </w:r>
      <w:r>
        <w:rPr>
          <w:rFonts w:hint="eastAsia"/>
          <w:lang w:eastAsia="zh-CN"/>
        </w:rPr>
        <w:t>、蔡文杰、卢耀文、</w:t>
      </w:r>
      <w:r>
        <w:rPr>
          <w:rFonts w:hint="eastAsia"/>
          <w:lang w:val="en-US" w:eastAsia="zh-CN"/>
        </w:rPr>
        <w:t>梅国庆、于光胜、达兴宇、蔡文杰</w:t>
      </w:r>
      <w:r>
        <w:rPr>
          <w:rFonts w:hint="eastAsia"/>
        </w:rPr>
        <w:t>。</w:t>
      </w:r>
    </w:p>
    <w:p>
      <w:pPr>
        <w:pStyle w:val="56"/>
        <w:ind w:firstLine="420"/>
        <w:rPr>
          <w:rFonts w:hint="eastAsia"/>
        </w:rPr>
      </w:pPr>
    </w:p>
    <w:p>
      <w:pPr>
        <w:pStyle w:val="56"/>
        <w:ind w:firstLine="420"/>
        <w:rPr>
          <w:rFonts w:hint="eastAsia"/>
        </w:rPr>
      </w:pPr>
    </w:p>
    <w:p>
      <w:pPr>
        <w:pStyle w:val="56"/>
        <w:ind w:firstLine="420"/>
        <w:rPr>
          <w:rFonts w:hint="eastAsia"/>
        </w:rPr>
        <w:sectPr>
          <w:pgSz w:w="11906" w:h="16838"/>
          <w:pgMar w:top="2410"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hint="eastAsia" w:ascii="黑体" w:hAnsi="黑体" w:eastAsia="黑体"/>
          <w:sz w:val="32"/>
          <w:szCs w:val="32"/>
        </w:rPr>
      </w:pPr>
      <w:bookmarkStart w:id="25"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3684DE823197469C8E674C308E907015"/>
        </w:placeholder>
      </w:sdtPr>
      <w:sdtContent>
        <w:p>
          <w:pPr>
            <w:pStyle w:val="177"/>
            <w:spacing w:before="3" w:beforeLines="1" w:after="686" w:afterLines="220"/>
            <w:rPr>
              <w:rFonts w:hint="eastAsia"/>
            </w:rPr>
          </w:pPr>
          <w:bookmarkStart w:id="26" w:name="NEW_STAND_NAME"/>
          <w:r>
            <w:rPr>
              <w:rFonts w:hint="eastAsia"/>
            </w:rPr>
            <w:t>梅花鹿人工输精技术规程</w:t>
          </w:r>
        </w:p>
      </w:sdtContent>
    </w:sdt>
    <w:bookmarkEnd w:id="26"/>
    <w:p>
      <w:pPr>
        <w:pStyle w:val="104"/>
        <w:spacing w:before="312" w:after="312"/>
      </w:pPr>
      <w:bookmarkStart w:id="27" w:name="_Toc26986530"/>
      <w:bookmarkStart w:id="28" w:name="_Toc196816866"/>
      <w:bookmarkStart w:id="29" w:name="_Toc26986771"/>
      <w:bookmarkStart w:id="30" w:name="_Toc26718930"/>
      <w:bookmarkStart w:id="31" w:name="_Toc24884218"/>
      <w:bookmarkStart w:id="32" w:name="_Toc196817540"/>
      <w:bookmarkStart w:id="33" w:name="_Toc17233325"/>
      <w:bookmarkStart w:id="34" w:name="_Toc17233333"/>
      <w:bookmarkStart w:id="35" w:name="_Toc26648465"/>
      <w:bookmarkStart w:id="36" w:name="_Toc24884211"/>
      <w:r>
        <w:rPr>
          <w:rFonts w:hint="eastAsia"/>
        </w:rPr>
        <w:t>范围</w:t>
      </w:r>
      <w:bookmarkEnd w:id="27"/>
      <w:bookmarkEnd w:id="28"/>
      <w:bookmarkEnd w:id="29"/>
      <w:bookmarkEnd w:id="30"/>
      <w:bookmarkEnd w:id="31"/>
      <w:bookmarkEnd w:id="32"/>
      <w:bookmarkEnd w:id="33"/>
      <w:bookmarkEnd w:id="34"/>
      <w:bookmarkEnd w:id="35"/>
      <w:bookmarkEnd w:id="36"/>
    </w:p>
    <w:p>
      <w:pPr>
        <w:pStyle w:val="56"/>
        <w:ind w:firstLine="420"/>
      </w:pPr>
      <w:bookmarkStart w:id="37" w:name="_Toc24884212"/>
      <w:bookmarkStart w:id="38" w:name="_Toc17233334"/>
      <w:bookmarkStart w:id="39" w:name="_Toc17233326"/>
      <w:bookmarkStart w:id="40" w:name="_Toc26648466"/>
      <w:bookmarkStart w:id="41" w:name="_Toc24884219"/>
      <w:r>
        <w:rPr>
          <w:rFonts w:hint="eastAsia"/>
        </w:rPr>
        <w:t>本文件规定了梅花鹿人工输精技术要求。 本文件适用于梅花鹿饲养场的人工繁殖。</w:t>
      </w:r>
    </w:p>
    <w:p>
      <w:pPr>
        <w:pStyle w:val="104"/>
        <w:spacing w:before="312" w:after="312"/>
      </w:pPr>
      <w:bookmarkStart w:id="42" w:name="_Toc196816867"/>
      <w:bookmarkStart w:id="43" w:name="_Toc26718931"/>
      <w:bookmarkStart w:id="44" w:name="_Toc196817541"/>
      <w:bookmarkStart w:id="45" w:name="_Toc26986531"/>
      <w:bookmarkStart w:id="46" w:name="_Toc26986772"/>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C1F9A0A7F60C4994B6166C0A8563232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default" w:ascii="Times New Roman" w:hAnsi="Times New Roman" w:cs="Times New Roman"/>
        </w:rPr>
        <w:t>TCAAA071 梅花鹿冷冻精液生产技术规程</w:t>
      </w:r>
    </w:p>
    <w:p>
      <w:pPr>
        <w:pStyle w:val="104"/>
        <w:spacing w:before="312" w:after="312"/>
      </w:pPr>
      <w:bookmarkStart w:id="47" w:name="_Toc196817542"/>
      <w:bookmarkStart w:id="48" w:name="_Toc196816868"/>
      <w:r>
        <w:rPr>
          <w:rFonts w:hint="eastAsia"/>
          <w:szCs w:val="21"/>
        </w:rPr>
        <w:t>术语和定义</w:t>
      </w:r>
      <w:bookmarkEnd w:id="47"/>
      <w:bookmarkEnd w:id="48"/>
    </w:p>
    <w:sdt>
      <w:sdtPr>
        <w:id w:val="-1909835108"/>
        <w:placeholder>
          <w:docPart w:val="83DBF532016341DDBD6A84C9BBB800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下列术语和定义适用于本文件。</w:t>
          </w:r>
        </w:p>
      </w:sdtContent>
    </w:sdt>
    <w:p>
      <w:pPr>
        <w:pStyle w:val="105"/>
        <w:spacing w:before="156" w:after="156"/>
      </w:pPr>
      <w:bookmarkStart w:id="50" w:name="_Toc196817543"/>
      <w:bookmarkStart w:id="51" w:name="_Toc196816869"/>
      <w:r>
        <w:rPr>
          <w:rFonts w:hint="eastAsia"/>
        </w:rPr>
        <w:t>同期发情  Synchronous estrus</w:t>
      </w:r>
      <w:bookmarkEnd w:id="50"/>
      <w:bookmarkEnd w:id="51"/>
    </w:p>
    <w:p>
      <w:pPr>
        <w:pStyle w:val="56"/>
        <w:ind w:firstLine="420"/>
      </w:pPr>
      <w:r>
        <w:rPr>
          <w:rFonts w:hint="eastAsia"/>
        </w:rPr>
        <w:t>利用外源激素人为控制和改变一群空怀母鹿卵巢的活动规律，使其在预定时间内集中发情并正常排卵的技术。</w:t>
      </w:r>
    </w:p>
    <w:p>
      <w:pPr>
        <w:pStyle w:val="105"/>
        <w:spacing w:before="156" w:after="156"/>
      </w:pPr>
      <w:bookmarkStart w:id="52" w:name="_Toc196817544"/>
      <w:bookmarkStart w:id="53" w:name="_Toc196816870"/>
      <w:r>
        <w:rPr>
          <w:rFonts w:hint="eastAsia"/>
        </w:rPr>
        <w:t>定时输精  Timing insemination</w:t>
      </w:r>
      <w:bookmarkEnd w:id="52"/>
      <w:bookmarkEnd w:id="53"/>
    </w:p>
    <w:p>
      <w:pPr>
        <w:pStyle w:val="56"/>
        <w:ind w:firstLine="420"/>
      </w:pPr>
      <w:r>
        <w:rPr>
          <w:rFonts w:hint="eastAsia"/>
        </w:rPr>
        <w:t>对空怀母鹿进行同期发情处理后，在预定时间进行人工输精的技术。</w:t>
      </w:r>
    </w:p>
    <w:p>
      <w:pPr>
        <w:pStyle w:val="104"/>
        <w:spacing w:before="312" w:after="312"/>
      </w:pPr>
      <w:bookmarkStart w:id="54" w:name="_Toc196816871"/>
      <w:bookmarkStart w:id="55" w:name="_Toc196817545"/>
      <w:r>
        <w:rPr>
          <w:rFonts w:hint="eastAsia"/>
        </w:rPr>
        <w:t>基本要求</w:t>
      </w:r>
      <w:bookmarkEnd w:id="54"/>
      <w:bookmarkEnd w:id="55"/>
    </w:p>
    <w:p>
      <w:pPr>
        <w:pStyle w:val="105"/>
        <w:spacing w:before="156" w:after="156"/>
      </w:pPr>
      <w:bookmarkStart w:id="56" w:name="_Toc196816872"/>
      <w:bookmarkStart w:id="57" w:name="_Toc196817546"/>
      <w:r>
        <w:rPr>
          <w:rFonts w:hint="eastAsia"/>
        </w:rPr>
        <w:t>设施设备</w:t>
      </w:r>
      <w:bookmarkEnd w:id="56"/>
      <w:bookmarkEnd w:id="57"/>
    </w:p>
    <w:p>
      <w:pPr>
        <w:pStyle w:val="165"/>
      </w:pPr>
      <w:r>
        <w:rPr>
          <w:rFonts w:hint="eastAsia"/>
        </w:rPr>
        <w:t>应在输精母鹿舍附近设配种室应包括精液准备室与输精室。精液准备室应设有操作台、显微镜、液氮罐、输精器械、药品安全柜、档案柜等设施设备，输精室应设有母羊保定架，房屋之间应有传递物品的可封闭窗口。</w:t>
      </w:r>
    </w:p>
    <w:p>
      <w:pPr>
        <w:pStyle w:val="165"/>
        <w:rPr>
          <w:rFonts w:hint="eastAsia"/>
        </w:rPr>
      </w:pPr>
      <w:r>
        <w:rPr>
          <w:rFonts w:hint="eastAsia"/>
        </w:rPr>
        <w:t>工作区内的卫生要求干净整洁，室内要保持地面平坦，空气清新，干燥，通风，光线充足，无异味。配种前一周配种室需全面清扫消毒一次，配种期间每天配种结束应消毒一次。</w:t>
      </w:r>
    </w:p>
    <w:p>
      <w:pPr>
        <w:pStyle w:val="165"/>
      </w:pPr>
      <w:r>
        <w:rPr>
          <w:rFonts w:hint="default" w:ascii="Times New Roman" w:hAnsi="Times New Roman" w:cs="Times New Roman"/>
        </w:rPr>
        <w:t>精液检查室温度要求保持在18℃-25℃。</w:t>
      </w:r>
    </w:p>
    <w:p>
      <w:pPr>
        <w:pStyle w:val="105"/>
        <w:spacing w:before="156" w:after="156"/>
      </w:pPr>
      <w:bookmarkStart w:id="58" w:name="_Toc196817547"/>
      <w:bookmarkStart w:id="59" w:name="_Toc196816873"/>
      <w:r>
        <w:rPr>
          <w:rFonts w:hint="eastAsia"/>
        </w:rPr>
        <w:t>人员要求</w:t>
      </w:r>
      <w:bookmarkEnd w:id="58"/>
      <w:bookmarkEnd w:id="59"/>
    </w:p>
    <w:p>
      <w:pPr>
        <w:pStyle w:val="165"/>
      </w:pPr>
      <w:r>
        <w:rPr>
          <w:rFonts w:hint="eastAsia"/>
        </w:rPr>
        <w:t>工作人员应身体健康、无人畜共患传染病。工作期间应注意个人卫生，禁止吸烟、酒后操作。</w:t>
      </w:r>
    </w:p>
    <w:p>
      <w:pPr>
        <w:pStyle w:val="165"/>
      </w:pPr>
      <w:r>
        <w:rPr>
          <w:rFonts w:hint="eastAsia"/>
        </w:rPr>
        <w:t>从事输精操作的人员应熟练掌握控制发情与冷冻精液人工授精技术。</w:t>
      </w:r>
    </w:p>
    <w:p>
      <w:pPr>
        <w:pStyle w:val="104"/>
        <w:spacing w:before="312" w:after="312"/>
      </w:pPr>
      <w:bookmarkStart w:id="60" w:name="_Toc196816874"/>
      <w:bookmarkStart w:id="61" w:name="_Toc196817548"/>
      <w:r>
        <w:rPr>
          <w:rFonts w:hint="eastAsia"/>
        </w:rPr>
        <w:t>同期发情</w:t>
      </w:r>
      <w:bookmarkEnd w:id="60"/>
      <w:bookmarkEnd w:id="61"/>
    </w:p>
    <w:p>
      <w:pPr>
        <w:pStyle w:val="105"/>
        <w:spacing w:before="156" w:after="156"/>
      </w:pPr>
      <w:bookmarkStart w:id="62" w:name="_Toc196816875"/>
      <w:bookmarkStart w:id="63" w:name="_Toc196817549"/>
      <w:r>
        <w:rPr>
          <w:rFonts w:hint="eastAsia"/>
        </w:rPr>
        <w:t>母鹿的选择</w:t>
      </w:r>
      <w:bookmarkEnd w:id="62"/>
      <w:bookmarkEnd w:id="63"/>
    </w:p>
    <w:p>
      <w:pPr>
        <w:pStyle w:val="165"/>
        <w:rPr>
          <w:rFonts w:hint="eastAsia"/>
        </w:rPr>
      </w:pPr>
      <w:r>
        <w:rPr>
          <w:rFonts w:hint="eastAsia"/>
        </w:rPr>
        <w:t>健康，无人畜共患传染病， 达到体成熟，经产。</w:t>
      </w:r>
    </w:p>
    <w:p>
      <w:pPr>
        <w:pStyle w:val="165"/>
        <w:rPr>
          <w:rFonts w:hint="eastAsia"/>
        </w:rPr>
      </w:pPr>
      <w:r>
        <w:rPr>
          <w:rFonts w:hint="default" w:ascii="Times New Roman" w:hAnsi="Times New Roman" w:cs="Times New Roman"/>
        </w:rPr>
        <w:t>埋栓时膘情应中上等，输精时应产仔45天以上。</w:t>
      </w:r>
      <w:r>
        <w:rPr>
          <w:rFonts w:hint="eastAsia"/>
        </w:rPr>
        <w:t xml:space="preserve"> </w:t>
      </w:r>
    </w:p>
    <w:p>
      <w:pPr>
        <w:pStyle w:val="165"/>
        <w:rPr>
          <w:rFonts w:hint="eastAsia"/>
        </w:rPr>
      </w:pPr>
      <w:r>
        <w:rPr>
          <w:rFonts w:hint="default" w:ascii="Times New Roman" w:hAnsi="Times New Roman" w:cs="Times New Roman"/>
        </w:rPr>
        <w:t>应根据品种、体况、年龄和产仔时间组群，每圈15只～20只为宜。</w:t>
      </w:r>
    </w:p>
    <w:p>
      <w:pPr>
        <w:pStyle w:val="165"/>
      </w:pPr>
      <w:r>
        <w:rPr>
          <w:rFonts w:hint="eastAsia"/>
        </w:rPr>
        <w:t>应做好个体标识。</w:t>
      </w:r>
    </w:p>
    <w:p>
      <w:pPr>
        <w:pStyle w:val="105"/>
        <w:spacing w:before="156" w:after="156"/>
      </w:pPr>
      <w:bookmarkStart w:id="64" w:name="_Toc196816876"/>
      <w:bookmarkStart w:id="65" w:name="_Toc196817550"/>
      <w:r>
        <w:rPr>
          <w:rFonts w:hint="eastAsia"/>
        </w:rPr>
        <w:t>处理程序</w:t>
      </w:r>
      <w:bookmarkEnd w:id="64"/>
      <w:bookmarkEnd w:id="65"/>
    </w:p>
    <w:p>
      <w:pPr>
        <w:pStyle w:val="65"/>
        <w:spacing w:before="156" w:after="156"/>
      </w:pPr>
      <w:r>
        <w:rPr>
          <w:rFonts w:hint="eastAsia"/>
        </w:rPr>
        <w:t>埋栓</w:t>
      </w:r>
    </w:p>
    <w:p>
      <w:pPr>
        <w:pStyle w:val="56"/>
        <w:ind w:firstLine="420"/>
      </w:pPr>
      <w:r>
        <w:rPr>
          <w:rFonts w:hint="eastAsia"/>
        </w:rPr>
        <w:t>埋栓时间宜在母鹿进入繁殖季节的早期进行。埋置时应提前2小时准备麻醉药、解药和阴道栓。母鹿麻醉倒地后，外阴应用0.1%高锰酸钾药液的湿巾擦拭干净。然后将阴道栓塞入阴道深处的达子宫颈外口穹窿部，放置12-14d。</w:t>
      </w:r>
    </w:p>
    <w:p>
      <w:pPr>
        <w:pStyle w:val="65"/>
        <w:spacing w:before="156" w:after="156"/>
      </w:pPr>
      <w:r>
        <w:rPr>
          <w:rFonts w:hint="eastAsia"/>
        </w:rPr>
        <w:t>撤栓</w:t>
      </w:r>
    </w:p>
    <w:p>
      <w:pPr>
        <w:pStyle w:val="56"/>
        <w:ind w:firstLine="420"/>
      </w:pPr>
      <w:r>
        <w:rPr>
          <w:rFonts w:hint="eastAsia"/>
        </w:rPr>
        <w:t>提前准备好麻醉药、解药，前列腺素，一鹿一针。待每圈鹿统一麻醉稳定后，由饲养人员将鹿一侧横卧。取栓同时在鹿颈部或臀部分别肌肉注射孕马血清</w:t>
      </w:r>
      <w:r>
        <w:rPr>
          <w:rFonts w:hint="default" w:ascii="Times New Roman" w:hAnsi="Times New Roman" w:cs="Times New Roman"/>
        </w:rPr>
        <w:t>（PMSG）330-350IU和前列腺素（PG</w:t>
      </w:r>
      <w:r>
        <w:rPr>
          <w:rFonts w:hint="eastAsia" w:ascii="Times New Roman" w:cs="Times New Roman"/>
          <w:lang w:val="en-US" w:eastAsia="zh-CN"/>
        </w:rPr>
        <w:t>F</w:t>
      </w:r>
      <w:r>
        <w:rPr>
          <w:rFonts w:hint="default" w:ascii="Times New Roman" w:hAnsi="Times New Roman" w:cs="Times New Roman"/>
          <w:vertAlign w:val="subscript"/>
        </w:rPr>
        <w:t>2α</w:t>
      </w:r>
      <w:r>
        <w:rPr>
          <w:rFonts w:hint="default" w:ascii="Times New Roman" w:hAnsi="Times New Roman" w:cs="Times New Roman"/>
        </w:rPr>
        <w:t>）0.2mg</w:t>
      </w:r>
      <w:r>
        <w:rPr>
          <w:rFonts w:hint="eastAsia"/>
        </w:rPr>
        <w:t>，注射时有露药的应补注。全圈撤完栓后，统一注射解药，使鹿苏醒。</w:t>
      </w:r>
    </w:p>
    <w:p>
      <w:pPr>
        <w:pStyle w:val="104"/>
        <w:spacing w:before="312" w:after="312"/>
      </w:pPr>
      <w:bookmarkStart w:id="66" w:name="_Toc196816877"/>
      <w:bookmarkStart w:id="67" w:name="_Toc196817551"/>
      <w:r>
        <w:rPr>
          <w:rFonts w:hint="eastAsia"/>
        </w:rPr>
        <w:t>输精</w:t>
      </w:r>
      <w:bookmarkEnd w:id="66"/>
      <w:bookmarkEnd w:id="67"/>
    </w:p>
    <w:p>
      <w:pPr>
        <w:pStyle w:val="105"/>
        <w:spacing w:before="156" w:after="156"/>
      </w:pPr>
      <w:bookmarkStart w:id="68" w:name="_Toc196816878"/>
      <w:bookmarkStart w:id="69" w:name="_Toc196817552"/>
      <w:r>
        <w:rPr>
          <w:rFonts w:hint="eastAsia"/>
        </w:rPr>
        <w:t>输精前的准备</w:t>
      </w:r>
      <w:bookmarkEnd w:id="68"/>
      <w:bookmarkEnd w:id="69"/>
    </w:p>
    <w:p>
      <w:pPr>
        <w:pStyle w:val="65"/>
        <w:spacing w:before="156" w:after="156"/>
      </w:pPr>
      <w:r>
        <w:rPr>
          <w:rFonts w:hint="eastAsia"/>
        </w:rPr>
        <w:t>器械准备</w:t>
      </w:r>
    </w:p>
    <w:p>
      <w:pPr>
        <w:pStyle w:val="56"/>
        <w:ind w:firstLine="420"/>
        <w:rPr>
          <w:rFonts w:hint="default" w:ascii="Times New Roman" w:hAnsi="Times New Roman" w:cs="Times New Roman"/>
        </w:rPr>
      </w:pPr>
      <w:r>
        <w:rPr>
          <w:rFonts w:hint="eastAsia"/>
        </w:rPr>
        <w:t>人</w:t>
      </w:r>
      <w:r>
        <w:rPr>
          <w:rFonts w:hint="default" w:ascii="Times New Roman" w:hAnsi="Times New Roman" w:cs="Times New Roman"/>
        </w:rPr>
        <w:t>工授精器械2套，每套器械包括：输精枪、阴道开窒器（阴道内窥镜）、一次性输精枪套管等。</w:t>
      </w:r>
    </w:p>
    <w:p>
      <w:pPr>
        <w:pStyle w:val="65"/>
        <w:spacing w:before="156" w:after="156"/>
      </w:pPr>
      <w:r>
        <w:rPr>
          <w:rFonts w:hint="eastAsia"/>
        </w:rPr>
        <w:t>试剂准备</w:t>
      </w:r>
    </w:p>
    <w:p>
      <w:pPr>
        <w:pStyle w:val="56"/>
        <w:ind w:firstLine="420"/>
        <w:rPr>
          <w:rFonts w:hint="default" w:ascii="Times New Roman" w:hAnsi="Times New Roman" w:cs="Times New Roman"/>
        </w:rPr>
      </w:pPr>
      <w:r>
        <w:rPr>
          <w:rFonts w:hint="default" w:ascii="Times New Roman" w:hAnsi="Times New Roman" w:cs="Times New Roman"/>
        </w:rPr>
        <w:t>0.9%氯化钠溶液、75%的酒精、络合碘、药棉，0.1%的高镒酸钾溶液或0.1 %新洁尔灭溶液等。</w:t>
      </w:r>
    </w:p>
    <w:p>
      <w:pPr>
        <w:pStyle w:val="65"/>
        <w:spacing w:before="156" w:after="156"/>
      </w:pPr>
      <w:r>
        <w:rPr>
          <w:rFonts w:hint="eastAsia"/>
        </w:rPr>
        <w:t>器械消毒</w:t>
      </w:r>
    </w:p>
    <w:p>
      <w:pPr>
        <w:pStyle w:val="56"/>
        <w:ind w:firstLine="420"/>
        <w:rPr>
          <w:rFonts w:hint="default" w:ascii="Times New Roman" w:hAnsi="Times New Roman" w:cs="Times New Roman"/>
        </w:rPr>
      </w:pPr>
      <w:r>
        <w:rPr>
          <w:rFonts w:hint="default" w:ascii="Times New Roman" w:hAnsi="Times New Roman" w:cs="Times New Roman"/>
        </w:rPr>
        <w:t>输精器械使用前应使用75%的酒精或0.1 %新洁尔灭溶液浸泡消毒，使用前用生理盐水反复冲洗干净，使用后用0.1%的高镒酸钾溶液或0.1 %新洁尔灭溶液冲洗干净。</w:t>
      </w:r>
    </w:p>
    <w:p>
      <w:pPr>
        <w:pStyle w:val="65"/>
        <w:spacing w:before="156" w:after="156"/>
      </w:pPr>
      <w:r>
        <w:rPr>
          <w:rFonts w:hint="eastAsia"/>
        </w:rPr>
        <w:t>精液准备</w:t>
      </w:r>
    </w:p>
    <w:p>
      <w:pPr>
        <w:pStyle w:val="94"/>
        <w:spacing w:before="156" w:after="156"/>
      </w:pPr>
      <w:r>
        <w:rPr>
          <w:rFonts w:hint="eastAsia"/>
        </w:rPr>
        <w:t>精液采集</w:t>
      </w:r>
    </w:p>
    <w:p>
      <w:pPr>
        <w:pStyle w:val="56"/>
        <w:ind w:firstLine="420"/>
      </w:pPr>
      <w:r>
        <w:rPr>
          <w:rFonts w:hint="default" w:ascii="Times New Roman" w:hAnsi="Times New Roman" w:cs="Times New Roman"/>
        </w:rPr>
        <w:t>应按选配计划采集种公鹿精液，采精种公鹿应健康，无人畜共患传染病，精液现采现用，险精采出后应在1h内完成输精</w:t>
      </w:r>
      <w:r>
        <w:rPr>
          <w:rFonts w:hint="eastAsia"/>
        </w:rPr>
        <w:t>。</w:t>
      </w:r>
    </w:p>
    <w:p>
      <w:pPr>
        <w:pStyle w:val="94"/>
        <w:spacing w:before="156" w:after="156"/>
      </w:pPr>
      <w:r>
        <w:rPr>
          <w:rFonts w:hint="eastAsia"/>
        </w:rPr>
        <w:t>冻精解冻</w:t>
      </w:r>
    </w:p>
    <w:p>
      <w:pPr>
        <w:pStyle w:val="56"/>
        <w:ind w:firstLine="420"/>
      </w:pPr>
      <w:r>
        <w:rPr>
          <w:rFonts w:hint="eastAsia"/>
        </w:rPr>
        <w:t>解冻方法按</w:t>
      </w:r>
      <w:r>
        <w:rPr>
          <w:rFonts w:hint="default" w:ascii="Times New Roman" w:hAnsi="Times New Roman" w:cs="Times New Roman"/>
        </w:rPr>
        <w:t>TCAAA071</w:t>
      </w:r>
      <w:r>
        <w:rPr>
          <w:rFonts w:hint="eastAsia"/>
        </w:rPr>
        <w:t>的规定执行。取出冷冻精液时，提筒不应超出液氮罐的颈口，操作时间不应超过5s。细管冷冻精液解冻每</w:t>
      </w:r>
      <w:r>
        <w:rPr>
          <w:rFonts w:hint="default" w:ascii="Times New Roman" w:hAnsi="Times New Roman" w:cs="Times New Roman"/>
        </w:rPr>
        <w:t>次1支～2支</w:t>
      </w:r>
      <w:r>
        <w:rPr>
          <w:rFonts w:hint="eastAsia"/>
        </w:rPr>
        <w:t>，不应多支一起解冻，连续解冻时需检查水温。解冻温度的范围</w:t>
      </w:r>
      <w:r>
        <w:rPr>
          <w:rFonts w:hint="default" w:ascii="Times New Roman" w:hAnsi="Times New Roman" w:cs="Times New Roman"/>
        </w:rPr>
        <w:t>为38℃～42 ℃。解冻好的冷冻精液应避免二次污染和阳光直射。解冻好的冷冻精液，在25℃～30℃温度下，30 min内使用完。</w:t>
      </w:r>
    </w:p>
    <w:p>
      <w:pPr>
        <w:pStyle w:val="94"/>
        <w:spacing w:before="156" w:after="156"/>
      </w:pPr>
      <w:r>
        <w:rPr>
          <w:rFonts w:hint="eastAsia"/>
        </w:rPr>
        <w:t>精液品质检查</w:t>
      </w:r>
    </w:p>
    <w:p>
      <w:pPr>
        <w:pStyle w:val="56"/>
        <w:ind w:firstLine="420"/>
      </w:pPr>
      <w:r>
        <w:rPr>
          <w:rFonts w:hint="eastAsia"/>
        </w:rPr>
        <w:t>输精前应对精液的品质进行抽检，鲜精活力应</w:t>
      </w:r>
      <w:r>
        <w:rPr>
          <w:rFonts w:hint="default" w:ascii="Times New Roman" w:hAnsi="Times New Roman" w:cs="Times New Roman"/>
        </w:rPr>
        <w:t>不低于60%，冻精解冻后精子活率应不低于30%。</w:t>
      </w:r>
    </w:p>
    <w:p>
      <w:pPr>
        <w:pStyle w:val="105"/>
        <w:spacing w:before="156" w:after="156"/>
      </w:pPr>
      <w:bookmarkStart w:id="70" w:name="_Toc196816879"/>
      <w:bookmarkStart w:id="71" w:name="_Toc196817553"/>
      <w:r>
        <w:rPr>
          <w:rFonts w:hint="eastAsia"/>
        </w:rPr>
        <w:t>输精</w:t>
      </w:r>
      <w:bookmarkEnd w:id="70"/>
      <w:bookmarkEnd w:id="71"/>
    </w:p>
    <w:p>
      <w:pPr>
        <w:pStyle w:val="65"/>
        <w:spacing w:before="156" w:after="156"/>
      </w:pPr>
      <w:r>
        <w:rPr>
          <w:rFonts w:hint="eastAsia"/>
        </w:rPr>
        <w:t>输精时间与输精次数</w:t>
      </w:r>
    </w:p>
    <w:p>
      <w:pPr>
        <w:pStyle w:val="56"/>
        <w:ind w:firstLine="420"/>
      </w:pPr>
      <w:r>
        <w:rPr>
          <w:rFonts w:hint="eastAsia"/>
        </w:rPr>
        <w:t>宜在撤栓后</w:t>
      </w:r>
      <w:r>
        <w:rPr>
          <w:rFonts w:hint="default" w:ascii="Times New Roman" w:hAnsi="Times New Roman" w:cs="Times New Roman"/>
        </w:rPr>
        <w:t>的第50h</w:t>
      </w:r>
      <w:r>
        <w:rPr>
          <w:rFonts w:hint="eastAsia" w:ascii="Times New Roman" w:cs="Times New Roman"/>
          <w:lang w:val="en-US" w:eastAsia="zh-CN"/>
        </w:rPr>
        <w:t>~</w:t>
      </w:r>
      <w:r>
        <w:rPr>
          <w:rFonts w:hint="default" w:ascii="Times New Roman" w:hAnsi="Times New Roman" w:cs="Times New Roman"/>
        </w:rPr>
        <w:t>60h完成人工输精一次。输精后每只鹿应注射12.5</w:t>
      </w:r>
      <w:r>
        <w:rPr>
          <w:rFonts w:hint="default" w:ascii="Times New Roman" w:hAnsi="Times New Roman" w:eastAsia="微软雅黑" w:cs="Times New Roman"/>
        </w:rPr>
        <w:t>μ</w:t>
      </w:r>
      <w:r>
        <w:rPr>
          <w:rFonts w:hint="default" w:ascii="Times New Roman" w:hAnsi="Times New Roman" w:eastAsia="微软雅黑" w:cs="Times New Roman"/>
          <w:lang w:val="en-US" w:eastAsia="zh-CN"/>
        </w:rPr>
        <w:t>g</w:t>
      </w:r>
      <w:r>
        <w:rPr>
          <w:rFonts w:hint="default" w:ascii="Times New Roman" w:hAnsi="Times New Roman" w:cs="Times New Roman"/>
        </w:rPr>
        <w:t>促黄体素释放激素A3（LHRH-A3）。第一次间隔 6h～8h再次输精</w:t>
      </w:r>
      <w:r>
        <w:rPr>
          <w:rFonts w:hint="eastAsia"/>
        </w:rPr>
        <w:t>。</w:t>
      </w:r>
    </w:p>
    <w:p>
      <w:pPr>
        <w:pStyle w:val="65"/>
        <w:spacing w:before="156" w:after="156"/>
      </w:pPr>
      <w:r>
        <w:rPr>
          <w:rFonts w:hint="eastAsia"/>
        </w:rPr>
        <w:t>输精部位</w:t>
      </w:r>
    </w:p>
    <w:p>
      <w:pPr>
        <w:pStyle w:val="56"/>
        <w:ind w:firstLine="420"/>
      </w:pPr>
      <w:r>
        <w:rPr>
          <w:rFonts w:hint="eastAsia"/>
        </w:rPr>
        <w:t>用0.1%新洁尔灭冲洗外阴，然后用生理盐水冲洗，纸巾擦干。将开膣器缓慢插入阴道，找到子宫颈口，将精液缓慢注入子宫颈口内0.5-1cm，输精后取出输精器，轻拍母鹿后躯部，完成输精。每次输精剂量为 0.2ml。输精枪在插入阴道时避免枪头接触外阴污物，可由助手分开阴唇再将枪头插入阴道，枪头被污染应重新更换外套。输精完毕，应检查细管内是否有精液残留和回流，若有则应另取精液重新输配。</w:t>
      </w:r>
    </w:p>
    <w:p>
      <w:pPr>
        <w:pStyle w:val="105"/>
        <w:spacing w:before="156" w:after="156"/>
      </w:pPr>
      <w:bookmarkStart w:id="72" w:name="_Toc196816880"/>
      <w:bookmarkStart w:id="73" w:name="_Toc196817554"/>
      <w:r>
        <w:rPr>
          <w:rFonts w:hint="eastAsia"/>
        </w:rPr>
        <w:t>输精后补配</w:t>
      </w:r>
      <w:bookmarkEnd w:id="72"/>
      <w:bookmarkEnd w:id="73"/>
    </w:p>
    <w:p>
      <w:pPr>
        <w:pStyle w:val="56"/>
        <w:ind w:firstLine="420"/>
      </w:pPr>
      <w:r>
        <w:rPr>
          <w:rFonts w:hint="eastAsia"/>
        </w:rPr>
        <w:t>输精 后7d~13d，应每圈放入一只种公鹿对返情母鹿进行补配。</w:t>
      </w:r>
    </w:p>
    <w:p>
      <w:pPr>
        <w:pStyle w:val="104"/>
        <w:spacing w:before="312" w:after="312"/>
      </w:pPr>
      <w:bookmarkStart w:id="74" w:name="_Toc196816881"/>
      <w:bookmarkStart w:id="75" w:name="_Toc196817555"/>
      <w:r>
        <w:rPr>
          <w:rFonts w:hint="eastAsia"/>
        </w:rPr>
        <w:t>档案管理</w:t>
      </w:r>
      <w:bookmarkEnd w:id="74"/>
      <w:bookmarkEnd w:id="75"/>
    </w:p>
    <w:p>
      <w:pPr>
        <w:pStyle w:val="56"/>
        <w:ind w:firstLine="420"/>
        <w:rPr>
          <w:rFonts w:hint="eastAsia"/>
        </w:rPr>
      </w:pPr>
      <w:r>
        <w:rPr>
          <w:rFonts w:hint="eastAsia"/>
        </w:rPr>
        <w:t>应做好记录，建立输精母鹿配种、产仔档案，见附录A。</w:t>
      </w:r>
    </w:p>
    <w:p>
      <w:pPr>
        <w:pStyle w:val="56"/>
        <w:ind w:firstLine="420"/>
        <w:rPr>
          <w:rFonts w:hint="eastAsia"/>
        </w:rPr>
      </w:pPr>
    </w:p>
    <w:p>
      <w:pPr>
        <w:pStyle w:val="199"/>
        <w:rPr>
          <w:vanish w:val="0"/>
        </w:rPr>
        <w:sectPr>
          <w:headerReference r:id="rId12" w:type="default"/>
          <w:footerReference r:id="rId14" w:type="default"/>
          <w:headerReference r:id="rId13" w:type="even"/>
          <w:footerReference r:id="rId15" w:type="even"/>
          <w:pgSz w:w="11906" w:h="16838"/>
          <w:pgMar w:top="2410" w:right="1134" w:bottom="1134" w:left="1134" w:header="1418" w:footer="1134" w:gutter="284"/>
          <w:pgNumType w:start="1"/>
          <w:cols w:space="425" w:num="1"/>
          <w:formProt w:val="0"/>
          <w:docGrid w:type="lines" w:linePitch="312" w:charSpace="0"/>
        </w:sectPr>
      </w:pPr>
    </w:p>
    <w:bookmarkEnd w:id="25"/>
    <w:p>
      <w:pPr>
        <w:pStyle w:val="198"/>
        <w:rPr>
          <w:rFonts w:hint="eastAsia"/>
          <w:vanish w:val="0"/>
        </w:rPr>
      </w:pPr>
      <w:bookmarkStart w:id="76" w:name="BookMark5"/>
    </w:p>
    <w:p>
      <w:pPr>
        <w:pStyle w:val="199"/>
        <w:rPr>
          <w:rFonts w:hint="eastAsia"/>
          <w:vanish w:val="0"/>
        </w:rPr>
      </w:pPr>
    </w:p>
    <w:p>
      <w:pPr>
        <w:pStyle w:val="76"/>
        <w:spacing w:before="78" w:after="156"/>
      </w:pPr>
      <w:r>
        <w:br w:type="textWrapping"/>
      </w:r>
      <w:bookmarkStart w:id="77" w:name="_Toc196817556"/>
      <w:r>
        <w:rPr>
          <w:rFonts w:hint="eastAsia"/>
        </w:rPr>
        <w:t>（资料性）</w:t>
      </w:r>
      <w:r>
        <w:br w:type="textWrapping"/>
      </w:r>
      <w:r>
        <w:rPr>
          <w:rFonts w:hint="eastAsia"/>
        </w:rPr>
        <w:t>同期发情定时输精记录表</w:t>
      </w:r>
      <w:bookmarkEnd w:id="77"/>
    </w:p>
    <w:p>
      <w:pPr>
        <w:pStyle w:val="76"/>
        <w:numPr>
          <w:ilvl w:val="0"/>
          <w:numId w:val="0"/>
        </w:numPr>
        <w:spacing w:before="78" w:after="156"/>
        <w:ind w:firstLine="3150" w:firstLineChars="1500"/>
        <w:jc w:val="both"/>
      </w:pPr>
      <w:bookmarkStart w:id="78" w:name="_Toc196817557"/>
      <w:r>
        <w:rPr>
          <w:rFonts w:hint="eastAsia" w:hAnsi="宋体" w:cs="黑体"/>
          <w:snapToGrid w:val="0"/>
          <w:color w:val="000000"/>
          <w:szCs w:val="21"/>
          <w:lang w:bidi="ar"/>
        </w:rPr>
        <w:t>表A.1 同期发情定时输精记录表</w:t>
      </w:r>
      <w:bookmarkEnd w:id="78"/>
    </w:p>
    <w:tbl>
      <w:tblPr>
        <w:tblStyle w:val="33"/>
        <w:tblW w:w="9566"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8"/>
        <w:gridCol w:w="466"/>
        <w:gridCol w:w="466"/>
        <w:gridCol w:w="468"/>
        <w:gridCol w:w="466"/>
        <w:gridCol w:w="466"/>
        <w:gridCol w:w="468"/>
        <w:gridCol w:w="466"/>
        <w:gridCol w:w="466"/>
        <w:gridCol w:w="466"/>
        <w:gridCol w:w="470"/>
        <w:gridCol w:w="464"/>
        <w:gridCol w:w="464"/>
        <w:gridCol w:w="464"/>
        <w:gridCol w:w="469"/>
        <w:gridCol w:w="464"/>
        <w:gridCol w:w="464"/>
        <w:gridCol w:w="464"/>
        <w:gridCol w:w="469"/>
        <w:gridCol w:w="728"/>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vMerge w:val="restart"/>
            <w:tcBorders>
              <w:tl2br w:val="nil"/>
              <w:tr2bl w:val="nil"/>
            </w:tcBorders>
            <w:vAlign w:val="center"/>
          </w:tcPr>
          <w:p>
            <w:pPr>
              <w:pStyle w:val="13"/>
              <w:widowControl/>
              <w:wordWrap w:val="0"/>
              <w:topLinePunct/>
              <w:spacing w:before="86"/>
              <w:jc w:val="center"/>
              <w:rPr>
                <w:rFonts w:hint="eastAsia"/>
                <w:spacing w:val="-12"/>
              </w:rPr>
            </w:pPr>
            <w:r>
              <w:rPr>
                <w:rFonts w:hint="eastAsia"/>
                <w:spacing w:val="-12"/>
              </w:rPr>
              <w:t>序</w:t>
            </w:r>
          </w:p>
          <w:p>
            <w:pPr>
              <w:pStyle w:val="13"/>
              <w:widowControl/>
              <w:wordWrap w:val="0"/>
              <w:topLinePunct/>
              <w:spacing w:before="86"/>
              <w:jc w:val="center"/>
              <w:rPr>
                <w:rFonts w:hint="eastAsia"/>
                <w:spacing w:val="-12"/>
              </w:rPr>
            </w:pPr>
          </w:p>
          <w:p>
            <w:pPr>
              <w:pStyle w:val="13"/>
              <w:widowControl/>
              <w:wordWrap w:val="0"/>
              <w:topLinePunct/>
              <w:spacing w:before="86"/>
              <w:jc w:val="center"/>
              <w:rPr>
                <w:rFonts w:hint="eastAsia"/>
                <w:spacing w:val="-12"/>
              </w:rPr>
            </w:pPr>
            <w:r>
              <w:rPr>
                <w:rFonts w:hint="eastAsia"/>
                <w:spacing w:val="-12"/>
              </w:rPr>
              <w:t>号</w:t>
            </w:r>
          </w:p>
        </w:tc>
        <w:tc>
          <w:tcPr>
            <w:tcW w:w="1400" w:type="dxa"/>
            <w:gridSpan w:val="3"/>
            <w:vMerge w:val="restart"/>
            <w:tcBorders>
              <w:tl2br w:val="nil"/>
              <w:tr2bl w:val="nil"/>
            </w:tcBorders>
            <w:vAlign w:val="center"/>
          </w:tcPr>
          <w:p>
            <w:pPr>
              <w:pStyle w:val="13"/>
              <w:widowControl/>
              <w:wordWrap w:val="0"/>
              <w:topLinePunct/>
              <w:spacing w:before="86"/>
              <w:jc w:val="center"/>
              <w:rPr>
                <w:rFonts w:hint="eastAsia"/>
                <w:spacing w:val="-12"/>
              </w:rPr>
            </w:pPr>
            <w:r>
              <w:rPr>
                <w:rFonts w:hint="eastAsia"/>
                <w:spacing w:val="-12"/>
              </w:rPr>
              <w:t>母鹿信息</w:t>
            </w:r>
          </w:p>
        </w:tc>
        <w:tc>
          <w:tcPr>
            <w:tcW w:w="1400" w:type="dxa"/>
            <w:gridSpan w:val="3"/>
            <w:vMerge w:val="restart"/>
            <w:tcBorders>
              <w:tl2br w:val="nil"/>
              <w:tr2bl w:val="nil"/>
            </w:tcBorders>
            <w:vAlign w:val="center"/>
          </w:tcPr>
          <w:p>
            <w:pPr>
              <w:pStyle w:val="13"/>
              <w:widowControl/>
              <w:wordWrap w:val="0"/>
              <w:topLinePunct/>
              <w:spacing w:before="86"/>
              <w:jc w:val="center"/>
              <w:rPr>
                <w:rFonts w:hint="eastAsia"/>
                <w:spacing w:val="-12"/>
              </w:rPr>
            </w:pPr>
            <w:r>
              <w:rPr>
                <w:rFonts w:hint="eastAsia"/>
                <w:spacing w:val="-12"/>
              </w:rPr>
              <w:t>同期处理</w:t>
            </w:r>
          </w:p>
        </w:tc>
        <w:tc>
          <w:tcPr>
            <w:tcW w:w="3729" w:type="dxa"/>
            <w:gridSpan w:val="8"/>
            <w:tcBorders>
              <w:tl2br w:val="nil"/>
              <w:tr2bl w:val="nil"/>
            </w:tcBorders>
            <w:vAlign w:val="center"/>
          </w:tcPr>
          <w:p>
            <w:pPr>
              <w:pStyle w:val="13"/>
              <w:widowControl/>
              <w:wordWrap w:val="0"/>
              <w:topLinePunct/>
              <w:spacing w:before="86"/>
              <w:jc w:val="center"/>
              <w:rPr>
                <w:rFonts w:hint="eastAsia"/>
                <w:spacing w:val="-12"/>
              </w:rPr>
            </w:pPr>
            <w:r>
              <w:rPr>
                <w:rFonts w:hint="eastAsia"/>
                <w:spacing w:val="-12"/>
              </w:rPr>
              <w:t>输精情况</w:t>
            </w:r>
          </w:p>
        </w:tc>
        <w:tc>
          <w:tcPr>
            <w:tcW w:w="1861" w:type="dxa"/>
            <w:gridSpan w:val="4"/>
            <w:vMerge w:val="restart"/>
            <w:tcBorders>
              <w:tl2br w:val="nil"/>
              <w:tr2bl w:val="nil"/>
            </w:tcBorders>
            <w:vAlign w:val="center"/>
          </w:tcPr>
          <w:p>
            <w:pPr>
              <w:pStyle w:val="13"/>
              <w:widowControl/>
              <w:tabs>
                <w:tab w:val="left" w:pos="262"/>
              </w:tabs>
              <w:wordWrap w:val="0"/>
              <w:topLinePunct/>
              <w:spacing w:before="86"/>
              <w:jc w:val="center"/>
              <w:rPr>
                <w:rFonts w:hint="eastAsia"/>
                <w:spacing w:val="-12"/>
              </w:rPr>
            </w:pPr>
            <w:r>
              <w:rPr>
                <w:rFonts w:hint="eastAsia"/>
                <w:spacing w:val="-12"/>
              </w:rPr>
              <w:t>产仔情况</w:t>
            </w:r>
          </w:p>
        </w:tc>
        <w:tc>
          <w:tcPr>
            <w:tcW w:w="728" w:type="dxa"/>
            <w:vMerge w:val="restart"/>
            <w:tcBorders>
              <w:tl2br w:val="nil"/>
              <w:tr2bl w:val="nil"/>
            </w:tcBorders>
            <w:vAlign w:val="center"/>
          </w:tcPr>
          <w:p>
            <w:pPr>
              <w:pStyle w:val="13"/>
              <w:widowControl/>
              <w:wordWrap w:val="0"/>
              <w:topLinePunct/>
              <w:spacing w:before="86"/>
              <w:jc w:val="center"/>
              <w:rPr>
                <w:rFonts w:hint="eastAsia"/>
                <w:spacing w:val="-12"/>
              </w:rPr>
            </w:pPr>
            <w:r>
              <w:rPr>
                <w:rFonts w:hint="eastAsia"/>
                <w:spacing w:val="-12"/>
              </w:rPr>
              <w:t>备注</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vMerge w:val="continue"/>
            <w:tcBorders>
              <w:tl2br w:val="nil"/>
              <w:tr2bl w:val="nil"/>
            </w:tcBorders>
          </w:tcPr>
          <w:p>
            <w:pPr>
              <w:pStyle w:val="13"/>
              <w:widowControl/>
              <w:wordWrap w:val="0"/>
              <w:topLinePunct/>
              <w:spacing w:before="86"/>
              <w:jc w:val="center"/>
              <w:rPr>
                <w:rFonts w:hint="eastAsia"/>
                <w:spacing w:val="-12"/>
              </w:rPr>
            </w:pPr>
          </w:p>
        </w:tc>
        <w:tc>
          <w:tcPr>
            <w:tcW w:w="1400" w:type="dxa"/>
            <w:gridSpan w:val="3"/>
            <w:vMerge w:val="continue"/>
            <w:tcBorders>
              <w:tl2br w:val="nil"/>
              <w:tr2bl w:val="nil"/>
            </w:tcBorders>
          </w:tcPr>
          <w:p>
            <w:pPr>
              <w:pStyle w:val="13"/>
              <w:widowControl/>
              <w:wordWrap w:val="0"/>
              <w:topLinePunct/>
              <w:spacing w:before="86"/>
              <w:jc w:val="center"/>
              <w:rPr>
                <w:rFonts w:hint="eastAsia"/>
                <w:spacing w:val="-12"/>
              </w:rPr>
            </w:pPr>
          </w:p>
        </w:tc>
        <w:tc>
          <w:tcPr>
            <w:tcW w:w="1400" w:type="dxa"/>
            <w:gridSpan w:val="3"/>
            <w:vMerge w:val="continue"/>
            <w:tcBorders>
              <w:tl2br w:val="nil"/>
              <w:tr2bl w:val="nil"/>
            </w:tcBorders>
          </w:tcPr>
          <w:p>
            <w:pPr>
              <w:pStyle w:val="13"/>
              <w:widowControl/>
              <w:wordWrap w:val="0"/>
              <w:topLinePunct/>
              <w:spacing w:before="86"/>
              <w:jc w:val="center"/>
              <w:rPr>
                <w:rFonts w:hint="eastAsia"/>
                <w:spacing w:val="-12"/>
              </w:rPr>
            </w:pPr>
          </w:p>
        </w:tc>
        <w:tc>
          <w:tcPr>
            <w:tcW w:w="1868" w:type="dxa"/>
            <w:gridSpan w:val="4"/>
            <w:tcBorders>
              <w:tl2br w:val="nil"/>
              <w:tr2bl w:val="nil"/>
            </w:tcBorders>
          </w:tcPr>
          <w:p>
            <w:pPr>
              <w:pStyle w:val="13"/>
              <w:widowControl/>
              <w:wordWrap w:val="0"/>
              <w:topLinePunct/>
              <w:spacing w:before="86"/>
              <w:jc w:val="center"/>
              <w:rPr>
                <w:rFonts w:hint="eastAsia"/>
                <w:spacing w:val="-12"/>
              </w:rPr>
            </w:pPr>
            <w:r>
              <w:rPr>
                <w:rFonts w:hint="eastAsia"/>
                <w:spacing w:val="-12"/>
              </w:rPr>
              <w:t>第一次</w:t>
            </w:r>
          </w:p>
        </w:tc>
        <w:tc>
          <w:tcPr>
            <w:tcW w:w="1861" w:type="dxa"/>
            <w:gridSpan w:val="4"/>
            <w:tcBorders>
              <w:tl2br w:val="nil"/>
              <w:tr2bl w:val="nil"/>
            </w:tcBorders>
          </w:tcPr>
          <w:p>
            <w:pPr>
              <w:pStyle w:val="13"/>
              <w:widowControl/>
              <w:wordWrap w:val="0"/>
              <w:topLinePunct/>
              <w:spacing w:before="86"/>
              <w:jc w:val="center"/>
              <w:rPr>
                <w:rFonts w:hint="eastAsia"/>
                <w:spacing w:val="-12"/>
              </w:rPr>
            </w:pPr>
            <w:r>
              <w:rPr>
                <w:rFonts w:hint="eastAsia"/>
                <w:spacing w:val="-12"/>
              </w:rPr>
              <w:t>第二次</w:t>
            </w:r>
          </w:p>
        </w:tc>
        <w:tc>
          <w:tcPr>
            <w:tcW w:w="1861" w:type="dxa"/>
            <w:gridSpan w:val="4"/>
            <w:vMerge w:val="continue"/>
            <w:tcBorders>
              <w:tl2br w:val="nil"/>
              <w:tr2bl w:val="nil"/>
            </w:tcBorders>
          </w:tcPr>
          <w:p>
            <w:pPr>
              <w:pStyle w:val="13"/>
              <w:widowControl/>
              <w:tabs>
                <w:tab w:val="left" w:pos="262"/>
              </w:tabs>
              <w:wordWrap w:val="0"/>
              <w:topLinePunct/>
              <w:spacing w:before="86"/>
              <w:rPr>
                <w:rFonts w:hint="eastAsia"/>
                <w:spacing w:val="-12"/>
              </w:rPr>
            </w:pPr>
          </w:p>
        </w:tc>
        <w:tc>
          <w:tcPr>
            <w:tcW w:w="728" w:type="dxa"/>
            <w:vMerge w:val="continue"/>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vMerge w:val="continue"/>
            <w:tcBorders>
              <w:bottom w:val="single" w:color="auto" w:sz="4" w:space="0"/>
              <w:tl2br w:val="nil"/>
              <w:tr2bl w:val="nil"/>
            </w:tcBorders>
          </w:tcPr>
          <w:p>
            <w:pPr>
              <w:pStyle w:val="13"/>
              <w:widowControl/>
              <w:wordWrap w:val="0"/>
              <w:topLinePunct/>
              <w:spacing w:before="86"/>
              <w:jc w:val="center"/>
              <w:rPr>
                <w:rFonts w:hint="eastAsia"/>
                <w:spacing w:val="-12"/>
              </w:rPr>
            </w:pPr>
          </w:p>
        </w:tc>
        <w:tc>
          <w:tcPr>
            <w:tcW w:w="466"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种母鹿号</w:t>
            </w:r>
          </w:p>
        </w:tc>
        <w:tc>
          <w:tcPr>
            <w:tcW w:w="466"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年龄</w:t>
            </w:r>
          </w:p>
        </w:tc>
        <w:tc>
          <w:tcPr>
            <w:tcW w:w="468"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胎次</w:t>
            </w:r>
          </w:p>
        </w:tc>
        <w:tc>
          <w:tcPr>
            <w:tcW w:w="466"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埋栓时间</w:t>
            </w:r>
          </w:p>
        </w:tc>
        <w:tc>
          <w:tcPr>
            <w:tcW w:w="466"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撤栓时间</w:t>
            </w:r>
          </w:p>
        </w:tc>
        <w:tc>
          <w:tcPr>
            <w:tcW w:w="468"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PMSG剂量</w:t>
            </w:r>
          </w:p>
        </w:tc>
        <w:tc>
          <w:tcPr>
            <w:tcW w:w="466"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输精时间</w:t>
            </w:r>
          </w:p>
        </w:tc>
        <w:tc>
          <w:tcPr>
            <w:tcW w:w="466"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种公鹿号</w:t>
            </w:r>
          </w:p>
        </w:tc>
        <w:tc>
          <w:tcPr>
            <w:tcW w:w="466"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输精剂量</w:t>
            </w:r>
          </w:p>
        </w:tc>
        <w:tc>
          <w:tcPr>
            <w:tcW w:w="470"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输精部位</w:t>
            </w:r>
          </w:p>
        </w:tc>
        <w:tc>
          <w:tcPr>
            <w:tcW w:w="464"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输精时间</w:t>
            </w:r>
          </w:p>
        </w:tc>
        <w:tc>
          <w:tcPr>
            <w:tcW w:w="464"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种公鹿号</w:t>
            </w:r>
          </w:p>
        </w:tc>
        <w:tc>
          <w:tcPr>
            <w:tcW w:w="464"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输精剂量</w:t>
            </w:r>
          </w:p>
        </w:tc>
        <w:tc>
          <w:tcPr>
            <w:tcW w:w="469"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输精部位</w:t>
            </w:r>
          </w:p>
        </w:tc>
        <w:tc>
          <w:tcPr>
            <w:tcW w:w="464"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预产日期</w:t>
            </w:r>
          </w:p>
        </w:tc>
        <w:tc>
          <w:tcPr>
            <w:tcW w:w="464"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产仔时间</w:t>
            </w:r>
          </w:p>
        </w:tc>
        <w:tc>
          <w:tcPr>
            <w:tcW w:w="464"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产仔数量</w:t>
            </w:r>
          </w:p>
        </w:tc>
        <w:tc>
          <w:tcPr>
            <w:tcW w:w="469" w:type="dxa"/>
            <w:tcBorders>
              <w:bottom w:val="single" w:color="auto" w:sz="4" w:space="0"/>
              <w:tl2br w:val="nil"/>
              <w:tr2bl w:val="nil"/>
            </w:tcBorders>
            <w:vAlign w:val="center"/>
          </w:tcPr>
          <w:p>
            <w:pPr>
              <w:pStyle w:val="13"/>
              <w:widowControl/>
              <w:wordWrap w:val="0"/>
              <w:topLinePunct/>
              <w:spacing w:before="86"/>
              <w:jc w:val="center"/>
              <w:rPr>
                <w:rFonts w:hint="eastAsia"/>
                <w:spacing w:val="-12"/>
              </w:rPr>
            </w:pPr>
            <w:r>
              <w:rPr>
                <w:rFonts w:hint="eastAsia"/>
                <w:spacing w:val="-12"/>
              </w:rPr>
              <w:t>性别</w:t>
            </w:r>
          </w:p>
          <w:p>
            <w:pPr>
              <w:pStyle w:val="13"/>
              <w:widowControl/>
              <w:wordWrap w:val="0"/>
              <w:topLinePunct/>
              <w:spacing w:before="86"/>
              <w:jc w:val="center"/>
              <w:rPr>
                <w:rFonts w:hint="eastAsia"/>
                <w:spacing w:val="-12"/>
              </w:rPr>
            </w:pPr>
            <w:r>
              <w:rPr>
                <w:rFonts w:hint="eastAsia"/>
                <w:spacing w:val="-12"/>
              </w:rPr>
              <w:t>状态</w:t>
            </w:r>
          </w:p>
        </w:tc>
        <w:tc>
          <w:tcPr>
            <w:tcW w:w="728" w:type="dxa"/>
            <w:vMerge w:val="continue"/>
            <w:tcBorders>
              <w:bottom w:val="single" w:color="auto" w:sz="4" w:space="0"/>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op w:val="single" w:color="auto" w:sz="4" w:space="0"/>
            </w:tcBorders>
          </w:tcPr>
          <w:p>
            <w:pPr>
              <w:pStyle w:val="13"/>
              <w:widowControl/>
              <w:wordWrap w:val="0"/>
              <w:topLinePunct/>
              <w:spacing w:before="86"/>
              <w:jc w:val="center"/>
              <w:rPr>
                <w:rFonts w:hint="eastAsia"/>
                <w:spacing w:val="-12"/>
              </w:rPr>
            </w:pPr>
          </w:p>
        </w:tc>
        <w:tc>
          <w:tcPr>
            <w:tcW w:w="466" w:type="dxa"/>
            <w:tcBorders>
              <w:top w:val="single" w:color="auto" w:sz="4" w:space="0"/>
            </w:tcBorders>
          </w:tcPr>
          <w:p>
            <w:pPr>
              <w:pStyle w:val="13"/>
              <w:widowControl/>
              <w:wordWrap w:val="0"/>
              <w:topLinePunct/>
              <w:spacing w:before="86"/>
              <w:jc w:val="center"/>
              <w:rPr>
                <w:rFonts w:hint="eastAsia"/>
                <w:spacing w:val="-12"/>
              </w:rPr>
            </w:pPr>
          </w:p>
        </w:tc>
        <w:tc>
          <w:tcPr>
            <w:tcW w:w="466" w:type="dxa"/>
            <w:tcBorders>
              <w:top w:val="single" w:color="auto" w:sz="4" w:space="0"/>
            </w:tcBorders>
          </w:tcPr>
          <w:p>
            <w:pPr>
              <w:pStyle w:val="13"/>
              <w:widowControl/>
              <w:wordWrap w:val="0"/>
              <w:topLinePunct/>
              <w:spacing w:before="86"/>
              <w:jc w:val="center"/>
              <w:rPr>
                <w:rFonts w:hint="eastAsia"/>
                <w:spacing w:val="-12"/>
              </w:rPr>
            </w:pPr>
          </w:p>
        </w:tc>
        <w:tc>
          <w:tcPr>
            <w:tcW w:w="468" w:type="dxa"/>
            <w:tcBorders>
              <w:top w:val="single" w:color="auto" w:sz="4" w:space="0"/>
            </w:tcBorders>
          </w:tcPr>
          <w:p>
            <w:pPr>
              <w:pStyle w:val="13"/>
              <w:widowControl/>
              <w:wordWrap w:val="0"/>
              <w:topLinePunct/>
              <w:spacing w:before="86"/>
              <w:jc w:val="center"/>
              <w:rPr>
                <w:rFonts w:hint="eastAsia"/>
                <w:spacing w:val="-12"/>
              </w:rPr>
            </w:pPr>
          </w:p>
        </w:tc>
        <w:tc>
          <w:tcPr>
            <w:tcW w:w="466" w:type="dxa"/>
            <w:tcBorders>
              <w:top w:val="single" w:color="auto" w:sz="4" w:space="0"/>
            </w:tcBorders>
          </w:tcPr>
          <w:p>
            <w:pPr>
              <w:pStyle w:val="13"/>
              <w:widowControl/>
              <w:wordWrap w:val="0"/>
              <w:topLinePunct/>
              <w:spacing w:before="86"/>
              <w:jc w:val="center"/>
              <w:rPr>
                <w:rFonts w:hint="eastAsia"/>
                <w:spacing w:val="-12"/>
              </w:rPr>
            </w:pPr>
          </w:p>
        </w:tc>
        <w:tc>
          <w:tcPr>
            <w:tcW w:w="466" w:type="dxa"/>
            <w:tcBorders>
              <w:top w:val="single" w:color="auto" w:sz="4" w:space="0"/>
            </w:tcBorders>
          </w:tcPr>
          <w:p>
            <w:pPr>
              <w:pStyle w:val="13"/>
              <w:widowControl/>
              <w:wordWrap w:val="0"/>
              <w:topLinePunct/>
              <w:spacing w:before="86"/>
              <w:jc w:val="center"/>
              <w:rPr>
                <w:rFonts w:hint="eastAsia"/>
                <w:spacing w:val="-12"/>
              </w:rPr>
            </w:pPr>
          </w:p>
        </w:tc>
        <w:tc>
          <w:tcPr>
            <w:tcW w:w="468" w:type="dxa"/>
            <w:tcBorders>
              <w:top w:val="single" w:color="auto" w:sz="4" w:space="0"/>
            </w:tcBorders>
          </w:tcPr>
          <w:p>
            <w:pPr>
              <w:pStyle w:val="13"/>
              <w:widowControl/>
              <w:wordWrap w:val="0"/>
              <w:topLinePunct/>
              <w:spacing w:before="86"/>
              <w:jc w:val="center"/>
              <w:rPr>
                <w:rFonts w:hint="eastAsia"/>
                <w:spacing w:val="-12"/>
              </w:rPr>
            </w:pPr>
          </w:p>
        </w:tc>
        <w:tc>
          <w:tcPr>
            <w:tcW w:w="466" w:type="dxa"/>
            <w:tcBorders>
              <w:top w:val="single" w:color="auto" w:sz="4" w:space="0"/>
            </w:tcBorders>
          </w:tcPr>
          <w:p>
            <w:pPr>
              <w:pStyle w:val="13"/>
              <w:widowControl/>
              <w:wordWrap w:val="0"/>
              <w:topLinePunct/>
              <w:spacing w:before="86"/>
              <w:jc w:val="center"/>
              <w:rPr>
                <w:rFonts w:hint="eastAsia"/>
                <w:spacing w:val="-12"/>
              </w:rPr>
            </w:pPr>
          </w:p>
        </w:tc>
        <w:tc>
          <w:tcPr>
            <w:tcW w:w="466" w:type="dxa"/>
            <w:tcBorders>
              <w:top w:val="single" w:color="auto" w:sz="4" w:space="0"/>
            </w:tcBorders>
          </w:tcPr>
          <w:p>
            <w:pPr>
              <w:pStyle w:val="13"/>
              <w:widowControl/>
              <w:wordWrap w:val="0"/>
              <w:topLinePunct/>
              <w:spacing w:before="86"/>
              <w:jc w:val="center"/>
              <w:rPr>
                <w:rFonts w:hint="eastAsia"/>
                <w:spacing w:val="-12"/>
              </w:rPr>
            </w:pPr>
          </w:p>
        </w:tc>
        <w:tc>
          <w:tcPr>
            <w:tcW w:w="466" w:type="dxa"/>
            <w:tcBorders>
              <w:top w:val="single" w:color="auto" w:sz="4" w:space="0"/>
            </w:tcBorders>
          </w:tcPr>
          <w:p>
            <w:pPr>
              <w:pStyle w:val="13"/>
              <w:widowControl/>
              <w:wordWrap w:val="0"/>
              <w:topLinePunct/>
              <w:spacing w:before="86"/>
              <w:jc w:val="center"/>
              <w:rPr>
                <w:rFonts w:hint="eastAsia"/>
                <w:spacing w:val="-12"/>
              </w:rPr>
            </w:pPr>
          </w:p>
        </w:tc>
        <w:tc>
          <w:tcPr>
            <w:tcW w:w="470" w:type="dxa"/>
            <w:tcBorders>
              <w:top w:val="single" w:color="auto" w:sz="4" w:space="0"/>
            </w:tcBorders>
          </w:tcPr>
          <w:p>
            <w:pPr>
              <w:pStyle w:val="13"/>
              <w:widowControl/>
              <w:wordWrap w:val="0"/>
              <w:topLinePunct/>
              <w:spacing w:before="86"/>
              <w:jc w:val="center"/>
              <w:rPr>
                <w:rFonts w:hint="eastAsia"/>
                <w:spacing w:val="-12"/>
              </w:rPr>
            </w:pPr>
          </w:p>
        </w:tc>
        <w:tc>
          <w:tcPr>
            <w:tcW w:w="464" w:type="dxa"/>
            <w:tcBorders>
              <w:top w:val="single" w:color="auto" w:sz="4" w:space="0"/>
            </w:tcBorders>
          </w:tcPr>
          <w:p>
            <w:pPr>
              <w:pStyle w:val="13"/>
              <w:widowControl/>
              <w:wordWrap w:val="0"/>
              <w:topLinePunct/>
              <w:spacing w:before="86"/>
              <w:jc w:val="center"/>
              <w:rPr>
                <w:rFonts w:hint="eastAsia"/>
                <w:spacing w:val="-12"/>
              </w:rPr>
            </w:pPr>
          </w:p>
        </w:tc>
        <w:tc>
          <w:tcPr>
            <w:tcW w:w="464" w:type="dxa"/>
            <w:tcBorders>
              <w:top w:val="single" w:color="auto" w:sz="4" w:space="0"/>
            </w:tcBorders>
          </w:tcPr>
          <w:p>
            <w:pPr>
              <w:pStyle w:val="13"/>
              <w:widowControl/>
              <w:wordWrap w:val="0"/>
              <w:topLinePunct/>
              <w:spacing w:before="86"/>
              <w:jc w:val="center"/>
              <w:rPr>
                <w:rFonts w:hint="eastAsia"/>
                <w:spacing w:val="-12"/>
              </w:rPr>
            </w:pPr>
          </w:p>
        </w:tc>
        <w:tc>
          <w:tcPr>
            <w:tcW w:w="464" w:type="dxa"/>
            <w:tcBorders>
              <w:top w:val="single" w:color="auto" w:sz="4" w:space="0"/>
            </w:tcBorders>
          </w:tcPr>
          <w:p>
            <w:pPr>
              <w:pStyle w:val="13"/>
              <w:widowControl/>
              <w:wordWrap w:val="0"/>
              <w:topLinePunct/>
              <w:spacing w:before="86"/>
              <w:jc w:val="center"/>
              <w:rPr>
                <w:rFonts w:hint="eastAsia"/>
                <w:spacing w:val="-12"/>
              </w:rPr>
            </w:pPr>
          </w:p>
        </w:tc>
        <w:tc>
          <w:tcPr>
            <w:tcW w:w="469" w:type="dxa"/>
            <w:tcBorders>
              <w:top w:val="single" w:color="auto" w:sz="4" w:space="0"/>
            </w:tcBorders>
          </w:tcPr>
          <w:p>
            <w:pPr>
              <w:pStyle w:val="13"/>
              <w:widowControl/>
              <w:wordWrap w:val="0"/>
              <w:topLinePunct/>
              <w:spacing w:before="86"/>
              <w:jc w:val="center"/>
              <w:rPr>
                <w:rFonts w:hint="eastAsia"/>
                <w:spacing w:val="-12"/>
              </w:rPr>
            </w:pPr>
          </w:p>
        </w:tc>
        <w:tc>
          <w:tcPr>
            <w:tcW w:w="464" w:type="dxa"/>
            <w:tcBorders>
              <w:top w:val="single" w:color="auto" w:sz="4" w:space="0"/>
            </w:tcBorders>
          </w:tcPr>
          <w:p>
            <w:pPr>
              <w:pStyle w:val="13"/>
              <w:widowControl/>
              <w:wordWrap w:val="0"/>
              <w:topLinePunct/>
              <w:spacing w:before="86"/>
              <w:jc w:val="center"/>
              <w:rPr>
                <w:rFonts w:hint="eastAsia"/>
                <w:spacing w:val="-12"/>
              </w:rPr>
            </w:pPr>
          </w:p>
        </w:tc>
        <w:tc>
          <w:tcPr>
            <w:tcW w:w="464" w:type="dxa"/>
            <w:tcBorders>
              <w:top w:val="single" w:color="auto" w:sz="4" w:space="0"/>
            </w:tcBorders>
          </w:tcPr>
          <w:p>
            <w:pPr>
              <w:pStyle w:val="13"/>
              <w:widowControl/>
              <w:wordWrap w:val="0"/>
              <w:topLinePunct/>
              <w:spacing w:before="86"/>
              <w:jc w:val="center"/>
              <w:rPr>
                <w:rFonts w:hint="eastAsia"/>
                <w:spacing w:val="-12"/>
              </w:rPr>
            </w:pPr>
          </w:p>
        </w:tc>
        <w:tc>
          <w:tcPr>
            <w:tcW w:w="464" w:type="dxa"/>
            <w:tcBorders>
              <w:top w:val="single" w:color="auto" w:sz="4" w:space="0"/>
            </w:tcBorders>
          </w:tcPr>
          <w:p>
            <w:pPr>
              <w:pStyle w:val="13"/>
              <w:widowControl/>
              <w:wordWrap w:val="0"/>
              <w:topLinePunct/>
              <w:spacing w:before="86"/>
              <w:jc w:val="center"/>
              <w:rPr>
                <w:rFonts w:hint="eastAsia"/>
                <w:spacing w:val="-12"/>
              </w:rPr>
            </w:pPr>
          </w:p>
        </w:tc>
        <w:tc>
          <w:tcPr>
            <w:tcW w:w="469" w:type="dxa"/>
            <w:tcBorders>
              <w:top w:val="single" w:color="auto" w:sz="4" w:space="0"/>
            </w:tcBorders>
          </w:tcPr>
          <w:p>
            <w:pPr>
              <w:pStyle w:val="13"/>
              <w:widowControl/>
              <w:wordWrap w:val="0"/>
              <w:topLinePunct/>
              <w:spacing w:before="86"/>
              <w:jc w:val="center"/>
              <w:rPr>
                <w:rFonts w:hint="eastAsia"/>
                <w:spacing w:val="-12"/>
              </w:rPr>
            </w:pPr>
          </w:p>
        </w:tc>
        <w:tc>
          <w:tcPr>
            <w:tcW w:w="728" w:type="dxa"/>
            <w:tcBorders>
              <w:top w:val="single" w:color="auto" w:sz="4" w:space="0"/>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8"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66" w:type="dxa"/>
            <w:tcBorders>
              <w:tl2br w:val="nil"/>
              <w:tr2bl w:val="nil"/>
            </w:tcBorders>
          </w:tcPr>
          <w:p>
            <w:pPr>
              <w:pStyle w:val="13"/>
              <w:widowControl/>
              <w:wordWrap w:val="0"/>
              <w:topLinePunct/>
              <w:spacing w:before="86"/>
              <w:jc w:val="center"/>
              <w:rPr>
                <w:rFonts w:hint="eastAsia"/>
                <w:spacing w:val="-12"/>
              </w:rPr>
            </w:pPr>
          </w:p>
        </w:tc>
        <w:tc>
          <w:tcPr>
            <w:tcW w:w="470"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4" w:type="dxa"/>
            <w:tcBorders>
              <w:tl2br w:val="nil"/>
              <w:tr2bl w:val="nil"/>
            </w:tcBorders>
          </w:tcPr>
          <w:p>
            <w:pPr>
              <w:pStyle w:val="13"/>
              <w:widowControl/>
              <w:wordWrap w:val="0"/>
              <w:topLinePunct/>
              <w:spacing w:before="86"/>
              <w:jc w:val="center"/>
              <w:rPr>
                <w:rFonts w:hint="eastAsia"/>
                <w:spacing w:val="-12"/>
              </w:rPr>
            </w:pPr>
          </w:p>
        </w:tc>
        <w:tc>
          <w:tcPr>
            <w:tcW w:w="469" w:type="dxa"/>
            <w:tcBorders>
              <w:tl2br w:val="nil"/>
              <w:tr2bl w:val="nil"/>
            </w:tcBorders>
          </w:tcPr>
          <w:p>
            <w:pPr>
              <w:pStyle w:val="13"/>
              <w:widowControl/>
              <w:wordWrap w:val="0"/>
              <w:topLinePunct/>
              <w:spacing w:before="86"/>
              <w:jc w:val="center"/>
              <w:rPr>
                <w:rFonts w:hint="eastAsia"/>
                <w:spacing w:val="-12"/>
              </w:rPr>
            </w:pPr>
          </w:p>
        </w:tc>
        <w:tc>
          <w:tcPr>
            <w:tcW w:w="728" w:type="dxa"/>
            <w:tcBorders>
              <w:tl2br w:val="nil"/>
              <w:tr2bl w:val="nil"/>
            </w:tcBorders>
          </w:tcPr>
          <w:p>
            <w:pPr>
              <w:pStyle w:val="13"/>
              <w:widowControl/>
              <w:wordWrap w:val="0"/>
              <w:topLinePunct/>
              <w:spacing w:before="86"/>
              <w:jc w:val="center"/>
              <w:rPr>
                <w:rFonts w:hint="eastAsia"/>
                <w:spacing w:val="-12"/>
              </w:rPr>
            </w:pPr>
          </w:p>
        </w:tc>
      </w:tr>
    </w:tbl>
    <w:p>
      <w:pPr>
        <w:pStyle w:val="56"/>
        <w:ind w:firstLine="420"/>
      </w:pPr>
    </w:p>
    <w:p>
      <w:pPr>
        <w:pStyle w:val="56"/>
        <w:ind w:firstLine="420"/>
        <w:rPr>
          <w:rFonts w:hint="eastAsia"/>
        </w:rPr>
      </w:pPr>
    </w:p>
    <w:p>
      <w:pPr>
        <w:pStyle w:val="56"/>
        <w:ind w:firstLine="3780" w:firstLineChars="1800"/>
      </w:pPr>
      <w:bookmarkStart w:id="79" w:name="BookMark8"/>
      <w:r>
        <w:rPr>
          <w:rFonts w:hint="eastAsia"/>
        </w:rPr>
        <w:drawing>
          <wp:inline distT="0" distB="0" distL="0" distR="0">
            <wp:extent cx="1485900" cy="317500"/>
            <wp:effectExtent l="0" t="0" r="0" b="6350"/>
            <wp:docPr id="381087554" name="图片 1"/>
            <wp:cNvGraphicFramePr/>
            <a:graphic xmlns:a="http://schemas.openxmlformats.org/drawingml/2006/main">
              <a:graphicData uri="http://schemas.openxmlformats.org/drawingml/2006/picture">
                <pic:pic xmlns:pic="http://schemas.openxmlformats.org/drawingml/2006/picture">
                  <pic:nvPicPr>
                    <pic:cNvPr id="381087554"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bookmarkEnd w:id="79"/>
    </w:p>
    <w:sectPr>
      <w:headerReference r:id="rId16" w:type="default"/>
      <w:footerReference r:id="rId18" w:type="default"/>
      <w:headerReference r:id="rId17" w:type="even"/>
      <w:footerReference r:id="rId19" w:type="even"/>
      <w:pgSz w:w="11906" w:h="16838"/>
      <w:pgMar w:top="2410"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284"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eKbUpyqMrnG8wwtlupzGadKPXG22vCSL4lvuKJW5eu2zxFV201tqGf9q26qJc+7i2SmD9it/WnlRl3Qxr10CIg==" w:salt="C7A7QZWnQbBoN4JVSy+87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1BC"/>
    <w:rsid w:val="0000040A"/>
    <w:rsid w:val="00000A94"/>
    <w:rsid w:val="00001972"/>
    <w:rsid w:val="00001D9A"/>
    <w:rsid w:val="00007B3A"/>
    <w:rsid w:val="000107E0"/>
    <w:rsid w:val="00011FDE"/>
    <w:rsid w:val="00012FFD"/>
    <w:rsid w:val="00014162"/>
    <w:rsid w:val="00014340"/>
    <w:rsid w:val="00016A9C"/>
    <w:rsid w:val="00017E59"/>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A49"/>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C43"/>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852"/>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1BC"/>
    <w:rsid w:val="00407D39"/>
    <w:rsid w:val="0041477A"/>
    <w:rsid w:val="004167A3"/>
    <w:rsid w:val="0043065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86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7EA"/>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01E"/>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DE6"/>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51E"/>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EE548FF"/>
    <w:rsid w:val="2CBA29BC"/>
    <w:rsid w:val="3792464A"/>
    <w:rsid w:val="4F8D6453"/>
    <w:rsid w:val="737451C1"/>
    <w:rsid w:val="784C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6">
    <w:name w:val="Default Paragraph Font"/>
    <w:unhideWhenUsed/>
    <w:qFormat/>
    <w:uiPriority w:val="1"/>
  </w:style>
  <w:style w:type="table" w:default="1" w:styleId="32">
    <w:name w:val="Normal Table"/>
    <w:unhideWhenUsed/>
    <w:uiPriority w:val="99"/>
    <w:tblPr>
      <w:tblLayout w:type="fixed"/>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character" w:styleId="27">
    <w:name w:val="Strong"/>
    <w:qFormat/>
    <w:uiPriority w:val="22"/>
    <w:rPr>
      <w:b/>
      <w:bCs/>
    </w:rPr>
  </w:style>
  <w:style w:type="character" w:styleId="28">
    <w:name w:val="page number"/>
    <w:uiPriority w:val="0"/>
    <w:rPr>
      <w:rFonts w:ascii="宋体" w:hAnsi="Times New Roman" w:eastAsia="宋体"/>
      <w:sz w:val="18"/>
    </w:rPr>
  </w:style>
  <w:style w:type="character" w:styleId="29">
    <w:name w:val="Emphasis"/>
    <w:qFormat/>
    <w:uiPriority w:val="20"/>
    <w:rPr>
      <w:i/>
      <w:iCs/>
    </w:rPr>
  </w:style>
  <w:style w:type="character" w:styleId="30">
    <w:name w:val="Hyperlink"/>
    <w:qFormat/>
    <w:uiPriority w:val="99"/>
    <w:rPr>
      <w:rFonts w:ascii="宋体" w:hAnsi="Times New Roman" w:eastAsia="宋体"/>
      <w:color w:val="auto"/>
      <w:spacing w:val="0"/>
      <w:w w:val="100"/>
      <w:position w:val="0"/>
      <w:sz w:val="21"/>
      <w:u w:val="none"/>
      <w:vertAlign w:val="baseline"/>
    </w:rPr>
  </w:style>
  <w:style w:type="character" w:styleId="31">
    <w:name w:val="footnote reference"/>
    <w:semiHidden/>
    <w:qFormat/>
    <w:uiPriority w:val="0"/>
    <w:rPr>
      <w:rFonts w:ascii="宋体" w:hAnsi="宋体" w:eastAsia="宋体" w:cs="Times New Roman"/>
      <w:spacing w:val="0"/>
      <w:sz w:val="18"/>
      <w:vertAlign w:val="superscript"/>
    </w:rPr>
  </w:style>
  <w:style w:type="table" w:styleId="33">
    <w:name w:val="Table Grid"/>
    <w:basedOn w:val="3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customStyle="1"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Placeholder Text"/>
    <w:basedOn w:val="26"/>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6"/>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6"/>
    <w:qFormat/>
    <w:uiPriority w:val="0"/>
    <w:rPr>
      <w:rFonts w:ascii="黑体" w:eastAsia="黑体"/>
      <w:spacing w:val="85"/>
      <w:w w:val="100"/>
      <w:position w:val="3"/>
      <w:sz w:val="28"/>
      <w:szCs w:val="28"/>
    </w:rPr>
  </w:style>
  <w:style w:type="table" w:customStyle="1" w:styleId="230">
    <w:name w:val="网格型1"/>
    <w:basedOn w:val="32"/>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image" Target="media/image1.tiff"/><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684DE823197469C8E674C308E907015"/>
        <w:style w:val=""/>
        <w:category>
          <w:name w:val="常规"/>
          <w:gallery w:val="placeholder"/>
        </w:category>
        <w:types>
          <w:type w:val="bbPlcHdr"/>
        </w:types>
        <w:behaviors>
          <w:behavior w:val="content"/>
        </w:behaviors>
        <w:description w:val=""/>
        <w:guid w:val="{77F9E7F9-3B8E-4ED5-A035-FE27338E3B98}"/>
      </w:docPartPr>
      <w:docPartBody>
        <w:p>
          <w:pPr>
            <w:pStyle w:val="5"/>
          </w:pPr>
          <w:r>
            <w:rPr>
              <w:rStyle w:val="4"/>
              <w:rFonts w:hint="eastAsia"/>
            </w:rPr>
            <w:t>单击或点击此处输入文字。</w:t>
          </w:r>
        </w:p>
      </w:docPartBody>
    </w:docPart>
    <w:docPart>
      <w:docPartPr>
        <w:name w:val="C1F9A0A7F60C4994B6166C0A85632324"/>
        <w:style w:val=""/>
        <w:category>
          <w:name w:val="常规"/>
          <w:gallery w:val="placeholder"/>
        </w:category>
        <w:types>
          <w:type w:val="bbPlcHdr"/>
        </w:types>
        <w:behaviors>
          <w:behavior w:val="content"/>
        </w:behaviors>
        <w:description w:val=""/>
        <w:guid w:val="{1CD8B6BD-71B6-4CA7-8DB9-A6DB4D794D08}"/>
      </w:docPartPr>
      <w:docPartBody>
        <w:p>
          <w:pPr>
            <w:pStyle w:val="6"/>
          </w:pPr>
          <w:r>
            <w:rPr>
              <w:rStyle w:val="4"/>
              <w:rFonts w:hint="eastAsia"/>
            </w:rPr>
            <w:t>选择一项。</w:t>
          </w:r>
        </w:p>
      </w:docPartBody>
    </w:docPart>
    <w:docPart>
      <w:docPartPr>
        <w:name w:val="83DBF532016341DDBD6A84C9BBB80051"/>
        <w:style w:val=""/>
        <w:category>
          <w:name w:val="常规"/>
          <w:gallery w:val="placeholder"/>
        </w:category>
        <w:types>
          <w:type w:val="bbPlcHdr"/>
        </w:types>
        <w:behaviors>
          <w:behavior w:val="content"/>
        </w:behaviors>
        <w:description w:val=""/>
        <w:guid w:val="{EF0D8703-65AB-438A-9E77-9043AE61C1C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DF1"/>
    <w:rsid w:val="00172DF1"/>
    <w:rsid w:val="008D2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3684DE823197469C8E674C308E90701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C1F9A0A7F60C4994B6166C0A8563232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83DBF532016341DDBD6A84C9BBB8005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2159</Words>
  <Characters>2459</Characters>
  <Lines>417</Lines>
  <Paragraphs>375</Paragraphs>
  <TotalTime>0</TotalTime>
  <ScaleCrop>false</ScaleCrop>
  <LinksUpToDate>false</LinksUpToDate>
  <CharactersWithSpaces>2564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2025-04-29T02:15:00Z</dcterms:created>
  <dc:creator>ljb</dc:creator>
  <dc:description>&lt;config cover="true" show_menu="true" version="1.0.0" doctype="SDKXY"&gt;_x000d_
&lt;/config&gt;</dc:description>
  <cp:lastModifiedBy>admin</cp:lastModifiedBy>
  <cp:lastPrinted>2020-08-30T10:00:00Z</cp:lastPrinted>
  <dcterms:modified xsi:type="dcterms:W3CDTF">2025-05-12T02:38:18Z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eyJoZGlkIjoiYTVhZTNlZGNmYTU4ODdjNmQzYmM3M2RkYjQxMTY4MjciLCJ1c2VySWQiOiI0MzgxMTk5NDEifQ==</vt:lpwstr>
  </property>
  <property fmtid="{D5CDD505-2E9C-101B-9397-08002B2CF9AE}" pid="15" name="KSOProductBuildVer">
    <vt:lpwstr>2052-10.8.0.6423</vt:lpwstr>
  </property>
  <property fmtid="{D5CDD505-2E9C-101B-9397-08002B2CF9AE}" pid="16" name="ICV">
    <vt:lpwstr>650EF2C482C94B81B1136075DB65F561_12</vt:lpwstr>
  </property>
</Properties>
</file>