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AAD2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CA0AB1D">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72BF52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13.030.50</w:t>
            </w:r>
            <w:r>
              <w:rPr>
                <w:rFonts w:ascii="黑体" w:hAnsi="黑体" w:eastAsia="黑体"/>
                <w:sz w:val="21"/>
                <w:szCs w:val="21"/>
              </w:rPr>
              <w:t xml:space="preserve"> </w:t>
            </w:r>
            <w:r>
              <w:rPr>
                <w:rFonts w:ascii="黑体" w:hAnsi="黑体" w:eastAsia="黑体"/>
                <w:sz w:val="21"/>
                <w:szCs w:val="21"/>
              </w:rPr>
              <w:fldChar w:fldCharType="end"/>
            </w:r>
            <w:bookmarkEnd w:id="0"/>
          </w:p>
        </w:tc>
      </w:tr>
      <w:tr w14:paraId="473C9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B3E6AD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65DB3E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Z</w:t>
            </w:r>
            <w:r>
              <w:rPr>
                <w:rFonts w:hint="eastAsia" w:ascii="黑体" w:hAnsi="黑体" w:eastAsia="黑体"/>
                <w:sz w:val="21"/>
                <w:szCs w:val="21"/>
                <w:lang w:val="en-US" w:eastAsia="zh-CN"/>
              </w:rPr>
              <w:t xml:space="preserve"> 70</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FE6F8E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A352431">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w:t>
            </w:r>
            <w:r>
              <w:fldChar w:fldCharType="end"/>
            </w:r>
            <w:bookmarkEnd w:id="3"/>
          </w:p>
        </w:tc>
      </w:tr>
    </w:tbl>
    <w:p w14:paraId="203062D1">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甘肃省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D974828">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62/T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9793EF8">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1CD4916">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2B0F958">
      <w:pPr>
        <w:pStyle w:val="51"/>
        <w:framePr w:w="9639" w:h="6976" w:hRule="exact" w:hSpace="0" w:vSpace="0" w:wrap="around" w:hAnchor="page" w:y="6408"/>
        <w:jc w:val="center"/>
        <w:rPr>
          <w:rFonts w:ascii="黑体" w:hAnsi="黑体" w:eastAsia="黑体"/>
          <w:b w:val="0"/>
          <w:bCs w:val="0"/>
          <w:w w:val="100"/>
        </w:rPr>
      </w:pPr>
    </w:p>
    <w:p w14:paraId="72FBA2E9">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农药包装废弃物收运和处理技术规范</w:t>
      </w:r>
    </w:p>
    <w:p w14:paraId="62371CB0">
      <w:pPr>
        <w:pStyle w:val="198"/>
        <w:framePr w:h="6974" w:hRule="exact" w:wrap="around" w:x="1419" w:anchorLock="1"/>
      </w:pPr>
      <w:r>
        <w:rPr>
          <w:rFonts w:hint="eastAsia"/>
          <w:lang w:eastAsia="zh-CN"/>
        </w:rPr>
        <w:t>（征求意见</w:t>
      </w:r>
      <w:bookmarkStart w:id="87" w:name="_GoBack"/>
      <w:bookmarkEnd w:id="87"/>
      <w:r>
        <w:rPr>
          <w:rFonts w:hint="eastAsia"/>
          <w:lang w:eastAsia="zh-CN"/>
        </w:rPr>
        <w:t>稿）</w:t>
      </w:r>
      <w:r>
        <w:fldChar w:fldCharType="end"/>
      </w:r>
      <w:bookmarkEnd w:id="9"/>
    </w:p>
    <w:p w14:paraId="56DBF47F">
      <w:pPr>
        <w:framePr w:w="9639" w:h="6974" w:hRule="exact" w:wrap="around" w:vAnchor="page" w:hAnchor="page" w:x="1419" w:y="6408" w:anchorLock="1"/>
        <w:ind w:left="-1418"/>
      </w:pPr>
    </w:p>
    <w:p w14:paraId="16AD7991">
      <w:pPr>
        <w:pStyle w:val="194"/>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326E7EC2">
      <w:pPr>
        <w:pStyle w:val="195"/>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39027D5A">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甘肃省市场监督管理局</w:t>
      </w:r>
      <w:r>
        <w:rPr>
          <w:rFonts w:hAnsi="黑体"/>
          <w:w w:val="100"/>
          <w:sz w:val="28"/>
        </w:rPr>
        <w:fldChar w:fldCharType="end"/>
      </w:r>
      <w:bookmarkEnd w:id="16"/>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D91F3B5">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DFFA472">
      <w:pPr>
        <w:pStyle w:val="92"/>
        <w:spacing w:after="468"/>
        <w:rPr>
          <w:highlight w:val="none"/>
        </w:rPr>
      </w:pPr>
      <w:bookmarkStart w:id="17" w:name="BookMark1"/>
      <w:r>
        <w:rPr>
          <w:rFonts w:hint="eastAsia"/>
          <w:spacing w:val="320"/>
          <w:highlight w:val="none"/>
        </w:rPr>
        <w:t>目</w:t>
      </w:r>
      <w:r>
        <w:rPr>
          <w:rFonts w:hint="eastAsia"/>
          <w:highlight w:val="none"/>
        </w:rPr>
        <w:t>次</w:t>
      </w:r>
    </w:p>
    <w:p w14:paraId="60EF5D7B">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_Toc32279 </w:instrText>
      </w:r>
      <w:r>
        <w:fldChar w:fldCharType="separate"/>
      </w:r>
      <w:r>
        <w:rPr>
          <w:spacing w:val="0"/>
        </w:rPr>
        <w:t>前</w:t>
      </w:r>
      <w:r>
        <w:t>言</w:t>
      </w:r>
      <w:r>
        <w:tab/>
      </w:r>
      <w:r>
        <w:fldChar w:fldCharType="begin"/>
      </w:r>
      <w:r>
        <w:instrText xml:space="preserve"> PAGEREF _Toc32279 \h </w:instrText>
      </w:r>
      <w:r>
        <w:fldChar w:fldCharType="separate"/>
      </w:r>
      <w:r>
        <w:t>II</w:t>
      </w:r>
      <w:r>
        <w:fldChar w:fldCharType="end"/>
      </w:r>
      <w:r>
        <w:fldChar w:fldCharType="end"/>
      </w:r>
    </w:p>
    <w:p w14:paraId="540BE4EB">
      <w:pPr>
        <w:pStyle w:val="19"/>
        <w:tabs>
          <w:tab w:val="right" w:leader="dot" w:pos="9354"/>
        </w:tabs>
      </w:pPr>
      <w:r>
        <w:fldChar w:fldCharType="begin"/>
      </w:r>
      <w:r>
        <w:instrText xml:space="preserve"> HYPERLINK \l _Toc32306 </w:instrText>
      </w:r>
      <w:r>
        <w:fldChar w:fldCharType="separate"/>
      </w:r>
      <w:r>
        <w:rPr>
          <w:rFonts w:hint="eastAsia" w:ascii="黑体" w:eastAsia="黑体"/>
          <w:i w:val="0"/>
        </w:rPr>
        <w:t xml:space="preserve">1 </w:t>
      </w:r>
      <w:r>
        <w:rPr>
          <w:rFonts w:hint="eastAsia" w:ascii="黑体" w:eastAsia="黑体"/>
          <w:i w:val="0"/>
          <w:lang w:val="en-US" w:eastAsia="zh-CN"/>
        </w:rPr>
        <w:t xml:space="preserve"> </w:t>
      </w:r>
      <w:r>
        <w:rPr>
          <w:rFonts w:hint="eastAsia"/>
        </w:rPr>
        <w:t>范围</w:t>
      </w:r>
      <w:r>
        <w:tab/>
      </w:r>
      <w:r>
        <w:fldChar w:fldCharType="begin"/>
      </w:r>
      <w:r>
        <w:instrText xml:space="preserve"> PAGEREF _Toc32306 \h </w:instrText>
      </w:r>
      <w:r>
        <w:fldChar w:fldCharType="separate"/>
      </w:r>
      <w:r>
        <w:t>1</w:t>
      </w:r>
      <w:r>
        <w:fldChar w:fldCharType="end"/>
      </w:r>
      <w:r>
        <w:fldChar w:fldCharType="end"/>
      </w:r>
    </w:p>
    <w:p w14:paraId="0DF46F28">
      <w:pPr>
        <w:pStyle w:val="19"/>
        <w:tabs>
          <w:tab w:val="right" w:leader="dot" w:pos="9354"/>
        </w:tabs>
      </w:pPr>
      <w:r>
        <w:fldChar w:fldCharType="begin"/>
      </w:r>
      <w:r>
        <w:instrText xml:space="preserve"> HYPERLINK \l _Toc28877 </w:instrText>
      </w:r>
      <w:r>
        <w:fldChar w:fldCharType="separate"/>
      </w:r>
      <w:r>
        <w:rPr>
          <w:rFonts w:hint="eastAsia" w:ascii="黑体" w:eastAsia="黑体"/>
          <w:i w:val="0"/>
        </w:rPr>
        <w:t xml:space="preserve">2 </w:t>
      </w:r>
      <w:r>
        <w:rPr>
          <w:rFonts w:hint="eastAsia" w:ascii="黑体" w:eastAsia="黑体"/>
          <w:i w:val="0"/>
          <w:lang w:val="en-US" w:eastAsia="zh-CN"/>
        </w:rPr>
        <w:t xml:space="preserve"> </w:t>
      </w:r>
      <w:r>
        <w:rPr>
          <w:rFonts w:hint="eastAsia"/>
        </w:rPr>
        <w:t>规范性引用文件</w:t>
      </w:r>
      <w:r>
        <w:tab/>
      </w:r>
      <w:r>
        <w:fldChar w:fldCharType="begin"/>
      </w:r>
      <w:r>
        <w:instrText xml:space="preserve"> PAGEREF _Toc28877 \h </w:instrText>
      </w:r>
      <w:r>
        <w:fldChar w:fldCharType="separate"/>
      </w:r>
      <w:r>
        <w:t>1</w:t>
      </w:r>
      <w:r>
        <w:fldChar w:fldCharType="end"/>
      </w:r>
      <w:r>
        <w:fldChar w:fldCharType="end"/>
      </w:r>
    </w:p>
    <w:p w14:paraId="0AF55F1E">
      <w:pPr>
        <w:pStyle w:val="19"/>
        <w:tabs>
          <w:tab w:val="right" w:leader="dot" w:pos="9354"/>
        </w:tabs>
      </w:pPr>
      <w:r>
        <w:fldChar w:fldCharType="begin"/>
      </w:r>
      <w:r>
        <w:instrText xml:space="preserve"> HYPERLINK \l _Toc21355 </w:instrText>
      </w:r>
      <w:r>
        <w:fldChar w:fldCharType="separate"/>
      </w:r>
      <w:r>
        <w:rPr>
          <w:rFonts w:hint="eastAsia" w:ascii="黑体" w:eastAsia="黑体"/>
          <w:i w:val="0"/>
        </w:rPr>
        <w:t xml:space="preserve">3 </w:t>
      </w:r>
      <w:r>
        <w:rPr>
          <w:rFonts w:hint="eastAsia" w:ascii="黑体" w:eastAsia="黑体"/>
          <w:i w:val="0"/>
          <w:lang w:val="en-US" w:eastAsia="zh-CN"/>
        </w:rPr>
        <w:t xml:space="preserve"> </w:t>
      </w:r>
      <w:r>
        <w:rPr>
          <w:rFonts w:hint="eastAsia"/>
          <w:szCs w:val="21"/>
        </w:rPr>
        <w:t>术语和定义</w:t>
      </w:r>
      <w:r>
        <w:tab/>
      </w:r>
      <w:r>
        <w:fldChar w:fldCharType="begin"/>
      </w:r>
      <w:r>
        <w:instrText xml:space="preserve"> PAGEREF _Toc21355 \h </w:instrText>
      </w:r>
      <w:r>
        <w:fldChar w:fldCharType="separate"/>
      </w:r>
      <w:r>
        <w:t>1</w:t>
      </w:r>
      <w:r>
        <w:fldChar w:fldCharType="end"/>
      </w:r>
      <w:r>
        <w:fldChar w:fldCharType="end"/>
      </w:r>
    </w:p>
    <w:p w14:paraId="2FA7C593">
      <w:pPr>
        <w:pStyle w:val="19"/>
        <w:tabs>
          <w:tab w:val="right" w:leader="dot" w:pos="9354"/>
        </w:tabs>
      </w:pPr>
      <w:r>
        <w:fldChar w:fldCharType="begin"/>
      </w:r>
      <w:r>
        <w:instrText xml:space="preserve"> HYPERLINK \l _Toc691 </w:instrText>
      </w:r>
      <w:r>
        <w:fldChar w:fldCharType="separate"/>
      </w:r>
      <w:r>
        <w:rPr>
          <w:rFonts w:hint="eastAsia" w:ascii="黑体" w:eastAsia="黑体"/>
          <w:i w:val="0"/>
        </w:rPr>
        <w:t xml:space="preserve">4 </w:t>
      </w:r>
      <w:r>
        <w:rPr>
          <w:rFonts w:hint="eastAsia" w:ascii="黑体" w:eastAsia="黑体"/>
          <w:i w:val="0"/>
          <w:lang w:val="en-US" w:eastAsia="zh-CN"/>
        </w:rPr>
        <w:t xml:space="preserve"> </w:t>
      </w:r>
      <w:r>
        <w:rPr>
          <w:rFonts w:hint="eastAsia"/>
        </w:rPr>
        <w:t>回收体系的建立</w:t>
      </w:r>
      <w:r>
        <w:tab/>
      </w:r>
      <w:r>
        <w:fldChar w:fldCharType="begin"/>
      </w:r>
      <w:r>
        <w:instrText xml:space="preserve"> PAGEREF _Toc691 \h </w:instrText>
      </w:r>
      <w:r>
        <w:fldChar w:fldCharType="separate"/>
      </w:r>
      <w:r>
        <w:t>1</w:t>
      </w:r>
      <w:r>
        <w:fldChar w:fldCharType="end"/>
      </w:r>
      <w:r>
        <w:fldChar w:fldCharType="end"/>
      </w:r>
    </w:p>
    <w:p w14:paraId="5C460CD2">
      <w:pPr>
        <w:pStyle w:val="19"/>
        <w:tabs>
          <w:tab w:val="right" w:leader="dot" w:pos="9354"/>
        </w:tabs>
      </w:pPr>
      <w:r>
        <w:fldChar w:fldCharType="begin"/>
      </w:r>
      <w:r>
        <w:instrText xml:space="preserve"> HYPERLINK \l _Toc7203 </w:instrText>
      </w:r>
      <w:r>
        <w:fldChar w:fldCharType="separate"/>
      </w:r>
      <w:r>
        <w:rPr>
          <w:rFonts w:hint="eastAsia" w:ascii="黑体" w:hAnsi="Times New Roman" w:eastAsia="黑体" w:cs="Times New Roman"/>
          <w:i w:val="0"/>
        </w:rPr>
        <w:t xml:space="preserve">5 </w:t>
      </w:r>
      <w:r>
        <w:rPr>
          <w:rFonts w:hint="eastAsia" w:ascii="黑体" w:hAnsi="Times New Roman" w:eastAsia="黑体" w:cs="Times New Roman"/>
          <w:i w:val="0"/>
          <w:lang w:val="en-US" w:eastAsia="zh-CN"/>
        </w:rPr>
        <w:t xml:space="preserve"> </w:t>
      </w:r>
      <w:r>
        <w:rPr>
          <w:rFonts w:hint="default" w:ascii="Times New Roman" w:hAnsi="Times New Roman" w:cs="Times New Roman"/>
        </w:rPr>
        <w:t>回收站</w:t>
      </w:r>
      <w:r>
        <w:rPr>
          <w:rFonts w:hint="default" w:ascii="Times New Roman" w:hAnsi="Times New Roman" w:cs="Times New Roman"/>
          <w:lang w:val="en-US" w:eastAsia="zh-CN"/>
        </w:rPr>
        <w:t>（点</w:t>
      </w:r>
      <w:r>
        <w:rPr>
          <w:rFonts w:hint="eastAsia" w:ascii="Times New Roman" w:cs="Times New Roman"/>
          <w:lang w:val="en-US" w:eastAsia="zh-CN"/>
        </w:rPr>
        <w:t>）</w:t>
      </w:r>
      <w:r>
        <w:rPr>
          <w:rFonts w:hint="default" w:ascii="Times New Roman" w:hAnsi="Times New Roman" w:cs="Times New Roman"/>
        </w:rPr>
        <w:t>的建设</w:t>
      </w:r>
      <w:r>
        <w:tab/>
      </w:r>
      <w:r>
        <w:fldChar w:fldCharType="begin"/>
      </w:r>
      <w:r>
        <w:instrText xml:space="preserve"> PAGEREF _Toc7203 \h </w:instrText>
      </w:r>
      <w:r>
        <w:fldChar w:fldCharType="separate"/>
      </w:r>
      <w:r>
        <w:t>2</w:t>
      </w:r>
      <w:r>
        <w:fldChar w:fldCharType="end"/>
      </w:r>
      <w:r>
        <w:fldChar w:fldCharType="end"/>
      </w:r>
    </w:p>
    <w:p w14:paraId="61522300">
      <w:pPr>
        <w:pStyle w:val="19"/>
        <w:tabs>
          <w:tab w:val="right" w:leader="dot" w:pos="9354"/>
        </w:tabs>
      </w:pPr>
      <w:r>
        <w:fldChar w:fldCharType="begin"/>
      </w:r>
      <w:r>
        <w:instrText xml:space="preserve"> HYPERLINK \l _Toc5105 </w:instrText>
      </w:r>
      <w:r>
        <w:fldChar w:fldCharType="separate"/>
      </w:r>
      <w:r>
        <w:rPr>
          <w:rFonts w:hint="eastAsia" w:ascii="黑体" w:eastAsia="黑体"/>
          <w:i w:val="0"/>
        </w:rPr>
        <w:t xml:space="preserve">6 </w:t>
      </w:r>
      <w:r>
        <w:rPr>
          <w:rFonts w:hint="eastAsia" w:ascii="黑体" w:eastAsia="黑体"/>
          <w:i w:val="0"/>
          <w:lang w:val="en-US" w:eastAsia="zh-CN"/>
        </w:rPr>
        <w:t xml:space="preserve"> </w:t>
      </w:r>
      <w:r>
        <w:rPr>
          <w:rFonts w:hint="eastAsia"/>
        </w:rPr>
        <w:t>收集</w:t>
      </w:r>
      <w:r>
        <w:tab/>
      </w:r>
      <w:r>
        <w:fldChar w:fldCharType="begin"/>
      </w:r>
      <w:r>
        <w:instrText xml:space="preserve"> PAGEREF _Toc5105 \h </w:instrText>
      </w:r>
      <w:r>
        <w:fldChar w:fldCharType="separate"/>
      </w:r>
      <w:r>
        <w:t>2</w:t>
      </w:r>
      <w:r>
        <w:fldChar w:fldCharType="end"/>
      </w:r>
      <w:r>
        <w:fldChar w:fldCharType="end"/>
      </w:r>
    </w:p>
    <w:p w14:paraId="24D835CB">
      <w:pPr>
        <w:pStyle w:val="19"/>
        <w:tabs>
          <w:tab w:val="right" w:leader="dot" w:pos="9354"/>
        </w:tabs>
      </w:pPr>
      <w:r>
        <w:fldChar w:fldCharType="begin"/>
      </w:r>
      <w:r>
        <w:instrText xml:space="preserve"> HYPERLINK \l _Toc29273 </w:instrText>
      </w:r>
      <w:r>
        <w:fldChar w:fldCharType="separate"/>
      </w:r>
      <w:r>
        <w:rPr>
          <w:rFonts w:hint="eastAsia" w:ascii="黑体" w:eastAsia="黑体"/>
          <w:i w:val="0"/>
        </w:rPr>
        <w:t xml:space="preserve">7 </w:t>
      </w:r>
      <w:r>
        <w:rPr>
          <w:rFonts w:hint="eastAsia" w:ascii="黑体" w:eastAsia="黑体"/>
          <w:i w:val="0"/>
          <w:lang w:val="en-US" w:eastAsia="zh-CN"/>
        </w:rPr>
        <w:t xml:space="preserve"> </w:t>
      </w:r>
      <w:r>
        <w:rPr>
          <w:rFonts w:hint="eastAsia"/>
        </w:rPr>
        <w:t>归集</w:t>
      </w:r>
      <w:r>
        <w:rPr>
          <w:rFonts w:hint="eastAsia"/>
          <w:lang w:val="en-US" w:eastAsia="zh-CN"/>
        </w:rPr>
        <w:t>和集中收贮</w:t>
      </w:r>
      <w:r>
        <w:tab/>
      </w:r>
      <w:r>
        <w:fldChar w:fldCharType="begin"/>
      </w:r>
      <w:r>
        <w:instrText xml:space="preserve"> PAGEREF _Toc29273 \h </w:instrText>
      </w:r>
      <w:r>
        <w:fldChar w:fldCharType="separate"/>
      </w:r>
      <w:r>
        <w:t>3</w:t>
      </w:r>
      <w:r>
        <w:fldChar w:fldCharType="end"/>
      </w:r>
      <w:r>
        <w:fldChar w:fldCharType="end"/>
      </w:r>
    </w:p>
    <w:p w14:paraId="57C2BAE6">
      <w:pPr>
        <w:pStyle w:val="19"/>
        <w:tabs>
          <w:tab w:val="right" w:leader="dot" w:pos="9354"/>
        </w:tabs>
      </w:pPr>
      <w:r>
        <w:fldChar w:fldCharType="begin"/>
      </w:r>
      <w:r>
        <w:instrText xml:space="preserve"> HYPERLINK \l _Toc3864 </w:instrText>
      </w:r>
      <w:r>
        <w:fldChar w:fldCharType="separate"/>
      </w:r>
      <w:r>
        <w:rPr>
          <w:rFonts w:hint="eastAsia" w:ascii="黑体" w:eastAsia="黑体"/>
          <w:i w:val="0"/>
        </w:rPr>
        <w:t xml:space="preserve">8 </w:t>
      </w:r>
      <w:r>
        <w:rPr>
          <w:rFonts w:hint="eastAsia" w:ascii="黑体" w:eastAsia="黑体"/>
          <w:i w:val="0"/>
          <w:lang w:val="en-US" w:eastAsia="zh-CN"/>
        </w:rPr>
        <w:t xml:space="preserve"> </w:t>
      </w:r>
      <w:r>
        <w:rPr>
          <w:rFonts w:hint="eastAsia"/>
        </w:rPr>
        <w:t>运输</w:t>
      </w:r>
      <w:r>
        <w:tab/>
      </w:r>
      <w:r>
        <w:fldChar w:fldCharType="begin"/>
      </w:r>
      <w:r>
        <w:instrText xml:space="preserve"> PAGEREF _Toc3864 \h </w:instrText>
      </w:r>
      <w:r>
        <w:fldChar w:fldCharType="separate"/>
      </w:r>
      <w:r>
        <w:t>3</w:t>
      </w:r>
      <w:r>
        <w:fldChar w:fldCharType="end"/>
      </w:r>
      <w:r>
        <w:fldChar w:fldCharType="end"/>
      </w:r>
    </w:p>
    <w:p w14:paraId="06F3A3E0">
      <w:pPr>
        <w:pStyle w:val="19"/>
        <w:tabs>
          <w:tab w:val="right" w:leader="dot" w:pos="9354"/>
        </w:tabs>
      </w:pPr>
      <w:r>
        <w:fldChar w:fldCharType="begin"/>
      </w:r>
      <w:r>
        <w:instrText xml:space="preserve"> HYPERLINK \l _Toc13482 </w:instrText>
      </w:r>
      <w:r>
        <w:fldChar w:fldCharType="separate"/>
      </w:r>
      <w:r>
        <w:rPr>
          <w:rFonts w:hint="eastAsia" w:ascii="黑体" w:eastAsia="黑体"/>
          <w:i w:val="0"/>
        </w:rPr>
        <w:t xml:space="preserve">9 </w:t>
      </w:r>
      <w:r>
        <w:rPr>
          <w:rFonts w:hint="eastAsia" w:ascii="黑体" w:eastAsia="黑体"/>
          <w:i w:val="0"/>
          <w:lang w:val="en-US" w:eastAsia="zh-CN"/>
        </w:rPr>
        <w:t xml:space="preserve"> </w:t>
      </w:r>
      <w:r>
        <w:rPr>
          <w:rFonts w:hint="eastAsia"/>
        </w:rPr>
        <w:t>回收处理</w:t>
      </w:r>
      <w:r>
        <w:tab/>
      </w:r>
      <w:r>
        <w:fldChar w:fldCharType="begin"/>
      </w:r>
      <w:r>
        <w:instrText xml:space="preserve"> PAGEREF _Toc13482 \h </w:instrText>
      </w:r>
      <w:r>
        <w:fldChar w:fldCharType="separate"/>
      </w:r>
      <w:r>
        <w:t>3</w:t>
      </w:r>
      <w:r>
        <w:fldChar w:fldCharType="end"/>
      </w:r>
      <w:r>
        <w:fldChar w:fldCharType="end"/>
      </w:r>
    </w:p>
    <w:p w14:paraId="40843B63">
      <w:pPr>
        <w:pStyle w:val="19"/>
        <w:tabs>
          <w:tab w:val="right" w:leader="dot" w:pos="9354"/>
        </w:tabs>
      </w:pPr>
      <w:r>
        <w:fldChar w:fldCharType="begin"/>
      </w:r>
      <w:r>
        <w:instrText xml:space="preserve"> HYPERLINK \l _Toc3007 </w:instrText>
      </w:r>
      <w:r>
        <w:fldChar w:fldCharType="separate"/>
      </w:r>
      <w:r>
        <w:rPr>
          <w:rFonts w:hint="eastAsia" w:ascii="黑体" w:eastAsia="黑体"/>
          <w:i w:val="0"/>
        </w:rPr>
        <w:t xml:space="preserve">10 </w:t>
      </w:r>
      <w:r>
        <w:rPr>
          <w:rFonts w:hint="eastAsia"/>
        </w:rPr>
        <w:t>发展社会化服务</w:t>
      </w:r>
      <w:r>
        <w:tab/>
      </w:r>
      <w:r>
        <w:fldChar w:fldCharType="begin"/>
      </w:r>
      <w:r>
        <w:instrText xml:space="preserve"> PAGEREF _Toc3007 \h </w:instrText>
      </w:r>
      <w:r>
        <w:fldChar w:fldCharType="separate"/>
      </w:r>
      <w:r>
        <w:t>4</w:t>
      </w:r>
      <w:r>
        <w:fldChar w:fldCharType="end"/>
      </w:r>
      <w:r>
        <w:fldChar w:fldCharType="end"/>
      </w:r>
    </w:p>
    <w:p w14:paraId="711B2635">
      <w:pPr>
        <w:pStyle w:val="19"/>
        <w:tabs>
          <w:tab w:val="right" w:leader="dot" w:pos="9354"/>
        </w:tabs>
      </w:pPr>
      <w:r>
        <w:fldChar w:fldCharType="begin"/>
      </w:r>
      <w:r>
        <w:instrText xml:space="preserve"> HYPERLINK \l _Toc10637 </w:instrText>
      </w:r>
      <w:r>
        <w:fldChar w:fldCharType="separate"/>
      </w:r>
      <w:r>
        <w:rPr>
          <w:rFonts w:hint="eastAsia" w:ascii="黑体" w:eastAsia="黑体"/>
          <w:i w:val="0"/>
        </w:rPr>
        <w:t xml:space="preserve">11 </w:t>
      </w:r>
      <w:r>
        <w:rPr>
          <w:rFonts w:hint="eastAsia"/>
        </w:rPr>
        <w:t>安全作业</w:t>
      </w:r>
      <w:r>
        <w:tab/>
      </w:r>
      <w:r>
        <w:fldChar w:fldCharType="begin"/>
      </w:r>
      <w:r>
        <w:instrText xml:space="preserve"> PAGEREF _Toc10637 \h </w:instrText>
      </w:r>
      <w:r>
        <w:fldChar w:fldCharType="separate"/>
      </w:r>
      <w:r>
        <w:t>4</w:t>
      </w:r>
      <w:r>
        <w:fldChar w:fldCharType="end"/>
      </w:r>
      <w:r>
        <w:fldChar w:fldCharType="end"/>
      </w:r>
    </w:p>
    <w:p w14:paraId="08EE41F8">
      <w:pPr>
        <w:pStyle w:val="92"/>
        <w:keepNext w:val="0"/>
        <w:keepLines w:val="0"/>
        <w:pageBreakBefore w:val="0"/>
        <w:widowControl w:val="0"/>
        <w:kinsoku/>
        <w:wordWrap/>
        <w:overflowPunct/>
        <w:topLinePunct w:val="0"/>
        <w:autoSpaceDE/>
        <w:autoSpaceDN/>
        <w:bidi w:val="0"/>
        <w:adjustRightInd w:val="0"/>
        <w:snapToGrid/>
        <w:spacing w:before="0" w:after="0" w:afterLines="0" w:line="400" w:lineRule="exact"/>
        <w:jc w:val="left"/>
        <w:textAlignment w:val="auto"/>
        <w:rPr>
          <w:rFonts w:hint="default" w:ascii="宋体" w:hAnsi="宋体" w:eastAsia="宋体" w:cs="宋体"/>
          <w:b w:val="0"/>
          <w:bCs w:val="0"/>
          <w:sz w:val="21"/>
          <w:szCs w:val="21"/>
          <w:highlight w:val="none"/>
          <w:lang w:val="en-US" w:eastAsia="zh-CN"/>
        </w:rPr>
      </w:pPr>
      <w:r>
        <w:fldChar w:fldCharType="end"/>
      </w:r>
      <w:r>
        <w:rPr>
          <w:rFonts w:hint="eastAsia" w:ascii="宋体" w:hAnsi="宋体" w:eastAsia="宋体" w:cs="宋体"/>
          <w:b w:val="0"/>
          <w:bCs w:val="0"/>
          <w:sz w:val="21"/>
          <w:szCs w:val="21"/>
          <w:lang w:eastAsia="zh-CN"/>
        </w:rPr>
        <w:t>附录</w:t>
      </w:r>
      <w:r>
        <w:rPr>
          <w:rFonts w:hint="eastAsia" w:ascii="宋体" w:hAnsi="宋体" w:eastAsia="宋体" w:cs="宋体"/>
          <w:b w:val="0"/>
          <w:bCs w:val="0"/>
          <w:sz w:val="21"/>
          <w:szCs w:val="21"/>
          <w:lang w:val="en-US" w:eastAsia="zh-CN"/>
        </w:rPr>
        <w:t>A（规范性）农药包装废弃物暂存、回收站（点）警示标识</w:t>
      </w:r>
      <w:r>
        <w:rPr>
          <w:rFonts w:hint="eastAsia" w:ascii="宋体" w:hAnsi="宋体" w:eastAsia="宋体" w:cs="宋体"/>
          <w:b w:val="0"/>
          <w:bCs w:val="0"/>
          <w:sz w:val="21"/>
          <w:szCs w:val="21"/>
          <w:highlight w:val="none"/>
          <w:lang w:val="en-US" w:eastAsia="zh-CN"/>
        </w:rPr>
        <w:t>图形.................................5</w:t>
      </w:r>
    </w:p>
    <w:p w14:paraId="0A9EB088">
      <w:pPr>
        <w:pStyle w:val="92"/>
        <w:keepNext w:val="0"/>
        <w:keepLines w:val="0"/>
        <w:pageBreakBefore w:val="0"/>
        <w:widowControl w:val="0"/>
        <w:kinsoku/>
        <w:wordWrap/>
        <w:overflowPunct/>
        <w:topLinePunct w:val="0"/>
        <w:autoSpaceDE/>
        <w:autoSpaceDN/>
        <w:bidi w:val="0"/>
        <w:adjustRightInd w:val="0"/>
        <w:snapToGrid/>
        <w:spacing w:before="0" w:after="0" w:afterLines="0" w:line="400" w:lineRule="exact"/>
        <w:jc w:val="left"/>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附录B（规范性）农药包装废弃物回收站（点）台账..............................................6</w:t>
      </w:r>
    </w:p>
    <w:p w14:paraId="47FAFE9D">
      <w:pPr>
        <w:pStyle w:val="92"/>
        <w:keepNext w:val="0"/>
        <w:keepLines w:val="0"/>
        <w:pageBreakBefore w:val="0"/>
        <w:widowControl w:val="0"/>
        <w:kinsoku/>
        <w:wordWrap/>
        <w:overflowPunct/>
        <w:topLinePunct w:val="0"/>
        <w:autoSpaceDE/>
        <w:autoSpaceDN/>
        <w:bidi w:val="0"/>
        <w:adjustRightInd w:val="0"/>
        <w:snapToGrid/>
        <w:spacing w:before="0" w:after="0" w:afterLines="0" w:line="400" w:lineRule="exact"/>
        <w:jc w:val="left"/>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附录C（规范性）农药包装废弃物集中收贮中心台账...........................................7</w:t>
      </w:r>
    </w:p>
    <w:p w14:paraId="41AA1EEC">
      <w:pPr>
        <w:pStyle w:val="92"/>
        <w:keepNext w:val="0"/>
        <w:keepLines w:val="0"/>
        <w:pageBreakBefore w:val="0"/>
        <w:widowControl w:val="0"/>
        <w:kinsoku/>
        <w:wordWrap/>
        <w:overflowPunct/>
        <w:topLinePunct w:val="0"/>
        <w:autoSpaceDE/>
        <w:autoSpaceDN/>
        <w:bidi w:val="0"/>
        <w:adjustRightInd w:val="0"/>
        <w:snapToGrid/>
        <w:spacing w:before="0" w:after="0" w:afterLines="0" w:line="400" w:lineRule="exact"/>
        <w:jc w:val="left"/>
        <w:textAlignment w:val="auto"/>
        <w:rPr>
          <w:rFonts w:hint="default" w:ascii="宋体" w:hAnsi="宋体" w:eastAsia="宋体" w:cs="宋体"/>
          <w:b w:val="0"/>
          <w:bCs w:val="0"/>
          <w:sz w:val="21"/>
          <w:szCs w:val="21"/>
          <w:lang w:val="en-US" w:eastAsia="zh-CN"/>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hint="eastAsia" w:ascii="宋体" w:hAnsi="宋体" w:eastAsia="宋体" w:cs="宋体"/>
          <w:b w:val="0"/>
          <w:bCs w:val="0"/>
          <w:sz w:val="21"/>
          <w:szCs w:val="21"/>
          <w:lang w:val="en-US" w:eastAsia="zh-CN"/>
        </w:rPr>
        <w:t>参考文献................................................................................8</w:t>
      </w:r>
    </w:p>
    <w:bookmarkEnd w:id="17"/>
    <w:p w14:paraId="1305A936">
      <w:pPr>
        <w:pStyle w:val="90"/>
        <w:spacing w:after="468"/>
      </w:pPr>
      <w:bookmarkStart w:id="18" w:name="_Toc32279"/>
      <w:bookmarkStart w:id="19" w:name="BookMark2"/>
      <w:r>
        <w:rPr>
          <w:spacing w:val="0"/>
          <w:sz w:val="32"/>
        </w:rPr>
        <w:t>前</w:t>
      </w:r>
      <w:r>
        <w:rPr>
          <w:rFonts w:hint="eastAsia"/>
          <w:spacing w:val="0"/>
          <w:sz w:val="32"/>
          <w:lang w:val="en-US" w:eastAsia="zh-CN"/>
        </w:rPr>
        <w:t xml:space="preserve">   </w:t>
      </w:r>
      <w:r>
        <w:t>言</w:t>
      </w:r>
      <w:bookmarkEnd w:id="18"/>
    </w:p>
    <w:p w14:paraId="71062EED">
      <w:pPr>
        <w:pStyle w:val="57"/>
        <w:ind w:firstLine="420"/>
      </w:pPr>
      <w:r>
        <w:rPr>
          <w:rFonts w:hint="eastAsia"/>
        </w:rPr>
        <w:t>本文件按照GB/T 1.1</w:t>
      </w:r>
      <w:r>
        <w:rPr>
          <w:rFonts w:hint="eastAsia"/>
          <w:lang w:val="en-US" w:eastAsia="zh-CN"/>
        </w:rPr>
        <w:t>-</w:t>
      </w:r>
      <w:r>
        <w:rPr>
          <w:rFonts w:hint="eastAsia"/>
        </w:rPr>
        <w:t>2020《标准化工作导则  第1部分：标准化文件的结构和起草规则》的规定起草。</w:t>
      </w:r>
    </w:p>
    <w:p w14:paraId="6BEE157B">
      <w:pPr>
        <w:pStyle w:val="57"/>
        <w:ind w:firstLine="420"/>
      </w:pPr>
      <w:r>
        <w:rPr>
          <w:rFonts w:hint="eastAsia"/>
        </w:rPr>
        <w:t>本文件由甘肃省生态环境厅提出</w:t>
      </w:r>
      <w:r>
        <w:rPr>
          <w:rFonts w:hint="eastAsia"/>
          <w:lang w:eastAsia="zh-CN"/>
        </w:rPr>
        <w:t>监督实施</w:t>
      </w:r>
      <w:r>
        <w:rPr>
          <w:rFonts w:hint="eastAsia"/>
        </w:rPr>
        <w:t>。</w:t>
      </w:r>
    </w:p>
    <w:p w14:paraId="792DFCE4">
      <w:pPr>
        <w:pStyle w:val="57"/>
        <w:ind w:firstLine="420"/>
      </w:pPr>
      <w:r>
        <w:rPr>
          <w:rFonts w:hint="eastAsia"/>
        </w:rPr>
        <w:t>本文件由甘肃省生态环境标准化技术委员会</w:t>
      </w:r>
      <w:r>
        <w:rPr>
          <w:rFonts w:hint="eastAsia"/>
          <w:lang w:eastAsia="zh-CN"/>
        </w:rPr>
        <w:t>提出并</w:t>
      </w:r>
      <w:r>
        <w:rPr>
          <w:rFonts w:hint="eastAsia"/>
        </w:rPr>
        <w:t>归口。</w:t>
      </w:r>
    </w:p>
    <w:p w14:paraId="6B24E1DE">
      <w:pPr>
        <w:pStyle w:val="57"/>
        <w:ind w:firstLine="420"/>
      </w:pPr>
      <w:r>
        <w:rPr>
          <w:rFonts w:hint="eastAsia"/>
        </w:rPr>
        <w:t>本文件起草单位：甘肃省生态环境科学设计研究院。</w:t>
      </w:r>
    </w:p>
    <w:p w14:paraId="0890F3C3">
      <w:pPr>
        <w:pStyle w:val="57"/>
        <w:ind w:firstLine="420"/>
        <w:rPr>
          <w:rFonts w:hint="default" w:eastAsia="宋体"/>
          <w:lang w:val="en-US" w:eastAsia="zh-CN"/>
        </w:rPr>
        <w:sectPr>
          <w:pgSz w:w="11906" w:h="16838"/>
          <w:pgMar w:top="1928" w:right="1134" w:bottom="1134" w:left="1134" w:header="1418" w:footer="1134" w:gutter="284"/>
          <w:pgNumType w:fmt="upperRoman"/>
          <w:cols w:space="425" w:num="1"/>
          <w:formProt w:val="0"/>
          <w:docGrid w:type="lines" w:linePitch="312" w:charSpace="0"/>
        </w:sectPr>
      </w:pPr>
      <w:r>
        <w:rPr>
          <w:rFonts w:hint="eastAsia"/>
          <w:color w:val="auto"/>
        </w:rPr>
        <w:t>本文件主要起草人：</w:t>
      </w:r>
      <w:r>
        <w:rPr>
          <w:rFonts w:hint="eastAsia"/>
          <w:lang w:val="en-US" w:eastAsia="zh-CN"/>
        </w:rPr>
        <w:t>张军，陶伟，魏婧，贠彦祺</w:t>
      </w:r>
      <w:r>
        <w:rPr>
          <w:rFonts w:hint="eastAsia"/>
          <w:highlight w:val="none"/>
          <w:lang w:val="en-US" w:eastAsia="zh-CN"/>
        </w:rPr>
        <w:t>，张瑞盈，王鹏</w:t>
      </w:r>
      <w:r>
        <w:rPr>
          <w:rFonts w:hint="eastAsia"/>
          <w:lang w:val="en-US" w:eastAsia="zh-CN"/>
        </w:rPr>
        <w:t>，索超，赵一杰，徐亚</w:t>
      </w:r>
    </w:p>
    <w:bookmarkEnd w:id="19"/>
    <w:p w14:paraId="1CB565A0">
      <w:pPr>
        <w:spacing w:line="20" w:lineRule="exact"/>
        <w:jc w:val="center"/>
        <w:rPr>
          <w:rFonts w:ascii="黑体" w:hAnsi="黑体" w:eastAsia="黑体"/>
          <w:sz w:val="32"/>
          <w:szCs w:val="32"/>
        </w:rPr>
      </w:pPr>
      <w:bookmarkStart w:id="20" w:name="BookMark4"/>
    </w:p>
    <w:p w14:paraId="016373C4">
      <w:pPr>
        <w:spacing w:line="20" w:lineRule="exact"/>
        <w:jc w:val="center"/>
        <w:rPr>
          <w:rFonts w:ascii="黑体" w:hAnsi="黑体" w:eastAsia="黑体"/>
          <w:sz w:val="32"/>
          <w:szCs w:val="32"/>
        </w:rPr>
      </w:pPr>
    </w:p>
    <w:sdt>
      <w:sdtPr>
        <w:tag w:val="NEW_STAND_NAME"/>
        <w:id w:val="595910757"/>
        <w:lock w:val="sdtLocked"/>
        <w:placeholder>
          <w:docPart w:val="3169AF26F01841119CC100604140BA04"/>
        </w:placeholder>
      </w:sdtPr>
      <w:sdtContent>
        <w:p w14:paraId="0D39DEB8">
          <w:pPr>
            <w:pStyle w:val="178"/>
            <w:spacing w:before="312" w:beforeLines="100" w:after="686" w:afterLines="220"/>
          </w:pPr>
          <w:bookmarkStart w:id="21" w:name="NEW_STAND_NAME"/>
          <w:r>
            <w:rPr>
              <w:rFonts w:hint="eastAsia"/>
            </w:rPr>
            <w:t>农药包装废弃物收运和处理技术规范</w:t>
          </w:r>
        </w:p>
      </w:sdtContent>
    </w:sdt>
    <w:bookmarkEnd w:id="21"/>
    <w:p w14:paraId="4E20CC5D">
      <w:pPr>
        <w:pStyle w:val="105"/>
        <w:spacing w:before="312" w:after="312"/>
      </w:pPr>
      <w:bookmarkStart w:id="22" w:name="_Toc24884211"/>
      <w:bookmarkStart w:id="23" w:name="_Toc97191423"/>
      <w:bookmarkStart w:id="24" w:name="_Toc26986771"/>
      <w:bookmarkStart w:id="25" w:name="_Toc17233333"/>
      <w:bookmarkStart w:id="26" w:name="_Toc24884218"/>
      <w:bookmarkStart w:id="27" w:name="_Toc26986530"/>
      <w:bookmarkStart w:id="28" w:name="_Toc32306"/>
      <w:bookmarkStart w:id="29" w:name="_Toc26718930"/>
      <w:bookmarkStart w:id="30" w:name="_Toc26648465"/>
      <w:bookmarkStart w:id="31" w:name="_Toc17233325"/>
      <w:r>
        <w:rPr>
          <w:rFonts w:hint="eastAsia"/>
        </w:rPr>
        <w:t>范围</w:t>
      </w:r>
      <w:bookmarkEnd w:id="22"/>
      <w:bookmarkEnd w:id="23"/>
      <w:bookmarkEnd w:id="24"/>
      <w:bookmarkEnd w:id="25"/>
      <w:bookmarkEnd w:id="26"/>
      <w:bookmarkEnd w:id="27"/>
      <w:bookmarkEnd w:id="28"/>
      <w:bookmarkEnd w:id="29"/>
      <w:bookmarkEnd w:id="30"/>
      <w:bookmarkEnd w:id="31"/>
    </w:p>
    <w:p w14:paraId="3E24CBBB">
      <w:pPr>
        <w:pStyle w:val="57"/>
        <w:ind w:firstLine="420"/>
        <w:rPr>
          <w:color w:val="auto"/>
        </w:rPr>
      </w:pPr>
      <w:bookmarkStart w:id="32" w:name="_Toc24884219"/>
      <w:bookmarkStart w:id="33" w:name="_Toc17233326"/>
      <w:bookmarkStart w:id="34" w:name="_Toc17233334"/>
      <w:bookmarkStart w:id="35" w:name="_Toc24884212"/>
      <w:bookmarkStart w:id="36" w:name="_Toc26648466"/>
      <w:r>
        <w:rPr>
          <w:rFonts w:hint="eastAsia"/>
          <w:color w:val="auto"/>
        </w:rPr>
        <w:t>本文件规定了农药包装废弃物回收体系的建立、回收站的建设、收集、归集、运输、回收处理、安全作业等</w:t>
      </w:r>
      <w:r>
        <w:rPr>
          <w:rFonts w:hint="eastAsia"/>
          <w:color w:val="auto"/>
          <w:lang w:val="en-US" w:eastAsia="zh-CN"/>
        </w:rPr>
        <w:t>要求和程序</w:t>
      </w:r>
      <w:r>
        <w:rPr>
          <w:rFonts w:hint="eastAsia"/>
          <w:color w:val="auto"/>
        </w:rPr>
        <w:t>。</w:t>
      </w:r>
    </w:p>
    <w:p w14:paraId="6A3394A8">
      <w:pPr>
        <w:pStyle w:val="57"/>
        <w:ind w:firstLine="420"/>
        <w:rPr>
          <w:color w:val="0000FF"/>
        </w:rPr>
      </w:pPr>
      <w:r>
        <w:rPr>
          <w:rFonts w:hint="default"/>
          <w:color w:val="auto"/>
        </w:rPr>
        <w:t>本文件适用于在甘肃省行政区域内农药包装废弃物</w:t>
      </w:r>
      <w:r>
        <w:rPr>
          <w:rFonts w:hint="eastAsia"/>
          <w:color w:val="auto"/>
          <w:lang w:eastAsia="zh-CN"/>
        </w:rPr>
        <w:t>的</w:t>
      </w:r>
      <w:r>
        <w:rPr>
          <w:rFonts w:hint="default"/>
          <w:color w:val="auto"/>
        </w:rPr>
        <w:t>回收、运输、处理。</w:t>
      </w:r>
    </w:p>
    <w:p w14:paraId="3ABCE81D">
      <w:pPr>
        <w:pStyle w:val="105"/>
        <w:spacing w:before="312" w:after="312"/>
      </w:pPr>
      <w:bookmarkStart w:id="37" w:name="_Toc26718931"/>
      <w:bookmarkStart w:id="38" w:name="_Toc26986531"/>
      <w:bookmarkStart w:id="39" w:name="_Toc97191424"/>
      <w:bookmarkStart w:id="40" w:name="_Toc28877"/>
      <w:bookmarkStart w:id="41" w:name="_Toc26986772"/>
      <w:r>
        <w:rPr>
          <w:rFonts w:hint="eastAsia"/>
        </w:rPr>
        <w:t>规范性引用文件</w:t>
      </w:r>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EAEB5E9BD0B34E2C84D8759102F76EB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67EAA8D">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39E7A5E">
      <w:pPr>
        <w:pStyle w:val="57"/>
        <w:ind w:left="0" w:leftChars="0" w:firstLine="420" w:firstLineChars="200"/>
        <w:rPr>
          <w:color w:val="auto"/>
          <w:highlight w:val="none"/>
        </w:rPr>
      </w:pPr>
      <w:bookmarkStart w:id="42" w:name="OLE_LINK10"/>
      <w:r>
        <w:rPr>
          <w:rFonts w:hint="eastAsia"/>
          <w:color w:val="auto"/>
          <w:highlight w:val="none"/>
        </w:rPr>
        <w:t>GB 15562.2</w:t>
      </w:r>
      <w:bookmarkEnd w:id="42"/>
      <w:r>
        <w:rPr>
          <w:rFonts w:hint="eastAsia"/>
          <w:color w:val="auto"/>
          <w:highlight w:val="none"/>
        </w:rPr>
        <w:t xml:space="preserve"> 环境保护图形标志—固体废物贮存（处置）场</w:t>
      </w:r>
    </w:p>
    <w:p w14:paraId="27DA23CA">
      <w:pPr>
        <w:pStyle w:val="57"/>
        <w:ind w:firstLine="420"/>
        <w:rPr>
          <w:color w:val="auto"/>
          <w:highlight w:val="none"/>
        </w:rPr>
      </w:pPr>
      <w:bookmarkStart w:id="43" w:name="OLE_LINK11"/>
      <w:r>
        <w:rPr>
          <w:color w:val="auto"/>
          <w:highlight w:val="none"/>
        </w:rPr>
        <w:t>GB/T 16716.7</w:t>
      </w:r>
      <w:bookmarkEnd w:id="43"/>
      <w:r>
        <w:rPr>
          <w:color w:val="auto"/>
          <w:highlight w:val="none"/>
        </w:rPr>
        <w:t xml:space="preserve"> </w:t>
      </w:r>
      <w:r>
        <w:rPr>
          <w:rFonts w:hint="eastAsia"/>
          <w:color w:val="auto"/>
          <w:highlight w:val="none"/>
        </w:rPr>
        <w:t>包装与包装废弃物 第7部分: 生物降解和堆肥</w:t>
      </w:r>
    </w:p>
    <w:p w14:paraId="6F2FF1E3">
      <w:pPr>
        <w:pStyle w:val="57"/>
        <w:ind w:firstLine="420"/>
        <w:rPr>
          <w:color w:val="auto"/>
          <w:highlight w:val="none"/>
        </w:rPr>
      </w:pPr>
      <w:bookmarkStart w:id="44" w:name="OLE_LINK12"/>
      <w:r>
        <w:rPr>
          <w:rFonts w:hint="eastAsia"/>
          <w:color w:val="auto"/>
          <w:highlight w:val="none"/>
        </w:rPr>
        <w:t>GB 18597</w:t>
      </w:r>
      <w:bookmarkEnd w:id="44"/>
      <w:r>
        <w:rPr>
          <w:rFonts w:hint="eastAsia"/>
          <w:color w:val="auto"/>
          <w:highlight w:val="none"/>
        </w:rPr>
        <w:t xml:space="preserve"> 危险废物贮存污染控制标准</w:t>
      </w:r>
    </w:p>
    <w:p w14:paraId="57B4C752">
      <w:pPr>
        <w:pStyle w:val="57"/>
        <w:ind w:firstLine="420"/>
        <w:rPr>
          <w:color w:val="auto"/>
          <w:highlight w:val="yellow"/>
        </w:rPr>
      </w:pPr>
      <w:bookmarkStart w:id="45" w:name="OLE_LINK13"/>
      <w:r>
        <w:rPr>
          <w:rFonts w:hint="eastAsia"/>
          <w:color w:val="auto"/>
          <w:highlight w:val="none"/>
        </w:rPr>
        <w:t>HJ 2025</w:t>
      </w:r>
      <w:bookmarkEnd w:id="45"/>
      <w:r>
        <w:rPr>
          <w:rFonts w:hint="eastAsia"/>
          <w:color w:val="auto"/>
          <w:highlight w:val="none"/>
        </w:rPr>
        <w:t xml:space="preserve"> 危险废物收集</w:t>
      </w:r>
      <w:r>
        <w:rPr>
          <w:rFonts w:hint="eastAsia"/>
          <w:color w:val="auto"/>
          <w:highlight w:val="none"/>
          <w:lang w:val="en-US" w:eastAsia="zh-CN"/>
        </w:rPr>
        <w:t xml:space="preserve"> </w:t>
      </w:r>
      <w:r>
        <w:rPr>
          <w:rFonts w:hint="eastAsia"/>
          <w:color w:val="auto"/>
          <w:highlight w:val="none"/>
        </w:rPr>
        <w:t>贮存</w:t>
      </w:r>
      <w:r>
        <w:rPr>
          <w:rFonts w:hint="eastAsia"/>
          <w:color w:val="auto"/>
          <w:highlight w:val="none"/>
          <w:lang w:val="en-US" w:eastAsia="zh-CN"/>
        </w:rPr>
        <w:t xml:space="preserve"> </w:t>
      </w:r>
      <w:r>
        <w:rPr>
          <w:rFonts w:hint="eastAsia"/>
          <w:color w:val="auto"/>
          <w:highlight w:val="none"/>
        </w:rPr>
        <w:t>运输技术规范</w:t>
      </w:r>
    </w:p>
    <w:p w14:paraId="3B936343">
      <w:pPr>
        <w:pStyle w:val="105"/>
        <w:spacing w:before="312" w:after="312"/>
      </w:pPr>
      <w:bookmarkStart w:id="46" w:name="_Toc97191425"/>
      <w:bookmarkStart w:id="47" w:name="_Toc21355"/>
      <w:r>
        <w:rPr>
          <w:rFonts w:hint="eastAsia"/>
          <w:szCs w:val="21"/>
        </w:rPr>
        <w:t>术语和定义</w:t>
      </w:r>
      <w:bookmarkEnd w:id="46"/>
      <w:bookmarkEnd w:id="47"/>
    </w:p>
    <w:sdt>
      <w:sdtPr>
        <w:id w:val="-1909835108"/>
        <w:placeholder>
          <w:docPart w:val="69A790E6D29C42509B8AC3D9D6D7F5F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65C48">
          <w:pPr>
            <w:pStyle w:val="57"/>
            <w:ind w:firstLine="420"/>
          </w:pPr>
          <w:bookmarkStart w:id="48" w:name="_Toc26986532"/>
          <w:bookmarkEnd w:id="48"/>
          <w:r>
            <w:t>下列术语和定义适用于本文件。</w:t>
          </w:r>
        </w:p>
      </w:sdtContent>
    </w:sdt>
    <w:p w14:paraId="255197CC">
      <w:pPr>
        <w:pStyle w:val="224"/>
        <w:ind w:left="420" w:hanging="420" w:hangingChars="200"/>
        <w:rPr>
          <w:rFonts w:ascii="黑体" w:hAnsi="黑体" w:eastAsia="黑体"/>
        </w:rPr>
      </w:pPr>
    </w:p>
    <w:p w14:paraId="62930287">
      <w:pPr>
        <w:pStyle w:val="224"/>
        <w:numPr>
          <w:ilvl w:val="2"/>
          <w:numId w:val="0"/>
        </w:numPr>
        <w:ind w:firstLine="420" w:firstLineChars="200"/>
        <w:rPr>
          <w:rFonts w:ascii="黑体" w:hAnsi="黑体" w:eastAsia="黑体"/>
        </w:rPr>
      </w:pPr>
      <w:bookmarkStart w:id="49" w:name="OLE_LINK5"/>
      <w:r>
        <w:rPr>
          <w:rFonts w:hint="eastAsia" w:ascii="黑体" w:hAnsi="黑体" w:eastAsia="黑体"/>
        </w:rPr>
        <w:t>农药包装废弃物</w:t>
      </w:r>
      <w:bookmarkEnd w:id="49"/>
      <w:r>
        <w:rPr>
          <w:rFonts w:hint="eastAsia" w:ascii="黑体" w:hAnsi="黑体" w:eastAsia="黑体"/>
        </w:rPr>
        <w:t xml:space="preserve">  pesticide packaging waste</w:t>
      </w:r>
    </w:p>
    <w:p w14:paraId="26A336C3">
      <w:pPr>
        <w:pStyle w:val="57"/>
        <w:ind w:firstLine="420"/>
        <w:rPr>
          <w:rFonts w:hint="default" w:eastAsia="宋体"/>
          <w:color w:val="auto"/>
          <w:highlight w:val="yellow"/>
          <w:lang w:val="en-US" w:eastAsia="zh-CN"/>
        </w:rPr>
      </w:pPr>
      <w:r>
        <w:rPr>
          <w:rFonts w:hint="eastAsia"/>
          <w:color w:val="auto"/>
          <w:highlight w:val="none"/>
        </w:rPr>
        <w:t>农药使用后被废弃的与农药直接接触或含有农药残余物的包装物</w:t>
      </w:r>
      <w:r>
        <w:rPr>
          <w:rFonts w:hint="eastAsia"/>
          <w:color w:val="auto"/>
          <w:highlight w:val="none"/>
          <w:lang w:eastAsia="zh-CN"/>
        </w:rPr>
        <w:t>。</w:t>
      </w:r>
    </w:p>
    <w:p w14:paraId="4CF4BBDC">
      <w:pPr>
        <w:pStyle w:val="57"/>
        <w:ind w:firstLine="420"/>
        <w:rPr>
          <w:rFonts w:hint="eastAsia" w:ascii="宋体" w:hAnsi="Times New Roman" w:eastAsia="宋体" w:cs="Times New Roman"/>
          <w:color w:val="0000FF"/>
          <w:sz w:val="21"/>
          <w:lang w:val="en-US" w:eastAsia="zh-CN" w:bidi="ar-SA"/>
        </w:rPr>
      </w:pPr>
      <w:r>
        <w:rPr>
          <w:rFonts w:hint="eastAsia" w:ascii="宋体" w:hAnsi="Times New Roman" w:eastAsia="宋体" w:cs="Times New Roman"/>
          <w:color w:val="0000FF"/>
          <w:sz w:val="21"/>
          <w:lang w:val="en-US" w:eastAsia="zh-CN" w:bidi="ar-SA"/>
        </w:rPr>
        <w:t>注：农药包装废弃物包括瓶、罐、桶、袋等</w:t>
      </w:r>
    </w:p>
    <w:p w14:paraId="438FB19B">
      <w:pPr>
        <w:pStyle w:val="105"/>
        <w:spacing w:before="312" w:after="312"/>
      </w:pPr>
      <w:bookmarkStart w:id="50" w:name="_Toc691"/>
      <w:r>
        <w:rPr>
          <w:rFonts w:hint="eastAsia"/>
        </w:rPr>
        <w:t>回收体系的建立</w:t>
      </w:r>
      <w:bookmarkEnd w:id="50"/>
    </w:p>
    <w:p w14:paraId="705E3DEE">
      <w:pPr>
        <w:pStyle w:val="163"/>
      </w:pPr>
      <w:r>
        <w:rPr>
          <w:rFonts w:hint="eastAsia"/>
        </w:rPr>
        <w:t>农药包装废弃物回收体系应以县区为</w:t>
      </w:r>
      <w:r>
        <w:rPr>
          <w:rFonts w:hint="eastAsia"/>
          <w:lang w:val="en-US" w:eastAsia="zh-CN"/>
        </w:rPr>
        <w:t>单元</w:t>
      </w:r>
      <w:r>
        <w:rPr>
          <w:rFonts w:hint="eastAsia"/>
        </w:rPr>
        <w:t>建立，按照“村（组）回收、乡镇归集、县（区）转运处置”的运行模式，合理布设县、乡、村农药包装废弃物的集中收贮中心、转运点、暂存点等回收站</w:t>
      </w:r>
      <w:bookmarkStart w:id="51" w:name="OLE_LINK14"/>
      <w:r>
        <w:rPr>
          <w:rFonts w:hint="eastAsia"/>
        </w:rPr>
        <w:t>（点）</w:t>
      </w:r>
      <w:bookmarkEnd w:id="51"/>
      <w:r>
        <w:rPr>
          <w:rFonts w:hint="eastAsia"/>
        </w:rPr>
        <w:t>。</w:t>
      </w:r>
    </w:p>
    <w:p w14:paraId="2FC1AE69">
      <w:pPr>
        <w:pStyle w:val="163"/>
        <w:numPr>
          <w:ilvl w:val="2"/>
          <w:numId w:val="0"/>
        </w:numPr>
        <w:ind w:leftChars="0" w:firstLine="420" w:firstLineChars="200"/>
      </w:pPr>
      <w:r>
        <w:rPr>
          <w:rFonts w:hint="eastAsia" w:ascii="宋体" w:hAnsi="Times New Roman" w:eastAsia="宋体" w:cs="Times New Roman"/>
          <w:color w:val="0000FF"/>
          <w:sz w:val="21"/>
          <w:lang w:val="en-US" w:eastAsia="zh-CN" w:bidi="ar-SA"/>
        </w:rPr>
        <w:t>农药包装废弃物</w:t>
      </w:r>
      <w:r>
        <w:rPr>
          <w:rFonts w:hint="eastAsia" w:cs="Times New Roman"/>
          <w:color w:val="0000FF"/>
          <w:sz w:val="21"/>
          <w:lang w:val="en-US" w:eastAsia="zh-CN" w:bidi="ar-SA"/>
        </w:rPr>
        <w:t>首先</w:t>
      </w:r>
      <w:r>
        <w:rPr>
          <w:rFonts w:hint="eastAsia" w:ascii="宋体" w:hAnsi="Times New Roman" w:eastAsia="宋体" w:cs="Times New Roman"/>
          <w:color w:val="0000FF"/>
          <w:sz w:val="21"/>
          <w:lang w:val="en-US" w:eastAsia="zh-CN" w:bidi="ar-SA"/>
        </w:rPr>
        <w:t>由使用者就近送至一级回收站（点），</w:t>
      </w:r>
      <w:r>
        <w:rPr>
          <w:rFonts w:hint="eastAsia" w:cs="Times New Roman"/>
          <w:color w:val="0000FF"/>
          <w:sz w:val="21"/>
          <w:lang w:val="en-US" w:eastAsia="zh-CN" w:bidi="ar-SA"/>
        </w:rPr>
        <w:t>各站（点）收集的</w:t>
      </w:r>
      <w:bookmarkStart w:id="52" w:name="OLE_LINK21"/>
      <w:r>
        <w:rPr>
          <w:rFonts w:hint="eastAsia" w:cs="Times New Roman"/>
          <w:color w:val="0000FF"/>
          <w:sz w:val="21"/>
          <w:lang w:val="en-US" w:eastAsia="zh-CN" w:bidi="ar-SA"/>
        </w:rPr>
        <w:t>农药包装废弃物</w:t>
      </w:r>
      <w:bookmarkEnd w:id="52"/>
      <w:r>
        <w:rPr>
          <w:rFonts w:hint="eastAsia" w:ascii="宋体" w:hAnsi="Times New Roman" w:eastAsia="宋体" w:cs="Times New Roman"/>
          <w:color w:val="0000FF"/>
          <w:sz w:val="21"/>
          <w:lang w:val="en-US" w:eastAsia="zh-CN" w:bidi="ar-SA"/>
        </w:rPr>
        <w:t>归集至</w:t>
      </w:r>
      <w:bookmarkStart w:id="53" w:name="OLE_LINK20"/>
      <w:r>
        <w:rPr>
          <w:rFonts w:hint="eastAsia" w:ascii="宋体" w:hAnsi="Times New Roman" w:eastAsia="宋体" w:cs="Times New Roman"/>
          <w:color w:val="0000FF"/>
          <w:sz w:val="21"/>
          <w:lang w:val="en-US" w:eastAsia="zh-CN" w:bidi="ar-SA"/>
        </w:rPr>
        <w:t>二级回收站</w:t>
      </w:r>
      <w:bookmarkEnd w:id="53"/>
      <w:r>
        <w:rPr>
          <w:rFonts w:hint="eastAsia" w:ascii="宋体" w:hAnsi="Times New Roman" w:eastAsia="宋体" w:cs="Times New Roman"/>
          <w:color w:val="0000FF"/>
          <w:sz w:val="21"/>
          <w:lang w:val="en-US" w:eastAsia="zh-CN" w:bidi="ar-SA"/>
        </w:rPr>
        <w:t>，最终</w:t>
      </w:r>
      <w:r>
        <w:rPr>
          <w:rFonts w:hint="eastAsia" w:cs="Times New Roman"/>
          <w:color w:val="0000FF"/>
          <w:sz w:val="21"/>
          <w:lang w:val="en-US" w:eastAsia="zh-CN" w:bidi="ar-SA"/>
        </w:rPr>
        <w:t>各</w:t>
      </w:r>
      <w:r>
        <w:rPr>
          <w:rFonts w:hint="eastAsia" w:ascii="宋体" w:hAnsi="Times New Roman" w:eastAsia="宋体" w:cs="Times New Roman"/>
          <w:color w:val="0000FF"/>
          <w:sz w:val="21"/>
          <w:lang w:val="en-US" w:eastAsia="zh-CN" w:bidi="ar-SA"/>
        </w:rPr>
        <w:t>二级回收站</w:t>
      </w:r>
      <w:r>
        <w:rPr>
          <w:rFonts w:hint="eastAsia" w:cs="Times New Roman"/>
          <w:color w:val="0000FF"/>
          <w:sz w:val="21"/>
          <w:lang w:val="en-US" w:eastAsia="zh-CN" w:bidi="ar-SA"/>
        </w:rPr>
        <w:t>归集的农药包装废弃物</w:t>
      </w:r>
      <w:r>
        <w:rPr>
          <w:rFonts w:hint="eastAsia" w:ascii="宋体" w:hAnsi="Times New Roman" w:eastAsia="宋体" w:cs="Times New Roman"/>
          <w:color w:val="0000FF"/>
          <w:sz w:val="21"/>
          <w:lang w:val="en-US" w:eastAsia="zh-CN" w:bidi="ar-SA"/>
        </w:rPr>
        <w:t>集中至收贮中心。逐级归集收贮流程见图1。</w:t>
      </w:r>
    </w:p>
    <w:p w14:paraId="33DE566A">
      <w:pPr>
        <w:pStyle w:val="163"/>
        <w:numPr>
          <w:ilvl w:val="2"/>
          <w:numId w:val="0"/>
        </w:numPr>
        <w:ind w:leftChars="0"/>
        <w:rPr>
          <w:rFonts w:hint="default"/>
          <w:highlight w:val="yellow"/>
          <w:lang w:val="en-US"/>
        </w:rPr>
      </w:pPr>
      <w:r>
        <w:rPr>
          <w:rFonts w:hint="eastAsia"/>
          <w:lang w:val="en-US" w:eastAsia="zh-CN"/>
        </w:rPr>
        <w:t xml:space="preserve">    </w:t>
      </w:r>
    </w:p>
    <w:p w14:paraId="2CF333AC">
      <w:pPr>
        <w:pStyle w:val="163"/>
        <w:numPr>
          <w:ilvl w:val="2"/>
          <w:numId w:val="0"/>
        </w:numPr>
        <w:ind w:leftChars="0"/>
      </w:pPr>
      <w:r>
        <w:rPr>
          <w:sz w:val="32"/>
        </w:rPr>
        <mc:AlternateContent>
          <mc:Choice Requires="wpg">
            <w:drawing>
              <wp:anchor distT="0" distB="0" distL="114300" distR="114300" simplePos="0" relativeHeight="251661312" behindDoc="0" locked="0" layoutInCell="1" allowOverlap="1">
                <wp:simplePos x="0" y="0"/>
                <wp:positionH relativeFrom="column">
                  <wp:posOffset>304800</wp:posOffset>
                </wp:positionH>
                <wp:positionV relativeFrom="paragraph">
                  <wp:posOffset>116205</wp:posOffset>
                </wp:positionV>
                <wp:extent cx="5301615" cy="419100"/>
                <wp:effectExtent l="4445" t="4445" r="12700" b="18415"/>
                <wp:wrapNone/>
                <wp:docPr id="4" name="组合 4"/>
                <wp:cNvGraphicFramePr/>
                <a:graphic xmlns:a="http://schemas.openxmlformats.org/drawingml/2006/main">
                  <a:graphicData uri="http://schemas.microsoft.com/office/word/2010/wordprocessingGroup">
                    <wpg:wgp>
                      <wpg:cNvGrpSpPr/>
                      <wpg:grpSpPr>
                        <a:xfrm>
                          <a:off x="0" y="0"/>
                          <a:ext cx="5301615" cy="419100"/>
                          <a:chOff x="3165" y="63307"/>
                          <a:chExt cx="8349" cy="660"/>
                        </a:xfrm>
                      </wpg:grpSpPr>
                      <wps:wsp>
                        <wps:cNvPr id="1" name="文本框 1"/>
                        <wps:cNvSpPr txBox="1"/>
                        <wps:spPr>
                          <a:xfrm>
                            <a:off x="3165" y="63327"/>
                            <a:ext cx="1440" cy="6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F63EEE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农药包装</w:t>
                              </w:r>
                            </w:p>
                            <w:p w14:paraId="0B31EBD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 w:val="18"/>
                                  <w:szCs w:val="18"/>
                                </w:rPr>
                              </w:pPr>
                              <w:r>
                                <w:rPr>
                                  <w:rFonts w:hint="eastAsia"/>
                                  <w:sz w:val="18"/>
                                  <w:szCs w:val="18"/>
                                  <w:lang w:val="en-US" w:eastAsia="zh-CN"/>
                                </w:rPr>
                                <w:t>废弃物</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文本框 2"/>
                        <wps:cNvSpPr txBox="1"/>
                        <wps:spPr>
                          <a:xfrm>
                            <a:off x="4836" y="63327"/>
                            <a:ext cx="2958" cy="6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809E8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一级回收站</w:t>
                              </w:r>
                            </w:p>
                            <w:p w14:paraId="03F32B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（行政村、自然村、农药经营店）</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3"/>
                        <wps:cNvSpPr txBox="1"/>
                        <wps:spPr>
                          <a:xfrm>
                            <a:off x="8035" y="63307"/>
                            <a:ext cx="1531" cy="6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B7227E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二级回收站</w:t>
                              </w:r>
                            </w:p>
                            <w:p w14:paraId="257815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（乡镇归集）</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 name="文本框 4"/>
                        <wps:cNvSpPr txBox="1"/>
                        <wps:spPr>
                          <a:xfrm>
                            <a:off x="9845" y="63327"/>
                            <a:ext cx="1669" cy="63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F50EB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集中收贮中心</w:t>
                              </w:r>
                            </w:p>
                            <w:p w14:paraId="580FE1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（县级转运处置）</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箭头连接符 5"/>
                        <wps:cNvCnPr>
                          <a:stCxn id="1" idx="3"/>
                          <a:endCxn id="2" idx="1"/>
                        </wps:cNvCnPr>
                        <wps:spPr>
                          <a:xfrm>
                            <a:off x="4605" y="63637"/>
                            <a:ext cx="231"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2" name="直接箭头连接符 6"/>
                        <wps:cNvCnPr>
                          <a:stCxn id="2" idx="3"/>
                          <a:endCxn id="3" idx="1"/>
                        </wps:cNvCnPr>
                        <wps:spPr>
                          <a:xfrm>
                            <a:off x="7794" y="63637"/>
                            <a:ext cx="241"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3" name="直接箭头连接符 7"/>
                        <wps:cNvCnPr>
                          <a:stCxn id="3" idx="3"/>
                          <a:endCxn id="4" idx="1"/>
                        </wps:cNvCnPr>
                        <wps:spPr>
                          <a:xfrm>
                            <a:off x="9566" y="63637"/>
                            <a:ext cx="279" cy="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4pt;margin-top:9.15pt;height:33pt;width:417.45pt;z-index:251661312;mso-width-relative:page;mso-height-relative:page;" coordorigin="3165,63307" coordsize="8349,660" o:gfxdata="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">
                <o:lock v:ext="edit" aspectratio="f"/>
                <v:shape id="_x0000_s1026" o:spid="_x0000_s1026" o:spt="202" type="#_x0000_t202" style="position:absolute;left:3165;top:63327;height:620;width:1440;" fillcolor="#FFFFFF [3201]" filled="t" stroked="t" coordsize="21600,21600" o:gfxdata="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mIqhotAAAANoAAAAPAAAA&#10;AAAAAAEAIAAAACIAAABkcnMvZG93bnJldi54bWxQSwECFAAUAAAACACHTuJAMy8FnjsAAAA5AAAA&#10;EAAAAAAAAAABACAAAAADAQAAZHJzL3NoYXBleG1sLnhtbFBLBQYAAAAABgAGAFsBAACtAwAAAAA=&#10;">
                  <v:fill on="t" focussize="0,0"/>
                  <v:stroke weight="0.5pt" color="#000000 [3204]" joinstyle="round"/>
                  <v:imagedata o:title=""/>
                  <o:lock v:ext="edit" aspectratio="f"/>
                  <v:textbox>
                    <w:txbxContent>
                      <w:p w14:paraId="5F63EEE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农药包装</w:t>
                        </w:r>
                      </w:p>
                      <w:p w14:paraId="0B31EBD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 w:val="18"/>
                            <w:szCs w:val="18"/>
                          </w:rPr>
                        </w:pPr>
                        <w:r>
                          <w:rPr>
                            <w:rFonts w:hint="eastAsia"/>
                            <w:sz w:val="18"/>
                            <w:szCs w:val="18"/>
                            <w:lang w:val="en-US" w:eastAsia="zh-CN"/>
                          </w:rPr>
                          <w:t>废弃物</w:t>
                        </w:r>
                      </w:p>
                    </w:txbxContent>
                  </v:textbox>
                </v:shape>
                <v:shape id="_x0000_s1026" o:spid="_x0000_s1026" o:spt="202" type="#_x0000_t202" style="position:absolute;left:4836;top:63327;height:620;width:2958;" fillcolor="#FFFFFF [3201]" filled="t" stroked="t" coordsize="21600,21600" o:gfxdata="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bwNh+2AAAA2g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7809E8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一级回收站</w:t>
                        </w:r>
                      </w:p>
                      <w:p w14:paraId="03F32B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（行政村、自然村、农药经营店）</w:t>
                        </w:r>
                      </w:p>
                    </w:txbxContent>
                  </v:textbox>
                </v:shape>
                <v:shape id="文本框 3" o:spid="_x0000_s1026" o:spt="202" type="#_x0000_t202" style="position:absolute;left:8035;top:63307;height:660;width:1531;" fillcolor="#FFFFFF [3201]" filled="t" stroked="t" coordsize="21600,21600" o:gfxdata="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hUpG62AAAA2g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1B7227E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二级回收站</w:t>
                        </w:r>
                      </w:p>
                      <w:p w14:paraId="257815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（乡镇归集）</w:t>
                        </w:r>
                      </w:p>
                    </w:txbxContent>
                  </v:textbox>
                </v:shape>
                <v:shape id="文本框 4" o:spid="_x0000_s1026" o:spt="202" type="#_x0000_t202" style="position:absolute;left:9845;top:63327;height:630;width:1669;" fillcolor="#FFFFFF [3201]" filled="t" stroked="t" coordsize="21600,21600" o:gfxdata="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SCJrgAAADbAAAA&#10;DwAAAAAAAAABACAAAAAiAAAAZHJzL2Rvd25yZXYueG1sUEsBAhQAFAAAAAgAh07iQDMvBZ47AAAA&#10;OQAAABAAAAAAAAAAAQAgAAAABwEAAGRycy9zaGFwZXhtbC54bWxQSwUGAAAAAAYABgBbAQAAsQMA&#10;AAAA&#10;">
                  <v:fill on="t" focussize="0,0"/>
                  <v:stroke weight="0.5pt" color="#000000 [3204]" joinstyle="round"/>
                  <v:imagedata o:title=""/>
                  <o:lock v:ext="edit" aspectratio="f"/>
                  <v:textbox>
                    <w:txbxContent>
                      <w:p w14:paraId="6F50EB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集中收贮中心</w:t>
                        </w:r>
                      </w:p>
                      <w:p w14:paraId="580FE1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8"/>
                            <w:szCs w:val="18"/>
                            <w:lang w:val="en-US" w:eastAsia="zh-CN"/>
                          </w:rPr>
                        </w:pPr>
                        <w:r>
                          <w:rPr>
                            <w:rFonts w:hint="eastAsia"/>
                            <w:sz w:val="18"/>
                            <w:szCs w:val="18"/>
                            <w:lang w:val="en-US" w:eastAsia="zh-CN"/>
                          </w:rPr>
                          <w:t>（县级转运处置）</w:t>
                        </w:r>
                      </w:p>
                    </w:txbxContent>
                  </v:textbox>
                </v:shape>
                <v:shape id="直接箭头连接符 5" o:spid="_x0000_s1026" o:spt="32" type="#_x0000_t32" style="position:absolute;left:4605;top:63637;height:0;width:231;" filled="f" stroked="t" coordsize="21600,21600" o:gfxdata="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8BIabsAAADb&#10;AAAADwAAAAAAAAABACAAAAAiAAAAZHJzL2Rvd25yZXYueG1sUEsBAhQAFAAAAAgAh07iQDMvBZ47&#10;AAAAOQAAABAAAAAAAAAAAQAgAAAACgEAAGRycy9zaGFwZXhtbC54bWxQSwUGAAAAAAYABgBbAQAA&#10;tAMAAAAA&#10;">
                  <v:fill on="f" focussize="0,0"/>
                  <v:stroke weight="0.5pt" color="#000000 [3213]" miterlimit="8" joinstyle="miter" endarrow="open"/>
                  <v:imagedata o:title=""/>
                  <o:lock v:ext="edit" aspectratio="f"/>
                </v:shape>
                <v:shape id="直接箭头连接符 6" o:spid="_x0000_s1026" o:spt="32" type="#_x0000_t32" style="position:absolute;left:7794;top:63637;height:0;width:241;" filled="f" stroked="t" coordsize="21600,21600" o:gfxdata="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LWHrsAAADb&#10;AAAADwAAAAAAAAABACAAAAAiAAAAZHJzL2Rvd25yZXYueG1sUEsBAhQAFAAAAAgAh07iQDMvBZ47&#10;AAAAOQAAABAAAAAAAAAAAQAgAAAACgEAAGRycy9zaGFwZXhtbC54bWxQSwUGAAAAAAYABgBbAQAA&#10;tAMAAAAA&#10;">
                  <v:fill on="f" focussize="0,0"/>
                  <v:stroke weight="0.5pt" color="#000000 [3213]" miterlimit="8" joinstyle="miter" endarrow="open"/>
                  <v:imagedata o:title=""/>
                  <o:lock v:ext="edit" aspectratio="f"/>
                </v:shape>
                <v:shape id="直接箭头连接符 7" o:spid="_x0000_s1026" o:spt="32" type="#_x0000_t32" style="position:absolute;left:9566;top:63637;height:5;width:279;" filled="f" stroked="t" coordsize="21600,21600" o:gfxdata="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Bec4W5AAAA2wAA&#10;AA8AAAAAAAAAAQAgAAAAIgAAAGRycy9kb3ducmV2LnhtbFBLAQIUABQAAAAIAIdO4kAzLwWeOwAA&#10;ADkAAAAQAAAAAAAAAAEAIAAAAAgBAABkcnMvc2hhcGV4bWwueG1sUEsFBgAAAAAGAAYAWwEAALID&#10;AAAAAA==&#10;">
                  <v:fill on="f" focussize="0,0"/>
                  <v:stroke weight="0.5pt" color="#000000 [3213]" miterlimit="8" joinstyle="miter" endarrow="open"/>
                  <v:imagedata o:title=""/>
                  <o:lock v:ext="edit" aspectratio="f"/>
                </v:shape>
              </v:group>
            </w:pict>
          </mc:Fallback>
        </mc:AlternateContent>
      </w:r>
    </w:p>
    <w:p w14:paraId="68F18560">
      <w:pPr>
        <w:pStyle w:val="163"/>
        <w:numPr>
          <w:ilvl w:val="2"/>
          <w:numId w:val="0"/>
        </w:numPr>
        <w:ind w:leftChars="0"/>
        <w:rPr>
          <w:rFonts w:hint="eastAsia"/>
          <w:lang w:val="en-US" w:eastAsia="zh-CN"/>
        </w:rPr>
      </w:pPr>
    </w:p>
    <w:p w14:paraId="73F6D8E2">
      <w:pPr>
        <w:pStyle w:val="163"/>
        <w:numPr>
          <w:ilvl w:val="2"/>
          <w:numId w:val="0"/>
        </w:numPr>
        <w:ind w:leftChars="0"/>
        <w:rPr>
          <w:rFonts w:hint="eastAsia"/>
          <w:lang w:val="en-US" w:eastAsia="zh-CN"/>
        </w:rPr>
      </w:pPr>
    </w:p>
    <w:p w14:paraId="01589148">
      <w:pPr>
        <w:pStyle w:val="163"/>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jc w:val="center"/>
        <w:textAlignment w:val="auto"/>
        <w:rPr>
          <w:rFonts w:hint="default" w:eastAsia="宋体"/>
          <w:lang w:val="en-US" w:eastAsia="zh-CN"/>
        </w:rPr>
      </w:pPr>
      <w:r>
        <w:rPr>
          <w:rFonts w:hint="default" w:ascii="Times New Roman" w:hAnsi="Times New Roman" w:eastAsia="黑体" w:cs="Times New Roman"/>
          <w:lang w:val="en-US" w:eastAsia="zh-CN"/>
        </w:rPr>
        <w:t>图1 农药包装废弃物逐级归集收贮流程</w:t>
      </w:r>
    </w:p>
    <w:p w14:paraId="258397D9">
      <w:pPr>
        <w:pStyle w:val="163"/>
        <w:rPr>
          <w:color w:val="auto"/>
        </w:rPr>
      </w:pPr>
      <w:r>
        <w:rPr>
          <w:rFonts w:hint="eastAsia"/>
          <w:color w:val="auto"/>
          <w:lang w:val="en-US" w:eastAsia="zh-CN"/>
        </w:rPr>
        <w:t>一级回收站（点）以村为单位设置，每个</w:t>
      </w:r>
      <w:r>
        <w:rPr>
          <w:rFonts w:hint="eastAsia"/>
          <w:color w:val="auto"/>
        </w:rPr>
        <w:t>行政村应建立</w:t>
      </w:r>
      <w:r>
        <w:rPr>
          <w:rFonts w:hint="eastAsia"/>
          <w:color w:val="auto"/>
          <w:lang w:val="en-US" w:eastAsia="zh-CN"/>
        </w:rPr>
        <w:t>至少</w:t>
      </w:r>
      <w:r>
        <w:rPr>
          <w:rFonts w:hint="eastAsia"/>
          <w:color w:val="auto"/>
        </w:rPr>
        <w:t>1个</w:t>
      </w:r>
      <w:r>
        <w:rPr>
          <w:rFonts w:hint="eastAsia"/>
          <w:color w:val="auto"/>
          <w:lang w:val="en-US" w:eastAsia="zh-CN"/>
        </w:rPr>
        <w:t>一</w:t>
      </w:r>
      <w:r>
        <w:rPr>
          <w:rFonts w:hint="eastAsia"/>
          <w:color w:val="auto"/>
        </w:rPr>
        <w:t>级农药包装废弃物回收站（点），也可</w:t>
      </w:r>
      <w:r>
        <w:rPr>
          <w:rFonts w:hint="eastAsia"/>
          <w:color w:val="auto"/>
          <w:lang w:val="en-US" w:eastAsia="zh-CN"/>
        </w:rPr>
        <w:t>视农药包装废弃物产生量及收集便捷性以</w:t>
      </w:r>
      <w:r>
        <w:rPr>
          <w:rFonts w:hint="eastAsia"/>
          <w:color w:val="auto"/>
        </w:rPr>
        <w:t>自然村</w:t>
      </w:r>
      <w:r>
        <w:rPr>
          <w:rFonts w:hint="eastAsia"/>
          <w:color w:val="auto"/>
          <w:lang w:val="en-US" w:eastAsia="zh-CN"/>
        </w:rPr>
        <w:t>为单位设置</w:t>
      </w:r>
      <w:r>
        <w:rPr>
          <w:rFonts w:hint="eastAsia"/>
          <w:color w:val="auto"/>
          <w:lang w:eastAsia="zh-CN"/>
        </w:rPr>
        <w:t>。</w:t>
      </w:r>
      <w:r>
        <w:rPr>
          <w:rFonts w:hint="eastAsia"/>
          <w:color w:val="auto"/>
        </w:rPr>
        <w:t>农药经营者应设立一级农药包装废弃物回收点</w:t>
      </w:r>
      <w:r>
        <w:rPr>
          <w:rFonts w:hint="eastAsia"/>
          <w:color w:val="auto"/>
          <w:lang w:eastAsia="zh-CN"/>
        </w:rPr>
        <w:t>。</w:t>
      </w:r>
    </w:p>
    <w:p w14:paraId="3A7D4E99">
      <w:pPr>
        <w:pStyle w:val="163"/>
        <w:rPr>
          <w:color w:val="auto"/>
        </w:rPr>
      </w:pPr>
      <w:r>
        <w:rPr>
          <w:rFonts w:hint="eastAsia"/>
          <w:color w:val="auto"/>
          <w:lang w:val="en-US" w:eastAsia="zh-CN"/>
        </w:rPr>
        <w:t>二级回收站（点）以乡镇为单位设置，每个乡镇</w:t>
      </w:r>
      <w:r>
        <w:rPr>
          <w:rFonts w:hint="eastAsia"/>
          <w:color w:val="auto"/>
        </w:rPr>
        <w:t>建立</w:t>
      </w:r>
      <w:r>
        <w:rPr>
          <w:rFonts w:hint="eastAsia"/>
          <w:color w:val="auto"/>
          <w:lang w:val="en-US" w:eastAsia="zh-CN"/>
        </w:rPr>
        <w:t>至少</w:t>
      </w:r>
      <w:r>
        <w:rPr>
          <w:rFonts w:hint="eastAsia"/>
          <w:color w:val="auto"/>
        </w:rPr>
        <w:t>1个二级农药包装废弃物</w:t>
      </w:r>
      <w:r>
        <w:rPr>
          <w:rFonts w:hint="eastAsia"/>
          <w:color w:val="auto"/>
          <w:lang w:val="en-US" w:eastAsia="zh-CN"/>
        </w:rPr>
        <w:t>回收</w:t>
      </w:r>
      <w:r>
        <w:rPr>
          <w:rFonts w:hint="eastAsia"/>
          <w:color w:val="auto"/>
        </w:rPr>
        <w:t>转运点</w:t>
      </w:r>
      <w:r>
        <w:rPr>
          <w:rFonts w:hint="eastAsia"/>
          <w:color w:val="auto"/>
          <w:lang w:eastAsia="zh-CN"/>
        </w:rPr>
        <w:t>。</w:t>
      </w:r>
    </w:p>
    <w:p w14:paraId="66EA606A">
      <w:pPr>
        <w:pStyle w:val="163"/>
        <w:rPr>
          <w:color w:val="auto"/>
        </w:rPr>
      </w:pPr>
      <w:r>
        <w:rPr>
          <w:rFonts w:hint="eastAsia"/>
          <w:color w:val="auto"/>
          <w:lang w:val="en-US" w:eastAsia="zh-CN"/>
        </w:rPr>
        <w:t>集中收贮中心以县为单位设置，每个县</w:t>
      </w:r>
      <w:r>
        <w:rPr>
          <w:rFonts w:hint="eastAsia"/>
          <w:color w:val="auto"/>
        </w:rPr>
        <w:t>设立1个集中收贮中心。规模</w:t>
      </w:r>
      <w:r>
        <w:rPr>
          <w:rFonts w:hint="eastAsia"/>
          <w:color w:val="auto"/>
          <w:lang w:val="en-US" w:eastAsia="zh-CN"/>
        </w:rPr>
        <w:t>化</w:t>
      </w:r>
      <w:r>
        <w:rPr>
          <w:rFonts w:hint="eastAsia"/>
          <w:color w:val="auto"/>
        </w:rPr>
        <w:t>种植主体、社会化植保服务组织</w:t>
      </w:r>
      <w:r>
        <w:rPr>
          <w:rFonts w:hint="eastAsia"/>
          <w:color w:val="auto"/>
          <w:lang w:val="en-US" w:eastAsia="zh-CN"/>
        </w:rPr>
        <w:t>及</w:t>
      </w:r>
      <w:r>
        <w:rPr>
          <w:rFonts w:hint="eastAsia"/>
          <w:color w:val="auto"/>
        </w:rPr>
        <w:t>使用大规格农药包装的</w:t>
      </w:r>
      <w:r>
        <w:rPr>
          <w:rFonts w:hint="eastAsia"/>
          <w:color w:val="auto"/>
          <w:lang w:val="en-US" w:eastAsia="zh-CN"/>
        </w:rPr>
        <w:t>组织</w:t>
      </w:r>
      <w:r>
        <w:rPr>
          <w:rFonts w:hint="eastAsia"/>
          <w:color w:val="auto"/>
        </w:rPr>
        <w:t>可自行设置农药包装废弃物暂存点，</w:t>
      </w:r>
      <w:r>
        <w:rPr>
          <w:rFonts w:hint="eastAsia"/>
          <w:color w:val="auto"/>
          <w:lang w:val="en-US" w:eastAsia="zh-CN"/>
        </w:rPr>
        <w:t>产生的</w:t>
      </w:r>
      <w:r>
        <w:rPr>
          <w:rFonts w:hint="eastAsia"/>
          <w:color w:val="auto"/>
        </w:rPr>
        <w:t>农药包装废弃物</w:t>
      </w:r>
      <w:r>
        <w:rPr>
          <w:rFonts w:hint="eastAsia"/>
          <w:color w:val="auto"/>
          <w:lang w:val="en-US" w:eastAsia="zh-CN"/>
        </w:rPr>
        <w:t>集中移送</w:t>
      </w:r>
      <w:r>
        <w:rPr>
          <w:rFonts w:hint="eastAsia"/>
          <w:color w:val="auto"/>
        </w:rPr>
        <w:t>到</w:t>
      </w:r>
      <w:r>
        <w:rPr>
          <w:rFonts w:hint="eastAsia"/>
          <w:color w:val="auto"/>
          <w:lang w:val="en-US" w:eastAsia="zh-CN"/>
        </w:rPr>
        <w:t>一</w:t>
      </w:r>
      <w:r>
        <w:rPr>
          <w:rFonts w:hint="eastAsia"/>
          <w:color w:val="auto"/>
        </w:rPr>
        <w:t>级回收点。</w:t>
      </w:r>
    </w:p>
    <w:p w14:paraId="3923E79E">
      <w:pPr>
        <w:pStyle w:val="163"/>
        <w:rPr>
          <w:rFonts w:hint="default" w:ascii="Times New Roman" w:hAnsi="Times New Roman" w:cs="Times New Roman"/>
          <w:color w:val="auto"/>
        </w:rPr>
      </w:pPr>
      <w:r>
        <w:rPr>
          <w:rFonts w:hint="eastAsia"/>
          <w:color w:val="auto"/>
          <w:lang w:val="en-US" w:eastAsia="zh-CN"/>
        </w:rPr>
        <w:t>各级</w:t>
      </w:r>
      <w:r>
        <w:rPr>
          <w:rFonts w:hint="eastAsia"/>
          <w:color w:val="auto"/>
        </w:rPr>
        <w:t>农药包装</w:t>
      </w:r>
      <w:r>
        <w:rPr>
          <w:rFonts w:hint="default" w:ascii="Times New Roman" w:hAnsi="Times New Roman" w:cs="Times New Roman"/>
          <w:color w:val="auto"/>
        </w:rPr>
        <w:t>废弃物回收</w:t>
      </w:r>
      <w:r>
        <w:rPr>
          <w:rFonts w:hint="default" w:ascii="Times New Roman" w:hAnsi="Times New Roman" w:cs="Times New Roman"/>
          <w:color w:val="auto"/>
          <w:lang w:val="en-US" w:eastAsia="zh-CN"/>
        </w:rPr>
        <w:t>站（点）按照5.2、5.3、5.4条的要求建设并</w:t>
      </w:r>
      <w:r>
        <w:rPr>
          <w:rFonts w:hint="default" w:ascii="Times New Roman" w:hAnsi="Times New Roman" w:cs="Times New Roman"/>
          <w:color w:val="auto"/>
        </w:rPr>
        <w:t>配备农药包装废弃物回收</w:t>
      </w:r>
      <w:r>
        <w:rPr>
          <w:rFonts w:hint="default" w:ascii="Times New Roman" w:hAnsi="Times New Roman" w:cs="Times New Roman"/>
          <w:color w:val="auto"/>
          <w:lang w:val="en-US" w:eastAsia="zh-CN"/>
        </w:rPr>
        <w:t>设施</w:t>
      </w:r>
      <w:r>
        <w:rPr>
          <w:rFonts w:hint="default" w:ascii="Times New Roman" w:hAnsi="Times New Roman" w:cs="Times New Roman"/>
          <w:color w:val="auto"/>
        </w:rPr>
        <w:t>。</w:t>
      </w:r>
    </w:p>
    <w:p w14:paraId="291D1B28">
      <w:pPr>
        <w:pStyle w:val="105"/>
        <w:spacing w:before="312" w:after="312"/>
        <w:rPr>
          <w:rFonts w:hint="default" w:ascii="Times New Roman" w:hAnsi="Times New Roman" w:cs="Times New Roman"/>
          <w:color w:val="auto"/>
        </w:rPr>
      </w:pPr>
      <w:bookmarkStart w:id="54" w:name="_Toc7203"/>
      <w:r>
        <w:rPr>
          <w:rFonts w:hint="default" w:ascii="Times New Roman" w:hAnsi="Times New Roman" w:cs="Times New Roman"/>
          <w:color w:val="auto"/>
        </w:rPr>
        <w:t>回收站</w:t>
      </w:r>
      <w:r>
        <w:rPr>
          <w:rFonts w:hint="default" w:ascii="Times New Roman" w:hAnsi="Times New Roman" w:cs="Times New Roman"/>
          <w:color w:val="auto"/>
          <w:lang w:val="en-US" w:eastAsia="zh-CN"/>
        </w:rPr>
        <w:t>（点</w:t>
      </w:r>
      <w:r>
        <w:rPr>
          <w:rFonts w:hint="eastAsia" w:ascii="Times New Roman" w:cs="Times New Roman"/>
          <w:color w:val="auto"/>
          <w:lang w:val="en-US" w:eastAsia="zh-CN"/>
        </w:rPr>
        <w:t>）</w:t>
      </w:r>
      <w:r>
        <w:rPr>
          <w:rFonts w:hint="default" w:ascii="Times New Roman" w:hAnsi="Times New Roman" w:cs="Times New Roman"/>
          <w:color w:val="auto"/>
        </w:rPr>
        <w:t>的建设</w:t>
      </w:r>
      <w:bookmarkEnd w:id="54"/>
    </w:p>
    <w:p w14:paraId="19CD2A7D">
      <w:pPr>
        <w:pStyle w:val="163"/>
        <w:rPr>
          <w:rFonts w:hint="default" w:ascii="Times New Roman" w:hAnsi="Times New Roman" w:cs="Times New Roman"/>
          <w:color w:val="auto"/>
        </w:rPr>
      </w:pPr>
      <w:bookmarkStart w:id="55" w:name="OLE_LINK1"/>
      <w:r>
        <w:rPr>
          <w:rFonts w:hint="default" w:ascii="Times New Roman" w:hAnsi="Times New Roman" w:cs="Times New Roman"/>
          <w:color w:val="auto"/>
          <w:lang w:val="en-US" w:eastAsia="zh-CN"/>
        </w:rPr>
        <w:t>各级回收</w:t>
      </w:r>
      <w:bookmarkStart w:id="56" w:name="OLE_LINK2"/>
      <w:r>
        <w:rPr>
          <w:rFonts w:hint="default" w:ascii="Times New Roman" w:hAnsi="Times New Roman" w:cs="Times New Roman"/>
          <w:color w:val="auto"/>
          <w:lang w:val="en-US" w:eastAsia="zh-CN"/>
        </w:rPr>
        <w:t>站（点）</w:t>
      </w:r>
      <w:bookmarkEnd w:id="55"/>
      <w:bookmarkEnd w:id="56"/>
      <w:r>
        <w:rPr>
          <w:rFonts w:hint="default" w:ascii="Times New Roman" w:hAnsi="Times New Roman" w:cs="Times New Roman"/>
          <w:color w:val="auto"/>
        </w:rPr>
        <w:t>选址应</w:t>
      </w:r>
      <w:r>
        <w:rPr>
          <w:rFonts w:hint="eastAsia" w:ascii="Times New Roman" w:cs="Times New Roman"/>
          <w:color w:val="auto"/>
          <w:lang w:val="en-US" w:eastAsia="zh-CN"/>
        </w:rPr>
        <w:t>符合</w:t>
      </w:r>
      <w:r>
        <w:rPr>
          <w:rFonts w:hint="default" w:ascii="Times New Roman" w:hAnsi="Times New Roman" w:cs="Times New Roman"/>
          <w:color w:val="auto"/>
        </w:rPr>
        <w:t>GB 18597</w:t>
      </w:r>
      <w:r>
        <w:rPr>
          <w:rFonts w:hint="eastAsia" w:ascii="Times New Roman" w:cs="Times New Roman"/>
          <w:color w:val="auto"/>
          <w:lang w:val="en-US" w:eastAsia="zh-CN"/>
        </w:rPr>
        <w:t>的规定</w:t>
      </w:r>
      <w:r>
        <w:rPr>
          <w:rFonts w:hint="default" w:ascii="Times New Roman" w:hAnsi="Times New Roman" w:cs="Times New Roman"/>
          <w:color w:val="auto"/>
        </w:rPr>
        <w:t>。距居民区、水源地（河流、湖泊）至少500米以上</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避开河道滩涂、径流汇水区，以及陡坡、断崖、塌陷等地质不稳定区域。同时靠近农田集中区或村镇主干道，方便收集和转运。</w:t>
      </w:r>
    </w:p>
    <w:p w14:paraId="7932A0CB">
      <w:pPr>
        <w:pStyle w:val="163"/>
        <w:rPr>
          <w:rFonts w:hint="default" w:ascii="Times New Roman" w:hAnsi="Times New Roman" w:cs="Times New Roman"/>
          <w:color w:val="auto"/>
        </w:rPr>
      </w:pPr>
      <w:r>
        <w:rPr>
          <w:rFonts w:hint="default" w:ascii="Times New Roman" w:hAnsi="Times New Roman" w:cs="Times New Roman"/>
          <w:color w:val="auto"/>
          <w:lang w:val="en-US" w:eastAsia="zh-CN"/>
        </w:rPr>
        <w:t>回收站（点）须单独</w:t>
      </w:r>
      <w:r>
        <w:rPr>
          <w:rFonts w:hint="eastAsia" w:ascii="Times New Roman" w:cs="Times New Roman"/>
          <w:color w:val="auto"/>
          <w:lang w:val="en-US" w:eastAsia="zh-CN"/>
        </w:rPr>
        <w:t>设置</w:t>
      </w:r>
      <w:r>
        <w:rPr>
          <w:rFonts w:hint="default" w:ascii="Times New Roman" w:hAnsi="Times New Roman" w:cs="Times New Roman"/>
          <w:color w:val="auto"/>
          <w:lang w:val="en-US" w:eastAsia="zh-CN"/>
        </w:rPr>
        <w:t>，</w:t>
      </w:r>
      <w:r>
        <w:rPr>
          <w:rFonts w:hint="default" w:ascii="Times New Roman" w:hAnsi="Times New Roman" w:cs="Times New Roman"/>
          <w:color w:val="auto"/>
        </w:rPr>
        <w:t>不与其他仓储场所</w:t>
      </w:r>
      <w:r>
        <w:rPr>
          <w:rFonts w:hint="default" w:ascii="Times New Roman" w:hAnsi="Times New Roman" w:cs="Times New Roman"/>
          <w:color w:val="auto"/>
          <w:lang w:val="en-US" w:eastAsia="zh-CN"/>
        </w:rPr>
        <w:t>混建</w:t>
      </w:r>
      <w:r>
        <w:rPr>
          <w:rFonts w:hint="default" w:ascii="Times New Roman" w:hAnsi="Times New Roman" w:cs="Times New Roman"/>
          <w:color w:val="auto"/>
          <w:lang w:eastAsia="zh-CN"/>
        </w:rPr>
        <w:t>。</w:t>
      </w:r>
    </w:p>
    <w:p w14:paraId="24F84666">
      <w:pPr>
        <w:pStyle w:val="163"/>
        <w:numPr>
          <w:ilvl w:val="2"/>
          <w:numId w:val="0"/>
        </w:numPr>
        <w:ind w:leftChars="0" w:firstLine="420" w:firstLineChars="20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一级回收站（点）场所占地面积不</w:t>
      </w:r>
      <w:r>
        <w:rPr>
          <w:rFonts w:hint="eastAsia" w:ascii="Times New Roman" w:cs="Times New Roman"/>
          <w:color w:val="auto"/>
          <w:lang w:val="en-US" w:eastAsia="zh-CN"/>
        </w:rPr>
        <w:t>小</w:t>
      </w:r>
      <w:r>
        <w:rPr>
          <w:rFonts w:hint="default" w:ascii="Times New Roman" w:hAnsi="Times New Roman" w:cs="Times New Roman"/>
          <w:color w:val="auto"/>
          <w:lang w:val="en-US" w:eastAsia="zh-CN"/>
        </w:rPr>
        <w:t>于5平方米；二级回收站（点）场所占地面积不</w:t>
      </w:r>
      <w:r>
        <w:rPr>
          <w:rFonts w:hint="eastAsia" w:ascii="Times New Roman" w:cs="Times New Roman"/>
          <w:color w:val="auto"/>
          <w:lang w:val="en-US" w:eastAsia="zh-CN"/>
        </w:rPr>
        <w:t>小</w:t>
      </w:r>
      <w:r>
        <w:rPr>
          <w:rFonts w:hint="default" w:ascii="Times New Roman" w:hAnsi="Times New Roman" w:cs="Times New Roman"/>
          <w:color w:val="auto"/>
          <w:lang w:val="en-US" w:eastAsia="zh-CN"/>
        </w:rPr>
        <w:t>于15平方米，也可视收集范围</w:t>
      </w:r>
      <w:r>
        <w:rPr>
          <w:rFonts w:hint="eastAsia" w:ascii="Times New Roman" w:hAnsi="Times New Roman" w:cs="Times New Roman"/>
          <w:color w:val="auto"/>
          <w:lang w:val="en-US" w:eastAsia="zh-CN"/>
        </w:rPr>
        <w:t>内农药包装废弃物1</w:t>
      </w:r>
      <w:r>
        <w:rPr>
          <w:rFonts w:hint="default" w:ascii="Times New Roman" w:hAnsi="Times New Roman" w:cs="Times New Roman"/>
          <w:color w:val="auto"/>
          <w:lang w:val="en-US" w:eastAsia="zh-CN"/>
        </w:rPr>
        <w:t>周</w:t>
      </w:r>
      <w:r>
        <w:rPr>
          <w:rFonts w:hint="eastAsia" w:ascii="Times New Roman" w:hAnsi="Times New Roman" w:cs="Times New Roman"/>
          <w:color w:val="auto"/>
          <w:lang w:val="en-US" w:eastAsia="zh-CN"/>
        </w:rPr>
        <w:t>产生</w:t>
      </w:r>
      <w:r>
        <w:rPr>
          <w:rFonts w:hint="default" w:ascii="Times New Roman" w:hAnsi="Times New Roman" w:cs="Times New Roman"/>
          <w:color w:val="auto"/>
          <w:lang w:val="en-US" w:eastAsia="zh-CN"/>
        </w:rPr>
        <w:t>量</w:t>
      </w:r>
      <w:r>
        <w:rPr>
          <w:rFonts w:hint="eastAsia" w:ascii="Times New Roman" w:hAnsi="Times New Roman" w:cs="Times New Roman"/>
          <w:color w:val="auto"/>
          <w:lang w:val="en-US" w:eastAsia="zh-CN"/>
        </w:rPr>
        <w:t>确</w:t>
      </w:r>
      <w:r>
        <w:rPr>
          <w:rFonts w:hint="default" w:ascii="Times New Roman" w:hAnsi="Times New Roman" w:cs="Times New Roman"/>
          <w:color w:val="auto"/>
          <w:lang w:val="en-US" w:eastAsia="zh-CN"/>
        </w:rPr>
        <w:t>定。</w:t>
      </w:r>
    </w:p>
    <w:p w14:paraId="3FF467E9">
      <w:pPr>
        <w:pStyle w:val="163"/>
        <w:numPr>
          <w:ilvl w:val="2"/>
          <w:numId w:val="0"/>
        </w:numPr>
        <w:ind w:leftChars="0" w:firstLine="420" w:firstLineChars="200"/>
        <w:rPr>
          <w:rFonts w:hint="default" w:ascii="Times New Roman" w:hAnsi="Times New Roman" w:cs="Times New Roman"/>
          <w:color w:val="auto"/>
        </w:rPr>
      </w:pPr>
      <w:r>
        <w:rPr>
          <w:rFonts w:hint="default" w:ascii="Times New Roman" w:hAnsi="Times New Roman" w:cs="Times New Roman"/>
          <w:color w:val="auto"/>
          <w:lang w:val="en-US" w:eastAsia="zh-CN"/>
        </w:rPr>
        <w:t>各级回收站（点）围墙</w:t>
      </w:r>
      <w:r>
        <w:rPr>
          <w:rFonts w:hint="default" w:ascii="Times New Roman" w:hAnsi="Times New Roman" w:cs="Times New Roman"/>
          <w:color w:val="auto"/>
          <w:lang w:eastAsia="zh-CN"/>
        </w:rPr>
        <w:t>高度</w:t>
      </w:r>
      <w:r>
        <w:rPr>
          <w:rFonts w:hint="default" w:ascii="Times New Roman" w:hAnsi="Times New Roman" w:cs="Times New Roman"/>
          <w:color w:val="auto"/>
          <w:lang w:val="en-US" w:eastAsia="zh-CN"/>
        </w:rPr>
        <w:t>不低于1.5</w:t>
      </w:r>
      <w:r>
        <w:rPr>
          <w:rFonts w:hint="default" w:ascii="Times New Roman" w:hAnsi="Times New Roman" w:cs="Times New Roman"/>
          <w:color w:val="auto"/>
          <w:lang w:eastAsia="zh-CN"/>
        </w:rPr>
        <w:t>米</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顶部</w:t>
      </w:r>
      <w:r>
        <w:rPr>
          <w:rFonts w:hint="default" w:ascii="Times New Roman" w:hAnsi="Times New Roman" w:cs="Times New Roman"/>
          <w:color w:val="auto"/>
          <w:lang w:val="en-US" w:eastAsia="zh-CN"/>
        </w:rPr>
        <w:t>带</w:t>
      </w:r>
      <w:r>
        <w:rPr>
          <w:rFonts w:hint="default" w:ascii="Times New Roman" w:hAnsi="Times New Roman" w:cs="Times New Roman"/>
          <w:color w:val="auto"/>
        </w:rPr>
        <w:t>遮雨</w:t>
      </w:r>
      <w:r>
        <w:rPr>
          <w:rFonts w:hint="eastAsia" w:ascii="Times New Roman" w:hAnsi="Times New Roman" w:cs="Times New Roman"/>
          <w:color w:val="auto"/>
          <w:lang w:val="en-US" w:eastAsia="zh-CN"/>
        </w:rPr>
        <w:t>防风</w:t>
      </w:r>
      <w:r>
        <w:rPr>
          <w:rFonts w:hint="default" w:ascii="Times New Roman" w:hAnsi="Times New Roman" w:cs="Times New Roman"/>
          <w:color w:val="auto"/>
          <w:lang w:val="en-US" w:eastAsia="zh-CN"/>
        </w:rPr>
        <w:t>棚顶</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铺设</w:t>
      </w:r>
      <w:r>
        <w:rPr>
          <w:rFonts w:hint="default" w:ascii="Times New Roman" w:hAnsi="Times New Roman" w:cs="Times New Roman"/>
          <w:color w:val="auto"/>
          <w:lang w:eastAsia="zh-CN"/>
        </w:rPr>
        <w:t>防渗混凝土地面+</w:t>
      </w:r>
      <w:r>
        <w:rPr>
          <w:rFonts w:hint="default" w:ascii="Times New Roman" w:hAnsi="Times New Roman" w:cs="Times New Roman"/>
          <w:color w:val="auto"/>
          <w:lang w:val="en-US" w:eastAsia="zh-CN"/>
        </w:rPr>
        <w:t>防渗</w:t>
      </w:r>
      <w:r>
        <w:rPr>
          <w:rFonts w:hint="default" w:ascii="Times New Roman" w:hAnsi="Times New Roman" w:cs="Times New Roman"/>
          <w:color w:val="auto"/>
          <w:lang w:eastAsia="zh-CN"/>
        </w:rPr>
        <w:t>涂层</w:t>
      </w:r>
      <w:r>
        <w:rPr>
          <w:rFonts w:hint="default" w:ascii="Times New Roman" w:hAnsi="Times New Roman" w:cs="Times New Roman"/>
          <w:color w:val="auto"/>
          <w:lang w:val="en-US" w:eastAsia="zh-CN"/>
        </w:rPr>
        <w:t>，配置托盘或防漏围堰。回收站（点）配备</w:t>
      </w:r>
      <w:r>
        <w:rPr>
          <w:rFonts w:hint="default" w:ascii="Times New Roman" w:hAnsi="Times New Roman" w:cs="Times New Roman"/>
          <w:color w:val="auto"/>
        </w:rPr>
        <w:t>独立门锁</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并</w:t>
      </w:r>
      <w:r>
        <w:rPr>
          <w:rFonts w:hint="default" w:ascii="Times New Roman" w:hAnsi="Times New Roman" w:cs="Times New Roman"/>
          <w:color w:val="auto"/>
        </w:rPr>
        <w:t>按</w:t>
      </w:r>
      <w:r>
        <w:rPr>
          <w:rFonts w:hint="eastAsia" w:ascii="Times New Roman" w:cs="Times New Roman"/>
          <w:color w:val="auto"/>
          <w:lang w:val="en-US" w:eastAsia="zh-CN"/>
        </w:rPr>
        <w:t>照</w:t>
      </w:r>
      <w:r>
        <w:rPr>
          <w:rFonts w:hint="default" w:ascii="Times New Roman" w:hAnsi="Times New Roman" w:cs="Times New Roman"/>
          <w:color w:val="auto"/>
        </w:rPr>
        <w:t>HJ1276</w:t>
      </w:r>
      <w:r>
        <w:rPr>
          <w:rFonts w:hint="eastAsia" w:ascii="Times New Roman" w:cs="Times New Roman"/>
          <w:color w:val="auto"/>
          <w:lang w:val="en-US" w:eastAsia="zh-CN"/>
        </w:rPr>
        <w:t>确定的标识方法</w:t>
      </w:r>
      <w:r>
        <w:rPr>
          <w:rFonts w:hint="default" w:ascii="Times New Roman" w:hAnsi="Times New Roman" w:cs="Times New Roman"/>
          <w:color w:val="auto"/>
          <w:lang w:val="en-US" w:eastAsia="zh-CN"/>
        </w:rPr>
        <w:t>在回收站（点）外醒目位置设立</w:t>
      </w:r>
      <w:r>
        <w:rPr>
          <w:rFonts w:hint="default" w:ascii="Times New Roman" w:hAnsi="Times New Roman" w:cs="Times New Roman"/>
          <w:color w:val="auto"/>
        </w:rPr>
        <w:t>危险废物贮存设施标志。</w:t>
      </w:r>
    </w:p>
    <w:p w14:paraId="622E54E6">
      <w:pPr>
        <w:pStyle w:val="163"/>
        <w:rPr>
          <w:rFonts w:hint="default" w:ascii="Times New Roman" w:hAnsi="Times New Roman" w:cs="Times New Roman"/>
          <w:color w:val="auto"/>
          <w:highlight w:val="none"/>
        </w:rPr>
      </w:pPr>
      <w:r>
        <w:rPr>
          <w:rFonts w:hint="default" w:ascii="Times New Roman" w:hAnsi="Times New Roman" w:cs="Times New Roman"/>
          <w:color w:val="auto"/>
          <w:lang w:val="en-US" w:eastAsia="zh-CN"/>
        </w:rPr>
        <w:t>各级回收站（点）内部按照</w:t>
      </w:r>
      <w:r>
        <w:rPr>
          <w:rFonts w:hint="default" w:ascii="Times New Roman" w:hAnsi="Times New Roman" w:cs="Times New Roman"/>
          <w:color w:val="auto"/>
        </w:rPr>
        <w:t>农药瓶、农药袋、农药桶（罐）</w:t>
      </w:r>
      <w:r>
        <w:rPr>
          <w:rFonts w:hint="default" w:ascii="Times New Roman" w:hAnsi="Times New Roman" w:cs="Times New Roman"/>
          <w:color w:val="auto"/>
          <w:lang w:val="en-US" w:eastAsia="zh-CN"/>
        </w:rPr>
        <w:t>划分区域</w:t>
      </w:r>
      <w:r>
        <w:rPr>
          <w:rFonts w:hint="default" w:ascii="Times New Roman" w:hAnsi="Times New Roman" w:cs="Times New Roman"/>
          <w:color w:val="auto"/>
        </w:rPr>
        <w:t>，并按照 GB 15562.2 中的规定</w:t>
      </w:r>
      <w:r>
        <w:rPr>
          <w:rFonts w:hint="default" w:ascii="Times New Roman" w:hAnsi="Times New Roman" w:cs="Times New Roman"/>
          <w:color w:val="auto"/>
          <w:lang w:val="en-US" w:eastAsia="zh-CN"/>
        </w:rPr>
        <w:t>设置分区围挡，</w:t>
      </w:r>
      <w:r>
        <w:rPr>
          <w:rFonts w:hint="default" w:ascii="Times New Roman" w:hAnsi="Times New Roman" w:cs="Times New Roman"/>
          <w:color w:val="auto"/>
          <w:highlight w:val="none"/>
          <w:lang w:val="en-US" w:eastAsia="zh-CN"/>
        </w:rPr>
        <w:t>同时</w:t>
      </w:r>
      <w:r>
        <w:rPr>
          <w:rFonts w:hint="default" w:ascii="Times New Roman" w:hAnsi="Times New Roman" w:cs="Times New Roman"/>
          <w:color w:val="auto"/>
        </w:rPr>
        <w:t>配备有盖的回收容器，</w:t>
      </w:r>
      <w:r>
        <w:rPr>
          <w:rFonts w:hint="eastAsia" w:ascii="Times New Roman" w:hAnsi="Times New Roman" w:cs="Times New Roman"/>
          <w:color w:val="auto"/>
          <w:lang w:val="en-US" w:eastAsia="zh-CN"/>
        </w:rPr>
        <w:t>按</w:t>
      </w:r>
      <w:r>
        <w:rPr>
          <w:rFonts w:hint="default" w:ascii="Times New Roman" w:hAnsi="Times New Roman" w:cs="Times New Roman"/>
          <w:color w:val="auto"/>
          <w:lang w:val="en-US" w:eastAsia="zh-CN"/>
        </w:rPr>
        <w:t>包装废弃物分类收纳，</w:t>
      </w:r>
      <w:r>
        <w:rPr>
          <w:rFonts w:hint="eastAsia" w:ascii="Times New Roman" w:hAnsi="Times New Roman" w:cs="Times New Roman"/>
          <w:color w:val="auto"/>
          <w:lang w:val="en-US" w:eastAsia="zh-CN"/>
        </w:rPr>
        <w:t>并</w:t>
      </w:r>
      <w:r>
        <w:rPr>
          <w:rFonts w:hint="default" w:ascii="Times New Roman" w:hAnsi="Times New Roman" w:cs="Times New Roman"/>
          <w:color w:val="auto"/>
        </w:rPr>
        <w:t>在回收</w:t>
      </w:r>
      <w:r>
        <w:rPr>
          <w:rFonts w:hint="default" w:ascii="Times New Roman" w:hAnsi="Times New Roman" w:cs="Times New Roman"/>
          <w:color w:val="auto"/>
          <w:highlight w:val="none"/>
        </w:rPr>
        <w:t>容器</w:t>
      </w:r>
      <w:r>
        <w:rPr>
          <w:rFonts w:hint="default" w:ascii="Times New Roman" w:hAnsi="Times New Roman" w:cs="Times New Roman"/>
          <w:color w:val="auto"/>
          <w:highlight w:val="none"/>
          <w:lang w:val="en-US" w:eastAsia="zh-CN"/>
        </w:rPr>
        <w:t>醒目位置粘贴</w:t>
      </w:r>
      <w:r>
        <w:rPr>
          <w:rFonts w:hint="default" w:ascii="Times New Roman" w:hAnsi="Times New Roman" w:cs="Times New Roman"/>
          <w:color w:val="auto"/>
        </w:rPr>
        <w:t>分类标识</w:t>
      </w:r>
      <w:r>
        <w:rPr>
          <w:rFonts w:hint="default" w:ascii="Times New Roman" w:hAnsi="Times New Roman" w:cs="Times New Roman"/>
          <w:color w:val="auto"/>
          <w:lang w:val="en-US" w:eastAsia="zh-CN"/>
        </w:rPr>
        <w:t>及</w:t>
      </w:r>
      <w:r>
        <w:rPr>
          <w:rFonts w:hint="default" w:ascii="Times New Roman" w:hAnsi="Times New Roman" w:cs="Times New Roman"/>
          <w:color w:val="auto"/>
          <w:highlight w:val="none"/>
        </w:rPr>
        <w:t>警示</w:t>
      </w:r>
      <w:r>
        <w:rPr>
          <w:rFonts w:hint="default" w:ascii="Times New Roman" w:hAnsi="Times New Roman" w:cs="Times New Roman"/>
          <w:color w:val="auto"/>
          <w:highlight w:val="none"/>
          <w:lang w:val="en-US" w:eastAsia="zh-CN"/>
        </w:rPr>
        <w:t>标签</w:t>
      </w:r>
      <w:r>
        <w:rPr>
          <w:rFonts w:hint="eastAsia" w:ascii="Times New Roman" w:cs="Times New Roman"/>
          <w:color w:val="auto"/>
          <w:highlight w:val="none"/>
          <w:lang w:val="en-US" w:eastAsia="zh-CN"/>
        </w:rPr>
        <w:t>。标签应符合</w:t>
      </w:r>
      <w:r>
        <w:rPr>
          <w:rFonts w:hint="default" w:ascii="Times New Roman" w:hAnsi="Times New Roman" w:cs="Times New Roman"/>
          <w:color w:val="auto"/>
          <w:highlight w:val="none"/>
          <w:lang w:val="en-US" w:eastAsia="zh-CN"/>
        </w:rPr>
        <w:t>附录A</w:t>
      </w:r>
      <w:r>
        <w:rPr>
          <w:rFonts w:hint="eastAsia" w:ascii="Times New Roman" w:cs="Times New Roman"/>
          <w:color w:val="auto"/>
          <w:highlight w:val="none"/>
          <w:lang w:val="en-US" w:eastAsia="zh-CN"/>
        </w:rPr>
        <w:t>要求</w:t>
      </w:r>
      <w:r>
        <w:rPr>
          <w:rFonts w:hint="default" w:ascii="Times New Roman" w:hAnsi="Times New Roman" w:cs="Times New Roman"/>
          <w:color w:val="auto"/>
          <w:highlight w:val="none"/>
        </w:rPr>
        <w:t>。</w:t>
      </w:r>
    </w:p>
    <w:p w14:paraId="28CAB287">
      <w:pPr>
        <w:pStyle w:val="163"/>
        <w:rPr>
          <w:rFonts w:hint="default" w:ascii="Times New Roman" w:hAnsi="Times New Roman" w:cs="Times New Roman"/>
          <w:color w:val="auto"/>
        </w:rPr>
      </w:pPr>
      <w:r>
        <w:rPr>
          <w:rFonts w:hint="default" w:ascii="Times New Roman" w:hAnsi="Times New Roman" w:cs="Times New Roman"/>
          <w:color w:val="auto"/>
          <w:lang w:val="en-US" w:eastAsia="zh-CN"/>
        </w:rPr>
        <w:t>各级回收站（点）</w:t>
      </w:r>
      <w:r>
        <w:rPr>
          <w:rFonts w:hint="default" w:ascii="Times New Roman" w:hAnsi="Times New Roman" w:cs="Times New Roman"/>
          <w:color w:val="auto"/>
        </w:rPr>
        <w:t>应配备必要的个人防护装备，</w:t>
      </w:r>
      <w:r>
        <w:rPr>
          <w:rFonts w:hint="default" w:ascii="Times New Roman" w:hAnsi="Times New Roman" w:cs="Times New Roman"/>
          <w:color w:val="auto"/>
          <w:lang w:val="en-US" w:eastAsia="zh-CN"/>
        </w:rPr>
        <w:t>包括</w:t>
      </w:r>
      <w:r>
        <w:rPr>
          <w:rFonts w:hint="default" w:ascii="Times New Roman" w:hAnsi="Times New Roman" w:cs="Times New Roman"/>
          <w:color w:val="auto"/>
        </w:rPr>
        <w:t>手套、防护服、护目镜、防毒面具或口罩等。</w:t>
      </w:r>
    </w:p>
    <w:p w14:paraId="577C0EEB">
      <w:pPr>
        <w:pStyle w:val="163"/>
        <w:rPr>
          <w:rFonts w:hint="default" w:ascii="Times New Roman" w:hAnsi="Times New Roman" w:cs="Times New Roman"/>
          <w:color w:val="auto"/>
        </w:rPr>
      </w:pPr>
      <w:r>
        <w:rPr>
          <w:rFonts w:hint="default" w:ascii="Times New Roman" w:hAnsi="Times New Roman" w:cs="Times New Roman"/>
          <w:color w:val="auto"/>
          <w:lang w:val="en-US" w:eastAsia="zh-CN"/>
        </w:rPr>
        <w:t>各级回收站（点）</w:t>
      </w:r>
      <w:r>
        <w:rPr>
          <w:rFonts w:hint="default" w:ascii="Times New Roman" w:hAnsi="Times New Roman" w:cs="Times New Roman"/>
          <w:color w:val="auto"/>
        </w:rPr>
        <w:t>应采取相应的防爆、防火</w:t>
      </w:r>
      <w:r>
        <w:rPr>
          <w:rFonts w:hint="default" w:ascii="Times New Roman" w:hAnsi="Times New Roman" w:cs="Times New Roman"/>
          <w:color w:val="auto"/>
          <w:lang w:val="en-US" w:eastAsia="zh-CN"/>
        </w:rPr>
        <w:t>等安全</w:t>
      </w:r>
      <w:r>
        <w:rPr>
          <w:rFonts w:hint="default" w:ascii="Times New Roman" w:hAnsi="Times New Roman" w:cs="Times New Roman"/>
          <w:color w:val="auto"/>
        </w:rPr>
        <w:t>措施</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配备干粉灭火器、消防沙池等</w:t>
      </w:r>
      <w:r>
        <w:rPr>
          <w:rFonts w:hint="default" w:ascii="Times New Roman" w:hAnsi="Times New Roman" w:cs="Times New Roman"/>
          <w:color w:val="auto"/>
        </w:rPr>
        <w:t>。</w:t>
      </w:r>
    </w:p>
    <w:p w14:paraId="6912CC97">
      <w:pPr>
        <w:pStyle w:val="163"/>
        <w:rPr>
          <w:rFonts w:hint="default" w:ascii="Times New Roman" w:hAnsi="Times New Roman" w:cs="Times New Roman"/>
          <w:color w:val="auto"/>
        </w:rPr>
      </w:pPr>
      <w:r>
        <w:rPr>
          <w:rFonts w:hint="default" w:ascii="Times New Roman" w:hAnsi="Times New Roman" w:cs="Times New Roman"/>
          <w:color w:val="auto"/>
          <w:lang w:val="en-US" w:eastAsia="zh-CN"/>
        </w:rPr>
        <w:t>各级回收站（点）</w:t>
      </w:r>
      <w:r>
        <w:rPr>
          <w:rFonts w:hint="default" w:ascii="Times New Roman" w:hAnsi="Times New Roman" w:cs="Times New Roman"/>
          <w:color w:val="auto"/>
        </w:rPr>
        <w:t>应建立农药包装废弃物回收</w:t>
      </w:r>
      <w:r>
        <w:rPr>
          <w:rFonts w:hint="default" w:ascii="Times New Roman" w:hAnsi="Times New Roman" w:cs="Times New Roman"/>
          <w:color w:val="auto"/>
          <w:lang w:val="en-US" w:eastAsia="zh-CN"/>
        </w:rPr>
        <w:t>站（点）</w:t>
      </w:r>
      <w:r>
        <w:rPr>
          <w:rFonts w:hint="default" w:ascii="Times New Roman" w:hAnsi="Times New Roman" w:cs="Times New Roman"/>
          <w:color w:val="auto"/>
        </w:rPr>
        <w:t>工作台账，记录农药包装废弃物的</w:t>
      </w:r>
      <w:r>
        <w:rPr>
          <w:rFonts w:hint="default" w:ascii="Times New Roman" w:hAnsi="Times New Roman" w:cs="Times New Roman"/>
          <w:color w:val="auto"/>
          <w:lang w:val="en-US" w:eastAsia="zh-CN"/>
        </w:rPr>
        <w:t>形式、</w:t>
      </w:r>
      <w:r>
        <w:rPr>
          <w:rFonts w:hint="default" w:ascii="Times New Roman" w:hAnsi="Times New Roman" w:cs="Times New Roman"/>
          <w:color w:val="auto"/>
        </w:rPr>
        <w:t>数量</w:t>
      </w:r>
      <w:r>
        <w:rPr>
          <w:rFonts w:hint="default" w:ascii="Times New Roman" w:hAnsi="Times New Roman" w:cs="Times New Roman"/>
          <w:color w:val="auto"/>
          <w:lang w:val="en-US" w:eastAsia="zh-CN"/>
        </w:rPr>
        <w:t>等</w:t>
      </w:r>
      <w:r>
        <w:rPr>
          <w:rFonts w:hint="default" w:ascii="Times New Roman" w:hAnsi="Times New Roman" w:cs="Times New Roman"/>
          <w:color w:val="auto"/>
        </w:rPr>
        <w:t>信息</w:t>
      </w:r>
      <w:r>
        <w:rPr>
          <w:rFonts w:hint="default" w:ascii="Times New Roman" w:hAnsi="Times New Roman" w:cs="Times New Roman"/>
          <w:color w:val="auto"/>
          <w:lang w:val="en-US" w:eastAsia="zh-CN"/>
        </w:rPr>
        <w:t>并</w:t>
      </w:r>
      <w:r>
        <w:rPr>
          <w:rFonts w:hint="default" w:ascii="Times New Roman" w:hAnsi="Times New Roman" w:cs="Times New Roman"/>
          <w:color w:val="auto"/>
        </w:rPr>
        <w:t>建立回收电子台账，台账应保存</w:t>
      </w:r>
      <w:r>
        <w:rPr>
          <w:rFonts w:hint="default" w:ascii="Times New Roman" w:hAnsi="Times New Roman" w:cs="Times New Roman"/>
          <w:color w:val="auto"/>
          <w:lang w:val="en-US" w:eastAsia="zh-CN"/>
        </w:rPr>
        <w:t>2</w:t>
      </w:r>
      <w:r>
        <w:rPr>
          <w:rFonts w:hint="default" w:ascii="Times New Roman" w:hAnsi="Times New Roman" w:cs="Times New Roman"/>
          <w:color w:val="auto"/>
        </w:rPr>
        <w:t>年以上。</w:t>
      </w:r>
      <w:r>
        <w:rPr>
          <w:rFonts w:hint="eastAsia" w:ascii="Times New Roman" w:cs="Times New Roman"/>
          <w:color w:val="auto"/>
          <w:lang w:val="en-US" w:eastAsia="zh-CN"/>
        </w:rPr>
        <w:t>工作台账应符合</w:t>
      </w:r>
      <w:r>
        <w:rPr>
          <w:rFonts w:hint="default" w:ascii="Times New Roman" w:hAnsi="Times New Roman" w:cs="Times New Roman"/>
          <w:color w:val="auto"/>
          <w:lang w:val="en-US" w:eastAsia="zh-CN"/>
        </w:rPr>
        <w:t>附录B</w:t>
      </w:r>
      <w:r>
        <w:rPr>
          <w:rFonts w:hint="eastAsia" w:ascii="Times New Roman" w:cs="Times New Roman"/>
          <w:color w:val="auto"/>
          <w:lang w:val="en-US" w:eastAsia="zh-CN"/>
        </w:rPr>
        <w:t>要求。</w:t>
      </w:r>
    </w:p>
    <w:p w14:paraId="777B5C69">
      <w:pPr>
        <w:pStyle w:val="163"/>
        <w:rPr>
          <w:rFonts w:hint="default" w:ascii="Times New Roman" w:hAnsi="Times New Roman" w:cs="Times New Roman"/>
          <w:color w:val="auto"/>
        </w:rPr>
      </w:pPr>
      <w:r>
        <w:rPr>
          <w:rFonts w:hint="default" w:ascii="Times New Roman" w:hAnsi="Times New Roman" w:cs="Times New Roman"/>
          <w:color w:val="auto"/>
          <w:lang w:val="en-US" w:eastAsia="zh-CN"/>
        </w:rPr>
        <w:t>各级</w:t>
      </w:r>
      <w:r>
        <w:rPr>
          <w:rFonts w:hint="default" w:ascii="Times New Roman" w:hAnsi="Times New Roman" w:cs="Times New Roman"/>
          <w:color w:val="auto"/>
        </w:rPr>
        <w:t>回收</w:t>
      </w:r>
      <w:r>
        <w:rPr>
          <w:rFonts w:hint="default" w:ascii="Times New Roman" w:hAnsi="Times New Roman" w:cs="Times New Roman"/>
          <w:color w:val="auto"/>
          <w:lang w:val="en-US" w:eastAsia="zh-CN"/>
        </w:rPr>
        <w:t>站（点）设置专题宣传栏，介绍农药包装废弃物危害、环境保护要求、</w:t>
      </w:r>
      <w:r>
        <w:rPr>
          <w:rFonts w:hint="eastAsia"/>
          <w:color w:val="auto"/>
        </w:rPr>
        <w:t>分类投放</w:t>
      </w:r>
      <w:r>
        <w:rPr>
          <w:rFonts w:hint="eastAsia"/>
          <w:color w:val="auto"/>
          <w:lang w:val="en-US" w:eastAsia="zh-CN"/>
        </w:rPr>
        <w:t>规定等信息</w:t>
      </w:r>
      <w:r>
        <w:rPr>
          <w:rFonts w:hint="eastAsia"/>
          <w:color w:val="auto"/>
        </w:rPr>
        <w:t>，引导农药生产</w:t>
      </w:r>
      <w:r>
        <w:rPr>
          <w:rFonts w:hint="default" w:ascii="Times New Roman" w:hAnsi="Times New Roman" w:cs="Times New Roman"/>
          <w:color w:val="auto"/>
        </w:rPr>
        <w:t>者、经营者及使用者</w:t>
      </w:r>
      <w:r>
        <w:rPr>
          <w:rFonts w:hint="default" w:ascii="Times New Roman" w:hAnsi="Times New Roman" w:cs="Times New Roman"/>
          <w:color w:val="auto"/>
          <w:lang w:val="en-US" w:eastAsia="zh-CN"/>
        </w:rPr>
        <w:t>主动回收、</w:t>
      </w:r>
      <w:r>
        <w:rPr>
          <w:rFonts w:hint="default" w:ascii="Times New Roman" w:hAnsi="Times New Roman" w:cs="Times New Roman"/>
          <w:color w:val="auto"/>
        </w:rPr>
        <w:t>正确分类。</w:t>
      </w:r>
    </w:p>
    <w:p w14:paraId="5362F74F">
      <w:pPr>
        <w:pStyle w:val="163"/>
        <w:rPr>
          <w:color w:val="0000FF"/>
        </w:rPr>
      </w:pPr>
      <w:r>
        <w:rPr>
          <w:rFonts w:hint="default" w:ascii="Times New Roman" w:hAnsi="Times New Roman" w:cs="Times New Roman"/>
          <w:color w:val="auto"/>
          <w:lang w:val="en-US" w:eastAsia="zh-CN"/>
        </w:rPr>
        <w:t>回收站（点）应至少配置1名专（兼）职人员负</w:t>
      </w:r>
      <w:r>
        <w:rPr>
          <w:rFonts w:hint="eastAsia"/>
          <w:color w:val="auto"/>
          <w:lang w:val="en-US" w:eastAsia="zh-CN"/>
        </w:rPr>
        <w:t>责日常管护，人员应熟悉农药包装废弃物危害、收贮过程相关环境保护与污染防治规定。</w:t>
      </w:r>
    </w:p>
    <w:p w14:paraId="05D4C489">
      <w:pPr>
        <w:pStyle w:val="105"/>
        <w:spacing w:before="312" w:after="312"/>
      </w:pPr>
      <w:bookmarkStart w:id="57" w:name="_Toc5105"/>
      <w:r>
        <w:rPr>
          <w:rFonts w:hint="eastAsia"/>
        </w:rPr>
        <w:t>收集</w:t>
      </w:r>
      <w:bookmarkEnd w:id="57"/>
    </w:p>
    <w:p w14:paraId="59612EDC">
      <w:pPr>
        <w:pStyle w:val="163"/>
        <w:rPr>
          <w:rFonts w:hint="default" w:ascii="Times New Roman" w:hAnsi="Times New Roman" w:cs="Times New Roman"/>
          <w:color w:val="auto"/>
          <w:highlight w:val="none"/>
        </w:rPr>
      </w:pPr>
      <w:r>
        <w:rPr>
          <w:rFonts w:hint="eastAsia"/>
          <w:color w:val="auto"/>
        </w:rPr>
        <w:t>农</w:t>
      </w:r>
      <w:r>
        <w:rPr>
          <w:rFonts w:hint="default" w:ascii="Times New Roman" w:hAnsi="Times New Roman" w:cs="Times New Roman"/>
          <w:color w:val="auto"/>
        </w:rPr>
        <w:t>药包装废弃物</w:t>
      </w:r>
      <w:r>
        <w:rPr>
          <w:rFonts w:hint="default" w:ascii="Times New Roman" w:hAnsi="Times New Roman" w:cs="Times New Roman"/>
          <w:color w:val="auto"/>
          <w:highlight w:val="none"/>
          <w:lang w:val="en-US" w:eastAsia="zh-CN"/>
        </w:rPr>
        <w:t>回收前</w:t>
      </w:r>
      <w:r>
        <w:rPr>
          <w:rFonts w:hint="default" w:ascii="Times New Roman" w:hAnsi="Times New Roman" w:cs="Times New Roman"/>
          <w:color w:val="auto"/>
        </w:rPr>
        <w:t>应进行清洗</w:t>
      </w:r>
      <w:r>
        <w:rPr>
          <w:rFonts w:hint="default" w:ascii="Times New Roman" w:hAnsi="Times New Roman" w:cs="Times New Roman"/>
          <w:color w:val="auto"/>
          <w:lang w:eastAsia="zh-CN"/>
        </w:rPr>
        <w:t>。</w:t>
      </w:r>
      <w:r>
        <w:rPr>
          <w:rFonts w:hint="default" w:ascii="Times New Roman" w:hAnsi="Times New Roman" w:cs="Times New Roman"/>
          <w:color w:val="auto"/>
        </w:rPr>
        <w:t>农药使用者在</w:t>
      </w:r>
      <w:r>
        <w:rPr>
          <w:rFonts w:hint="default" w:ascii="Times New Roman" w:hAnsi="Times New Roman" w:cs="Times New Roman"/>
          <w:color w:val="auto"/>
          <w:lang w:val="en-US" w:eastAsia="zh-CN"/>
        </w:rPr>
        <w:t>使用</w:t>
      </w:r>
      <w:r>
        <w:rPr>
          <w:rFonts w:hint="default" w:ascii="Times New Roman" w:hAnsi="Times New Roman" w:cs="Times New Roman"/>
          <w:color w:val="auto"/>
          <w:highlight w:val="none"/>
          <w:lang w:val="en-US" w:eastAsia="zh-CN"/>
        </w:rPr>
        <w:t>时</w:t>
      </w:r>
      <w:r>
        <w:rPr>
          <w:rFonts w:hint="default" w:ascii="Times New Roman" w:hAnsi="Times New Roman" w:cs="Times New Roman"/>
          <w:color w:val="auto"/>
          <w:highlight w:val="none"/>
        </w:rPr>
        <w:t>应</w:t>
      </w:r>
      <w:r>
        <w:rPr>
          <w:rFonts w:hint="default" w:ascii="Times New Roman" w:hAnsi="Times New Roman" w:cs="Times New Roman"/>
          <w:color w:val="auto"/>
          <w:highlight w:val="none"/>
          <w:lang w:eastAsia="zh-CN"/>
        </w:rPr>
        <w:t>尽量将</w:t>
      </w:r>
      <w:r>
        <w:rPr>
          <w:rFonts w:hint="eastAsia" w:ascii="Times New Roman" w:cs="Times New Roman"/>
          <w:color w:val="auto"/>
          <w:highlight w:val="none"/>
          <w:lang w:val="en-US" w:eastAsia="zh-CN"/>
        </w:rPr>
        <w:t>包装内</w:t>
      </w:r>
      <w:r>
        <w:rPr>
          <w:rFonts w:hint="default" w:ascii="Times New Roman" w:hAnsi="Times New Roman" w:cs="Times New Roman"/>
          <w:color w:val="auto"/>
          <w:highlight w:val="none"/>
          <w:lang w:eastAsia="zh-CN"/>
        </w:rPr>
        <w:t>药剂清洗</w:t>
      </w:r>
      <w:r>
        <w:rPr>
          <w:rFonts w:hint="eastAsia" w:ascii="Times New Roman" w:cs="Times New Roman"/>
          <w:color w:val="auto"/>
          <w:highlight w:val="none"/>
          <w:lang w:val="en-US" w:eastAsia="zh-CN"/>
        </w:rPr>
        <w:t>至</w:t>
      </w:r>
      <w:r>
        <w:rPr>
          <w:rFonts w:hint="default" w:ascii="Times New Roman" w:hAnsi="Times New Roman" w:cs="Times New Roman"/>
          <w:color w:val="auto"/>
          <w:highlight w:val="none"/>
          <w:lang w:eastAsia="zh-CN"/>
        </w:rPr>
        <w:t>农药配液</w:t>
      </w:r>
      <w:r>
        <w:rPr>
          <w:rFonts w:hint="default" w:ascii="Times New Roman" w:hAnsi="Times New Roman" w:cs="Times New Roman"/>
          <w:color w:val="auto"/>
        </w:rPr>
        <w:t>，每次用农药包装规格一半容量的清水，上下振荡清洗 3 次以上，每次10</w:t>
      </w:r>
      <w:r>
        <w:rPr>
          <w:rFonts w:hint="default" w:ascii="Times New Roman" w:hAnsi="Times New Roman" w:cs="Times New Roman"/>
          <w:color w:val="auto"/>
          <w:lang w:eastAsia="zh-CN"/>
        </w:rPr>
        <w:t>秒</w:t>
      </w:r>
      <w:r>
        <w:rPr>
          <w:rFonts w:hint="default" w:ascii="Times New Roman" w:hAnsi="Times New Roman" w:cs="Times New Roman"/>
          <w:color w:val="auto"/>
        </w:rPr>
        <w:t>～l5</w:t>
      </w:r>
      <w:r>
        <w:rPr>
          <w:rFonts w:hint="default" w:ascii="Times New Roman" w:hAnsi="Times New Roman" w:cs="Times New Roman"/>
          <w:color w:val="auto"/>
          <w:lang w:eastAsia="zh-CN"/>
        </w:rPr>
        <w:t>秒</w:t>
      </w:r>
      <w:r>
        <w:rPr>
          <w:rFonts w:hint="default" w:ascii="Times New Roman" w:hAnsi="Times New Roman" w:cs="Times New Roman"/>
          <w:color w:val="auto"/>
        </w:rPr>
        <w:t>，将清洗农药包装内部的水并入农药配液中，减少</w:t>
      </w:r>
      <w:r>
        <w:rPr>
          <w:rFonts w:hint="default" w:ascii="Times New Roman" w:hAnsi="Times New Roman" w:cs="Times New Roman"/>
          <w:color w:val="auto"/>
          <w:lang w:val="en-US" w:eastAsia="zh-CN"/>
        </w:rPr>
        <w:t>包装物上</w:t>
      </w:r>
      <w:r>
        <w:rPr>
          <w:rFonts w:hint="default" w:ascii="Times New Roman" w:hAnsi="Times New Roman" w:cs="Times New Roman"/>
          <w:color w:val="auto"/>
        </w:rPr>
        <w:t>农药残留。</w:t>
      </w:r>
      <w:r>
        <w:rPr>
          <w:rFonts w:hint="default" w:ascii="Times New Roman" w:hAnsi="Times New Roman" w:cs="Times New Roman"/>
          <w:color w:val="auto"/>
          <w:highlight w:val="none"/>
        </w:rPr>
        <w:t>清洗后的包装废弃物</w:t>
      </w:r>
      <w:r>
        <w:rPr>
          <w:rFonts w:hint="default" w:ascii="Times New Roman" w:hAnsi="Times New Roman" w:cs="Times New Roman"/>
          <w:color w:val="auto"/>
          <w:highlight w:val="none"/>
          <w:lang w:val="en-US" w:eastAsia="zh-CN"/>
        </w:rPr>
        <w:t>及时</w:t>
      </w:r>
      <w:bookmarkStart w:id="58" w:name="OLE_LINK3"/>
      <w:r>
        <w:rPr>
          <w:rFonts w:hint="default" w:ascii="Times New Roman" w:hAnsi="Times New Roman" w:cs="Times New Roman"/>
          <w:color w:val="auto"/>
          <w:highlight w:val="none"/>
          <w:lang w:val="en-US" w:eastAsia="zh-CN"/>
        </w:rPr>
        <w:t>送</w:t>
      </w:r>
      <w:r>
        <w:rPr>
          <w:rFonts w:hint="eastAsia" w:ascii="Times New Roman" w:cs="Times New Roman"/>
          <w:color w:val="auto"/>
          <w:highlight w:val="none"/>
          <w:lang w:val="en-US" w:eastAsia="zh-CN"/>
        </w:rPr>
        <w:t>一级</w:t>
      </w:r>
      <w:r>
        <w:rPr>
          <w:rFonts w:hint="default" w:ascii="Times New Roman" w:hAnsi="Times New Roman" w:cs="Times New Roman"/>
          <w:color w:val="auto"/>
          <w:highlight w:val="none"/>
          <w:lang w:val="en-US" w:eastAsia="zh-CN"/>
        </w:rPr>
        <w:t>回收站（点）</w:t>
      </w:r>
      <w:bookmarkEnd w:id="58"/>
      <w:r>
        <w:rPr>
          <w:rFonts w:hint="default" w:ascii="Times New Roman" w:hAnsi="Times New Roman" w:cs="Times New Roman"/>
          <w:color w:val="auto"/>
          <w:highlight w:val="none"/>
          <w:lang w:val="en-US" w:eastAsia="zh-CN"/>
        </w:rPr>
        <w:t>或交农药经营者</w:t>
      </w:r>
      <w:r>
        <w:rPr>
          <w:rFonts w:hint="default" w:ascii="Times New Roman" w:hAnsi="Times New Roman" w:eastAsia="宋体" w:cs="Times New Roman"/>
          <w:b w:val="0"/>
          <w:color w:val="auto"/>
          <w:spacing w:val="0"/>
          <w:sz w:val="21"/>
          <w:szCs w:val="21"/>
          <w:lang w:val="en-US" w:eastAsia="zh-CN"/>
        </w:rPr>
        <w:t>，</w:t>
      </w:r>
      <w:r>
        <w:rPr>
          <w:rFonts w:hint="eastAsia" w:ascii="Times New Roman" w:hAnsi="Times New Roman" w:cs="Times New Roman"/>
          <w:b w:val="0"/>
          <w:color w:val="auto"/>
          <w:spacing w:val="0"/>
          <w:sz w:val="21"/>
          <w:szCs w:val="21"/>
          <w:lang w:val="en-US" w:eastAsia="zh-CN"/>
        </w:rPr>
        <w:t>做到当日产生当日回收</w:t>
      </w:r>
      <w:r>
        <w:rPr>
          <w:rFonts w:hint="default" w:ascii="Times New Roman" w:hAnsi="Times New Roman" w:cs="Times New Roman"/>
          <w:color w:val="auto"/>
          <w:highlight w:val="none"/>
        </w:rPr>
        <w:t>。</w:t>
      </w:r>
    </w:p>
    <w:p w14:paraId="4DED796D">
      <w:pPr>
        <w:pStyle w:val="163"/>
        <w:rPr>
          <w:rFonts w:hint="default" w:ascii="Times New Roman" w:hAnsi="Times New Roman" w:cs="Times New Roman"/>
        </w:rPr>
      </w:pPr>
      <w:r>
        <w:rPr>
          <w:rFonts w:hint="default" w:ascii="Times New Roman" w:hAnsi="Times New Roman" w:cs="Times New Roman"/>
        </w:rPr>
        <w:t>农药使用者宜保留农药产品包装标识，方便进行资源化利用。</w:t>
      </w:r>
    </w:p>
    <w:p w14:paraId="163EFBBE">
      <w:pPr>
        <w:pStyle w:val="163"/>
        <w:rPr>
          <w:rFonts w:hint="default" w:ascii="Times New Roman" w:hAnsi="Times New Roman" w:cs="Times New Roman"/>
        </w:rPr>
      </w:pPr>
      <w:r>
        <w:rPr>
          <w:rFonts w:hint="default" w:ascii="Times New Roman" w:hAnsi="Times New Roman" w:cs="Times New Roman"/>
          <w:color w:val="auto"/>
        </w:rPr>
        <w:t>农药经营者及使用者应</w:t>
      </w:r>
      <w:r>
        <w:rPr>
          <w:rFonts w:hint="default" w:ascii="Times New Roman" w:hAnsi="Times New Roman" w:cs="Times New Roman"/>
          <w:color w:val="auto"/>
          <w:lang w:val="en-US" w:eastAsia="zh-CN"/>
        </w:rPr>
        <w:t>及时收集产生的</w:t>
      </w:r>
      <w:r>
        <w:rPr>
          <w:rFonts w:hint="default" w:ascii="Times New Roman" w:hAnsi="Times New Roman" w:cs="Times New Roman"/>
          <w:color w:val="auto"/>
        </w:rPr>
        <w:t>农药包装废弃物</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使用耐磨、防渗漏的垃圾袋或容器装载</w:t>
      </w:r>
      <w:r>
        <w:rPr>
          <w:rFonts w:hint="default" w:ascii="Times New Roman" w:hAnsi="Times New Roman" w:cs="Times New Roman"/>
          <w:color w:val="auto"/>
        </w:rPr>
        <w:t>妥善保管</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并按</w:t>
      </w:r>
      <w:r>
        <w:rPr>
          <w:rFonts w:hint="default" w:ascii="Times New Roman" w:hAnsi="Times New Roman" w:cs="Times New Roman"/>
          <w:lang w:val="en-US" w:eastAsia="zh-CN"/>
        </w:rPr>
        <w:t>照4.2条流程</w:t>
      </w:r>
      <w:r>
        <w:rPr>
          <w:rFonts w:hint="default" w:ascii="Times New Roman" w:hAnsi="Times New Roman" w:cs="Times New Roman"/>
        </w:rPr>
        <w:t>将农药包装废弃物就近送往农药包装废弃物回收站</w:t>
      </w:r>
      <w:r>
        <w:rPr>
          <w:rFonts w:hint="default" w:ascii="Times New Roman" w:hAnsi="Times New Roman" w:cs="Times New Roman"/>
          <w:lang w:eastAsia="zh-CN"/>
        </w:rPr>
        <w:t>（</w:t>
      </w:r>
      <w:r>
        <w:rPr>
          <w:rFonts w:hint="default" w:ascii="Times New Roman" w:hAnsi="Times New Roman" w:cs="Times New Roman"/>
          <w:lang w:val="en-US" w:eastAsia="zh-CN"/>
        </w:rPr>
        <w:t>点</w:t>
      </w:r>
      <w:r>
        <w:rPr>
          <w:rFonts w:hint="default" w:ascii="Times New Roman" w:hAnsi="Times New Roman" w:cs="Times New Roman"/>
          <w:lang w:eastAsia="zh-CN"/>
        </w:rPr>
        <w:t>）</w:t>
      </w:r>
      <w:r>
        <w:rPr>
          <w:rFonts w:hint="default" w:ascii="Times New Roman" w:hAnsi="Times New Roman" w:cs="Times New Roman"/>
        </w:rPr>
        <w:t>。参与农药包装废弃物收集过程的人员应按照HJ 2025中的规定采取安全防护和环境污染防控措施。</w:t>
      </w:r>
    </w:p>
    <w:p w14:paraId="45A98BB9">
      <w:pPr>
        <w:pStyle w:val="105"/>
        <w:spacing w:before="312" w:after="312"/>
      </w:pPr>
      <w:bookmarkStart w:id="59" w:name="_Toc29273"/>
      <w:r>
        <w:rPr>
          <w:rFonts w:hint="eastAsia"/>
        </w:rPr>
        <w:t>归集</w:t>
      </w:r>
      <w:r>
        <w:rPr>
          <w:rFonts w:hint="eastAsia"/>
          <w:lang w:val="en-US" w:eastAsia="zh-CN"/>
        </w:rPr>
        <w:t>和集中收贮</w:t>
      </w:r>
      <w:bookmarkEnd w:id="59"/>
    </w:p>
    <w:p w14:paraId="6D2E1AAF">
      <w:pPr>
        <w:pStyle w:val="163"/>
        <w:rPr>
          <w:rFonts w:hint="default" w:ascii="Times New Roman" w:hAnsi="Times New Roman" w:cs="Times New Roman"/>
          <w:color w:val="auto"/>
        </w:rPr>
      </w:pPr>
      <w:r>
        <w:rPr>
          <w:rFonts w:hint="default" w:ascii="Times New Roman" w:hAnsi="Times New Roman" w:cs="Times New Roman"/>
          <w:color w:val="auto"/>
        </w:rPr>
        <w:t>一级回收站（点）</w:t>
      </w:r>
      <w:r>
        <w:rPr>
          <w:rFonts w:hint="eastAsia" w:ascii="Times New Roman" w:cs="Times New Roman"/>
          <w:color w:val="auto"/>
          <w:lang w:val="en-US" w:eastAsia="zh-CN"/>
        </w:rPr>
        <w:t>回收</w:t>
      </w:r>
      <w:r>
        <w:rPr>
          <w:rFonts w:hint="default" w:ascii="Times New Roman" w:hAnsi="Times New Roman" w:cs="Times New Roman"/>
          <w:color w:val="auto"/>
        </w:rPr>
        <w:t>的农药包装废弃物</w:t>
      </w:r>
      <w:bookmarkStart w:id="60" w:name="OLE_LINK4"/>
      <w:r>
        <w:rPr>
          <w:rFonts w:hint="eastAsia" w:ascii="Times New Roman" w:hAnsi="Times New Roman" w:cs="Times New Roman"/>
          <w:color w:val="auto"/>
          <w:lang w:val="en-US" w:eastAsia="zh-CN"/>
        </w:rPr>
        <w:t>应归集至所属辖区的</w:t>
      </w:r>
      <w:r>
        <w:rPr>
          <w:rFonts w:hint="default" w:ascii="Times New Roman" w:hAnsi="Times New Roman" w:cs="Times New Roman"/>
          <w:color w:val="auto"/>
        </w:rPr>
        <w:t>二级回收站（点）</w:t>
      </w:r>
      <w:bookmarkEnd w:id="60"/>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至少1周</w:t>
      </w:r>
      <w:r>
        <w:rPr>
          <w:rFonts w:hint="eastAsia" w:ascii="Times New Roman" w:cs="Times New Roman"/>
          <w:color w:val="auto"/>
          <w:lang w:val="en-US" w:eastAsia="zh-CN"/>
        </w:rPr>
        <w:t>归集一次</w:t>
      </w:r>
      <w:r>
        <w:rPr>
          <w:rFonts w:hint="default" w:ascii="Times New Roman" w:hAnsi="Times New Roman" w:cs="Times New Roman"/>
          <w:color w:val="auto"/>
        </w:rPr>
        <w:t>。</w:t>
      </w:r>
    </w:p>
    <w:p w14:paraId="2E3ECC8A">
      <w:pPr>
        <w:pStyle w:val="163"/>
        <w:rPr>
          <w:rFonts w:hint="default" w:ascii="Times New Roman" w:hAnsi="Times New Roman" w:cs="Times New Roman"/>
          <w:color w:val="auto"/>
        </w:rPr>
      </w:pPr>
      <w:r>
        <w:rPr>
          <w:rFonts w:hint="default" w:ascii="Times New Roman" w:hAnsi="Times New Roman" w:cs="Times New Roman"/>
          <w:color w:val="auto"/>
        </w:rPr>
        <w:t>二级回收站（点）</w:t>
      </w:r>
      <w:r>
        <w:rPr>
          <w:rFonts w:hint="default" w:ascii="Times New Roman" w:hAnsi="Times New Roman" w:cs="Times New Roman"/>
          <w:color w:val="auto"/>
          <w:lang w:val="en-US" w:eastAsia="zh-CN"/>
        </w:rPr>
        <w:t>回收</w:t>
      </w:r>
      <w:r>
        <w:rPr>
          <w:rFonts w:hint="default" w:ascii="Times New Roman" w:hAnsi="Times New Roman" w:cs="Times New Roman"/>
          <w:color w:val="auto"/>
        </w:rPr>
        <w:t>的农药包装废弃物应</w:t>
      </w:r>
      <w:r>
        <w:rPr>
          <w:rFonts w:hint="eastAsia" w:ascii="Times New Roman" w:cs="Times New Roman"/>
          <w:color w:val="auto"/>
          <w:lang w:val="en-US" w:eastAsia="zh-CN"/>
        </w:rPr>
        <w:t>集中</w:t>
      </w:r>
      <w:r>
        <w:rPr>
          <w:rFonts w:hint="eastAsia" w:ascii="Times New Roman" w:hAnsi="Times New Roman" w:cs="Times New Roman"/>
          <w:color w:val="auto"/>
          <w:lang w:val="en-US" w:eastAsia="zh-CN"/>
        </w:rPr>
        <w:t>转运至</w:t>
      </w:r>
      <w:r>
        <w:rPr>
          <w:rFonts w:hint="default" w:ascii="Times New Roman" w:hAnsi="Times New Roman" w:cs="Times New Roman"/>
          <w:color w:val="auto"/>
        </w:rPr>
        <w:t>县级集中收贮中心，</w:t>
      </w:r>
      <w:r>
        <w:rPr>
          <w:rFonts w:hint="default" w:ascii="Times New Roman" w:hAnsi="Times New Roman" w:cs="Times New Roman"/>
          <w:color w:val="auto"/>
          <w:lang w:val="en-US" w:eastAsia="zh-CN"/>
        </w:rPr>
        <w:t>至少2周</w:t>
      </w:r>
      <w:r>
        <w:rPr>
          <w:rFonts w:hint="eastAsia" w:ascii="Times New Roman" w:cs="Times New Roman"/>
          <w:color w:val="auto"/>
          <w:lang w:val="en-US" w:eastAsia="zh-CN"/>
        </w:rPr>
        <w:t>转运</w:t>
      </w:r>
      <w:r>
        <w:rPr>
          <w:rFonts w:hint="default" w:ascii="Times New Roman" w:hAnsi="Times New Roman" w:cs="Times New Roman"/>
          <w:color w:val="auto"/>
          <w:lang w:val="en-US" w:eastAsia="zh-CN"/>
        </w:rPr>
        <w:t>一次</w:t>
      </w:r>
      <w:r>
        <w:rPr>
          <w:rFonts w:hint="default" w:ascii="Times New Roman" w:hAnsi="Times New Roman" w:cs="Times New Roman"/>
          <w:color w:val="auto"/>
        </w:rPr>
        <w:t>。</w:t>
      </w:r>
    </w:p>
    <w:p w14:paraId="0EDA05FD">
      <w:pPr>
        <w:pStyle w:val="163"/>
        <w:rPr>
          <w:rFonts w:hint="default" w:ascii="Times New Roman" w:hAnsi="Times New Roman" w:cs="Times New Roman"/>
          <w:color w:val="auto"/>
        </w:rPr>
      </w:pPr>
      <w:r>
        <w:rPr>
          <w:rFonts w:hint="default" w:ascii="Times New Roman" w:hAnsi="Times New Roman" w:cs="Times New Roman"/>
          <w:color w:val="auto"/>
          <w:lang w:val="en-US" w:eastAsia="zh-CN"/>
        </w:rPr>
        <w:t>县级集中收贮中心</w:t>
      </w:r>
      <w:r>
        <w:rPr>
          <w:rFonts w:hint="eastAsia" w:ascii="Times New Roman" w:cs="Times New Roman"/>
          <w:color w:val="auto"/>
          <w:lang w:val="en-US" w:eastAsia="zh-CN"/>
        </w:rPr>
        <w:t>的</w:t>
      </w:r>
      <w:r>
        <w:rPr>
          <w:rFonts w:hint="default" w:ascii="Times New Roman" w:hAnsi="Times New Roman" w:cs="Times New Roman"/>
          <w:color w:val="auto"/>
          <w:lang w:val="en-US" w:eastAsia="zh-CN"/>
        </w:rPr>
        <w:t>设立应委托专业环境保护机构进行论证及评估确定，综合考虑区域农药包装废弃物产生规模、收运范围、便捷性等因素，</w:t>
      </w:r>
      <w:r>
        <w:rPr>
          <w:rFonts w:hint="default" w:ascii="Times New Roman" w:hAnsi="Times New Roman" w:cs="Times New Roman"/>
          <w:color w:val="auto"/>
        </w:rPr>
        <w:t>选址、设计、改造、建设、运行管理应符合 GB 18597 和 HJ 2025 中的相关要求。</w:t>
      </w:r>
    </w:p>
    <w:p w14:paraId="542D948E">
      <w:pPr>
        <w:pStyle w:val="163"/>
        <w:rPr>
          <w:rFonts w:hint="default" w:ascii="Times New Roman" w:hAnsi="Times New Roman" w:cs="Times New Roman"/>
          <w:color w:val="auto"/>
        </w:rPr>
      </w:pPr>
      <w:r>
        <w:rPr>
          <w:rFonts w:hint="default" w:ascii="Times New Roman" w:hAnsi="Times New Roman" w:cs="Times New Roman"/>
          <w:color w:val="auto"/>
        </w:rPr>
        <w:t>县级集中收贮中心</w:t>
      </w:r>
      <w:r>
        <w:rPr>
          <w:rFonts w:hint="default" w:ascii="Times New Roman" w:hAnsi="Times New Roman" w:cs="Times New Roman"/>
          <w:color w:val="auto"/>
          <w:lang w:val="en-US" w:eastAsia="zh-CN"/>
        </w:rPr>
        <w:t>占地面积不</w:t>
      </w:r>
      <w:r>
        <w:rPr>
          <w:rFonts w:hint="eastAsia" w:ascii="Times New Roman" w:cs="Times New Roman"/>
          <w:color w:val="auto"/>
          <w:lang w:val="en-US" w:eastAsia="zh-CN"/>
        </w:rPr>
        <w:t>小</w:t>
      </w:r>
      <w:r>
        <w:rPr>
          <w:rFonts w:hint="default" w:ascii="Times New Roman" w:hAnsi="Times New Roman" w:cs="Times New Roman"/>
          <w:color w:val="auto"/>
          <w:lang w:val="en-US" w:eastAsia="zh-CN"/>
        </w:rPr>
        <w:t>于</w:t>
      </w:r>
      <w:r>
        <w:rPr>
          <w:rFonts w:hint="eastAsia" w:ascii="Times New Roman" w:cs="Times New Roman"/>
          <w:color w:val="auto"/>
          <w:lang w:val="en-US" w:eastAsia="zh-CN"/>
        </w:rPr>
        <w:t>100</w:t>
      </w:r>
      <w:r>
        <w:rPr>
          <w:rFonts w:hint="default" w:ascii="Times New Roman" w:hAnsi="Times New Roman" w:cs="Times New Roman"/>
          <w:color w:val="auto"/>
          <w:lang w:val="en-US" w:eastAsia="zh-CN"/>
        </w:rPr>
        <w:t>平方米</w:t>
      </w:r>
      <w:r>
        <w:rPr>
          <w:rFonts w:hint="eastAsia" w:ascii="Times New Roman" w:cs="Times New Roman"/>
          <w:color w:val="auto"/>
          <w:lang w:val="en-US" w:eastAsia="zh-CN"/>
        </w:rPr>
        <w:t>，应</w:t>
      </w:r>
      <w:r>
        <w:rPr>
          <w:rFonts w:hint="eastAsia" w:ascii="Times New Roman" w:hAnsi="Times New Roman" w:cs="Times New Roman"/>
          <w:color w:val="auto"/>
          <w:lang w:val="en-US" w:eastAsia="zh-CN"/>
        </w:rPr>
        <w:t>配备</w:t>
      </w:r>
      <w:r>
        <w:rPr>
          <w:rFonts w:hint="default" w:ascii="Times New Roman" w:hAnsi="Times New Roman" w:cs="Times New Roman"/>
          <w:color w:val="auto"/>
        </w:rPr>
        <w:t>负压通风系统，配置</w:t>
      </w:r>
      <w:r>
        <w:rPr>
          <w:rFonts w:hint="eastAsia" w:ascii="Times New Roman" w:cs="Times New Roman"/>
          <w:color w:val="auto"/>
          <w:lang w:val="en-US" w:eastAsia="zh-CN"/>
        </w:rPr>
        <w:t>集气</w:t>
      </w:r>
      <w:r>
        <w:rPr>
          <w:rFonts w:hint="default" w:ascii="Times New Roman" w:hAnsi="Times New Roman" w:cs="Times New Roman"/>
          <w:color w:val="auto"/>
        </w:rPr>
        <w:t>吸附装置处理挥发性农药气体</w:t>
      </w:r>
      <w:r>
        <w:rPr>
          <w:rFonts w:hint="eastAsia" w:ascii="Times New Roman" w:cs="Times New Roman"/>
          <w:color w:val="auto"/>
          <w:lang w:eastAsia="zh-CN"/>
        </w:rPr>
        <w:t>，场地采用</w:t>
      </w:r>
      <w:r>
        <w:rPr>
          <w:rFonts w:hint="eastAsia" w:ascii="Times New Roman" w:cs="Times New Roman"/>
          <w:color w:val="auto"/>
          <w:lang w:val="en-US" w:eastAsia="zh-CN"/>
        </w:rPr>
        <w:t>高密度</w:t>
      </w:r>
      <w:r>
        <w:rPr>
          <w:rFonts w:hint="eastAsia" w:ascii="Times New Roman" w:cs="Times New Roman"/>
          <w:color w:val="auto"/>
          <w:lang w:eastAsia="zh-CN"/>
        </w:rPr>
        <w:t>防渗</w:t>
      </w:r>
      <w:r>
        <w:rPr>
          <w:rFonts w:hint="eastAsia" w:ascii="Times New Roman" w:cs="Times New Roman"/>
          <w:color w:val="auto"/>
          <w:lang w:val="en-US" w:eastAsia="zh-CN"/>
        </w:rPr>
        <w:t>材料</w:t>
      </w:r>
      <w:r>
        <w:rPr>
          <w:rFonts w:hint="eastAsia" w:ascii="Times New Roman" w:cs="Times New Roman"/>
          <w:color w:val="auto"/>
          <w:lang w:eastAsia="zh-CN"/>
        </w:rPr>
        <w:t>+混凝土硬化</w:t>
      </w:r>
      <w:r>
        <w:rPr>
          <w:rFonts w:hint="eastAsia" w:ascii="Times New Roman" w:cs="Times New Roman"/>
          <w:color w:val="auto"/>
          <w:lang w:val="en-US" w:eastAsia="zh-CN"/>
        </w:rPr>
        <w:t>，建筑围墙四周设置雨水导排系统。</w:t>
      </w:r>
    </w:p>
    <w:p w14:paraId="260027E2">
      <w:pPr>
        <w:pStyle w:val="163"/>
        <w:rPr>
          <w:rFonts w:hint="default" w:ascii="Times New Roman" w:hAnsi="Times New Roman" w:cs="Times New Roman"/>
          <w:color w:val="auto"/>
        </w:rPr>
      </w:pPr>
      <w:r>
        <w:rPr>
          <w:rFonts w:hint="default" w:ascii="Times New Roman" w:hAnsi="Times New Roman" w:cs="Times New Roman"/>
          <w:color w:val="auto"/>
        </w:rPr>
        <w:t>县级集中收贮中心</w:t>
      </w:r>
      <w:r>
        <w:rPr>
          <w:rFonts w:hint="eastAsia" w:ascii="Times New Roman" w:cs="Times New Roman"/>
          <w:color w:val="auto"/>
          <w:lang w:val="en-US" w:eastAsia="zh-CN"/>
        </w:rPr>
        <w:t>内部</w:t>
      </w:r>
      <w:r>
        <w:rPr>
          <w:rFonts w:hint="default" w:ascii="Times New Roman" w:hAnsi="Times New Roman" w:cs="Times New Roman"/>
          <w:color w:val="auto"/>
        </w:rPr>
        <w:t>应</w:t>
      </w:r>
      <w:r>
        <w:rPr>
          <w:rFonts w:hint="eastAsia" w:ascii="Times New Roman" w:cs="Times New Roman"/>
          <w:color w:val="auto"/>
          <w:lang w:val="en-US" w:eastAsia="zh-CN"/>
        </w:rPr>
        <w:t>分区设置，至少设置操作区、堆存区。</w:t>
      </w:r>
      <w:r>
        <w:rPr>
          <w:rFonts w:hint="eastAsia" w:ascii="Times New Roman" w:cs="Times New Roman"/>
          <w:color w:val="auto"/>
          <w:highlight w:val="none"/>
          <w:lang w:val="en-US" w:eastAsia="zh-CN"/>
        </w:rPr>
        <w:t>操作区进行农药包装废弃物</w:t>
      </w:r>
      <w:r>
        <w:rPr>
          <w:rFonts w:hint="default" w:ascii="Times New Roman" w:hAnsi="Times New Roman" w:cs="Times New Roman"/>
          <w:color w:val="auto"/>
          <w:highlight w:val="none"/>
        </w:rPr>
        <w:t>分拣、打包，</w:t>
      </w:r>
      <w:r>
        <w:rPr>
          <w:rFonts w:hint="default" w:ascii="Times New Roman" w:hAnsi="Times New Roman" w:cs="Times New Roman"/>
          <w:color w:val="auto"/>
          <w:highlight w:val="none"/>
          <w:lang w:val="en-US" w:eastAsia="zh-CN"/>
        </w:rPr>
        <w:t>分类存放</w:t>
      </w:r>
      <w:r>
        <w:rPr>
          <w:rFonts w:hint="eastAsia" w:ascii="Times New Roman" w:cs="Times New Roman"/>
          <w:color w:val="auto"/>
          <w:highlight w:val="none"/>
          <w:lang w:val="en-US" w:eastAsia="zh-CN"/>
        </w:rPr>
        <w:t>；</w:t>
      </w:r>
      <w:r>
        <w:rPr>
          <w:rFonts w:hint="eastAsia" w:ascii="Times New Roman" w:cs="Times New Roman"/>
          <w:color w:val="auto"/>
          <w:lang w:val="en-US" w:eastAsia="zh-CN"/>
        </w:rPr>
        <w:t>堆存区按照已归集的农药包装废弃物性质、可利用性进行分区堆放，不同区域设置围挡进行分隔并标识。</w:t>
      </w:r>
    </w:p>
    <w:p w14:paraId="5A53A0CD">
      <w:pPr>
        <w:pStyle w:val="163"/>
        <w:rPr>
          <w:rFonts w:hint="default" w:ascii="Times New Roman" w:hAnsi="Times New Roman" w:cs="Times New Roman"/>
          <w:color w:val="auto"/>
        </w:rPr>
      </w:pPr>
      <w:r>
        <w:rPr>
          <w:rFonts w:hint="default" w:ascii="Times New Roman" w:hAnsi="Times New Roman" w:cs="Times New Roman"/>
          <w:color w:val="auto"/>
        </w:rPr>
        <w:t>县级集中收贮中心应配备压缩机，对</w:t>
      </w:r>
      <w:r>
        <w:rPr>
          <w:rFonts w:hint="default" w:ascii="Times New Roman" w:hAnsi="Times New Roman" w:cs="Times New Roman"/>
          <w:color w:val="auto"/>
          <w:lang w:val="en-US" w:eastAsia="zh-CN"/>
        </w:rPr>
        <w:t>可压缩的</w:t>
      </w:r>
      <w:r>
        <w:rPr>
          <w:rFonts w:hint="default" w:ascii="Times New Roman" w:hAnsi="Times New Roman" w:cs="Times New Roman"/>
          <w:color w:val="auto"/>
        </w:rPr>
        <w:t>农药包装废弃物进行压缩打包，码放整齐。玻璃或金属类型的农药包装废弃物直接分类码放。</w:t>
      </w:r>
    </w:p>
    <w:p w14:paraId="185E6B3E">
      <w:pPr>
        <w:pStyle w:val="163"/>
        <w:rPr>
          <w:rFonts w:hint="default" w:ascii="Times New Roman" w:hAnsi="Times New Roman" w:cs="Times New Roman"/>
          <w:color w:val="auto"/>
        </w:rPr>
      </w:pPr>
      <w:r>
        <w:rPr>
          <w:rFonts w:hint="eastAsia" w:ascii="Times New Roman" w:hAnsi="Times New Roman" w:cs="Times New Roman"/>
          <w:color w:val="auto"/>
          <w:lang w:val="en-US" w:eastAsia="zh-CN"/>
        </w:rPr>
        <w:t>县级</w:t>
      </w:r>
      <w:r>
        <w:rPr>
          <w:rFonts w:hint="default" w:ascii="Times New Roman" w:hAnsi="Times New Roman" w:cs="Times New Roman"/>
          <w:color w:val="auto"/>
        </w:rPr>
        <w:t>集中收贮中心</w:t>
      </w:r>
      <w:r>
        <w:rPr>
          <w:rFonts w:hint="default" w:ascii="Times New Roman" w:hAnsi="Times New Roman" w:cs="Times New Roman"/>
          <w:color w:val="auto"/>
          <w:lang w:val="en-US" w:eastAsia="zh-CN"/>
        </w:rPr>
        <w:t>应至少配置</w:t>
      </w:r>
      <w:r>
        <w:rPr>
          <w:rFonts w:hint="eastAsia" w:ascii="Times New Roman" w:cs="Times New Roman"/>
          <w:color w:val="auto"/>
          <w:lang w:val="en-US" w:eastAsia="zh-CN"/>
        </w:rPr>
        <w:t>2</w:t>
      </w:r>
      <w:r>
        <w:rPr>
          <w:rFonts w:hint="default" w:ascii="Times New Roman" w:hAnsi="Times New Roman" w:cs="Times New Roman"/>
          <w:color w:val="auto"/>
          <w:lang w:val="en-US" w:eastAsia="zh-CN"/>
        </w:rPr>
        <w:t>名专（兼）职人员负</w:t>
      </w:r>
      <w:r>
        <w:rPr>
          <w:rFonts w:hint="eastAsia"/>
          <w:color w:val="auto"/>
          <w:lang w:val="en-US" w:eastAsia="zh-CN"/>
        </w:rPr>
        <w:t>责日常运维，人员应熟悉农药包装废弃物危害、收贮过程相关环境保护与污染防治规定、相关设备仪器操作。</w:t>
      </w:r>
    </w:p>
    <w:p w14:paraId="4E1115E0">
      <w:pPr>
        <w:pStyle w:val="163"/>
        <w:rPr>
          <w:rFonts w:hint="default" w:ascii="Times New Roman" w:hAnsi="Times New Roman" w:cs="Times New Roman"/>
          <w:color w:val="auto"/>
        </w:rPr>
      </w:pPr>
      <w:r>
        <w:rPr>
          <w:rFonts w:hint="eastAsia" w:ascii="Times New Roman" w:hAnsi="Times New Roman" w:cs="Times New Roman"/>
          <w:color w:val="auto"/>
          <w:lang w:val="en-US" w:eastAsia="zh-CN"/>
        </w:rPr>
        <w:t>县级</w:t>
      </w:r>
      <w:r>
        <w:rPr>
          <w:rFonts w:hint="default" w:ascii="Times New Roman" w:hAnsi="Times New Roman" w:cs="Times New Roman"/>
          <w:color w:val="auto"/>
        </w:rPr>
        <w:t>集中收贮中心</w:t>
      </w:r>
      <w:r>
        <w:rPr>
          <w:rFonts w:hint="eastAsia" w:ascii="Times New Roman" w:cs="Times New Roman"/>
          <w:color w:val="auto"/>
          <w:lang w:val="en-US" w:eastAsia="zh-CN"/>
        </w:rPr>
        <w:t>应按5.4、5.4要求配备人员防护及消防物资。</w:t>
      </w:r>
    </w:p>
    <w:p w14:paraId="40E0C5F7">
      <w:pPr>
        <w:pStyle w:val="163"/>
        <w:rPr>
          <w:color w:val="auto"/>
        </w:rPr>
      </w:pPr>
      <w:r>
        <w:rPr>
          <w:rFonts w:hint="eastAsia" w:ascii="Times New Roman" w:hAnsi="Times New Roman" w:cs="Times New Roman"/>
          <w:color w:val="auto"/>
          <w:lang w:val="en-US" w:eastAsia="zh-CN"/>
        </w:rPr>
        <w:t>县级</w:t>
      </w:r>
      <w:r>
        <w:rPr>
          <w:rFonts w:hint="default" w:ascii="Times New Roman" w:hAnsi="Times New Roman" w:cs="Times New Roman"/>
          <w:color w:val="auto"/>
          <w:lang w:val="en-US" w:eastAsia="zh-CN"/>
        </w:rPr>
        <w:t>收贮中心应建立工作台账</w:t>
      </w:r>
      <w:r>
        <w:rPr>
          <w:rFonts w:hint="default" w:ascii="Times New Roman" w:hAnsi="Times New Roman" w:cs="Times New Roman"/>
          <w:color w:val="auto"/>
          <w:highlight w:val="none"/>
        </w:rPr>
        <w:t>，</w:t>
      </w:r>
      <w:r>
        <w:rPr>
          <w:rFonts w:hint="default" w:ascii="Times New Roman" w:hAnsi="Times New Roman" w:cs="Times New Roman"/>
          <w:color w:val="auto"/>
        </w:rPr>
        <w:t>记录农药包装废弃物的数量和去向信息</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形成</w:t>
      </w:r>
      <w:r>
        <w:rPr>
          <w:rFonts w:hint="default" w:ascii="Times New Roman" w:hAnsi="Times New Roman" w:cs="Times New Roman"/>
          <w:color w:val="auto"/>
        </w:rPr>
        <w:t>回收电子台账，台账应保存两年以上。</w:t>
      </w:r>
      <w:r>
        <w:rPr>
          <w:rFonts w:hint="eastAsia" w:ascii="Times New Roman" w:cs="Times New Roman"/>
          <w:color w:val="auto"/>
          <w:lang w:val="en-US" w:eastAsia="zh-CN"/>
        </w:rPr>
        <w:t>台账内容应符合</w:t>
      </w:r>
      <w:r>
        <w:rPr>
          <w:rFonts w:hint="default" w:ascii="Times New Roman" w:hAnsi="Times New Roman" w:cs="Times New Roman"/>
          <w:color w:val="auto"/>
          <w:lang w:val="en-US" w:eastAsia="zh-CN"/>
        </w:rPr>
        <w:t>附录C</w:t>
      </w:r>
      <w:r>
        <w:rPr>
          <w:rFonts w:hint="eastAsia" w:ascii="Times New Roman" w:cs="Times New Roman"/>
          <w:color w:val="auto"/>
          <w:lang w:val="en-US" w:eastAsia="zh-CN"/>
        </w:rPr>
        <w:t>要求。</w:t>
      </w:r>
    </w:p>
    <w:p w14:paraId="4B5E29C1">
      <w:pPr>
        <w:pStyle w:val="163"/>
        <w:rPr>
          <w:color w:val="auto"/>
        </w:rPr>
      </w:pPr>
      <w:r>
        <w:rPr>
          <w:rFonts w:hint="eastAsia"/>
          <w:color w:val="auto"/>
        </w:rPr>
        <w:t>有条件的地区在农药包装废弃物回收</w:t>
      </w:r>
      <w:r>
        <w:rPr>
          <w:rFonts w:hint="eastAsia"/>
          <w:color w:val="auto"/>
          <w:lang w:val="en-US" w:eastAsia="zh-CN"/>
        </w:rPr>
        <w:t>站（点）、集中收贮中心</w:t>
      </w:r>
      <w:r>
        <w:rPr>
          <w:rFonts w:hint="eastAsia"/>
          <w:color w:val="auto"/>
        </w:rPr>
        <w:t>设置视频监控</w:t>
      </w:r>
      <w:r>
        <w:rPr>
          <w:rFonts w:hint="eastAsia"/>
          <w:color w:val="auto"/>
          <w:lang w:eastAsia="zh-CN"/>
        </w:rPr>
        <w:t>，</w:t>
      </w:r>
      <w:r>
        <w:rPr>
          <w:rFonts w:hint="eastAsia"/>
          <w:color w:val="auto"/>
          <w:lang w:val="en-US" w:eastAsia="zh-CN"/>
        </w:rPr>
        <w:t>与当地农业农村、生态环境等部门联网</w:t>
      </w:r>
      <w:r>
        <w:rPr>
          <w:rFonts w:hint="eastAsia"/>
          <w:color w:val="auto"/>
        </w:rPr>
        <w:t>。</w:t>
      </w:r>
    </w:p>
    <w:p w14:paraId="3A093D9A">
      <w:pPr>
        <w:pStyle w:val="163"/>
        <w:rPr>
          <w:color w:val="auto"/>
        </w:rPr>
      </w:pPr>
      <w:r>
        <w:rPr>
          <w:rFonts w:hint="eastAsia" w:ascii="宋体" w:hAnsi="宋体" w:eastAsia="宋体" w:cs="宋体"/>
          <w:b w:val="0"/>
          <w:bCs/>
          <w:color w:val="auto"/>
          <w:sz w:val="21"/>
          <w:szCs w:val="21"/>
          <w:lang w:val="en-US" w:eastAsia="zh-CN"/>
        </w:rPr>
        <w:t>农药经营者和农药包装废弃物回收站（点）应当建立健全相关设施设备、场所的维护和运转机制，妥善贮存收集的农药包装废弃物，防止擅自倾倒、堆放、遗撒农药包装废弃物。</w:t>
      </w:r>
    </w:p>
    <w:p w14:paraId="50CB47BF">
      <w:pPr>
        <w:pStyle w:val="105"/>
        <w:spacing w:before="312" w:after="312"/>
        <w:rPr>
          <w:color w:val="auto"/>
        </w:rPr>
      </w:pPr>
      <w:bookmarkStart w:id="61" w:name="_Toc3864"/>
      <w:r>
        <w:rPr>
          <w:rFonts w:hint="eastAsia"/>
          <w:color w:val="auto"/>
        </w:rPr>
        <w:t>运输</w:t>
      </w:r>
      <w:bookmarkEnd w:id="61"/>
    </w:p>
    <w:p w14:paraId="567B375A">
      <w:pPr>
        <w:pStyle w:val="163"/>
        <w:rPr>
          <w:color w:val="auto"/>
        </w:rPr>
      </w:pPr>
      <w:r>
        <w:rPr>
          <w:rFonts w:hint="eastAsia" w:ascii="Times New Roman" w:cs="Times New Roman"/>
          <w:color w:val="auto"/>
          <w:lang w:val="en-US" w:eastAsia="zh-CN"/>
        </w:rPr>
        <w:t>应优先选择具有危险废物运输资质和车辆的机构统一承担</w:t>
      </w:r>
      <w:r>
        <w:rPr>
          <w:rFonts w:hint="default" w:ascii="Times New Roman" w:hAnsi="Times New Roman" w:cs="Times New Roman"/>
          <w:color w:val="auto"/>
          <w:lang w:val="en-US" w:eastAsia="zh-CN"/>
        </w:rPr>
        <w:t>县级集中收贮中心</w:t>
      </w:r>
      <w:r>
        <w:rPr>
          <w:rFonts w:hint="eastAsia" w:ascii="Times New Roman" w:cs="Times New Roman"/>
          <w:color w:val="auto"/>
          <w:lang w:val="en-US" w:eastAsia="zh-CN"/>
        </w:rPr>
        <w:t>、一级、</w:t>
      </w:r>
      <w:r>
        <w:rPr>
          <w:rFonts w:hint="default" w:ascii="Times New Roman" w:hAnsi="Times New Roman" w:cs="Times New Roman"/>
          <w:color w:val="auto"/>
        </w:rPr>
        <w:t>二级回收站（点）</w:t>
      </w:r>
      <w:r>
        <w:rPr>
          <w:rFonts w:hint="eastAsia" w:ascii="Times New Roman" w:cs="Times New Roman"/>
          <w:color w:val="auto"/>
          <w:lang w:val="en-US" w:eastAsia="zh-CN"/>
        </w:rPr>
        <w:t>及收贮中心之间农药包装废弃物的归集转运。</w:t>
      </w:r>
    </w:p>
    <w:p w14:paraId="09F8EB5C">
      <w:pPr>
        <w:pStyle w:val="163"/>
        <w:rPr>
          <w:color w:val="auto"/>
        </w:rPr>
      </w:pPr>
      <w:r>
        <w:rPr>
          <w:rFonts w:hint="eastAsia" w:ascii="Times New Roman" w:cs="Times New Roman"/>
          <w:color w:val="auto"/>
          <w:lang w:val="en-US" w:eastAsia="zh-CN"/>
        </w:rPr>
        <w:t>不具备委托第三方归集和转运条件的区域</w:t>
      </w:r>
      <w:r>
        <w:rPr>
          <w:rFonts w:hint="eastAsia"/>
          <w:color w:val="auto"/>
        </w:rPr>
        <w:t>可</w:t>
      </w:r>
      <w:bookmarkStart w:id="62" w:name="OLE_LINK9"/>
      <w:r>
        <w:rPr>
          <w:rFonts w:hint="eastAsia"/>
          <w:color w:val="auto"/>
          <w:lang w:val="en-US" w:eastAsia="zh-CN"/>
        </w:rPr>
        <w:t>参</w:t>
      </w:r>
      <w:r>
        <w:rPr>
          <w:rFonts w:hint="eastAsia"/>
          <w:color w:val="auto"/>
        </w:rPr>
        <w:t>照危险废物豁免管理清单(202</w:t>
      </w:r>
      <w:r>
        <w:rPr>
          <w:rFonts w:hint="eastAsia"/>
          <w:color w:val="auto"/>
          <w:lang w:val="en-US" w:eastAsia="zh-CN"/>
        </w:rPr>
        <w:t>5</w:t>
      </w:r>
      <w:r>
        <w:rPr>
          <w:rFonts w:hint="eastAsia"/>
          <w:color w:val="auto"/>
        </w:rPr>
        <w:t>版)</w:t>
      </w:r>
      <w:bookmarkEnd w:id="62"/>
      <w:r>
        <w:rPr>
          <w:rFonts w:hint="eastAsia"/>
          <w:color w:val="auto"/>
        </w:rPr>
        <w:t>，</w:t>
      </w:r>
      <w:r>
        <w:rPr>
          <w:rFonts w:hint="eastAsia" w:ascii="Times New Roman" w:cs="Times New Roman"/>
          <w:color w:val="auto"/>
          <w:lang w:val="en-US" w:eastAsia="zh-CN"/>
        </w:rPr>
        <w:t>使用专用运输工具统一归集转运</w:t>
      </w:r>
      <w:r>
        <w:rPr>
          <w:rFonts w:hint="eastAsia"/>
          <w:color w:val="auto"/>
        </w:rPr>
        <w:t>，</w:t>
      </w:r>
      <w:r>
        <w:rPr>
          <w:rFonts w:hint="eastAsia"/>
          <w:color w:val="auto"/>
          <w:lang w:val="en-US" w:eastAsia="zh-CN"/>
        </w:rPr>
        <w:t>运输过程采用</w:t>
      </w:r>
      <w:r>
        <w:rPr>
          <w:rFonts w:hint="eastAsia" w:ascii="Times New Roman" w:cs="Times New Roman"/>
          <w:color w:val="auto"/>
          <w:lang w:val="en-US" w:eastAsia="zh-CN"/>
        </w:rPr>
        <w:t>密闭防漏容器或</w:t>
      </w:r>
      <w:r>
        <w:rPr>
          <w:rFonts w:hint="eastAsia"/>
          <w:color w:val="auto"/>
          <w:lang w:val="en-US" w:eastAsia="zh-CN"/>
        </w:rPr>
        <w:t>防</w:t>
      </w:r>
      <w:r>
        <w:rPr>
          <w:rFonts w:hint="eastAsia"/>
          <w:color w:val="auto"/>
        </w:rPr>
        <w:t>渗漏回收袋</w:t>
      </w:r>
      <w:r>
        <w:rPr>
          <w:rFonts w:hint="eastAsia" w:ascii="Times New Roman" w:cs="Times New Roman"/>
          <w:color w:val="auto"/>
          <w:lang w:val="en-US" w:eastAsia="zh-CN"/>
        </w:rPr>
        <w:t>装载农药包装废弃物，</w:t>
      </w:r>
      <w:r>
        <w:rPr>
          <w:rFonts w:hint="eastAsia"/>
          <w:color w:val="auto"/>
          <w:lang w:val="en-US" w:eastAsia="zh-CN"/>
        </w:rPr>
        <w:t>满足</w:t>
      </w:r>
      <w:r>
        <w:rPr>
          <w:rFonts w:hint="eastAsia"/>
          <w:color w:val="auto"/>
        </w:rPr>
        <w:t>防雨、防渗漏、防遗撒要求</w:t>
      </w:r>
      <w:r>
        <w:rPr>
          <w:rFonts w:hint="eastAsia"/>
          <w:color w:val="auto"/>
          <w:lang w:eastAsia="zh-CN"/>
        </w:rPr>
        <w:t>。</w:t>
      </w:r>
    </w:p>
    <w:p w14:paraId="2A2DD4B6">
      <w:pPr>
        <w:pStyle w:val="163"/>
        <w:rPr>
          <w:color w:val="auto"/>
        </w:rPr>
      </w:pPr>
      <w:r>
        <w:rPr>
          <w:rFonts w:hint="eastAsia"/>
          <w:color w:val="auto"/>
          <w:lang w:val="en-US" w:eastAsia="zh-CN"/>
        </w:rPr>
        <w:t>归集和转运路线应长期固定，且尽量避开水源地、居民集中区、坡陡弯急路段。运输途中不</w:t>
      </w:r>
      <w:r>
        <w:rPr>
          <w:rFonts w:hint="eastAsia"/>
          <w:color w:val="auto"/>
        </w:rPr>
        <w:t>丢弃、遗撒农药包装废弃物，严防二次污染和中毒事故发生。</w:t>
      </w:r>
    </w:p>
    <w:p w14:paraId="5D366E77">
      <w:pPr>
        <w:pStyle w:val="163"/>
        <w:rPr>
          <w:color w:val="auto"/>
        </w:rPr>
      </w:pPr>
      <w:r>
        <w:rPr>
          <w:rFonts w:hint="eastAsia"/>
          <w:color w:val="auto"/>
        </w:rPr>
        <w:t>运输后的运输工具应</w:t>
      </w:r>
      <w:r>
        <w:rPr>
          <w:rFonts w:hint="eastAsia"/>
          <w:color w:val="auto"/>
          <w:lang w:val="en-US" w:eastAsia="zh-CN"/>
        </w:rPr>
        <w:t>及时</w:t>
      </w:r>
      <w:r>
        <w:rPr>
          <w:rFonts w:hint="eastAsia"/>
          <w:color w:val="auto"/>
        </w:rPr>
        <w:t>清洗</w:t>
      </w:r>
      <w:r>
        <w:rPr>
          <w:rFonts w:hint="eastAsia"/>
          <w:color w:val="auto"/>
          <w:lang w:eastAsia="zh-CN"/>
        </w:rPr>
        <w:t>，</w:t>
      </w:r>
      <w:r>
        <w:rPr>
          <w:rFonts w:hint="eastAsia" w:ascii="宋体" w:hAnsi="宋体" w:eastAsia="宋体"/>
          <w:b w:val="0"/>
          <w:color w:val="auto"/>
          <w:spacing w:val="0"/>
          <w:sz w:val="21"/>
          <w:szCs w:val="21"/>
          <w:lang w:val="en-US" w:eastAsia="zh-CN"/>
        </w:rPr>
        <w:t>清洗废水</w:t>
      </w:r>
      <w:r>
        <w:rPr>
          <w:rFonts w:hint="eastAsia" w:hAnsi="宋体"/>
          <w:b w:val="0"/>
          <w:color w:val="auto"/>
          <w:spacing w:val="0"/>
          <w:sz w:val="21"/>
          <w:szCs w:val="21"/>
          <w:lang w:val="en-US" w:eastAsia="zh-CN"/>
        </w:rPr>
        <w:t>应全部收集运至污水处理厂（站），</w:t>
      </w:r>
      <w:r>
        <w:rPr>
          <w:rFonts w:hint="eastAsia" w:ascii="宋体" w:hAnsi="宋体" w:eastAsia="宋体"/>
          <w:b w:val="0"/>
          <w:color w:val="auto"/>
          <w:spacing w:val="0"/>
          <w:sz w:val="21"/>
          <w:szCs w:val="21"/>
          <w:lang w:val="en-US" w:eastAsia="zh-CN"/>
        </w:rPr>
        <w:t>不</w:t>
      </w:r>
      <w:r>
        <w:rPr>
          <w:rFonts w:hint="eastAsia" w:hAnsi="宋体"/>
          <w:b w:val="0"/>
          <w:color w:val="auto"/>
          <w:spacing w:val="0"/>
          <w:sz w:val="21"/>
          <w:szCs w:val="21"/>
          <w:lang w:val="en-US" w:eastAsia="zh-CN"/>
        </w:rPr>
        <w:t>应直排至环境</w:t>
      </w:r>
      <w:r>
        <w:rPr>
          <w:rFonts w:hint="eastAsia"/>
          <w:color w:val="auto"/>
        </w:rPr>
        <w:t>。</w:t>
      </w:r>
    </w:p>
    <w:p w14:paraId="43E373B4">
      <w:pPr>
        <w:pStyle w:val="105"/>
        <w:spacing w:before="312" w:after="312"/>
        <w:rPr>
          <w:color w:val="auto"/>
        </w:rPr>
      </w:pPr>
      <w:bookmarkStart w:id="63" w:name="_Toc13482"/>
      <w:r>
        <w:rPr>
          <w:rFonts w:hint="eastAsia"/>
          <w:color w:val="auto"/>
        </w:rPr>
        <w:t>回收处理</w:t>
      </w:r>
      <w:bookmarkEnd w:id="63"/>
    </w:p>
    <w:p w14:paraId="73A64BDC">
      <w:pPr>
        <w:pStyle w:val="106"/>
        <w:spacing w:before="156" w:after="156"/>
        <w:rPr>
          <w:color w:val="auto"/>
        </w:rPr>
      </w:pPr>
      <w:bookmarkStart w:id="64" w:name="_Toc24425"/>
      <w:bookmarkStart w:id="65" w:name="_Toc9586"/>
      <w:r>
        <w:rPr>
          <w:rFonts w:hint="eastAsia"/>
          <w:color w:val="auto"/>
        </w:rPr>
        <w:t>总则</w:t>
      </w:r>
      <w:bookmarkEnd w:id="64"/>
      <w:bookmarkEnd w:id="65"/>
    </w:p>
    <w:p w14:paraId="0343AB48">
      <w:pPr>
        <w:pStyle w:val="57"/>
        <w:ind w:firstLine="420"/>
      </w:pPr>
      <w:r>
        <w:rPr>
          <w:rFonts w:hint="eastAsia"/>
          <w:color w:val="auto"/>
        </w:rPr>
        <w:t>农药包装废弃物</w:t>
      </w:r>
      <w:r>
        <w:rPr>
          <w:rFonts w:hint="eastAsia" w:ascii="宋体" w:hAnsi="宋体" w:eastAsia="宋体"/>
          <w:b w:val="0"/>
          <w:color w:val="auto"/>
          <w:spacing w:val="0"/>
          <w:sz w:val="21"/>
          <w:szCs w:val="21"/>
          <w:lang w:val="en-US" w:eastAsia="zh-CN"/>
        </w:rPr>
        <w:t>宜</w:t>
      </w:r>
      <w:r>
        <w:rPr>
          <w:rFonts w:hint="eastAsia" w:hAnsi="宋体"/>
          <w:b w:val="0"/>
          <w:color w:val="auto"/>
          <w:spacing w:val="0"/>
          <w:sz w:val="21"/>
          <w:szCs w:val="21"/>
          <w:lang w:val="en-US" w:eastAsia="zh-CN"/>
        </w:rPr>
        <w:t>优先</w:t>
      </w:r>
      <w:r>
        <w:rPr>
          <w:rFonts w:hint="eastAsia" w:ascii="宋体" w:hAnsi="宋体" w:eastAsia="宋体"/>
          <w:b w:val="0"/>
          <w:color w:val="auto"/>
          <w:spacing w:val="0"/>
          <w:sz w:val="21"/>
          <w:szCs w:val="21"/>
          <w:lang w:val="en-US" w:eastAsia="zh-CN"/>
        </w:rPr>
        <w:t>进行重复使用或</w:t>
      </w:r>
      <w:r>
        <w:rPr>
          <w:rFonts w:hint="eastAsia"/>
          <w:color w:val="auto"/>
        </w:rPr>
        <w:t>资源化利用；</w:t>
      </w:r>
      <w:r>
        <w:rPr>
          <w:rFonts w:hint="eastAsia"/>
          <w:color w:val="auto"/>
          <w:lang w:val="en-US" w:eastAsia="zh-CN"/>
        </w:rPr>
        <w:t>无法</w:t>
      </w:r>
      <w:r>
        <w:rPr>
          <w:rFonts w:hint="eastAsia"/>
          <w:color w:val="auto"/>
        </w:rPr>
        <w:t>利用的，应当依法依规进行填埋、焚烧等</w:t>
      </w:r>
      <w:r>
        <w:rPr>
          <w:rFonts w:hint="eastAsia"/>
        </w:rPr>
        <w:t>无害化处置。</w:t>
      </w:r>
    </w:p>
    <w:p w14:paraId="0C59DB39">
      <w:pPr>
        <w:pStyle w:val="106"/>
        <w:spacing w:before="156" w:after="156"/>
      </w:pPr>
      <w:bookmarkStart w:id="66" w:name="_Toc28624"/>
      <w:bookmarkStart w:id="67" w:name="_Toc160198579"/>
      <w:bookmarkStart w:id="68" w:name="_Toc30468"/>
      <w:r>
        <w:rPr>
          <w:rFonts w:hint="eastAsia"/>
        </w:rPr>
        <w:t>重复利用</w:t>
      </w:r>
      <w:bookmarkEnd w:id="66"/>
      <w:bookmarkEnd w:id="67"/>
      <w:bookmarkEnd w:id="68"/>
    </w:p>
    <w:p w14:paraId="38AC012B">
      <w:pPr>
        <w:pStyle w:val="57"/>
        <w:ind w:firstLine="420"/>
        <w:rPr>
          <w:rFonts w:hint="default" w:eastAsia="宋体"/>
          <w:color w:val="auto"/>
          <w:lang w:val="en-US" w:eastAsia="zh-CN"/>
        </w:rPr>
      </w:pPr>
      <w:r>
        <w:rPr>
          <w:rFonts w:hint="eastAsia"/>
          <w:color w:val="auto"/>
        </w:rPr>
        <w:t>使用大规格农药包装的，</w:t>
      </w:r>
      <w:r>
        <w:rPr>
          <w:rFonts w:hint="eastAsia"/>
          <w:color w:val="auto"/>
          <w:lang w:val="en-US" w:eastAsia="zh-CN"/>
        </w:rPr>
        <w:t>使用者</w:t>
      </w:r>
      <w:r>
        <w:rPr>
          <w:rFonts w:hint="eastAsia"/>
          <w:color w:val="auto"/>
        </w:rPr>
        <w:t>应在配药过程中完成清洗，</w:t>
      </w:r>
      <w:r>
        <w:rPr>
          <w:rFonts w:hint="eastAsia"/>
          <w:color w:val="auto"/>
          <w:lang w:val="en-US" w:eastAsia="zh-CN"/>
        </w:rPr>
        <w:t>确保包装内没有明显农药残留后</w:t>
      </w:r>
      <w:r>
        <w:rPr>
          <w:rFonts w:hint="eastAsia"/>
          <w:color w:val="auto"/>
        </w:rPr>
        <w:t>统一</w:t>
      </w:r>
      <w:r>
        <w:rPr>
          <w:rFonts w:hint="eastAsia"/>
          <w:color w:val="auto"/>
          <w:lang w:val="en-US" w:eastAsia="zh-CN"/>
        </w:rPr>
        <w:t>送回收点</w:t>
      </w:r>
      <w:r>
        <w:rPr>
          <w:rFonts w:hint="eastAsia"/>
          <w:color w:val="auto"/>
        </w:rPr>
        <w:t>，</w:t>
      </w:r>
      <w:r>
        <w:rPr>
          <w:rFonts w:hint="eastAsia"/>
          <w:color w:val="auto"/>
          <w:lang w:val="en-US" w:eastAsia="zh-CN"/>
        </w:rPr>
        <w:t>经逐级归集后由</w:t>
      </w:r>
      <w:r>
        <w:rPr>
          <w:rFonts w:hint="eastAsia"/>
          <w:color w:val="auto"/>
          <w:lang w:eastAsia="zh-CN"/>
        </w:rPr>
        <w:t>原农药生产厂家</w:t>
      </w:r>
      <w:r>
        <w:rPr>
          <w:rFonts w:hint="eastAsia"/>
          <w:color w:val="auto"/>
          <w:lang w:val="en-US" w:eastAsia="zh-CN"/>
        </w:rPr>
        <w:t>接收并重复利用</w:t>
      </w:r>
      <w:r>
        <w:rPr>
          <w:rFonts w:hint="eastAsia"/>
          <w:color w:val="auto"/>
        </w:rPr>
        <w:t>。</w:t>
      </w:r>
      <w:r>
        <w:rPr>
          <w:rFonts w:hint="eastAsia"/>
          <w:color w:val="auto"/>
          <w:lang w:val="en-US" w:eastAsia="zh-CN"/>
        </w:rPr>
        <w:t>接收厂家应对回收的包装及农药残留情况进行检测。</w:t>
      </w:r>
    </w:p>
    <w:p w14:paraId="79CAD7E2">
      <w:pPr>
        <w:pStyle w:val="106"/>
        <w:spacing w:before="156" w:after="156"/>
        <w:rPr>
          <w:color w:val="auto"/>
        </w:rPr>
      </w:pPr>
      <w:bookmarkStart w:id="69" w:name="_Toc160198580"/>
      <w:bookmarkStart w:id="70" w:name="_Toc25808"/>
      <w:bookmarkStart w:id="71" w:name="_Toc14089"/>
      <w:r>
        <w:rPr>
          <w:rFonts w:hint="eastAsia"/>
          <w:color w:val="auto"/>
        </w:rPr>
        <w:t>资源化利用</w:t>
      </w:r>
      <w:bookmarkEnd w:id="69"/>
      <w:bookmarkEnd w:id="70"/>
      <w:bookmarkEnd w:id="71"/>
    </w:p>
    <w:p w14:paraId="55C76913">
      <w:pPr>
        <w:pStyle w:val="57"/>
        <w:ind w:left="0" w:leftChars="0" w:firstLine="0" w:firstLineChars="0"/>
        <w:rPr>
          <w:rFonts w:hint="eastAsia"/>
          <w:color w:val="auto"/>
          <w:lang w:eastAsia="zh-CN"/>
        </w:rPr>
      </w:pPr>
      <w:r>
        <w:rPr>
          <w:rFonts w:hint="eastAsia" w:ascii="黑体" w:hAnsi="黑体" w:eastAsia="黑体" w:cs="黑体"/>
          <w:color w:val="auto"/>
          <w:lang w:val="en-US" w:eastAsia="zh-CN"/>
        </w:rPr>
        <w:t xml:space="preserve">9.3.1 </w:t>
      </w:r>
      <w:r>
        <w:rPr>
          <w:rFonts w:hint="eastAsia" w:ascii="Times New Roman" w:hAnsi="Times New Roman" w:cs="Times New Roman"/>
          <w:color w:val="auto"/>
          <w:lang w:val="en-US" w:eastAsia="zh-CN"/>
        </w:rPr>
        <w:t xml:space="preserve"> 经</w:t>
      </w:r>
      <w:r>
        <w:rPr>
          <w:rFonts w:hint="default" w:ascii="Times New Roman" w:hAnsi="Times New Roman" w:cs="Times New Roman"/>
          <w:color w:val="auto"/>
        </w:rPr>
        <w:t>集中收贮中心</w:t>
      </w:r>
      <w:r>
        <w:rPr>
          <w:rFonts w:hint="eastAsia" w:ascii="Times New Roman" w:cs="Times New Roman"/>
          <w:color w:val="auto"/>
          <w:lang w:val="en-US" w:eastAsia="zh-CN"/>
        </w:rPr>
        <w:t>归集分类后的</w:t>
      </w:r>
      <w:r>
        <w:rPr>
          <w:rFonts w:hint="eastAsia"/>
          <w:color w:val="auto"/>
        </w:rPr>
        <w:t>农药包装废弃物可</w:t>
      </w:r>
      <w:r>
        <w:rPr>
          <w:rFonts w:hint="eastAsia"/>
          <w:color w:val="auto"/>
          <w:lang w:val="en-US" w:eastAsia="zh-CN"/>
        </w:rPr>
        <w:t>由农药生产厂家重复利用，或由专业厂家及机构</w:t>
      </w:r>
      <w:r>
        <w:rPr>
          <w:rFonts w:hint="eastAsia"/>
          <w:color w:val="auto"/>
        </w:rPr>
        <w:t>通过物理造粒、化学分解等方式进行资源化利用</w:t>
      </w:r>
      <w:r>
        <w:rPr>
          <w:rFonts w:hint="eastAsia"/>
          <w:color w:val="auto"/>
          <w:lang w:eastAsia="zh-CN"/>
        </w:rPr>
        <w:t>。</w:t>
      </w:r>
    </w:p>
    <w:p w14:paraId="6B1D0B72">
      <w:pPr>
        <w:pStyle w:val="57"/>
        <w:ind w:left="0" w:leftChars="0" w:firstLine="0" w:firstLineChars="0"/>
        <w:rPr>
          <w:rFonts w:hint="eastAsia"/>
          <w:color w:val="auto"/>
        </w:rPr>
      </w:pPr>
      <w:r>
        <w:rPr>
          <w:rFonts w:hint="eastAsia" w:ascii="黑体" w:hAnsi="黑体" w:eastAsia="黑体" w:cs="黑体"/>
          <w:color w:val="auto"/>
          <w:lang w:val="en-US" w:eastAsia="zh-CN"/>
        </w:rPr>
        <w:t xml:space="preserve">9.3.2  </w:t>
      </w:r>
      <w:r>
        <w:rPr>
          <w:rFonts w:hint="eastAsia"/>
          <w:color w:val="auto"/>
        </w:rPr>
        <w:t>资源化利用产品不得用于制造餐饮用具、儿童玩具等</w:t>
      </w:r>
      <w:r>
        <w:rPr>
          <w:rFonts w:hint="eastAsia"/>
          <w:color w:val="auto"/>
          <w:lang w:val="en-US" w:eastAsia="zh-CN"/>
        </w:rPr>
        <w:t>生活用品</w:t>
      </w:r>
      <w:r>
        <w:rPr>
          <w:rFonts w:hint="eastAsia"/>
          <w:color w:val="auto"/>
        </w:rPr>
        <w:t>，防止危害人体健康。</w:t>
      </w:r>
    </w:p>
    <w:p w14:paraId="3CE942BC">
      <w:pPr>
        <w:pStyle w:val="57"/>
        <w:ind w:left="0" w:leftChars="0" w:firstLine="0" w:firstLineChars="0"/>
        <w:rPr>
          <w:rFonts w:hint="default" w:eastAsia="宋体"/>
          <w:color w:val="auto"/>
          <w:lang w:val="en-US" w:eastAsia="zh-CN"/>
        </w:rPr>
      </w:pPr>
      <w:r>
        <w:rPr>
          <w:rFonts w:hint="eastAsia" w:ascii="黑体" w:hAnsi="黑体" w:eastAsia="黑体" w:cs="黑体"/>
          <w:color w:val="auto"/>
          <w:lang w:val="en-US" w:eastAsia="zh-CN"/>
        </w:rPr>
        <w:t xml:space="preserve">9.3.3  </w:t>
      </w:r>
      <w:bookmarkStart w:id="72" w:name="OLE_LINK22"/>
      <w:r>
        <w:rPr>
          <w:rFonts w:hint="eastAsia"/>
          <w:color w:val="auto"/>
          <w:lang w:val="en-US" w:eastAsia="zh-CN"/>
        </w:rPr>
        <w:t>农药包装废弃物开展资源化利用前应委托专业环境保护机构围绕其加工、利用技术工艺及产品的环境风险进行评估，经评估风险可控后方可资源化利用</w:t>
      </w:r>
      <w:bookmarkEnd w:id="72"/>
      <w:r>
        <w:rPr>
          <w:rFonts w:hint="eastAsia"/>
          <w:color w:val="auto"/>
          <w:lang w:val="en-US" w:eastAsia="zh-CN"/>
        </w:rPr>
        <w:t>。</w:t>
      </w:r>
    </w:p>
    <w:p w14:paraId="3B0C6F95">
      <w:pPr>
        <w:pStyle w:val="106"/>
        <w:spacing w:before="156" w:after="156"/>
      </w:pPr>
      <w:bookmarkStart w:id="73" w:name="_Toc160198581"/>
      <w:bookmarkStart w:id="74" w:name="_Toc32127"/>
      <w:bookmarkStart w:id="75" w:name="_Toc14611"/>
      <w:r>
        <w:rPr>
          <w:rFonts w:hint="eastAsia"/>
        </w:rPr>
        <w:t>无害化处理</w:t>
      </w:r>
      <w:bookmarkEnd w:id="73"/>
      <w:bookmarkEnd w:id="74"/>
      <w:bookmarkEnd w:id="75"/>
    </w:p>
    <w:p w14:paraId="299C297E">
      <w:pPr>
        <w:pStyle w:val="166"/>
      </w:pPr>
      <w:r>
        <w:rPr>
          <w:rFonts w:hint="eastAsia"/>
        </w:rPr>
        <w:t>无法进行重复利用、资源化利用或使用不可降解材质的包装物，应由</w:t>
      </w:r>
      <w:r>
        <w:rPr>
          <w:rFonts w:hint="eastAsia"/>
          <w:lang w:val="en-US" w:eastAsia="zh-CN"/>
        </w:rPr>
        <w:t>具备相应</w:t>
      </w:r>
      <w:r>
        <w:rPr>
          <w:rFonts w:hint="eastAsia"/>
        </w:rPr>
        <w:t>资质</w:t>
      </w:r>
      <w:r>
        <w:rPr>
          <w:rFonts w:hint="eastAsia"/>
          <w:lang w:val="en-US" w:eastAsia="zh-CN"/>
        </w:rPr>
        <w:t>和处置能力</w:t>
      </w:r>
      <w:r>
        <w:rPr>
          <w:rFonts w:hint="eastAsia"/>
        </w:rPr>
        <w:t>的处置机构采取高温焚烧、集中填埋等方式进行无害化处理。</w:t>
      </w:r>
    </w:p>
    <w:p w14:paraId="1A5E332B">
      <w:pPr>
        <w:pStyle w:val="166"/>
      </w:pPr>
      <w:r>
        <w:rPr>
          <w:rFonts w:hint="eastAsia"/>
          <w:lang w:val="en-US" w:eastAsia="zh-CN"/>
        </w:rPr>
        <w:t>可</w:t>
      </w:r>
      <w:r>
        <w:rPr>
          <w:rFonts w:hint="eastAsia"/>
        </w:rPr>
        <w:t>生物降解的包装废弃物宜通过堆肥、沤肥等方式进行无害化处置。</w:t>
      </w:r>
    </w:p>
    <w:p w14:paraId="46DD9F2E">
      <w:pPr>
        <w:pStyle w:val="105"/>
        <w:spacing w:before="312" w:after="312"/>
      </w:pPr>
      <w:bookmarkStart w:id="76" w:name="_Toc3007"/>
      <w:r>
        <w:rPr>
          <w:rFonts w:hint="eastAsia"/>
        </w:rPr>
        <w:t>发展社会化服务</w:t>
      </w:r>
      <w:bookmarkEnd w:id="76"/>
    </w:p>
    <w:p w14:paraId="6DA2B71E">
      <w:pPr>
        <w:pStyle w:val="57"/>
        <w:ind w:firstLine="420"/>
        <w:rPr>
          <w:rFonts w:hint="default" w:eastAsia="宋体"/>
          <w:lang w:val="en-US" w:eastAsia="zh-CN"/>
        </w:rPr>
      </w:pPr>
      <w:r>
        <w:rPr>
          <w:rFonts w:hint="eastAsia"/>
        </w:rPr>
        <w:t>鼓励和支持行业协会在农药包装废弃物</w:t>
      </w:r>
      <w:r>
        <w:rPr>
          <w:rFonts w:hint="eastAsia"/>
          <w:lang w:val="en-US" w:eastAsia="zh-CN"/>
        </w:rPr>
        <w:t>收运和</w:t>
      </w:r>
      <w:r>
        <w:rPr>
          <w:rFonts w:hint="eastAsia"/>
        </w:rPr>
        <w:t>处理</w:t>
      </w:r>
      <w:r>
        <w:rPr>
          <w:rFonts w:hint="eastAsia"/>
          <w:lang w:val="en-US" w:eastAsia="zh-CN"/>
        </w:rPr>
        <w:t>过程</w:t>
      </w:r>
      <w:r>
        <w:rPr>
          <w:rFonts w:hint="eastAsia"/>
        </w:rPr>
        <w:t>中发挥组织协调、技术服务、</w:t>
      </w:r>
      <w:r>
        <w:rPr>
          <w:rFonts w:hint="eastAsia"/>
          <w:lang w:val="en-US" w:eastAsia="zh-CN"/>
        </w:rPr>
        <w:t>宣传</w:t>
      </w:r>
      <w:r>
        <w:rPr>
          <w:rFonts w:hint="eastAsia"/>
        </w:rPr>
        <w:t>指导等作用。</w:t>
      </w:r>
      <w:r>
        <w:rPr>
          <w:rFonts w:hint="eastAsia"/>
          <w:lang w:val="en-US" w:eastAsia="zh-CN"/>
        </w:rPr>
        <w:t>具备条件的地区应在农药包装废弃物回收、转运、重复利用及资源化环节建立经济回报机制。</w:t>
      </w:r>
    </w:p>
    <w:p w14:paraId="7EB1384E">
      <w:pPr>
        <w:pStyle w:val="105"/>
        <w:spacing w:before="312" w:after="312"/>
      </w:pPr>
      <w:bookmarkStart w:id="77" w:name="_Toc10637"/>
      <w:r>
        <w:rPr>
          <w:rFonts w:hint="eastAsia"/>
        </w:rPr>
        <w:t>安全作业</w:t>
      </w:r>
      <w:bookmarkEnd w:id="77"/>
    </w:p>
    <w:p w14:paraId="2733E01F">
      <w:pPr>
        <w:pStyle w:val="163"/>
        <w:rPr>
          <w:b w:val="0"/>
          <w:bCs w:val="0"/>
        </w:rPr>
      </w:pPr>
      <w:r>
        <w:rPr>
          <w:rFonts w:hint="eastAsia"/>
          <w:b w:val="0"/>
          <w:bCs w:val="0"/>
          <w:lang w:val="en-US" w:eastAsia="zh-CN"/>
        </w:rPr>
        <w:t>暂存点、回收站（点）和集中收贮中心存放的</w:t>
      </w:r>
      <w:r>
        <w:rPr>
          <w:rFonts w:hint="eastAsia"/>
          <w:b w:val="0"/>
          <w:bCs w:val="0"/>
        </w:rPr>
        <w:t>农药包装废弃物堆放高度</w:t>
      </w:r>
      <w:r>
        <w:rPr>
          <w:rFonts w:hint="eastAsia"/>
          <w:b w:val="0"/>
          <w:bCs w:val="0"/>
          <w:lang w:val="en-US" w:eastAsia="zh-CN"/>
        </w:rPr>
        <w:t>宜</w:t>
      </w:r>
      <w:r>
        <w:rPr>
          <w:rFonts w:hint="eastAsia"/>
          <w:b w:val="0"/>
          <w:bCs w:val="0"/>
        </w:rPr>
        <w:t>≤</w:t>
      </w:r>
      <w:r>
        <w:rPr>
          <w:rFonts w:hint="eastAsia"/>
          <w:b w:val="0"/>
          <w:bCs w:val="0"/>
          <w:lang w:val="en-US" w:eastAsia="zh-CN"/>
        </w:rPr>
        <w:t>1</w:t>
      </w:r>
      <w:r>
        <w:rPr>
          <w:rFonts w:hint="eastAsia"/>
          <w:b w:val="0"/>
          <w:bCs w:val="0"/>
        </w:rPr>
        <w:t>.5 m。</w:t>
      </w:r>
    </w:p>
    <w:p w14:paraId="2AFD6743">
      <w:pPr>
        <w:pStyle w:val="163"/>
        <w:rPr>
          <w:b w:val="0"/>
          <w:bCs w:val="0"/>
        </w:rPr>
      </w:pPr>
      <w:r>
        <w:rPr>
          <w:rFonts w:hint="eastAsia"/>
          <w:b w:val="0"/>
          <w:bCs w:val="0"/>
        </w:rPr>
        <w:t>各级回收</w:t>
      </w:r>
      <w:r>
        <w:rPr>
          <w:rFonts w:hint="eastAsia"/>
          <w:b w:val="0"/>
          <w:bCs w:val="0"/>
          <w:lang w:val="en-US" w:eastAsia="zh-CN"/>
        </w:rPr>
        <w:t>站（点）</w:t>
      </w:r>
      <w:r>
        <w:rPr>
          <w:rFonts w:hint="eastAsia"/>
          <w:b w:val="0"/>
          <w:bCs w:val="0"/>
        </w:rPr>
        <w:t>人员进行回收、分类作业时应做好安全防护，如着</w:t>
      </w:r>
      <w:r>
        <w:rPr>
          <w:rFonts w:hint="eastAsia"/>
          <w:b w:val="0"/>
          <w:bCs w:val="0"/>
          <w:lang w:val="en-US" w:eastAsia="zh-CN"/>
        </w:rPr>
        <w:t>防护服装</w:t>
      </w:r>
      <w:r>
        <w:rPr>
          <w:rFonts w:hint="eastAsia"/>
          <w:b w:val="0"/>
          <w:bCs w:val="0"/>
        </w:rPr>
        <w:t>，穿雨鞋，佩戴口罩、橡胶手套。作业过程中不吸烟、不饮食、不用手擦拭嘴、脸、眼睛等。作业结束后应及时清洗手、脸，清水漱口。</w:t>
      </w:r>
    </w:p>
    <w:bookmarkEnd w:id="20"/>
    <w:p w14:paraId="323CE352">
      <w:pPr>
        <w:pStyle w:val="163"/>
        <w:numPr>
          <w:ilvl w:val="0"/>
          <w:numId w:val="0"/>
        </w:numPr>
        <w:jc w:val="center"/>
      </w:pPr>
    </w:p>
    <w:p w14:paraId="2478A547">
      <w:pPr>
        <w:pStyle w:val="163"/>
        <w:numPr>
          <w:ilvl w:val="0"/>
          <w:numId w:val="0"/>
        </w:numPr>
        <w:jc w:val="center"/>
      </w:pPr>
    </w:p>
    <w:p w14:paraId="69013198">
      <w:pPr>
        <w:pStyle w:val="163"/>
        <w:numPr>
          <w:ilvl w:val="0"/>
          <w:numId w:val="0"/>
        </w:numPr>
        <w:jc w:val="center"/>
      </w:pPr>
    </w:p>
    <w:p w14:paraId="145C0E73">
      <w:r>
        <w:br w:type="page"/>
      </w:r>
    </w:p>
    <w:p w14:paraId="444F7B55">
      <w:pPr>
        <w:pStyle w:val="163"/>
        <w:keepNext w:val="0"/>
        <w:keepLines w:val="0"/>
        <w:pageBreakBefore w:val="0"/>
        <w:widowControl/>
        <w:numPr>
          <w:ilvl w:val="0"/>
          <w:numId w:val="0"/>
        </w:numPr>
        <w:kinsoku/>
        <w:wordWrap/>
        <w:overflowPunct/>
        <w:topLinePunct w:val="0"/>
        <w:autoSpaceDE/>
        <w:autoSpaceDN/>
        <w:bidi w:val="0"/>
        <w:adjustRightInd/>
        <w:snapToGrid/>
        <w:jc w:val="center"/>
        <w:textAlignment w:val="auto"/>
        <w:outlineLvl w:val="0"/>
        <w:rPr>
          <w:rFonts w:hint="eastAsia" w:ascii="黑体" w:hAnsi="黑体" w:eastAsia="黑体" w:cs="黑体"/>
          <w:lang w:val="en-US" w:eastAsia="zh-CN"/>
        </w:rPr>
      </w:pPr>
      <w:r>
        <w:rPr>
          <w:rFonts w:hint="eastAsia" w:ascii="黑体" w:hAnsi="黑体" w:eastAsia="黑体" w:cs="黑体"/>
          <w:lang w:val="en-US" w:eastAsia="zh-CN"/>
        </w:rPr>
        <w:t>附录A</w:t>
      </w:r>
    </w:p>
    <w:p w14:paraId="7C82921D">
      <w:pPr>
        <w:pStyle w:val="163"/>
        <w:keepNext w:val="0"/>
        <w:keepLines w:val="0"/>
        <w:pageBreakBefore w:val="0"/>
        <w:widowControl/>
        <w:numPr>
          <w:ilvl w:val="0"/>
          <w:numId w:val="0"/>
        </w:numPr>
        <w:kinsoku/>
        <w:wordWrap/>
        <w:overflowPunct/>
        <w:topLinePunct w:val="0"/>
        <w:autoSpaceDE/>
        <w:autoSpaceDN/>
        <w:bidi w:val="0"/>
        <w:adjustRightInd/>
        <w:snapToGrid/>
        <w:jc w:val="center"/>
        <w:textAlignment w:val="auto"/>
        <w:outlineLvl w:val="0"/>
        <w:rPr>
          <w:rFonts w:hint="eastAsia" w:ascii="黑体" w:hAnsi="黑体" w:eastAsia="黑体" w:cs="黑体"/>
          <w:lang w:val="en-US" w:eastAsia="zh-CN"/>
        </w:rPr>
      </w:pPr>
      <w:r>
        <w:rPr>
          <w:rFonts w:hint="eastAsia" w:ascii="黑体" w:hAnsi="黑体" w:eastAsia="黑体" w:cs="黑体"/>
          <w:lang w:val="en-US" w:eastAsia="zh-CN"/>
        </w:rPr>
        <w:t>（规范性）</w:t>
      </w:r>
    </w:p>
    <w:p w14:paraId="0E249227">
      <w:pPr>
        <w:pStyle w:val="163"/>
        <w:keepNext w:val="0"/>
        <w:keepLines w:val="0"/>
        <w:pageBreakBefore w:val="0"/>
        <w:widowControl/>
        <w:numPr>
          <w:ilvl w:val="0"/>
          <w:numId w:val="0"/>
        </w:numPr>
        <w:kinsoku/>
        <w:wordWrap/>
        <w:overflowPunct/>
        <w:topLinePunct w:val="0"/>
        <w:autoSpaceDE/>
        <w:autoSpaceDN/>
        <w:bidi w:val="0"/>
        <w:adjustRightInd/>
        <w:snapToGrid/>
        <w:jc w:val="center"/>
        <w:textAlignment w:val="auto"/>
        <w:outlineLvl w:val="0"/>
        <w:rPr>
          <w:rFonts w:hint="eastAsia" w:ascii="黑体" w:hAnsi="黑体" w:eastAsia="黑体" w:cs="黑体"/>
          <w:lang w:val="en-US" w:eastAsia="zh-CN"/>
        </w:rPr>
      </w:pPr>
      <w:r>
        <w:rPr>
          <w:rFonts w:hint="eastAsia" w:ascii="黑体" w:hAnsi="黑体" w:eastAsia="黑体" w:cs="黑体"/>
          <w:lang w:val="en-US" w:eastAsia="zh-CN"/>
        </w:rPr>
        <w:t xml:space="preserve"> </w:t>
      </w:r>
      <w:bookmarkStart w:id="78" w:name="OLE_LINK19"/>
      <w:r>
        <w:rPr>
          <w:rFonts w:hint="eastAsia" w:ascii="黑体" w:hAnsi="黑体" w:eastAsia="黑体" w:cs="黑体"/>
          <w:lang w:val="en-US" w:eastAsia="zh-CN"/>
        </w:rPr>
        <w:t>农药包装废弃物暂存、回收站（点）警示标识</w:t>
      </w:r>
      <w:bookmarkEnd w:id="78"/>
      <w:r>
        <w:rPr>
          <w:rFonts w:hint="eastAsia" w:ascii="黑体" w:hAnsi="黑体" w:eastAsia="黑体" w:cs="黑体"/>
          <w:lang w:val="en-US" w:eastAsia="zh-CN"/>
        </w:rPr>
        <w:t>图形</w:t>
      </w:r>
    </w:p>
    <w:p w14:paraId="51B11601">
      <w:pPr>
        <w:pStyle w:val="163"/>
        <w:numPr>
          <w:ilvl w:val="0"/>
          <w:numId w:val="0"/>
        </w:numPr>
        <w:jc w:val="both"/>
        <w:rPr>
          <w:rFonts w:hint="eastAsia" w:ascii="黑体" w:eastAsia="黑体" w:cs="Times New Roman"/>
          <w:sz w:val="21"/>
          <w:lang w:val="en-US" w:eastAsia="zh-CN" w:bidi="ar-SA"/>
        </w:rPr>
      </w:pPr>
    </w:p>
    <w:p w14:paraId="7E7A7B81">
      <w:pPr>
        <w:pStyle w:val="163"/>
        <w:numPr>
          <w:ilvl w:val="0"/>
          <w:numId w:val="0"/>
        </w:numPr>
        <w:jc w:val="both"/>
        <w:rPr>
          <w:rFonts w:hint="default" w:ascii="黑体" w:hAnsi="黑体" w:eastAsia="黑体" w:cs="黑体"/>
          <w:lang w:val="en-US" w:eastAsia="zh-CN"/>
        </w:rPr>
      </w:pPr>
      <w:r>
        <w:rPr>
          <w:rFonts w:hint="eastAsia" w:ascii="黑体" w:eastAsia="黑体" w:cs="Times New Roman"/>
          <w:sz w:val="21"/>
          <w:lang w:val="en-US" w:eastAsia="zh-CN" w:bidi="ar-SA"/>
        </w:rPr>
        <w:t>A</w:t>
      </w:r>
      <w:r>
        <w:rPr>
          <w:rFonts w:hint="eastAsia" w:ascii="黑体" w:hAnsi="Times New Roman" w:eastAsia="黑体" w:cs="Times New Roman"/>
          <w:sz w:val="21"/>
          <w:lang w:val="en-US" w:eastAsia="zh-CN" w:bidi="ar-SA"/>
        </w:rPr>
        <w:t>.1</w:t>
      </w:r>
      <w:r>
        <w:rPr>
          <w:rFonts w:hint="eastAsia" w:ascii="黑体" w:eastAsia="黑体" w:cs="Times New Roman"/>
          <w:sz w:val="21"/>
          <w:lang w:val="en-US" w:eastAsia="zh-CN" w:bidi="ar-SA"/>
        </w:rPr>
        <w:t xml:space="preserve"> </w:t>
      </w:r>
      <w:r>
        <w:rPr>
          <w:rFonts w:hint="eastAsia" w:ascii="Times New Roman" w:hAnsi="Times New Roman" w:eastAsia="宋体" w:cs="Times New Roman"/>
          <w:b w:val="0"/>
          <w:bCs w:val="0"/>
          <w:color w:val="000000"/>
          <w:sz w:val="21"/>
          <w:szCs w:val="21"/>
          <w:lang w:val="en-US" w:eastAsia="zh-CN"/>
        </w:rPr>
        <w:t>农药包装废弃物暂存、回收站（点）警示标识如</w:t>
      </w:r>
      <w:r>
        <w:rPr>
          <w:rFonts w:hint="eastAsia" w:ascii="Times New Roman" w:cs="Times New Roman"/>
          <w:b w:val="0"/>
          <w:bCs w:val="0"/>
          <w:color w:val="000000"/>
          <w:sz w:val="21"/>
          <w:szCs w:val="21"/>
          <w:lang w:val="en-US" w:eastAsia="zh-CN"/>
        </w:rPr>
        <w:t>图</w:t>
      </w:r>
      <w:r>
        <w:rPr>
          <w:rFonts w:hint="default" w:ascii="Times New Roman" w:hAnsi="Times New Roman" w:eastAsia="宋体" w:cs="Times New Roman"/>
          <w:b w:val="0"/>
          <w:bCs w:val="0"/>
          <w:color w:val="000000"/>
          <w:sz w:val="21"/>
          <w:szCs w:val="21"/>
        </w:rPr>
        <w:t xml:space="preserve"> </w:t>
      </w:r>
      <w:r>
        <w:rPr>
          <w:rFonts w:hint="eastAsia" w:ascii="Times New Roman" w:cs="Times New Roman"/>
          <w:b w:val="0"/>
          <w:bCs w:val="0"/>
          <w:color w:val="000000"/>
          <w:sz w:val="21"/>
          <w:szCs w:val="21"/>
          <w:lang w:val="en-US" w:eastAsia="zh-CN"/>
        </w:rPr>
        <w:t>A</w:t>
      </w:r>
      <w:r>
        <w:rPr>
          <w:rFonts w:hint="default" w:ascii="Times New Roman" w:hAnsi="Times New Roman" w:eastAsia="宋体" w:cs="Times New Roman"/>
          <w:b w:val="0"/>
          <w:bCs w:val="0"/>
          <w:color w:val="000000"/>
          <w:sz w:val="21"/>
          <w:szCs w:val="21"/>
        </w:rPr>
        <w:t xml:space="preserve">.1 </w:t>
      </w:r>
      <w:r>
        <w:rPr>
          <w:rFonts w:hint="eastAsia" w:ascii="宋体" w:hAnsi="宋体" w:eastAsia="宋体" w:cs="宋体"/>
          <w:b w:val="0"/>
          <w:bCs w:val="0"/>
          <w:color w:val="000000"/>
          <w:sz w:val="21"/>
          <w:szCs w:val="21"/>
        </w:rPr>
        <w:t>所示</w:t>
      </w:r>
      <w:r>
        <w:rPr>
          <w:rFonts w:hint="eastAsia" w:ascii="宋体" w:hAnsi="宋体" w:eastAsia="宋体" w:cs="宋体"/>
          <w:b w:val="0"/>
          <w:bCs w:val="0"/>
          <w:color w:val="000000"/>
          <w:sz w:val="21"/>
          <w:szCs w:val="21"/>
          <w:lang w:eastAsia="zh-CN"/>
        </w:rPr>
        <w:t>。</w:t>
      </w:r>
    </w:p>
    <w:p w14:paraId="7CA51ECC">
      <w:pPr>
        <w:pStyle w:val="163"/>
        <w:numPr>
          <w:ilvl w:val="0"/>
          <w:numId w:val="0"/>
        </w:numPr>
        <w:jc w:val="center"/>
      </w:pPr>
    </w:p>
    <w:p w14:paraId="69E8FBC0">
      <w:pPr>
        <w:pStyle w:val="163"/>
        <w:numPr>
          <w:ilvl w:val="0"/>
          <w:numId w:val="0"/>
        </w:numPr>
        <w:jc w:val="center"/>
      </w:pPr>
      <w:r>
        <w:drawing>
          <wp:inline distT="0" distB="0" distL="114300" distR="114300">
            <wp:extent cx="2766695" cy="2202180"/>
            <wp:effectExtent l="0" t="0" r="1905" b="762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6"/>
                    <a:srcRect b="11954"/>
                    <a:stretch>
                      <a:fillRect/>
                    </a:stretch>
                  </pic:blipFill>
                  <pic:spPr>
                    <a:xfrm>
                      <a:off x="0" y="0"/>
                      <a:ext cx="2766695" cy="2202180"/>
                    </a:xfrm>
                    <a:prstGeom prst="rect">
                      <a:avLst/>
                    </a:prstGeom>
                    <a:noFill/>
                    <a:ln>
                      <a:noFill/>
                    </a:ln>
                  </pic:spPr>
                </pic:pic>
              </a:graphicData>
            </a:graphic>
          </wp:inline>
        </w:drawing>
      </w:r>
    </w:p>
    <w:p w14:paraId="4E71BF74">
      <w:pPr>
        <w:pStyle w:val="16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jc w:val="center"/>
        <w:textAlignment w:val="auto"/>
        <w:rPr>
          <w:rFonts w:hint="eastAsia"/>
          <w:lang w:val="en-US" w:eastAsia="zh-CN"/>
        </w:rPr>
      </w:pPr>
      <w:r>
        <w:rPr>
          <w:rFonts w:hint="eastAsia" w:ascii="黑体" w:hAnsi="黑体" w:eastAsia="黑体" w:cs="黑体"/>
          <w:lang w:val="en-US" w:eastAsia="zh-CN"/>
        </w:rPr>
        <w:t>图A.1 农药包装废弃物暂存、回收站（点）警示标识</w:t>
      </w:r>
    </w:p>
    <w:p w14:paraId="1E854C83">
      <w:pPr>
        <w:rPr>
          <w:rFonts w:hint="eastAsia" w:ascii="黑体" w:hAnsi="黑体" w:eastAsia="黑体" w:cs="黑体"/>
          <w:lang w:val="en-US" w:eastAsia="zh-CN"/>
        </w:rPr>
      </w:pPr>
      <w:r>
        <w:rPr>
          <w:rFonts w:hint="eastAsia" w:ascii="黑体" w:hAnsi="黑体" w:eastAsia="黑体" w:cs="黑体"/>
          <w:lang w:val="en-US" w:eastAsia="zh-CN"/>
        </w:rPr>
        <w:br w:type="page"/>
      </w:r>
    </w:p>
    <w:p w14:paraId="424F521A">
      <w:pPr>
        <w:pStyle w:val="163"/>
        <w:keepNext w:val="0"/>
        <w:keepLines w:val="0"/>
        <w:pageBreakBefore w:val="0"/>
        <w:widowControl/>
        <w:numPr>
          <w:ilvl w:val="0"/>
          <w:numId w:val="0"/>
        </w:numPr>
        <w:kinsoku/>
        <w:wordWrap/>
        <w:overflowPunct/>
        <w:topLinePunct w:val="0"/>
        <w:autoSpaceDE/>
        <w:autoSpaceDN/>
        <w:bidi w:val="0"/>
        <w:adjustRightInd/>
        <w:snapToGrid/>
        <w:jc w:val="center"/>
        <w:textAlignment w:val="auto"/>
        <w:outlineLvl w:val="0"/>
        <w:rPr>
          <w:rFonts w:hint="default" w:ascii="黑体" w:hAnsi="黑体" w:eastAsia="黑体" w:cs="黑体"/>
          <w:lang w:val="en-US" w:eastAsia="zh-CN"/>
        </w:rPr>
      </w:pPr>
      <w:r>
        <w:rPr>
          <w:rFonts w:hint="eastAsia" w:ascii="黑体" w:hAnsi="黑体" w:eastAsia="黑体" w:cs="黑体"/>
          <w:lang w:val="en-US" w:eastAsia="zh-CN"/>
        </w:rPr>
        <w:t>附录B</w:t>
      </w:r>
    </w:p>
    <w:p w14:paraId="7B1C3D4C">
      <w:pPr>
        <w:pStyle w:val="163"/>
        <w:keepNext w:val="0"/>
        <w:keepLines w:val="0"/>
        <w:pageBreakBefore w:val="0"/>
        <w:widowControl/>
        <w:numPr>
          <w:ilvl w:val="0"/>
          <w:numId w:val="0"/>
        </w:numPr>
        <w:kinsoku/>
        <w:wordWrap/>
        <w:overflowPunct/>
        <w:topLinePunct w:val="0"/>
        <w:autoSpaceDE/>
        <w:autoSpaceDN/>
        <w:bidi w:val="0"/>
        <w:adjustRightInd/>
        <w:snapToGrid/>
        <w:jc w:val="center"/>
        <w:textAlignment w:val="auto"/>
        <w:outlineLvl w:val="0"/>
        <w:rPr>
          <w:rFonts w:hint="eastAsia" w:ascii="黑体" w:hAnsi="黑体" w:eastAsia="黑体" w:cs="黑体"/>
          <w:lang w:val="en-US" w:eastAsia="zh-CN"/>
        </w:rPr>
      </w:pPr>
      <w:r>
        <w:rPr>
          <w:rFonts w:hint="eastAsia" w:ascii="黑体" w:hAnsi="黑体" w:eastAsia="黑体" w:cs="黑体"/>
          <w:lang w:val="en-US" w:eastAsia="zh-CN"/>
        </w:rPr>
        <w:t>（规范性）</w:t>
      </w:r>
    </w:p>
    <w:p w14:paraId="173B040B">
      <w:pPr>
        <w:pStyle w:val="163"/>
        <w:keepNext w:val="0"/>
        <w:keepLines w:val="0"/>
        <w:pageBreakBefore w:val="0"/>
        <w:widowControl/>
        <w:numPr>
          <w:ilvl w:val="0"/>
          <w:numId w:val="0"/>
        </w:numPr>
        <w:kinsoku/>
        <w:wordWrap/>
        <w:overflowPunct/>
        <w:topLinePunct w:val="0"/>
        <w:autoSpaceDE/>
        <w:autoSpaceDN/>
        <w:bidi w:val="0"/>
        <w:adjustRightInd/>
        <w:snapToGrid/>
        <w:jc w:val="center"/>
        <w:textAlignment w:val="auto"/>
        <w:outlineLvl w:val="0"/>
        <w:rPr>
          <w:rFonts w:hint="eastAsia" w:ascii="黑体" w:hAnsi="黑体" w:eastAsia="黑体" w:cs="黑体"/>
          <w:lang w:val="en-US" w:eastAsia="zh-CN"/>
        </w:rPr>
      </w:pPr>
      <w:r>
        <w:rPr>
          <w:rFonts w:hint="eastAsia" w:ascii="黑体" w:hAnsi="黑体" w:eastAsia="黑体" w:cs="黑体"/>
          <w:lang w:val="en-US" w:eastAsia="zh-CN"/>
        </w:rPr>
        <w:t>农药包装废弃物回收站（点）台账</w:t>
      </w:r>
    </w:p>
    <w:p w14:paraId="3DDB8E33">
      <w:pPr>
        <w:pStyle w:val="163"/>
        <w:numPr>
          <w:ilvl w:val="0"/>
          <w:numId w:val="0"/>
        </w:numPr>
        <w:ind w:firstLine="420" w:firstLineChars="200"/>
        <w:jc w:val="both"/>
        <w:rPr>
          <w:rFonts w:hint="eastAsia" w:ascii="黑体" w:eastAsia="黑体" w:cs="Times New Roman"/>
          <w:sz w:val="21"/>
          <w:lang w:val="en-US" w:eastAsia="zh-CN" w:bidi="ar-SA"/>
        </w:rPr>
      </w:pPr>
      <w:bookmarkStart w:id="79" w:name="OLE_LINK16"/>
    </w:p>
    <w:p w14:paraId="165B9811">
      <w:pPr>
        <w:pStyle w:val="163"/>
        <w:numPr>
          <w:ilvl w:val="0"/>
          <w:numId w:val="0"/>
        </w:numPr>
        <w:jc w:val="both"/>
        <w:rPr>
          <w:rFonts w:hint="eastAsia" w:ascii="黑体" w:hAnsi="黑体" w:eastAsia="宋体" w:cs="黑体"/>
          <w:lang w:val="en-US" w:eastAsia="zh-CN"/>
        </w:rPr>
      </w:pPr>
      <w:r>
        <w:rPr>
          <w:rFonts w:hint="eastAsia" w:ascii="黑体" w:eastAsia="黑体" w:cs="Times New Roman"/>
          <w:sz w:val="21"/>
          <w:lang w:val="en-US" w:eastAsia="zh-CN" w:bidi="ar-SA"/>
        </w:rPr>
        <w:t>B</w:t>
      </w:r>
      <w:r>
        <w:rPr>
          <w:rFonts w:hint="eastAsia" w:ascii="黑体" w:hAnsi="Times New Roman" w:eastAsia="黑体" w:cs="Times New Roman"/>
          <w:sz w:val="21"/>
          <w:lang w:val="en-US" w:eastAsia="zh-CN" w:bidi="ar-SA"/>
        </w:rPr>
        <w:t>.1</w:t>
      </w:r>
      <w:bookmarkStart w:id="80" w:name="OLE_LINK8"/>
      <w:r>
        <w:rPr>
          <w:rFonts w:hint="eastAsia" w:ascii="黑体" w:eastAsia="黑体" w:cs="Times New Roman"/>
          <w:sz w:val="21"/>
          <w:lang w:val="en-US" w:eastAsia="zh-CN" w:bidi="ar-SA"/>
        </w:rPr>
        <w:t xml:space="preserve"> </w:t>
      </w:r>
      <w:r>
        <w:rPr>
          <w:rFonts w:hint="eastAsia" w:ascii="Times New Roman" w:hAnsi="Times New Roman" w:eastAsia="宋体" w:cs="Times New Roman"/>
          <w:b w:val="0"/>
          <w:bCs w:val="0"/>
          <w:color w:val="000000"/>
          <w:sz w:val="21"/>
          <w:szCs w:val="21"/>
          <w:lang w:val="en-US" w:eastAsia="zh-CN"/>
        </w:rPr>
        <w:t>农药包装废弃物回收站（点）台账</w:t>
      </w:r>
      <w:r>
        <w:rPr>
          <w:rFonts w:hint="eastAsia" w:ascii="Times New Roman" w:cs="Times New Roman"/>
          <w:b w:val="0"/>
          <w:bCs w:val="0"/>
          <w:color w:val="000000"/>
          <w:sz w:val="21"/>
          <w:szCs w:val="21"/>
          <w:lang w:val="en-US" w:eastAsia="zh-CN"/>
        </w:rPr>
        <w:t>内容及格式</w:t>
      </w:r>
      <w:r>
        <w:rPr>
          <w:rFonts w:hint="eastAsia" w:ascii="Times New Roman" w:hAnsi="Times New Roman" w:eastAsia="宋体" w:cs="Times New Roman"/>
          <w:b w:val="0"/>
          <w:bCs w:val="0"/>
          <w:color w:val="000000"/>
          <w:sz w:val="21"/>
          <w:szCs w:val="21"/>
        </w:rPr>
        <w:t>如</w:t>
      </w:r>
      <w:r>
        <w:rPr>
          <w:rFonts w:hint="eastAsia" w:ascii="宋体" w:hAnsi="宋体" w:eastAsia="宋体" w:cs="宋体"/>
          <w:b w:val="0"/>
          <w:bCs w:val="0"/>
          <w:color w:val="000000"/>
          <w:sz w:val="21"/>
          <w:szCs w:val="21"/>
        </w:rPr>
        <w:t>表</w:t>
      </w:r>
      <w:r>
        <w:rPr>
          <w:rFonts w:hint="default" w:ascii="Times New Roman" w:hAnsi="Times New Roman" w:eastAsia="宋体" w:cs="Times New Roman"/>
          <w:b w:val="0"/>
          <w:bCs w:val="0"/>
          <w:color w:val="000000"/>
          <w:sz w:val="21"/>
          <w:szCs w:val="21"/>
        </w:rPr>
        <w:t xml:space="preserve"> </w:t>
      </w:r>
      <w:r>
        <w:rPr>
          <w:rFonts w:hint="eastAsia" w:ascii="Times New Roman" w:hAnsi="Times New Roman" w:eastAsia="宋体" w:cs="Times New Roman"/>
          <w:b w:val="0"/>
          <w:bCs w:val="0"/>
          <w:color w:val="000000"/>
          <w:sz w:val="21"/>
          <w:szCs w:val="21"/>
          <w:lang w:val="en-US" w:eastAsia="zh-CN"/>
        </w:rPr>
        <w:t>B</w:t>
      </w:r>
      <w:r>
        <w:rPr>
          <w:rFonts w:hint="default" w:ascii="Times New Roman" w:hAnsi="Times New Roman" w:eastAsia="宋体" w:cs="Times New Roman"/>
          <w:b w:val="0"/>
          <w:bCs w:val="0"/>
          <w:color w:val="000000"/>
          <w:sz w:val="21"/>
          <w:szCs w:val="21"/>
        </w:rPr>
        <w:t xml:space="preserve">.1 </w:t>
      </w:r>
      <w:r>
        <w:rPr>
          <w:rFonts w:hint="eastAsia" w:ascii="宋体" w:hAnsi="宋体" w:eastAsia="宋体" w:cs="宋体"/>
          <w:b w:val="0"/>
          <w:bCs w:val="0"/>
          <w:color w:val="000000"/>
          <w:sz w:val="21"/>
          <w:szCs w:val="21"/>
        </w:rPr>
        <w:t>所示</w:t>
      </w:r>
      <w:r>
        <w:rPr>
          <w:rFonts w:hint="eastAsia" w:ascii="宋体" w:hAnsi="宋体" w:eastAsia="宋体" w:cs="宋体"/>
          <w:b w:val="0"/>
          <w:bCs w:val="0"/>
          <w:color w:val="000000"/>
          <w:sz w:val="21"/>
          <w:szCs w:val="21"/>
          <w:lang w:eastAsia="zh-CN"/>
        </w:rPr>
        <w:t>。</w:t>
      </w:r>
      <w:bookmarkEnd w:id="79"/>
      <w:bookmarkEnd w:id="80"/>
    </w:p>
    <w:p w14:paraId="399A4045">
      <w:pPr>
        <w:pStyle w:val="16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黑体"/>
          <w:lang w:val="en-US" w:eastAsia="zh-CN"/>
        </w:rPr>
      </w:pPr>
      <w:bookmarkStart w:id="81" w:name="OLE_LINK6"/>
      <w:r>
        <w:rPr>
          <w:rFonts w:hint="eastAsia" w:ascii="黑体" w:hAnsi="黑体" w:eastAsia="黑体" w:cs="黑体"/>
          <w:lang w:val="en-US" w:eastAsia="zh-CN"/>
        </w:rPr>
        <w:t xml:space="preserve">表B.1 </w:t>
      </w:r>
      <w:bookmarkStart w:id="82" w:name="OLE_LINK17"/>
      <w:r>
        <w:rPr>
          <w:rFonts w:hint="eastAsia" w:ascii="黑体" w:hAnsi="黑体" w:eastAsia="黑体" w:cs="黑体"/>
          <w:lang w:val="en-US" w:eastAsia="zh-CN"/>
        </w:rPr>
        <w:t>农药包装废弃物回收站</w:t>
      </w:r>
      <w:bookmarkStart w:id="83" w:name="OLE_LINK7"/>
      <w:r>
        <w:rPr>
          <w:rFonts w:hint="eastAsia" w:ascii="黑体" w:hAnsi="黑体" w:eastAsia="黑体" w:cs="黑体"/>
          <w:lang w:val="en-US" w:eastAsia="zh-CN"/>
        </w:rPr>
        <w:t>（点）</w:t>
      </w:r>
      <w:bookmarkEnd w:id="83"/>
      <w:r>
        <w:rPr>
          <w:rFonts w:hint="eastAsia" w:ascii="黑体" w:hAnsi="黑体" w:eastAsia="黑体" w:cs="黑体"/>
          <w:lang w:val="en-US" w:eastAsia="zh-CN"/>
        </w:rPr>
        <w:t>台账</w:t>
      </w:r>
      <w:bookmarkEnd w:id="81"/>
      <w:bookmarkEnd w:id="82"/>
    </w:p>
    <w:tbl>
      <w:tblPr>
        <w:tblStyle w:val="28"/>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2562"/>
        <w:gridCol w:w="2748"/>
        <w:gridCol w:w="2618"/>
      </w:tblGrid>
      <w:tr w14:paraId="1E576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pct"/>
            <w:vAlign w:val="center"/>
          </w:tcPr>
          <w:p w14:paraId="409B04F6">
            <w:pPr>
              <w:pStyle w:val="163"/>
              <w:numPr>
                <w:ilvl w:val="0"/>
                <w:numId w:val="0"/>
              </w:numPr>
              <w:jc w:val="center"/>
              <w:rPr>
                <w:rFonts w:hint="default"/>
                <w:vertAlign w:val="baseline"/>
                <w:lang w:val="en-US" w:eastAsia="zh-CN"/>
              </w:rPr>
            </w:pPr>
            <w:r>
              <w:rPr>
                <w:rFonts w:hint="eastAsia"/>
                <w:vertAlign w:val="baseline"/>
                <w:lang w:val="en-US" w:eastAsia="zh-CN"/>
              </w:rPr>
              <w:t>接收日期</w:t>
            </w:r>
          </w:p>
        </w:tc>
        <w:tc>
          <w:tcPr>
            <w:tcW w:w="1340" w:type="pct"/>
            <w:vAlign w:val="center"/>
          </w:tcPr>
          <w:p w14:paraId="1CBA944D">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p>
        </w:tc>
        <w:tc>
          <w:tcPr>
            <w:tcW w:w="1437" w:type="pct"/>
            <w:vAlign w:val="center"/>
          </w:tcPr>
          <w:p w14:paraId="0F001CAC">
            <w:pPr>
              <w:pStyle w:val="163"/>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废弃物形式</w:t>
            </w:r>
          </w:p>
          <w:p w14:paraId="392E0596">
            <w:pPr>
              <w:pStyle w:val="163"/>
              <w:numPr>
                <w:ilvl w:val="0"/>
                <w:numId w:val="0"/>
              </w:numPr>
              <w:ind w:left="0" w:leftChars="0" w:firstLine="0" w:firstLineChars="0"/>
              <w:jc w:val="center"/>
              <w:rPr>
                <w:rFonts w:hint="eastAsia" w:ascii="宋体" w:hAnsi="Times New Roman" w:eastAsia="宋体" w:cs="Times New Roman"/>
                <w:sz w:val="21"/>
                <w:vertAlign w:val="baseline"/>
                <w:lang w:val="en-US" w:eastAsia="zh-CN" w:bidi="ar-SA"/>
              </w:rPr>
            </w:pPr>
            <w:r>
              <w:rPr>
                <w:rFonts w:hint="eastAsia"/>
                <w:vertAlign w:val="baseline"/>
                <w:lang w:val="en-US" w:eastAsia="zh-CN"/>
              </w:rPr>
              <w:t>（玻璃/塑料/金属）</w:t>
            </w:r>
          </w:p>
        </w:tc>
        <w:tc>
          <w:tcPr>
            <w:tcW w:w="1368" w:type="pct"/>
            <w:vAlign w:val="center"/>
          </w:tcPr>
          <w:p w14:paraId="2AF3885D">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p>
        </w:tc>
      </w:tr>
      <w:tr w14:paraId="28B5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pct"/>
            <w:vAlign w:val="center"/>
          </w:tcPr>
          <w:p w14:paraId="0604026A">
            <w:pPr>
              <w:pStyle w:val="163"/>
              <w:numPr>
                <w:ilvl w:val="0"/>
                <w:numId w:val="0"/>
              </w:numPr>
              <w:jc w:val="center"/>
              <w:rPr>
                <w:rFonts w:hint="default"/>
                <w:vertAlign w:val="baseline"/>
                <w:lang w:val="en-US" w:eastAsia="zh-CN"/>
              </w:rPr>
            </w:pPr>
            <w:r>
              <w:rPr>
                <w:rFonts w:hint="eastAsia" w:cs="Times New Roman"/>
                <w:sz w:val="21"/>
                <w:vertAlign w:val="baseline"/>
                <w:lang w:val="en-US" w:eastAsia="zh-CN" w:bidi="ar-SA"/>
              </w:rPr>
              <w:t>废弃物原容纳物成分</w:t>
            </w:r>
          </w:p>
        </w:tc>
        <w:tc>
          <w:tcPr>
            <w:tcW w:w="1340" w:type="pct"/>
            <w:vAlign w:val="center"/>
          </w:tcPr>
          <w:p w14:paraId="62E5364B">
            <w:pPr>
              <w:pStyle w:val="163"/>
              <w:numPr>
                <w:ilvl w:val="0"/>
                <w:numId w:val="0"/>
              </w:numPr>
              <w:jc w:val="center"/>
              <w:rPr>
                <w:rFonts w:hint="default"/>
                <w:vertAlign w:val="baseline"/>
                <w:lang w:val="en-US" w:eastAsia="zh-CN"/>
              </w:rPr>
            </w:pPr>
          </w:p>
        </w:tc>
        <w:tc>
          <w:tcPr>
            <w:tcW w:w="1437" w:type="pct"/>
            <w:vAlign w:val="center"/>
          </w:tcPr>
          <w:p w14:paraId="5868C017">
            <w:pPr>
              <w:pStyle w:val="163"/>
              <w:numPr>
                <w:ilvl w:val="0"/>
                <w:numId w:val="0"/>
              </w:numPr>
              <w:jc w:val="center"/>
              <w:rPr>
                <w:rFonts w:hint="default"/>
                <w:vertAlign w:val="baseline"/>
                <w:lang w:val="en-US" w:eastAsia="zh-CN"/>
              </w:rPr>
            </w:pPr>
            <w:r>
              <w:rPr>
                <w:rFonts w:hint="eastAsia"/>
                <w:vertAlign w:val="baseline"/>
                <w:lang w:val="en-US" w:eastAsia="zh-CN"/>
              </w:rPr>
              <w:t>废弃物接收量</w:t>
            </w:r>
          </w:p>
        </w:tc>
        <w:tc>
          <w:tcPr>
            <w:tcW w:w="1368" w:type="pct"/>
            <w:vAlign w:val="center"/>
          </w:tcPr>
          <w:p w14:paraId="4DDE6618">
            <w:pPr>
              <w:pStyle w:val="163"/>
              <w:numPr>
                <w:ilvl w:val="0"/>
                <w:numId w:val="0"/>
              </w:numPr>
              <w:jc w:val="center"/>
              <w:rPr>
                <w:rFonts w:hint="default"/>
                <w:vertAlign w:val="baseline"/>
                <w:lang w:val="en-US" w:eastAsia="zh-CN"/>
              </w:rPr>
            </w:pPr>
          </w:p>
        </w:tc>
      </w:tr>
      <w:tr w14:paraId="72E90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pct"/>
            <w:vAlign w:val="center"/>
          </w:tcPr>
          <w:p w14:paraId="1C48FF68">
            <w:pPr>
              <w:pStyle w:val="163"/>
              <w:numPr>
                <w:ilvl w:val="0"/>
                <w:numId w:val="0"/>
              </w:numPr>
              <w:ind w:left="0" w:leftChars="0" w:firstLine="0" w:firstLineChars="0"/>
              <w:jc w:val="center"/>
              <w:rPr>
                <w:rFonts w:hint="eastAsia" w:ascii="宋体" w:hAnsi="Times New Roman" w:eastAsia="宋体" w:cs="Times New Roman"/>
                <w:sz w:val="21"/>
                <w:vertAlign w:val="baseline"/>
                <w:lang w:val="en-US" w:eastAsia="zh-CN" w:bidi="ar-SA"/>
              </w:rPr>
            </w:pPr>
            <w:r>
              <w:rPr>
                <w:rFonts w:hint="eastAsia"/>
                <w:vertAlign w:val="baseline"/>
                <w:lang w:val="en-US" w:eastAsia="zh-CN"/>
              </w:rPr>
              <w:t>接收人签字</w:t>
            </w:r>
          </w:p>
        </w:tc>
        <w:tc>
          <w:tcPr>
            <w:tcW w:w="1340" w:type="pct"/>
            <w:vAlign w:val="center"/>
          </w:tcPr>
          <w:p w14:paraId="5C3010E4">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p>
        </w:tc>
        <w:tc>
          <w:tcPr>
            <w:tcW w:w="1437" w:type="pct"/>
            <w:vAlign w:val="center"/>
          </w:tcPr>
          <w:p w14:paraId="2375BCF1">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r>
              <w:rPr>
                <w:rFonts w:hint="eastAsia"/>
                <w:vertAlign w:val="baseline"/>
                <w:lang w:val="en-US" w:eastAsia="zh-CN"/>
              </w:rPr>
              <w:t>是否按废弃物形式分类贮存</w:t>
            </w:r>
          </w:p>
        </w:tc>
        <w:tc>
          <w:tcPr>
            <w:tcW w:w="1368" w:type="pct"/>
            <w:vAlign w:val="center"/>
          </w:tcPr>
          <w:p w14:paraId="7B14B30F">
            <w:pPr>
              <w:pStyle w:val="163"/>
              <w:numPr>
                <w:ilvl w:val="0"/>
                <w:numId w:val="0"/>
              </w:numPr>
              <w:jc w:val="center"/>
              <w:rPr>
                <w:rFonts w:hint="default"/>
                <w:vertAlign w:val="baseline"/>
                <w:lang w:val="en-US" w:eastAsia="zh-CN"/>
              </w:rPr>
            </w:pPr>
          </w:p>
        </w:tc>
      </w:tr>
      <w:tr w14:paraId="3785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pct"/>
            <w:vAlign w:val="center"/>
          </w:tcPr>
          <w:p w14:paraId="2AF4B03C">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r>
              <w:rPr>
                <w:rFonts w:hint="eastAsia"/>
                <w:vertAlign w:val="baseline"/>
                <w:lang w:val="en-US" w:eastAsia="zh-CN"/>
              </w:rPr>
              <w:t>交送人签字</w:t>
            </w:r>
          </w:p>
        </w:tc>
        <w:tc>
          <w:tcPr>
            <w:tcW w:w="1340" w:type="pct"/>
            <w:vAlign w:val="center"/>
          </w:tcPr>
          <w:p w14:paraId="1E545724">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p>
        </w:tc>
        <w:tc>
          <w:tcPr>
            <w:tcW w:w="1437" w:type="pct"/>
            <w:vAlign w:val="center"/>
          </w:tcPr>
          <w:p w14:paraId="3A862CF9">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r>
              <w:rPr>
                <w:rFonts w:hint="eastAsia"/>
                <w:vertAlign w:val="baseline"/>
                <w:lang w:val="en-US" w:eastAsia="zh-CN"/>
              </w:rPr>
              <w:t>交送人联系方式</w:t>
            </w:r>
          </w:p>
        </w:tc>
        <w:tc>
          <w:tcPr>
            <w:tcW w:w="1368" w:type="pct"/>
            <w:vAlign w:val="center"/>
          </w:tcPr>
          <w:p w14:paraId="7D0D0570">
            <w:pPr>
              <w:pStyle w:val="163"/>
              <w:numPr>
                <w:ilvl w:val="0"/>
                <w:numId w:val="0"/>
              </w:numPr>
              <w:jc w:val="center"/>
              <w:rPr>
                <w:rFonts w:hint="default"/>
                <w:vertAlign w:val="baseline"/>
                <w:lang w:val="en-US" w:eastAsia="zh-CN"/>
              </w:rPr>
            </w:pPr>
          </w:p>
        </w:tc>
      </w:tr>
      <w:tr w14:paraId="6EC8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pct"/>
            <w:vAlign w:val="center"/>
          </w:tcPr>
          <w:p w14:paraId="21B92CFC">
            <w:pPr>
              <w:pStyle w:val="163"/>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备注</w:t>
            </w:r>
          </w:p>
        </w:tc>
        <w:tc>
          <w:tcPr>
            <w:tcW w:w="4146" w:type="pct"/>
            <w:gridSpan w:val="3"/>
            <w:vAlign w:val="center"/>
          </w:tcPr>
          <w:p w14:paraId="52E488AB">
            <w:pPr>
              <w:pStyle w:val="163"/>
              <w:numPr>
                <w:ilvl w:val="0"/>
                <w:numId w:val="0"/>
              </w:numPr>
              <w:jc w:val="center"/>
              <w:rPr>
                <w:rFonts w:hint="default"/>
                <w:vertAlign w:val="baseline"/>
                <w:lang w:val="en-US" w:eastAsia="zh-CN"/>
              </w:rPr>
            </w:pPr>
          </w:p>
        </w:tc>
      </w:tr>
    </w:tbl>
    <w:p w14:paraId="4F1587B6">
      <w:pPr>
        <w:pStyle w:val="163"/>
        <w:numPr>
          <w:ilvl w:val="0"/>
          <w:numId w:val="0"/>
        </w:numPr>
        <w:jc w:val="center"/>
        <w:rPr>
          <w:rFonts w:hint="default"/>
          <w:lang w:val="en-US" w:eastAsia="zh-CN"/>
        </w:rPr>
      </w:pPr>
    </w:p>
    <w:p w14:paraId="7AC27210">
      <w:pPr>
        <w:rPr>
          <w:rFonts w:hint="eastAsia" w:ascii="黑体" w:hAnsi="黑体" w:eastAsia="黑体" w:cs="黑体"/>
          <w:lang w:val="en-US" w:eastAsia="zh-CN"/>
        </w:rPr>
      </w:pPr>
      <w:r>
        <w:rPr>
          <w:rFonts w:hint="eastAsia" w:ascii="黑体" w:hAnsi="黑体" w:eastAsia="黑体" w:cs="黑体"/>
          <w:lang w:val="en-US" w:eastAsia="zh-CN"/>
        </w:rPr>
        <w:br w:type="page"/>
      </w:r>
    </w:p>
    <w:p w14:paraId="35E14CF4">
      <w:pPr>
        <w:pStyle w:val="163"/>
        <w:keepNext w:val="0"/>
        <w:keepLines w:val="0"/>
        <w:pageBreakBefore w:val="0"/>
        <w:widowControl/>
        <w:numPr>
          <w:ilvl w:val="0"/>
          <w:numId w:val="0"/>
        </w:numPr>
        <w:kinsoku/>
        <w:wordWrap/>
        <w:overflowPunct/>
        <w:topLinePunct w:val="0"/>
        <w:autoSpaceDE/>
        <w:autoSpaceDN/>
        <w:bidi w:val="0"/>
        <w:adjustRightInd/>
        <w:snapToGrid/>
        <w:jc w:val="center"/>
        <w:textAlignment w:val="auto"/>
        <w:outlineLvl w:val="0"/>
        <w:rPr>
          <w:rFonts w:hint="eastAsia" w:ascii="黑体" w:hAnsi="黑体" w:eastAsia="黑体" w:cs="黑体"/>
          <w:lang w:val="en-US" w:eastAsia="zh-CN"/>
        </w:rPr>
      </w:pPr>
      <w:r>
        <w:rPr>
          <w:rFonts w:hint="eastAsia" w:ascii="黑体" w:hAnsi="黑体" w:eastAsia="黑体" w:cs="黑体"/>
          <w:lang w:val="en-US" w:eastAsia="zh-CN"/>
        </w:rPr>
        <w:t>附录C</w:t>
      </w:r>
    </w:p>
    <w:p w14:paraId="64F9D896">
      <w:pPr>
        <w:pStyle w:val="163"/>
        <w:keepNext w:val="0"/>
        <w:keepLines w:val="0"/>
        <w:pageBreakBefore w:val="0"/>
        <w:widowControl/>
        <w:numPr>
          <w:ilvl w:val="0"/>
          <w:numId w:val="0"/>
        </w:numPr>
        <w:kinsoku/>
        <w:wordWrap/>
        <w:overflowPunct/>
        <w:topLinePunct w:val="0"/>
        <w:autoSpaceDE/>
        <w:autoSpaceDN/>
        <w:bidi w:val="0"/>
        <w:adjustRightInd/>
        <w:snapToGrid/>
        <w:jc w:val="center"/>
        <w:textAlignment w:val="auto"/>
        <w:outlineLvl w:val="0"/>
        <w:rPr>
          <w:rFonts w:hint="eastAsia" w:ascii="黑体" w:hAnsi="黑体" w:eastAsia="黑体" w:cs="黑体"/>
          <w:lang w:val="en-US" w:eastAsia="zh-CN"/>
        </w:rPr>
      </w:pPr>
      <w:r>
        <w:rPr>
          <w:rFonts w:hint="eastAsia" w:ascii="黑体" w:hAnsi="黑体" w:eastAsia="黑体" w:cs="黑体"/>
          <w:lang w:val="en-US" w:eastAsia="zh-CN"/>
        </w:rPr>
        <w:t>（规范性）</w:t>
      </w:r>
    </w:p>
    <w:p w14:paraId="1B3E1224">
      <w:pPr>
        <w:pStyle w:val="163"/>
        <w:keepNext w:val="0"/>
        <w:keepLines w:val="0"/>
        <w:pageBreakBefore w:val="0"/>
        <w:widowControl/>
        <w:numPr>
          <w:ilvl w:val="0"/>
          <w:numId w:val="0"/>
        </w:numPr>
        <w:kinsoku/>
        <w:wordWrap/>
        <w:overflowPunct/>
        <w:topLinePunct w:val="0"/>
        <w:autoSpaceDE/>
        <w:autoSpaceDN/>
        <w:bidi w:val="0"/>
        <w:adjustRightInd/>
        <w:snapToGrid/>
        <w:jc w:val="center"/>
        <w:textAlignment w:val="auto"/>
        <w:outlineLvl w:val="0"/>
        <w:rPr>
          <w:rFonts w:hint="eastAsia" w:ascii="黑体" w:hAnsi="黑体" w:eastAsia="黑体" w:cs="黑体"/>
          <w:lang w:val="en-US" w:eastAsia="zh-CN"/>
        </w:rPr>
      </w:pPr>
      <w:r>
        <w:rPr>
          <w:rFonts w:hint="eastAsia" w:ascii="黑体" w:hAnsi="黑体" w:eastAsia="黑体" w:cs="黑体"/>
          <w:lang w:val="en-US" w:eastAsia="zh-CN"/>
        </w:rPr>
        <w:t>农药包装废弃物集中收贮中心台账</w:t>
      </w:r>
    </w:p>
    <w:p w14:paraId="723CA0E6">
      <w:pPr>
        <w:pStyle w:val="163"/>
        <w:numPr>
          <w:ilvl w:val="0"/>
          <w:numId w:val="0"/>
        </w:numPr>
        <w:jc w:val="both"/>
        <w:rPr>
          <w:rFonts w:hint="eastAsia" w:ascii="黑体" w:eastAsia="黑体" w:cs="Times New Roman"/>
          <w:sz w:val="21"/>
          <w:lang w:val="en-US" w:eastAsia="zh-CN" w:bidi="ar-SA"/>
        </w:rPr>
      </w:pPr>
    </w:p>
    <w:p w14:paraId="3E5822A8">
      <w:pPr>
        <w:pStyle w:val="163"/>
        <w:numPr>
          <w:ilvl w:val="0"/>
          <w:numId w:val="0"/>
        </w:numPr>
        <w:jc w:val="both"/>
        <w:rPr>
          <w:rFonts w:hint="eastAsia" w:ascii="黑体" w:hAnsi="黑体" w:eastAsia="黑体" w:cs="黑体"/>
          <w:lang w:val="en-US" w:eastAsia="zh-CN"/>
        </w:rPr>
      </w:pPr>
      <w:r>
        <w:rPr>
          <w:rFonts w:hint="eastAsia" w:ascii="黑体" w:eastAsia="黑体" w:cs="Times New Roman"/>
          <w:sz w:val="21"/>
          <w:lang w:val="en-US" w:eastAsia="zh-CN" w:bidi="ar-SA"/>
        </w:rPr>
        <w:t>C.</w:t>
      </w:r>
      <w:r>
        <w:rPr>
          <w:rFonts w:hint="eastAsia" w:ascii="黑体" w:hAnsi="Times New Roman" w:eastAsia="黑体" w:cs="Times New Roman"/>
          <w:sz w:val="21"/>
          <w:lang w:val="en-US" w:eastAsia="zh-CN" w:bidi="ar-SA"/>
        </w:rPr>
        <w:t>1</w:t>
      </w:r>
      <w:r>
        <w:rPr>
          <w:rFonts w:hint="eastAsia" w:ascii="黑体" w:eastAsia="黑体" w:cs="Times New Roman"/>
          <w:sz w:val="21"/>
          <w:lang w:val="en-US" w:eastAsia="zh-CN" w:bidi="ar-SA"/>
        </w:rPr>
        <w:t xml:space="preserve"> </w:t>
      </w:r>
      <w:r>
        <w:rPr>
          <w:rFonts w:hint="eastAsia" w:ascii="Times New Roman" w:hAnsi="Times New Roman" w:eastAsia="宋体" w:cs="Times New Roman"/>
          <w:b w:val="0"/>
          <w:bCs w:val="0"/>
          <w:color w:val="000000"/>
          <w:sz w:val="21"/>
          <w:szCs w:val="21"/>
          <w:lang w:val="en-US" w:eastAsia="zh-CN"/>
        </w:rPr>
        <w:t>农药包装废弃物</w:t>
      </w:r>
      <w:r>
        <w:rPr>
          <w:rFonts w:hint="eastAsia" w:ascii="Times New Roman" w:cs="Times New Roman"/>
          <w:b w:val="0"/>
          <w:bCs w:val="0"/>
          <w:color w:val="000000"/>
          <w:sz w:val="21"/>
          <w:szCs w:val="21"/>
          <w:lang w:val="en-US" w:eastAsia="zh-CN"/>
        </w:rPr>
        <w:t>收贮中心</w:t>
      </w:r>
      <w:r>
        <w:rPr>
          <w:rFonts w:hint="eastAsia" w:ascii="Times New Roman" w:hAnsi="Times New Roman" w:eastAsia="宋体" w:cs="Times New Roman"/>
          <w:b w:val="0"/>
          <w:bCs w:val="0"/>
          <w:color w:val="000000"/>
          <w:sz w:val="21"/>
          <w:szCs w:val="21"/>
          <w:lang w:val="en-US" w:eastAsia="zh-CN"/>
        </w:rPr>
        <w:t>台账</w:t>
      </w:r>
      <w:r>
        <w:rPr>
          <w:rFonts w:hint="eastAsia" w:ascii="Times New Roman" w:cs="Times New Roman"/>
          <w:b w:val="0"/>
          <w:bCs w:val="0"/>
          <w:color w:val="000000"/>
          <w:sz w:val="21"/>
          <w:szCs w:val="21"/>
          <w:lang w:val="en-US" w:eastAsia="zh-CN"/>
        </w:rPr>
        <w:t>内容及格式</w:t>
      </w:r>
      <w:r>
        <w:rPr>
          <w:rFonts w:hint="eastAsia" w:ascii="Times New Roman" w:hAnsi="Times New Roman" w:eastAsia="宋体" w:cs="Times New Roman"/>
          <w:b w:val="0"/>
          <w:bCs w:val="0"/>
          <w:color w:val="000000"/>
          <w:sz w:val="21"/>
          <w:szCs w:val="21"/>
        </w:rPr>
        <w:t>如</w:t>
      </w:r>
      <w:r>
        <w:rPr>
          <w:rFonts w:hint="eastAsia" w:ascii="宋体" w:hAnsi="宋体" w:eastAsia="宋体" w:cs="宋体"/>
          <w:b w:val="0"/>
          <w:bCs w:val="0"/>
          <w:color w:val="000000"/>
          <w:sz w:val="21"/>
          <w:szCs w:val="21"/>
        </w:rPr>
        <w:t>表</w:t>
      </w:r>
      <w:r>
        <w:rPr>
          <w:rFonts w:hint="default" w:ascii="Times New Roman" w:hAnsi="Times New Roman" w:eastAsia="宋体" w:cs="Times New Roman"/>
          <w:b w:val="0"/>
          <w:bCs w:val="0"/>
          <w:color w:val="000000"/>
          <w:sz w:val="21"/>
          <w:szCs w:val="21"/>
        </w:rPr>
        <w:t xml:space="preserve"> </w:t>
      </w:r>
      <w:r>
        <w:rPr>
          <w:rFonts w:hint="eastAsia" w:ascii="Times New Roman" w:cs="Times New Roman"/>
          <w:b w:val="0"/>
          <w:bCs w:val="0"/>
          <w:color w:val="000000"/>
          <w:sz w:val="21"/>
          <w:szCs w:val="21"/>
          <w:lang w:val="en-US" w:eastAsia="zh-CN"/>
        </w:rPr>
        <w:t>C</w:t>
      </w:r>
      <w:r>
        <w:rPr>
          <w:rFonts w:hint="default" w:ascii="Times New Roman" w:hAnsi="Times New Roman" w:eastAsia="宋体" w:cs="Times New Roman"/>
          <w:b w:val="0"/>
          <w:bCs w:val="0"/>
          <w:color w:val="000000"/>
          <w:sz w:val="21"/>
          <w:szCs w:val="21"/>
        </w:rPr>
        <w:t xml:space="preserve">.1 </w:t>
      </w:r>
      <w:r>
        <w:rPr>
          <w:rFonts w:hint="eastAsia" w:ascii="宋体" w:hAnsi="宋体" w:eastAsia="宋体" w:cs="宋体"/>
          <w:b w:val="0"/>
          <w:bCs w:val="0"/>
          <w:color w:val="000000"/>
          <w:sz w:val="21"/>
          <w:szCs w:val="21"/>
        </w:rPr>
        <w:t>所示</w:t>
      </w:r>
      <w:r>
        <w:rPr>
          <w:rFonts w:hint="eastAsia" w:ascii="宋体" w:hAnsi="宋体" w:eastAsia="宋体" w:cs="宋体"/>
          <w:b w:val="0"/>
          <w:bCs w:val="0"/>
          <w:color w:val="000000"/>
          <w:sz w:val="21"/>
          <w:szCs w:val="21"/>
          <w:lang w:eastAsia="zh-CN"/>
        </w:rPr>
        <w:t>。</w:t>
      </w:r>
    </w:p>
    <w:p w14:paraId="072C1465">
      <w:pPr>
        <w:pStyle w:val="163"/>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jc w:val="center"/>
        <w:textAlignment w:val="auto"/>
        <w:rPr>
          <w:rFonts w:hint="default" w:ascii="黑体" w:hAnsi="黑体" w:eastAsia="黑体" w:cs="黑体"/>
          <w:lang w:val="en-US" w:eastAsia="zh-CN"/>
        </w:rPr>
      </w:pPr>
      <w:r>
        <w:rPr>
          <w:rFonts w:hint="eastAsia" w:ascii="黑体" w:hAnsi="黑体" w:eastAsia="黑体" w:cs="黑体"/>
          <w:lang w:val="en-US" w:eastAsia="zh-CN"/>
        </w:rPr>
        <w:t xml:space="preserve">表C.1 </w:t>
      </w:r>
      <w:bookmarkStart w:id="84" w:name="OLE_LINK18"/>
      <w:r>
        <w:rPr>
          <w:rFonts w:hint="eastAsia" w:ascii="黑体" w:hAnsi="黑体" w:eastAsia="黑体" w:cs="黑体"/>
          <w:lang w:val="en-US" w:eastAsia="zh-CN"/>
        </w:rPr>
        <w:t>农药包装废弃物集中收贮中心台账</w:t>
      </w:r>
      <w:bookmarkEnd w:id="84"/>
    </w:p>
    <w:tbl>
      <w:tblPr>
        <w:tblStyle w:val="28"/>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9"/>
        <w:gridCol w:w="2207"/>
        <w:gridCol w:w="2748"/>
        <w:gridCol w:w="2625"/>
      </w:tblGrid>
      <w:tr w14:paraId="3CDA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Align w:val="center"/>
          </w:tcPr>
          <w:p w14:paraId="4E6F9D32">
            <w:pPr>
              <w:pStyle w:val="163"/>
              <w:numPr>
                <w:ilvl w:val="0"/>
                <w:numId w:val="0"/>
              </w:numPr>
              <w:jc w:val="center"/>
              <w:rPr>
                <w:rFonts w:hint="default"/>
                <w:vertAlign w:val="baseline"/>
                <w:lang w:val="en-US" w:eastAsia="zh-CN"/>
              </w:rPr>
            </w:pPr>
            <w:r>
              <w:rPr>
                <w:rFonts w:hint="eastAsia"/>
                <w:vertAlign w:val="baseline"/>
                <w:lang w:val="en-US" w:eastAsia="zh-CN"/>
              </w:rPr>
              <w:t>接收日期</w:t>
            </w:r>
          </w:p>
        </w:tc>
        <w:tc>
          <w:tcPr>
            <w:tcW w:w="1154" w:type="pct"/>
            <w:vAlign w:val="center"/>
          </w:tcPr>
          <w:p w14:paraId="1C6B29CE">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p>
        </w:tc>
        <w:tc>
          <w:tcPr>
            <w:tcW w:w="1437" w:type="pct"/>
            <w:vAlign w:val="center"/>
          </w:tcPr>
          <w:p w14:paraId="6B4BB45E">
            <w:pPr>
              <w:pStyle w:val="163"/>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废弃物形式</w:t>
            </w:r>
          </w:p>
          <w:p w14:paraId="12CEA441">
            <w:pPr>
              <w:pStyle w:val="163"/>
              <w:numPr>
                <w:ilvl w:val="0"/>
                <w:numId w:val="0"/>
              </w:numPr>
              <w:ind w:left="0" w:leftChars="0" w:firstLine="0" w:firstLineChars="0"/>
              <w:jc w:val="center"/>
              <w:rPr>
                <w:rFonts w:hint="eastAsia" w:ascii="宋体" w:hAnsi="Times New Roman" w:eastAsia="宋体" w:cs="Times New Roman"/>
                <w:sz w:val="21"/>
                <w:vertAlign w:val="baseline"/>
                <w:lang w:val="en-US" w:eastAsia="zh-CN" w:bidi="ar-SA"/>
              </w:rPr>
            </w:pPr>
            <w:r>
              <w:rPr>
                <w:rFonts w:hint="eastAsia"/>
                <w:vertAlign w:val="baseline"/>
                <w:lang w:val="en-US" w:eastAsia="zh-CN"/>
              </w:rPr>
              <w:t>（玻璃/塑料/金属）</w:t>
            </w:r>
          </w:p>
        </w:tc>
        <w:tc>
          <w:tcPr>
            <w:tcW w:w="1373" w:type="pct"/>
            <w:vAlign w:val="center"/>
          </w:tcPr>
          <w:p w14:paraId="30D6D8B2">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p>
        </w:tc>
      </w:tr>
      <w:tr w14:paraId="7B8E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Align w:val="center"/>
          </w:tcPr>
          <w:p w14:paraId="0AE313CC">
            <w:pPr>
              <w:pStyle w:val="163"/>
              <w:numPr>
                <w:ilvl w:val="0"/>
                <w:numId w:val="0"/>
              </w:numPr>
              <w:jc w:val="center"/>
              <w:rPr>
                <w:rFonts w:hint="default"/>
                <w:vertAlign w:val="baseline"/>
                <w:lang w:val="en-US" w:eastAsia="zh-CN"/>
              </w:rPr>
            </w:pPr>
            <w:r>
              <w:rPr>
                <w:rFonts w:hint="eastAsia"/>
                <w:vertAlign w:val="baseline"/>
                <w:lang w:val="en-US" w:eastAsia="zh-CN"/>
              </w:rPr>
              <w:t>所属危险废物种类</w:t>
            </w:r>
          </w:p>
        </w:tc>
        <w:tc>
          <w:tcPr>
            <w:tcW w:w="1154" w:type="pct"/>
            <w:vAlign w:val="center"/>
          </w:tcPr>
          <w:p w14:paraId="03130E8F">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p>
        </w:tc>
        <w:tc>
          <w:tcPr>
            <w:tcW w:w="1437" w:type="pct"/>
            <w:vAlign w:val="center"/>
          </w:tcPr>
          <w:p w14:paraId="1D0A19BD">
            <w:pPr>
              <w:pStyle w:val="163"/>
              <w:numPr>
                <w:ilvl w:val="0"/>
                <w:numId w:val="0"/>
              </w:numPr>
              <w:ind w:left="0" w:leftChars="0" w:firstLine="0" w:firstLineChars="0"/>
              <w:jc w:val="center"/>
              <w:rPr>
                <w:rFonts w:hint="eastAsia"/>
                <w:vertAlign w:val="baseline"/>
                <w:lang w:val="en-US" w:eastAsia="zh-CN"/>
              </w:rPr>
            </w:pPr>
            <w:r>
              <w:rPr>
                <w:rFonts w:hint="eastAsia"/>
                <w:vertAlign w:val="baseline"/>
                <w:lang w:val="en-US" w:eastAsia="zh-CN"/>
              </w:rPr>
              <w:t>废弃物接收量</w:t>
            </w:r>
          </w:p>
        </w:tc>
        <w:tc>
          <w:tcPr>
            <w:tcW w:w="1373" w:type="pct"/>
            <w:vAlign w:val="center"/>
          </w:tcPr>
          <w:p w14:paraId="199BD89B">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p>
        </w:tc>
      </w:tr>
      <w:tr w14:paraId="4BE32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Align w:val="center"/>
          </w:tcPr>
          <w:p w14:paraId="2740C696">
            <w:pPr>
              <w:pStyle w:val="163"/>
              <w:numPr>
                <w:ilvl w:val="0"/>
                <w:numId w:val="0"/>
              </w:numPr>
              <w:jc w:val="center"/>
              <w:rPr>
                <w:rFonts w:hint="default"/>
                <w:vertAlign w:val="baseline"/>
                <w:lang w:val="en-US" w:eastAsia="zh-CN"/>
              </w:rPr>
            </w:pPr>
            <w:r>
              <w:rPr>
                <w:rFonts w:hint="eastAsia"/>
                <w:vertAlign w:val="baseline"/>
                <w:lang w:val="en-US" w:eastAsia="zh-CN"/>
              </w:rPr>
              <w:t>接收人签字</w:t>
            </w:r>
          </w:p>
        </w:tc>
        <w:tc>
          <w:tcPr>
            <w:tcW w:w="3964" w:type="pct"/>
            <w:gridSpan w:val="3"/>
            <w:vAlign w:val="center"/>
          </w:tcPr>
          <w:p w14:paraId="3FE516D8">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p>
        </w:tc>
      </w:tr>
      <w:tr w14:paraId="3CDA8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Align w:val="center"/>
          </w:tcPr>
          <w:p w14:paraId="0910D025">
            <w:pPr>
              <w:pStyle w:val="163"/>
              <w:numPr>
                <w:ilvl w:val="0"/>
                <w:numId w:val="0"/>
              </w:numPr>
              <w:jc w:val="center"/>
              <w:rPr>
                <w:rFonts w:hint="default"/>
                <w:vertAlign w:val="baseline"/>
                <w:lang w:val="en-US" w:eastAsia="zh-CN"/>
              </w:rPr>
            </w:pPr>
            <w:r>
              <w:rPr>
                <w:rFonts w:hint="eastAsia"/>
                <w:vertAlign w:val="baseline"/>
                <w:lang w:val="en-US" w:eastAsia="zh-CN"/>
              </w:rPr>
              <w:t>转移日期</w:t>
            </w:r>
          </w:p>
        </w:tc>
        <w:tc>
          <w:tcPr>
            <w:tcW w:w="1154" w:type="pct"/>
            <w:vAlign w:val="center"/>
          </w:tcPr>
          <w:p w14:paraId="20F2C7C4">
            <w:pPr>
              <w:pStyle w:val="163"/>
              <w:numPr>
                <w:ilvl w:val="0"/>
                <w:numId w:val="0"/>
              </w:numPr>
              <w:jc w:val="center"/>
              <w:rPr>
                <w:rFonts w:hint="default"/>
                <w:vertAlign w:val="baseline"/>
                <w:lang w:val="en-US" w:eastAsia="zh-CN"/>
              </w:rPr>
            </w:pPr>
          </w:p>
        </w:tc>
        <w:tc>
          <w:tcPr>
            <w:tcW w:w="1437" w:type="pct"/>
            <w:vAlign w:val="center"/>
          </w:tcPr>
          <w:p w14:paraId="386674F7">
            <w:pPr>
              <w:pStyle w:val="163"/>
              <w:numPr>
                <w:ilvl w:val="0"/>
                <w:numId w:val="0"/>
              </w:numPr>
              <w:jc w:val="center"/>
              <w:rPr>
                <w:rFonts w:hint="default"/>
                <w:vertAlign w:val="baseline"/>
                <w:lang w:val="en-US" w:eastAsia="zh-CN"/>
              </w:rPr>
            </w:pPr>
            <w:r>
              <w:rPr>
                <w:rFonts w:hint="eastAsia"/>
                <w:vertAlign w:val="baseline"/>
                <w:lang w:val="en-US" w:eastAsia="zh-CN"/>
              </w:rPr>
              <w:t>废弃物转移量</w:t>
            </w:r>
          </w:p>
        </w:tc>
        <w:tc>
          <w:tcPr>
            <w:tcW w:w="1373" w:type="pct"/>
            <w:vAlign w:val="center"/>
          </w:tcPr>
          <w:p w14:paraId="6E73AF3B">
            <w:pPr>
              <w:pStyle w:val="163"/>
              <w:numPr>
                <w:ilvl w:val="0"/>
                <w:numId w:val="0"/>
              </w:numPr>
              <w:jc w:val="center"/>
              <w:rPr>
                <w:rFonts w:hint="default"/>
                <w:vertAlign w:val="baseline"/>
                <w:lang w:val="en-US" w:eastAsia="zh-CN"/>
              </w:rPr>
            </w:pPr>
          </w:p>
        </w:tc>
      </w:tr>
      <w:tr w14:paraId="30B0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Align w:val="center"/>
          </w:tcPr>
          <w:p w14:paraId="5CB6FBA7">
            <w:pPr>
              <w:pStyle w:val="163"/>
              <w:numPr>
                <w:ilvl w:val="0"/>
                <w:numId w:val="0"/>
              </w:numPr>
              <w:ind w:left="0" w:leftChars="0" w:firstLine="0" w:firstLineChars="0"/>
              <w:jc w:val="center"/>
              <w:rPr>
                <w:rFonts w:hint="eastAsia" w:ascii="宋体" w:hAnsi="Times New Roman" w:eastAsia="宋体" w:cs="Times New Roman"/>
                <w:sz w:val="21"/>
                <w:vertAlign w:val="baseline"/>
                <w:lang w:val="en-US" w:eastAsia="zh-CN" w:bidi="ar-SA"/>
              </w:rPr>
            </w:pPr>
            <w:r>
              <w:rPr>
                <w:rFonts w:hint="eastAsia"/>
                <w:vertAlign w:val="baseline"/>
                <w:lang w:val="en-US" w:eastAsia="zh-CN"/>
              </w:rPr>
              <w:t>转移人签字</w:t>
            </w:r>
          </w:p>
        </w:tc>
        <w:tc>
          <w:tcPr>
            <w:tcW w:w="3964" w:type="pct"/>
            <w:gridSpan w:val="3"/>
            <w:vAlign w:val="center"/>
          </w:tcPr>
          <w:p w14:paraId="2541E673">
            <w:pPr>
              <w:pStyle w:val="163"/>
              <w:numPr>
                <w:ilvl w:val="0"/>
                <w:numId w:val="0"/>
              </w:numPr>
              <w:jc w:val="center"/>
              <w:rPr>
                <w:rFonts w:hint="default"/>
                <w:vertAlign w:val="baseline"/>
                <w:lang w:val="en-US" w:eastAsia="zh-CN"/>
              </w:rPr>
            </w:pPr>
          </w:p>
        </w:tc>
      </w:tr>
      <w:tr w14:paraId="281C4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Align w:val="center"/>
          </w:tcPr>
          <w:p w14:paraId="24F3F479">
            <w:pPr>
              <w:pStyle w:val="163"/>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接收单位（去向）</w:t>
            </w:r>
          </w:p>
        </w:tc>
        <w:tc>
          <w:tcPr>
            <w:tcW w:w="3964" w:type="pct"/>
            <w:gridSpan w:val="3"/>
            <w:vAlign w:val="center"/>
          </w:tcPr>
          <w:p w14:paraId="0CF35952">
            <w:pPr>
              <w:pStyle w:val="163"/>
              <w:numPr>
                <w:ilvl w:val="0"/>
                <w:numId w:val="0"/>
              </w:numPr>
              <w:jc w:val="center"/>
              <w:rPr>
                <w:rFonts w:hint="default"/>
                <w:vertAlign w:val="baseline"/>
                <w:lang w:val="en-US" w:eastAsia="zh-CN"/>
              </w:rPr>
            </w:pPr>
          </w:p>
        </w:tc>
      </w:tr>
      <w:tr w14:paraId="5377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Align w:val="center"/>
          </w:tcPr>
          <w:p w14:paraId="6A73DB08">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r>
              <w:rPr>
                <w:rFonts w:hint="eastAsia"/>
                <w:vertAlign w:val="baseline"/>
                <w:lang w:val="en-US" w:eastAsia="zh-CN"/>
              </w:rPr>
              <w:t>接收人签字</w:t>
            </w:r>
          </w:p>
        </w:tc>
        <w:tc>
          <w:tcPr>
            <w:tcW w:w="1154" w:type="pct"/>
            <w:vAlign w:val="center"/>
          </w:tcPr>
          <w:p w14:paraId="6D0E1209">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p>
        </w:tc>
        <w:tc>
          <w:tcPr>
            <w:tcW w:w="1437" w:type="pct"/>
            <w:vAlign w:val="center"/>
          </w:tcPr>
          <w:p w14:paraId="4D486444">
            <w:pPr>
              <w:pStyle w:val="163"/>
              <w:numPr>
                <w:ilvl w:val="0"/>
                <w:numId w:val="0"/>
              </w:numPr>
              <w:ind w:left="0" w:leftChars="0" w:firstLine="0" w:firstLineChars="0"/>
              <w:jc w:val="center"/>
              <w:rPr>
                <w:rFonts w:hint="default" w:ascii="宋体" w:hAnsi="Times New Roman" w:eastAsia="宋体" w:cs="Times New Roman"/>
                <w:sz w:val="21"/>
                <w:vertAlign w:val="baseline"/>
                <w:lang w:val="en-US" w:eastAsia="zh-CN" w:bidi="ar-SA"/>
              </w:rPr>
            </w:pPr>
            <w:r>
              <w:rPr>
                <w:rFonts w:hint="eastAsia"/>
                <w:vertAlign w:val="baseline"/>
                <w:lang w:val="en-US" w:eastAsia="zh-CN"/>
              </w:rPr>
              <w:t>接收人联系方式</w:t>
            </w:r>
          </w:p>
        </w:tc>
        <w:tc>
          <w:tcPr>
            <w:tcW w:w="1373" w:type="pct"/>
            <w:vAlign w:val="center"/>
          </w:tcPr>
          <w:p w14:paraId="654855A2">
            <w:pPr>
              <w:pStyle w:val="163"/>
              <w:numPr>
                <w:ilvl w:val="0"/>
                <w:numId w:val="0"/>
              </w:numPr>
              <w:jc w:val="center"/>
              <w:rPr>
                <w:rFonts w:hint="default"/>
                <w:vertAlign w:val="baseline"/>
                <w:lang w:val="en-US" w:eastAsia="zh-CN"/>
              </w:rPr>
            </w:pPr>
          </w:p>
        </w:tc>
      </w:tr>
      <w:tr w14:paraId="3A786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Align w:val="center"/>
          </w:tcPr>
          <w:p w14:paraId="73089A3C">
            <w:pPr>
              <w:pStyle w:val="163"/>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备注</w:t>
            </w:r>
          </w:p>
        </w:tc>
        <w:tc>
          <w:tcPr>
            <w:tcW w:w="3964" w:type="pct"/>
            <w:gridSpan w:val="3"/>
            <w:vAlign w:val="center"/>
          </w:tcPr>
          <w:p w14:paraId="05229E1F">
            <w:pPr>
              <w:pStyle w:val="163"/>
              <w:numPr>
                <w:ilvl w:val="0"/>
                <w:numId w:val="0"/>
              </w:numPr>
              <w:jc w:val="center"/>
              <w:rPr>
                <w:rFonts w:hint="default"/>
                <w:vertAlign w:val="baseline"/>
                <w:lang w:val="en-US" w:eastAsia="zh-CN"/>
              </w:rPr>
            </w:pPr>
          </w:p>
        </w:tc>
      </w:tr>
    </w:tbl>
    <w:p w14:paraId="2ACC139A">
      <w:pPr>
        <w:pStyle w:val="163"/>
        <w:numPr>
          <w:ilvl w:val="0"/>
          <w:numId w:val="0"/>
        </w:numPr>
        <w:jc w:val="center"/>
        <w:rPr>
          <w:rFonts w:hint="eastAsia"/>
          <w:lang w:val="en-US" w:eastAsia="zh-CN"/>
        </w:rPr>
      </w:pPr>
    </w:p>
    <w:p w14:paraId="2652E9D8">
      <w:pPr>
        <w:pStyle w:val="163"/>
        <w:numPr>
          <w:ilvl w:val="0"/>
          <w:numId w:val="0"/>
        </w:numPr>
        <w:jc w:val="center"/>
        <w:rPr>
          <w:rFonts w:hint="default"/>
          <w:lang w:val="en-US" w:eastAsia="zh-CN"/>
        </w:rPr>
      </w:pPr>
    </w:p>
    <w:p w14:paraId="6AA5C498">
      <w:pPr>
        <w:pStyle w:val="163"/>
        <w:numPr>
          <w:ilvl w:val="0"/>
          <w:numId w:val="0"/>
        </w:numPr>
        <w:jc w:val="center"/>
        <w:rPr>
          <w:rFonts w:hint="default"/>
          <w:lang w:val="en-US" w:eastAsia="zh-CN"/>
        </w:rPr>
      </w:pPr>
    </w:p>
    <w:p w14:paraId="4E454CBB">
      <w:pPr>
        <w:rPr>
          <w:rFonts w:hint="eastAsia"/>
          <w:lang w:val="en-US" w:eastAsia="zh-CN"/>
        </w:rPr>
      </w:pPr>
      <w:r>
        <w:rPr>
          <w:rFonts w:hint="eastAsia"/>
          <w:lang w:val="en-US" w:eastAsia="zh-CN"/>
        </w:rPr>
        <w:br w:type="page"/>
      </w:r>
    </w:p>
    <w:p w14:paraId="02F48198">
      <w:pPr>
        <w:pStyle w:val="163"/>
        <w:keepNext w:val="0"/>
        <w:keepLines w:val="0"/>
        <w:pageBreakBefore w:val="0"/>
        <w:widowControl/>
        <w:numPr>
          <w:ilvl w:val="0"/>
          <w:numId w:val="0"/>
        </w:numPr>
        <w:kinsoku/>
        <w:wordWrap/>
        <w:overflowPunct/>
        <w:topLinePunct w:val="0"/>
        <w:autoSpaceDE/>
        <w:autoSpaceDN/>
        <w:bidi w:val="0"/>
        <w:adjustRightInd/>
        <w:snapToGrid/>
        <w:jc w:val="center"/>
        <w:textAlignment w:val="auto"/>
        <w:outlineLvl w:val="0"/>
        <w:rPr>
          <w:rFonts w:hint="eastAsia" w:ascii="黑体" w:hAnsi="黑体" w:eastAsia="黑体" w:cs="黑体"/>
          <w:lang w:val="en-US" w:eastAsia="zh-CN"/>
        </w:rPr>
      </w:pPr>
      <w:r>
        <w:rPr>
          <w:rFonts w:hint="eastAsia" w:ascii="黑体" w:hAnsi="黑体" w:eastAsia="黑体" w:cs="黑体"/>
          <w:lang w:val="en-US" w:eastAsia="zh-CN"/>
        </w:rPr>
        <w:t>参考文献</w:t>
      </w:r>
    </w:p>
    <w:p w14:paraId="3406E1A6">
      <w:pPr>
        <w:pStyle w:val="163"/>
        <w:numPr>
          <w:ilvl w:val="0"/>
          <w:numId w:val="0"/>
        </w:numPr>
        <w:jc w:val="center"/>
        <w:rPr>
          <w:rFonts w:hint="default"/>
          <w:lang w:val="en-US" w:eastAsia="zh-CN"/>
        </w:rPr>
      </w:pPr>
    </w:p>
    <w:p w14:paraId="41670664">
      <w:pPr>
        <w:pStyle w:val="163"/>
        <w:numPr>
          <w:ilvl w:val="0"/>
          <w:numId w:val="0"/>
        </w:numPr>
        <w:ind w:firstLine="420" w:firstLineChars="200"/>
        <w:jc w:val="both"/>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[1] 生态环境部, 国家发展改革委, 公安部, 交通运输部, 国家卫生健康委.《</w:t>
      </w:r>
      <w:bookmarkStart w:id="85" w:name="OLE_LINK15"/>
      <w:r>
        <w:rPr>
          <w:rFonts w:hint="eastAsia" w:ascii="宋体" w:hAnsi="Times New Roman" w:eastAsia="宋体" w:cs="Times New Roman"/>
          <w:sz w:val="21"/>
          <w:lang w:val="en-US" w:eastAsia="zh-CN" w:bidi="ar-SA"/>
        </w:rPr>
        <w:t>国家危险废物名录（2025年版）</w:t>
      </w:r>
      <w:bookmarkEnd w:id="85"/>
      <w:r>
        <w:rPr>
          <w:rFonts w:hint="eastAsia" w:ascii="宋体" w:hAnsi="Times New Roman" w:eastAsia="宋体" w:cs="Times New Roman"/>
          <w:sz w:val="21"/>
          <w:lang w:val="en-US" w:eastAsia="zh-CN" w:bidi="ar-SA"/>
        </w:rPr>
        <w:t>》[Z]. 2025-01-01.</w:t>
      </w:r>
    </w:p>
    <w:p w14:paraId="1F81DDDF">
      <w:pPr>
        <w:pStyle w:val="163"/>
        <w:numPr>
          <w:ilvl w:val="0"/>
          <w:numId w:val="0"/>
        </w:numPr>
        <w:jc w:val="center"/>
        <w:rPr>
          <w:rFonts w:hint="default"/>
          <w:lang w:val="en-US" w:eastAsia="zh-CN"/>
        </w:rPr>
      </w:pPr>
    </w:p>
    <w:p w14:paraId="2DD977AA">
      <w:pPr>
        <w:pStyle w:val="163"/>
        <w:numPr>
          <w:ilvl w:val="0"/>
          <w:numId w:val="0"/>
        </w:numPr>
        <w:jc w:val="center"/>
        <w:rPr>
          <w:rFonts w:hint="default"/>
          <w:lang w:val="en-US" w:eastAsia="zh-CN"/>
        </w:rPr>
      </w:pPr>
      <w:bookmarkStart w:id="86" w:name="BookMark8"/>
      <w:r>
        <w:drawing>
          <wp:inline distT="0" distB="0" distL="0" distR="0">
            <wp:extent cx="1485900" cy="317500"/>
            <wp:effectExtent l="0" t="0" r="7620" b="254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7"/>
                    <a:stretch>
                      <a:fillRect/>
                    </a:stretch>
                  </pic:blipFill>
                  <pic:spPr>
                    <a:xfrm>
                      <a:off x="0" y="0"/>
                      <a:ext cx="1485900" cy="317500"/>
                    </a:xfrm>
                    <a:prstGeom prst="rect">
                      <a:avLst/>
                    </a:prstGeom>
                  </pic:spPr>
                </pic:pic>
              </a:graphicData>
            </a:graphic>
          </wp:inline>
        </w:drawing>
      </w:r>
      <w:bookmarkEnd w:id="86"/>
    </w:p>
    <w:p w14:paraId="25C0E3DB">
      <w:pPr>
        <w:pStyle w:val="163"/>
        <w:numPr>
          <w:ilvl w:val="0"/>
          <w:numId w:val="0"/>
        </w:numPr>
        <w:jc w:val="center"/>
        <w:rPr>
          <w:rFonts w:hint="default"/>
          <w:highlight w:val="yellow"/>
          <w:lang w:val="en-US" w:eastAsia="zh-CN"/>
        </w:rP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E151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16DE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C177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0FC3D">
    <w:pPr>
      <w:pStyle w:val="53"/>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88E4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1DBA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22259">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AFA8B">
    <w:pPr>
      <w:pStyle w:val="62"/>
    </w:pPr>
    <w:r>
      <w:fldChar w:fldCharType="begin"/>
    </w:r>
    <w:r>
      <w:instrText xml:space="preserve"> STYLEREF  标准文件_文件编号  \* MERGEFORMAT </w:instrText>
    </w:r>
    <w:r>
      <w:fldChar w:fldCharType="separate"/>
    </w:r>
    <w:r>
      <w:t>DB 62/T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3073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attachedTemplate r:id="rId1"/>
  <w:documentProtection w:edit="forms" w:enforcement="1" w:cryptProviderType="rsaAES" w:cryptAlgorithmClass="hash" w:cryptAlgorithmType="typeAny" w:cryptAlgorithmSid="14" w:cryptSpinCount="100000" w:hash="aJRDVcYh28yiciE7F6HPIfk5jQzwngC5YXngAw3mP9H6/od5icagZKG5GLrDITQrZjvc+pzIiPoEvaDOLwF4jA==" w:salt="EaRfOaYaN3JfJ+ueB4YB3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B8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6AE1"/>
    <w:rsid w:val="00087A77"/>
    <w:rsid w:val="00090CA6"/>
    <w:rsid w:val="00092B8A"/>
    <w:rsid w:val="00092FB0"/>
    <w:rsid w:val="000934C5"/>
    <w:rsid w:val="00093D25"/>
    <w:rsid w:val="00093DAB"/>
    <w:rsid w:val="00094D73"/>
    <w:rsid w:val="00096D63"/>
    <w:rsid w:val="000A0B60"/>
    <w:rsid w:val="000A0EB8"/>
    <w:rsid w:val="000A19FC"/>
    <w:rsid w:val="000A296B"/>
    <w:rsid w:val="000A5575"/>
    <w:rsid w:val="000A7311"/>
    <w:rsid w:val="000A757F"/>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45B"/>
    <w:rsid w:val="000D753B"/>
    <w:rsid w:val="000E4C9E"/>
    <w:rsid w:val="000E6FD7"/>
    <w:rsid w:val="000F06E1"/>
    <w:rsid w:val="000F0E3C"/>
    <w:rsid w:val="000F19D5"/>
    <w:rsid w:val="000F4AEA"/>
    <w:rsid w:val="000F633F"/>
    <w:rsid w:val="000F67E9"/>
    <w:rsid w:val="00103157"/>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135"/>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287"/>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33F0"/>
    <w:rsid w:val="002D42B5"/>
    <w:rsid w:val="002D4F1A"/>
    <w:rsid w:val="002D6EC6"/>
    <w:rsid w:val="002D79AC"/>
    <w:rsid w:val="002E039D"/>
    <w:rsid w:val="002E4D5A"/>
    <w:rsid w:val="002E6326"/>
    <w:rsid w:val="002F292A"/>
    <w:rsid w:val="002F30E0"/>
    <w:rsid w:val="002F35E4"/>
    <w:rsid w:val="002F3730"/>
    <w:rsid w:val="002F38E1"/>
    <w:rsid w:val="002F6B7A"/>
    <w:rsid w:val="002F7AF6"/>
    <w:rsid w:val="00300E63"/>
    <w:rsid w:val="00302F5F"/>
    <w:rsid w:val="0030441D"/>
    <w:rsid w:val="00306063"/>
    <w:rsid w:val="003066E1"/>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547"/>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4B81"/>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3D63"/>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7B1"/>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61A"/>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2B1"/>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171"/>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4D9"/>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8D3"/>
    <w:rsid w:val="0078114B"/>
    <w:rsid w:val="00781DD2"/>
    <w:rsid w:val="00783ECF"/>
    <w:rsid w:val="0078413A"/>
    <w:rsid w:val="007959E8"/>
    <w:rsid w:val="00795E9C"/>
    <w:rsid w:val="007A0521"/>
    <w:rsid w:val="007A2CBF"/>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D7FC3"/>
    <w:rsid w:val="007E0BF1"/>
    <w:rsid w:val="007F0ED8"/>
    <w:rsid w:val="007F0F63"/>
    <w:rsid w:val="007F75CE"/>
    <w:rsid w:val="008013A4"/>
    <w:rsid w:val="008027CE"/>
    <w:rsid w:val="00802F42"/>
    <w:rsid w:val="00804383"/>
    <w:rsid w:val="00804BB7"/>
    <w:rsid w:val="00804D41"/>
    <w:rsid w:val="008075A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7EF"/>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E21"/>
    <w:rsid w:val="009429D5"/>
    <w:rsid w:val="00942BF1"/>
    <w:rsid w:val="00945180"/>
    <w:rsid w:val="00945428"/>
    <w:rsid w:val="0094607B"/>
    <w:rsid w:val="00953604"/>
    <w:rsid w:val="0095496B"/>
    <w:rsid w:val="009610DC"/>
    <w:rsid w:val="00961490"/>
    <w:rsid w:val="0096381A"/>
    <w:rsid w:val="00965E04"/>
    <w:rsid w:val="009674AD"/>
    <w:rsid w:val="00970CDC"/>
    <w:rsid w:val="00976AEE"/>
    <w:rsid w:val="00977010"/>
    <w:rsid w:val="00977D02"/>
    <w:rsid w:val="009809BB"/>
    <w:rsid w:val="0098364B"/>
    <w:rsid w:val="009911AF"/>
    <w:rsid w:val="00991875"/>
    <w:rsid w:val="00991F92"/>
    <w:rsid w:val="00992985"/>
    <w:rsid w:val="00993889"/>
    <w:rsid w:val="0099551B"/>
    <w:rsid w:val="00996100"/>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97B"/>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712"/>
    <w:rsid w:val="00A2271D"/>
    <w:rsid w:val="00A237D5"/>
    <w:rsid w:val="00A26188"/>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AD2"/>
    <w:rsid w:val="00A648CD"/>
    <w:rsid w:val="00A6537A"/>
    <w:rsid w:val="00A67866"/>
    <w:rsid w:val="00A70B07"/>
    <w:rsid w:val="00A723F8"/>
    <w:rsid w:val="00A76035"/>
    <w:rsid w:val="00A77CCB"/>
    <w:rsid w:val="00A80820"/>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6F31"/>
    <w:rsid w:val="00B21F61"/>
    <w:rsid w:val="00B261F1"/>
    <w:rsid w:val="00B265BC"/>
    <w:rsid w:val="00B309C4"/>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5AA"/>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0A3E"/>
    <w:rsid w:val="00BD52D7"/>
    <w:rsid w:val="00BD5AD2"/>
    <w:rsid w:val="00BE22F3"/>
    <w:rsid w:val="00BE5B52"/>
    <w:rsid w:val="00BE6DB8"/>
    <w:rsid w:val="00BE7B8D"/>
    <w:rsid w:val="00BF0993"/>
    <w:rsid w:val="00BF10A9"/>
    <w:rsid w:val="00BF1703"/>
    <w:rsid w:val="00BF231C"/>
    <w:rsid w:val="00BF51E5"/>
    <w:rsid w:val="00BF74A6"/>
    <w:rsid w:val="00C013AD"/>
    <w:rsid w:val="00C01927"/>
    <w:rsid w:val="00C02D2A"/>
    <w:rsid w:val="00C04904"/>
    <w:rsid w:val="00C056B3"/>
    <w:rsid w:val="00C103E5"/>
    <w:rsid w:val="00C13319"/>
    <w:rsid w:val="00C13EE9"/>
    <w:rsid w:val="00C21540"/>
    <w:rsid w:val="00C21906"/>
    <w:rsid w:val="00C21BFA"/>
    <w:rsid w:val="00C22148"/>
    <w:rsid w:val="00C24C8D"/>
    <w:rsid w:val="00C25FE2"/>
    <w:rsid w:val="00C26B53"/>
    <w:rsid w:val="00C279B2"/>
    <w:rsid w:val="00C307A0"/>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5D5E"/>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460"/>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4CA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1E0A"/>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454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07C8"/>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06DF"/>
    <w:rsid w:val="00F9108B"/>
    <w:rsid w:val="00F91349"/>
    <w:rsid w:val="00F93A8A"/>
    <w:rsid w:val="00F95248"/>
    <w:rsid w:val="00F956A9"/>
    <w:rsid w:val="00F963ED"/>
    <w:rsid w:val="00F966CF"/>
    <w:rsid w:val="00F96CAE"/>
    <w:rsid w:val="00F97C99"/>
    <w:rsid w:val="00FA4DAC"/>
    <w:rsid w:val="00FA662D"/>
    <w:rsid w:val="00FA73B1"/>
    <w:rsid w:val="00FB0CB9"/>
    <w:rsid w:val="00FB191C"/>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F1764"/>
    <w:rsid w:val="0160084E"/>
    <w:rsid w:val="01636F88"/>
    <w:rsid w:val="0170606B"/>
    <w:rsid w:val="01757F74"/>
    <w:rsid w:val="01844D0B"/>
    <w:rsid w:val="01B67601"/>
    <w:rsid w:val="01F25CB3"/>
    <w:rsid w:val="021A2C80"/>
    <w:rsid w:val="023A5733"/>
    <w:rsid w:val="02582765"/>
    <w:rsid w:val="026C7207"/>
    <w:rsid w:val="028F07CD"/>
    <w:rsid w:val="02B475FB"/>
    <w:rsid w:val="031A60A6"/>
    <w:rsid w:val="032752DA"/>
    <w:rsid w:val="03385656"/>
    <w:rsid w:val="03462090"/>
    <w:rsid w:val="034A70DF"/>
    <w:rsid w:val="03505B27"/>
    <w:rsid w:val="036B4BAC"/>
    <w:rsid w:val="038908D8"/>
    <w:rsid w:val="038F3245"/>
    <w:rsid w:val="03D61E65"/>
    <w:rsid w:val="041C6F4E"/>
    <w:rsid w:val="042A3CE5"/>
    <w:rsid w:val="044D0983"/>
    <w:rsid w:val="048271A6"/>
    <w:rsid w:val="0491110B"/>
    <w:rsid w:val="04953394"/>
    <w:rsid w:val="04D32E79"/>
    <w:rsid w:val="04E66617"/>
    <w:rsid w:val="05183103"/>
    <w:rsid w:val="056A0DEE"/>
    <w:rsid w:val="05852C9D"/>
    <w:rsid w:val="058C4826"/>
    <w:rsid w:val="05A2224D"/>
    <w:rsid w:val="05AC2B5C"/>
    <w:rsid w:val="05DF682E"/>
    <w:rsid w:val="05EC3946"/>
    <w:rsid w:val="06100A60"/>
    <w:rsid w:val="065110EC"/>
    <w:rsid w:val="068063B8"/>
    <w:rsid w:val="06CF19BA"/>
    <w:rsid w:val="06E77061"/>
    <w:rsid w:val="06E83812"/>
    <w:rsid w:val="07005A0C"/>
    <w:rsid w:val="073C7E17"/>
    <w:rsid w:val="074F690C"/>
    <w:rsid w:val="07526DD8"/>
    <w:rsid w:val="0767768E"/>
    <w:rsid w:val="07EF1586"/>
    <w:rsid w:val="0891148A"/>
    <w:rsid w:val="08A22BBA"/>
    <w:rsid w:val="08A317B0"/>
    <w:rsid w:val="08C50183"/>
    <w:rsid w:val="090109D5"/>
    <w:rsid w:val="093F6F9B"/>
    <w:rsid w:val="097A4E1C"/>
    <w:rsid w:val="09824426"/>
    <w:rsid w:val="09A873F2"/>
    <w:rsid w:val="09C63218"/>
    <w:rsid w:val="09CE48A6"/>
    <w:rsid w:val="09DF6D3E"/>
    <w:rsid w:val="0A192896"/>
    <w:rsid w:val="0A887557"/>
    <w:rsid w:val="0AA04DDB"/>
    <w:rsid w:val="0AA277E5"/>
    <w:rsid w:val="0ABB79A6"/>
    <w:rsid w:val="0B0B70EC"/>
    <w:rsid w:val="0B123C38"/>
    <w:rsid w:val="0B272559"/>
    <w:rsid w:val="0B92328D"/>
    <w:rsid w:val="0BA21B36"/>
    <w:rsid w:val="0C231812"/>
    <w:rsid w:val="0C552FCB"/>
    <w:rsid w:val="0C5806CC"/>
    <w:rsid w:val="0C996F37"/>
    <w:rsid w:val="0C9B098C"/>
    <w:rsid w:val="0CA230CA"/>
    <w:rsid w:val="0CBD16F5"/>
    <w:rsid w:val="0CF3249F"/>
    <w:rsid w:val="0CFC21C1"/>
    <w:rsid w:val="0D130DFF"/>
    <w:rsid w:val="0D2D64B1"/>
    <w:rsid w:val="0D3216B4"/>
    <w:rsid w:val="0D8F7523"/>
    <w:rsid w:val="0DAF7D84"/>
    <w:rsid w:val="0DD70F79"/>
    <w:rsid w:val="0DD93147"/>
    <w:rsid w:val="0DFC6A1D"/>
    <w:rsid w:val="0E280947"/>
    <w:rsid w:val="0E4711FC"/>
    <w:rsid w:val="0E50408A"/>
    <w:rsid w:val="0E51570F"/>
    <w:rsid w:val="0E697251"/>
    <w:rsid w:val="0EAF40A4"/>
    <w:rsid w:val="0EBB2DAD"/>
    <w:rsid w:val="0ECB4993"/>
    <w:rsid w:val="0EF6009B"/>
    <w:rsid w:val="0EF91020"/>
    <w:rsid w:val="0F220047"/>
    <w:rsid w:val="0F2C03DA"/>
    <w:rsid w:val="0F39623B"/>
    <w:rsid w:val="0F5229B3"/>
    <w:rsid w:val="0F581039"/>
    <w:rsid w:val="0F6D575B"/>
    <w:rsid w:val="0F8C278D"/>
    <w:rsid w:val="0FC13AD8"/>
    <w:rsid w:val="0FD934B0"/>
    <w:rsid w:val="0FDC7094"/>
    <w:rsid w:val="0FF878BE"/>
    <w:rsid w:val="104924E1"/>
    <w:rsid w:val="10526CD3"/>
    <w:rsid w:val="109B0DC2"/>
    <w:rsid w:val="10A67900"/>
    <w:rsid w:val="10FC16EA"/>
    <w:rsid w:val="110F1949"/>
    <w:rsid w:val="11196A9C"/>
    <w:rsid w:val="112B082B"/>
    <w:rsid w:val="11352B49"/>
    <w:rsid w:val="11493047"/>
    <w:rsid w:val="115F7210"/>
    <w:rsid w:val="116B779F"/>
    <w:rsid w:val="117A583C"/>
    <w:rsid w:val="1189792D"/>
    <w:rsid w:val="11C7593B"/>
    <w:rsid w:val="123E2B62"/>
    <w:rsid w:val="1251734D"/>
    <w:rsid w:val="126A1858"/>
    <w:rsid w:val="12832DCD"/>
    <w:rsid w:val="129D4699"/>
    <w:rsid w:val="12A27333"/>
    <w:rsid w:val="12BC16CB"/>
    <w:rsid w:val="12DC417E"/>
    <w:rsid w:val="131F31FA"/>
    <w:rsid w:val="133A1F99"/>
    <w:rsid w:val="135E6CD6"/>
    <w:rsid w:val="13702419"/>
    <w:rsid w:val="13887B1A"/>
    <w:rsid w:val="13CC730A"/>
    <w:rsid w:val="13DE34AE"/>
    <w:rsid w:val="14044EE5"/>
    <w:rsid w:val="14840101"/>
    <w:rsid w:val="14C95F28"/>
    <w:rsid w:val="14CD7045"/>
    <w:rsid w:val="14DA74C7"/>
    <w:rsid w:val="15262A3E"/>
    <w:rsid w:val="1573093F"/>
    <w:rsid w:val="15E13171"/>
    <w:rsid w:val="160968B4"/>
    <w:rsid w:val="160E65BF"/>
    <w:rsid w:val="161426C7"/>
    <w:rsid w:val="16A17D2C"/>
    <w:rsid w:val="16BC0089"/>
    <w:rsid w:val="16C40884"/>
    <w:rsid w:val="16D77B7A"/>
    <w:rsid w:val="16F05A82"/>
    <w:rsid w:val="16F91A40"/>
    <w:rsid w:val="16FC471D"/>
    <w:rsid w:val="16FF13CB"/>
    <w:rsid w:val="170A2050"/>
    <w:rsid w:val="172C35F1"/>
    <w:rsid w:val="172F6697"/>
    <w:rsid w:val="17332B1E"/>
    <w:rsid w:val="174F240F"/>
    <w:rsid w:val="176B037C"/>
    <w:rsid w:val="1775376D"/>
    <w:rsid w:val="17A440D7"/>
    <w:rsid w:val="185F6723"/>
    <w:rsid w:val="18752231"/>
    <w:rsid w:val="18856299"/>
    <w:rsid w:val="18893450"/>
    <w:rsid w:val="18A20777"/>
    <w:rsid w:val="18F062F7"/>
    <w:rsid w:val="190F460C"/>
    <w:rsid w:val="19D011E9"/>
    <w:rsid w:val="19D93FA3"/>
    <w:rsid w:val="1A164FE1"/>
    <w:rsid w:val="1A252A19"/>
    <w:rsid w:val="1AF36070"/>
    <w:rsid w:val="1B522DF3"/>
    <w:rsid w:val="1B581F69"/>
    <w:rsid w:val="1BDB2542"/>
    <w:rsid w:val="1C134CDA"/>
    <w:rsid w:val="1C155B9F"/>
    <w:rsid w:val="1C1E60FF"/>
    <w:rsid w:val="1C3560D4"/>
    <w:rsid w:val="1C7B464A"/>
    <w:rsid w:val="1C87785C"/>
    <w:rsid w:val="1CE358D1"/>
    <w:rsid w:val="1D005368"/>
    <w:rsid w:val="1D5A0435"/>
    <w:rsid w:val="1D5C3938"/>
    <w:rsid w:val="1D7522E4"/>
    <w:rsid w:val="1D98019D"/>
    <w:rsid w:val="1E3D0A28"/>
    <w:rsid w:val="1E721E5B"/>
    <w:rsid w:val="1E761256"/>
    <w:rsid w:val="1E7C22A5"/>
    <w:rsid w:val="1E863E28"/>
    <w:rsid w:val="1E873426"/>
    <w:rsid w:val="1EBB1A4A"/>
    <w:rsid w:val="1ED70C26"/>
    <w:rsid w:val="1EF34CD3"/>
    <w:rsid w:val="1EF76F5D"/>
    <w:rsid w:val="1F1B56D7"/>
    <w:rsid w:val="1F4821DF"/>
    <w:rsid w:val="1F520E6A"/>
    <w:rsid w:val="1F656A79"/>
    <w:rsid w:val="1F8F5F24"/>
    <w:rsid w:val="1F921359"/>
    <w:rsid w:val="1FBC219E"/>
    <w:rsid w:val="1FBC5A21"/>
    <w:rsid w:val="1FD16A32"/>
    <w:rsid w:val="1FE06EDA"/>
    <w:rsid w:val="20340B62"/>
    <w:rsid w:val="20454680"/>
    <w:rsid w:val="204A5285"/>
    <w:rsid w:val="20780352"/>
    <w:rsid w:val="20A54552"/>
    <w:rsid w:val="20A8191F"/>
    <w:rsid w:val="20CF0D61"/>
    <w:rsid w:val="20E0107C"/>
    <w:rsid w:val="20F91BA5"/>
    <w:rsid w:val="210A56A5"/>
    <w:rsid w:val="2111724C"/>
    <w:rsid w:val="21135FD2"/>
    <w:rsid w:val="211441B8"/>
    <w:rsid w:val="21207866"/>
    <w:rsid w:val="21323004"/>
    <w:rsid w:val="216102D0"/>
    <w:rsid w:val="21931DA4"/>
    <w:rsid w:val="21CA7CFF"/>
    <w:rsid w:val="21D22B1F"/>
    <w:rsid w:val="21FC0048"/>
    <w:rsid w:val="220C5FA7"/>
    <w:rsid w:val="22482F0D"/>
    <w:rsid w:val="22EA2355"/>
    <w:rsid w:val="232A313F"/>
    <w:rsid w:val="232C6642"/>
    <w:rsid w:val="23601112"/>
    <w:rsid w:val="23796741"/>
    <w:rsid w:val="23AC5C96"/>
    <w:rsid w:val="23D557D6"/>
    <w:rsid w:val="23F22B88"/>
    <w:rsid w:val="24044E70"/>
    <w:rsid w:val="24245D04"/>
    <w:rsid w:val="244A0BDC"/>
    <w:rsid w:val="24544FE2"/>
    <w:rsid w:val="2487585F"/>
    <w:rsid w:val="24A061A3"/>
    <w:rsid w:val="24D740FF"/>
    <w:rsid w:val="2585551C"/>
    <w:rsid w:val="2590132F"/>
    <w:rsid w:val="259B76C0"/>
    <w:rsid w:val="25AC31DE"/>
    <w:rsid w:val="25E67766"/>
    <w:rsid w:val="260470EF"/>
    <w:rsid w:val="262E24B2"/>
    <w:rsid w:val="26323CB8"/>
    <w:rsid w:val="26446854"/>
    <w:rsid w:val="265E5200"/>
    <w:rsid w:val="265F37FF"/>
    <w:rsid w:val="26B07208"/>
    <w:rsid w:val="26E94DE4"/>
    <w:rsid w:val="272021B4"/>
    <w:rsid w:val="278739E8"/>
    <w:rsid w:val="278A41B2"/>
    <w:rsid w:val="27C66D50"/>
    <w:rsid w:val="2818411B"/>
    <w:rsid w:val="28187A54"/>
    <w:rsid w:val="2845181D"/>
    <w:rsid w:val="286A3FDB"/>
    <w:rsid w:val="286C4F60"/>
    <w:rsid w:val="28810F26"/>
    <w:rsid w:val="289C5AAF"/>
    <w:rsid w:val="296576F6"/>
    <w:rsid w:val="29A32517"/>
    <w:rsid w:val="29C71CAA"/>
    <w:rsid w:val="29CF4BA7"/>
    <w:rsid w:val="29E647CC"/>
    <w:rsid w:val="2A000BF9"/>
    <w:rsid w:val="2A01667B"/>
    <w:rsid w:val="2A4525E7"/>
    <w:rsid w:val="2A6A2827"/>
    <w:rsid w:val="2A9C51F4"/>
    <w:rsid w:val="2ADF2906"/>
    <w:rsid w:val="2AE70158"/>
    <w:rsid w:val="2AEC61E9"/>
    <w:rsid w:val="2AF93390"/>
    <w:rsid w:val="2B0C0D2B"/>
    <w:rsid w:val="2B4B7916"/>
    <w:rsid w:val="2B513A1E"/>
    <w:rsid w:val="2B54704F"/>
    <w:rsid w:val="2B605429"/>
    <w:rsid w:val="2BB12B3E"/>
    <w:rsid w:val="2BD2657C"/>
    <w:rsid w:val="2BE12008"/>
    <w:rsid w:val="2C0547C6"/>
    <w:rsid w:val="2C077CC9"/>
    <w:rsid w:val="2C410F1A"/>
    <w:rsid w:val="2C4D6B01"/>
    <w:rsid w:val="2CD15194"/>
    <w:rsid w:val="2CFC72DD"/>
    <w:rsid w:val="2D0446E9"/>
    <w:rsid w:val="2D090B71"/>
    <w:rsid w:val="2D4609D6"/>
    <w:rsid w:val="2D782C70"/>
    <w:rsid w:val="2D9E07C0"/>
    <w:rsid w:val="2E04428C"/>
    <w:rsid w:val="2E1E1F8C"/>
    <w:rsid w:val="2E203BBC"/>
    <w:rsid w:val="2E6D3CBB"/>
    <w:rsid w:val="2E8916EB"/>
    <w:rsid w:val="2EEF2F90"/>
    <w:rsid w:val="2F122725"/>
    <w:rsid w:val="2F2730EA"/>
    <w:rsid w:val="2F55634E"/>
    <w:rsid w:val="2F762171"/>
    <w:rsid w:val="2FEC25BD"/>
    <w:rsid w:val="30137621"/>
    <w:rsid w:val="301400E8"/>
    <w:rsid w:val="301F409E"/>
    <w:rsid w:val="3031359C"/>
    <w:rsid w:val="30E33208"/>
    <w:rsid w:val="31121990"/>
    <w:rsid w:val="31227721"/>
    <w:rsid w:val="31331EC5"/>
    <w:rsid w:val="31335748"/>
    <w:rsid w:val="315E1316"/>
    <w:rsid w:val="31EA48B4"/>
    <w:rsid w:val="31ED602D"/>
    <w:rsid w:val="320A705C"/>
    <w:rsid w:val="32110B07"/>
    <w:rsid w:val="322B59AA"/>
    <w:rsid w:val="32A17C9B"/>
    <w:rsid w:val="32B24F2E"/>
    <w:rsid w:val="32D560F7"/>
    <w:rsid w:val="32D72576"/>
    <w:rsid w:val="32D912FC"/>
    <w:rsid w:val="335566C7"/>
    <w:rsid w:val="335F6FD7"/>
    <w:rsid w:val="33686F6B"/>
    <w:rsid w:val="336978E6"/>
    <w:rsid w:val="33922CA9"/>
    <w:rsid w:val="33A07A40"/>
    <w:rsid w:val="33B40C5F"/>
    <w:rsid w:val="33F629CD"/>
    <w:rsid w:val="34590ED2"/>
    <w:rsid w:val="346E2139"/>
    <w:rsid w:val="346F6E14"/>
    <w:rsid w:val="3481537F"/>
    <w:rsid w:val="349731A8"/>
    <w:rsid w:val="34CA0B0B"/>
    <w:rsid w:val="35103654"/>
    <w:rsid w:val="35904557"/>
    <w:rsid w:val="35D77660"/>
    <w:rsid w:val="362167DA"/>
    <w:rsid w:val="3637156C"/>
    <w:rsid w:val="36487318"/>
    <w:rsid w:val="36653A4C"/>
    <w:rsid w:val="367A016E"/>
    <w:rsid w:val="367C3671"/>
    <w:rsid w:val="3720417F"/>
    <w:rsid w:val="3781684D"/>
    <w:rsid w:val="37851925"/>
    <w:rsid w:val="380C3EA2"/>
    <w:rsid w:val="382117A3"/>
    <w:rsid w:val="3840677F"/>
    <w:rsid w:val="386A267D"/>
    <w:rsid w:val="38764AB1"/>
    <w:rsid w:val="38787C50"/>
    <w:rsid w:val="38A21EC4"/>
    <w:rsid w:val="38BE2AAC"/>
    <w:rsid w:val="38CA4573"/>
    <w:rsid w:val="38CD0DC8"/>
    <w:rsid w:val="38CF6444"/>
    <w:rsid w:val="38D1575B"/>
    <w:rsid w:val="38EF0EF7"/>
    <w:rsid w:val="390E3C58"/>
    <w:rsid w:val="392513D1"/>
    <w:rsid w:val="394A5D8E"/>
    <w:rsid w:val="39923F83"/>
    <w:rsid w:val="39991390"/>
    <w:rsid w:val="399B4893"/>
    <w:rsid w:val="39D4246E"/>
    <w:rsid w:val="39D831F9"/>
    <w:rsid w:val="39E961A8"/>
    <w:rsid w:val="39EE3018"/>
    <w:rsid w:val="3A6A3C67"/>
    <w:rsid w:val="3A8E5120"/>
    <w:rsid w:val="3AC06BF4"/>
    <w:rsid w:val="3AFB444F"/>
    <w:rsid w:val="3B3C653D"/>
    <w:rsid w:val="3B3C7592"/>
    <w:rsid w:val="3B5C26A3"/>
    <w:rsid w:val="3B8C1F9A"/>
    <w:rsid w:val="3B9B1DDA"/>
    <w:rsid w:val="3B9D74DC"/>
    <w:rsid w:val="3C0F6516"/>
    <w:rsid w:val="3C245ED1"/>
    <w:rsid w:val="3C471EF3"/>
    <w:rsid w:val="3C7E45CB"/>
    <w:rsid w:val="3C9A11D3"/>
    <w:rsid w:val="3CFE039D"/>
    <w:rsid w:val="3D1045D3"/>
    <w:rsid w:val="3DA409EB"/>
    <w:rsid w:val="3DEE3528"/>
    <w:rsid w:val="3E05314D"/>
    <w:rsid w:val="3E2D6890"/>
    <w:rsid w:val="3E875CA5"/>
    <w:rsid w:val="3EF1250A"/>
    <w:rsid w:val="3EF178D3"/>
    <w:rsid w:val="3F0C6393"/>
    <w:rsid w:val="3F684F93"/>
    <w:rsid w:val="3F8548C3"/>
    <w:rsid w:val="3F9D1F6A"/>
    <w:rsid w:val="3FF077F6"/>
    <w:rsid w:val="40050695"/>
    <w:rsid w:val="408F01DE"/>
    <w:rsid w:val="40915CFA"/>
    <w:rsid w:val="40D3796C"/>
    <w:rsid w:val="41265D6F"/>
    <w:rsid w:val="41462F4E"/>
    <w:rsid w:val="41DE379E"/>
    <w:rsid w:val="41F33743"/>
    <w:rsid w:val="422B389D"/>
    <w:rsid w:val="42780119"/>
    <w:rsid w:val="42EE474F"/>
    <w:rsid w:val="430C1905"/>
    <w:rsid w:val="434929F0"/>
    <w:rsid w:val="43A6660D"/>
    <w:rsid w:val="43C732BE"/>
    <w:rsid w:val="43DE48B8"/>
    <w:rsid w:val="442B6866"/>
    <w:rsid w:val="446C50D1"/>
    <w:rsid w:val="447E61CC"/>
    <w:rsid w:val="448736FC"/>
    <w:rsid w:val="44B7644A"/>
    <w:rsid w:val="44D551E6"/>
    <w:rsid w:val="44E05090"/>
    <w:rsid w:val="44F77233"/>
    <w:rsid w:val="45817990"/>
    <w:rsid w:val="45892025"/>
    <w:rsid w:val="45A07C37"/>
    <w:rsid w:val="45AF0BE0"/>
    <w:rsid w:val="45BC5CF7"/>
    <w:rsid w:val="45E92B42"/>
    <w:rsid w:val="45EC42C8"/>
    <w:rsid w:val="463F7D98"/>
    <w:rsid w:val="46573978"/>
    <w:rsid w:val="465E3302"/>
    <w:rsid w:val="46EC5959"/>
    <w:rsid w:val="46F76979"/>
    <w:rsid w:val="474D1906"/>
    <w:rsid w:val="479245F9"/>
    <w:rsid w:val="47DE6C76"/>
    <w:rsid w:val="47FC6227"/>
    <w:rsid w:val="48226466"/>
    <w:rsid w:val="4843441C"/>
    <w:rsid w:val="4856518C"/>
    <w:rsid w:val="48862907"/>
    <w:rsid w:val="48C745F6"/>
    <w:rsid w:val="48ED6E34"/>
    <w:rsid w:val="48F94E45"/>
    <w:rsid w:val="490841A0"/>
    <w:rsid w:val="49216413"/>
    <w:rsid w:val="4955555E"/>
    <w:rsid w:val="49D27898"/>
    <w:rsid w:val="49E95DD2"/>
    <w:rsid w:val="4A465A64"/>
    <w:rsid w:val="4A545481"/>
    <w:rsid w:val="4A59738B"/>
    <w:rsid w:val="4A5F5A11"/>
    <w:rsid w:val="4A6B22B2"/>
    <w:rsid w:val="4ABE04A0"/>
    <w:rsid w:val="4AED6579"/>
    <w:rsid w:val="4B91271A"/>
    <w:rsid w:val="4C1672E0"/>
    <w:rsid w:val="4C29284D"/>
    <w:rsid w:val="4C3C0B3D"/>
    <w:rsid w:val="4C3C7520"/>
    <w:rsid w:val="4C566DD7"/>
    <w:rsid w:val="4C940529"/>
    <w:rsid w:val="4C960F82"/>
    <w:rsid w:val="4CE82EBC"/>
    <w:rsid w:val="4D1A6F0E"/>
    <w:rsid w:val="4DF2336E"/>
    <w:rsid w:val="4E295A47"/>
    <w:rsid w:val="4E3C1B15"/>
    <w:rsid w:val="4E481B7F"/>
    <w:rsid w:val="4E9764FE"/>
    <w:rsid w:val="4EB91190"/>
    <w:rsid w:val="4F2F65F9"/>
    <w:rsid w:val="4F9C201E"/>
    <w:rsid w:val="4FEA54A7"/>
    <w:rsid w:val="4FFF7BCB"/>
    <w:rsid w:val="501B74FB"/>
    <w:rsid w:val="505563DC"/>
    <w:rsid w:val="5073598C"/>
    <w:rsid w:val="508F1230"/>
    <w:rsid w:val="50B25872"/>
    <w:rsid w:val="50B30973"/>
    <w:rsid w:val="50BE2588"/>
    <w:rsid w:val="50C54111"/>
    <w:rsid w:val="50D40EA8"/>
    <w:rsid w:val="50D83132"/>
    <w:rsid w:val="50F70163"/>
    <w:rsid w:val="50F85903"/>
    <w:rsid w:val="511B709E"/>
    <w:rsid w:val="51323958"/>
    <w:rsid w:val="51555F7E"/>
    <w:rsid w:val="515B7E88"/>
    <w:rsid w:val="51CF2C3B"/>
    <w:rsid w:val="51FF0996"/>
    <w:rsid w:val="52291CD0"/>
    <w:rsid w:val="523C29F9"/>
    <w:rsid w:val="526306BA"/>
    <w:rsid w:val="52972F71"/>
    <w:rsid w:val="53084200"/>
    <w:rsid w:val="53155F5F"/>
    <w:rsid w:val="534E3B3B"/>
    <w:rsid w:val="534E532E"/>
    <w:rsid w:val="53776CFB"/>
    <w:rsid w:val="537F7B8D"/>
    <w:rsid w:val="53EF05CA"/>
    <w:rsid w:val="53F26847"/>
    <w:rsid w:val="542D3B8C"/>
    <w:rsid w:val="54537B65"/>
    <w:rsid w:val="54587870"/>
    <w:rsid w:val="549414A4"/>
    <w:rsid w:val="54FE4506"/>
    <w:rsid w:val="552072B9"/>
    <w:rsid w:val="5531470E"/>
    <w:rsid w:val="554E6B03"/>
    <w:rsid w:val="55592260"/>
    <w:rsid w:val="558A1E17"/>
    <w:rsid w:val="55DC3184"/>
    <w:rsid w:val="55FC09C4"/>
    <w:rsid w:val="56185AAA"/>
    <w:rsid w:val="5683587B"/>
    <w:rsid w:val="56A41633"/>
    <w:rsid w:val="56A603BA"/>
    <w:rsid w:val="56B93B57"/>
    <w:rsid w:val="56F426B7"/>
    <w:rsid w:val="571A437F"/>
    <w:rsid w:val="57247F70"/>
    <w:rsid w:val="57296C58"/>
    <w:rsid w:val="572F7019"/>
    <w:rsid w:val="57566C8C"/>
    <w:rsid w:val="578563BE"/>
    <w:rsid w:val="57EA228D"/>
    <w:rsid w:val="57FF21D1"/>
    <w:rsid w:val="580E0C05"/>
    <w:rsid w:val="588E3757"/>
    <w:rsid w:val="58E9186D"/>
    <w:rsid w:val="58EE2472"/>
    <w:rsid w:val="592C0D3D"/>
    <w:rsid w:val="59BA391C"/>
    <w:rsid w:val="59D3726C"/>
    <w:rsid w:val="59DA0063"/>
    <w:rsid w:val="5A3F24A5"/>
    <w:rsid w:val="5A4C5C31"/>
    <w:rsid w:val="5A5D23AA"/>
    <w:rsid w:val="5A6951E1"/>
    <w:rsid w:val="5A82030A"/>
    <w:rsid w:val="5A9A3F4E"/>
    <w:rsid w:val="5B291D9C"/>
    <w:rsid w:val="5B3171A9"/>
    <w:rsid w:val="5B4403C8"/>
    <w:rsid w:val="5B500E03"/>
    <w:rsid w:val="5B532BE1"/>
    <w:rsid w:val="5B9C6F02"/>
    <w:rsid w:val="5BAA6E73"/>
    <w:rsid w:val="5C0019DF"/>
    <w:rsid w:val="5C11209A"/>
    <w:rsid w:val="5C150801"/>
    <w:rsid w:val="5C1B4BA8"/>
    <w:rsid w:val="5C2F265B"/>
    <w:rsid w:val="5C366FAA"/>
    <w:rsid w:val="5C42476C"/>
    <w:rsid w:val="5C7A0445"/>
    <w:rsid w:val="5C8E7193"/>
    <w:rsid w:val="5CB17895"/>
    <w:rsid w:val="5CEE6205"/>
    <w:rsid w:val="5CF93107"/>
    <w:rsid w:val="5D774E64"/>
    <w:rsid w:val="5D907F8D"/>
    <w:rsid w:val="5DDB4B89"/>
    <w:rsid w:val="5DEC06A6"/>
    <w:rsid w:val="5DEF22E5"/>
    <w:rsid w:val="5E0C5358"/>
    <w:rsid w:val="5E4445B8"/>
    <w:rsid w:val="5E4F0178"/>
    <w:rsid w:val="5EA22A81"/>
    <w:rsid w:val="5EAD2401"/>
    <w:rsid w:val="5EC743B5"/>
    <w:rsid w:val="5EDA203C"/>
    <w:rsid w:val="5F0A307C"/>
    <w:rsid w:val="5F301C37"/>
    <w:rsid w:val="5F6D12E1"/>
    <w:rsid w:val="5F6E751E"/>
    <w:rsid w:val="5FA266F3"/>
    <w:rsid w:val="5FB011CE"/>
    <w:rsid w:val="5FD942BC"/>
    <w:rsid w:val="5FDB5953"/>
    <w:rsid w:val="5FF07DD1"/>
    <w:rsid w:val="601C5F42"/>
    <w:rsid w:val="60727A4E"/>
    <w:rsid w:val="608B7265"/>
    <w:rsid w:val="609E395C"/>
    <w:rsid w:val="60C223CE"/>
    <w:rsid w:val="612E7DA8"/>
    <w:rsid w:val="61A11716"/>
    <w:rsid w:val="61A96E48"/>
    <w:rsid w:val="61BF5B82"/>
    <w:rsid w:val="61D87997"/>
    <w:rsid w:val="62001A55"/>
    <w:rsid w:val="6204008E"/>
    <w:rsid w:val="623F5757"/>
    <w:rsid w:val="6249600F"/>
    <w:rsid w:val="624F5223"/>
    <w:rsid w:val="625E1DEF"/>
    <w:rsid w:val="626E7F01"/>
    <w:rsid w:val="62B527FD"/>
    <w:rsid w:val="62C7181E"/>
    <w:rsid w:val="62D607B4"/>
    <w:rsid w:val="62E32048"/>
    <w:rsid w:val="630A0794"/>
    <w:rsid w:val="63816803"/>
    <w:rsid w:val="63937C6D"/>
    <w:rsid w:val="63CF456F"/>
    <w:rsid w:val="63D11FD1"/>
    <w:rsid w:val="63FA2E95"/>
    <w:rsid w:val="644E4B1D"/>
    <w:rsid w:val="64B63248"/>
    <w:rsid w:val="64CE4571"/>
    <w:rsid w:val="650236C7"/>
    <w:rsid w:val="65844B9A"/>
    <w:rsid w:val="65865E9F"/>
    <w:rsid w:val="65AF1261"/>
    <w:rsid w:val="65D2051C"/>
    <w:rsid w:val="65D35F9E"/>
    <w:rsid w:val="663649BE"/>
    <w:rsid w:val="66CA2CB3"/>
    <w:rsid w:val="676125E8"/>
    <w:rsid w:val="67AB5824"/>
    <w:rsid w:val="67B94B3A"/>
    <w:rsid w:val="68332824"/>
    <w:rsid w:val="691050EB"/>
    <w:rsid w:val="6924760F"/>
    <w:rsid w:val="69270934"/>
    <w:rsid w:val="693343A6"/>
    <w:rsid w:val="69934FDB"/>
    <w:rsid w:val="69A320DB"/>
    <w:rsid w:val="6A1C12E7"/>
    <w:rsid w:val="6A636C96"/>
    <w:rsid w:val="6A8F6861"/>
    <w:rsid w:val="6A90705C"/>
    <w:rsid w:val="6AFF2398"/>
    <w:rsid w:val="6B09652B"/>
    <w:rsid w:val="6B1F4E4B"/>
    <w:rsid w:val="6B333AEC"/>
    <w:rsid w:val="6B674346"/>
    <w:rsid w:val="6B6E3CD1"/>
    <w:rsid w:val="6B9464D8"/>
    <w:rsid w:val="6BA563A9"/>
    <w:rsid w:val="6BC550D7"/>
    <w:rsid w:val="6BFA10DE"/>
    <w:rsid w:val="6C255A54"/>
    <w:rsid w:val="6C5B53FF"/>
    <w:rsid w:val="6C6367AC"/>
    <w:rsid w:val="6CBB00EF"/>
    <w:rsid w:val="6CE1032F"/>
    <w:rsid w:val="6D0A6F75"/>
    <w:rsid w:val="6D370D3E"/>
    <w:rsid w:val="6D443B19"/>
    <w:rsid w:val="6D9C2C61"/>
    <w:rsid w:val="6DAE4200"/>
    <w:rsid w:val="6DE5215B"/>
    <w:rsid w:val="6E0628E0"/>
    <w:rsid w:val="6E0A0363"/>
    <w:rsid w:val="6E0A3294"/>
    <w:rsid w:val="6E2C3B8B"/>
    <w:rsid w:val="6E3531DF"/>
    <w:rsid w:val="6E386362"/>
    <w:rsid w:val="6E615BFD"/>
    <w:rsid w:val="6E855EB4"/>
    <w:rsid w:val="6E8A4C3B"/>
    <w:rsid w:val="6E992F04"/>
    <w:rsid w:val="6ED22CDD"/>
    <w:rsid w:val="6F236DB5"/>
    <w:rsid w:val="6F3209DD"/>
    <w:rsid w:val="6F4E0CB0"/>
    <w:rsid w:val="6F547DC8"/>
    <w:rsid w:val="6F564898"/>
    <w:rsid w:val="6F8A6D33"/>
    <w:rsid w:val="6F9A6F66"/>
    <w:rsid w:val="6FC308D0"/>
    <w:rsid w:val="6FE2091C"/>
    <w:rsid w:val="6FE73C55"/>
    <w:rsid w:val="6FF5639F"/>
    <w:rsid w:val="7036127C"/>
    <w:rsid w:val="703D35B4"/>
    <w:rsid w:val="709A5001"/>
    <w:rsid w:val="70AC166A"/>
    <w:rsid w:val="70D8212E"/>
    <w:rsid w:val="70E707C8"/>
    <w:rsid w:val="70F301F5"/>
    <w:rsid w:val="71C07EFD"/>
    <w:rsid w:val="71CB2FE6"/>
    <w:rsid w:val="71CF3F63"/>
    <w:rsid w:val="720F4734"/>
    <w:rsid w:val="723301EC"/>
    <w:rsid w:val="72450106"/>
    <w:rsid w:val="72906230"/>
    <w:rsid w:val="72A22A1E"/>
    <w:rsid w:val="72A560E1"/>
    <w:rsid w:val="72DE2883"/>
    <w:rsid w:val="7305227F"/>
    <w:rsid w:val="731F4C6F"/>
    <w:rsid w:val="73270882"/>
    <w:rsid w:val="73843011"/>
    <w:rsid w:val="739E6A6F"/>
    <w:rsid w:val="73BB0BAE"/>
    <w:rsid w:val="73D16993"/>
    <w:rsid w:val="73F90FAD"/>
    <w:rsid w:val="743047AF"/>
    <w:rsid w:val="74535C68"/>
    <w:rsid w:val="745A13AF"/>
    <w:rsid w:val="74714F78"/>
    <w:rsid w:val="752A5D13"/>
    <w:rsid w:val="752F304D"/>
    <w:rsid w:val="753A6E5F"/>
    <w:rsid w:val="757415C3"/>
    <w:rsid w:val="75DE796D"/>
    <w:rsid w:val="76001CB8"/>
    <w:rsid w:val="767C156E"/>
    <w:rsid w:val="76CE7275"/>
    <w:rsid w:val="76D77B85"/>
    <w:rsid w:val="76F61765"/>
    <w:rsid w:val="76FA4CDF"/>
    <w:rsid w:val="771244E7"/>
    <w:rsid w:val="77146248"/>
    <w:rsid w:val="77400C32"/>
    <w:rsid w:val="774C3647"/>
    <w:rsid w:val="77632FEC"/>
    <w:rsid w:val="77902BB7"/>
    <w:rsid w:val="77B77146"/>
    <w:rsid w:val="77DB3F30"/>
    <w:rsid w:val="77E67D42"/>
    <w:rsid w:val="78013FBD"/>
    <w:rsid w:val="78075561"/>
    <w:rsid w:val="784E4D93"/>
    <w:rsid w:val="786120E9"/>
    <w:rsid w:val="789E2158"/>
    <w:rsid w:val="78F671A8"/>
    <w:rsid w:val="792B04A2"/>
    <w:rsid w:val="79597C24"/>
    <w:rsid w:val="7968448D"/>
    <w:rsid w:val="79753CD1"/>
    <w:rsid w:val="797D4961"/>
    <w:rsid w:val="79884EF0"/>
    <w:rsid w:val="79B67D3E"/>
    <w:rsid w:val="79C6605A"/>
    <w:rsid w:val="79D762F4"/>
    <w:rsid w:val="7A2902FC"/>
    <w:rsid w:val="7A491F81"/>
    <w:rsid w:val="7A4E212F"/>
    <w:rsid w:val="7A7D59F2"/>
    <w:rsid w:val="7AAA0D22"/>
    <w:rsid w:val="7ABE2D6E"/>
    <w:rsid w:val="7AD37490"/>
    <w:rsid w:val="7AD85338"/>
    <w:rsid w:val="7B1D7C08"/>
    <w:rsid w:val="7B581805"/>
    <w:rsid w:val="7B7C1EA8"/>
    <w:rsid w:val="7B9C10D8"/>
    <w:rsid w:val="7BD40338"/>
    <w:rsid w:val="7BF3536A"/>
    <w:rsid w:val="7C0146FA"/>
    <w:rsid w:val="7C4405EC"/>
    <w:rsid w:val="7C905799"/>
    <w:rsid w:val="7CDD7C30"/>
    <w:rsid w:val="7D1961AD"/>
    <w:rsid w:val="7D867CFE"/>
    <w:rsid w:val="7E064983"/>
    <w:rsid w:val="7E356BC8"/>
    <w:rsid w:val="7E4B4AC3"/>
    <w:rsid w:val="7E510A62"/>
    <w:rsid w:val="7EB71A6E"/>
    <w:rsid w:val="7EC62889"/>
    <w:rsid w:val="7EEC634C"/>
    <w:rsid w:val="7EED7296"/>
    <w:rsid w:val="7F4475EB"/>
    <w:rsid w:val="7FA42277"/>
    <w:rsid w:val="7FF66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169AF26F01841119CC100604140BA04"/>
        <w:style w:val=""/>
        <w:category>
          <w:name w:val="常规"/>
          <w:gallery w:val="placeholder"/>
        </w:category>
        <w:types>
          <w:type w:val="bbPlcHdr"/>
        </w:types>
        <w:behaviors>
          <w:behavior w:val="content"/>
        </w:behaviors>
        <w:description w:val=""/>
        <w:guid w:val="{91FD7E1D-EEC5-41D4-9340-FDDA100EB985}"/>
      </w:docPartPr>
      <w:docPartBody>
        <w:p w14:paraId="7CB83A01">
          <w:pPr>
            <w:pStyle w:val="5"/>
          </w:pPr>
          <w:r>
            <w:rPr>
              <w:rStyle w:val="4"/>
              <w:rFonts w:hint="eastAsia"/>
            </w:rPr>
            <w:t>单击或点击此处输入文字。</w:t>
          </w:r>
        </w:p>
      </w:docPartBody>
    </w:docPart>
    <w:docPart>
      <w:docPartPr>
        <w:name w:val="EAEB5E9BD0B34E2C84D8759102F76EBE"/>
        <w:style w:val=""/>
        <w:category>
          <w:name w:val="常规"/>
          <w:gallery w:val="placeholder"/>
        </w:category>
        <w:types>
          <w:type w:val="bbPlcHdr"/>
        </w:types>
        <w:behaviors>
          <w:behavior w:val="content"/>
        </w:behaviors>
        <w:description w:val=""/>
        <w:guid w:val="{24F454BC-04E6-4D35-9BB3-942D471C724B}"/>
      </w:docPartPr>
      <w:docPartBody>
        <w:p w14:paraId="4496E58A">
          <w:pPr>
            <w:pStyle w:val="6"/>
          </w:pPr>
          <w:r>
            <w:rPr>
              <w:rStyle w:val="4"/>
              <w:rFonts w:hint="eastAsia"/>
            </w:rPr>
            <w:t>选择一项。</w:t>
          </w:r>
        </w:p>
      </w:docPartBody>
    </w:docPart>
    <w:docPart>
      <w:docPartPr>
        <w:name w:val="69A790E6D29C42509B8AC3D9D6D7F5F1"/>
        <w:style w:val=""/>
        <w:category>
          <w:name w:val="常规"/>
          <w:gallery w:val="placeholder"/>
        </w:category>
        <w:types>
          <w:type w:val="bbPlcHdr"/>
        </w:types>
        <w:behaviors>
          <w:behavior w:val="content"/>
        </w:behaviors>
        <w:description w:val=""/>
        <w:guid w:val="{E0052834-BDD8-4BE0-A334-C9B296471688}"/>
      </w:docPartPr>
      <w:docPartBody>
        <w:p w14:paraId="7FFFE29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F07"/>
    <w:rsid w:val="000056BF"/>
    <w:rsid w:val="002675C1"/>
    <w:rsid w:val="002972ED"/>
    <w:rsid w:val="00705046"/>
    <w:rsid w:val="00C870C0"/>
    <w:rsid w:val="00CD0102"/>
    <w:rsid w:val="00F10F07"/>
    <w:rsid w:val="00F65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169AF26F01841119CC100604140BA0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AEB5E9BD0B34E2C84D8759102F76EB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9A790E6D29C42509B8AC3D9D6D7F5F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D0276D-E378-4A0D-9E06-73918257248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4250</Words>
  <Characters>4654</Characters>
  <Lines>31</Lines>
  <Paragraphs>9</Paragraphs>
  <TotalTime>2</TotalTime>
  <ScaleCrop>false</ScaleCrop>
  <LinksUpToDate>false</LinksUpToDate>
  <CharactersWithSpaces>4769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2023-12-05T03:33:00Z</dcterms:created>
  <dc:creator>YJST</dc:creator>
  <dc:description>&lt;config cover="true" show_menu="true" version="1.0.0" doctype="SDKXY"&gt;_x000d_
&lt;/config&gt;</dc:description>
  <cp:lastModifiedBy>Hch</cp:lastModifiedBy>
  <cp:lastPrinted>2020-08-30T10:00:00Z</cp:lastPrinted>
  <dcterms:modified xsi:type="dcterms:W3CDTF">2025-04-30T08:13:21Z</dcterms:modified>
  <dc:title>地方标准</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FFE3D2C7BEFA45D280E4F4BAFC22F6C0</vt:lpwstr>
  </property>
  <property fmtid="{D5CDD505-2E9C-101B-9397-08002B2CF9AE}" pid="16" name="KSOTemplateDocerSaveRecord">
    <vt:lpwstr>eyJoZGlkIjoiMjJlNDE5Njc0NjYxMGIxZjNiMDY3M2FjYzllMmQyMWUiLCJ1c2VySWQiOiI1NjQ3ODA4NTMifQ==</vt:lpwstr>
  </property>
</Properties>
</file>