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12</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X</w:t>
            </w:r>
            <w:r>
              <w:rPr>
                <w:rFonts w:hint="eastAsia"/>
                <w:lang w:val="en-US" w:eastAsia="zh-CN"/>
              </w:rPr>
              <w:t>XXX</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贵阳市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XXXX</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eastAsia="zh-CN"/>
        </w:rPr>
        <w:t>X</w:t>
      </w:r>
      <w:r>
        <w:rPr>
          <w:rFonts w:hint="eastAsia"/>
          <w:lang w:val="en-US" w:eastAsia="zh-CN"/>
        </w:rPr>
        <w:t>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eastAsia="zh-CN"/>
        </w:rPr>
        <w:t>X</w:t>
      </w:r>
      <w:r>
        <w:rPr>
          <w:rFonts w:hint="eastAsia"/>
          <w:lang w:val="en-US" w:eastAsia="zh-CN"/>
        </w:rPr>
        <w:t>XXX</w:t>
      </w:r>
      <w:r>
        <w:fldChar w:fldCharType="end"/>
      </w:r>
      <w:bookmarkEnd w:id="7"/>
    </w:p>
    <w:p>
      <w:pPr>
        <w:pStyle w:val="197"/>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rPr>
          <w:rFonts w:hint="eastAsia" w:eastAsia="黑体"/>
          <w:lang w:eastAsia="zh-CN"/>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lang w:eastAsia="zh-CN"/>
        </w:rPr>
        <w:t>学校集中供餐管理规范</w:t>
      </w:r>
    </w:p>
    <w:p>
      <w:pPr>
        <w:pStyle w:val="198"/>
        <w:framePr w:h="6974" w:hRule="exact" w:x="1419" w:anchorLock="1"/>
        <w:pBdr>
          <w:top w:val="none" w:color="auto" w:sz="0" w:space="0"/>
          <w:left w:val="none" w:color="auto" w:sz="0" w:space="0"/>
          <w:bottom w:val="none" w:color="auto" w:sz="0" w:space="0"/>
          <w:right w:val="none" w:color="auto" w:sz="0" w:space="0"/>
        </w:pBdr>
        <w:rPr>
          <w:rFonts w:hint="eastAsia"/>
        </w:rPr>
      </w:pPr>
    </w:p>
    <w:p>
      <w:pPr>
        <w:pStyle w:val="198"/>
        <w:framePr w:h="6974" w:hRule="exact" w:x="1419" w:anchorLock="1"/>
        <w:spacing w:line="240" w:lineRule="auto"/>
        <w:jc w:val="both"/>
        <w:rPr>
          <w:rFonts w:hint="default" w:eastAsia="黑体"/>
          <w:lang w:val="en-US" w:eastAsia="zh-CN"/>
        </w:rPr>
      </w:pPr>
    </w:p>
    <w:p>
      <w:pPr>
        <w:pStyle w:val="198"/>
        <w:framePr w:h="6974" w:hRule="exact" w:x="1419" w:anchorLock="1"/>
      </w:pP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p>
    <w:p>
      <w:pPr>
        <w:pStyle w:val="126"/>
        <w:framePr w:w="9639" w:h="6974" w:hRule="exact" w:wrap="around" w:vAnchor="page" w:hAnchor="page" w:x="1419" w:y="6408" w:anchorLock="1"/>
        <w:spacing w:before="180" w:line="240" w:lineRule="atLeast"/>
        <w:textAlignment w:val="bottom"/>
        <w:rPr>
          <w:sz w:val="21"/>
          <w:szCs w:val="28"/>
        </w:rPr>
      </w:pPr>
    </w:p>
    <w:p>
      <w:pPr>
        <w:pStyle w:val="126"/>
        <w:framePr w:w="9639" w:h="6974" w:hRule="exact" w:wrap="around" w:vAnchor="page" w:hAnchor="page" w:x="1419" w:y="6408" w:anchorLock="1"/>
        <w:spacing w:before="720" w:beforeLines="300" w:after="72" w:afterLines="30" w:line="240" w:lineRule="auto"/>
        <w:textAlignment w:val="bottom"/>
        <w:rPr>
          <w:b/>
          <w:sz w:val="21"/>
          <w:szCs w:val="28"/>
        </w:rPr>
      </w:pPr>
    </w:p>
    <w:p>
      <w:pPr>
        <w:pStyle w:val="194"/>
        <w:framePr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1"/>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4"/>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贵阳市市场监督管理局</w:t>
      </w:r>
      <w:r>
        <w:rPr>
          <w:rFonts w:hAnsi="黑体"/>
          <w:w w:val="100"/>
          <w:sz w:val="28"/>
        </w:rPr>
        <w:fldChar w:fldCharType="end"/>
      </w:r>
      <w:bookmarkEnd w:id="15"/>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2"/>
        <w:tabs>
          <w:tab w:val="right" w:leader="dot" w:pos="9354"/>
        </w:tabs>
        <w:spacing w:after="468"/>
        <w:jc w:val="center"/>
        <w:rPr>
          <w:rFonts w:ascii="黑体" w:hAnsi="Calibri" w:eastAsia="黑体" w:cs="Times New Roman"/>
          <w:color w:val="auto"/>
          <w:kern w:val="2"/>
          <w:sz w:val="32"/>
          <w:szCs w:val="21"/>
          <w:lang w:val="en-US" w:eastAsia="zh-CN" w:bidi="ar-SA"/>
        </w:rPr>
      </w:pPr>
      <w:bookmarkStart w:id="16" w:name="_Toc108681361"/>
      <w:bookmarkStart w:id="17" w:name="_Toc110256573"/>
      <w:bookmarkStart w:id="18" w:name="_Toc109122027"/>
      <w:bookmarkStart w:id="19" w:name="_Toc103352694"/>
      <w:bookmarkStart w:id="20" w:name="_Toc108682348"/>
      <w:bookmarkStart w:id="21" w:name="_Toc99009913"/>
      <w:bookmarkStart w:id="22" w:name="_Toc109137028"/>
      <w:r>
        <w:rPr>
          <w:rFonts w:hint="eastAsia" w:ascii="黑体" w:hAnsi="黑体" w:eastAsia="黑体" w:cs="黑体"/>
          <w:color w:val="auto"/>
          <w:spacing w:val="320"/>
          <w:sz w:val="32"/>
          <w:szCs w:val="32"/>
        </w:rPr>
        <w:t>目</w:t>
      </w:r>
      <w:r>
        <w:rPr>
          <w:rFonts w:hint="eastAsia" w:ascii="黑体" w:hAnsi="黑体" w:eastAsia="黑体" w:cs="黑体"/>
          <w:color w:val="auto"/>
          <w:sz w:val="32"/>
          <w:szCs w:val="32"/>
        </w:rPr>
        <w:t>次</w:t>
      </w:r>
      <w:r>
        <w:rPr>
          <w:color w:val="auto"/>
        </w:rPr>
        <w:fldChar w:fldCharType="begin"/>
      </w:r>
      <w:r>
        <w:rPr>
          <w:color w:val="auto"/>
        </w:rPr>
        <w:instrText xml:space="preserve">TOC \o "1-1" \h \u </w:instrText>
      </w:r>
      <w:r>
        <w:rPr>
          <w:color w:val="auto"/>
        </w:rPr>
        <w:fldChar w:fldCharType="separate"/>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_Toc14623 </w:instrText>
      </w:r>
      <w:r>
        <w:rPr>
          <w:rFonts w:hint="eastAsia" w:ascii="宋体" w:hAnsi="宋体" w:eastAsia="宋体" w:cs="宋体"/>
        </w:rPr>
        <w:fldChar w:fldCharType="separate"/>
      </w:r>
      <w:r>
        <w:rPr>
          <w:rFonts w:hint="eastAsia" w:ascii="宋体" w:hAnsi="宋体" w:eastAsia="宋体" w:cs="宋体"/>
          <w:lang w:eastAsia="zh-CN"/>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_Toc14623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_Toc4343 </w:instrText>
      </w:r>
      <w:r>
        <w:rPr>
          <w:rFonts w:hint="eastAsia" w:ascii="宋体" w:hAnsi="宋体" w:eastAsia="宋体" w:cs="宋体"/>
        </w:rPr>
        <w:fldChar w:fldCharType="separate"/>
      </w:r>
      <w:r>
        <w:rPr>
          <w:rFonts w:hint="eastAsia" w:ascii="宋体" w:hAnsi="宋体" w:eastAsia="宋体" w:cs="宋体"/>
          <w:bCs w:val="0"/>
          <w:szCs w:val="21"/>
          <w:lang w:val="en-US" w:eastAsia="zh-CN"/>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_Toc4343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_Toc9081 </w:instrText>
      </w:r>
      <w:r>
        <w:rPr>
          <w:rFonts w:hint="eastAsia" w:ascii="宋体" w:hAnsi="宋体" w:eastAsia="宋体" w:cs="宋体"/>
        </w:rPr>
        <w:fldChar w:fldCharType="separate"/>
      </w:r>
      <w:r>
        <w:rPr>
          <w:rFonts w:hint="eastAsia" w:ascii="宋体" w:hAnsi="宋体" w:eastAsia="宋体" w:cs="宋体"/>
          <w:bCs w:val="0"/>
          <w:szCs w:val="21"/>
          <w:lang w:val="en-US" w:eastAsia="zh-CN"/>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_Toc9081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_Toc5829 </w:instrText>
      </w:r>
      <w:r>
        <w:rPr>
          <w:rFonts w:hint="eastAsia" w:ascii="宋体" w:hAnsi="宋体" w:eastAsia="宋体" w:cs="宋体"/>
        </w:rPr>
        <w:fldChar w:fldCharType="separate"/>
      </w:r>
      <w:r>
        <w:rPr>
          <w:rFonts w:hint="eastAsia" w:ascii="宋体" w:hAnsi="宋体" w:eastAsia="宋体" w:cs="宋体"/>
          <w:bCs w:val="0"/>
          <w:szCs w:val="21"/>
          <w:lang w:val="en-US" w:eastAsia="zh-CN"/>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_Toc5829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_Toc4503 </w:instrText>
      </w:r>
      <w:r>
        <w:rPr>
          <w:rFonts w:hint="eastAsia" w:ascii="宋体" w:hAnsi="宋体" w:eastAsia="宋体" w:cs="宋体"/>
        </w:rPr>
        <w:fldChar w:fldCharType="separate"/>
      </w:r>
      <w:r>
        <w:rPr>
          <w:rFonts w:hint="eastAsia" w:ascii="宋体" w:hAnsi="宋体" w:eastAsia="宋体" w:cs="宋体"/>
          <w:bCs w:val="0"/>
          <w:szCs w:val="21"/>
          <w:highlight w:val="none"/>
          <w:lang w:val="en-US" w:eastAsia="zh-CN"/>
        </w:rPr>
        <w:t>4 总体要求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_Toc4503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_Toc25456 </w:instrText>
      </w:r>
      <w:r>
        <w:rPr>
          <w:rFonts w:hint="eastAsia" w:ascii="宋体" w:hAnsi="宋体" w:eastAsia="宋体" w:cs="宋体"/>
        </w:rPr>
        <w:fldChar w:fldCharType="separate"/>
      </w:r>
      <w:r>
        <w:rPr>
          <w:rFonts w:hint="eastAsia" w:ascii="宋体" w:hAnsi="宋体" w:eastAsia="宋体" w:cs="宋体"/>
          <w:bCs w:val="0"/>
          <w:szCs w:val="21"/>
          <w:lang w:val="en-US" w:eastAsia="zh-CN"/>
        </w:rPr>
        <w:t>5 管理</w:t>
      </w:r>
      <w:r>
        <w:rPr>
          <w:rFonts w:hint="eastAsia" w:hAnsi="宋体" w:cs="宋体"/>
          <w:bCs w:val="0"/>
          <w:szCs w:val="21"/>
          <w:lang w:val="en-US" w:eastAsia="zh-CN"/>
        </w:rPr>
        <w:t>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_Toc25456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_Toc9639 </w:instrText>
      </w:r>
      <w:r>
        <w:rPr>
          <w:rFonts w:hint="eastAsia" w:ascii="宋体" w:hAnsi="宋体" w:eastAsia="宋体" w:cs="宋体"/>
        </w:rPr>
        <w:fldChar w:fldCharType="separate"/>
      </w:r>
      <w:r>
        <w:rPr>
          <w:rFonts w:hint="eastAsia" w:ascii="宋体" w:hAnsi="宋体" w:eastAsia="宋体" w:cs="宋体"/>
          <w:bCs w:val="0"/>
          <w:szCs w:val="21"/>
          <w:lang w:val="en-US" w:eastAsia="zh-CN"/>
        </w:rPr>
        <w:t>6 供餐过程管理</w:t>
      </w:r>
      <w:r>
        <w:rPr>
          <w:rFonts w:hint="eastAsia" w:ascii="宋体" w:hAnsi="宋体" w:eastAsia="宋体" w:cs="宋体"/>
        </w:rPr>
        <w:tab/>
      </w:r>
      <w:r>
        <w:rPr>
          <w:rFonts w:hint="eastAsia" w:hAnsi="宋体" w:cs="宋体"/>
          <w:lang w:val="en-US" w:eastAsia="zh-CN"/>
        </w:rPr>
        <w:t>5</w:t>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rPr>
      </w:pPr>
      <w:r>
        <w:rPr>
          <w:rFonts w:hint="eastAsia" w:ascii="宋体" w:hAnsi="宋体" w:eastAsia="宋体" w:cs="宋体"/>
          <w:color w:val="auto"/>
        </w:rPr>
        <w:fldChar w:fldCharType="begin"/>
      </w:r>
      <w:r>
        <w:rPr>
          <w:rFonts w:hint="eastAsia" w:ascii="宋体" w:hAnsi="宋体" w:eastAsia="宋体" w:cs="宋体"/>
        </w:rPr>
        <w:instrText xml:space="preserve"> HYPERLINK \l _Toc31663 </w:instrText>
      </w:r>
      <w:r>
        <w:rPr>
          <w:rFonts w:hint="eastAsia" w:ascii="宋体" w:hAnsi="宋体" w:eastAsia="宋体" w:cs="宋体"/>
        </w:rPr>
        <w:fldChar w:fldCharType="separate"/>
      </w:r>
      <w:r>
        <w:rPr>
          <w:rFonts w:hint="eastAsia" w:ascii="宋体" w:hAnsi="宋体" w:eastAsia="宋体" w:cs="宋体"/>
          <w:bCs w:val="0"/>
          <w:szCs w:val="21"/>
          <w:lang w:val="en-US" w:eastAsia="zh-CN"/>
        </w:rPr>
        <w:t>7 监督与评价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_Toc31663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ascii="宋体" w:hAnsi="宋体" w:eastAsia="宋体" w:cs="宋体"/>
          <w:color w:val="auto"/>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_Toc6074 </w:instrText>
      </w:r>
      <w:r>
        <w:rPr>
          <w:rFonts w:hint="eastAsia" w:ascii="宋体" w:hAnsi="宋体" w:eastAsia="宋体" w:cs="宋体"/>
        </w:rPr>
        <w:fldChar w:fldCharType="separate"/>
      </w:r>
      <w:r>
        <w:rPr>
          <w:rFonts w:hint="eastAsia" w:hAnsi="宋体" w:cs="宋体"/>
          <w:lang w:val="en-US" w:eastAsia="zh-CN"/>
        </w:rPr>
        <w:t>附录A</w:t>
      </w:r>
      <w:r>
        <w:rPr>
          <w:rFonts w:hint="eastAsia" w:hAnsi="宋体" w:cs="宋体"/>
          <w:highlight w:val="none"/>
          <w:lang w:val="en-US" w:eastAsia="zh-CN"/>
        </w:rPr>
        <w:t>（规范性）</w:t>
      </w:r>
      <w:r>
        <w:rPr>
          <w:rFonts w:hint="eastAsia" w:hAnsi="宋体" w:cs="宋体"/>
          <w:lang w:val="en-US" w:eastAsia="zh-CN"/>
        </w:rPr>
        <w:t xml:space="preserve"> 不同供餐方式经营主体资质要求表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_Toc6074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rPr>
        <w:fldChar w:fldCharType="end"/>
      </w:r>
      <w:r>
        <w:rPr>
          <w:rFonts w:hint="eastAsia" w:hAnsi="宋体" w:cs="宋体"/>
          <w:color w:val="auto"/>
          <w:lang w:val="en-US" w:eastAsia="zh-CN"/>
        </w:rPr>
        <w:t>2</w:t>
      </w:r>
    </w:p>
    <w:p>
      <w:pPr>
        <w:pStyle w:val="19"/>
        <w:tabs>
          <w:tab w:val="right" w:leader="dot" w:pos="9354"/>
        </w:tabs>
        <w:rPr>
          <w:rFonts w:hint="eastAsia" w:ascii="宋体" w:hAnsi="宋体" w:eastAsia="宋体" w:cs="宋体"/>
          <w:color w:val="auto"/>
          <w:lang w:val="en-US" w:eastAsia="zh-CN"/>
        </w:rPr>
      </w:pPr>
      <w:r>
        <w:rPr>
          <w:rFonts w:hint="eastAsia" w:ascii="宋体" w:hAnsi="宋体" w:eastAsia="宋体" w:cs="宋体"/>
          <w:color w:val="auto"/>
        </w:rPr>
        <w:fldChar w:fldCharType="begin"/>
      </w:r>
      <w:r>
        <w:rPr>
          <w:rFonts w:hint="eastAsia" w:ascii="宋体" w:hAnsi="宋体" w:eastAsia="宋体" w:cs="宋体"/>
        </w:rPr>
        <w:instrText xml:space="preserve"> HYPERLINK \l _Toc6074 </w:instrText>
      </w:r>
      <w:r>
        <w:rPr>
          <w:rFonts w:hint="eastAsia" w:ascii="宋体" w:hAnsi="宋体" w:eastAsia="宋体" w:cs="宋体"/>
        </w:rPr>
        <w:fldChar w:fldCharType="separate"/>
      </w:r>
      <w:r>
        <w:rPr>
          <w:rFonts w:hint="eastAsia" w:hAnsi="宋体" w:cs="宋体"/>
          <w:lang w:val="en-US" w:eastAsia="zh-CN"/>
        </w:rPr>
        <w:t>附录B（资料性） 色标颜色推荐及分类表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_Toc6074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color w:val="auto"/>
        </w:rPr>
        <w:fldChar w:fldCharType="end"/>
      </w:r>
    </w:p>
    <w:p>
      <w:pPr>
        <w:pStyle w:val="19"/>
        <w:tabs>
          <w:tab w:val="right" w:leader="dot" w:pos="9354"/>
        </w:tabs>
        <w:rPr>
          <w:rFonts w:hint="eastAsia" w:eastAsia="宋体"/>
          <w:lang w:val="en-US" w:eastAsia="zh-CN"/>
        </w:rPr>
      </w:pPr>
      <w:bookmarkStart w:id="23" w:name="OLE_LINK55"/>
      <w:r>
        <w:rPr>
          <w:rFonts w:hint="eastAsia" w:ascii="宋体" w:hAnsi="宋体" w:eastAsia="宋体" w:cs="宋体"/>
          <w:color w:val="auto"/>
        </w:rPr>
        <w:fldChar w:fldCharType="begin"/>
      </w:r>
      <w:r>
        <w:rPr>
          <w:rFonts w:hint="eastAsia" w:ascii="宋体" w:hAnsi="宋体" w:eastAsia="宋体" w:cs="宋体"/>
        </w:rPr>
        <w:instrText xml:space="preserve"> HYPERLINK \l _Toc6074 </w:instrText>
      </w:r>
      <w:r>
        <w:rPr>
          <w:rFonts w:hint="eastAsia" w:ascii="宋体" w:hAnsi="宋体" w:eastAsia="宋体" w:cs="宋体"/>
        </w:rPr>
        <w:fldChar w:fldCharType="separate"/>
      </w:r>
      <w:r>
        <w:rPr>
          <w:rFonts w:hint="eastAsia" w:ascii="宋体" w:hAnsi="宋体" w:eastAsia="宋体" w:cs="宋体"/>
          <w:lang w:val="en-US" w:eastAsia="zh-CN"/>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_Toc6074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rPr>
        <w:fldChar w:fldCharType="end"/>
      </w:r>
      <w:bookmarkEnd w:id="23"/>
      <w:r>
        <w:rPr>
          <w:rFonts w:hint="eastAsia" w:hAnsi="宋体" w:cs="宋体"/>
          <w:color w:val="auto"/>
          <w:lang w:val="en-US" w:eastAsia="zh-CN"/>
        </w:rPr>
        <w:t>4</w:t>
      </w:r>
    </w:p>
    <w:p>
      <w:pPr>
        <w:pStyle w:val="19"/>
        <w:tabs>
          <w:tab w:val="right" w:leader="dot" w:pos="9354"/>
        </w:tabs>
        <w:spacing w:after="468"/>
        <w:jc w:val="center"/>
        <w:rPr>
          <w:color w:val="auto"/>
        </w:rPr>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rPr>
          <w:color w:val="auto"/>
        </w:rPr>
        <w:fldChar w:fldCharType="end"/>
      </w:r>
    </w:p>
    <w:bookmarkEnd w:id="16"/>
    <w:bookmarkEnd w:id="17"/>
    <w:bookmarkEnd w:id="18"/>
    <w:bookmarkEnd w:id="19"/>
    <w:bookmarkEnd w:id="20"/>
    <w:bookmarkEnd w:id="21"/>
    <w:bookmarkEnd w:id="22"/>
    <w:p>
      <w:pPr>
        <w:pStyle w:val="90"/>
        <w:spacing w:after="468"/>
      </w:pPr>
      <w:bookmarkStart w:id="24" w:name="_Toc6305"/>
      <w:bookmarkEnd w:id="24"/>
      <w:bookmarkStart w:id="25" w:name="_Toc1904"/>
      <w:bookmarkStart w:id="26" w:name="_Toc14623"/>
      <w:r>
        <w:rPr>
          <w:spacing w:val="320"/>
        </w:rPr>
        <w:t>前</w:t>
      </w:r>
      <w:r>
        <w:t>言</w:t>
      </w:r>
      <w:bookmarkEnd w:id="25"/>
      <w:bookmarkEnd w:id="26"/>
    </w:p>
    <w:p>
      <w:pPr>
        <w:pStyle w:val="57"/>
        <w:ind w:firstLine="420"/>
      </w:pPr>
      <w:r>
        <w:rPr>
          <w:rFonts w:hint="eastAsia"/>
        </w:rPr>
        <w:t>本文件按照GB/T 1.1—2020《标准化工作导则  第1部分：标准化文件的结构和起草规则》的规定起草。</w:t>
      </w:r>
    </w:p>
    <w:p>
      <w:pPr>
        <w:pStyle w:val="57"/>
        <w:ind w:firstLine="420"/>
        <w:rPr>
          <w:rFonts w:hint="eastAsia"/>
        </w:rPr>
      </w:pPr>
      <w:r>
        <w:rPr>
          <w:rFonts w:hint="eastAsia"/>
        </w:rPr>
        <w:t>请注意本文件的某些内容可能涉及专利。本文件的发布机构不承担识别这些专利的责任。</w:t>
      </w:r>
    </w:p>
    <w:p>
      <w:pPr>
        <w:pStyle w:val="57"/>
        <w:ind w:firstLine="420"/>
      </w:pPr>
      <w:r>
        <w:rPr>
          <w:rFonts w:hint="eastAsia"/>
        </w:rPr>
        <w:t>本文件由贵阳市</w:t>
      </w:r>
      <w:r>
        <w:rPr>
          <w:rFonts w:hint="eastAsia"/>
          <w:lang w:eastAsia="zh-CN"/>
        </w:rPr>
        <w:t>市场监督管理局</w:t>
      </w:r>
      <w:r>
        <w:rPr>
          <w:rFonts w:hint="eastAsia"/>
        </w:rPr>
        <w:t>提出并归口。</w:t>
      </w:r>
    </w:p>
    <w:p>
      <w:pPr>
        <w:pStyle w:val="57"/>
        <w:ind w:firstLine="420"/>
        <w:rPr>
          <w:rFonts w:hint="eastAsia"/>
        </w:rPr>
      </w:pPr>
      <w:r>
        <w:rPr>
          <w:rFonts w:hint="eastAsia"/>
        </w:rPr>
        <w:t>本文件起草单位：贵阳市食品药品检验检测中心</w:t>
      </w:r>
      <w:r>
        <w:rPr>
          <w:rFonts w:hint="eastAsia"/>
          <w:lang w:eastAsia="zh-CN"/>
        </w:rPr>
        <w:t>、</w:t>
      </w:r>
      <w:r>
        <w:rPr>
          <w:rFonts w:hint="eastAsia"/>
        </w:rPr>
        <w:t>贵阳市</w:t>
      </w:r>
      <w:r>
        <w:rPr>
          <w:rFonts w:hint="eastAsia"/>
          <w:lang w:eastAsia="zh-CN"/>
        </w:rPr>
        <w:t>市场监督管理局、贵阳市教育局、</w:t>
      </w:r>
      <w:r>
        <w:rPr>
          <w:rFonts w:hint="default"/>
          <w:lang w:val="en-US" w:eastAsia="zh-CN"/>
        </w:rPr>
        <w:t>贵阳市药品不良反应监测中心</w:t>
      </w:r>
      <w:r>
        <w:rPr>
          <w:rFonts w:hint="eastAsia"/>
          <w:lang w:val="en-US" w:eastAsia="zh-CN"/>
        </w:rPr>
        <w:t>、贵州省食品检验检测院</w:t>
      </w:r>
      <w:r>
        <w:rPr>
          <w:rFonts w:hint="eastAsia"/>
          <w:color w:val="auto"/>
          <w:lang w:val="en-US" w:eastAsia="zh-CN"/>
        </w:rPr>
        <w:t>、</w:t>
      </w:r>
      <w:r>
        <w:rPr>
          <w:rFonts w:hint="default"/>
          <w:color w:val="auto"/>
        </w:rPr>
        <w:t>贵阳广垦农业运营管理有限公司</w:t>
      </w:r>
      <w:r>
        <w:rPr>
          <w:rFonts w:hint="eastAsia"/>
        </w:rPr>
        <w:t>。</w:t>
      </w:r>
    </w:p>
    <w:p>
      <w:pPr>
        <w:pStyle w:val="57"/>
        <w:ind w:firstLine="420"/>
        <w:rPr>
          <w:highlight w:val="yellow"/>
        </w:rPr>
      </w:pPr>
      <w:r>
        <w:rPr>
          <w:rFonts w:hint="eastAsia"/>
        </w:rPr>
        <w:t>本文件主要起草人：李雪芹、高小于、田雅清、</w:t>
      </w:r>
      <w:r>
        <w:rPr>
          <w:rFonts w:hint="eastAsia"/>
          <w:lang w:eastAsia="zh-CN"/>
        </w:rPr>
        <w:t>周敏</w:t>
      </w:r>
      <w:r>
        <w:rPr>
          <w:rFonts w:hint="eastAsia"/>
        </w:rPr>
        <w:t>、</w:t>
      </w:r>
      <w:r>
        <w:rPr>
          <w:rFonts w:hint="eastAsia"/>
          <w:lang w:eastAsia="zh-CN"/>
        </w:rPr>
        <w:t>雷晓青、陈丽萍、赵应梅、潘盛波、张磊、</w:t>
      </w:r>
      <w:r>
        <w:rPr>
          <w:rFonts w:hint="default" w:hAnsi="Times New Roman" w:cs="Times New Roman"/>
          <w:lang w:val="en-US" w:eastAsia="zh-CN"/>
        </w:rPr>
        <w:t>韩墨流</w:t>
      </w:r>
      <w:r>
        <w:rPr>
          <w:rFonts w:hint="eastAsia" w:hAnsi="Times New Roman" w:cs="Times New Roman"/>
          <w:lang w:val="en-US" w:eastAsia="zh-CN"/>
        </w:rPr>
        <w:t>、高安琪</w:t>
      </w:r>
      <w:r>
        <w:rPr>
          <w:rFonts w:hint="eastAsia" w:cs="Times New Roman"/>
          <w:lang w:val="en-US" w:eastAsia="zh-CN"/>
        </w:rPr>
        <w:t>、</w:t>
      </w:r>
      <w:r>
        <w:rPr>
          <w:rFonts w:hint="default" w:hAnsi="Times New Roman" w:cs="Times New Roman"/>
          <w:lang w:val="en-US" w:eastAsia="zh-CN"/>
        </w:rPr>
        <w:t>王波娜</w:t>
      </w:r>
      <w:r>
        <w:rPr>
          <w:rFonts w:hint="eastAsia" w:hAnsi="Times New Roman" w:cs="Times New Roman"/>
          <w:lang w:val="en-US" w:eastAsia="zh-CN"/>
        </w:rPr>
        <w:t>、</w:t>
      </w:r>
      <w:r>
        <w:rPr>
          <w:rFonts w:hint="default" w:hAnsi="Times New Roman" w:cs="Times New Roman"/>
          <w:lang w:val="en-US" w:eastAsia="zh-CN"/>
        </w:rPr>
        <w:t>龚娜</w:t>
      </w:r>
      <w:r>
        <w:rPr>
          <w:rFonts w:hint="eastAsia" w:hAnsi="Times New Roman" w:cs="Times New Roman"/>
          <w:lang w:val="en-US" w:eastAsia="zh-CN"/>
        </w:rPr>
        <w:t>、</w:t>
      </w:r>
      <w:r>
        <w:rPr>
          <w:rFonts w:hint="default" w:hAnsi="Times New Roman" w:cs="Times New Roman"/>
          <w:lang w:val="en-US" w:eastAsia="zh-CN"/>
        </w:rPr>
        <w:t>夏琳婧</w:t>
      </w:r>
      <w:r>
        <w:rPr>
          <w:rFonts w:hint="eastAsia" w:hAnsi="Times New Roman" w:cs="Times New Roman"/>
          <w:lang w:val="en-US" w:eastAsia="zh-CN"/>
        </w:rPr>
        <w:t>。</w:t>
      </w:r>
    </w:p>
    <w:p>
      <w:pPr>
        <w:spacing w:line="20" w:lineRule="exact"/>
        <w:jc w:val="center"/>
        <w:rPr>
          <w:rFonts w:ascii="黑体" w:hAnsi="黑体" w:eastAsia="黑体"/>
          <w:color w:val="auto"/>
          <w:sz w:val="32"/>
          <w:szCs w:val="32"/>
        </w:rPr>
      </w:pPr>
    </w:p>
    <w:sdt>
      <w:sdtPr>
        <w:rPr>
          <w:rFonts w:ascii="宋体" w:hAnsi="Times New Roman" w:eastAsia="宋体"/>
          <w:color w:val="auto"/>
          <w:kern w:val="0"/>
          <w:sz w:val="21"/>
          <w:szCs w:val="20"/>
        </w:rPr>
        <w:tag w:val="NEW_STAND_NAME"/>
        <w:id w:val="-772868560"/>
        <w:lock w:val="sdtLocked"/>
      </w:sdtPr>
      <w:sdtEndPr>
        <w:rPr>
          <w:rFonts w:hint="eastAsia" w:ascii="宋体" w:hAnsi="宋体" w:eastAsia="宋体" w:cs="宋体"/>
          <w:color w:val="auto"/>
          <w:kern w:val="0"/>
          <w:sz w:val="21"/>
          <w:szCs w:val="20"/>
        </w:rPr>
      </w:sdtEndPr>
      <w:sdtContent>
        <w:sdt>
          <w:sdtPr>
            <w:rPr>
              <w:color w:val="auto"/>
            </w:rPr>
            <w:tag w:val="NEW_STAND_NAME"/>
            <w:id w:val="595910757"/>
            <w:lock w:val="sdtLocked"/>
          </w:sdtPr>
          <w:sdtEndPr>
            <w:rPr>
              <w:color w:val="auto"/>
            </w:rPr>
          </w:sdtEndPr>
          <w:sdtContent>
            <w:p>
              <w:pPr>
                <w:pStyle w:val="178"/>
                <w:spacing w:before="3" w:beforeLines="1" w:after="686" w:afterLines="220"/>
                <w:jc w:val="both"/>
                <w:rPr>
                  <w:rFonts w:hint="eastAsia" w:ascii="宋体" w:hAnsi="宋体" w:eastAsia="宋体" w:cs="宋体"/>
                  <w:color w:val="auto"/>
                  <w:kern w:val="0"/>
                  <w:sz w:val="21"/>
                  <w:szCs w:val="20"/>
                </w:rPr>
              </w:pPr>
              <w:bookmarkStart w:id="27" w:name="_Toc109122028"/>
              <w:bookmarkEnd w:id="27"/>
              <w:bookmarkStart w:id="28" w:name="_Toc109137029"/>
              <w:bookmarkEnd w:id="28"/>
              <w:bookmarkStart w:id="29" w:name="_Toc109137036"/>
              <w:bookmarkEnd w:id="29"/>
              <w:bookmarkStart w:id="30" w:name="_Toc26648465"/>
              <w:bookmarkEnd w:id="30"/>
              <w:bookmarkStart w:id="31" w:name="_Toc110256575"/>
              <w:bookmarkEnd w:id="31"/>
              <w:bookmarkStart w:id="32" w:name="_Toc110256574"/>
              <w:bookmarkEnd w:id="32"/>
              <w:bookmarkStart w:id="33" w:name="_Toc108682349"/>
              <w:bookmarkEnd w:id="33"/>
              <w:bookmarkStart w:id="34" w:name="_Toc108681363"/>
              <w:bookmarkEnd w:id="34"/>
              <w:bookmarkStart w:id="35" w:name="_Toc99009914"/>
              <w:bookmarkEnd w:id="35"/>
              <w:bookmarkStart w:id="36" w:name="_Toc17233333"/>
              <w:bookmarkEnd w:id="36"/>
              <w:bookmarkStart w:id="37" w:name="_Toc26718930"/>
              <w:bookmarkEnd w:id="37"/>
              <w:bookmarkStart w:id="38" w:name="_Toc26986531"/>
              <w:bookmarkEnd w:id="38"/>
              <w:bookmarkStart w:id="39" w:name="_Toc108682350"/>
              <w:bookmarkEnd w:id="39"/>
              <w:bookmarkStart w:id="40" w:name="_Toc103352705"/>
              <w:bookmarkEnd w:id="40"/>
              <w:bookmarkStart w:id="41" w:name="_Toc109122029"/>
              <w:bookmarkEnd w:id="41"/>
              <w:bookmarkStart w:id="42" w:name="_Toc97191424"/>
              <w:bookmarkEnd w:id="42"/>
              <w:bookmarkStart w:id="43" w:name="_Toc103352696"/>
              <w:bookmarkEnd w:id="43"/>
              <w:bookmarkStart w:id="44" w:name="_Toc17233325"/>
              <w:bookmarkEnd w:id="44"/>
              <w:bookmarkStart w:id="45" w:name="_Toc108682359"/>
              <w:bookmarkEnd w:id="45"/>
              <w:bookmarkStart w:id="46" w:name="_Toc97191423"/>
              <w:bookmarkEnd w:id="46"/>
              <w:bookmarkStart w:id="47" w:name="_Toc109122035"/>
              <w:bookmarkEnd w:id="47"/>
              <w:bookmarkStart w:id="48" w:name="_Toc108681372"/>
              <w:bookmarkEnd w:id="48"/>
              <w:bookmarkStart w:id="49" w:name="_Toc99009923"/>
              <w:bookmarkEnd w:id="49"/>
              <w:bookmarkStart w:id="50" w:name="_Toc26330"/>
              <w:bookmarkEnd w:id="50"/>
              <w:bookmarkStart w:id="51" w:name="_Toc99009915"/>
              <w:bookmarkEnd w:id="51"/>
              <w:bookmarkStart w:id="52" w:name="_Toc26986530"/>
              <w:bookmarkEnd w:id="52"/>
              <w:bookmarkStart w:id="53" w:name="_Toc28713"/>
              <w:bookmarkEnd w:id="53"/>
              <w:bookmarkStart w:id="54" w:name="_Toc24884211"/>
              <w:bookmarkEnd w:id="54"/>
              <w:bookmarkStart w:id="55" w:name="_Toc109137030"/>
              <w:bookmarkEnd w:id="55"/>
              <w:bookmarkStart w:id="56" w:name="_Toc103352695"/>
              <w:bookmarkEnd w:id="56"/>
              <w:bookmarkStart w:id="57" w:name="_Toc108681362"/>
              <w:bookmarkEnd w:id="57"/>
              <w:bookmarkStart w:id="58" w:name="_Toc26718931"/>
              <w:bookmarkEnd w:id="58"/>
              <w:bookmarkStart w:id="59" w:name="_Toc24884218"/>
              <w:bookmarkEnd w:id="59"/>
              <w:bookmarkStart w:id="60" w:name="_Toc20915"/>
              <w:bookmarkEnd w:id="60"/>
              <w:bookmarkStart w:id="61" w:name="_Toc26986772"/>
              <w:bookmarkEnd w:id="61"/>
              <w:bookmarkStart w:id="62" w:name="_Toc26986771"/>
              <w:bookmarkEnd w:id="62"/>
              <w:bookmarkStart w:id="63" w:name="_Toc110256581"/>
              <w:bookmarkEnd w:id="63"/>
            </w:p>
          </w:sdtContent>
        </w:sdt>
      </w:sdtContent>
    </w:sdt>
    <w:sdt>
      <w:sdtPr>
        <w:rPr>
          <w:rFonts w:hint="eastAsia" w:ascii="黑体" w:hAnsi="黑体" w:eastAsia="黑体" w:cs="黑体"/>
          <w:sz w:val="32"/>
          <w:szCs w:val="32"/>
        </w:rPr>
        <w:tag w:val="NEW_STAND_NAME"/>
        <w:id w:val="147457517"/>
        <w:lock w:val="sdtLocked"/>
        <w:placeholder>
          <w:docPart w:val="{1a760059-36bb-4092-a7eb-04f1958b7011}"/>
        </w:placeholder>
      </w:sdtPr>
      <w:sdtEndPr>
        <w:rPr>
          <w:rFonts w:hint="eastAsia" w:ascii="黑体" w:hAnsi="黑体" w:eastAsia="黑体" w:cs="黑体"/>
          <w:sz w:val="32"/>
          <w:szCs w:val="32"/>
        </w:rPr>
      </w:sdtEndPr>
      <w:sdtContent>
        <w:p>
          <w:pPr>
            <w:bidi w:val="0"/>
            <w:jc w:val="center"/>
            <w:rPr>
              <w:rFonts w:hint="eastAsia" w:ascii="黑体" w:hAnsi="黑体" w:eastAsia="黑体" w:cs="黑体"/>
              <w:sz w:val="32"/>
              <w:szCs w:val="32"/>
            </w:rPr>
          </w:pPr>
          <w:bookmarkStart w:id="64" w:name="NEW_STAND_NAME"/>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pPr>
        </w:p>
        <w:p>
          <w:pPr>
            <w:bidi w:val="0"/>
            <w:jc w:val="center"/>
            <w:rPr>
              <w:rFonts w:hint="eastAsia" w:ascii="黑体" w:hAnsi="黑体" w:eastAsia="黑体" w:cs="黑体"/>
              <w:sz w:val="32"/>
              <w:szCs w:val="32"/>
              <w:lang w:val="en-US" w:eastAsia="zh-CN"/>
            </w:rPr>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p>
          <w:pPr>
            <w:bidi w:val="0"/>
            <w:jc w:val="center"/>
            <w:rPr>
              <w:rFonts w:hint="eastAsia" w:ascii="黑体" w:hAnsi="黑体" w:eastAsia="黑体" w:cs="黑体"/>
              <w:sz w:val="32"/>
              <w:szCs w:val="32"/>
            </w:rPr>
          </w:pPr>
          <w:r>
            <w:rPr>
              <w:rFonts w:hint="eastAsia" w:ascii="黑体" w:hAnsi="黑体" w:eastAsia="黑体" w:cs="黑体"/>
              <w:sz w:val="32"/>
              <w:szCs w:val="32"/>
              <w:lang w:val="en-US" w:eastAsia="zh-CN"/>
            </w:rPr>
            <w:t>学校集中供餐管理</w:t>
          </w:r>
          <w:r>
            <w:rPr>
              <w:rFonts w:hint="eastAsia" w:ascii="黑体" w:hAnsi="黑体" w:eastAsia="黑体" w:cs="黑体"/>
              <w:color w:val="auto"/>
              <w:sz w:val="32"/>
              <w:szCs w:val="32"/>
              <w:highlight w:val="none"/>
              <w:lang w:val="en-US" w:eastAsia="zh-CN"/>
            </w:rPr>
            <w:t>规范</w:t>
          </w:r>
        </w:p>
      </w:sdtContent>
    </w:sdt>
    <w:bookmarkEnd w:id="64"/>
    <w:p>
      <w:pPr>
        <w:pStyle w:val="2"/>
        <w:keepNext/>
        <w:keepLines/>
        <w:pageBreakBefore w:val="0"/>
        <w:widowControl w:val="0"/>
        <w:kinsoku/>
        <w:wordWrap/>
        <w:overflowPunct/>
        <w:topLinePunct w:val="0"/>
        <w:autoSpaceDE/>
        <w:autoSpaceDN/>
        <w:bidi w:val="0"/>
        <w:adjustRightInd w:val="0"/>
        <w:snapToGrid/>
        <w:spacing w:before="313" w:beforeLines="100" w:after="313" w:afterLines="100" w:line="240" w:lineRule="auto"/>
        <w:textAlignment w:val="auto"/>
        <w:rPr>
          <w:rFonts w:hint="eastAsia" w:ascii="黑体" w:hAnsi="黑体" w:eastAsia="黑体" w:cs="黑体"/>
          <w:b w:val="0"/>
          <w:bCs w:val="0"/>
          <w:sz w:val="21"/>
          <w:szCs w:val="21"/>
          <w:lang w:val="en-US" w:eastAsia="zh-CN"/>
        </w:rPr>
      </w:pPr>
      <w:bookmarkStart w:id="65" w:name="_Toc4343"/>
      <w:r>
        <w:rPr>
          <w:rFonts w:hint="eastAsia" w:ascii="黑体" w:hAnsi="黑体" w:eastAsia="黑体" w:cs="黑体"/>
          <w:b w:val="0"/>
          <w:bCs w:val="0"/>
          <w:sz w:val="21"/>
          <w:szCs w:val="21"/>
          <w:lang w:val="en-US" w:eastAsia="zh-CN"/>
        </w:rPr>
        <w:t>1 范围</w:t>
      </w:r>
      <w:bookmarkEnd w:id="65"/>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420" w:firstLineChars="20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本文件规定了学校集中供餐管理的</w:t>
      </w:r>
      <w:r>
        <w:rPr>
          <w:rFonts w:hint="eastAsia" w:ascii="宋体" w:hAnsi="宋体" w:cs="宋体"/>
          <w:color w:val="auto"/>
          <w:sz w:val="21"/>
          <w:szCs w:val="21"/>
          <w:highlight w:val="none"/>
          <w:shd w:val="clear" w:color="auto" w:fill="auto"/>
          <w:lang w:val="en-US" w:eastAsia="zh-CN"/>
        </w:rPr>
        <w:t>总体</w:t>
      </w:r>
      <w:r>
        <w:rPr>
          <w:rFonts w:hint="eastAsia" w:ascii="宋体" w:hAnsi="宋体" w:eastAsia="宋体" w:cs="宋体"/>
          <w:color w:val="auto"/>
          <w:sz w:val="21"/>
          <w:szCs w:val="21"/>
          <w:highlight w:val="none"/>
          <w:shd w:val="clear" w:color="auto" w:fill="auto"/>
          <w:lang w:val="en-US" w:eastAsia="zh-CN"/>
        </w:rPr>
        <w:t>要求、</w:t>
      </w:r>
      <w:r>
        <w:rPr>
          <w:rFonts w:hint="eastAsia" w:ascii="宋体" w:hAnsi="宋体" w:cs="宋体"/>
          <w:color w:val="auto"/>
          <w:sz w:val="21"/>
          <w:szCs w:val="21"/>
          <w:highlight w:val="none"/>
          <w:shd w:val="clear" w:color="auto" w:fill="auto"/>
          <w:lang w:val="en-US" w:eastAsia="zh-CN"/>
        </w:rPr>
        <w:t>管理要求</w:t>
      </w:r>
      <w:r>
        <w:rPr>
          <w:rFonts w:hint="eastAsia" w:ascii="宋体" w:hAnsi="宋体" w:eastAsia="宋体" w:cs="宋体"/>
          <w:color w:val="auto"/>
          <w:sz w:val="21"/>
          <w:szCs w:val="21"/>
          <w:highlight w:val="none"/>
          <w:shd w:val="clear" w:color="auto" w:fill="auto"/>
          <w:lang w:val="en-US" w:eastAsia="zh-CN"/>
        </w:rPr>
        <w:t>、</w:t>
      </w:r>
      <w:r>
        <w:rPr>
          <w:rFonts w:hint="eastAsia" w:ascii="宋体" w:hAnsi="宋体" w:cs="宋体"/>
          <w:color w:val="auto"/>
          <w:sz w:val="21"/>
          <w:szCs w:val="21"/>
          <w:highlight w:val="none"/>
          <w:shd w:val="clear" w:color="auto" w:fill="auto"/>
          <w:lang w:val="en-US" w:eastAsia="zh-CN"/>
        </w:rPr>
        <w:t>供餐过程管理、</w:t>
      </w:r>
      <w:r>
        <w:rPr>
          <w:rFonts w:hint="eastAsia" w:ascii="宋体" w:hAnsi="宋体" w:eastAsia="宋体" w:cs="宋体"/>
          <w:color w:val="auto"/>
          <w:sz w:val="21"/>
          <w:szCs w:val="21"/>
          <w:highlight w:val="none"/>
          <w:shd w:val="clear" w:color="auto" w:fill="auto"/>
          <w:lang w:val="en-US" w:eastAsia="zh-CN"/>
        </w:rPr>
        <w:t>监督</w:t>
      </w:r>
      <w:r>
        <w:rPr>
          <w:rFonts w:hint="eastAsia" w:ascii="宋体" w:hAnsi="宋体" w:cs="宋体"/>
          <w:color w:val="auto"/>
          <w:sz w:val="21"/>
          <w:szCs w:val="21"/>
          <w:highlight w:val="none"/>
          <w:shd w:val="clear" w:color="auto" w:fill="auto"/>
          <w:lang w:val="en-US" w:eastAsia="zh-CN"/>
        </w:rPr>
        <w:t>与</w:t>
      </w:r>
      <w:r>
        <w:rPr>
          <w:rFonts w:hint="eastAsia" w:ascii="宋体" w:hAnsi="宋体" w:eastAsia="宋体" w:cs="宋体"/>
          <w:color w:val="auto"/>
          <w:sz w:val="21"/>
          <w:szCs w:val="21"/>
          <w:highlight w:val="none"/>
          <w:shd w:val="clear" w:color="auto" w:fill="auto"/>
          <w:lang w:val="en-US" w:eastAsia="zh-CN"/>
        </w:rPr>
        <w:t>评价。</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420" w:firstLineChars="20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本文件适用于</w:t>
      </w:r>
      <w:bookmarkStart w:id="66" w:name="OLE_LINK59"/>
      <w:r>
        <w:rPr>
          <w:rFonts w:hint="eastAsia" w:ascii="宋体" w:hAnsi="宋体" w:eastAsia="宋体" w:cs="宋体"/>
          <w:color w:val="auto"/>
          <w:sz w:val="21"/>
          <w:szCs w:val="21"/>
          <w:highlight w:val="none"/>
          <w:shd w:val="clear" w:color="auto" w:fill="auto"/>
          <w:lang w:val="en-US" w:eastAsia="zh-CN"/>
        </w:rPr>
        <w:t>采用学校食堂和</w:t>
      </w:r>
      <w:bookmarkStart w:id="67" w:name="OLE_LINK4"/>
      <w:r>
        <w:rPr>
          <w:rFonts w:hint="eastAsia" w:ascii="宋体" w:hAnsi="宋体" w:eastAsia="宋体" w:cs="宋体"/>
          <w:color w:val="auto"/>
          <w:sz w:val="21"/>
          <w:szCs w:val="21"/>
          <w:highlight w:val="none"/>
          <w:shd w:val="clear" w:color="auto" w:fill="auto"/>
          <w:lang w:val="en-US" w:eastAsia="zh-CN"/>
        </w:rPr>
        <w:t>集体用餐配送单位</w:t>
      </w:r>
      <w:r>
        <w:rPr>
          <w:rFonts w:hint="eastAsia" w:ascii="宋体" w:hAnsi="宋体" w:cs="宋体"/>
          <w:color w:val="auto"/>
          <w:sz w:val="21"/>
          <w:szCs w:val="21"/>
          <w:highlight w:val="none"/>
          <w:shd w:val="clear" w:color="auto" w:fill="auto"/>
          <w:lang w:val="en-US" w:eastAsia="zh-CN"/>
        </w:rPr>
        <w:t>供餐</w:t>
      </w:r>
      <w:bookmarkEnd w:id="67"/>
      <w:r>
        <w:rPr>
          <w:rFonts w:hint="eastAsia" w:ascii="宋体" w:hAnsi="宋体" w:eastAsia="宋体" w:cs="宋体"/>
          <w:color w:val="auto"/>
          <w:sz w:val="21"/>
          <w:szCs w:val="21"/>
          <w:highlight w:val="none"/>
          <w:shd w:val="clear" w:color="auto" w:fill="auto"/>
          <w:lang w:val="en-US" w:eastAsia="zh-CN"/>
        </w:rPr>
        <w:t>的中、小学及幼儿园（含农村营养改善计划学校）</w:t>
      </w:r>
      <w:r>
        <w:rPr>
          <w:rFonts w:hint="eastAsia" w:ascii="宋体" w:hAnsi="宋体" w:cs="宋体"/>
          <w:color w:val="auto"/>
          <w:sz w:val="21"/>
          <w:szCs w:val="21"/>
          <w:highlight w:val="none"/>
          <w:shd w:val="clear" w:color="auto" w:fill="auto"/>
          <w:lang w:val="en-US" w:eastAsia="zh-CN"/>
        </w:rPr>
        <w:t>集中供餐</w:t>
      </w:r>
      <w:r>
        <w:rPr>
          <w:rFonts w:hint="eastAsia" w:ascii="宋体" w:hAnsi="宋体" w:eastAsia="宋体" w:cs="宋体"/>
          <w:color w:val="auto"/>
          <w:sz w:val="21"/>
          <w:szCs w:val="21"/>
          <w:highlight w:val="none"/>
          <w:shd w:val="clear" w:color="auto" w:fill="auto"/>
          <w:lang w:val="en-US" w:eastAsia="zh-CN"/>
        </w:rPr>
        <w:t>管理</w:t>
      </w:r>
      <w:bookmarkEnd w:id="66"/>
      <w:r>
        <w:rPr>
          <w:rFonts w:hint="eastAsia" w:ascii="宋体" w:hAnsi="宋体" w:eastAsia="宋体" w:cs="宋体"/>
          <w:color w:val="auto"/>
          <w:sz w:val="21"/>
          <w:szCs w:val="21"/>
          <w:highlight w:val="none"/>
          <w:shd w:val="clear" w:color="auto" w:fill="auto"/>
          <w:lang w:val="en-US" w:eastAsia="zh-CN"/>
        </w:rPr>
        <w:t>。</w:t>
      </w:r>
    </w:p>
    <w:p>
      <w:pPr>
        <w:pStyle w:val="2"/>
        <w:keepNext/>
        <w:keepLines/>
        <w:pageBreakBefore w:val="0"/>
        <w:widowControl w:val="0"/>
        <w:kinsoku/>
        <w:wordWrap/>
        <w:overflowPunct/>
        <w:topLinePunct w:val="0"/>
        <w:autoSpaceDE/>
        <w:autoSpaceDN/>
        <w:bidi w:val="0"/>
        <w:adjustRightInd w:val="0"/>
        <w:snapToGrid/>
        <w:spacing w:before="313" w:beforeLines="100" w:after="313" w:afterLines="100" w:line="240" w:lineRule="auto"/>
        <w:textAlignment w:val="auto"/>
        <w:rPr>
          <w:rFonts w:hint="eastAsia" w:ascii="黑体" w:hAnsi="黑体" w:eastAsia="黑体" w:cs="黑体"/>
          <w:b w:val="0"/>
          <w:bCs w:val="0"/>
          <w:sz w:val="21"/>
          <w:szCs w:val="21"/>
          <w:lang w:val="en-US" w:eastAsia="zh-CN"/>
        </w:rPr>
      </w:pPr>
      <w:bookmarkStart w:id="68" w:name="_Toc9081"/>
      <w:r>
        <w:rPr>
          <w:rFonts w:hint="eastAsia" w:ascii="黑体" w:hAnsi="黑体" w:eastAsia="黑体" w:cs="黑体"/>
          <w:b w:val="0"/>
          <w:bCs w:val="0"/>
          <w:sz w:val="21"/>
          <w:szCs w:val="21"/>
          <w:lang w:val="en-US" w:eastAsia="zh-CN"/>
        </w:rPr>
        <w:t>2 规范性引用文件</w:t>
      </w:r>
      <w:bookmarkEnd w:id="68"/>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下列文件中的内容通过文中的规范性引用而构成本文件必不可少的条款。其中，注日期的引用文件，仅对该日期对应的版本适用于本文件；不注日期的引用文件，其最近版本（包括所有的修改单）适用于本文件。</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2760 食品安全国家标准 食品添加剂使用标准</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14930.1 食品安全国家标准 洗涤剂</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14930.2 食品安全国家标准 消毒剂</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14934 食品安全国家标准 消毒餐（饮）具</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31654  食品安全国家标准  餐饮服务通用卫生规范</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default"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DB5201/T 135 食用农产品批发市场快速检测实验室建设与管理规范</w:t>
      </w:r>
    </w:p>
    <w:p>
      <w:pPr>
        <w:pStyle w:val="2"/>
        <w:keepNext/>
        <w:keepLines/>
        <w:pageBreakBefore w:val="0"/>
        <w:widowControl w:val="0"/>
        <w:kinsoku/>
        <w:wordWrap/>
        <w:overflowPunct/>
        <w:topLinePunct w:val="0"/>
        <w:autoSpaceDE/>
        <w:autoSpaceDN/>
        <w:bidi w:val="0"/>
        <w:adjustRightInd w:val="0"/>
        <w:snapToGrid/>
        <w:spacing w:before="313" w:beforeLines="100" w:after="313" w:afterLines="100" w:line="240" w:lineRule="auto"/>
        <w:textAlignment w:val="auto"/>
        <w:rPr>
          <w:rFonts w:hint="eastAsia" w:ascii="黑体" w:hAnsi="黑体" w:eastAsia="黑体" w:cs="黑体"/>
          <w:b w:val="0"/>
          <w:bCs w:val="0"/>
          <w:color w:val="auto"/>
          <w:sz w:val="21"/>
          <w:szCs w:val="21"/>
          <w:lang w:val="en-US" w:eastAsia="zh-CN"/>
        </w:rPr>
      </w:pPr>
      <w:bookmarkStart w:id="69" w:name="_Toc5829"/>
      <w:r>
        <w:rPr>
          <w:rFonts w:hint="eastAsia" w:ascii="黑体" w:hAnsi="黑体" w:eastAsia="黑体" w:cs="黑体"/>
          <w:b w:val="0"/>
          <w:bCs w:val="0"/>
          <w:color w:val="auto"/>
          <w:sz w:val="21"/>
          <w:szCs w:val="21"/>
          <w:lang w:val="en-US" w:eastAsia="zh-CN"/>
        </w:rPr>
        <w:t>3 术语和定义</w:t>
      </w:r>
      <w:bookmarkEnd w:id="69"/>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31654界定的</w:t>
      </w:r>
      <w:r>
        <w:rPr>
          <w:rFonts w:hint="eastAsia" w:ascii="宋体" w:hAnsi="宋体" w:cs="宋体"/>
          <w:color w:val="auto"/>
          <w:sz w:val="21"/>
          <w:szCs w:val="21"/>
          <w:highlight w:val="none"/>
          <w:lang w:val="en-US" w:eastAsia="zh-CN"/>
        </w:rPr>
        <w:t>以及</w:t>
      </w:r>
      <w:r>
        <w:rPr>
          <w:rFonts w:hint="eastAsia" w:ascii="宋体" w:hAnsi="宋体" w:eastAsia="宋体" w:cs="宋体"/>
          <w:color w:val="auto"/>
          <w:sz w:val="21"/>
          <w:szCs w:val="21"/>
          <w:highlight w:val="none"/>
          <w:lang w:val="en-US" w:eastAsia="zh-CN"/>
        </w:rPr>
        <w:t>下列术语和定义适用于本文件。</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黑体" w:hAnsi="黑体" w:eastAsia="黑体" w:cs="黑体"/>
          <w:color w:val="auto"/>
          <w:sz w:val="21"/>
          <w:szCs w:val="21"/>
          <w:highlight w:val="none"/>
          <w:shd w:val="clear" w:color="auto" w:fill="auto"/>
          <w:lang w:val="en-US" w:eastAsia="zh-CN"/>
        </w:rPr>
      </w:pPr>
      <w:r>
        <w:rPr>
          <w:rFonts w:hint="eastAsia" w:ascii="黑体" w:hAnsi="黑体" w:eastAsia="黑体" w:cs="黑体"/>
          <w:color w:val="auto"/>
          <w:sz w:val="21"/>
          <w:szCs w:val="21"/>
          <w:highlight w:val="none"/>
          <w:shd w:val="clear" w:color="auto" w:fill="auto"/>
          <w:lang w:val="en-US" w:eastAsia="zh-CN"/>
        </w:rPr>
        <w:t>3.1专间</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为防止食品受到污染，以分隔方式设置的清洁程度要求较高的加工直接入口食品的专用操作间。</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黑体" w:hAnsi="黑体" w:eastAsia="黑体" w:cs="黑体"/>
          <w:color w:val="auto"/>
          <w:sz w:val="21"/>
          <w:szCs w:val="21"/>
          <w:highlight w:val="none"/>
          <w:shd w:val="clear" w:color="auto" w:fill="auto"/>
          <w:lang w:val="en-US" w:eastAsia="zh-CN"/>
        </w:rPr>
      </w:pPr>
      <w:bookmarkStart w:id="70" w:name="OLE_LINK19"/>
      <w:r>
        <w:rPr>
          <w:rFonts w:hint="eastAsia" w:ascii="黑体" w:hAnsi="黑体" w:eastAsia="黑体" w:cs="黑体"/>
          <w:color w:val="auto"/>
          <w:sz w:val="21"/>
          <w:szCs w:val="21"/>
          <w:highlight w:val="none"/>
          <w:shd w:val="clear" w:color="auto" w:fill="auto"/>
          <w:lang w:val="en-US" w:eastAsia="zh-CN"/>
        </w:rPr>
        <w:t>3.2专用操作区</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为防止食品受到污染，以分离方式设置的清洁程度要求较高的加工直接入口食品的专用操作区域。</w:t>
      </w:r>
    </w:p>
    <w:bookmarkEnd w:id="70"/>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黑体" w:hAnsi="黑体" w:eastAsia="黑体" w:cs="黑体"/>
          <w:color w:val="auto"/>
          <w:sz w:val="21"/>
          <w:szCs w:val="21"/>
          <w:highlight w:val="none"/>
          <w:shd w:val="clear" w:color="auto" w:fill="auto"/>
          <w:lang w:val="en-US" w:eastAsia="zh-CN"/>
        </w:rPr>
      </w:pPr>
      <w:r>
        <w:rPr>
          <w:rFonts w:hint="eastAsia" w:ascii="黑体" w:hAnsi="黑体" w:eastAsia="黑体" w:cs="黑体"/>
          <w:color w:val="auto"/>
          <w:sz w:val="21"/>
          <w:szCs w:val="21"/>
          <w:highlight w:val="none"/>
          <w:shd w:val="clear" w:color="auto" w:fill="auto"/>
          <w:lang w:val="en-US" w:eastAsia="zh-CN"/>
        </w:rPr>
        <w:t>3.3中心温度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块状食品或有容器存放的液态食品的中心部位的温度。</w:t>
      </w:r>
    </w:p>
    <w:p>
      <w:pPr>
        <w:pStyle w:val="2"/>
        <w:keepNext/>
        <w:keepLines/>
        <w:pageBreakBefore w:val="0"/>
        <w:widowControl w:val="0"/>
        <w:kinsoku/>
        <w:wordWrap/>
        <w:overflowPunct/>
        <w:topLinePunct w:val="0"/>
        <w:autoSpaceDE/>
        <w:autoSpaceDN/>
        <w:bidi w:val="0"/>
        <w:adjustRightInd w:val="0"/>
        <w:snapToGrid/>
        <w:spacing w:before="313" w:beforeLines="100" w:after="313" w:afterLines="100" w:line="240" w:lineRule="auto"/>
        <w:textAlignment w:val="auto"/>
        <w:rPr>
          <w:rFonts w:hint="eastAsia" w:ascii="黑体" w:hAnsi="黑体" w:eastAsia="黑体" w:cs="黑体"/>
          <w:b w:val="0"/>
          <w:bCs w:val="0"/>
          <w:color w:val="auto"/>
          <w:sz w:val="21"/>
          <w:szCs w:val="21"/>
          <w:highlight w:val="none"/>
          <w:lang w:val="en-US" w:eastAsia="zh-CN"/>
        </w:rPr>
      </w:pPr>
      <w:bookmarkStart w:id="71" w:name="_Toc4503"/>
      <w:r>
        <w:rPr>
          <w:rFonts w:hint="eastAsia" w:ascii="黑体" w:hAnsi="黑体" w:eastAsia="黑体" w:cs="黑体"/>
          <w:b w:val="0"/>
          <w:bCs w:val="0"/>
          <w:color w:val="auto"/>
          <w:sz w:val="21"/>
          <w:szCs w:val="21"/>
          <w:highlight w:val="none"/>
          <w:lang w:val="en-US" w:eastAsia="zh-CN"/>
        </w:rPr>
        <w:t>4 总体要求</w:t>
      </w:r>
      <w:bookmarkEnd w:id="71"/>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1"/>
          <w:szCs w:val="21"/>
          <w:highlight w:val="none"/>
          <w:shd w:val="clear" w:color="auto" w:fill="auto"/>
          <w:lang w:eastAsia="zh-CN"/>
        </w:rPr>
      </w:pPr>
      <w:r>
        <w:rPr>
          <w:rFonts w:hint="eastAsia" w:ascii="宋体" w:hAnsi="宋体" w:eastAsia="宋体" w:cs="宋体"/>
          <w:color w:val="auto"/>
          <w:sz w:val="21"/>
          <w:szCs w:val="21"/>
          <w:highlight w:val="none"/>
          <w:shd w:val="clear" w:color="auto" w:fill="auto"/>
          <w:lang w:val="en-US" w:eastAsia="zh-CN"/>
        </w:rPr>
        <w:t>4.1</w:t>
      </w:r>
      <w:r>
        <w:rPr>
          <w:rFonts w:hint="eastAsia" w:ascii="宋体" w:hAnsi="宋体" w:cs="宋体"/>
          <w:color w:val="auto"/>
          <w:sz w:val="21"/>
          <w:szCs w:val="21"/>
          <w:highlight w:val="none"/>
          <w:shd w:val="clear" w:color="auto" w:fill="auto"/>
          <w:lang w:val="en-US" w:eastAsia="zh-CN"/>
        </w:rPr>
        <w:t xml:space="preserve"> </w:t>
      </w:r>
      <w:r>
        <w:rPr>
          <w:rFonts w:hint="eastAsia" w:ascii="宋体" w:hAnsi="宋体" w:eastAsia="宋体" w:cs="宋体"/>
          <w:color w:val="auto"/>
          <w:sz w:val="21"/>
          <w:szCs w:val="21"/>
          <w:highlight w:val="none"/>
          <w:shd w:val="clear" w:color="auto" w:fill="auto"/>
          <w:lang w:eastAsia="zh-CN"/>
        </w:rPr>
        <w:t>学校</w:t>
      </w:r>
      <w:r>
        <w:rPr>
          <w:rFonts w:hint="eastAsia" w:ascii="宋体" w:hAnsi="宋体" w:eastAsia="宋体" w:cs="宋体"/>
          <w:color w:val="auto"/>
          <w:sz w:val="21"/>
          <w:szCs w:val="21"/>
          <w:highlight w:val="none"/>
          <w:shd w:val="clear" w:color="auto" w:fill="auto"/>
        </w:rPr>
        <w:t>应严格落实学校食品安全校（园）长负责制，落实食品安全主体责任</w:t>
      </w:r>
      <w:r>
        <w:rPr>
          <w:rFonts w:hint="eastAsia" w:ascii="宋体" w:hAnsi="宋体" w:cs="宋体"/>
          <w:color w:val="auto"/>
          <w:sz w:val="21"/>
          <w:szCs w:val="21"/>
          <w:highlight w:val="none"/>
          <w:shd w:val="clear" w:color="auto" w:fill="auto"/>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shd w:val="clear" w:color="auto" w:fill="auto"/>
          <w:lang w:val="en-US" w:eastAsia="zh-CN"/>
        </w:rPr>
        <w:t xml:space="preserve">4.2 </w:t>
      </w:r>
      <w:r>
        <w:rPr>
          <w:rFonts w:hint="eastAsia" w:ascii="宋体" w:hAnsi="宋体" w:cs="宋体"/>
          <w:color w:val="auto"/>
          <w:sz w:val="21"/>
          <w:szCs w:val="21"/>
          <w:highlight w:val="none"/>
          <w:shd w:val="clear" w:color="auto" w:fill="auto"/>
          <w:lang w:val="en-US" w:eastAsia="zh-CN"/>
        </w:rPr>
        <w:t>应</w:t>
      </w:r>
      <w:r>
        <w:rPr>
          <w:rFonts w:hint="eastAsia" w:ascii="宋体" w:hAnsi="宋体" w:eastAsia="宋体" w:cs="宋体"/>
          <w:color w:val="auto"/>
          <w:sz w:val="21"/>
          <w:szCs w:val="21"/>
          <w:highlight w:val="none"/>
          <w:shd w:val="clear" w:color="auto" w:fill="auto"/>
          <w:lang w:eastAsia="zh-CN"/>
        </w:rPr>
        <w:t>与</w:t>
      </w:r>
      <w:r>
        <w:rPr>
          <w:rFonts w:hint="eastAsia" w:ascii="宋体" w:hAnsi="宋体" w:cs="宋体"/>
          <w:color w:val="auto"/>
          <w:sz w:val="21"/>
          <w:szCs w:val="21"/>
          <w:highlight w:val="none"/>
          <w:shd w:val="clear" w:color="auto" w:fill="auto"/>
          <w:lang w:val="en-US" w:eastAsia="zh-CN"/>
        </w:rPr>
        <w:t>食材配送单位、</w:t>
      </w:r>
      <w:r>
        <w:rPr>
          <w:rFonts w:hint="eastAsia" w:ascii="宋体" w:hAnsi="宋体" w:cs="宋体"/>
          <w:color w:val="auto"/>
          <w:sz w:val="21"/>
          <w:szCs w:val="21"/>
          <w:highlight w:val="none"/>
          <w:shd w:val="clear" w:color="auto" w:fill="auto"/>
          <w:lang w:eastAsia="zh-CN"/>
        </w:rPr>
        <w:t>委托经营企业</w:t>
      </w:r>
      <w:r>
        <w:rPr>
          <w:rFonts w:hint="eastAsia" w:ascii="宋体" w:hAnsi="宋体" w:eastAsia="宋体" w:cs="宋体"/>
          <w:color w:val="auto"/>
          <w:sz w:val="21"/>
          <w:szCs w:val="21"/>
          <w:highlight w:val="none"/>
          <w:shd w:val="clear" w:color="auto" w:fill="auto"/>
          <w:lang w:val="en-US" w:eastAsia="zh-CN"/>
        </w:rPr>
        <w:t>和</w:t>
      </w:r>
      <w:bookmarkStart w:id="72" w:name="OLE_LINK1"/>
      <w:r>
        <w:rPr>
          <w:rFonts w:hint="eastAsia" w:ascii="宋体" w:hAnsi="宋体" w:cs="宋体"/>
          <w:color w:val="auto"/>
          <w:sz w:val="21"/>
          <w:szCs w:val="21"/>
          <w:highlight w:val="none"/>
          <w:shd w:val="clear" w:color="auto" w:fill="auto"/>
          <w:lang w:val="en-US" w:eastAsia="zh-CN"/>
        </w:rPr>
        <w:t>集体用餐配送单位</w:t>
      </w:r>
      <w:bookmarkEnd w:id="72"/>
      <w:r>
        <w:rPr>
          <w:rFonts w:hint="eastAsia" w:ascii="宋体" w:hAnsi="宋体" w:eastAsia="宋体" w:cs="宋体"/>
          <w:color w:val="auto"/>
          <w:sz w:val="21"/>
          <w:szCs w:val="21"/>
          <w:highlight w:val="none"/>
          <w:shd w:val="clear" w:color="auto" w:fill="auto"/>
          <w:lang w:val="en-US" w:eastAsia="zh-CN"/>
        </w:rPr>
        <w:t>签订</w:t>
      </w:r>
      <w:r>
        <w:rPr>
          <w:rFonts w:hint="eastAsia" w:ascii="宋体" w:hAnsi="宋体" w:cs="宋体"/>
          <w:color w:val="auto"/>
          <w:sz w:val="21"/>
          <w:szCs w:val="21"/>
          <w:highlight w:val="none"/>
          <w:shd w:val="clear" w:color="auto" w:fill="auto"/>
          <w:lang w:val="en-US" w:eastAsia="zh-CN"/>
        </w:rPr>
        <w:t>供货/供餐协议</w:t>
      </w:r>
      <w:r>
        <w:rPr>
          <w:rFonts w:hint="eastAsia" w:ascii="宋体" w:hAnsi="宋体" w:eastAsia="宋体" w:cs="宋体"/>
          <w:color w:val="auto"/>
          <w:sz w:val="21"/>
          <w:szCs w:val="21"/>
          <w:highlight w:val="none"/>
          <w:shd w:val="clear" w:color="auto" w:fill="auto"/>
          <w:lang w:val="en-US" w:eastAsia="zh-CN"/>
        </w:rPr>
        <w:t>，明确双方权利和义务。</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 xml:space="preserve">4.3 </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建立</w:t>
      </w:r>
      <w:r>
        <w:rPr>
          <w:rFonts w:hint="eastAsia" w:ascii="宋体" w:hAnsi="宋体" w:cs="宋体"/>
          <w:color w:val="auto"/>
          <w:sz w:val="21"/>
          <w:szCs w:val="21"/>
          <w:highlight w:val="none"/>
          <w:shd w:val="clear" w:color="auto" w:fill="auto"/>
          <w:lang w:val="en-US" w:eastAsia="zh-CN"/>
        </w:rPr>
        <w:t>食材配送单位、</w:t>
      </w:r>
      <w:r>
        <w:rPr>
          <w:rFonts w:hint="eastAsia" w:ascii="宋体" w:hAnsi="宋体" w:cs="宋体"/>
          <w:color w:val="auto"/>
          <w:sz w:val="21"/>
          <w:szCs w:val="21"/>
          <w:highlight w:val="none"/>
          <w:shd w:val="clear" w:color="auto" w:fill="auto"/>
          <w:lang w:eastAsia="zh-CN"/>
        </w:rPr>
        <w:t>委托经营企业</w:t>
      </w:r>
      <w:r>
        <w:rPr>
          <w:rFonts w:hint="eastAsia" w:ascii="宋体" w:hAnsi="宋体" w:eastAsia="宋体" w:cs="宋体"/>
          <w:color w:val="auto"/>
          <w:sz w:val="21"/>
          <w:szCs w:val="21"/>
          <w:highlight w:val="none"/>
          <w:shd w:val="clear" w:color="auto" w:fill="auto"/>
          <w:lang w:val="en-US" w:eastAsia="zh-CN"/>
        </w:rPr>
        <w:t>和</w:t>
      </w:r>
      <w:r>
        <w:rPr>
          <w:rFonts w:hint="eastAsia" w:ascii="宋体" w:hAnsi="宋体" w:cs="宋体"/>
          <w:color w:val="auto"/>
          <w:sz w:val="21"/>
          <w:szCs w:val="21"/>
          <w:highlight w:val="none"/>
          <w:shd w:val="clear" w:color="auto" w:fill="auto"/>
          <w:lang w:val="en-US" w:eastAsia="zh-CN"/>
        </w:rPr>
        <w:t>集体用餐配送单位</w:t>
      </w:r>
      <w:r>
        <w:rPr>
          <w:rFonts w:hint="eastAsia" w:ascii="宋体" w:hAnsi="宋体" w:eastAsia="宋体" w:cs="宋体"/>
          <w:color w:val="auto"/>
          <w:sz w:val="21"/>
          <w:szCs w:val="21"/>
          <w:highlight w:val="none"/>
          <w:lang w:val="en-US" w:eastAsia="zh-CN"/>
        </w:rPr>
        <w:t>的准入和退出评估机制，对存在严重食品安全隐患、发生重大食品安全事故、承诺事项未履行等情形的，及时终止合同。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4.</w:t>
      </w:r>
      <w:r>
        <w:rPr>
          <w:rFonts w:hint="eastAsia" w:ascii="宋体" w:hAnsi="宋体" w:cs="宋体"/>
          <w:color w:val="auto"/>
          <w:sz w:val="21"/>
          <w:szCs w:val="21"/>
          <w:highlight w:val="none"/>
          <w:shd w:val="clear" w:color="auto" w:fill="auto"/>
          <w:lang w:val="en-US" w:eastAsia="zh-CN"/>
        </w:rPr>
        <w:t>4</w:t>
      </w:r>
      <w:r>
        <w:rPr>
          <w:rFonts w:hint="eastAsia" w:ascii="宋体" w:hAnsi="宋体" w:eastAsia="宋体" w:cs="宋体"/>
          <w:color w:val="auto"/>
          <w:sz w:val="21"/>
          <w:szCs w:val="21"/>
          <w:highlight w:val="none"/>
          <w:shd w:val="clear" w:color="auto" w:fill="auto"/>
          <w:lang w:val="en-US" w:eastAsia="zh-CN"/>
        </w:rPr>
        <w:t xml:space="preserve"> 餐饮服务活动</w:t>
      </w:r>
      <w:r>
        <w:rPr>
          <w:rFonts w:hint="eastAsia" w:ascii="宋体" w:hAnsi="宋体" w:cs="宋体"/>
          <w:color w:val="auto"/>
          <w:sz w:val="21"/>
          <w:szCs w:val="21"/>
          <w:highlight w:val="none"/>
          <w:shd w:val="clear" w:color="auto" w:fill="auto"/>
          <w:lang w:val="en-US" w:eastAsia="zh-CN"/>
        </w:rPr>
        <w:t>要求参见</w:t>
      </w:r>
      <w:r>
        <w:rPr>
          <w:rFonts w:hint="eastAsia" w:ascii="宋体" w:hAnsi="宋体" w:eastAsia="宋体" w:cs="宋体"/>
          <w:color w:val="auto"/>
          <w:sz w:val="21"/>
          <w:szCs w:val="21"/>
          <w:highlight w:val="none"/>
          <w:shd w:val="clear" w:color="auto" w:fill="auto"/>
          <w:lang w:val="en-US" w:eastAsia="zh-CN"/>
        </w:rPr>
        <w:t>《餐饮服务食品安全操作规范》</w:t>
      </w:r>
      <w:r>
        <w:rPr>
          <w:rFonts w:hint="eastAsia" w:ascii="宋体" w:hAnsi="宋体" w:cs="宋体"/>
          <w:color w:val="auto"/>
          <w:sz w:val="21"/>
          <w:szCs w:val="21"/>
          <w:highlight w:val="none"/>
          <w:shd w:val="clear" w:color="auto" w:fill="auto"/>
          <w:lang w:val="en-US" w:eastAsia="zh-CN"/>
        </w:rPr>
        <w:t>并符合GB 31654规范</w:t>
      </w:r>
      <w:r>
        <w:rPr>
          <w:rFonts w:hint="eastAsia" w:ascii="宋体" w:hAnsi="宋体" w:eastAsia="宋体" w:cs="宋体"/>
          <w:color w:val="auto"/>
          <w:sz w:val="21"/>
          <w:szCs w:val="21"/>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lang w:val="en-US" w:eastAsia="zh-CN"/>
        </w:rPr>
        <w:t>4.5</w:t>
      </w:r>
      <w:r>
        <w:rPr>
          <w:rFonts w:hint="eastAsia" w:ascii="宋体" w:hAnsi="宋体" w:eastAsia="宋体" w:cs="宋体"/>
          <w:color w:val="auto"/>
          <w:sz w:val="21"/>
          <w:szCs w:val="21"/>
          <w:highlight w:val="none"/>
          <w:lang w:val="en-US" w:eastAsia="zh-CN"/>
        </w:rPr>
        <w:t>人员、场地及设施设备</w:t>
      </w:r>
      <w:r>
        <w:rPr>
          <w:rFonts w:hint="eastAsia" w:ascii="宋体" w:hAnsi="宋体" w:eastAsia="宋体" w:cs="宋体"/>
          <w:color w:val="auto"/>
          <w:sz w:val="21"/>
          <w:szCs w:val="21"/>
          <w:highlight w:val="none"/>
          <w:shd w:val="clear" w:color="auto" w:fill="auto"/>
          <w:lang w:val="en-US" w:eastAsia="zh-CN"/>
        </w:rPr>
        <w:t>等</w:t>
      </w:r>
      <w:r>
        <w:rPr>
          <w:rFonts w:hint="eastAsia" w:ascii="宋体" w:hAnsi="宋体" w:cs="宋体"/>
          <w:color w:val="auto"/>
          <w:sz w:val="21"/>
          <w:szCs w:val="21"/>
          <w:highlight w:val="none"/>
          <w:shd w:val="clear" w:color="auto" w:fill="auto"/>
          <w:lang w:val="en-US" w:eastAsia="zh-CN"/>
        </w:rPr>
        <w:t>应与供餐数量相匹配。宜</w:t>
      </w:r>
      <w:r>
        <w:rPr>
          <w:rFonts w:hint="eastAsia" w:ascii="宋体" w:hAnsi="宋体" w:eastAsia="宋体" w:cs="宋体"/>
          <w:color w:val="auto"/>
          <w:sz w:val="21"/>
          <w:szCs w:val="21"/>
          <w:highlight w:val="none"/>
          <w:shd w:val="clear" w:color="auto" w:fill="auto"/>
          <w:lang w:val="en-US" w:eastAsia="zh-CN"/>
        </w:rPr>
        <w:t>购买与供餐数量相匹配的食品安全责任保险。</w:t>
      </w:r>
      <w:r>
        <w:rPr>
          <w:rFonts w:hint="eastAsia" w:ascii="宋体" w:hAnsi="宋体" w:cs="宋体"/>
          <w:color w:val="auto"/>
          <w:sz w:val="21"/>
          <w:szCs w:val="21"/>
          <w:highlight w:val="none"/>
          <w:shd w:val="clear" w:color="auto" w:fill="auto"/>
          <w:lang w:val="en-US" w:eastAsia="zh-CN"/>
        </w:rPr>
        <w:t>宜</w:t>
      </w:r>
      <w:r>
        <w:rPr>
          <w:rFonts w:hint="eastAsia" w:ascii="宋体" w:hAnsi="宋体" w:eastAsia="宋体" w:cs="宋体"/>
          <w:color w:val="auto"/>
          <w:sz w:val="21"/>
          <w:szCs w:val="21"/>
          <w:highlight w:val="none"/>
          <w:shd w:val="clear" w:color="auto" w:fill="auto"/>
          <w:lang w:val="en-US" w:eastAsia="zh-CN"/>
        </w:rPr>
        <w:t>采用先进的生产技术和管理模式规范生产和控制食品安全风险，建立ISO22000或HACCP管理体系。</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4.</w:t>
      </w:r>
      <w:r>
        <w:rPr>
          <w:rFonts w:hint="eastAsia" w:ascii="宋体" w:hAnsi="宋体" w:cs="宋体"/>
          <w:color w:val="auto"/>
          <w:sz w:val="21"/>
          <w:szCs w:val="21"/>
          <w:highlight w:val="none"/>
          <w:shd w:val="clear" w:color="auto" w:fill="auto"/>
          <w:lang w:val="en-US" w:eastAsia="zh-CN"/>
        </w:rPr>
        <w:t>6</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cs="宋体"/>
          <w:color w:val="auto"/>
          <w:sz w:val="21"/>
          <w:szCs w:val="21"/>
          <w:highlight w:val="none"/>
          <w:shd w:val="clear" w:color="auto" w:fill="auto"/>
          <w:lang w:val="en-US" w:eastAsia="zh-CN"/>
        </w:rPr>
        <w:t>学校食堂和集体用餐配送单位</w:t>
      </w:r>
      <w:r>
        <w:rPr>
          <w:rFonts w:hint="eastAsia" w:ascii="宋体" w:hAnsi="宋体" w:eastAsia="宋体" w:cs="宋体"/>
          <w:color w:val="auto"/>
          <w:sz w:val="21"/>
          <w:szCs w:val="21"/>
          <w:highlight w:val="none"/>
          <w:shd w:val="clear" w:color="auto" w:fill="auto"/>
          <w:lang w:val="en-US" w:eastAsia="zh-CN"/>
        </w:rPr>
        <w:t>应科学制定营养菜谱，注重菜品搭配，平衡膳食结构，保障学生成长发育的营养需求。</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shd w:val="clear" w:color="auto" w:fill="auto"/>
          <w:lang w:val="en-US" w:eastAsia="zh-CN"/>
        </w:rPr>
        <w:t>4.</w:t>
      </w:r>
      <w:r>
        <w:rPr>
          <w:rFonts w:hint="eastAsia" w:ascii="宋体" w:hAnsi="宋体" w:cs="宋体"/>
          <w:color w:val="auto"/>
          <w:sz w:val="21"/>
          <w:szCs w:val="21"/>
          <w:highlight w:val="none"/>
          <w:shd w:val="clear" w:color="auto" w:fill="auto"/>
          <w:lang w:val="en-US" w:eastAsia="zh-CN"/>
        </w:rPr>
        <w:t>7</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eastAsia="宋体" w:cs="宋体"/>
          <w:color w:val="auto"/>
          <w:sz w:val="21"/>
          <w:szCs w:val="21"/>
          <w:highlight w:val="none"/>
          <w:lang w:val="en-US" w:eastAsia="zh-CN"/>
        </w:rPr>
        <w:t>每餐应有学校相关负责人与学生共同用餐，并做好陪餐记录。支持、配合各级领导及政府部门自费陪餐。鼓励建立家长陪餐制度，邀请家长代表进校陪餐。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 xml:space="preserve">4.8 </w:t>
      </w:r>
      <w:bookmarkStart w:id="73" w:name="OLE_LINK3"/>
      <w:r>
        <w:rPr>
          <w:rFonts w:hint="eastAsia" w:ascii="宋体" w:hAnsi="宋体" w:cs="宋体"/>
          <w:color w:val="auto"/>
          <w:sz w:val="21"/>
          <w:szCs w:val="21"/>
          <w:highlight w:val="none"/>
          <w:shd w:val="clear" w:color="auto" w:fill="auto"/>
          <w:lang w:val="en-US" w:eastAsia="zh-CN"/>
        </w:rPr>
        <w:t>学校食堂、食材配送单位、</w:t>
      </w:r>
      <w:r>
        <w:rPr>
          <w:rFonts w:hint="eastAsia" w:ascii="宋体" w:hAnsi="宋体" w:cs="宋体"/>
          <w:color w:val="auto"/>
          <w:sz w:val="21"/>
          <w:szCs w:val="21"/>
          <w:highlight w:val="none"/>
          <w:shd w:val="clear" w:color="auto" w:fill="auto"/>
          <w:lang w:eastAsia="zh-CN"/>
        </w:rPr>
        <w:t>委托经营企业</w:t>
      </w:r>
      <w:r>
        <w:rPr>
          <w:rFonts w:hint="eastAsia" w:ascii="宋体" w:hAnsi="宋体" w:eastAsia="宋体" w:cs="宋体"/>
          <w:color w:val="auto"/>
          <w:sz w:val="21"/>
          <w:szCs w:val="21"/>
          <w:highlight w:val="none"/>
          <w:shd w:val="clear" w:color="auto" w:fill="auto"/>
          <w:lang w:val="en-US" w:eastAsia="zh-CN"/>
        </w:rPr>
        <w:t>和</w:t>
      </w:r>
      <w:r>
        <w:rPr>
          <w:rFonts w:hint="eastAsia" w:ascii="宋体" w:hAnsi="宋体" w:cs="宋体"/>
          <w:color w:val="auto"/>
          <w:sz w:val="21"/>
          <w:szCs w:val="21"/>
          <w:highlight w:val="none"/>
          <w:shd w:val="clear" w:color="auto" w:fill="auto"/>
          <w:lang w:val="en-US" w:eastAsia="zh-CN"/>
        </w:rPr>
        <w:t>集体用餐配送单位</w:t>
      </w:r>
      <w:bookmarkEnd w:id="73"/>
      <w:r>
        <w:rPr>
          <w:rFonts w:hint="eastAsia" w:ascii="宋体" w:hAnsi="宋体" w:cs="宋体"/>
          <w:color w:val="auto"/>
          <w:sz w:val="21"/>
          <w:szCs w:val="21"/>
          <w:highlight w:val="none"/>
          <w:shd w:val="clear" w:color="auto" w:fill="auto"/>
          <w:lang w:val="en-US" w:eastAsia="zh-CN"/>
        </w:rPr>
        <w:t>应具</w:t>
      </w:r>
      <w:r>
        <w:rPr>
          <w:rFonts w:hint="eastAsia" w:ascii="宋体" w:hAnsi="宋体" w:eastAsia="宋体" w:cs="宋体"/>
          <w:color w:val="auto"/>
          <w:sz w:val="21"/>
          <w:szCs w:val="21"/>
          <w:highlight w:val="none"/>
          <w:shd w:val="clear" w:color="auto" w:fill="auto"/>
          <w:lang w:val="en-US" w:eastAsia="zh-CN"/>
        </w:rPr>
        <w:t>有营业执照、食品经营许可证</w:t>
      </w:r>
      <w:r>
        <w:rPr>
          <w:rFonts w:hint="eastAsia" w:ascii="宋体" w:hAnsi="宋体" w:cs="宋体"/>
          <w:color w:val="auto"/>
          <w:sz w:val="21"/>
          <w:szCs w:val="21"/>
          <w:highlight w:val="none"/>
          <w:shd w:val="clear" w:color="auto" w:fill="auto"/>
          <w:lang w:val="en-US" w:eastAsia="zh-CN"/>
        </w:rPr>
        <w:t>等法规要求的资质，按附录A执行。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4.</w:t>
      </w:r>
      <w:r>
        <w:rPr>
          <w:rFonts w:hint="eastAsia" w:ascii="宋体" w:hAnsi="宋体" w:cs="宋体"/>
          <w:color w:val="auto"/>
          <w:sz w:val="21"/>
          <w:szCs w:val="21"/>
          <w:highlight w:val="none"/>
          <w:shd w:val="clear" w:color="auto" w:fill="auto"/>
          <w:lang w:val="en-US" w:eastAsia="zh-CN"/>
        </w:rPr>
        <w:t>9</w:t>
      </w:r>
      <w:r>
        <w:rPr>
          <w:rFonts w:hint="eastAsia" w:ascii="宋体" w:hAnsi="宋体" w:eastAsia="宋体" w:cs="宋体"/>
          <w:color w:val="auto"/>
          <w:sz w:val="21"/>
          <w:szCs w:val="21"/>
          <w:highlight w:val="none"/>
          <w:shd w:val="clear" w:color="auto" w:fill="auto"/>
          <w:lang w:val="en-US" w:eastAsia="zh-CN"/>
        </w:rPr>
        <w:t xml:space="preserve"> 自办自管学校食堂应坚持公益性原则，不以营利为目的。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4.</w:t>
      </w:r>
      <w:r>
        <w:rPr>
          <w:rFonts w:hint="eastAsia" w:ascii="宋体" w:hAnsi="宋体" w:cs="宋体"/>
          <w:color w:val="auto"/>
          <w:sz w:val="21"/>
          <w:szCs w:val="21"/>
          <w:highlight w:val="none"/>
          <w:shd w:val="clear" w:color="auto" w:fill="auto"/>
          <w:lang w:val="en-US" w:eastAsia="zh-CN"/>
        </w:rPr>
        <w:t>10</w:t>
      </w:r>
      <w:r>
        <w:rPr>
          <w:rFonts w:hint="eastAsia" w:ascii="宋体" w:hAnsi="宋体" w:eastAsia="宋体" w:cs="宋体"/>
          <w:color w:val="auto"/>
          <w:sz w:val="21"/>
          <w:szCs w:val="21"/>
          <w:highlight w:val="none"/>
          <w:shd w:val="clear" w:color="auto" w:fill="auto"/>
          <w:lang w:val="en-US" w:eastAsia="zh-CN"/>
        </w:rPr>
        <w:t xml:space="preserve"> </w:t>
      </w:r>
      <w:bookmarkStart w:id="74" w:name="OLE_LINK63"/>
      <w:r>
        <w:rPr>
          <w:rFonts w:hint="eastAsia" w:ascii="宋体" w:hAnsi="宋体" w:eastAsia="宋体" w:cs="宋体"/>
          <w:color w:val="auto"/>
          <w:sz w:val="21"/>
          <w:szCs w:val="21"/>
          <w:highlight w:val="none"/>
          <w:shd w:val="clear" w:color="auto" w:fill="auto"/>
          <w:lang w:val="en-US" w:eastAsia="zh-CN"/>
        </w:rPr>
        <w:t>实施营养改善计划的农村义务教育学校</w:t>
      </w:r>
      <w:bookmarkEnd w:id="74"/>
      <w:r>
        <w:rPr>
          <w:rFonts w:hint="eastAsia" w:ascii="宋体" w:hAnsi="宋体" w:eastAsia="宋体" w:cs="宋体"/>
          <w:color w:val="auto"/>
          <w:sz w:val="21"/>
          <w:szCs w:val="21"/>
          <w:highlight w:val="none"/>
          <w:shd w:val="clear" w:color="auto" w:fill="auto"/>
          <w:lang w:val="en-US" w:eastAsia="zh-CN"/>
        </w:rPr>
        <w:t>食堂不</w:t>
      </w:r>
      <w:r>
        <w:rPr>
          <w:rFonts w:hint="eastAsia" w:ascii="宋体" w:hAnsi="宋体" w:cs="宋体"/>
          <w:color w:val="auto"/>
          <w:sz w:val="21"/>
          <w:szCs w:val="21"/>
          <w:highlight w:val="none"/>
          <w:shd w:val="clear" w:color="auto" w:fill="auto"/>
          <w:lang w:val="en-US" w:eastAsia="zh-CN"/>
        </w:rPr>
        <w:t>应</w:t>
      </w:r>
      <w:r>
        <w:rPr>
          <w:rFonts w:hint="eastAsia" w:ascii="宋体" w:hAnsi="宋体" w:eastAsia="宋体" w:cs="宋体"/>
          <w:color w:val="auto"/>
          <w:sz w:val="21"/>
          <w:szCs w:val="21"/>
          <w:highlight w:val="none"/>
          <w:shd w:val="clear" w:color="auto" w:fill="auto"/>
          <w:lang w:val="en-US" w:eastAsia="zh-CN"/>
        </w:rPr>
        <w:t>对外承包或委托经营。</w:t>
      </w:r>
    </w:p>
    <w:p>
      <w:pPr>
        <w:pStyle w:val="2"/>
        <w:keepNext/>
        <w:keepLines/>
        <w:pageBreakBefore w:val="0"/>
        <w:widowControl w:val="0"/>
        <w:kinsoku/>
        <w:wordWrap/>
        <w:overflowPunct/>
        <w:topLinePunct w:val="0"/>
        <w:autoSpaceDE/>
        <w:autoSpaceDN/>
        <w:bidi w:val="0"/>
        <w:adjustRightInd w:val="0"/>
        <w:snapToGrid/>
        <w:spacing w:before="313" w:beforeLines="100" w:after="313" w:afterLines="100" w:line="240" w:lineRule="auto"/>
        <w:textAlignment w:val="auto"/>
        <w:rPr>
          <w:rFonts w:hint="eastAsia" w:ascii="黑体" w:hAnsi="黑体" w:eastAsia="黑体" w:cs="黑体"/>
          <w:b w:val="0"/>
          <w:bCs w:val="0"/>
          <w:color w:val="auto"/>
          <w:sz w:val="21"/>
          <w:szCs w:val="21"/>
          <w:lang w:val="en-US" w:eastAsia="zh-CN"/>
        </w:rPr>
      </w:pPr>
      <w:bookmarkStart w:id="75" w:name="_Toc25456"/>
      <w:r>
        <w:rPr>
          <w:rFonts w:hint="eastAsia" w:ascii="黑体" w:hAnsi="黑体" w:eastAsia="黑体" w:cs="黑体"/>
          <w:b w:val="0"/>
          <w:bCs w:val="0"/>
          <w:color w:val="auto"/>
          <w:sz w:val="21"/>
          <w:szCs w:val="21"/>
          <w:lang w:val="en-US" w:eastAsia="zh-CN"/>
        </w:rPr>
        <w:t>5 管理</w:t>
      </w:r>
      <w:bookmarkEnd w:id="75"/>
      <w:r>
        <w:rPr>
          <w:rFonts w:hint="eastAsia" w:ascii="黑体" w:hAnsi="黑体" w:eastAsia="黑体" w:cs="黑体"/>
          <w:b w:val="0"/>
          <w:bCs w:val="0"/>
          <w:color w:val="auto"/>
          <w:sz w:val="21"/>
          <w:szCs w:val="21"/>
          <w:lang w:val="en-US" w:eastAsia="zh-CN"/>
        </w:rPr>
        <w:t xml:space="preserve">要求  </w:t>
      </w:r>
    </w:p>
    <w:p>
      <w:pPr>
        <w:pageBreakBefore w:val="0"/>
        <w:kinsoku/>
        <w:wordWrap/>
        <w:overflowPunct/>
        <w:topLinePunct w:val="0"/>
        <w:autoSpaceDE/>
        <w:autoSpaceDN/>
        <w:bidi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5.1 </w:t>
      </w:r>
      <w:bookmarkStart w:id="76" w:name="OLE_LINK33"/>
      <w:r>
        <w:rPr>
          <w:rFonts w:hint="eastAsia" w:ascii="黑体" w:hAnsi="黑体" w:eastAsia="黑体" w:cs="黑体"/>
          <w:b w:val="0"/>
          <w:bCs w:val="0"/>
          <w:color w:val="auto"/>
          <w:sz w:val="21"/>
          <w:szCs w:val="21"/>
          <w:lang w:val="en-US" w:eastAsia="zh-CN"/>
        </w:rPr>
        <w:t>选址与布局</w:t>
      </w:r>
      <w:bookmarkEnd w:id="76"/>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5.1.1 学校食堂及加工场所</w:t>
      </w:r>
      <w:r>
        <w:rPr>
          <w:rFonts w:hint="eastAsia" w:ascii="宋体" w:hAnsi="宋体" w:eastAsia="宋体" w:cs="宋体"/>
          <w:color w:val="auto"/>
          <w:sz w:val="21"/>
          <w:szCs w:val="21"/>
          <w:highlight w:val="none"/>
          <w:lang w:val="en-US" w:eastAsia="zh-CN"/>
        </w:rPr>
        <w:t>不应</w:t>
      </w:r>
      <w:r>
        <w:rPr>
          <w:rFonts w:hint="eastAsia" w:ascii="宋体" w:hAnsi="宋体" w:cs="宋体"/>
          <w:color w:val="auto"/>
          <w:sz w:val="21"/>
          <w:szCs w:val="21"/>
          <w:highlight w:val="none"/>
          <w:lang w:val="en-US" w:eastAsia="zh-CN"/>
        </w:rPr>
        <w:t>设置</w:t>
      </w:r>
      <w:r>
        <w:rPr>
          <w:rFonts w:hint="eastAsia" w:ascii="宋体" w:hAnsi="宋体" w:eastAsia="宋体" w:cs="宋体"/>
          <w:color w:val="auto"/>
          <w:sz w:val="21"/>
          <w:szCs w:val="21"/>
          <w:highlight w:val="none"/>
          <w:lang w:val="en-US" w:eastAsia="zh-CN"/>
        </w:rPr>
        <w:t>在易受污染的区域，应距离粪坑、污水池、暴露垃圾场（站）、旱厕等污染源25m以上，并位于粉尘、有害气体、放射性物质和其他扩散性污染源的影响范围外</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5.1.2</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cs="宋体"/>
          <w:color w:val="auto"/>
          <w:sz w:val="21"/>
          <w:szCs w:val="21"/>
          <w:highlight w:val="none"/>
          <w:shd w:val="clear" w:color="auto" w:fill="auto"/>
          <w:lang w:val="en-US" w:eastAsia="zh-CN"/>
        </w:rPr>
        <w:t>食品功能区面积应</w:t>
      </w:r>
      <w:r>
        <w:rPr>
          <w:rFonts w:hint="eastAsia" w:ascii="宋体" w:hAnsi="宋体" w:eastAsia="宋体" w:cs="宋体"/>
          <w:color w:val="auto"/>
          <w:sz w:val="21"/>
          <w:szCs w:val="21"/>
          <w:highlight w:val="none"/>
          <w:shd w:val="clear" w:color="auto" w:fill="auto"/>
          <w:lang w:val="en-US" w:eastAsia="zh-CN"/>
        </w:rPr>
        <w:t xml:space="preserve">满足生产加工需要。 </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5.1.3 </w:t>
      </w:r>
      <w:r>
        <w:rPr>
          <w:rFonts w:hint="eastAsia" w:ascii="宋体" w:hAnsi="宋体" w:eastAsia="宋体" w:cs="宋体"/>
          <w:color w:val="auto"/>
          <w:sz w:val="21"/>
          <w:szCs w:val="21"/>
          <w:highlight w:val="none"/>
          <w:lang w:val="en-US" w:eastAsia="zh-CN"/>
        </w:rPr>
        <w:t>合理设置原材料贮存、粗加工、切配、烹饪、分装、餐饮具清洗消毒等</w:t>
      </w:r>
      <w:r>
        <w:rPr>
          <w:rFonts w:hint="eastAsia" w:ascii="宋体" w:hAnsi="宋体" w:cs="宋体"/>
          <w:color w:val="auto"/>
          <w:sz w:val="21"/>
          <w:szCs w:val="21"/>
          <w:highlight w:val="none"/>
          <w:lang w:val="en-US" w:eastAsia="zh-CN"/>
        </w:rPr>
        <w:t>功能</w:t>
      </w:r>
      <w:r>
        <w:rPr>
          <w:rFonts w:hint="eastAsia" w:ascii="宋体" w:hAnsi="宋体" w:eastAsia="宋体" w:cs="宋体"/>
          <w:color w:val="auto"/>
          <w:sz w:val="21"/>
          <w:szCs w:val="21"/>
          <w:highlight w:val="none"/>
          <w:lang w:val="en-US" w:eastAsia="zh-CN"/>
        </w:rPr>
        <w:t>区，按照原料进入、原料加工制作、半成品加工制作、成品供应的流程合理布局</w:t>
      </w:r>
      <w:r>
        <w:rPr>
          <w:rFonts w:hint="eastAsia" w:ascii="宋体" w:hAnsi="宋体" w:cs="宋体"/>
          <w:color w:val="auto"/>
          <w:sz w:val="21"/>
          <w:szCs w:val="21"/>
          <w:highlight w:val="none"/>
          <w:lang w:val="en-US" w:eastAsia="zh-CN"/>
        </w:rPr>
        <w:t>，防止食品交叉污染</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5.1.4 </w:t>
      </w:r>
      <w:r>
        <w:rPr>
          <w:rFonts w:hint="eastAsia" w:ascii="宋体" w:hAnsi="宋体" w:eastAsia="宋体" w:cs="宋体"/>
          <w:color w:val="auto"/>
          <w:sz w:val="21"/>
          <w:szCs w:val="21"/>
          <w:highlight w:val="none"/>
          <w:lang w:val="en-US" w:eastAsia="zh-CN"/>
        </w:rPr>
        <w:t>分开设置原料通道及入口、成品通道及出口、使用后餐饮具的回收通道及入口。无法分设时，应在不同时段分别运送原料、成品、使用后的餐饮具，或者使用无污染的方式覆盖运送成品。</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5.1.5 设置独立隔间、区域或设施，存放清洁工具</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其位置不会污染食品，并有明显的区分标识。</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集体用餐配送单位选址应确保膳食制作完成到交付不超过</w:t>
      </w:r>
      <w:r>
        <w:rPr>
          <w:rFonts w:hint="eastAsia" w:ascii="宋体" w:hAnsi="宋体" w:eastAsia="宋体" w:cs="宋体"/>
          <w:color w:val="auto"/>
          <w:sz w:val="21"/>
          <w:szCs w:val="21"/>
          <w:highlight w:val="none"/>
          <w:lang w:val="en-US" w:eastAsia="zh-CN"/>
        </w:rPr>
        <w:t>2小时。</w:t>
      </w:r>
    </w:p>
    <w:p>
      <w:pPr>
        <w:pageBreakBefore w:val="0"/>
        <w:kinsoku/>
        <w:wordWrap/>
        <w:overflowPunct/>
        <w:topLinePunct w:val="0"/>
        <w:autoSpaceDE/>
        <w:autoSpaceDN/>
        <w:bidi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5.2 </w:t>
      </w:r>
      <w:bookmarkStart w:id="77" w:name="OLE_LINK34"/>
      <w:r>
        <w:rPr>
          <w:rFonts w:hint="eastAsia" w:ascii="黑体" w:hAnsi="黑体" w:eastAsia="黑体" w:cs="黑体"/>
          <w:b w:val="0"/>
          <w:bCs w:val="0"/>
          <w:color w:val="auto"/>
          <w:sz w:val="21"/>
          <w:szCs w:val="21"/>
          <w:lang w:val="en-US" w:eastAsia="zh-CN"/>
        </w:rPr>
        <w:t>设施设备</w:t>
      </w:r>
      <w:bookmarkEnd w:id="77"/>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w:t>
      </w:r>
      <w:r>
        <w:rPr>
          <w:rFonts w:hint="eastAsia" w:ascii="宋体" w:hAnsi="宋体" w:eastAsia="宋体" w:cs="宋体"/>
          <w:color w:val="auto"/>
          <w:sz w:val="21"/>
          <w:szCs w:val="21"/>
          <w:highlight w:val="none"/>
          <w:lang w:val="en-US" w:eastAsia="zh-CN"/>
        </w:rPr>
        <w:t>1 应配备与</w:t>
      </w:r>
      <w:r>
        <w:rPr>
          <w:rFonts w:hint="eastAsia" w:ascii="宋体" w:hAnsi="宋体" w:cs="宋体"/>
          <w:color w:val="auto"/>
          <w:sz w:val="21"/>
          <w:szCs w:val="21"/>
          <w:highlight w:val="none"/>
          <w:lang w:val="en-US" w:eastAsia="zh-CN"/>
        </w:rPr>
        <w:t>供餐</w:t>
      </w:r>
      <w:r>
        <w:rPr>
          <w:rFonts w:hint="eastAsia" w:ascii="宋体" w:hAnsi="宋体" w:eastAsia="宋体" w:cs="宋体"/>
          <w:color w:val="auto"/>
          <w:sz w:val="21"/>
          <w:szCs w:val="21"/>
          <w:highlight w:val="none"/>
          <w:lang w:val="en-US" w:eastAsia="zh-CN"/>
        </w:rPr>
        <w:t>品种、数量相适应的供水、排水、餐用具清洗、消毒和存放、洗手、更衣、照明、通风排烟、贮存、废弃物存放等设施设备及食品容器、工具和设备。</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5.2.2 食品处理区的</w:t>
      </w:r>
      <w:r>
        <w:rPr>
          <w:rFonts w:hint="eastAsia" w:ascii="宋体" w:hAnsi="宋体" w:eastAsia="宋体" w:cs="宋体"/>
          <w:color w:val="auto"/>
          <w:sz w:val="21"/>
          <w:szCs w:val="21"/>
          <w:highlight w:val="none"/>
          <w:lang w:val="en-US" w:eastAsia="zh-CN"/>
        </w:rPr>
        <w:t>地面、墙面、门窗、天花板等应易于维修、清洁或消毒</w:t>
      </w:r>
      <w:r>
        <w:rPr>
          <w:rFonts w:hint="eastAsia" w:ascii="宋体" w:hAnsi="宋体" w:cs="宋体"/>
          <w:color w:val="auto"/>
          <w:sz w:val="21"/>
          <w:szCs w:val="21"/>
          <w:highlight w:val="none"/>
          <w:lang w:val="en-US" w:eastAsia="zh-CN"/>
        </w:rPr>
        <w:t>，并</w:t>
      </w:r>
      <w:r>
        <w:rPr>
          <w:rFonts w:hint="eastAsia" w:ascii="宋体" w:hAnsi="宋体" w:eastAsia="宋体" w:cs="宋体"/>
          <w:color w:val="auto"/>
          <w:sz w:val="21"/>
          <w:szCs w:val="21"/>
          <w:highlight w:val="none"/>
          <w:lang w:val="en-US" w:eastAsia="zh-CN"/>
        </w:rPr>
        <w:t>能避免有害生物侵入和栖息。</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5.2.3 地面的铺设材料应无毒、无异味、不透水、耐腐蚀，且平整、无裂缝、无破损、无积水积垢。</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配餐间/打饭间不应设置明沟，地漏应能防止废弃物流入及浊气逸出。</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5.2.4 墙壁应平滑、无裂缝、无破损，无霉斑和积垢。</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5.2.5 </w:t>
      </w:r>
      <w:r>
        <w:rPr>
          <w:rFonts w:hint="eastAsia" w:ascii="宋体" w:hAnsi="宋体" w:eastAsia="宋体" w:cs="宋体"/>
          <w:color w:val="auto"/>
          <w:sz w:val="21"/>
          <w:szCs w:val="21"/>
          <w:highlight w:val="none"/>
          <w:lang w:val="en-US" w:eastAsia="zh-CN"/>
        </w:rPr>
        <w:t>门、窗</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闭合严密、无变形、无破损。</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5.2.6 蒸饭间、烹饪间产生大量蒸汽和烟气的设备或工序上方应设置机械排风、排烟装置，天花板应有适当坡度，做好冷凝结水的引流。</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shd w:val="clear" w:color="FFFFFF" w:fill="D9D9D9"/>
          <w:lang w:val="en-US" w:eastAsia="zh-CN"/>
        </w:rPr>
      </w:pPr>
      <w:r>
        <w:rPr>
          <w:rFonts w:hint="eastAsia" w:ascii="宋体" w:hAnsi="宋体" w:cs="宋体"/>
          <w:color w:val="auto"/>
          <w:sz w:val="21"/>
          <w:szCs w:val="21"/>
          <w:highlight w:val="none"/>
          <w:lang w:val="en-US" w:eastAsia="zh-CN"/>
        </w:rPr>
        <w:t>5.2.7 需经常冲洗的场所和排水沟应有一定的排水坡度，排水的流向由高清洁操作区流向低清洁操作区，并能防止污水逆流</w:t>
      </w:r>
      <w:r>
        <w:rPr>
          <w:rFonts w:hint="eastAsia" w:ascii="宋体" w:hAnsi="宋体" w:cs="宋体"/>
          <w:color w:val="auto"/>
          <w:sz w:val="21"/>
          <w:szCs w:val="21"/>
          <w:highlight w:val="none"/>
          <w:shd w:val="clear" w:color="auto" w:fill="auto"/>
          <w:lang w:val="en-US" w:eastAsia="zh-CN"/>
        </w:rPr>
        <w:t>，排水沟出口应设置防止有害生物侵入的装置。</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5.2.8 配备满足加工制作膳食需要的设施、设备、容器、工具等，保持清洁。食品工用具的清洗水池应与食品原料、清洁用具的清洗水池分开。食品工用具及清洗水池宜按照对应的色标分类定点设置，</w:t>
      </w:r>
      <w:bookmarkStart w:id="78" w:name="OLE_LINK20"/>
      <w:r>
        <w:rPr>
          <w:rFonts w:hint="eastAsia" w:ascii="宋体" w:hAnsi="宋体" w:cs="宋体"/>
          <w:color w:val="auto"/>
          <w:sz w:val="21"/>
          <w:szCs w:val="21"/>
          <w:highlight w:val="none"/>
          <w:shd w:val="clear" w:color="auto" w:fill="auto"/>
          <w:lang w:val="en-US" w:eastAsia="zh-CN"/>
        </w:rPr>
        <w:t>按</w:t>
      </w:r>
      <w:r>
        <w:rPr>
          <w:rFonts w:hint="eastAsia" w:ascii="宋体" w:hAnsi="宋体" w:cs="宋体"/>
          <w:color w:val="auto"/>
          <w:sz w:val="21"/>
          <w:szCs w:val="21"/>
          <w:highlight w:val="none"/>
          <w:lang w:val="en-US" w:eastAsia="zh-CN"/>
        </w:rPr>
        <w:t>6.3.7.2执行</w:t>
      </w:r>
      <w:r>
        <w:rPr>
          <w:rFonts w:hint="eastAsia" w:ascii="宋体" w:hAnsi="宋体" w:cs="宋体"/>
          <w:color w:val="auto"/>
          <w:sz w:val="21"/>
          <w:szCs w:val="21"/>
          <w:highlight w:val="none"/>
          <w:shd w:val="clear" w:color="auto" w:fill="auto"/>
          <w:lang w:val="en-US" w:eastAsia="zh-CN"/>
        </w:rPr>
        <w:t>。</w:t>
      </w:r>
      <w:bookmarkEnd w:id="78"/>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5.2.9  清洗、消毒、保洁设施设备应放置在专用区域，并标识明显，</w:t>
      </w:r>
      <w:r>
        <w:rPr>
          <w:rFonts w:hint="eastAsia" w:ascii="宋体" w:hAnsi="宋体" w:cs="宋体"/>
          <w:color w:val="auto"/>
          <w:sz w:val="21"/>
          <w:szCs w:val="21"/>
          <w:highlight w:val="none"/>
          <w:shd w:val="clear" w:color="auto" w:fill="auto"/>
          <w:lang w:val="en-US" w:eastAsia="zh-CN"/>
        </w:rPr>
        <w:t>色标颜色可参照附录B执行</w:t>
      </w:r>
      <w:r>
        <w:rPr>
          <w:rFonts w:hint="eastAsia" w:ascii="宋体" w:hAnsi="宋体" w:cs="宋体"/>
          <w:color w:val="auto"/>
          <w:sz w:val="21"/>
          <w:szCs w:val="21"/>
          <w:highlight w:val="none"/>
          <w:lang w:val="en-US" w:eastAsia="zh-CN"/>
        </w:rPr>
        <w:t>。消毒后餐用具应存放在专用保洁设施内。</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5.2</w:t>
      </w:r>
      <w:r>
        <w:rPr>
          <w:rFonts w:hint="eastAsia" w:ascii="宋体" w:hAnsi="宋体" w:eastAsia="宋体" w:cs="宋体"/>
          <w:color w:val="auto"/>
          <w:sz w:val="21"/>
          <w:szCs w:val="21"/>
          <w:highlight w:val="none"/>
          <w:shd w:val="clear" w:color="auto" w:fill="auto"/>
          <w:lang w:val="en-US" w:eastAsia="zh-CN"/>
        </w:rPr>
        <w:t>.</w:t>
      </w:r>
      <w:r>
        <w:rPr>
          <w:rFonts w:hint="eastAsia" w:ascii="宋体" w:hAnsi="宋体" w:cs="宋体"/>
          <w:color w:val="auto"/>
          <w:sz w:val="21"/>
          <w:szCs w:val="21"/>
          <w:highlight w:val="none"/>
          <w:shd w:val="clear" w:color="auto" w:fill="auto"/>
          <w:lang w:val="en-US" w:eastAsia="zh-CN"/>
        </w:rPr>
        <w:t>10</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cs="宋体"/>
          <w:color w:val="auto"/>
          <w:sz w:val="21"/>
          <w:szCs w:val="21"/>
          <w:highlight w:val="none"/>
          <w:shd w:val="clear" w:color="auto" w:fill="auto"/>
          <w:lang w:val="en-US" w:eastAsia="zh-CN"/>
        </w:rPr>
        <w:t>设置与加工制作膳食相匹配的食品存放场所，按温度要求贮存食品，并分类分区贮存，</w:t>
      </w:r>
      <w:bookmarkStart w:id="79" w:name="OLE_LINK29"/>
      <w:r>
        <w:rPr>
          <w:rFonts w:hint="eastAsia" w:ascii="宋体" w:hAnsi="宋体" w:cs="宋体"/>
          <w:color w:val="auto"/>
          <w:sz w:val="21"/>
          <w:szCs w:val="21"/>
          <w:highlight w:val="none"/>
          <w:shd w:val="clear" w:color="auto" w:fill="auto"/>
          <w:lang w:val="en-US" w:eastAsia="zh-CN"/>
        </w:rPr>
        <w:t>按</w:t>
      </w:r>
      <w:r>
        <w:rPr>
          <w:rFonts w:hint="eastAsia" w:ascii="宋体" w:hAnsi="宋体" w:cs="宋体"/>
          <w:color w:val="auto"/>
          <w:sz w:val="21"/>
          <w:szCs w:val="21"/>
          <w:highlight w:val="none"/>
          <w:lang w:val="en-US" w:eastAsia="zh-CN"/>
        </w:rPr>
        <w:t>6.6.5</w:t>
      </w:r>
      <w:r>
        <w:rPr>
          <w:rFonts w:hint="eastAsia" w:ascii="宋体" w:hAnsi="宋体" w:cs="宋体"/>
          <w:color w:val="auto"/>
          <w:sz w:val="21"/>
          <w:szCs w:val="21"/>
          <w:highlight w:val="none"/>
          <w:shd w:val="clear" w:color="auto" w:fill="auto"/>
          <w:lang w:val="en-US" w:eastAsia="zh-CN"/>
        </w:rPr>
        <w:t>执行</w:t>
      </w:r>
      <w:bookmarkEnd w:id="79"/>
      <w:r>
        <w:rPr>
          <w:rFonts w:hint="eastAsia" w:ascii="宋体" w:hAnsi="宋体" w:cs="宋体"/>
          <w:color w:val="auto"/>
          <w:sz w:val="21"/>
          <w:szCs w:val="21"/>
          <w:highlight w:val="none"/>
          <w:shd w:val="clear" w:color="auto" w:fill="auto"/>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lang w:val="en-US" w:eastAsia="zh-CN"/>
        </w:rPr>
        <w:t xml:space="preserve"> 计量装置</w:t>
      </w:r>
      <w:r>
        <w:rPr>
          <w:rFonts w:hint="eastAsia" w:ascii="宋体" w:hAnsi="宋体" w:cs="宋体"/>
          <w:color w:val="auto"/>
          <w:sz w:val="21"/>
          <w:szCs w:val="21"/>
          <w:highlight w:val="none"/>
          <w:lang w:val="en-US" w:eastAsia="zh-CN"/>
        </w:rPr>
        <w:t>和消毒设施</w:t>
      </w:r>
      <w:r>
        <w:rPr>
          <w:rFonts w:hint="eastAsia" w:ascii="宋体" w:hAnsi="宋体" w:eastAsia="宋体" w:cs="宋体"/>
          <w:color w:val="auto"/>
          <w:sz w:val="21"/>
          <w:szCs w:val="21"/>
          <w:highlight w:val="none"/>
          <w:lang w:val="en-US" w:eastAsia="zh-CN"/>
        </w:rPr>
        <w:t>应</w:t>
      </w:r>
      <w:r>
        <w:rPr>
          <w:rFonts w:hint="eastAsia" w:ascii="宋体" w:hAnsi="宋体" w:cs="宋体"/>
          <w:color w:val="auto"/>
          <w:sz w:val="21"/>
          <w:szCs w:val="21"/>
          <w:highlight w:val="none"/>
          <w:lang w:val="en-US" w:eastAsia="zh-CN"/>
        </w:rPr>
        <w:t>定</w:t>
      </w:r>
      <w:r>
        <w:rPr>
          <w:rFonts w:hint="eastAsia" w:ascii="宋体" w:hAnsi="宋体" w:eastAsia="宋体" w:cs="宋体"/>
          <w:color w:val="auto"/>
          <w:sz w:val="21"/>
          <w:szCs w:val="21"/>
          <w:highlight w:val="none"/>
          <w:lang w:val="en-US" w:eastAsia="zh-CN"/>
        </w:rPr>
        <w:t>期检定/校准、维护保养。</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应配备</w:t>
      </w:r>
      <w:r>
        <w:rPr>
          <w:rFonts w:hint="eastAsia" w:ascii="宋体" w:hAnsi="宋体" w:eastAsia="宋体" w:cs="宋体"/>
          <w:color w:val="auto"/>
          <w:sz w:val="21"/>
          <w:szCs w:val="21"/>
          <w:highlight w:val="none"/>
          <w:lang w:val="en-US" w:eastAsia="zh-CN"/>
        </w:rPr>
        <w:t>实时监控</w:t>
      </w:r>
      <w:r>
        <w:rPr>
          <w:rFonts w:hint="eastAsia" w:ascii="宋体" w:hAnsi="宋体" w:cs="宋体"/>
          <w:color w:val="auto"/>
          <w:sz w:val="21"/>
          <w:szCs w:val="21"/>
          <w:highlight w:val="none"/>
          <w:lang w:val="en-US" w:eastAsia="zh-CN"/>
        </w:rPr>
        <w:t>设施</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并接入教育、市场监管</w:t>
      </w:r>
      <w:r>
        <w:rPr>
          <w:rFonts w:hint="eastAsia" w:ascii="宋体" w:hAnsi="宋体" w:eastAsia="宋体" w:cs="宋体"/>
          <w:color w:val="auto"/>
          <w:sz w:val="21"/>
          <w:szCs w:val="21"/>
          <w:highlight w:val="none"/>
          <w:lang w:val="en-US" w:eastAsia="zh-CN"/>
        </w:rPr>
        <w:t>“互联网+明厨亮灶”</w:t>
      </w:r>
      <w:r>
        <w:rPr>
          <w:rFonts w:hint="eastAsia" w:ascii="宋体" w:hAnsi="宋体" w:cs="宋体"/>
          <w:color w:val="auto"/>
          <w:sz w:val="21"/>
          <w:szCs w:val="21"/>
          <w:highlight w:val="none"/>
          <w:lang w:val="en-US" w:eastAsia="zh-CN"/>
        </w:rPr>
        <w:t>监管系统。</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5.2.13 宜</w:t>
      </w:r>
      <w:r>
        <w:rPr>
          <w:rFonts w:hint="eastAsia" w:ascii="宋体" w:hAnsi="宋体" w:eastAsia="宋体" w:cs="宋体"/>
          <w:color w:val="auto"/>
          <w:sz w:val="21"/>
          <w:szCs w:val="21"/>
          <w:highlight w:val="none"/>
          <w:lang w:val="en-US" w:eastAsia="zh-CN"/>
        </w:rPr>
        <w:t>采用自动化生产设备，如自动洗菜机（线）、自动米饭生产线、自动计量分饭包装生产线、自动金属检测线、自动洗碗机等</w:t>
      </w:r>
      <w:r>
        <w:rPr>
          <w:rFonts w:hint="eastAsia" w:ascii="宋体" w:hAnsi="宋体" w:cs="宋体"/>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5.3 </w:t>
      </w:r>
      <w:bookmarkStart w:id="80" w:name="OLE_LINK35"/>
      <w:r>
        <w:rPr>
          <w:rFonts w:hint="eastAsia" w:ascii="黑体" w:hAnsi="黑体" w:eastAsia="黑体" w:cs="黑体"/>
          <w:b w:val="0"/>
          <w:bCs w:val="0"/>
          <w:color w:val="auto"/>
          <w:sz w:val="21"/>
          <w:szCs w:val="21"/>
          <w:lang w:val="en-US" w:eastAsia="zh-CN"/>
        </w:rPr>
        <w:t>制度建设</w:t>
      </w:r>
      <w:bookmarkEnd w:id="80"/>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0" w:lineRule="atLeast"/>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5.3</w:t>
      </w:r>
      <w:r>
        <w:rPr>
          <w:rFonts w:hint="eastAsia" w:ascii="宋体" w:hAnsi="宋体" w:eastAsia="宋体" w:cs="宋体"/>
          <w:color w:val="auto"/>
          <w:sz w:val="21"/>
          <w:szCs w:val="21"/>
          <w:highlight w:val="none"/>
          <w:lang w:val="en-US" w:eastAsia="zh-CN"/>
        </w:rPr>
        <w:t xml:space="preserve">.1 </w:t>
      </w:r>
      <w:r>
        <w:rPr>
          <w:rFonts w:hint="eastAsia" w:ascii="宋体" w:hAnsi="宋体" w:cs="宋体"/>
          <w:color w:val="auto"/>
          <w:sz w:val="21"/>
          <w:szCs w:val="21"/>
          <w:highlight w:val="none"/>
          <w:lang w:val="en-US" w:eastAsia="zh-CN"/>
        </w:rPr>
        <w:t>通用制度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建立健全</w:t>
      </w:r>
      <w:r>
        <w:rPr>
          <w:rFonts w:hint="eastAsia" w:ascii="宋体" w:hAnsi="宋体" w:cs="宋体"/>
          <w:color w:val="auto"/>
          <w:sz w:val="21"/>
          <w:szCs w:val="21"/>
          <w:highlight w:val="none"/>
          <w:lang w:val="en-US" w:eastAsia="zh-CN"/>
        </w:rPr>
        <w:t>集中供膳食</w:t>
      </w:r>
      <w:r>
        <w:rPr>
          <w:rFonts w:hint="eastAsia" w:ascii="宋体" w:hAnsi="宋体" w:eastAsia="宋体" w:cs="宋体"/>
          <w:color w:val="auto"/>
          <w:sz w:val="21"/>
          <w:szCs w:val="21"/>
          <w:highlight w:val="none"/>
          <w:lang w:val="en-US" w:eastAsia="zh-CN"/>
        </w:rPr>
        <w:t>品安全相关管理制度，包括但不限于：</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a)</w:t>
      </w:r>
      <w:r>
        <w:rPr>
          <w:rFonts w:hint="eastAsia" w:ascii="宋体" w:hAnsi="宋体" w:eastAsia="宋体" w:cs="宋体"/>
          <w:color w:val="auto"/>
          <w:sz w:val="21"/>
          <w:szCs w:val="21"/>
          <w:highlight w:val="none"/>
          <w:lang w:val="en-US" w:eastAsia="zh-CN"/>
        </w:rPr>
        <w:t>食品安全日管控、周排查、月调度</w:t>
      </w:r>
      <w:r>
        <w:rPr>
          <w:rFonts w:hint="eastAsia" w:ascii="宋体" w:hAnsi="宋体" w:cs="宋体"/>
          <w:color w:val="auto"/>
          <w:sz w:val="21"/>
          <w:szCs w:val="21"/>
          <w:highlight w:val="none"/>
          <w:lang w:val="en-US" w:eastAsia="zh-CN"/>
        </w:rPr>
        <w:t>制度</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b)</w:t>
      </w:r>
      <w:r>
        <w:rPr>
          <w:rFonts w:hint="eastAsia" w:ascii="宋体" w:hAnsi="宋体" w:eastAsia="宋体" w:cs="宋体"/>
          <w:color w:val="auto"/>
          <w:sz w:val="21"/>
          <w:szCs w:val="21"/>
          <w:highlight w:val="none"/>
          <w:lang w:val="en-US" w:eastAsia="zh-CN"/>
        </w:rPr>
        <w:t>食品安全和营养健康管理制度；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c)</w:t>
      </w:r>
      <w:r>
        <w:rPr>
          <w:rFonts w:hint="eastAsia" w:ascii="宋体" w:hAnsi="宋体" w:eastAsia="宋体" w:cs="宋体"/>
          <w:color w:val="auto"/>
          <w:sz w:val="21"/>
          <w:szCs w:val="21"/>
          <w:highlight w:val="none"/>
          <w:lang w:val="en-US" w:eastAsia="zh-CN"/>
        </w:rPr>
        <w:t>信息公开制度；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420" w:leftChars="20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d)食品留样制度；</w:t>
      </w:r>
      <w:r>
        <w:rPr>
          <w:rFonts w:hint="eastAsia" w:ascii="宋体" w:hAnsi="宋体" w:cs="宋体"/>
          <w:color w:val="auto"/>
          <w:sz w:val="21"/>
          <w:szCs w:val="21"/>
          <w:highlight w:val="none"/>
          <w:lang w:val="en-US" w:eastAsia="zh-CN"/>
        </w:rPr>
        <w:br w:type="textWrapping"/>
      </w:r>
      <w:r>
        <w:rPr>
          <w:rFonts w:hint="eastAsia" w:ascii="宋体" w:hAnsi="宋体" w:cs="宋体"/>
          <w:color w:val="auto"/>
          <w:sz w:val="21"/>
          <w:szCs w:val="21"/>
          <w:highlight w:val="none"/>
          <w:lang w:val="en-US" w:eastAsia="zh-CN"/>
        </w:rPr>
        <w:t>e)从业人员健康管理制度；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f)</w:t>
      </w:r>
      <w:r>
        <w:rPr>
          <w:rFonts w:hint="eastAsia" w:ascii="宋体" w:hAnsi="宋体" w:eastAsia="宋体" w:cs="宋体"/>
          <w:color w:val="auto"/>
          <w:sz w:val="21"/>
          <w:szCs w:val="21"/>
          <w:highlight w:val="none"/>
          <w:lang w:val="en-US" w:eastAsia="zh-CN"/>
        </w:rPr>
        <w:t>餐厨垃圾管理</w:t>
      </w:r>
      <w:r>
        <w:rPr>
          <w:rFonts w:hint="eastAsia" w:ascii="宋体" w:hAnsi="宋体" w:cs="宋体"/>
          <w:color w:val="auto"/>
          <w:sz w:val="21"/>
          <w:szCs w:val="21"/>
          <w:highlight w:val="none"/>
          <w:lang w:val="en-US" w:eastAsia="zh-CN"/>
        </w:rPr>
        <w:t>制度</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g)</w:t>
      </w:r>
      <w:r>
        <w:rPr>
          <w:rFonts w:hint="eastAsia" w:ascii="宋体" w:hAnsi="宋体" w:eastAsia="宋体" w:cs="宋体"/>
          <w:color w:val="auto"/>
          <w:sz w:val="21"/>
          <w:szCs w:val="21"/>
          <w:highlight w:val="none"/>
          <w:lang w:val="en-US" w:eastAsia="zh-CN"/>
        </w:rPr>
        <w:t>食品安全风险评估制度；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h)</w:t>
      </w:r>
      <w:r>
        <w:rPr>
          <w:rFonts w:hint="eastAsia" w:ascii="宋体" w:hAnsi="宋体" w:eastAsia="宋体" w:cs="宋体"/>
          <w:color w:val="auto"/>
          <w:sz w:val="21"/>
          <w:szCs w:val="21"/>
          <w:highlight w:val="none"/>
          <w:lang w:val="en-US" w:eastAsia="zh-CN"/>
        </w:rPr>
        <w:t>食品安全责任追究制度；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i)</w:t>
      </w:r>
      <w:r>
        <w:rPr>
          <w:rFonts w:hint="eastAsia" w:ascii="宋体" w:hAnsi="宋体" w:eastAsia="宋体" w:cs="宋体"/>
          <w:color w:val="auto"/>
          <w:sz w:val="21"/>
          <w:szCs w:val="21"/>
          <w:highlight w:val="none"/>
          <w:lang w:val="en-US" w:eastAsia="zh-CN"/>
        </w:rPr>
        <w:t>食品安全应急预案等。</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0" w:lineRule="atLeast"/>
        <w:ind w:left="0" w:leftChars="0" w:firstLine="0" w:firstLineChars="0"/>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5.3.2 专用制度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5.3.2.1 学校食堂和</w:t>
      </w:r>
      <w:bookmarkStart w:id="81" w:name="OLE_LINK12"/>
      <w:r>
        <w:rPr>
          <w:rFonts w:hint="eastAsia" w:ascii="宋体" w:hAnsi="宋体" w:cs="宋体"/>
          <w:color w:val="auto"/>
          <w:sz w:val="21"/>
          <w:szCs w:val="21"/>
          <w:highlight w:val="none"/>
          <w:lang w:val="en-US" w:eastAsia="zh-CN"/>
        </w:rPr>
        <w:t>集体用餐配送单位</w:t>
      </w:r>
      <w:bookmarkEnd w:id="81"/>
      <w:r>
        <w:rPr>
          <w:rFonts w:hint="eastAsia" w:ascii="宋体" w:hAnsi="宋体" w:cs="宋体"/>
          <w:color w:val="auto"/>
          <w:sz w:val="21"/>
          <w:szCs w:val="21"/>
          <w:highlight w:val="none"/>
          <w:lang w:val="en-US" w:eastAsia="zh-CN"/>
        </w:rPr>
        <w:t>还应建立以下制度，包括但不限于：</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a</w:t>
      </w:r>
      <w:bookmarkStart w:id="82" w:name="OLE_LINK14"/>
      <w:r>
        <w:rPr>
          <w:rFonts w:hint="eastAsia" w:ascii="宋体" w:hAnsi="宋体" w:cs="宋体"/>
          <w:color w:val="auto"/>
          <w:sz w:val="21"/>
          <w:szCs w:val="21"/>
          <w:highlight w:val="none"/>
          <w:lang w:val="en-US" w:eastAsia="zh-CN"/>
        </w:rPr>
        <w:t>）</w:t>
      </w:r>
      <w:bookmarkEnd w:id="82"/>
      <w:r>
        <w:rPr>
          <w:rFonts w:hint="eastAsia" w:ascii="宋体" w:hAnsi="宋体" w:eastAsia="宋体" w:cs="宋体"/>
          <w:color w:val="auto"/>
          <w:sz w:val="21"/>
          <w:szCs w:val="21"/>
          <w:highlight w:val="none"/>
          <w:lang w:val="en-US" w:eastAsia="zh-CN"/>
        </w:rPr>
        <w:t>陪餐制度；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b）</w:t>
      </w:r>
      <w:r>
        <w:rPr>
          <w:rFonts w:hint="eastAsia" w:ascii="宋体" w:hAnsi="宋体" w:eastAsia="宋体" w:cs="宋体"/>
          <w:color w:val="auto"/>
          <w:sz w:val="21"/>
          <w:szCs w:val="21"/>
          <w:highlight w:val="none"/>
          <w:lang w:val="en-US" w:eastAsia="zh-CN"/>
        </w:rPr>
        <w:t>大宗食品及原辅材料准入制度；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bookmarkStart w:id="83" w:name="OLE_LINK52"/>
      <w:r>
        <w:rPr>
          <w:rFonts w:hint="eastAsia" w:ascii="宋体" w:hAnsi="宋体" w:cs="宋体"/>
          <w:color w:val="auto"/>
          <w:sz w:val="21"/>
          <w:szCs w:val="21"/>
          <w:highlight w:val="none"/>
          <w:lang w:val="en-US" w:eastAsia="zh-CN"/>
        </w:rPr>
        <w:t>c）</w:t>
      </w:r>
      <w:bookmarkEnd w:id="83"/>
      <w:r>
        <w:rPr>
          <w:rFonts w:hint="eastAsia" w:ascii="宋体" w:hAnsi="宋体" w:eastAsia="宋体" w:cs="宋体"/>
          <w:color w:val="auto"/>
          <w:sz w:val="21"/>
          <w:szCs w:val="21"/>
          <w:highlight w:val="none"/>
          <w:lang w:val="en-US" w:eastAsia="zh-CN"/>
        </w:rPr>
        <w:t>食品及原辅材料查验</w:t>
      </w:r>
      <w:bookmarkStart w:id="84" w:name="OLE_LINK11"/>
      <w:r>
        <w:rPr>
          <w:rFonts w:hint="eastAsia" w:ascii="宋体" w:hAnsi="宋体" w:eastAsia="宋体" w:cs="宋体"/>
          <w:color w:val="auto"/>
          <w:sz w:val="21"/>
          <w:szCs w:val="21"/>
          <w:highlight w:val="none"/>
          <w:lang w:val="en-US" w:eastAsia="zh-CN"/>
        </w:rPr>
        <w:t>制度</w:t>
      </w:r>
      <w:bookmarkEnd w:id="84"/>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d）</w:t>
      </w:r>
      <w:r>
        <w:rPr>
          <w:rFonts w:hint="eastAsia" w:ascii="宋体" w:hAnsi="宋体" w:eastAsia="宋体" w:cs="宋体"/>
          <w:color w:val="auto"/>
          <w:sz w:val="21"/>
          <w:szCs w:val="21"/>
          <w:highlight w:val="none"/>
          <w:lang w:val="en-US" w:eastAsia="zh-CN"/>
        </w:rPr>
        <w:t>食品安全培训管理制度；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e）</w:t>
      </w:r>
      <w:r>
        <w:rPr>
          <w:rFonts w:hint="eastAsia" w:ascii="宋体" w:hAnsi="宋体" w:eastAsia="宋体" w:cs="宋体"/>
          <w:color w:val="auto"/>
          <w:sz w:val="21"/>
          <w:szCs w:val="21"/>
          <w:highlight w:val="none"/>
          <w:lang w:val="en-US" w:eastAsia="zh-CN"/>
        </w:rPr>
        <w:t>设施设备管理制度；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f）</w:t>
      </w:r>
      <w:r>
        <w:rPr>
          <w:rFonts w:hint="eastAsia" w:ascii="宋体" w:hAnsi="宋体" w:eastAsia="宋体" w:cs="宋体"/>
          <w:color w:val="auto"/>
          <w:sz w:val="21"/>
          <w:szCs w:val="21"/>
          <w:highlight w:val="none"/>
          <w:lang w:val="en-US" w:eastAsia="zh-CN"/>
        </w:rPr>
        <w:t>餐饮具清洗消毒保洁管理制度；</w:t>
      </w: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g）</w:t>
      </w:r>
      <w:r>
        <w:rPr>
          <w:rFonts w:hint="eastAsia" w:ascii="宋体" w:hAnsi="宋体" w:eastAsia="宋体" w:cs="宋体"/>
          <w:color w:val="auto"/>
          <w:sz w:val="21"/>
          <w:szCs w:val="21"/>
          <w:highlight w:val="none"/>
          <w:lang w:val="en-US" w:eastAsia="zh-CN"/>
        </w:rPr>
        <w:t>有害生物防治制度</w:t>
      </w:r>
      <w:r>
        <w:rPr>
          <w:rFonts w:hint="eastAsia" w:ascii="宋体" w:hAnsi="宋体" w:cs="宋体"/>
          <w:color w:val="auto"/>
          <w:sz w:val="21"/>
          <w:szCs w:val="21"/>
          <w:highlight w:val="none"/>
          <w:lang w:val="en-US" w:eastAsia="zh-CN"/>
        </w:rPr>
        <w:t>等。</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5.3.2.2 由集体用餐配送单位集中配送膳食的学校还应建立膳食查验制度、集体用餐配送单位准入、退出制度</w:t>
      </w:r>
      <w:r>
        <w:rPr>
          <w:rFonts w:hint="eastAsia" w:ascii="宋体" w:hAnsi="宋体" w:eastAsia="宋体" w:cs="宋体"/>
          <w:color w:val="auto"/>
          <w:sz w:val="21"/>
          <w:szCs w:val="21"/>
          <w:highlight w:val="none"/>
          <w:lang w:val="en-US" w:eastAsia="zh-CN"/>
        </w:rPr>
        <w:t>等</w:t>
      </w:r>
      <w:r>
        <w:rPr>
          <w:rFonts w:hint="eastAsia" w:ascii="宋体" w:hAnsi="宋体" w:cs="宋体"/>
          <w:color w:val="auto"/>
          <w:sz w:val="21"/>
          <w:szCs w:val="21"/>
          <w:highlight w:val="none"/>
          <w:lang w:val="en-US" w:eastAsia="zh-CN"/>
        </w:rPr>
        <w:t>。</w:t>
      </w:r>
    </w:p>
    <w:p>
      <w:pPr>
        <w:pageBreakBefore w:val="0"/>
        <w:kinsoku/>
        <w:wordWrap/>
        <w:overflowPunct/>
        <w:topLinePunct w:val="0"/>
        <w:autoSpaceDE/>
        <w:autoSpaceDN/>
        <w:bidi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lang w:val="en-US" w:eastAsia="zh-CN"/>
        </w:rPr>
      </w:pPr>
      <w:bookmarkStart w:id="85" w:name="_Toc9639"/>
      <w:r>
        <w:rPr>
          <w:rFonts w:hint="eastAsia" w:ascii="黑体" w:hAnsi="黑体" w:eastAsia="黑体" w:cs="黑体"/>
          <w:b w:val="0"/>
          <w:bCs w:val="0"/>
          <w:color w:val="auto"/>
          <w:sz w:val="21"/>
          <w:szCs w:val="21"/>
          <w:lang w:val="en-US" w:eastAsia="zh-CN"/>
        </w:rPr>
        <w:t xml:space="preserve">5.4 </w:t>
      </w:r>
      <w:bookmarkStart w:id="86" w:name="OLE_LINK36"/>
      <w:r>
        <w:rPr>
          <w:rFonts w:hint="eastAsia" w:ascii="黑体" w:hAnsi="黑体" w:eastAsia="黑体" w:cs="黑体"/>
          <w:b w:val="0"/>
          <w:bCs w:val="0"/>
          <w:color w:val="auto"/>
          <w:sz w:val="21"/>
          <w:szCs w:val="21"/>
          <w:lang w:val="en-US" w:eastAsia="zh-CN"/>
        </w:rPr>
        <w:t>人员管理</w:t>
      </w:r>
      <w:bookmarkEnd w:id="86"/>
    </w:p>
    <w:p>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textAlignment w:val="auto"/>
        <w:outlineLvl w:val="1"/>
        <w:rPr>
          <w:rFonts w:hint="eastAsia" w:ascii="宋体" w:hAnsi="宋体" w:cs="宋体"/>
          <w:color w:val="auto"/>
          <w:sz w:val="21"/>
          <w:szCs w:val="21"/>
          <w:highlight w:val="none"/>
          <w:lang w:val="en-US" w:eastAsia="zh-CN"/>
        </w:rPr>
      </w:pPr>
      <w:r>
        <w:rPr>
          <w:rFonts w:hint="eastAsia" w:ascii="黑体" w:hAnsi="黑体" w:eastAsia="黑体" w:cs="黑体"/>
          <w:b w:val="0"/>
          <w:bCs w:val="0"/>
          <w:color w:val="auto"/>
          <w:sz w:val="21"/>
          <w:szCs w:val="21"/>
          <w:lang w:val="en-US" w:eastAsia="zh-CN"/>
        </w:rPr>
        <w:t>5.4.1</w:t>
      </w:r>
      <w:r>
        <w:rPr>
          <w:rFonts w:hint="eastAsia" w:ascii="宋体" w:hAnsi="宋体" w:eastAsia="宋体" w:cs="宋体"/>
          <w:color w:val="auto"/>
          <w:sz w:val="21"/>
          <w:szCs w:val="21"/>
          <w:highlight w:val="none"/>
          <w:lang w:val="en-US" w:eastAsia="zh-CN"/>
        </w:rPr>
        <w:t>人员健康</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5.4.1.1 从事切菜、配菜、烹饪、餐饮具清洗消毒等直接接触食品的工作人员应取得有效的健康证明后方可上岗，并每年进行健康检查，必要时应进行临时健康检查。</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5.4.1.2 患有国务院卫生行政部门规定的有碍食品安全疾病（如霍乱、细菌性和阿米巴性痢疾、伤寒和副伤寒、病毒性肝炎（甲型、戊型）、活动性肺结核、化脓性或者渗出性皮肤病等）的人员，不应从事接触直接入口食品的工作。</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5.4.1.3 食品从业人员每天上岗前应对健康状况进行检查，如发现患有发热、腹泻、咽部严重炎症、皮肤有伤口或感染，应立即暂停从事接触直接入口食品的工作，待查明原因并排除有碍食品安全的疾病后，方可重新上岗。</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5.4.2人员卫生</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5.4.2.1 从业人员工作时，应保持良好的个人卫生，应穿清洁的工作服、戴清洁的口罩遮住口鼻、戴清洁的工作帽，口罩应遮住口鼻，工作帽应能将头发全部遮盖。</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5.4.2.2 食品处理区内的从业人员工作时不应化妆、留长指甲或涂指甲油，佩戴的饰物不应外露。</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5.4.2.3 从业人员个人用品应集中存放，存放位置应不影响食品安全。</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5.4.2.4 进入食品处理区的非从业人员，应符合从业人员卫生要求。</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5.4.3手部清洁卫生</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5.4.3.1 加工食品前，应洗净手部，从事接触直接入口食品工作的从业人员，加工食品前还应进行手部消毒。</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5.4.3.2 使用卫生间、接触可能污染食品的物品或从事与食品加工无关的活动后，再次接触与食品加工相关的器具、设备等或再次从事与食品加工相关的活动时，应重新洗净手部，从事接触直接入口食品工作的从业人员，还应重新进行手部消毒。</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5.4.3.3 如佩戴手套，应在佩戴前将手部洗净消毒，手套应清洁、无破损。如出现5.4.3.2所述需要重新进行手部洗净消毒的情形，应重新将手部洗净消毒后更换新手套。</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5.4.4工作服管理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5.4.4.1 从业人员工作服宜为白色或浅色，工作服应保持清洁、定点存放、定期清洗更换。从事接触直接入口食品工作的从业人员，其工作服宜每天清洗更换。</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5.4.4.2 食品处理区内加工食品的从业人员使用卫生间前，应更换工作服。工作服如受污染，应及时更换。</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1"/>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5.4.4.3 待清洗的工作服应指定存放地点，不应存放在食品处理区。</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5.4.5人员培训</w:t>
      </w:r>
    </w:p>
    <w:p>
      <w:pPr>
        <w:keepNext w:val="0"/>
        <w:keepLines w:val="0"/>
        <w:pageBreakBefore w:val="0"/>
        <w:widowControl w:val="0"/>
        <w:kinsoku/>
        <w:wordWrap/>
        <w:overflowPunct/>
        <w:topLinePunct w:val="0"/>
        <w:autoSpaceDE/>
        <w:autoSpaceDN/>
        <w:bidi w:val="0"/>
        <w:adjustRightInd w:val="0"/>
        <w:snapToGrid/>
        <w:spacing w:line="20" w:lineRule="atLeast"/>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5.4.5.1 应根据不同岗位的需求，制定食品安全培训计划，对从业人员进行定期食品安全培训，培训考核合格后方可上岗，做好培训记录。</w:t>
      </w:r>
    </w:p>
    <w:p>
      <w:pPr>
        <w:keepNext w:val="0"/>
        <w:keepLines w:val="0"/>
        <w:pageBreakBefore w:val="0"/>
        <w:widowControl w:val="0"/>
        <w:kinsoku/>
        <w:wordWrap/>
        <w:overflowPunct/>
        <w:topLinePunct w:val="0"/>
        <w:autoSpaceDE/>
        <w:autoSpaceDN/>
        <w:bidi w:val="0"/>
        <w:adjustRightInd w:val="0"/>
        <w:snapToGrid/>
        <w:spacing w:line="20" w:lineRule="atLeast"/>
        <w:textAlignment w:val="auto"/>
        <w:outlineLvl w:val="1"/>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5.4.5.2 培训方式可采用专题讲座、实际操作、现场演示等。考核方式可采用询问、观察实际操作、答题等。</w:t>
      </w:r>
    </w:p>
    <w:p>
      <w:pPr>
        <w:keepNext w:val="0"/>
        <w:keepLines w:val="0"/>
        <w:pageBreakBefore w:val="0"/>
        <w:widowControl w:val="0"/>
        <w:kinsoku/>
        <w:wordWrap/>
        <w:overflowPunct/>
        <w:topLinePunct w:val="0"/>
        <w:autoSpaceDE/>
        <w:autoSpaceDN/>
        <w:bidi w:val="0"/>
        <w:adjustRightInd w:val="0"/>
        <w:snapToGrid/>
        <w:spacing w:line="20" w:lineRule="atLeast"/>
        <w:textAlignment w:val="auto"/>
        <w:outlineLvl w:val="1"/>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5.4.5.3 培训考核内容为有关食品安全相关法律法规标准、基础知识及本单位的食品安全管理制度、加工制作规程等。</w:t>
      </w:r>
    </w:p>
    <w:p>
      <w:pPr>
        <w:keepNext w:val="0"/>
        <w:keepLines w:val="0"/>
        <w:pageBreakBefore w:val="0"/>
        <w:widowControl w:val="0"/>
        <w:kinsoku/>
        <w:wordWrap/>
        <w:overflowPunct/>
        <w:topLinePunct w:val="0"/>
        <w:autoSpaceDE/>
        <w:autoSpaceDN/>
        <w:bidi w:val="0"/>
        <w:adjustRightInd w:val="0"/>
        <w:snapToGrid/>
        <w:spacing w:line="20" w:lineRule="atLeast"/>
        <w:textAlignment w:val="auto"/>
        <w:outlineLvl w:val="1"/>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5.4.5.4 应对培训计划和实施进行跟踪，评估培训效果并及时调整计划，确保培训有效实施。</w:t>
      </w:r>
    </w:p>
    <w:p>
      <w:pPr>
        <w:pStyle w:val="3"/>
        <w:keepNext/>
        <w:keepLines/>
        <w:pageBreakBefore w:val="0"/>
        <w:widowControl w:val="0"/>
        <w:kinsoku/>
        <w:wordWrap/>
        <w:overflowPunct/>
        <w:topLinePunct w:val="0"/>
        <w:autoSpaceDE/>
        <w:autoSpaceDN/>
        <w:bidi w:val="0"/>
        <w:adjustRightInd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highlight w:val="none"/>
          <w:lang w:val="en-US" w:eastAsia="zh-CN"/>
        </w:rPr>
        <w:t xml:space="preserve">5.5 </w:t>
      </w:r>
      <w:bookmarkStart w:id="87" w:name="OLE_LINK37"/>
      <w:r>
        <w:rPr>
          <w:rFonts w:hint="eastAsia" w:ascii="黑体" w:hAnsi="黑体" w:eastAsia="黑体" w:cs="黑体"/>
          <w:b w:val="0"/>
          <w:bCs w:val="0"/>
          <w:color w:val="auto"/>
          <w:sz w:val="21"/>
          <w:szCs w:val="21"/>
          <w:lang w:val="en-US" w:eastAsia="zh-CN"/>
        </w:rPr>
        <w:t>膳食营养</w:t>
      </w:r>
      <w:bookmarkEnd w:id="87"/>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5.5.1</w:t>
      </w:r>
      <w:r>
        <w:rPr>
          <w:rFonts w:hint="eastAsia" w:ascii="宋体" w:hAnsi="宋体" w:eastAsia="宋体" w:cs="宋体"/>
          <w:color w:val="auto"/>
          <w:sz w:val="21"/>
          <w:szCs w:val="21"/>
          <w:highlight w:val="none"/>
          <w:lang w:val="en-US" w:eastAsia="zh-CN"/>
        </w:rPr>
        <w:t xml:space="preserve"> 配备至少1名专职或兼职具备资质的营养师。</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5.5.2</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根据中小学生年龄阶段、性别和季节，确定每餐能量和营养素搭配比例，</w:t>
      </w:r>
      <w:r>
        <w:rPr>
          <w:rFonts w:hint="eastAsia" w:ascii="宋体" w:hAnsi="宋体" w:eastAsia="宋体" w:cs="宋体"/>
          <w:color w:val="auto"/>
          <w:sz w:val="21"/>
          <w:szCs w:val="21"/>
          <w:highlight w:val="none"/>
          <w:lang w:val="en-US" w:eastAsia="zh-CN"/>
        </w:rPr>
        <w:t>合理</w:t>
      </w:r>
      <w:r>
        <w:rPr>
          <w:rFonts w:hint="eastAsia" w:ascii="宋体" w:hAnsi="宋体" w:cs="宋体"/>
          <w:color w:val="auto"/>
          <w:sz w:val="21"/>
          <w:szCs w:val="21"/>
          <w:highlight w:val="none"/>
          <w:lang w:val="en-US" w:eastAsia="zh-CN"/>
        </w:rPr>
        <w:t>安排主、副食</w:t>
      </w:r>
      <w:r>
        <w:rPr>
          <w:rFonts w:hint="eastAsia" w:ascii="宋体" w:hAnsi="宋体" w:eastAsia="宋体" w:cs="宋体"/>
          <w:color w:val="auto"/>
          <w:sz w:val="21"/>
          <w:szCs w:val="21"/>
          <w:highlight w:val="none"/>
          <w:lang w:val="en-US" w:eastAsia="zh-CN"/>
        </w:rPr>
        <w:t>，制定满足各阶段学生生长发育所需能量和营养</w:t>
      </w:r>
      <w:r>
        <w:rPr>
          <w:rFonts w:hint="eastAsia" w:ascii="宋体" w:hAnsi="宋体" w:cs="宋体"/>
          <w:color w:val="auto"/>
          <w:sz w:val="21"/>
          <w:szCs w:val="21"/>
          <w:highlight w:val="none"/>
          <w:lang w:val="en-US" w:eastAsia="zh-CN"/>
        </w:rPr>
        <w:t>素</w:t>
      </w:r>
      <w:r>
        <w:rPr>
          <w:rFonts w:hint="eastAsia" w:ascii="宋体" w:hAnsi="宋体" w:eastAsia="宋体" w:cs="宋体"/>
          <w:color w:val="auto"/>
          <w:sz w:val="21"/>
          <w:szCs w:val="21"/>
          <w:highlight w:val="none"/>
          <w:lang w:val="en-US" w:eastAsia="zh-CN"/>
        </w:rPr>
        <w:t>的带量食谱目录。</w:t>
      </w:r>
      <w:r>
        <w:rPr>
          <w:rFonts w:hint="eastAsia" w:ascii="宋体" w:hAnsi="宋体" w:cs="宋体"/>
          <w:color w:val="auto"/>
          <w:sz w:val="21"/>
          <w:szCs w:val="21"/>
          <w:highlight w:val="none"/>
          <w:lang w:val="en-US" w:eastAsia="zh-CN"/>
        </w:rPr>
        <w:t>每餐能量和营养素搭配比例及食材用量可</w:t>
      </w:r>
      <w:r>
        <w:rPr>
          <w:rFonts w:hint="eastAsia" w:ascii="宋体" w:hAnsi="宋体" w:eastAsia="宋体" w:cs="宋体"/>
          <w:color w:val="auto"/>
          <w:sz w:val="21"/>
          <w:szCs w:val="21"/>
          <w:highlight w:val="none"/>
          <w:lang w:val="en-US" w:eastAsia="zh-CN"/>
        </w:rPr>
        <w:t>参照WS/T 554</w:t>
      </w:r>
      <w:r>
        <w:rPr>
          <w:rFonts w:hint="eastAsia" w:ascii="宋体" w:hAnsi="宋体" w:cs="宋体"/>
          <w:color w:val="auto"/>
          <w:sz w:val="21"/>
          <w:szCs w:val="21"/>
          <w:highlight w:val="none"/>
          <w:lang w:val="en-US" w:eastAsia="zh-CN"/>
        </w:rPr>
        <w:t>及《贵州省农村义务教育学生营养午餐推荐带量食谱（试行）》。</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5.5.3 </w:t>
      </w:r>
      <w:r>
        <w:rPr>
          <w:rFonts w:hint="eastAsia" w:ascii="宋体" w:hAnsi="宋体" w:eastAsia="宋体" w:cs="宋体"/>
          <w:color w:val="auto"/>
          <w:sz w:val="21"/>
          <w:szCs w:val="21"/>
          <w:highlight w:val="none"/>
          <w:lang w:val="en-US" w:eastAsia="zh-CN"/>
        </w:rPr>
        <w:t>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制售冷荤类</w:t>
      </w:r>
      <w:r>
        <w:rPr>
          <w:rFonts w:hint="eastAsia" w:ascii="宋体" w:hAnsi="宋体" w:cs="宋体"/>
          <w:color w:val="auto"/>
          <w:sz w:val="21"/>
          <w:szCs w:val="21"/>
          <w:highlight w:val="none"/>
          <w:lang w:val="en-US" w:eastAsia="zh-CN"/>
        </w:rPr>
        <w:t>（熟食卤味、凉拌肉类）</w:t>
      </w:r>
      <w:r>
        <w:rPr>
          <w:rFonts w:hint="eastAsia" w:ascii="宋体" w:hAnsi="宋体" w:eastAsia="宋体" w:cs="宋体"/>
          <w:color w:val="auto"/>
          <w:sz w:val="21"/>
          <w:szCs w:val="21"/>
          <w:highlight w:val="none"/>
          <w:lang w:val="en-US" w:eastAsia="zh-CN"/>
        </w:rPr>
        <w:t>、生食类</w:t>
      </w:r>
      <w:r>
        <w:rPr>
          <w:rFonts w:hint="eastAsia" w:ascii="宋体" w:hAnsi="宋体" w:cs="宋体"/>
          <w:color w:val="auto"/>
          <w:sz w:val="21"/>
          <w:szCs w:val="21"/>
          <w:highlight w:val="none"/>
          <w:lang w:val="en-US" w:eastAsia="zh-CN"/>
        </w:rPr>
        <w:t>（刺身等）</w:t>
      </w:r>
      <w:r>
        <w:rPr>
          <w:rFonts w:hint="eastAsia" w:ascii="宋体" w:hAnsi="宋体" w:eastAsia="宋体" w:cs="宋体"/>
          <w:color w:val="auto"/>
          <w:sz w:val="21"/>
          <w:szCs w:val="21"/>
          <w:highlight w:val="none"/>
          <w:lang w:val="en-US" w:eastAsia="zh-CN"/>
        </w:rPr>
        <w:t>、裱花蛋糕</w:t>
      </w:r>
      <w:r>
        <w:rPr>
          <w:rFonts w:hint="eastAsia" w:ascii="宋体" w:hAnsi="宋体" w:cs="宋体"/>
          <w:color w:val="auto"/>
          <w:sz w:val="21"/>
          <w:szCs w:val="21"/>
          <w:highlight w:val="none"/>
          <w:lang w:val="en-US" w:eastAsia="zh-CN"/>
        </w:rPr>
        <w:t>及其他冷加工糕点(拔丝肉松蛋糕、三明治等）、</w:t>
      </w:r>
      <w:r>
        <w:rPr>
          <w:rFonts w:hint="eastAsia" w:ascii="宋体" w:hAnsi="宋体" w:eastAsia="宋体" w:cs="宋体"/>
          <w:color w:val="auto"/>
          <w:sz w:val="21"/>
          <w:szCs w:val="21"/>
          <w:highlight w:val="none"/>
          <w:lang w:val="en-US" w:eastAsia="zh-CN"/>
        </w:rPr>
        <w:t>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使用四季豆、鲜黄花菜、野生蘑菇、发芽</w:t>
      </w:r>
      <w:r>
        <w:rPr>
          <w:rFonts w:hint="eastAsia" w:ascii="宋体" w:hAnsi="宋体" w:cs="宋体"/>
          <w:color w:val="auto"/>
          <w:sz w:val="21"/>
          <w:szCs w:val="21"/>
          <w:highlight w:val="none"/>
          <w:lang w:val="en-US" w:eastAsia="zh-CN"/>
        </w:rPr>
        <w:t>或发青</w:t>
      </w:r>
      <w:r>
        <w:rPr>
          <w:rFonts w:hint="eastAsia" w:ascii="宋体" w:hAnsi="宋体" w:eastAsia="宋体" w:cs="宋体"/>
          <w:color w:val="auto"/>
          <w:sz w:val="21"/>
          <w:szCs w:val="21"/>
          <w:highlight w:val="none"/>
          <w:lang w:val="en-US" w:eastAsia="zh-CN"/>
        </w:rPr>
        <w:t>土豆</w:t>
      </w:r>
      <w:r>
        <w:rPr>
          <w:rFonts w:hint="eastAsia" w:ascii="宋体" w:hAnsi="宋体" w:cs="宋体"/>
          <w:color w:val="auto"/>
          <w:sz w:val="21"/>
          <w:szCs w:val="21"/>
          <w:highlight w:val="none"/>
          <w:lang w:val="en-US" w:eastAsia="zh-CN"/>
        </w:rPr>
        <w:t>、野菜</w:t>
      </w:r>
      <w:r>
        <w:rPr>
          <w:rFonts w:hint="eastAsia" w:ascii="宋体" w:hAnsi="宋体" w:eastAsia="宋体" w:cs="宋体"/>
          <w:color w:val="auto"/>
          <w:sz w:val="21"/>
          <w:szCs w:val="21"/>
          <w:highlight w:val="none"/>
          <w:lang w:val="en-US" w:eastAsia="zh-CN"/>
        </w:rPr>
        <w:t>等高风险食材。</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5.5.4 </w:t>
      </w:r>
      <w:r>
        <w:rPr>
          <w:rFonts w:hint="eastAsia" w:ascii="宋体" w:hAnsi="宋体" w:eastAsia="宋体" w:cs="宋体"/>
          <w:color w:val="auto"/>
          <w:sz w:val="21"/>
          <w:szCs w:val="21"/>
          <w:highlight w:val="none"/>
          <w:lang w:val="en-US" w:eastAsia="zh-CN"/>
        </w:rPr>
        <w:t>不</w:t>
      </w:r>
      <w:r>
        <w:rPr>
          <w:rFonts w:hint="eastAsia" w:ascii="宋体" w:hAnsi="宋体" w:cs="宋体"/>
          <w:color w:val="auto"/>
          <w:sz w:val="21"/>
          <w:szCs w:val="21"/>
          <w:highlight w:val="none"/>
          <w:lang w:val="en-US" w:eastAsia="zh-CN"/>
        </w:rPr>
        <w:t>宜</w:t>
      </w:r>
      <w:r>
        <w:rPr>
          <w:rFonts w:hint="eastAsia" w:ascii="宋体" w:hAnsi="宋体" w:eastAsia="宋体" w:cs="宋体"/>
          <w:color w:val="auto"/>
          <w:sz w:val="21"/>
          <w:szCs w:val="21"/>
          <w:highlight w:val="none"/>
          <w:lang w:val="en-US" w:eastAsia="zh-CN"/>
        </w:rPr>
        <w:t>制售</w:t>
      </w:r>
      <w:r>
        <w:rPr>
          <w:rFonts w:hint="eastAsia" w:ascii="宋体" w:hAnsi="宋体" w:cs="宋体"/>
          <w:color w:val="auto"/>
          <w:sz w:val="21"/>
          <w:szCs w:val="21"/>
          <w:highlight w:val="none"/>
          <w:lang w:val="en-US" w:eastAsia="zh-CN"/>
        </w:rPr>
        <w:t>带细菌和寄生虫类动物源性食材（黄鳝、小龙虾、田螺等）、冷荤类（凉菜、凉粉、凉面、生食蔬菜、沙拉、腌菜等）未经检验的生鲜乳及自制乳制品（冰淇淋、酸奶等）、鲜榨果蔬汁、自制豆浆</w:t>
      </w:r>
      <w:r>
        <w:rPr>
          <w:rFonts w:hint="eastAsia" w:ascii="宋体" w:hAnsi="宋体" w:eastAsia="宋体" w:cs="宋体"/>
          <w:color w:val="auto"/>
          <w:sz w:val="21"/>
          <w:szCs w:val="21"/>
          <w:highlight w:val="none"/>
          <w:lang w:val="en-US" w:eastAsia="zh-CN"/>
        </w:rPr>
        <w:t>等高风险</w:t>
      </w:r>
      <w:r>
        <w:rPr>
          <w:rFonts w:hint="eastAsia" w:ascii="宋体" w:hAnsi="宋体" w:cs="宋体"/>
          <w:color w:val="auto"/>
          <w:sz w:val="21"/>
          <w:szCs w:val="21"/>
          <w:highlight w:val="none"/>
          <w:lang w:val="en-US" w:eastAsia="zh-CN"/>
        </w:rPr>
        <w:t>食品。</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0" w:lineRule="atLeast"/>
        <w:ind w:left="0" w:leftChars="0" w:firstLine="0" w:firstLineChars="0"/>
        <w:jc w:val="both"/>
        <w:textAlignment w:val="auto"/>
        <w:outlineLvl w:val="1"/>
        <w:rPr>
          <w:rFonts w:hint="eastAsia" w:ascii="黑体" w:hAnsi="黑体" w:eastAsia="黑体" w:cs="黑体"/>
          <w:color w:val="auto"/>
          <w:sz w:val="21"/>
          <w:szCs w:val="21"/>
          <w:highlight w:val="none"/>
          <w:lang w:val="en-US" w:eastAsia="zh-CN"/>
        </w:rPr>
      </w:pPr>
      <w:bookmarkStart w:id="88" w:name="OLE_LINK48"/>
      <w:r>
        <w:rPr>
          <w:rFonts w:hint="eastAsia" w:ascii="黑体" w:hAnsi="黑体" w:eastAsia="黑体" w:cs="黑体"/>
          <w:color w:val="auto"/>
          <w:sz w:val="21"/>
          <w:szCs w:val="21"/>
          <w:highlight w:val="none"/>
          <w:lang w:val="en-US" w:eastAsia="zh-CN"/>
        </w:rPr>
        <w:t>5.6 互联网+明厨亮灶</w:t>
      </w:r>
    </w:p>
    <w:bookmarkEnd w:id="88"/>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lang w:val="en-US" w:eastAsia="zh-CN"/>
        </w:rPr>
        <w:t>5.6.1 应配备与膳食加工场所相适应的监控设备，在食品原料贮存、粗加工、烹饪制作、餐用具清洗消</w:t>
      </w:r>
      <w:r>
        <w:rPr>
          <w:rFonts w:hint="eastAsia" w:ascii="宋体" w:hAnsi="宋体" w:cs="宋体"/>
          <w:color w:val="auto"/>
          <w:sz w:val="21"/>
          <w:szCs w:val="21"/>
          <w:highlight w:val="none"/>
          <w:shd w:val="clear" w:color="auto" w:fill="auto"/>
          <w:lang w:val="en-US" w:eastAsia="zh-CN"/>
        </w:rPr>
        <w:t>毒、食品留样、备餐等重点区域/关键环节实施视频监控全覆盖。</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5.6.2 将监控数据接入“互联网+明厨亮灶”系统，</w:t>
      </w:r>
      <w:r>
        <w:rPr>
          <w:rFonts w:hint="eastAsia" w:ascii="宋体" w:hAnsi="宋体" w:eastAsia="宋体" w:cs="宋体"/>
          <w:color w:val="auto"/>
          <w:sz w:val="21"/>
          <w:szCs w:val="21"/>
          <w:highlight w:val="none"/>
          <w:shd w:val="clear" w:color="auto" w:fill="auto"/>
          <w:lang w:val="en-US" w:eastAsia="zh-CN"/>
        </w:rPr>
        <w:t>向家长、学校、教育部门和监管部门展示相关过程</w:t>
      </w:r>
      <w:r>
        <w:rPr>
          <w:rFonts w:hint="eastAsia" w:ascii="宋体" w:hAnsi="宋体" w:cs="宋体"/>
          <w:color w:val="auto"/>
          <w:sz w:val="21"/>
          <w:szCs w:val="21"/>
          <w:highlight w:val="none"/>
          <w:shd w:val="clear" w:color="auto" w:fill="auto"/>
          <w:lang w:val="en-US" w:eastAsia="zh-CN"/>
        </w:rPr>
        <w:t>，实时监控各重点区域。监控视频应至少保存一个月以上。</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5.6.3 监控系统发现的操作不规范、环境卫生差、有害生物孳生等问题，应加强整改提升。</w:t>
      </w:r>
    </w:p>
    <w:p>
      <w:pPr>
        <w:pageBreakBefore w:val="0"/>
        <w:kinsoku/>
        <w:wordWrap/>
        <w:overflowPunct/>
        <w:topLinePunct w:val="0"/>
        <w:autoSpaceDE/>
        <w:autoSpaceDN/>
        <w:bidi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5.7 快速检测</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5.7.</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学校食堂</w:t>
      </w:r>
      <w:r>
        <w:rPr>
          <w:rFonts w:hint="eastAsia" w:ascii="宋体" w:hAnsi="宋体" w:cs="宋体"/>
          <w:color w:val="auto"/>
          <w:sz w:val="21"/>
          <w:szCs w:val="21"/>
          <w:highlight w:val="none"/>
          <w:lang w:val="en-US" w:eastAsia="zh-CN"/>
        </w:rPr>
        <w:t>宜</w:t>
      </w:r>
      <w:r>
        <w:rPr>
          <w:rFonts w:hint="eastAsia" w:ascii="宋体" w:hAnsi="宋体" w:eastAsia="宋体" w:cs="宋体"/>
          <w:color w:val="auto"/>
          <w:sz w:val="21"/>
          <w:szCs w:val="21"/>
          <w:highlight w:val="none"/>
          <w:lang w:val="en-US" w:eastAsia="zh-CN"/>
        </w:rPr>
        <w:t>设立</w:t>
      </w:r>
      <w:r>
        <w:rPr>
          <w:rFonts w:hint="eastAsia" w:ascii="宋体" w:hAnsi="宋体" w:cs="宋体"/>
          <w:color w:val="auto"/>
          <w:sz w:val="21"/>
          <w:szCs w:val="21"/>
          <w:highlight w:val="none"/>
          <w:lang w:val="en-US" w:eastAsia="zh-CN"/>
        </w:rPr>
        <w:t>快速检测</w:t>
      </w:r>
      <w:r>
        <w:rPr>
          <w:rFonts w:hint="eastAsia" w:ascii="宋体" w:hAnsi="宋体" w:eastAsia="宋体" w:cs="宋体"/>
          <w:color w:val="auto"/>
          <w:sz w:val="21"/>
          <w:szCs w:val="21"/>
          <w:highlight w:val="none"/>
          <w:lang w:val="en-US" w:eastAsia="zh-CN"/>
        </w:rPr>
        <w:t>实验室，对每批次</w:t>
      </w:r>
      <w:bookmarkStart w:id="89" w:name="OLE_LINK32"/>
      <w:r>
        <w:rPr>
          <w:rFonts w:hint="eastAsia" w:ascii="宋体" w:hAnsi="宋体" w:eastAsia="宋体" w:cs="宋体"/>
          <w:color w:val="auto"/>
          <w:sz w:val="21"/>
          <w:szCs w:val="21"/>
          <w:highlight w:val="none"/>
          <w:lang w:val="en-US" w:eastAsia="zh-CN"/>
        </w:rPr>
        <w:t>生鲜农产品</w:t>
      </w:r>
      <w:bookmarkEnd w:id="89"/>
      <w:r>
        <w:rPr>
          <w:rFonts w:hint="eastAsia" w:ascii="宋体" w:hAnsi="宋体" w:eastAsia="宋体" w:cs="宋体"/>
          <w:color w:val="auto"/>
          <w:sz w:val="21"/>
          <w:szCs w:val="21"/>
          <w:highlight w:val="none"/>
          <w:lang w:val="en-US" w:eastAsia="zh-CN"/>
        </w:rPr>
        <w:t>的农药残留、兽药残留等指标进行</w:t>
      </w:r>
      <w:bookmarkStart w:id="90" w:name="OLE_LINK23"/>
      <w:r>
        <w:rPr>
          <w:rFonts w:hint="eastAsia" w:ascii="宋体" w:hAnsi="宋体" w:eastAsia="宋体" w:cs="宋体"/>
          <w:color w:val="auto"/>
          <w:sz w:val="21"/>
          <w:szCs w:val="21"/>
          <w:highlight w:val="none"/>
          <w:lang w:val="en-US" w:eastAsia="zh-CN"/>
        </w:rPr>
        <w:t>快速检测</w:t>
      </w:r>
      <w:bookmarkEnd w:id="90"/>
      <w:r>
        <w:rPr>
          <w:rFonts w:hint="eastAsia" w:ascii="宋体" w:hAnsi="宋体" w:cs="宋体"/>
          <w:color w:val="auto"/>
          <w:sz w:val="21"/>
          <w:szCs w:val="21"/>
          <w:highlight w:val="none"/>
          <w:lang w:val="en-US" w:eastAsia="zh-CN"/>
        </w:rPr>
        <w:t>，实验室</w:t>
      </w:r>
      <w:r>
        <w:rPr>
          <w:rFonts w:hint="eastAsia" w:ascii="宋体" w:hAnsi="宋体" w:eastAsia="宋体" w:cs="宋体"/>
          <w:color w:val="auto"/>
          <w:sz w:val="21"/>
          <w:szCs w:val="21"/>
          <w:highlight w:val="none"/>
          <w:lang w:val="en-US" w:eastAsia="zh-CN"/>
        </w:rPr>
        <w:t>面积应与加工制作规模、食品品种相适应，至少配备1名</w:t>
      </w:r>
      <w:r>
        <w:rPr>
          <w:rFonts w:hint="eastAsia" w:ascii="宋体" w:hAnsi="宋体" w:cs="宋体"/>
          <w:color w:val="auto"/>
          <w:sz w:val="21"/>
          <w:szCs w:val="21"/>
          <w:highlight w:val="none"/>
          <w:lang w:val="en-US" w:eastAsia="zh-CN"/>
        </w:rPr>
        <w:t>具</w:t>
      </w:r>
      <w:r>
        <w:rPr>
          <w:rFonts w:hint="eastAsia" w:ascii="宋体" w:hAnsi="宋体" w:eastAsia="宋体" w:cs="宋体"/>
          <w:color w:val="auto"/>
          <w:sz w:val="21"/>
          <w:szCs w:val="21"/>
          <w:highlight w:val="none"/>
          <w:lang w:val="en-US" w:eastAsia="zh-CN"/>
        </w:rPr>
        <w:t>有专业基础并</w:t>
      </w:r>
      <w:r>
        <w:rPr>
          <w:rFonts w:hint="eastAsia" w:ascii="宋体" w:hAnsi="宋体" w:cs="宋体"/>
          <w:color w:val="auto"/>
          <w:sz w:val="21"/>
          <w:szCs w:val="21"/>
          <w:highlight w:val="none"/>
          <w:lang w:val="en-US" w:eastAsia="zh-CN"/>
        </w:rPr>
        <w:t>经</w:t>
      </w:r>
      <w:r>
        <w:rPr>
          <w:rFonts w:hint="eastAsia" w:ascii="宋体" w:hAnsi="宋体" w:eastAsia="宋体" w:cs="宋体"/>
          <w:color w:val="auto"/>
          <w:sz w:val="21"/>
          <w:szCs w:val="21"/>
          <w:highlight w:val="none"/>
          <w:lang w:val="en-US" w:eastAsia="zh-CN"/>
        </w:rPr>
        <w:t>培训考核</w:t>
      </w:r>
      <w:r>
        <w:rPr>
          <w:rFonts w:hint="eastAsia" w:ascii="宋体" w:hAnsi="宋体" w:cs="宋体"/>
          <w:color w:val="auto"/>
          <w:sz w:val="21"/>
          <w:szCs w:val="21"/>
          <w:highlight w:val="none"/>
          <w:lang w:val="en-US" w:eastAsia="zh-CN"/>
        </w:rPr>
        <w:t>合格</w:t>
      </w:r>
      <w:r>
        <w:rPr>
          <w:rFonts w:hint="eastAsia" w:ascii="宋体" w:hAnsi="宋体" w:eastAsia="宋体" w:cs="宋体"/>
          <w:color w:val="auto"/>
          <w:sz w:val="21"/>
          <w:szCs w:val="21"/>
          <w:highlight w:val="none"/>
          <w:lang w:val="en-US" w:eastAsia="zh-CN"/>
        </w:rPr>
        <w:t>的快速检测人员</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快检结果存档1年以上。</w:t>
      </w:r>
      <w:r>
        <w:rPr>
          <w:rFonts w:hint="eastAsia" w:ascii="宋体" w:hAnsi="宋体" w:cs="宋体"/>
          <w:color w:val="auto"/>
          <w:sz w:val="21"/>
          <w:szCs w:val="21"/>
          <w:highlight w:val="none"/>
          <w:lang w:val="en-US" w:eastAsia="zh-CN"/>
        </w:rPr>
        <w:t>无</w:t>
      </w:r>
      <w:r>
        <w:rPr>
          <w:rFonts w:hint="eastAsia" w:ascii="宋体" w:hAnsi="宋体" w:eastAsia="宋体" w:cs="宋体"/>
          <w:color w:val="auto"/>
          <w:sz w:val="21"/>
          <w:szCs w:val="21"/>
          <w:highlight w:val="none"/>
          <w:lang w:val="en-US" w:eastAsia="zh-CN"/>
        </w:rPr>
        <w:t>快</w:t>
      </w:r>
      <w:r>
        <w:rPr>
          <w:rFonts w:hint="eastAsia" w:ascii="宋体" w:hAnsi="宋体" w:cs="宋体"/>
          <w:color w:val="auto"/>
          <w:sz w:val="21"/>
          <w:szCs w:val="21"/>
          <w:highlight w:val="none"/>
          <w:lang w:val="en-US" w:eastAsia="zh-CN"/>
        </w:rPr>
        <w:t>实验室的学校食堂应在食材验收时，查验对应批次</w:t>
      </w:r>
      <w:r>
        <w:rPr>
          <w:rFonts w:hint="eastAsia" w:ascii="宋体" w:hAnsi="宋体" w:eastAsia="宋体" w:cs="宋体"/>
          <w:color w:val="auto"/>
          <w:sz w:val="21"/>
          <w:szCs w:val="21"/>
          <w:highlight w:val="none"/>
          <w:lang w:val="en-US" w:eastAsia="zh-CN"/>
        </w:rPr>
        <w:t>生鲜农产品</w:t>
      </w:r>
      <w:r>
        <w:rPr>
          <w:rFonts w:hint="eastAsia" w:ascii="宋体" w:hAnsi="宋体" w:cs="宋体"/>
          <w:color w:val="auto"/>
          <w:sz w:val="21"/>
          <w:szCs w:val="21"/>
          <w:highlight w:val="none"/>
          <w:lang w:val="en-US" w:eastAsia="zh-CN"/>
        </w:rPr>
        <w:t>的第三方</w:t>
      </w:r>
      <w:r>
        <w:rPr>
          <w:rFonts w:hint="eastAsia" w:ascii="宋体" w:hAnsi="宋体" w:eastAsia="宋体" w:cs="宋体"/>
          <w:color w:val="auto"/>
          <w:sz w:val="21"/>
          <w:szCs w:val="21"/>
          <w:highlight w:val="none"/>
          <w:lang w:val="en-US" w:eastAsia="zh-CN"/>
        </w:rPr>
        <w:t>快速检测</w:t>
      </w:r>
      <w:r>
        <w:rPr>
          <w:rFonts w:hint="eastAsia" w:ascii="宋体" w:hAnsi="宋体" w:cs="宋体"/>
          <w:color w:val="auto"/>
          <w:sz w:val="21"/>
          <w:szCs w:val="21"/>
          <w:highlight w:val="none"/>
          <w:lang w:val="en-US" w:eastAsia="zh-CN"/>
        </w:rPr>
        <w:t>合格报告。</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 xml:space="preserve"> </w:t>
      </w:r>
      <w:bookmarkStart w:id="91" w:name="OLE_LINK24"/>
      <w:r>
        <w:rPr>
          <w:rFonts w:hint="eastAsia" w:ascii="宋体" w:hAnsi="宋体" w:cs="宋体"/>
          <w:color w:val="auto"/>
          <w:sz w:val="21"/>
          <w:szCs w:val="21"/>
          <w:highlight w:val="none"/>
          <w:lang w:val="en-US" w:eastAsia="zh-CN"/>
        </w:rPr>
        <w:t>集体用餐配送单位</w:t>
      </w:r>
      <w:bookmarkEnd w:id="91"/>
      <w:r>
        <w:rPr>
          <w:rFonts w:hint="eastAsia" w:ascii="宋体" w:hAnsi="宋体" w:eastAsia="宋体" w:cs="宋体"/>
          <w:color w:val="auto"/>
          <w:sz w:val="21"/>
          <w:szCs w:val="21"/>
          <w:highlight w:val="none"/>
          <w:lang w:val="en-US" w:eastAsia="zh-CN"/>
        </w:rPr>
        <w:t>应制定大宗食品原料、加工制作环境的</w:t>
      </w:r>
      <w:r>
        <w:rPr>
          <w:rFonts w:hint="eastAsia" w:ascii="宋体" w:hAnsi="宋体" w:cs="宋体"/>
          <w:color w:val="auto"/>
          <w:sz w:val="21"/>
          <w:szCs w:val="21"/>
          <w:highlight w:val="none"/>
          <w:lang w:val="en-US" w:eastAsia="zh-CN"/>
        </w:rPr>
        <w:t>快速</w:t>
      </w:r>
      <w:r>
        <w:rPr>
          <w:rFonts w:hint="eastAsia" w:ascii="宋体" w:hAnsi="宋体" w:eastAsia="宋体" w:cs="宋体"/>
          <w:color w:val="auto"/>
          <w:sz w:val="21"/>
          <w:szCs w:val="21"/>
          <w:highlight w:val="none"/>
          <w:lang w:val="en-US" w:eastAsia="zh-CN"/>
        </w:rPr>
        <w:t>检测计划，</w:t>
      </w:r>
      <w:r>
        <w:rPr>
          <w:rFonts w:hint="eastAsia" w:ascii="宋体" w:hAnsi="宋体" w:cs="宋体"/>
          <w:color w:val="auto"/>
          <w:sz w:val="21"/>
          <w:szCs w:val="21"/>
          <w:highlight w:val="none"/>
          <w:lang w:val="en-US" w:eastAsia="zh-CN"/>
        </w:rPr>
        <w:t>合理确定检测项目、指标和频次，</w:t>
      </w:r>
      <w:r>
        <w:rPr>
          <w:rFonts w:hint="eastAsia" w:ascii="宋体" w:hAnsi="宋体" w:eastAsia="宋体" w:cs="宋体"/>
          <w:color w:val="auto"/>
          <w:sz w:val="21"/>
          <w:szCs w:val="21"/>
          <w:highlight w:val="none"/>
          <w:lang w:val="en-US" w:eastAsia="zh-CN"/>
        </w:rPr>
        <w:t>可自行或委托具有资质的第三</w:t>
      </w:r>
      <w:r>
        <w:rPr>
          <w:rFonts w:hint="eastAsia" w:ascii="宋体" w:hAnsi="宋体" w:eastAsia="宋体" w:cs="宋体"/>
          <w:color w:val="auto"/>
          <w:sz w:val="21"/>
          <w:szCs w:val="21"/>
          <w:highlight w:val="none"/>
          <w:shd w:val="clear" w:color="auto" w:fill="auto"/>
          <w:lang w:val="en-US" w:eastAsia="zh-CN"/>
        </w:rPr>
        <w:t>方机构进行检测</w:t>
      </w:r>
      <w:r>
        <w:rPr>
          <w:rFonts w:hint="eastAsia" w:ascii="宋体" w:hAnsi="宋体" w:cs="宋体"/>
          <w:color w:val="auto"/>
          <w:sz w:val="21"/>
          <w:szCs w:val="21"/>
          <w:highlight w:val="none"/>
          <w:shd w:val="clear" w:color="auto" w:fill="auto"/>
          <w:lang w:val="en-US" w:eastAsia="zh-CN"/>
        </w:rPr>
        <w:t>。自行检测的，应具备与所检项目相适应的实验室和检测能力，检测人员应经过培训考核。实验室管理</w:t>
      </w:r>
      <w:bookmarkStart w:id="92" w:name="OLE_LINK22"/>
      <w:r>
        <w:rPr>
          <w:rFonts w:hint="eastAsia" w:ascii="宋体" w:hAnsi="宋体" w:cs="宋体"/>
          <w:color w:val="auto"/>
          <w:sz w:val="21"/>
          <w:szCs w:val="21"/>
          <w:highlight w:val="none"/>
          <w:shd w:val="clear" w:color="auto" w:fill="auto"/>
          <w:lang w:val="en-US" w:eastAsia="zh-CN"/>
        </w:rPr>
        <w:t>按照DB5201/T 135</w:t>
      </w:r>
      <w:bookmarkEnd w:id="92"/>
      <w:r>
        <w:rPr>
          <w:rFonts w:hint="eastAsia" w:ascii="宋体" w:hAnsi="宋体" w:cs="宋体"/>
          <w:color w:val="auto"/>
          <w:sz w:val="21"/>
          <w:szCs w:val="21"/>
          <w:highlight w:val="none"/>
          <w:shd w:val="clear" w:color="auto" w:fill="auto"/>
          <w:lang w:val="en-US" w:eastAsia="zh-CN"/>
        </w:rPr>
        <w:t>执行。</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0" w:lineRule="atLeast"/>
        <w:ind w:left="0" w:leftChars="0" w:firstLine="0" w:firstLineChars="0"/>
        <w:jc w:val="both"/>
        <w:textAlignment w:val="auto"/>
        <w:outlineLvl w:val="1"/>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 xml:space="preserve">5.8 </w:t>
      </w:r>
      <w:bookmarkStart w:id="93" w:name="OLE_LINK38"/>
      <w:r>
        <w:rPr>
          <w:rFonts w:hint="eastAsia" w:ascii="黑体" w:hAnsi="黑体" w:eastAsia="黑体" w:cs="黑体"/>
          <w:color w:val="auto"/>
          <w:sz w:val="21"/>
          <w:szCs w:val="21"/>
          <w:highlight w:val="none"/>
          <w:lang w:val="en-US" w:eastAsia="zh-CN"/>
        </w:rPr>
        <w:t>食品添加剂</w:t>
      </w:r>
      <w:bookmarkEnd w:id="93"/>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5.8</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使用食品添加剂的，应在技术上确有必要，并在达到预期效果的前提下尽可能降低使用量。</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5.8</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应按照GB 2760规定的食品添加剂品种、使用范围和使用限量使用食品添加剂。</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5.8</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采购、贮存、使用亚硝酸盐（包括亚硝酸钠、亚硝酸钾）</w:t>
      </w:r>
      <w:r>
        <w:rPr>
          <w:rFonts w:hint="eastAsia" w:ascii="宋体" w:hAnsi="宋体" w:cs="宋体"/>
          <w:color w:val="auto"/>
          <w:sz w:val="21"/>
          <w:szCs w:val="21"/>
          <w:highlight w:val="none"/>
          <w:lang w:val="en-US" w:eastAsia="zh-CN"/>
        </w:rPr>
        <w:t>等国家禁止在餐饮业使用的品种</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5.8</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lang w:val="en-US" w:eastAsia="zh-CN"/>
        </w:rPr>
        <w:t>食品添加剂应专人采购、专人专柜保管、专人领用、专人登记，存放在固定场所，</w:t>
      </w:r>
      <w:r>
        <w:rPr>
          <w:rFonts w:hint="eastAsia" w:ascii="宋体" w:hAnsi="宋体" w:cs="宋体"/>
          <w:color w:val="auto"/>
          <w:sz w:val="21"/>
          <w:szCs w:val="21"/>
          <w:highlight w:val="none"/>
          <w:lang w:val="en-US" w:eastAsia="zh-CN"/>
        </w:rPr>
        <w:t>专柜上</w:t>
      </w:r>
      <w:r>
        <w:rPr>
          <w:rFonts w:hint="eastAsia" w:ascii="宋体" w:hAnsi="宋体" w:eastAsia="宋体" w:cs="宋体"/>
          <w:color w:val="auto"/>
          <w:sz w:val="21"/>
          <w:szCs w:val="21"/>
          <w:highlight w:val="none"/>
          <w:lang w:val="en-US" w:eastAsia="zh-CN"/>
        </w:rPr>
        <w:t>标识“食品添加剂”字样</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使用容器盛放拆包后的食品添加剂的，应在盛放容器上标明食品添加剂名称，并保留原包装。</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5.8</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lang w:val="en-US" w:eastAsia="zh-CN"/>
        </w:rPr>
        <w:t>使用食品添加剂应准确称量，建立食品添加剂</w:t>
      </w:r>
      <w:r>
        <w:rPr>
          <w:rFonts w:hint="eastAsia" w:ascii="宋体" w:hAnsi="宋体" w:cs="宋体"/>
          <w:color w:val="auto"/>
          <w:sz w:val="21"/>
          <w:szCs w:val="21"/>
          <w:highlight w:val="none"/>
          <w:lang w:val="en-US" w:eastAsia="zh-CN"/>
        </w:rPr>
        <w:t>使用专</w:t>
      </w:r>
      <w:r>
        <w:rPr>
          <w:rFonts w:hint="eastAsia" w:ascii="宋体" w:hAnsi="宋体" w:eastAsia="宋体" w:cs="宋体"/>
          <w:color w:val="auto"/>
          <w:sz w:val="21"/>
          <w:szCs w:val="21"/>
          <w:highlight w:val="none"/>
          <w:lang w:val="en-US" w:eastAsia="zh-CN"/>
        </w:rPr>
        <w:t>账，记录使用的食品添加剂名称、加工日期或批号、添加的食品品种、添加量、添加时间、</w:t>
      </w:r>
      <w:r>
        <w:rPr>
          <w:rFonts w:hint="eastAsia" w:ascii="宋体" w:hAnsi="宋体" w:cs="宋体"/>
          <w:color w:val="auto"/>
          <w:sz w:val="21"/>
          <w:szCs w:val="21"/>
          <w:highlight w:val="none"/>
          <w:lang w:val="en-US" w:eastAsia="zh-CN"/>
        </w:rPr>
        <w:t>使用</w:t>
      </w:r>
      <w:r>
        <w:rPr>
          <w:rFonts w:hint="eastAsia" w:ascii="宋体" w:hAnsi="宋体" w:eastAsia="宋体" w:cs="宋体"/>
          <w:color w:val="auto"/>
          <w:sz w:val="21"/>
          <w:szCs w:val="21"/>
          <w:highlight w:val="none"/>
          <w:lang w:val="en-US" w:eastAsia="zh-CN"/>
        </w:rPr>
        <w:t>人员等信息。</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shd w:val="clear" w:color="auto" w:fill="auto"/>
          <w:lang w:val="en-US" w:eastAsia="zh-CN"/>
        </w:rPr>
        <w:t>5.8</w:t>
      </w:r>
      <w:r>
        <w:rPr>
          <w:rFonts w:hint="eastAsia" w:ascii="宋体" w:hAnsi="宋体" w:eastAsia="宋体" w:cs="宋体"/>
          <w:color w:val="auto"/>
          <w:sz w:val="21"/>
          <w:szCs w:val="21"/>
          <w:highlight w:val="none"/>
          <w:shd w:val="clear" w:color="auto" w:fill="auto"/>
          <w:lang w:val="en-US" w:eastAsia="zh-CN"/>
        </w:rPr>
        <w:t>.</w:t>
      </w:r>
      <w:r>
        <w:rPr>
          <w:rFonts w:hint="eastAsia" w:ascii="宋体" w:hAnsi="宋体" w:cs="宋体"/>
          <w:color w:val="auto"/>
          <w:sz w:val="21"/>
          <w:szCs w:val="21"/>
          <w:highlight w:val="none"/>
          <w:shd w:val="clear" w:color="auto" w:fill="auto"/>
          <w:lang w:val="en-US" w:eastAsia="zh-CN"/>
        </w:rPr>
        <w:t xml:space="preserve">6 </w:t>
      </w:r>
      <w:r>
        <w:rPr>
          <w:rFonts w:hint="eastAsia" w:ascii="宋体" w:hAnsi="宋体" w:eastAsia="宋体" w:cs="宋体"/>
          <w:color w:val="auto"/>
          <w:sz w:val="21"/>
          <w:szCs w:val="21"/>
          <w:highlight w:val="none"/>
          <w:shd w:val="clear" w:color="auto" w:fill="auto"/>
          <w:lang w:val="en-US" w:eastAsia="zh-CN"/>
        </w:rPr>
        <w:t>使用有GB 2760“最大使用量”规定的食品添加剂，</w:t>
      </w:r>
      <w:r>
        <w:rPr>
          <w:rFonts w:hint="eastAsia" w:ascii="宋体" w:hAnsi="宋体" w:eastAsia="宋体" w:cs="宋体"/>
          <w:color w:val="auto"/>
          <w:sz w:val="21"/>
          <w:szCs w:val="21"/>
          <w:highlight w:val="none"/>
          <w:lang w:val="en-US" w:eastAsia="zh-CN"/>
        </w:rPr>
        <w:t>应精准称量使用</w:t>
      </w:r>
      <w:r>
        <w:rPr>
          <w:rFonts w:hint="eastAsia" w:ascii="宋体" w:hAnsi="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0" w:lineRule="atLeast"/>
        <w:ind w:left="0" w:leftChars="0" w:firstLine="0" w:firstLineChars="0"/>
        <w:jc w:val="both"/>
        <w:textAlignment w:val="auto"/>
        <w:outlineLvl w:val="1"/>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 xml:space="preserve">5.9 </w:t>
      </w:r>
      <w:bookmarkStart w:id="94" w:name="OLE_LINK39"/>
      <w:r>
        <w:rPr>
          <w:rFonts w:hint="eastAsia" w:ascii="黑体" w:hAnsi="黑体" w:eastAsia="黑体" w:cs="黑体"/>
          <w:color w:val="auto"/>
          <w:sz w:val="21"/>
          <w:szCs w:val="21"/>
          <w:highlight w:val="none"/>
          <w:lang w:val="en-US" w:eastAsia="zh-CN"/>
        </w:rPr>
        <w:t>洗涤剂、消毒剂、杀虫剂和杀鼠剂</w:t>
      </w:r>
      <w:bookmarkEnd w:id="94"/>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bookmarkStart w:id="95" w:name="OLE_LINK58"/>
      <w:r>
        <w:rPr>
          <w:rFonts w:hint="eastAsia" w:ascii="宋体" w:hAnsi="宋体" w:cs="宋体"/>
          <w:color w:val="auto"/>
          <w:sz w:val="21"/>
          <w:szCs w:val="21"/>
          <w:highlight w:val="none"/>
          <w:lang w:val="en-US" w:eastAsia="zh-CN"/>
        </w:rPr>
        <w:t>5.9.</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w:t>
      </w:r>
      <w:bookmarkStart w:id="96" w:name="OLE_LINK2"/>
      <w:bookmarkStart w:id="97" w:name="OLE_LINK56"/>
      <w:bookmarkStart w:id="98" w:name="OLE_LINK57"/>
      <w:r>
        <w:rPr>
          <w:rFonts w:hint="eastAsia" w:ascii="宋体" w:hAnsi="宋体" w:cs="宋体"/>
          <w:color w:val="auto"/>
          <w:sz w:val="21"/>
          <w:szCs w:val="21"/>
          <w:highlight w:val="none"/>
          <w:lang w:val="en-US" w:eastAsia="zh-CN"/>
        </w:rPr>
        <w:t>洗涤</w:t>
      </w:r>
      <w:bookmarkEnd w:id="96"/>
      <w:r>
        <w:rPr>
          <w:rFonts w:hint="eastAsia" w:ascii="宋体" w:hAnsi="宋体" w:eastAsia="宋体" w:cs="宋体"/>
          <w:color w:val="auto"/>
          <w:sz w:val="21"/>
          <w:szCs w:val="21"/>
          <w:highlight w:val="none"/>
          <w:lang w:val="en-US" w:eastAsia="zh-CN"/>
        </w:rPr>
        <w:t>剂</w:t>
      </w:r>
      <w:bookmarkEnd w:id="97"/>
      <w:r>
        <w:rPr>
          <w:rFonts w:hint="eastAsia" w:ascii="宋体" w:hAnsi="宋体" w:eastAsia="宋体" w:cs="宋体"/>
          <w:color w:val="auto"/>
          <w:sz w:val="21"/>
          <w:szCs w:val="21"/>
          <w:highlight w:val="none"/>
          <w:lang w:val="en-US" w:eastAsia="zh-CN"/>
        </w:rPr>
        <w:t>、消毒剂</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杀虫剂</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杀鼠剂</w:t>
      </w:r>
      <w:bookmarkEnd w:id="98"/>
      <w:r>
        <w:rPr>
          <w:rFonts w:hint="eastAsia" w:ascii="宋体" w:hAnsi="宋体" w:eastAsia="宋体" w:cs="宋体"/>
          <w:color w:val="auto"/>
          <w:sz w:val="21"/>
          <w:szCs w:val="21"/>
          <w:highlight w:val="none"/>
          <w:lang w:val="en-US" w:eastAsia="zh-CN"/>
        </w:rPr>
        <w:t>应</w:t>
      </w:r>
      <w:r>
        <w:rPr>
          <w:rFonts w:hint="eastAsia" w:ascii="宋体" w:hAnsi="宋体" w:cs="宋体"/>
          <w:color w:val="auto"/>
          <w:sz w:val="21"/>
          <w:szCs w:val="21"/>
          <w:highlight w:val="none"/>
          <w:lang w:val="en-US" w:eastAsia="zh-CN"/>
        </w:rPr>
        <w:t>分别</w:t>
      </w:r>
      <w:r>
        <w:rPr>
          <w:rFonts w:hint="eastAsia" w:ascii="宋体" w:hAnsi="宋体" w:eastAsia="宋体" w:cs="宋体"/>
          <w:color w:val="auto"/>
          <w:sz w:val="21"/>
          <w:szCs w:val="21"/>
          <w:highlight w:val="none"/>
          <w:lang w:val="en-US" w:eastAsia="zh-CN"/>
        </w:rPr>
        <w:t>存放在固定场所（或橱柜）并远离膳食加工区域，有明显的警示标识，有专人负责保管</w:t>
      </w:r>
      <w:r>
        <w:rPr>
          <w:rFonts w:hint="eastAsia" w:ascii="宋体" w:hAnsi="宋体" w:cs="宋体"/>
          <w:color w:val="auto"/>
          <w:sz w:val="21"/>
          <w:szCs w:val="21"/>
          <w:highlight w:val="none"/>
          <w:lang w:val="en-US" w:eastAsia="zh-CN"/>
        </w:rPr>
        <w:t>，使用后应立即归还至固定场所</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分装的洗涤</w:t>
      </w:r>
      <w:r>
        <w:rPr>
          <w:rFonts w:hint="eastAsia" w:ascii="宋体" w:hAnsi="宋体" w:eastAsia="宋体" w:cs="宋体"/>
          <w:color w:val="auto"/>
          <w:sz w:val="21"/>
          <w:szCs w:val="21"/>
          <w:highlight w:val="none"/>
          <w:lang w:val="en-US" w:eastAsia="zh-CN"/>
        </w:rPr>
        <w:t>剂、消毒剂</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杀虫剂</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杀鼠剂</w:t>
      </w:r>
      <w:r>
        <w:rPr>
          <w:rFonts w:hint="eastAsia" w:ascii="宋体" w:hAnsi="宋体" w:cs="宋体"/>
          <w:color w:val="auto"/>
          <w:sz w:val="21"/>
          <w:szCs w:val="21"/>
          <w:highlight w:val="none"/>
          <w:lang w:val="en-US" w:eastAsia="zh-CN"/>
        </w:rPr>
        <w:t>应标识清楚，避免与食物混用。</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5.9</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使用的洗涤剂</w:t>
      </w:r>
      <w:r>
        <w:rPr>
          <w:rFonts w:hint="eastAsia" w:ascii="宋体" w:hAnsi="宋体" w:cs="宋体"/>
          <w:color w:val="auto"/>
          <w:sz w:val="21"/>
          <w:szCs w:val="21"/>
          <w:highlight w:val="none"/>
          <w:lang w:val="en-US" w:eastAsia="zh-CN"/>
        </w:rPr>
        <w:t>应符合</w:t>
      </w:r>
      <w:r>
        <w:rPr>
          <w:rFonts w:hint="eastAsia" w:ascii="宋体" w:hAnsi="宋体" w:eastAsia="宋体" w:cs="宋体"/>
          <w:color w:val="auto"/>
          <w:sz w:val="21"/>
          <w:szCs w:val="21"/>
          <w:highlight w:val="none"/>
          <w:lang w:val="en-US" w:eastAsia="zh-CN"/>
        </w:rPr>
        <w:t>GB 14930.1</w:t>
      </w:r>
      <w:r>
        <w:rPr>
          <w:rFonts w:hint="eastAsia" w:ascii="宋体" w:hAnsi="宋体" w:cs="宋体"/>
          <w:color w:val="auto"/>
          <w:sz w:val="21"/>
          <w:szCs w:val="21"/>
          <w:highlight w:val="none"/>
          <w:lang w:val="en-US" w:eastAsia="zh-CN"/>
        </w:rPr>
        <w:t>的要求，</w:t>
      </w:r>
      <w:r>
        <w:rPr>
          <w:rFonts w:hint="eastAsia" w:ascii="宋体" w:hAnsi="宋体" w:eastAsia="宋体" w:cs="宋体"/>
          <w:color w:val="auto"/>
          <w:sz w:val="21"/>
          <w:szCs w:val="21"/>
          <w:highlight w:val="none"/>
          <w:lang w:val="en-US" w:eastAsia="zh-CN"/>
        </w:rPr>
        <w:t>使用的消毒剂应符合GB 14930.2</w:t>
      </w:r>
      <w:r>
        <w:rPr>
          <w:rFonts w:hint="eastAsia" w:ascii="宋体" w:hAnsi="宋体" w:cs="宋体"/>
          <w:color w:val="auto"/>
          <w:sz w:val="21"/>
          <w:szCs w:val="21"/>
          <w:highlight w:val="none"/>
          <w:lang w:val="en-US" w:eastAsia="zh-CN"/>
        </w:rPr>
        <w:t>的要求</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5.9.3 使用的卫生杀虫剂和杀鼠剂，应标签信息齐全（农药登记证、农药生产许可证、农药标准）并在有效期内。不应将不同的卫生杀虫剂制剂混配。</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5.9</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4 宜使用低毒或微毒的卫生杀虫剂和杀鼠剂。</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5.9</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5 使用卫生杀虫剂和杀鼠剂的人员应经过有害生物防制专业培训。</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5.9.6 应针对不同的作业环境，选择适宜种类和剂型</w:t>
      </w:r>
      <w:r>
        <w:rPr>
          <w:rFonts w:hint="eastAsia" w:ascii="宋体" w:hAnsi="宋体" w:eastAsia="宋体" w:cs="宋体"/>
          <w:color w:val="auto"/>
          <w:sz w:val="21"/>
          <w:szCs w:val="21"/>
          <w:highlight w:val="none"/>
          <w:lang w:val="en-US" w:eastAsia="zh-CN"/>
        </w:rPr>
        <w:t>杀虫剂、杀鼠剂</w:t>
      </w:r>
      <w:r>
        <w:rPr>
          <w:rFonts w:hint="eastAsia" w:ascii="宋体" w:hAnsi="宋体" w:cs="宋体"/>
          <w:color w:val="auto"/>
          <w:sz w:val="21"/>
          <w:szCs w:val="21"/>
          <w:highlight w:val="none"/>
          <w:lang w:val="en-US" w:eastAsia="zh-CN"/>
        </w:rPr>
        <w:t>，并严格根据杀虫剂和杀鼠剂的技术要求确定使用剂量和位置，设置警示标识。</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5.9.7 </w:t>
      </w:r>
      <w:r>
        <w:rPr>
          <w:rFonts w:hint="eastAsia" w:ascii="宋体" w:hAnsi="宋体" w:eastAsia="宋体" w:cs="宋体"/>
          <w:color w:val="auto"/>
          <w:sz w:val="21"/>
          <w:szCs w:val="21"/>
          <w:highlight w:val="none"/>
          <w:lang w:val="en-US" w:eastAsia="zh-CN"/>
        </w:rPr>
        <w:t>应核查和记录</w:t>
      </w:r>
      <w:r>
        <w:rPr>
          <w:rFonts w:hint="eastAsia" w:ascii="宋体" w:hAnsi="宋体" w:cs="宋体"/>
          <w:color w:val="auto"/>
          <w:sz w:val="21"/>
          <w:szCs w:val="21"/>
          <w:highlight w:val="none"/>
          <w:lang w:val="en-US" w:eastAsia="zh-CN"/>
        </w:rPr>
        <w:t>洗涤</w:t>
      </w:r>
      <w:r>
        <w:rPr>
          <w:rFonts w:hint="eastAsia" w:ascii="宋体" w:hAnsi="宋体" w:eastAsia="宋体" w:cs="宋体"/>
          <w:color w:val="auto"/>
          <w:sz w:val="21"/>
          <w:szCs w:val="21"/>
          <w:highlight w:val="none"/>
          <w:lang w:val="en-US" w:eastAsia="zh-CN"/>
        </w:rPr>
        <w:t>剂、消毒剂、杀虫剂、杀鼠剂的采购和使用，包括使用人、使用区域、使用时间、使用量、配制浓度等。</w:t>
      </w:r>
    </w:p>
    <w:bookmarkEnd w:id="95"/>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5.9.8 宜</w:t>
      </w:r>
      <w:r>
        <w:rPr>
          <w:rFonts w:hint="default" w:ascii="宋体" w:hAnsi="宋体" w:eastAsia="宋体" w:cs="宋体"/>
          <w:b w:val="0"/>
          <w:bCs w:val="0"/>
          <w:color w:val="auto"/>
          <w:sz w:val="21"/>
          <w:szCs w:val="21"/>
          <w:highlight w:val="none"/>
          <w:lang w:val="en-US" w:eastAsia="zh-CN"/>
        </w:rPr>
        <w:t>选择有资质的第三方机构实施消毒、杀虫、灭鼠工作。</w:t>
      </w:r>
    </w:p>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line="240" w:lineRule="auto"/>
        <w:ind w:left="0" w:leftChars="0" w:firstLine="0" w:firstLineChars="0"/>
        <w:jc w:val="both"/>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6 供餐过程管理</w:t>
      </w:r>
      <w:bookmarkEnd w:id="85"/>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ind w:left="0" w:leftChars="0" w:firstLine="0" w:firstLineChars="0"/>
        <w:jc w:val="both"/>
        <w:textAlignment w:val="auto"/>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1"/>
          <w:szCs w:val="21"/>
          <w:highlight w:val="none"/>
          <w:lang w:val="en-US" w:eastAsia="zh-CN"/>
        </w:rPr>
        <w:t xml:space="preserve">6.1 </w:t>
      </w:r>
      <w:bookmarkStart w:id="99" w:name="OLE_LINK40"/>
      <w:r>
        <w:rPr>
          <w:rFonts w:hint="eastAsia" w:ascii="黑体" w:hAnsi="黑体" w:eastAsia="黑体" w:cs="黑体"/>
          <w:b w:val="0"/>
          <w:bCs w:val="0"/>
          <w:color w:val="auto"/>
          <w:sz w:val="21"/>
          <w:szCs w:val="21"/>
          <w:highlight w:val="none"/>
          <w:lang w:val="en-US" w:eastAsia="zh-CN"/>
        </w:rPr>
        <w:t>采购与验收</w:t>
      </w:r>
      <w:bookmarkEnd w:id="99"/>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1.1 </w:t>
      </w:r>
      <w:r>
        <w:rPr>
          <w:rFonts w:hint="eastAsia" w:ascii="宋体" w:hAnsi="宋体" w:cs="宋体"/>
          <w:color w:val="auto"/>
          <w:sz w:val="21"/>
          <w:szCs w:val="21"/>
          <w:highlight w:val="none"/>
          <w:lang w:val="en-US" w:eastAsia="zh-CN"/>
        </w:rPr>
        <w:t>应制定并实施食品、食品添加剂及食品相关产品采购控制要求，不应采购法律、法规禁止生产经营的食品、食品添加剂及食品相关产品。供货商应具备合法的许可资质，采购时应查验并留存其许可资质复印件。</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w:t>
      </w:r>
      <w:r>
        <w:rPr>
          <w:rFonts w:hint="eastAsia" w:ascii="宋体" w:hAnsi="宋体" w:eastAsia="宋体" w:cs="宋体"/>
          <w:color w:val="auto"/>
          <w:sz w:val="21"/>
          <w:szCs w:val="21"/>
          <w:highlight w:val="none"/>
          <w:shd w:val="clear" w:color="auto" w:fill="auto"/>
          <w:lang w:val="en-US" w:eastAsia="zh-CN"/>
        </w:rPr>
        <w:t>1.</w:t>
      </w:r>
      <w:r>
        <w:rPr>
          <w:rFonts w:hint="eastAsia" w:ascii="宋体" w:hAnsi="宋体" w:cs="宋体"/>
          <w:color w:val="auto"/>
          <w:sz w:val="21"/>
          <w:szCs w:val="21"/>
          <w:highlight w:val="none"/>
          <w:shd w:val="clear" w:color="auto" w:fill="auto"/>
          <w:lang w:val="en-US" w:eastAsia="zh-CN"/>
        </w:rPr>
        <w:t>2</w:t>
      </w:r>
      <w:bookmarkStart w:id="100" w:name="OLE_LINK25"/>
      <w:r>
        <w:rPr>
          <w:rFonts w:hint="eastAsia" w:ascii="宋体" w:hAnsi="宋体" w:eastAsia="宋体" w:cs="宋体"/>
          <w:color w:val="auto"/>
          <w:sz w:val="21"/>
          <w:szCs w:val="21"/>
          <w:highlight w:val="none"/>
          <w:shd w:val="clear" w:color="auto" w:fill="auto"/>
          <w:lang w:val="en-US" w:eastAsia="zh-CN"/>
        </w:rPr>
        <w:t>严格管控食品</w:t>
      </w:r>
      <w:bookmarkEnd w:id="100"/>
      <w:r>
        <w:rPr>
          <w:rFonts w:hint="eastAsia" w:ascii="宋体" w:hAnsi="宋体" w:eastAsia="宋体" w:cs="宋体"/>
          <w:color w:val="auto"/>
          <w:sz w:val="21"/>
          <w:szCs w:val="21"/>
          <w:highlight w:val="none"/>
          <w:shd w:val="clear" w:color="auto" w:fill="auto"/>
          <w:lang w:val="en-US" w:eastAsia="zh-CN"/>
        </w:rPr>
        <w:t>、食品添加剂和食品相关产品的采购渠道</w:t>
      </w:r>
      <w:r>
        <w:rPr>
          <w:rFonts w:hint="eastAsia" w:ascii="宋体" w:hAnsi="宋体" w:cs="宋体"/>
          <w:color w:val="auto"/>
          <w:sz w:val="21"/>
          <w:szCs w:val="21"/>
          <w:highlight w:val="none"/>
          <w:shd w:val="clear" w:color="auto" w:fill="auto"/>
          <w:lang w:val="en-US" w:eastAsia="zh-CN"/>
        </w:rPr>
        <w:t>，以确保其质量安全</w:t>
      </w:r>
      <w:r>
        <w:rPr>
          <w:rFonts w:hint="eastAsia" w:ascii="宋体" w:hAnsi="宋体" w:eastAsia="宋体" w:cs="宋体"/>
          <w:color w:val="auto"/>
          <w:sz w:val="21"/>
          <w:szCs w:val="21"/>
          <w:highlight w:val="none"/>
          <w:shd w:val="clear" w:color="auto" w:fill="auto"/>
          <w:lang w:val="en-US" w:eastAsia="zh-CN"/>
        </w:rPr>
        <w:t>。</w:t>
      </w:r>
      <w:r>
        <w:rPr>
          <w:rFonts w:hint="eastAsia" w:ascii="宋体" w:hAnsi="宋体" w:cs="宋体"/>
          <w:color w:val="auto"/>
          <w:sz w:val="21"/>
          <w:szCs w:val="21"/>
          <w:highlight w:val="none"/>
          <w:shd w:val="clear" w:color="auto" w:fill="auto"/>
          <w:lang w:val="en-US" w:eastAsia="zh-CN"/>
        </w:rPr>
        <w:t>宜</w:t>
      </w:r>
      <w:r>
        <w:rPr>
          <w:rFonts w:hint="eastAsia" w:ascii="宋体" w:hAnsi="宋体" w:eastAsia="宋体" w:cs="宋体"/>
          <w:color w:val="auto"/>
          <w:sz w:val="21"/>
          <w:szCs w:val="21"/>
          <w:highlight w:val="none"/>
          <w:shd w:val="clear" w:color="auto" w:fill="auto"/>
          <w:lang w:val="en-US" w:eastAsia="zh-CN"/>
        </w:rPr>
        <w:t>公开招标食材配送。</w:t>
      </w:r>
      <w:r>
        <w:rPr>
          <w:rFonts w:hint="eastAsia" w:ascii="宋体" w:hAnsi="宋体" w:cs="宋体"/>
          <w:color w:val="auto"/>
          <w:sz w:val="21"/>
          <w:szCs w:val="21"/>
          <w:highlight w:val="none"/>
          <w:shd w:val="clear" w:color="auto" w:fill="auto"/>
          <w:lang w:val="en-US" w:eastAsia="zh-CN"/>
        </w:rPr>
        <w:t>宜</w:t>
      </w:r>
      <w:r>
        <w:rPr>
          <w:rFonts w:hint="eastAsia" w:ascii="宋体" w:hAnsi="宋体" w:eastAsia="宋体" w:cs="宋体"/>
          <w:color w:val="auto"/>
          <w:sz w:val="21"/>
          <w:szCs w:val="21"/>
          <w:highlight w:val="none"/>
          <w:shd w:val="clear" w:color="auto" w:fill="auto"/>
          <w:lang w:val="en-US" w:eastAsia="zh-CN"/>
        </w:rPr>
        <w:t>建立大宗食材优质农产品基地直供，减少食材采购和流通环节，降低原材料成本。</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严格履行进货查验。</w:t>
      </w:r>
      <w:r>
        <w:rPr>
          <w:rFonts w:hint="eastAsia" w:ascii="宋体" w:hAnsi="宋体" w:cs="宋体"/>
          <w:color w:val="auto"/>
          <w:sz w:val="21"/>
          <w:szCs w:val="21"/>
          <w:highlight w:val="none"/>
          <w:lang w:val="en-US" w:eastAsia="zh-CN"/>
        </w:rPr>
        <w:t>应查验并留存供货商的产品合格证明文件</w:t>
      </w:r>
      <w:r>
        <w:rPr>
          <w:rFonts w:hint="eastAsia" w:ascii="宋体" w:hAnsi="宋体" w:eastAsia="宋体" w:cs="宋体"/>
          <w:color w:val="auto"/>
          <w:sz w:val="21"/>
          <w:szCs w:val="21"/>
          <w:highlight w:val="none"/>
          <w:lang w:val="en-US" w:eastAsia="zh-CN"/>
        </w:rPr>
        <w:t>。大米、面粉、食用植物油、调味料、肉类食品必须同时具有国家规定的相关资质、产品质量检验报告、动物检疫合格证等。</w:t>
      </w:r>
      <w:r>
        <w:rPr>
          <w:rFonts w:hint="eastAsia" w:ascii="宋体" w:hAnsi="宋体" w:cs="宋体"/>
          <w:color w:val="auto"/>
          <w:sz w:val="21"/>
          <w:szCs w:val="21"/>
          <w:highlight w:val="none"/>
          <w:lang w:val="en-US" w:eastAsia="zh-CN"/>
        </w:rPr>
        <w:t>蔬菜、水果等食用农产品还应查验快检报告。</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lang w:val="en-US" w:eastAsia="zh-CN"/>
        </w:rPr>
        <w:t xml:space="preserve">6.1.4 </w:t>
      </w:r>
      <w:r>
        <w:rPr>
          <w:rFonts w:hint="eastAsia" w:ascii="宋体" w:hAnsi="宋体" w:eastAsia="宋体" w:cs="宋体"/>
          <w:color w:val="auto"/>
          <w:sz w:val="21"/>
          <w:szCs w:val="21"/>
          <w:highlight w:val="none"/>
          <w:lang w:val="en-US" w:eastAsia="zh-CN"/>
        </w:rPr>
        <w:t>原料</w:t>
      </w:r>
      <w:r>
        <w:rPr>
          <w:rFonts w:hint="eastAsia" w:ascii="宋体" w:hAnsi="宋体" w:cs="宋体"/>
          <w:color w:val="auto"/>
          <w:sz w:val="21"/>
          <w:szCs w:val="21"/>
          <w:highlight w:val="none"/>
          <w:lang w:val="en-US" w:eastAsia="zh-CN"/>
        </w:rPr>
        <w:t>验收时应检查其外观无腐败、变质或污染</w:t>
      </w:r>
      <w:r>
        <w:rPr>
          <w:rFonts w:hint="eastAsia" w:ascii="宋体" w:hAnsi="宋体" w:eastAsia="宋体" w:cs="宋体"/>
          <w:color w:val="auto"/>
          <w:sz w:val="21"/>
          <w:szCs w:val="21"/>
          <w:highlight w:val="none"/>
          <w:lang w:val="en-US" w:eastAsia="zh-CN"/>
        </w:rPr>
        <w:t>，包装完整、清洁、无破损，具有符合要求的标签</w:t>
      </w:r>
      <w:r>
        <w:rPr>
          <w:rFonts w:hint="eastAsia" w:ascii="宋体" w:hAnsi="宋体" w:eastAsia="宋体" w:cs="宋体"/>
          <w:color w:val="auto"/>
          <w:sz w:val="21"/>
          <w:szCs w:val="21"/>
          <w:highlight w:val="none"/>
          <w:shd w:val="clear" w:color="auto" w:fill="auto"/>
          <w:lang w:val="en-US" w:eastAsia="zh-CN"/>
        </w:rPr>
        <w:t>标识且在保质期内。</w:t>
      </w:r>
      <w:r>
        <w:rPr>
          <w:rFonts w:hint="eastAsia" w:ascii="宋体" w:hAnsi="宋体" w:cs="宋体"/>
          <w:color w:val="auto"/>
          <w:sz w:val="21"/>
          <w:szCs w:val="21"/>
          <w:highlight w:val="none"/>
          <w:shd w:val="clear" w:color="auto" w:fill="auto"/>
          <w:lang w:val="en-US" w:eastAsia="zh-CN"/>
        </w:rPr>
        <w:t>应尽可能缩短冷冻（藏）食品的验收时间，减少其温度变化。不应采购转基因食用植物油。</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w:t>
      </w:r>
      <w:r>
        <w:rPr>
          <w:rFonts w:hint="eastAsia" w:ascii="宋体" w:hAnsi="宋体" w:eastAsia="宋体" w:cs="宋体"/>
          <w:color w:val="auto"/>
          <w:sz w:val="21"/>
          <w:szCs w:val="21"/>
          <w:highlight w:val="none"/>
          <w:shd w:val="clear" w:color="auto" w:fill="auto"/>
          <w:lang w:val="en-US" w:eastAsia="zh-CN"/>
        </w:rPr>
        <w:t>.1.</w:t>
      </w:r>
      <w:r>
        <w:rPr>
          <w:rFonts w:hint="eastAsia" w:ascii="宋体" w:hAnsi="宋体" w:cs="宋体"/>
          <w:color w:val="auto"/>
          <w:sz w:val="21"/>
          <w:szCs w:val="21"/>
          <w:highlight w:val="none"/>
          <w:shd w:val="clear" w:color="auto" w:fill="auto"/>
          <w:lang w:val="en-US" w:eastAsia="zh-CN"/>
        </w:rPr>
        <w:t>5</w:t>
      </w:r>
      <w:r>
        <w:rPr>
          <w:rFonts w:hint="eastAsia" w:ascii="宋体" w:hAnsi="宋体" w:eastAsia="宋体" w:cs="宋体"/>
          <w:color w:val="auto"/>
          <w:sz w:val="21"/>
          <w:szCs w:val="21"/>
          <w:highlight w:val="none"/>
          <w:shd w:val="clear" w:color="auto" w:fill="auto"/>
          <w:lang w:val="en-US" w:eastAsia="zh-CN"/>
        </w:rPr>
        <w:t xml:space="preserve"> 严格履行索证索票。采购食品、食品添加剂、食品相关产品时，应留存每笔购物凭证。</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0" w:lineRule="atLeast"/>
        <w:jc w:val="both"/>
        <w:textAlignment w:val="auto"/>
        <w:outlineLvl w:val="1"/>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 xml:space="preserve">6.2 </w:t>
      </w:r>
      <w:bookmarkStart w:id="101" w:name="OLE_LINK41"/>
      <w:r>
        <w:rPr>
          <w:rFonts w:hint="eastAsia" w:ascii="黑体" w:hAnsi="黑体" w:eastAsia="黑体" w:cs="黑体"/>
          <w:color w:val="auto"/>
          <w:sz w:val="21"/>
          <w:szCs w:val="21"/>
          <w:highlight w:val="none"/>
          <w:lang w:val="en-US" w:eastAsia="zh-CN"/>
        </w:rPr>
        <w:t>原料贮存</w:t>
      </w:r>
      <w:bookmarkEnd w:id="101"/>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.2.1 </w:t>
      </w:r>
      <w:r>
        <w:rPr>
          <w:rFonts w:hint="eastAsia" w:ascii="宋体" w:hAnsi="宋体" w:cs="宋体"/>
          <w:color w:val="auto"/>
          <w:sz w:val="21"/>
          <w:szCs w:val="21"/>
          <w:highlight w:val="none"/>
          <w:lang w:val="en-US" w:eastAsia="zh-CN"/>
        </w:rPr>
        <w:t>食品原料、半成品、成品应分隔贮存，并且贮存过程中应与墙壁、地面保持10cm以上。</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6.6.2 散装食品（食用农产品除外）贮存位置应标明食品的名称、生产日期或者生产批号、使用期限等内容，宜使用密闭容器贮存。</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6.2.3 贮存过程应符合保证食品安全所需的温度、湿度等特殊要求。</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w:t>
      </w:r>
      <w:r>
        <w:rPr>
          <w:rFonts w:hint="eastAsia" w:ascii="宋体" w:hAnsi="宋体" w:eastAsia="宋体" w:cs="宋体"/>
          <w:color w:val="auto"/>
          <w:sz w:val="21"/>
          <w:szCs w:val="21"/>
          <w:highlight w:val="none"/>
          <w:shd w:val="clear" w:color="auto" w:fill="auto"/>
          <w:lang w:val="en-US" w:eastAsia="zh-CN"/>
        </w:rPr>
        <w:t>.</w:t>
      </w:r>
      <w:r>
        <w:rPr>
          <w:rFonts w:hint="eastAsia" w:ascii="宋体" w:hAnsi="宋体" w:cs="宋体"/>
          <w:color w:val="auto"/>
          <w:sz w:val="21"/>
          <w:szCs w:val="21"/>
          <w:highlight w:val="none"/>
          <w:shd w:val="clear" w:color="auto" w:fill="auto"/>
          <w:lang w:val="en-US" w:eastAsia="zh-CN"/>
        </w:rPr>
        <w:t>2.4</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cs="宋体"/>
          <w:color w:val="auto"/>
          <w:sz w:val="21"/>
          <w:szCs w:val="21"/>
          <w:highlight w:val="none"/>
          <w:shd w:val="clear" w:color="auto" w:fill="auto"/>
          <w:lang w:val="en-US" w:eastAsia="zh-CN"/>
        </w:rPr>
        <w:t>食品库房</w:t>
      </w:r>
      <w:r>
        <w:rPr>
          <w:rFonts w:hint="eastAsia" w:ascii="宋体" w:hAnsi="宋体" w:eastAsia="宋体" w:cs="宋体"/>
          <w:color w:val="auto"/>
          <w:sz w:val="21"/>
          <w:szCs w:val="21"/>
          <w:highlight w:val="none"/>
          <w:shd w:val="clear" w:color="auto" w:fill="auto"/>
          <w:lang w:val="en-US" w:eastAsia="zh-CN"/>
        </w:rPr>
        <w:t>应设专人管理，建立管理制度，</w:t>
      </w:r>
      <w:r>
        <w:rPr>
          <w:rFonts w:hint="eastAsia" w:ascii="宋体" w:hAnsi="宋体" w:cs="宋体"/>
          <w:color w:val="auto"/>
          <w:sz w:val="21"/>
          <w:szCs w:val="21"/>
          <w:highlight w:val="none"/>
          <w:shd w:val="clear" w:color="auto" w:fill="auto"/>
          <w:lang w:val="en-US" w:eastAsia="zh-CN"/>
        </w:rPr>
        <w:t>按照先进、先出、先用的原则使用食品原料、添加剂及相关产品。</w:t>
      </w:r>
      <w:r>
        <w:rPr>
          <w:rFonts w:hint="eastAsia" w:ascii="宋体" w:hAnsi="宋体" w:eastAsia="宋体" w:cs="宋体"/>
          <w:color w:val="auto"/>
          <w:sz w:val="21"/>
          <w:szCs w:val="21"/>
          <w:highlight w:val="none"/>
          <w:shd w:val="clear" w:color="auto" w:fill="auto"/>
          <w:lang w:val="en-US" w:eastAsia="zh-CN"/>
        </w:rPr>
        <w:t>定期检查</w:t>
      </w:r>
      <w:r>
        <w:rPr>
          <w:rFonts w:hint="eastAsia" w:ascii="宋体" w:hAnsi="宋体" w:cs="宋体"/>
          <w:color w:val="auto"/>
          <w:sz w:val="21"/>
          <w:szCs w:val="21"/>
          <w:highlight w:val="none"/>
          <w:shd w:val="clear" w:color="auto" w:fill="auto"/>
          <w:lang w:val="en-US" w:eastAsia="zh-CN"/>
        </w:rPr>
        <w:t>，存在感官性状异常、超过保质期等情形的，应及时清理。</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shd w:val="clear" w:color="auto" w:fill="auto"/>
          <w:lang w:val="en-US" w:eastAsia="zh-CN"/>
        </w:rPr>
      </w:pPr>
      <w:bookmarkStart w:id="102" w:name="OLE_LINK31"/>
      <w:r>
        <w:rPr>
          <w:rFonts w:hint="eastAsia" w:ascii="宋体" w:hAnsi="宋体" w:cs="宋体"/>
          <w:color w:val="auto"/>
          <w:sz w:val="21"/>
          <w:szCs w:val="21"/>
          <w:highlight w:val="none"/>
          <w:shd w:val="clear" w:color="auto" w:fill="auto"/>
          <w:lang w:val="en-US" w:eastAsia="zh-CN"/>
        </w:rPr>
        <w:t>6.2.5</w:t>
      </w:r>
      <w:bookmarkEnd w:id="102"/>
      <w:r>
        <w:rPr>
          <w:rFonts w:hint="eastAsia" w:ascii="宋体" w:hAnsi="宋体" w:cs="宋体"/>
          <w:color w:val="auto"/>
          <w:sz w:val="21"/>
          <w:szCs w:val="21"/>
          <w:highlight w:val="none"/>
          <w:shd w:val="clear" w:color="auto" w:fill="auto"/>
          <w:lang w:val="en-US" w:eastAsia="zh-CN"/>
        </w:rPr>
        <w:t xml:space="preserve"> 应分类分区贮存食品，采用颜色进行区分</w:t>
      </w:r>
      <w:r>
        <w:rPr>
          <w:rFonts w:hint="eastAsia" w:ascii="宋体" w:hAnsi="宋体" w:eastAsia="宋体" w:cs="宋体"/>
          <w:color w:val="auto"/>
          <w:sz w:val="21"/>
          <w:szCs w:val="21"/>
          <w:highlight w:val="none"/>
          <w:shd w:val="clear" w:color="auto" w:fill="auto"/>
          <w:lang w:val="en-US" w:eastAsia="zh-CN"/>
        </w:rPr>
        <w:t>管理</w:t>
      </w:r>
      <w:r>
        <w:rPr>
          <w:rFonts w:hint="eastAsia" w:ascii="宋体" w:hAnsi="宋体" w:cs="宋体"/>
          <w:color w:val="auto"/>
          <w:sz w:val="21"/>
          <w:szCs w:val="21"/>
          <w:highlight w:val="none"/>
          <w:shd w:val="clear" w:color="auto" w:fill="auto"/>
          <w:lang w:val="en-US" w:eastAsia="zh-CN"/>
        </w:rPr>
        <w:t>，确保食品原料不混放，色标颜色可参照附录B执行。同一库房内贮存不同类别食品的，应分区域或货架存放，不同区域货架应用相应色标进行标识，没有货架的区域可用相应颜色的不干胶色带或地板颜色等划分出对应的贮存区域。同一货架内贮存不同类别食品的，应使用相应色标对贮存区域进行标识，并在货架层板上标明食品类别。</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6.2.6 食品库房内应设置过期食品暂存区，过期食品暂存区应与其他食品原料、食品包装材料有明显的间隔空间，并使用相应颜色的不干胶色带或地板颜色等标识划分相应区域。及时采取无害化处理、销毁等措施清理变质、过期食品。并按规定记录。</w:t>
      </w:r>
      <w:bookmarkStart w:id="103" w:name="OLE_LINK27"/>
      <w:r>
        <w:rPr>
          <w:rFonts w:hint="eastAsia" w:ascii="宋体" w:hAnsi="宋体" w:cs="宋体"/>
          <w:color w:val="auto"/>
          <w:sz w:val="21"/>
          <w:szCs w:val="21"/>
          <w:highlight w:val="none"/>
          <w:shd w:val="clear" w:color="auto" w:fill="auto"/>
          <w:lang w:val="en-US" w:eastAsia="zh-CN"/>
        </w:rPr>
        <w:t>色标颜色可参</w:t>
      </w:r>
      <w:bookmarkStart w:id="104" w:name="OLE_LINK26"/>
      <w:r>
        <w:rPr>
          <w:rFonts w:hint="eastAsia" w:ascii="宋体" w:hAnsi="宋体" w:cs="宋体"/>
          <w:color w:val="auto"/>
          <w:sz w:val="21"/>
          <w:szCs w:val="21"/>
          <w:highlight w:val="none"/>
          <w:shd w:val="clear" w:color="auto" w:fill="auto"/>
          <w:lang w:val="en-US" w:eastAsia="zh-CN"/>
        </w:rPr>
        <w:t>照附录B执行</w:t>
      </w:r>
      <w:bookmarkEnd w:id="103"/>
      <w:bookmarkEnd w:id="104"/>
      <w:r>
        <w:rPr>
          <w:rFonts w:hint="eastAsia" w:ascii="宋体" w:hAnsi="宋体" w:cs="宋体"/>
          <w:color w:val="auto"/>
          <w:sz w:val="21"/>
          <w:szCs w:val="21"/>
          <w:highlight w:val="none"/>
          <w:shd w:val="clear" w:color="auto" w:fill="auto"/>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 冷冻</w:t>
      </w:r>
      <w:r>
        <w:rPr>
          <w:rFonts w:hint="eastAsia" w:ascii="宋体" w:hAnsi="宋体" w:cs="宋体"/>
          <w:color w:val="auto"/>
          <w:sz w:val="21"/>
          <w:szCs w:val="21"/>
          <w:highlight w:val="none"/>
          <w:lang w:val="en-US" w:eastAsia="zh-CN"/>
        </w:rPr>
        <w:t>（藏）</w:t>
      </w:r>
      <w:r>
        <w:rPr>
          <w:rFonts w:hint="eastAsia" w:ascii="宋体" w:hAnsi="宋体" w:eastAsia="宋体" w:cs="宋体"/>
          <w:color w:val="auto"/>
          <w:sz w:val="21"/>
          <w:szCs w:val="21"/>
          <w:highlight w:val="none"/>
          <w:lang w:val="en-US" w:eastAsia="zh-CN"/>
        </w:rPr>
        <w:t>柜（库）应定期维护，出现问题及时维修/更换。</w:t>
      </w:r>
    </w:p>
    <w:p>
      <w:pPr>
        <w:pStyle w:val="3"/>
        <w:keepNext/>
        <w:keepLines/>
        <w:pageBreakBefore w:val="0"/>
        <w:widowControl w:val="0"/>
        <w:kinsoku/>
        <w:wordWrap/>
        <w:overflowPunct/>
        <w:topLinePunct w:val="0"/>
        <w:autoSpaceDE/>
        <w:autoSpaceDN/>
        <w:bidi w:val="0"/>
        <w:adjustRightInd w:val="0"/>
        <w:snapToGrid/>
        <w:spacing w:before="157" w:beforeLines="50" w:after="157" w:afterLines="50" w:line="240" w:lineRule="auto"/>
        <w:textAlignment w:val="auto"/>
        <w:outlineLvl w:val="1"/>
        <w:rPr>
          <w:rFonts w:hint="eastAsia" w:ascii="黑体" w:hAnsi="黑体" w:eastAsia="黑体" w:cs="黑体"/>
          <w:b w:val="0"/>
          <w:bCs w:val="0"/>
          <w:sz w:val="21"/>
          <w:szCs w:val="21"/>
          <w:lang w:val="en-US" w:eastAsia="zh-CN"/>
        </w:rPr>
      </w:pPr>
      <w:bookmarkStart w:id="105" w:name="OLE_LINK42"/>
      <w:r>
        <w:rPr>
          <w:rFonts w:hint="eastAsia" w:ascii="黑体" w:hAnsi="黑体" w:eastAsia="黑体" w:cs="黑体"/>
          <w:b w:val="0"/>
          <w:bCs w:val="0"/>
          <w:sz w:val="21"/>
          <w:szCs w:val="21"/>
          <w:lang w:val="en-US" w:eastAsia="zh-CN"/>
        </w:rPr>
        <w:t>6.3 食品加工</w:t>
      </w:r>
    </w:p>
    <w:bookmarkEnd w:id="105"/>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.3.1 </w:t>
      </w:r>
      <w:r>
        <w:rPr>
          <w:rFonts w:hint="eastAsia" w:ascii="宋体" w:hAnsi="宋体" w:cs="宋体"/>
          <w:color w:val="auto"/>
          <w:sz w:val="21"/>
          <w:szCs w:val="21"/>
          <w:highlight w:val="none"/>
          <w:lang w:val="en-US" w:eastAsia="zh-CN"/>
        </w:rPr>
        <w:t>基本要求</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6.3.1.1 加工过程不应有法律、法规禁止的行为。</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6.3.1.2 加工前应对待加工食品进行感官检查，发现有腐败变质、混有异物或者其他感官性状异常等情形的，不应使用。</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6.3.1.3 应采取并不限于下列措施，避免食品在加工过程中受到污染：</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用于食品原料、半成品、成品的容器和工具分开放置和使用；</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不在食品处理区内从事可能污染食品的活动；</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不在食品处理区外从事食品加工、餐用具清洗消毒活动；</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接触食品的容器和工具不应直接置于地面或接触不洁物。</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6.3.1.4 不应在餐饮服务场所内饲养、暂养和宰杀畜禽。</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6.3.1.5 加工过程应规范初加工行为，减少丢弃、浪费可用原材料；优化切配工具和流程，最大程度地利用原材料；宜做好食材加工过程废弃物统计，计算损耗比例，及时调整优化加工流程。</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6.3.2 初加工</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6.3.2.1 </w:t>
      </w:r>
      <w:r>
        <w:rPr>
          <w:rFonts w:hint="eastAsia" w:ascii="宋体" w:hAnsi="宋体" w:eastAsia="宋体" w:cs="宋体"/>
          <w:color w:val="auto"/>
          <w:sz w:val="21"/>
          <w:szCs w:val="21"/>
          <w:highlight w:val="none"/>
          <w:lang w:val="en-US" w:eastAsia="zh-CN"/>
        </w:rPr>
        <w:t>非当餐</w:t>
      </w:r>
      <w:r>
        <w:rPr>
          <w:rFonts w:hint="eastAsia" w:ascii="宋体" w:hAnsi="宋体" w:cs="宋体"/>
          <w:color w:val="auto"/>
          <w:sz w:val="21"/>
          <w:szCs w:val="21"/>
          <w:highlight w:val="none"/>
          <w:lang w:val="en-US" w:eastAsia="zh-CN"/>
        </w:rPr>
        <w:t>使用的半成品、成品</w:t>
      </w:r>
      <w:r>
        <w:rPr>
          <w:rFonts w:hint="eastAsia" w:ascii="宋体" w:hAnsi="宋体" w:eastAsia="宋体" w:cs="宋体"/>
          <w:color w:val="auto"/>
          <w:sz w:val="21"/>
          <w:szCs w:val="21"/>
          <w:highlight w:val="none"/>
          <w:lang w:val="en-US" w:eastAsia="zh-CN"/>
        </w:rPr>
        <w:t>，应标记制作日期和</w:t>
      </w:r>
      <w:r>
        <w:rPr>
          <w:rFonts w:hint="eastAsia" w:ascii="宋体" w:hAnsi="宋体" w:cs="宋体"/>
          <w:color w:val="auto"/>
          <w:sz w:val="21"/>
          <w:szCs w:val="21"/>
          <w:highlight w:val="none"/>
          <w:lang w:val="en-US" w:eastAsia="zh-CN"/>
        </w:rPr>
        <w:t>食用</w:t>
      </w:r>
      <w:r>
        <w:rPr>
          <w:rFonts w:hint="eastAsia" w:ascii="宋体" w:hAnsi="宋体" w:eastAsia="宋体" w:cs="宋体"/>
          <w:color w:val="auto"/>
          <w:sz w:val="21"/>
          <w:szCs w:val="21"/>
          <w:highlight w:val="none"/>
          <w:lang w:val="en-US" w:eastAsia="zh-CN"/>
        </w:rPr>
        <w:t>期限。切配好的半成品应与原料分开存放，防止污染</w:t>
      </w:r>
      <w:r>
        <w:rPr>
          <w:rFonts w:hint="eastAsia" w:ascii="宋体" w:hAnsi="宋体" w:cs="宋体"/>
          <w:color w:val="auto"/>
          <w:sz w:val="21"/>
          <w:szCs w:val="21"/>
          <w:highlight w:val="none"/>
          <w:lang w:val="en-US" w:eastAsia="zh-CN"/>
        </w:rPr>
        <w:t>，并于适宜的温度储存</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6.3.2.2 冷冻（藏）易腐食品从冷柜（库）中取出或解冻后，应及时加工使用，不宜反复冷冻、解冻。应缩短解冻后的高危易腐食品原料在常温下的存放时间，食品原料的表面温度不宜超过8℃。</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6.3.2.3 食品原料加工前应洗净。未经事先清洁的禽蛋使用前应清洁外壳，必要时消毒。</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6.3.3 烹饪</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6.3.3.1 食品烹饪的温度和时间应能保证食品安全。</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6.3.3.2 需要烧熟煮透的食品，加工时食品的中心温度应达到70℃以上；对于特殊加工工艺，加工时食品的中心温度低于70℃的，应严格控制原料质量安全或者采取其他措施（如延长烹饪时间等），确保食品安全。</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6.3.3.3 应尽可能减少食品烹饪过程中产生有害物质。</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6.3.3.4 食品煎炸用油和油温，应当有利于减缓食用油在煎炸过程中发生劣变。煎炸用油不符合食品安全要求的，应及时更换。</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6.3.3.5 盛放调味料的容器应保持清洁，调味料使用后加盖存放或用食品级封口膜封口，应标注预包装调味料标签上标注的生产日期、保质期等内容及开封日期。</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w:t>
      </w:r>
      <w:r>
        <w:rPr>
          <w:rFonts w:hint="eastAsia" w:ascii="宋体" w:hAnsi="宋体" w:eastAsia="宋体" w:cs="宋体"/>
          <w:color w:val="auto"/>
          <w:sz w:val="21"/>
          <w:szCs w:val="21"/>
          <w:highlight w:val="none"/>
          <w:shd w:val="clear" w:color="auto" w:fill="auto"/>
          <w:lang w:val="en-US" w:eastAsia="zh-CN"/>
        </w:rPr>
        <w:t>.3.</w:t>
      </w:r>
      <w:r>
        <w:rPr>
          <w:rFonts w:hint="eastAsia" w:ascii="宋体" w:hAnsi="宋体" w:cs="宋体"/>
          <w:color w:val="auto"/>
          <w:sz w:val="21"/>
          <w:szCs w:val="21"/>
          <w:highlight w:val="none"/>
          <w:shd w:val="clear" w:color="auto" w:fill="auto"/>
          <w:lang w:val="en-US" w:eastAsia="zh-CN"/>
        </w:rPr>
        <w:t>3.6</w:t>
      </w:r>
      <w:r>
        <w:rPr>
          <w:rFonts w:hint="eastAsia" w:ascii="宋体" w:hAnsi="宋体" w:eastAsia="宋体" w:cs="宋体"/>
          <w:color w:val="auto"/>
          <w:sz w:val="21"/>
          <w:szCs w:val="21"/>
          <w:highlight w:val="none"/>
          <w:shd w:val="clear" w:color="auto" w:fill="auto"/>
          <w:lang w:val="en-US" w:eastAsia="zh-CN"/>
        </w:rPr>
        <w:t xml:space="preserve"> 烹饪加工后的成品应与半成品、原料分开存放。需要冷藏的半成品，在清洁操作区冷却后再冷藏，并标注加工时间等信息。</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default"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6.3.4 专间和专用操作区操作</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6.3.4.1 学校食堂备餐应在专间或专用操作区进行，集体用餐配送单位备餐应在专间内进行（在封闭的自动设备中操作的除外）。</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shd w:val="clear" w:color="auto" w:fill="auto"/>
          <w:lang w:val="en-US" w:eastAsia="zh-CN"/>
        </w:rPr>
        <w:t>6.3.4.2 专间和专用操作区域应有明确标识，在显著位置公示人员操作规范。其中，专间的食品传递窗应有专用可开闭窗，宜安装空气幕。</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6.3.4.3 每餐或每班使用专间前，应对操作台面和专间空气进行消毒。消毒方法应遵循消毒设施使用说明书要求。使用紫外线灯消毒的，应在无人加工制作时开启紫外线灯30分钟以上并做好记录。</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6.3.4.4 专间内操作应由专人负责，其他操作人员不应擅自进入专间。</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6.3.4.5 进入专间和专用操作区的从业人员操作时，应按规定穿戴工作衣帽和口罩，并与其他操作区工作服有明显区分。</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6.3.4.6 专间和专用操作区的从业人员加工食品前，应按规定清洗消毒手部，加工过程中应适时清洗消毒手部。应及时关闭专间的门和食品传递窗。</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6.3.4.7 专间和专用操作区使用的食品容器、工具、设备和清洁工具应专用。食品容器、工具使用前应清洗消毒并保持清洁。</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6.3.4.8 进入专间和存放在专用操作区的食品应避免受到区域内非食品的污染。</w:t>
      </w:r>
      <w:r>
        <w:rPr>
          <w:rFonts w:hint="eastAsia" w:ascii="宋体" w:hAnsi="宋体" w:eastAsia="宋体" w:cs="宋体"/>
          <w:color w:val="auto"/>
          <w:sz w:val="21"/>
          <w:szCs w:val="21"/>
          <w:highlight w:val="none"/>
          <w:lang w:val="en-US" w:eastAsia="zh-CN"/>
        </w:rPr>
        <w:t>在专用冷冻</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藏</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设备中存放食品时，宜将食品放置在密闭容器内或使用保鲜膜等进行无污染覆盖。</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6.3.4.9 不应在专间或专用操作内从事应在其他食品处理区进行或者可能污染食品的活动。</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6.3.5 冷却</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6.3.5.1 烹饪后需要冷冻（藏）的易腐食品应及时冷却。</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6.3.5.2 可采取将食品切成小块、搅拌、冷水浴等措施，或者使用专用速冷设备，使食品尽快冷却。</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6.3.6 再加热</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6.3.6.1 烹饪后的易腐食品，在8℃至60℃存放2h以上，未发生感官形状变化的，食用前应进行再加热，再加热时应将食品的中心温度迅速加热至70℃以上。</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6.3.6.2 食品感官性状发生变化的应当废弃，不应再加热后供食用。</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 色标管理</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6.3.7.1 食品加工区域应坚持“专区专用、专区专色”原则。用不同颜色的标识标牌对食品加工区域进行区分和定位，</w:t>
      </w:r>
      <w:r>
        <w:rPr>
          <w:rFonts w:hint="eastAsia" w:ascii="宋体" w:hAnsi="宋体" w:cs="宋体"/>
          <w:color w:val="auto"/>
          <w:sz w:val="21"/>
          <w:szCs w:val="21"/>
          <w:highlight w:val="none"/>
          <w:shd w:val="clear" w:color="auto" w:fill="auto"/>
          <w:lang w:val="en-US" w:eastAsia="zh-CN"/>
        </w:rPr>
        <w:t>色标颜色可参照附录B执行，</w:t>
      </w:r>
      <w:r>
        <w:rPr>
          <w:rFonts w:hint="eastAsia" w:ascii="宋体" w:hAnsi="宋体" w:cs="宋体"/>
          <w:color w:val="auto"/>
          <w:sz w:val="21"/>
          <w:szCs w:val="21"/>
          <w:highlight w:val="none"/>
          <w:lang w:val="en-US" w:eastAsia="zh-CN"/>
        </w:rPr>
        <w:t>确保各类食品不混放，功能间使用不跨界。应采取但不限于以下措施：</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工作台：同一区间内同时承担植物类、动物类、水产品类食品加工的操作工作台，应分别使用相应颜色的不干胶色带等划分出对应的加工操作区域</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冷</w:t>
      </w:r>
      <w:r>
        <w:rPr>
          <w:rFonts w:hint="eastAsia" w:ascii="宋体" w:hAnsi="宋体" w:cs="宋体"/>
          <w:color w:val="auto"/>
          <w:sz w:val="21"/>
          <w:szCs w:val="21"/>
          <w:highlight w:val="none"/>
          <w:lang w:val="en-US" w:eastAsia="zh-CN"/>
        </w:rPr>
        <w:t>冻（藏）</w:t>
      </w:r>
      <w:r>
        <w:rPr>
          <w:rFonts w:hint="default" w:ascii="宋体" w:hAnsi="宋体" w:cs="宋体"/>
          <w:color w:val="auto"/>
          <w:sz w:val="21"/>
          <w:szCs w:val="21"/>
          <w:highlight w:val="none"/>
          <w:lang w:val="en-US" w:eastAsia="zh-CN"/>
        </w:rPr>
        <w:t>柜：不同类别的冷</w:t>
      </w:r>
      <w:r>
        <w:rPr>
          <w:rFonts w:hint="eastAsia" w:ascii="宋体" w:hAnsi="宋体" w:cs="宋体"/>
          <w:color w:val="auto"/>
          <w:sz w:val="21"/>
          <w:szCs w:val="21"/>
          <w:highlight w:val="none"/>
          <w:lang w:val="en-US" w:eastAsia="zh-CN"/>
        </w:rPr>
        <w:t>冻（藏）</w:t>
      </w:r>
      <w:r>
        <w:rPr>
          <w:rFonts w:hint="default" w:ascii="宋体" w:hAnsi="宋体" w:cs="宋体"/>
          <w:color w:val="auto"/>
          <w:sz w:val="21"/>
          <w:szCs w:val="21"/>
          <w:highlight w:val="none"/>
          <w:lang w:val="en-US" w:eastAsia="zh-CN"/>
        </w:rPr>
        <w:t>食品应分类、分区域或冰柜存放，实行专柜</w:t>
      </w:r>
      <w:r>
        <w:rPr>
          <w:rFonts w:hint="eastAsia" w:ascii="宋体" w:hAnsi="宋体" w:cs="宋体"/>
          <w:color w:val="auto"/>
          <w:sz w:val="21"/>
          <w:szCs w:val="21"/>
          <w:highlight w:val="none"/>
          <w:lang w:val="en-US" w:eastAsia="zh-CN"/>
        </w:rPr>
        <w:t>/专区</w:t>
      </w:r>
      <w:r>
        <w:rPr>
          <w:rFonts w:hint="default" w:ascii="宋体" w:hAnsi="宋体" w:cs="宋体"/>
          <w:color w:val="auto"/>
          <w:sz w:val="21"/>
          <w:szCs w:val="21"/>
          <w:highlight w:val="none"/>
          <w:lang w:val="en-US" w:eastAsia="zh-CN"/>
        </w:rPr>
        <w:t>专用。在食品冷</w:t>
      </w:r>
      <w:r>
        <w:rPr>
          <w:rFonts w:hint="eastAsia" w:ascii="宋体" w:hAnsi="宋体" w:cs="宋体"/>
          <w:color w:val="auto"/>
          <w:sz w:val="21"/>
          <w:szCs w:val="21"/>
          <w:highlight w:val="none"/>
          <w:lang w:val="en-US" w:eastAsia="zh-CN"/>
        </w:rPr>
        <w:t>冻（藏）</w:t>
      </w:r>
      <w:r>
        <w:rPr>
          <w:rFonts w:hint="default" w:ascii="宋体" w:hAnsi="宋体" w:cs="宋体"/>
          <w:color w:val="auto"/>
          <w:sz w:val="21"/>
          <w:szCs w:val="21"/>
          <w:highlight w:val="none"/>
          <w:lang w:val="en-US" w:eastAsia="zh-CN"/>
        </w:rPr>
        <w:t>柜门表面醒目处，应标注维护管理人员姓名和内容物品名的色标标签</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原料清洗池：食品处理区（主要是</w:t>
      </w:r>
      <w:r>
        <w:rPr>
          <w:rFonts w:hint="eastAsia" w:ascii="宋体" w:hAnsi="宋体" w:cs="宋体"/>
          <w:color w:val="auto"/>
          <w:sz w:val="21"/>
          <w:szCs w:val="21"/>
          <w:highlight w:val="none"/>
          <w:lang w:val="en-US" w:eastAsia="zh-CN"/>
        </w:rPr>
        <w:t>初</w:t>
      </w:r>
      <w:r>
        <w:rPr>
          <w:rFonts w:hint="default" w:ascii="宋体" w:hAnsi="宋体" w:cs="宋体"/>
          <w:color w:val="auto"/>
          <w:sz w:val="21"/>
          <w:szCs w:val="21"/>
          <w:highlight w:val="none"/>
          <w:lang w:val="en-US" w:eastAsia="zh-CN"/>
        </w:rPr>
        <w:t>加工制作区）应分别设置动物性食品、植物性食品、水产品三类食品清洗池（容器）</w:t>
      </w:r>
      <w:r>
        <w:rPr>
          <w:rFonts w:hint="eastAsia" w:ascii="宋体" w:hAnsi="宋体" w:cs="宋体"/>
          <w:color w:val="auto"/>
          <w:sz w:val="21"/>
          <w:szCs w:val="21"/>
          <w:highlight w:val="none"/>
          <w:lang w:val="en-US" w:eastAsia="zh-CN"/>
        </w:rPr>
        <w:t>，</w:t>
      </w:r>
      <w:r>
        <w:rPr>
          <w:rFonts w:hint="default" w:ascii="宋体" w:hAnsi="宋体" w:cs="宋体"/>
          <w:color w:val="auto"/>
          <w:sz w:val="21"/>
          <w:szCs w:val="21"/>
          <w:highlight w:val="none"/>
          <w:lang w:val="en-US" w:eastAsia="zh-CN"/>
        </w:rPr>
        <w:t>并在显眼位置采用相应颜色的色标标识其用途。各类食品原料应在对应的清洗池内清洗</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default" w:ascii="宋体" w:hAnsi="宋体" w:cs="宋体"/>
          <w:color w:val="auto"/>
          <w:sz w:val="21"/>
          <w:szCs w:val="21"/>
          <w:highlight w:val="none"/>
          <w:lang w:val="en-US" w:eastAsia="zh-CN"/>
        </w:rPr>
        <w:t>清洁工具清洗池</w:t>
      </w:r>
      <w:r>
        <w:rPr>
          <w:rFonts w:hint="eastAsia" w:ascii="宋体" w:hAnsi="宋体" w:cs="宋体"/>
          <w:color w:val="auto"/>
          <w:sz w:val="21"/>
          <w:szCs w:val="21"/>
          <w:highlight w:val="none"/>
          <w:lang w:val="en-US" w:eastAsia="zh-CN"/>
        </w:rPr>
        <w:t>：</w:t>
      </w:r>
      <w:r>
        <w:rPr>
          <w:rFonts w:hint="default" w:ascii="宋体" w:hAnsi="宋体" w:cs="宋体"/>
          <w:color w:val="auto"/>
          <w:sz w:val="21"/>
          <w:szCs w:val="21"/>
          <w:highlight w:val="none"/>
          <w:lang w:val="en-US" w:eastAsia="zh-CN"/>
        </w:rPr>
        <w:t>清洁工具应设置专门的清洗池、清洁工具存放区，并用文字标明其功能。</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bookmarkStart w:id="106" w:name="OLE_LINK30"/>
      <w:r>
        <w:rPr>
          <w:rFonts w:hint="eastAsia" w:ascii="宋体" w:hAnsi="宋体" w:cs="宋体"/>
          <w:color w:val="auto"/>
          <w:sz w:val="21"/>
          <w:szCs w:val="21"/>
          <w:highlight w:val="none"/>
          <w:lang w:val="en-US" w:eastAsia="zh-CN"/>
        </w:rPr>
        <w:t>6.3.7.2</w:t>
      </w:r>
      <w:bookmarkEnd w:id="106"/>
      <w:r>
        <w:rPr>
          <w:rFonts w:hint="eastAsia" w:ascii="宋体" w:hAnsi="宋体" w:cs="宋体"/>
          <w:color w:val="auto"/>
          <w:sz w:val="21"/>
          <w:szCs w:val="21"/>
          <w:highlight w:val="none"/>
          <w:lang w:val="en-US" w:eastAsia="zh-CN"/>
        </w:rPr>
        <w:t xml:space="preserve"> 食品加工用具及容器应按照动物性食品、植物性食品、水产品三大类，结合功能的要求进行分类，实行色标管理，专类专用，不应交叉使用。使用后的工用具和容器应当及时清洗风干，各类工用具及容器应按照对应的色标分类定点摆放，保持清洁，并有明显的区域标识。</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240" w:lineRule="auto"/>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食品相关产品使用</w:t>
      </w:r>
    </w:p>
    <w:p>
      <w:pPr>
        <w:overflowPunct w:val="0"/>
        <w:spacing w:line="240" w:lineRule="auto"/>
        <w:rPr>
          <w:rFonts w:hint="eastAsia" w:ascii="宋体" w:hAnsi="宋体" w:eastAsia="宋体" w:cs="宋体"/>
          <w:color w:val="auto"/>
          <w:sz w:val="21"/>
          <w:szCs w:val="21"/>
          <w:highlight w:val="none"/>
          <w:shd w:val="clear" w:color="auto" w:fill="auto"/>
        </w:rPr>
      </w:pPr>
      <w:r>
        <w:rPr>
          <w:rFonts w:hint="eastAsia" w:ascii="宋体" w:hAnsi="宋体" w:cs="宋体"/>
          <w:color w:val="auto"/>
          <w:sz w:val="21"/>
          <w:szCs w:val="21"/>
          <w:highlight w:val="none"/>
          <w:shd w:val="clear" w:color="auto" w:fill="auto"/>
          <w:lang w:val="en-US" w:eastAsia="zh-CN"/>
        </w:rPr>
        <w:t xml:space="preserve">6.3.8.1 </w:t>
      </w:r>
      <w:r>
        <w:rPr>
          <w:rFonts w:hint="eastAsia" w:ascii="宋体" w:hAnsi="宋体" w:eastAsia="宋体" w:cs="宋体"/>
          <w:color w:val="auto"/>
          <w:sz w:val="21"/>
          <w:szCs w:val="21"/>
          <w:highlight w:val="none"/>
          <w:shd w:val="clear" w:color="auto" w:fill="auto"/>
          <w:lang w:val="en-US" w:eastAsia="zh-CN"/>
        </w:rPr>
        <w:t>食品加工使用的</w:t>
      </w:r>
      <w:r>
        <w:rPr>
          <w:rFonts w:hint="eastAsia" w:ascii="宋体" w:hAnsi="宋体" w:eastAsia="宋体" w:cs="宋体"/>
          <w:color w:val="auto"/>
          <w:sz w:val="21"/>
          <w:szCs w:val="21"/>
          <w:highlight w:val="none"/>
          <w:shd w:val="clear" w:color="auto" w:fill="auto"/>
        </w:rPr>
        <w:t>工具、容器和设备，宜使用</w:t>
      </w:r>
      <w:r>
        <w:rPr>
          <w:rFonts w:hint="eastAsia" w:ascii="宋体" w:hAnsi="宋体" w:eastAsia="宋体" w:cs="宋体"/>
          <w:color w:val="auto"/>
          <w:sz w:val="21"/>
          <w:szCs w:val="21"/>
          <w:highlight w:val="none"/>
          <w:shd w:val="clear" w:color="auto" w:fill="auto"/>
          <w:lang w:eastAsia="zh-CN"/>
        </w:rPr>
        <w:t>易清洗、不易发霉</w:t>
      </w:r>
      <w:r>
        <w:rPr>
          <w:rFonts w:hint="eastAsia" w:ascii="宋体" w:hAnsi="宋体" w:cs="宋体"/>
          <w:color w:val="auto"/>
          <w:sz w:val="21"/>
          <w:szCs w:val="21"/>
          <w:highlight w:val="none"/>
          <w:shd w:val="clear" w:color="auto" w:fill="auto"/>
          <w:lang w:eastAsia="zh-CN"/>
        </w:rPr>
        <w:t>、不易生锈</w:t>
      </w:r>
      <w:r>
        <w:rPr>
          <w:rFonts w:hint="eastAsia" w:ascii="宋体" w:hAnsi="宋体" w:eastAsia="宋体" w:cs="宋体"/>
          <w:color w:val="auto"/>
          <w:sz w:val="21"/>
          <w:szCs w:val="21"/>
          <w:highlight w:val="none"/>
          <w:shd w:val="clear" w:color="auto" w:fill="auto"/>
          <w:lang w:eastAsia="zh-CN"/>
        </w:rPr>
        <w:t>的材料</w:t>
      </w:r>
      <w:r>
        <w:rPr>
          <w:rFonts w:hint="eastAsia" w:ascii="宋体" w:hAnsi="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rPr>
        <w:t>使用木质</w:t>
      </w:r>
      <w:r>
        <w:rPr>
          <w:rFonts w:hint="eastAsia" w:ascii="宋体" w:hAnsi="宋体" w:cs="宋体"/>
          <w:color w:val="auto"/>
          <w:sz w:val="21"/>
          <w:szCs w:val="21"/>
          <w:highlight w:val="none"/>
          <w:shd w:val="clear" w:color="auto" w:fill="auto"/>
          <w:lang w:eastAsia="zh-CN"/>
        </w:rPr>
        <w:t>或竹质</w:t>
      </w:r>
      <w:r>
        <w:rPr>
          <w:rFonts w:hint="eastAsia" w:ascii="宋体" w:hAnsi="宋体" w:eastAsia="宋体" w:cs="宋体"/>
          <w:color w:val="auto"/>
          <w:sz w:val="21"/>
          <w:szCs w:val="21"/>
          <w:highlight w:val="none"/>
          <w:shd w:val="clear" w:color="auto" w:fill="auto"/>
        </w:rPr>
        <w:t>材料</w:t>
      </w:r>
      <w:r>
        <w:rPr>
          <w:rFonts w:hint="eastAsia" w:ascii="宋体" w:hAnsi="宋体" w:cs="宋体"/>
          <w:color w:val="auto"/>
          <w:sz w:val="21"/>
          <w:szCs w:val="21"/>
          <w:highlight w:val="none"/>
          <w:shd w:val="clear" w:color="auto" w:fill="auto"/>
          <w:lang w:val="en-US" w:eastAsia="zh-CN"/>
        </w:rPr>
        <w:t>时，应及时更换，防止发霉污染食品</w:t>
      </w:r>
      <w:r>
        <w:rPr>
          <w:rFonts w:hint="eastAsia" w:ascii="宋体" w:hAnsi="宋体" w:eastAsia="宋体" w:cs="宋体"/>
          <w:color w:val="auto"/>
          <w:sz w:val="21"/>
          <w:szCs w:val="21"/>
          <w:highlight w:val="none"/>
          <w:shd w:val="clear" w:color="auto" w:fill="auto"/>
        </w:rPr>
        <w:t>。</w:t>
      </w:r>
    </w:p>
    <w:p>
      <w:pPr>
        <w:overflowPunct w:val="0"/>
        <w:spacing w:line="240" w:lineRule="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6.3.8.2 </w:t>
      </w:r>
      <w:r>
        <w:rPr>
          <w:rFonts w:hint="eastAsia" w:ascii="宋体" w:hAnsi="宋体" w:eastAsia="宋体" w:cs="宋体"/>
          <w:color w:val="auto"/>
          <w:sz w:val="21"/>
          <w:szCs w:val="21"/>
          <w:highlight w:val="none"/>
        </w:rPr>
        <w:t>盛放热食类食品的容器不宜使用塑料材料。添加邻苯二甲酸酯类物质制成的塑料制品不</w:t>
      </w:r>
      <w:r>
        <w:rPr>
          <w:rFonts w:hint="eastAsia" w:ascii="宋体" w:hAnsi="宋体" w:cs="宋体"/>
          <w:color w:val="auto"/>
          <w:sz w:val="21"/>
          <w:szCs w:val="21"/>
          <w:highlight w:val="none"/>
          <w:lang w:eastAsia="zh-CN"/>
        </w:rPr>
        <w:t>应</w:t>
      </w:r>
      <w:r>
        <w:rPr>
          <w:rFonts w:hint="eastAsia" w:ascii="宋体" w:hAnsi="宋体" w:eastAsia="宋体" w:cs="宋体"/>
          <w:color w:val="auto"/>
          <w:sz w:val="21"/>
          <w:szCs w:val="21"/>
          <w:highlight w:val="none"/>
        </w:rPr>
        <w:t>盛装、接触油脂类食品和乙醇含量高于20%的食品。</w:t>
      </w:r>
    </w:p>
    <w:p>
      <w:pPr>
        <w:pStyle w:val="3"/>
        <w:keepNext/>
        <w:keepLines/>
        <w:pageBreakBefore w:val="0"/>
        <w:widowControl w:val="0"/>
        <w:kinsoku/>
        <w:wordWrap/>
        <w:overflowPunct/>
        <w:topLinePunct w:val="0"/>
        <w:autoSpaceDE/>
        <w:autoSpaceDN/>
        <w:bidi w:val="0"/>
        <w:adjustRightInd w:val="0"/>
        <w:snapToGrid/>
        <w:spacing w:before="157" w:beforeLines="50" w:after="157" w:afterLines="50" w:line="240" w:lineRule="auto"/>
        <w:textAlignment w:val="auto"/>
        <w:rPr>
          <w:rFonts w:hint="eastAsia" w:ascii="黑体" w:hAnsi="黑体" w:eastAsia="黑体" w:cs="黑体"/>
          <w:b w:val="0"/>
          <w:bCs w:val="0"/>
          <w:sz w:val="21"/>
          <w:szCs w:val="21"/>
          <w:lang w:val="en-US" w:eastAsia="zh-CN"/>
        </w:rPr>
      </w:pPr>
      <w:bookmarkStart w:id="107" w:name="OLE_LINK43"/>
      <w:r>
        <w:rPr>
          <w:rFonts w:hint="eastAsia" w:ascii="黑体" w:hAnsi="黑体" w:eastAsia="黑体" w:cs="黑体"/>
          <w:b w:val="0"/>
          <w:bCs w:val="0"/>
          <w:sz w:val="21"/>
          <w:szCs w:val="21"/>
          <w:lang w:val="en-US" w:eastAsia="zh-CN"/>
        </w:rPr>
        <w:t>6.4 留样</w:t>
      </w:r>
    </w:p>
    <w:bookmarkEnd w:id="107"/>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6.4</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应对每餐次的餐食成品留样，按照品种分别存放于清洗消毒后的专用密闭容器（或经过消毒的一次性密闭容器）内，每个品种应不少于125g，在专用冷藏设备中冷藏保存时间应不少于48小时</w:t>
      </w:r>
      <w:r>
        <w:rPr>
          <w:rFonts w:hint="eastAsia" w:ascii="宋体" w:hAnsi="宋体" w:cs="宋体"/>
          <w:color w:val="auto"/>
          <w:sz w:val="21"/>
          <w:szCs w:val="21"/>
          <w:highlight w:val="none"/>
          <w:lang w:val="en-US" w:eastAsia="zh-CN"/>
        </w:rPr>
        <w:t>,冷藏温度应为0-8</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6.4</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存放留样餐食的容器上应标注留样食品名称、留样时间（月、日、餐次）等，并由专人管理留样餐食、记录留样情况。</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ind w:left="0" w:leftChars="0" w:firstLine="0" w:firstLineChars="0"/>
        <w:jc w:val="both"/>
        <w:textAlignment w:val="auto"/>
        <w:rPr>
          <w:rFonts w:hint="default"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 xml:space="preserve">6.5 </w:t>
      </w:r>
      <w:bookmarkStart w:id="108" w:name="OLE_LINK49"/>
      <w:r>
        <w:rPr>
          <w:rFonts w:hint="eastAsia" w:ascii="黑体" w:hAnsi="黑体" w:eastAsia="黑体" w:cs="黑体"/>
          <w:color w:val="auto"/>
          <w:sz w:val="21"/>
          <w:szCs w:val="21"/>
          <w:highlight w:val="none"/>
          <w:lang w:val="en-US" w:eastAsia="zh-CN"/>
        </w:rPr>
        <w:t>集体用餐配送单位的膳食配送</w:t>
      </w:r>
      <w:bookmarkEnd w:id="108"/>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 膳食盛装容器和包装材料应清洁、无毒，符合国家食品安全标准及相关规定。</w:t>
      </w:r>
      <w:r>
        <w:rPr>
          <w:rFonts w:hint="eastAsia" w:ascii="宋体" w:hAnsi="宋体" w:cs="宋体"/>
          <w:color w:val="auto"/>
          <w:sz w:val="21"/>
          <w:szCs w:val="21"/>
          <w:highlight w:val="none"/>
          <w:lang w:val="en-US" w:eastAsia="zh-CN"/>
        </w:rPr>
        <w:t>复用餐饮具</w:t>
      </w:r>
      <w:r>
        <w:rPr>
          <w:rFonts w:hint="eastAsia" w:ascii="宋体" w:hAnsi="宋体" w:eastAsia="宋体" w:cs="宋体"/>
          <w:color w:val="auto"/>
          <w:sz w:val="21"/>
          <w:szCs w:val="21"/>
          <w:highlight w:val="none"/>
          <w:lang w:val="en-US" w:eastAsia="zh-CN"/>
        </w:rPr>
        <w:t>和容器在使用前应彻底清洗、消毒和保洁。</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 膳食标签应粘贴在包装正面的显著位置，标明膳食名称、生产单位名称、生产时间、食用时限、保存条件及食用方法等信息,时间及时限应准确到分钟。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shd w:val="clear" w:color="FFFFFF" w:fill="D9D9D9"/>
          <w:lang w:val="en-US" w:eastAsia="zh-CN"/>
        </w:rPr>
      </w:pPr>
      <w:r>
        <w:rPr>
          <w:rFonts w:hint="eastAsia" w:ascii="宋体" w:hAnsi="宋体" w:cs="宋体"/>
          <w:color w:val="auto"/>
          <w:sz w:val="21"/>
          <w:szCs w:val="21"/>
          <w:highlight w:val="none"/>
          <w:lang w:val="en-US" w:eastAsia="zh-CN"/>
        </w:rPr>
        <w:t>6.5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default" w:ascii="宋体" w:hAnsi="宋体" w:cs="宋体"/>
          <w:color w:val="auto"/>
          <w:sz w:val="21"/>
          <w:szCs w:val="21"/>
          <w:highlight w:val="none"/>
          <w:lang w:val="en-US" w:eastAsia="zh-CN"/>
        </w:rPr>
        <w:t>膳食中心温度不低于60℃，从加工完毕到食用时间控制在2小时内</w:t>
      </w:r>
      <w:r>
        <w:rPr>
          <w:rFonts w:hint="eastAsia" w:ascii="宋体" w:hAnsi="宋体" w:cs="宋体"/>
          <w:color w:val="auto"/>
          <w:sz w:val="21"/>
          <w:szCs w:val="21"/>
          <w:highlight w:val="none"/>
          <w:lang w:val="en-US" w:eastAsia="zh-CN"/>
        </w:rPr>
        <w:t>。</w:t>
      </w:r>
      <w:r>
        <w:rPr>
          <w:rFonts w:hint="default" w:ascii="宋体" w:hAnsi="宋体" w:cs="宋体"/>
          <w:color w:val="auto"/>
          <w:sz w:val="21"/>
          <w:szCs w:val="21"/>
          <w:highlight w:val="none"/>
          <w:lang w:val="en-US" w:eastAsia="zh-CN"/>
        </w:rPr>
        <w:t>如需复热的，应使用蒸箱、微波炉等对盒饭及时进行二次加热，使盒饭中心温度不低于</w:t>
      </w:r>
      <w:r>
        <w:rPr>
          <w:rFonts w:hint="eastAsia" w:ascii="宋体" w:hAnsi="宋体" w:cs="宋体"/>
          <w:color w:val="auto"/>
          <w:sz w:val="21"/>
          <w:szCs w:val="21"/>
          <w:highlight w:val="none"/>
          <w:lang w:val="en-US" w:eastAsia="zh-CN"/>
        </w:rPr>
        <w:t>7</w:t>
      </w:r>
      <w:r>
        <w:rPr>
          <w:rFonts w:hint="default" w:ascii="宋体" w:hAnsi="宋体" w:cs="宋体"/>
          <w:color w:val="auto"/>
          <w:sz w:val="21"/>
          <w:szCs w:val="21"/>
          <w:highlight w:val="none"/>
          <w:lang w:val="en-US" w:eastAsia="zh-CN"/>
        </w:rPr>
        <w:t>0℃</w:t>
      </w:r>
      <w:r>
        <w:rPr>
          <w:rFonts w:hint="eastAsia" w:ascii="宋体" w:hAnsi="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盒装配送膳食</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盛放于密闭保温箱中保温待配送。桶装配送膳食，盛装容量应合理，饭菜不易外溢，</w:t>
      </w:r>
      <w:r>
        <w:rPr>
          <w:rFonts w:hint="eastAsia" w:ascii="宋体" w:hAnsi="宋体" w:cs="宋体"/>
          <w:color w:val="auto"/>
          <w:sz w:val="21"/>
          <w:szCs w:val="21"/>
          <w:highlight w:val="none"/>
          <w:lang w:val="en-US" w:eastAsia="zh-CN"/>
        </w:rPr>
        <w:t>并</w:t>
      </w:r>
      <w:r>
        <w:rPr>
          <w:rFonts w:hint="eastAsia" w:ascii="宋体" w:hAnsi="宋体" w:eastAsia="宋体" w:cs="宋体"/>
          <w:color w:val="auto"/>
          <w:sz w:val="21"/>
          <w:szCs w:val="21"/>
          <w:highlight w:val="none"/>
          <w:lang w:val="en-US" w:eastAsia="zh-CN"/>
        </w:rPr>
        <w:t>采取措施密闭容器，保护膳食免受污染。</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膳食的配送要求如下：</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配送前应和学校提前确认就餐时间、人数、菜品、地点、餐具及其他要求，对配送路线、到达时间、配送人员和车辆进行合理安排。制定车辆损坏、交通堵塞、恶劣天气等情况造成供餐延误的应急预案</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专用车辆应配备符合热链工艺条件的保温设置</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应采用符合配送要求的自有封闭式食品专用运输车辆配送膳食，使用前应清洗、消毒。应对车辆驾驶人员进行审核，</w:t>
      </w:r>
      <w:r>
        <w:rPr>
          <w:rFonts w:hint="eastAsia" w:ascii="宋体" w:hAnsi="宋体" w:cs="宋体"/>
          <w:color w:val="auto"/>
          <w:sz w:val="21"/>
          <w:szCs w:val="21"/>
          <w:highlight w:val="none"/>
          <w:lang w:val="en-US" w:eastAsia="zh-CN"/>
        </w:rPr>
        <w:t>不应</w:t>
      </w:r>
      <w:r>
        <w:rPr>
          <w:rFonts w:hint="eastAsia" w:ascii="宋体" w:hAnsi="宋体" w:eastAsia="宋体" w:cs="宋体"/>
          <w:color w:val="auto"/>
          <w:sz w:val="21"/>
          <w:szCs w:val="21"/>
          <w:highlight w:val="none"/>
          <w:lang w:val="en-US" w:eastAsia="zh-CN"/>
        </w:rPr>
        <w:t>使用有违法犯罪记录的人员</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车辆应配备行车记录仪和定位系统，宜安装摄像头</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运输过程任何人不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打开车厢门及食品包装</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应和学校建立畅通的信息沟通渠道，对每餐配送膳食的数量及质量进行及时确认和反馈。</w:t>
      </w:r>
    </w:p>
    <w:p>
      <w:pPr>
        <w:pStyle w:val="4"/>
        <w:keepNext/>
        <w:keepLines/>
        <w:pageBreakBefore w:val="0"/>
        <w:widowControl w:val="0"/>
        <w:kinsoku/>
        <w:wordWrap/>
        <w:overflowPunct/>
        <w:topLinePunct w:val="0"/>
        <w:autoSpaceDE/>
        <w:autoSpaceDN/>
        <w:bidi w:val="0"/>
        <w:adjustRightInd w:val="0"/>
        <w:snapToGrid/>
        <w:spacing w:before="157" w:beforeLines="50" w:after="157" w:afterLines="50" w:line="240" w:lineRule="auto"/>
        <w:textAlignment w:val="auto"/>
        <w:rPr>
          <w:rFonts w:hint="default"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6.6 </w:t>
      </w:r>
      <w:bookmarkStart w:id="109" w:name="OLE_LINK50"/>
      <w:r>
        <w:rPr>
          <w:rFonts w:hint="eastAsia" w:ascii="黑体" w:hAnsi="黑体" w:eastAsia="黑体" w:cs="黑体"/>
          <w:b w:val="0"/>
          <w:bCs w:val="0"/>
          <w:sz w:val="21"/>
          <w:szCs w:val="21"/>
          <w:lang w:val="en-US" w:eastAsia="zh-CN"/>
        </w:rPr>
        <w:t>餐前查验</w:t>
      </w:r>
      <w:bookmarkEnd w:id="109"/>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6.6.1 食堂供餐的餐前查验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a) 供餐环境是否整洁；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bookmarkStart w:id="110" w:name="OLE_LINK28"/>
      <w:r>
        <w:rPr>
          <w:rFonts w:hint="eastAsia" w:ascii="宋体" w:hAnsi="宋体" w:cs="宋体"/>
          <w:color w:val="auto"/>
          <w:sz w:val="21"/>
          <w:szCs w:val="21"/>
          <w:highlight w:val="none"/>
          <w:lang w:val="en-US" w:eastAsia="zh-CN"/>
        </w:rPr>
        <w:t>b)</w:t>
      </w:r>
      <w:bookmarkEnd w:id="110"/>
      <w:r>
        <w:rPr>
          <w:rFonts w:hint="eastAsia" w:ascii="宋体" w:hAnsi="宋体" w:cs="宋体"/>
          <w:color w:val="auto"/>
          <w:sz w:val="21"/>
          <w:szCs w:val="21"/>
          <w:highlight w:val="none"/>
          <w:lang w:val="en-US" w:eastAsia="zh-CN"/>
        </w:rPr>
        <w:t xml:space="preserve"> 使用传递设施（如升降笼、食梯、滑道等）的，传递实施是否清洁；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c) 备餐人员是否穿戴工作衣帽和佩戴口罩；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d) 食品是否烧熟、煮透，中心温度是否达到60</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e) 食物中是否有异物；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bookmarkStart w:id="111" w:name="OLE_LINK60"/>
      <w:r>
        <w:rPr>
          <w:rFonts w:hint="eastAsia" w:ascii="宋体" w:hAnsi="宋体" w:cs="宋体"/>
          <w:color w:val="auto"/>
          <w:sz w:val="21"/>
          <w:szCs w:val="21"/>
          <w:highlight w:val="none"/>
          <w:lang w:val="en-US" w:eastAsia="zh-CN"/>
        </w:rPr>
        <w:t>f)</w:t>
      </w:r>
      <w:bookmarkEnd w:id="111"/>
      <w:r>
        <w:rPr>
          <w:rFonts w:hint="eastAsia" w:ascii="宋体" w:hAnsi="宋体" w:cs="宋体"/>
          <w:color w:val="auto"/>
          <w:sz w:val="21"/>
          <w:szCs w:val="21"/>
          <w:highlight w:val="none"/>
          <w:lang w:val="en-US" w:eastAsia="zh-CN"/>
        </w:rPr>
        <w:t xml:space="preserve"> 餐饮具是否洗净、消毒。</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6.6.2集中供餐企业供餐的餐前查验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6.6.2.1 </w:t>
      </w:r>
      <w:r>
        <w:rPr>
          <w:rFonts w:hint="default" w:ascii="宋体" w:hAnsi="宋体" w:cs="宋体"/>
          <w:color w:val="auto"/>
          <w:sz w:val="21"/>
          <w:szCs w:val="21"/>
          <w:highlight w:val="none"/>
          <w:lang w:val="en-US" w:eastAsia="zh-CN"/>
        </w:rPr>
        <w:t>人员查验</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检查核对送餐人员的健康证、工作证件</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检查配送人员是否穿戴整洁干净的衣帽、口罩、鞋套、手套</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检查配送人员手部是否干净、有无伤口、首饰是否外露。</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6.6.2.2 </w:t>
      </w:r>
      <w:r>
        <w:rPr>
          <w:rFonts w:hint="default" w:ascii="宋体" w:hAnsi="宋体" w:cs="宋体"/>
          <w:color w:val="auto"/>
          <w:sz w:val="21"/>
          <w:szCs w:val="21"/>
          <w:highlight w:val="none"/>
          <w:lang w:val="en-US" w:eastAsia="zh-CN"/>
        </w:rPr>
        <w:t>物品查验</w:t>
      </w:r>
    </w:p>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检查配送食品是否与配餐单位加盖公章的配送清单一致，双方签字并保存</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配送车辆到达学校指定位置后，检查配送食品容器和车辆是否干净整洁。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6.6.2.3 </w:t>
      </w:r>
      <w:r>
        <w:rPr>
          <w:rFonts w:hint="default" w:ascii="宋体" w:hAnsi="宋体" w:cs="宋体"/>
          <w:color w:val="auto"/>
          <w:sz w:val="21"/>
          <w:szCs w:val="21"/>
          <w:highlight w:val="none"/>
          <w:lang w:val="en-US" w:eastAsia="zh-CN"/>
        </w:rPr>
        <w:t>食品查验</w:t>
      </w:r>
    </w:p>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检查食品外包装是否有破损或泄露</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检查食品安全封签是否有破损，需在配餐单位和学校双方监督下才能拆除，拆封过程应拍照存档。如封签有破损，学校不</w:t>
      </w:r>
      <w:r>
        <w:rPr>
          <w:rFonts w:hint="eastAsia" w:ascii="宋体" w:hAnsi="宋体" w:cs="宋体"/>
          <w:color w:val="auto"/>
          <w:sz w:val="21"/>
          <w:szCs w:val="21"/>
          <w:highlight w:val="none"/>
          <w:lang w:val="en-US" w:eastAsia="zh-CN"/>
        </w:rPr>
        <w:t>应</w:t>
      </w:r>
      <w:r>
        <w:rPr>
          <w:rFonts w:hint="default" w:ascii="宋体" w:hAnsi="宋体" w:cs="宋体"/>
          <w:color w:val="auto"/>
          <w:sz w:val="21"/>
          <w:szCs w:val="21"/>
          <w:highlight w:val="none"/>
          <w:lang w:val="en-US" w:eastAsia="zh-CN"/>
        </w:rPr>
        <w:t>接收该批次食品，并启动校外配餐应急预案</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学校当场检查食品加工制作时间、</w:t>
      </w:r>
      <w:r>
        <w:rPr>
          <w:rFonts w:hint="eastAsia" w:ascii="宋体" w:hAnsi="宋体" w:cs="宋体"/>
          <w:color w:val="auto"/>
          <w:sz w:val="21"/>
          <w:szCs w:val="21"/>
          <w:highlight w:val="none"/>
          <w:lang w:val="en-US" w:eastAsia="zh-CN"/>
        </w:rPr>
        <w:t>是否超过</w:t>
      </w:r>
      <w:r>
        <w:rPr>
          <w:rFonts w:hint="default" w:ascii="宋体" w:hAnsi="宋体" w:cs="宋体"/>
          <w:color w:val="auto"/>
          <w:sz w:val="21"/>
          <w:szCs w:val="21"/>
          <w:highlight w:val="none"/>
          <w:lang w:val="en-US" w:eastAsia="zh-CN"/>
        </w:rPr>
        <w:t>食用时限、感官形状是否异常</w:t>
      </w:r>
      <w:r>
        <w:rPr>
          <w:rFonts w:hint="eastAsia" w:ascii="宋体" w:hAnsi="宋体" w:cs="宋体"/>
          <w:color w:val="auto"/>
          <w:sz w:val="21"/>
          <w:szCs w:val="21"/>
          <w:highlight w:val="none"/>
          <w:lang w:val="en-US" w:eastAsia="zh-CN"/>
        </w:rPr>
        <w:t>；</w:t>
      </w:r>
    </w:p>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default" w:ascii="宋体" w:hAnsi="宋体" w:cs="宋体"/>
          <w:color w:val="auto"/>
          <w:sz w:val="21"/>
          <w:szCs w:val="21"/>
          <w:highlight w:val="none"/>
          <w:lang w:val="en-US" w:eastAsia="zh-CN"/>
        </w:rPr>
        <w:t>测量配送到校食品中心温度</w:t>
      </w:r>
      <w:r>
        <w:rPr>
          <w:rFonts w:hint="eastAsia" w:ascii="宋体" w:hAnsi="宋体" w:cs="宋体"/>
          <w:color w:val="auto"/>
          <w:sz w:val="21"/>
          <w:szCs w:val="21"/>
          <w:highlight w:val="none"/>
          <w:lang w:val="en-US" w:eastAsia="zh-CN"/>
        </w:rPr>
        <w:t>，应符合本标准6.5.3的要求，拍摄温度达标的照片留存。</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default"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 xml:space="preserve">6.7 </w:t>
      </w:r>
      <w:bookmarkStart w:id="112" w:name="OLE_LINK51"/>
      <w:r>
        <w:rPr>
          <w:rFonts w:hint="eastAsia" w:ascii="黑体" w:hAnsi="黑体" w:eastAsia="黑体" w:cs="黑体"/>
          <w:color w:val="auto"/>
          <w:sz w:val="21"/>
          <w:szCs w:val="21"/>
          <w:highlight w:val="none"/>
          <w:lang w:val="en-US" w:eastAsia="zh-CN"/>
        </w:rPr>
        <w:t>就餐管理</w:t>
      </w:r>
      <w:bookmarkEnd w:id="112"/>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6.7.1</w:t>
      </w:r>
      <w:r>
        <w:rPr>
          <w:rFonts w:hint="eastAsia" w:ascii="宋体" w:hAnsi="宋体" w:eastAsia="宋体" w:cs="宋体"/>
          <w:color w:val="auto"/>
          <w:sz w:val="21"/>
          <w:szCs w:val="21"/>
          <w:highlight w:val="none"/>
          <w:lang w:val="en-US" w:eastAsia="zh-CN"/>
        </w:rPr>
        <w:t xml:space="preserve"> 食堂就餐管理</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6.7.1.1 </w:t>
      </w:r>
      <w:r>
        <w:rPr>
          <w:rFonts w:hint="eastAsia" w:ascii="宋体" w:hAnsi="宋体" w:eastAsia="宋体" w:cs="宋体"/>
          <w:color w:val="auto"/>
          <w:sz w:val="21"/>
          <w:szCs w:val="21"/>
          <w:highlight w:val="none"/>
          <w:lang w:val="en-US" w:eastAsia="zh-CN"/>
        </w:rPr>
        <w:t>应引导教育学生</w:t>
      </w:r>
      <w:r>
        <w:rPr>
          <w:rFonts w:hint="eastAsia" w:ascii="宋体" w:hAnsi="宋体" w:cs="宋体"/>
          <w:color w:val="auto"/>
          <w:sz w:val="21"/>
          <w:szCs w:val="21"/>
          <w:highlight w:val="none"/>
          <w:lang w:val="en-US" w:eastAsia="zh-CN"/>
        </w:rPr>
        <w:t>践行“光盘行动”，按需取餐、健康饮食、</w:t>
      </w:r>
      <w:r>
        <w:rPr>
          <w:rFonts w:hint="eastAsia" w:ascii="宋体" w:hAnsi="宋体" w:eastAsia="宋体" w:cs="宋体"/>
          <w:color w:val="auto"/>
          <w:sz w:val="21"/>
          <w:szCs w:val="21"/>
          <w:highlight w:val="none"/>
          <w:lang w:val="en-US" w:eastAsia="zh-CN"/>
        </w:rPr>
        <w:t>文明用餐、秩序用餐、勤俭节约，营造浪费可耻、节约</w:t>
      </w:r>
      <w:r>
        <w:rPr>
          <w:rFonts w:hint="eastAsia" w:ascii="宋体" w:hAnsi="宋体" w:cs="宋体"/>
          <w:color w:val="auto"/>
          <w:sz w:val="21"/>
          <w:szCs w:val="21"/>
          <w:highlight w:val="none"/>
          <w:lang w:val="en-US" w:eastAsia="zh-CN"/>
        </w:rPr>
        <w:t>光</w:t>
      </w:r>
      <w:r>
        <w:rPr>
          <w:rFonts w:hint="eastAsia" w:ascii="宋体" w:hAnsi="宋体" w:eastAsia="宋体" w:cs="宋体"/>
          <w:color w:val="auto"/>
          <w:sz w:val="21"/>
          <w:szCs w:val="21"/>
          <w:highlight w:val="none"/>
          <w:lang w:val="en-US" w:eastAsia="zh-CN"/>
        </w:rPr>
        <w:t>荣的氛围</w:t>
      </w:r>
      <w:r>
        <w:rPr>
          <w:rFonts w:hint="eastAsia" w:ascii="宋体" w:hAnsi="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6.7.1.2 </w:t>
      </w:r>
      <w:r>
        <w:rPr>
          <w:rFonts w:hint="eastAsia" w:ascii="宋体" w:hAnsi="宋体" w:eastAsia="宋体" w:cs="宋体"/>
          <w:color w:val="auto"/>
          <w:sz w:val="21"/>
          <w:szCs w:val="21"/>
          <w:highlight w:val="none"/>
          <w:lang w:val="en-US" w:eastAsia="zh-CN"/>
        </w:rPr>
        <w:t>根据学生就餐人数和食堂分布、规模等情况，采用恰当的方式进行备餐、分餐。</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6.7.1.3 </w:t>
      </w:r>
      <w:r>
        <w:rPr>
          <w:rFonts w:hint="eastAsia" w:ascii="宋体" w:hAnsi="宋体" w:eastAsia="宋体" w:cs="宋体"/>
          <w:color w:val="auto"/>
          <w:sz w:val="21"/>
          <w:szCs w:val="21"/>
          <w:highlight w:val="none"/>
          <w:lang w:val="en-US" w:eastAsia="zh-CN"/>
        </w:rPr>
        <w:t>应引导学生用餐后将餐具和餐厨废弃物送至指定位置。</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6.7.1.4 </w:t>
      </w:r>
      <w:r>
        <w:rPr>
          <w:rFonts w:hint="eastAsia" w:ascii="宋体" w:hAnsi="宋体" w:eastAsia="宋体" w:cs="宋体"/>
          <w:color w:val="auto"/>
          <w:sz w:val="21"/>
          <w:szCs w:val="21"/>
          <w:highlight w:val="none"/>
          <w:lang w:val="en-US" w:eastAsia="zh-CN"/>
        </w:rPr>
        <w:t>应及时清理、清洁桌面，清理餐厨</w:t>
      </w:r>
      <w:bookmarkStart w:id="113" w:name="OLE_LINK61"/>
      <w:r>
        <w:rPr>
          <w:rFonts w:hint="eastAsia" w:ascii="宋体" w:hAnsi="宋体" w:eastAsia="宋体" w:cs="宋体"/>
          <w:color w:val="auto"/>
          <w:sz w:val="21"/>
          <w:szCs w:val="21"/>
          <w:highlight w:val="none"/>
          <w:lang w:val="en-US" w:eastAsia="zh-CN"/>
        </w:rPr>
        <w:t>废弃物</w:t>
      </w:r>
      <w:bookmarkEnd w:id="113"/>
      <w:r>
        <w:rPr>
          <w:rFonts w:hint="eastAsia" w:ascii="宋体" w:hAnsi="宋体" w:eastAsia="宋体" w:cs="宋体"/>
          <w:color w:val="auto"/>
          <w:sz w:val="21"/>
          <w:szCs w:val="21"/>
          <w:highlight w:val="none"/>
          <w:lang w:val="en-US" w:eastAsia="zh-CN"/>
        </w:rPr>
        <w:t>和垃圾。</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6.7.1.5 </w:t>
      </w:r>
      <w:r>
        <w:rPr>
          <w:rFonts w:hint="eastAsia" w:ascii="宋体" w:hAnsi="宋体" w:eastAsia="宋体" w:cs="宋体"/>
          <w:color w:val="auto"/>
          <w:sz w:val="21"/>
          <w:szCs w:val="21"/>
          <w:highlight w:val="none"/>
          <w:lang w:val="en-US" w:eastAsia="zh-CN"/>
        </w:rPr>
        <w:t>用餐结束后，进行就餐区整体清洁、消毒、通风。</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6.7.2 </w:t>
      </w:r>
      <w:r>
        <w:rPr>
          <w:rFonts w:hint="eastAsia" w:ascii="宋体" w:hAnsi="宋体" w:eastAsia="宋体" w:cs="宋体"/>
          <w:color w:val="auto"/>
          <w:sz w:val="21"/>
          <w:szCs w:val="21"/>
          <w:highlight w:val="none"/>
          <w:lang w:val="en-US" w:eastAsia="zh-CN"/>
        </w:rPr>
        <w:t>教室就餐管理</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6.7.2.1 </w:t>
      </w:r>
      <w:r>
        <w:rPr>
          <w:rFonts w:hint="eastAsia" w:ascii="宋体" w:hAnsi="宋体" w:eastAsia="宋体" w:cs="宋体"/>
          <w:color w:val="auto"/>
          <w:sz w:val="21"/>
          <w:szCs w:val="21"/>
          <w:highlight w:val="none"/>
          <w:lang w:val="en-US" w:eastAsia="zh-CN"/>
        </w:rPr>
        <w:t xml:space="preserve">应配备数量足够的运送、存放等用具，并在每次运送食品前进行清洗消毒。运送装卸过程中应密闭加盖，防止污染食品。 </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6.7.2.2 </w:t>
      </w:r>
      <w:r>
        <w:rPr>
          <w:rFonts w:hint="eastAsia" w:ascii="宋体" w:hAnsi="宋体" w:eastAsia="宋体" w:cs="宋体"/>
          <w:color w:val="auto"/>
          <w:sz w:val="21"/>
          <w:szCs w:val="21"/>
          <w:highlight w:val="none"/>
          <w:lang w:val="en-US" w:eastAsia="zh-CN"/>
        </w:rPr>
        <w:t>食品加工制作</w:t>
      </w:r>
      <w:r>
        <w:rPr>
          <w:rFonts w:hint="eastAsia" w:ascii="宋体" w:hAnsi="宋体" w:cs="宋体"/>
          <w:color w:val="auto"/>
          <w:sz w:val="21"/>
          <w:szCs w:val="21"/>
          <w:highlight w:val="none"/>
          <w:lang w:val="en-US" w:eastAsia="zh-CN"/>
        </w:rPr>
        <w:t>完成</w:t>
      </w:r>
      <w:r>
        <w:rPr>
          <w:rFonts w:hint="eastAsia" w:ascii="宋体" w:hAnsi="宋体" w:eastAsia="宋体" w:cs="宋体"/>
          <w:color w:val="auto"/>
          <w:sz w:val="21"/>
          <w:szCs w:val="21"/>
          <w:highlight w:val="none"/>
          <w:lang w:val="en-US" w:eastAsia="zh-CN"/>
        </w:rPr>
        <w:t>到食用的时间（含分装、运输等）</w:t>
      </w:r>
      <w:r>
        <w:rPr>
          <w:rFonts w:hint="eastAsia" w:ascii="宋体" w:hAnsi="宋体" w:cs="宋体"/>
          <w:color w:val="auto"/>
          <w:sz w:val="21"/>
          <w:szCs w:val="21"/>
          <w:highlight w:val="none"/>
          <w:lang w:val="en-US" w:eastAsia="zh-CN"/>
        </w:rPr>
        <w:t>及温度要求应符合本标准6.5.3的要求。</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6.7.2.3 </w:t>
      </w:r>
      <w:r>
        <w:rPr>
          <w:rFonts w:hint="eastAsia" w:ascii="宋体" w:hAnsi="宋体" w:eastAsia="宋体" w:cs="宋体"/>
          <w:color w:val="auto"/>
          <w:sz w:val="21"/>
          <w:szCs w:val="21"/>
          <w:highlight w:val="none"/>
          <w:lang w:val="en-US" w:eastAsia="zh-CN"/>
        </w:rPr>
        <w:t>应在卫生整洁的区域</w:t>
      </w:r>
      <w:r>
        <w:rPr>
          <w:rFonts w:hint="eastAsia" w:ascii="宋体" w:hAnsi="宋体" w:cs="宋体"/>
          <w:color w:val="auto"/>
          <w:sz w:val="21"/>
          <w:szCs w:val="21"/>
          <w:highlight w:val="none"/>
          <w:lang w:val="en-US" w:eastAsia="zh-CN"/>
        </w:rPr>
        <w:t>分餐，</w:t>
      </w:r>
      <w:r>
        <w:rPr>
          <w:rFonts w:hint="eastAsia" w:ascii="宋体" w:hAnsi="宋体" w:eastAsia="宋体" w:cs="宋体"/>
          <w:color w:val="auto"/>
          <w:sz w:val="21"/>
          <w:szCs w:val="21"/>
          <w:highlight w:val="none"/>
          <w:lang w:val="en-US" w:eastAsia="zh-CN"/>
        </w:rPr>
        <w:t xml:space="preserve">分餐人员应提前洗净手部，戴手套、帽子和口罩。应使用经过消毒的专用分餐工具和餐用具。分餐过程中应防止异物掉入等污染食品的情形。 </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6.7.2.4 </w:t>
      </w:r>
      <w:r>
        <w:rPr>
          <w:rFonts w:hint="eastAsia" w:ascii="宋体" w:hAnsi="宋体" w:eastAsia="宋体" w:cs="宋体"/>
          <w:color w:val="auto"/>
          <w:sz w:val="21"/>
          <w:szCs w:val="21"/>
          <w:highlight w:val="none"/>
          <w:lang w:val="en-US" w:eastAsia="zh-CN"/>
        </w:rPr>
        <w:t>应引导学生就餐前洗净手部和在卫生整洁的区域就餐。应设废弃物存放处并配备容器</w:t>
      </w:r>
      <w:r>
        <w:rPr>
          <w:rFonts w:hint="eastAsia" w:ascii="宋体" w:hAnsi="宋体" w:cs="宋体"/>
          <w:color w:val="auto"/>
          <w:sz w:val="21"/>
          <w:szCs w:val="21"/>
          <w:highlight w:val="none"/>
          <w:lang w:val="en-US" w:eastAsia="zh-CN"/>
        </w:rPr>
        <w:t>，并引导学生将餐厨</w:t>
      </w:r>
      <w:r>
        <w:rPr>
          <w:rFonts w:hint="eastAsia" w:ascii="宋体" w:hAnsi="宋体" w:eastAsia="宋体" w:cs="宋体"/>
          <w:color w:val="auto"/>
          <w:sz w:val="21"/>
          <w:szCs w:val="21"/>
          <w:highlight w:val="none"/>
          <w:lang w:val="en-US" w:eastAsia="zh-CN"/>
        </w:rPr>
        <w:t>废弃物</w:t>
      </w:r>
      <w:r>
        <w:rPr>
          <w:rFonts w:hint="eastAsia" w:ascii="宋体" w:hAnsi="宋体" w:cs="宋体"/>
          <w:color w:val="auto"/>
          <w:sz w:val="21"/>
          <w:szCs w:val="21"/>
          <w:highlight w:val="none"/>
          <w:lang w:val="en-US" w:eastAsia="zh-CN"/>
        </w:rPr>
        <w:t>倒入指定容器内</w:t>
      </w: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6.7.2.5 </w:t>
      </w:r>
      <w:r>
        <w:rPr>
          <w:rFonts w:hint="eastAsia" w:ascii="宋体" w:hAnsi="宋体" w:eastAsia="宋体" w:cs="宋体"/>
          <w:color w:val="auto"/>
          <w:sz w:val="21"/>
          <w:szCs w:val="21"/>
          <w:highlight w:val="none"/>
          <w:lang w:val="en-US" w:eastAsia="zh-CN"/>
        </w:rPr>
        <w:t xml:space="preserve">用餐结束后应及时清理教室，保持卫生整洁。 </w:t>
      </w:r>
    </w:p>
    <w:p>
      <w:pPr>
        <w:pStyle w:val="3"/>
        <w:keepNext/>
        <w:keepLines/>
        <w:pageBreakBefore w:val="0"/>
        <w:widowControl w:val="0"/>
        <w:kinsoku/>
        <w:wordWrap/>
        <w:overflowPunct/>
        <w:topLinePunct w:val="0"/>
        <w:autoSpaceDE/>
        <w:autoSpaceDN/>
        <w:bidi w:val="0"/>
        <w:adjustRightInd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1"/>
          <w:szCs w:val="21"/>
          <w:highlight w:val="none"/>
          <w:lang w:val="en-US" w:eastAsia="zh-CN"/>
        </w:rPr>
        <w:t>6.</w:t>
      </w:r>
      <w:r>
        <w:rPr>
          <w:rFonts w:hint="eastAsia" w:ascii="黑体" w:hAnsi="黑体" w:cs="黑体"/>
          <w:b w:val="0"/>
          <w:bCs w:val="0"/>
          <w:color w:val="auto"/>
          <w:sz w:val="21"/>
          <w:szCs w:val="21"/>
          <w:highlight w:val="none"/>
          <w:lang w:val="en-US" w:eastAsia="zh-CN"/>
        </w:rPr>
        <w:t>8</w:t>
      </w:r>
      <w:r>
        <w:rPr>
          <w:rFonts w:hint="eastAsia" w:ascii="黑体" w:hAnsi="黑体" w:eastAsia="黑体" w:cs="黑体"/>
          <w:b w:val="0"/>
          <w:bCs w:val="0"/>
          <w:color w:val="auto"/>
          <w:sz w:val="21"/>
          <w:szCs w:val="21"/>
          <w:highlight w:val="none"/>
          <w:lang w:val="en-US" w:eastAsia="zh-CN"/>
        </w:rPr>
        <w:t xml:space="preserve"> 食品安全事故处理</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学校食堂和集中供餐配送单位应</w:t>
      </w:r>
      <w:r>
        <w:rPr>
          <w:rFonts w:hint="eastAsia" w:ascii="宋体" w:hAnsi="宋体" w:eastAsia="宋体" w:cs="宋体"/>
          <w:color w:val="auto"/>
          <w:sz w:val="21"/>
          <w:szCs w:val="21"/>
          <w:highlight w:val="none"/>
          <w:lang w:val="en-US" w:eastAsia="zh-CN"/>
        </w:rPr>
        <w:t>设立应急管理领导小组，</w:t>
      </w:r>
      <w:r>
        <w:rPr>
          <w:rFonts w:hint="eastAsia" w:ascii="宋体" w:hAnsi="宋体" w:cs="宋体"/>
          <w:color w:val="auto"/>
          <w:sz w:val="21"/>
          <w:szCs w:val="21"/>
          <w:highlight w:val="none"/>
          <w:lang w:val="en-US" w:eastAsia="zh-CN"/>
        </w:rPr>
        <w:t>制定食品安全突发事件应急处置预案。</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6.8.2 应指定专（兼）职食品安全等突发公共安全事件报告人，可由食品安全管理员兼任。</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6.8.3 发生食源性疾病或疑似食源性疾病等</w:t>
      </w:r>
      <w:r>
        <w:rPr>
          <w:rFonts w:hint="eastAsia" w:ascii="宋体" w:hAnsi="宋体" w:eastAsia="宋体" w:cs="宋体"/>
          <w:color w:val="auto"/>
          <w:sz w:val="21"/>
          <w:szCs w:val="21"/>
          <w:highlight w:val="none"/>
          <w:lang w:val="en-US" w:eastAsia="zh-CN"/>
        </w:rPr>
        <w:t>食品安全事故后，应立即</w:t>
      </w:r>
      <w:r>
        <w:rPr>
          <w:rFonts w:hint="eastAsia" w:ascii="宋体" w:hAnsi="宋体" w:cs="宋体"/>
          <w:color w:val="auto"/>
          <w:sz w:val="21"/>
          <w:szCs w:val="21"/>
          <w:highlight w:val="none"/>
          <w:lang w:val="en-US" w:eastAsia="zh-CN"/>
        </w:rPr>
        <w:t>启动应急处置预案，停止供餐，向事故发生地相关部门报告，</w:t>
      </w:r>
      <w:r>
        <w:rPr>
          <w:rFonts w:hint="eastAsia" w:ascii="宋体" w:hAnsi="宋体" w:eastAsia="宋体" w:cs="宋体"/>
          <w:color w:val="auto"/>
          <w:sz w:val="21"/>
          <w:szCs w:val="21"/>
          <w:highlight w:val="none"/>
          <w:lang w:val="en-US" w:eastAsia="zh-CN"/>
        </w:rPr>
        <w:t>封存导致或者可能导致食品安全事故的食品及原料、工具、设备设施</w:t>
      </w:r>
      <w:r>
        <w:rPr>
          <w:rFonts w:hint="eastAsia" w:ascii="宋体" w:hAnsi="宋体" w:cs="宋体"/>
          <w:color w:val="auto"/>
          <w:sz w:val="21"/>
          <w:szCs w:val="21"/>
          <w:highlight w:val="none"/>
          <w:lang w:val="en-US" w:eastAsia="zh-CN"/>
        </w:rPr>
        <w:t>、集中就餐剩余实物和患者的呕吐物（排泄物）</w:t>
      </w:r>
      <w:r>
        <w:rPr>
          <w:rFonts w:hint="eastAsia" w:ascii="宋体" w:hAnsi="宋体" w:eastAsia="宋体" w:cs="宋体"/>
          <w:color w:val="auto"/>
          <w:sz w:val="21"/>
          <w:szCs w:val="21"/>
          <w:highlight w:val="none"/>
          <w:lang w:val="en-US" w:eastAsia="zh-CN"/>
        </w:rPr>
        <w:t>等，</w:t>
      </w:r>
      <w:r>
        <w:rPr>
          <w:rFonts w:hint="eastAsia" w:ascii="宋体" w:hAnsi="宋体" w:cs="宋体"/>
          <w:color w:val="auto"/>
          <w:sz w:val="21"/>
          <w:szCs w:val="21"/>
          <w:highlight w:val="none"/>
          <w:lang w:val="en-US" w:eastAsia="zh-CN"/>
        </w:rPr>
        <w:t>按照相关部门要求采取控制措施，防止事态扩大，配合做好调查处置工作，协助医疗机构进行救治，做好沟通引导，</w:t>
      </w:r>
      <w:r>
        <w:rPr>
          <w:rFonts w:hint="eastAsia" w:ascii="宋体" w:hAnsi="宋体" w:eastAsia="宋体" w:cs="宋体"/>
          <w:color w:val="auto"/>
          <w:sz w:val="21"/>
          <w:szCs w:val="21"/>
          <w:highlight w:val="none"/>
          <w:lang w:val="en-US" w:eastAsia="zh-CN"/>
        </w:rPr>
        <w:t>启动食品安全责任保险理赔程序。</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lang w:val="en-US" w:eastAsia="zh-CN"/>
        </w:rPr>
        <w:t>发现其</w:t>
      </w:r>
      <w:r>
        <w:rPr>
          <w:rFonts w:hint="eastAsia" w:ascii="宋体" w:hAnsi="宋体" w:cs="宋体"/>
          <w:color w:val="auto"/>
          <w:sz w:val="21"/>
          <w:szCs w:val="21"/>
          <w:highlight w:val="none"/>
          <w:lang w:val="en-US" w:eastAsia="zh-CN"/>
        </w:rPr>
        <w:t>所供餐食</w:t>
      </w:r>
      <w:r>
        <w:rPr>
          <w:rFonts w:hint="eastAsia" w:ascii="宋体" w:hAnsi="宋体" w:eastAsia="宋体" w:cs="宋体"/>
          <w:color w:val="auto"/>
          <w:sz w:val="21"/>
          <w:szCs w:val="21"/>
          <w:highlight w:val="none"/>
          <w:lang w:val="en-US" w:eastAsia="zh-CN"/>
        </w:rPr>
        <w:t>属于不安全食品的，应立即停止</w:t>
      </w:r>
      <w:r>
        <w:rPr>
          <w:rFonts w:hint="eastAsia" w:ascii="宋体" w:hAnsi="宋体" w:cs="宋体"/>
          <w:color w:val="auto"/>
          <w:sz w:val="21"/>
          <w:szCs w:val="21"/>
          <w:highlight w:val="none"/>
          <w:lang w:val="en-US" w:eastAsia="zh-CN"/>
        </w:rPr>
        <w:t>供餐</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召回不安全食品</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0" w:lineRule="atLeast"/>
        <w:jc w:val="both"/>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 xml:space="preserve">6.9 </w:t>
      </w:r>
      <w:bookmarkStart w:id="114" w:name="OLE_LINK44"/>
      <w:r>
        <w:rPr>
          <w:rFonts w:hint="eastAsia" w:ascii="黑体" w:hAnsi="黑体" w:eastAsia="黑体" w:cs="黑体"/>
          <w:color w:val="auto"/>
          <w:sz w:val="21"/>
          <w:szCs w:val="21"/>
          <w:highlight w:val="none"/>
          <w:lang w:val="en-US" w:eastAsia="zh-CN"/>
        </w:rPr>
        <w:t>餐饮具清洗消毒</w:t>
      </w:r>
      <w:bookmarkEnd w:id="114"/>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餐饮具</w:t>
      </w:r>
      <w:r>
        <w:rPr>
          <w:rFonts w:hint="eastAsia" w:ascii="宋体" w:hAnsi="宋体" w:eastAsia="宋体" w:cs="宋体"/>
          <w:color w:val="auto"/>
          <w:sz w:val="21"/>
          <w:szCs w:val="21"/>
          <w:highlight w:val="none"/>
          <w:lang w:val="en-US" w:eastAsia="zh-CN"/>
        </w:rPr>
        <w:t>使用后应及时洗净，定位存放，保持清洁，使用前应消毒。</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应设置与供餐人数相适应</w:t>
      </w:r>
      <w:r>
        <w:rPr>
          <w:rFonts w:hint="eastAsia" w:ascii="宋体" w:hAnsi="宋体" w:cs="宋体"/>
          <w:color w:val="auto"/>
          <w:sz w:val="21"/>
          <w:szCs w:val="21"/>
          <w:highlight w:val="none"/>
          <w:lang w:val="en-US" w:eastAsia="zh-CN"/>
        </w:rPr>
        <w:t>的独立的</w:t>
      </w:r>
      <w:r>
        <w:rPr>
          <w:rFonts w:hint="eastAsia" w:ascii="宋体" w:hAnsi="宋体" w:eastAsia="宋体" w:cs="宋体"/>
          <w:color w:val="auto"/>
          <w:sz w:val="21"/>
          <w:szCs w:val="21"/>
          <w:highlight w:val="none"/>
          <w:lang w:val="en-US" w:eastAsia="zh-CN"/>
        </w:rPr>
        <w:t>餐用具清洗消毒区（间），清洗消毒区（间）</w:t>
      </w:r>
      <w:r>
        <w:rPr>
          <w:rFonts w:hint="eastAsia" w:ascii="宋体" w:hAnsi="宋体" w:cs="宋体"/>
          <w:color w:val="auto"/>
          <w:sz w:val="21"/>
          <w:szCs w:val="21"/>
          <w:highlight w:val="none"/>
          <w:lang w:val="en-US" w:eastAsia="zh-CN"/>
        </w:rPr>
        <w:t>地面有一定排水坡度，具备良好的排水、通风条件及防止有害生物侵入设施。</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清洗消毒设备设施的大小</w:t>
      </w:r>
      <w:r>
        <w:rPr>
          <w:rFonts w:hint="eastAsia" w:ascii="宋体" w:hAnsi="宋体" w:cs="宋体"/>
          <w:color w:val="auto"/>
          <w:sz w:val="21"/>
          <w:szCs w:val="21"/>
          <w:highlight w:val="none"/>
          <w:lang w:val="en-US" w:eastAsia="zh-CN"/>
        </w:rPr>
        <w:t>、规格</w:t>
      </w:r>
      <w:r>
        <w:rPr>
          <w:rFonts w:hint="eastAsia" w:ascii="宋体" w:hAnsi="宋体" w:eastAsia="宋体" w:cs="宋体"/>
          <w:color w:val="auto"/>
          <w:sz w:val="21"/>
          <w:szCs w:val="21"/>
          <w:highlight w:val="none"/>
          <w:lang w:val="en-US" w:eastAsia="zh-CN"/>
        </w:rPr>
        <w:t>和数量应满足需要</w:t>
      </w:r>
      <w:r>
        <w:rPr>
          <w:rFonts w:hint="eastAsia" w:ascii="宋体" w:hAnsi="宋体" w:cs="宋体"/>
          <w:color w:val="auto"/>
          <w:sz w:val="21"/>
          <w:szCs w:val="21"/>
          <w:highlight w:val="none"/>
          <w:lang w:val="en-US" w:eastAsia="zh-CN"/>
        </w:rPr>
        <w:t>，定期清洁保养。</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4 复用餐饮具</w:t>
      </w:r>
      <w:r>
        <w:rPr>
          <w:rFonts w:hint="eastAsia" w:ascii="宋体" w:hAnsi="宋体" w:eastAsia="宋体" w:cs="宋体"/>
          <w:color w:val="auto"/>
          <w:sz w:val="21"/>
          <w:szCs w:val="21"/>
          <w:highlight w:val="none"/>
          <w:lang w:val="en-US" w:eastAsia="zh-CN"/>
        </w:rPr>
        <w:t>宜采用热力消毒方式，配备热风消毒设施，并做好消毒温度、时间监控及记录，消毒设施应定期维护，保持良好状态。</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lang w:val="en-US" w:eastAsia="zh-CN"/>
        </w:rPr>
        <w:t>采用洗碗机等自动清洗设备的，应根据餐用具的数量选择洗涤功率相匹配的设备及相关配套设施，设备应设有温度显示和清洗消毒剂自动添加装置。</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6 </w:t>
      </w:r>
      <w:r>
        <w:rPr>
          <w:rFonts w:hint="eastAsia" w:ascii="宋体" w:hAnsi="宋体" w:eastAsia="宋体" w:cs="宋体"/>
          <w:color w:val="auto"/>
          <w:sz w:val="21"/>
          <w:szCs w:val="21"/>
          <w:highlight w:val="none"/>
          <w:lang w:val="en-US" w:eastAsia="zh-CN"/>
        </w:rPr>
        <w:t>消毒后的餐饮具、盛放或接触直接入口食品的容器和工具，应符合GB 14934的规定。</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7 </w:t>
      </w:r>
      <w:r>
        <w:rPr>
          <w:rFonts w:hint="eastAsia" w:ascii="宋体" w:hAnsi="宋体" w:eastAsia="宋体" w:cs="宋体"/>
          <w:color w:val="auto"/>
          <w:sz w:val="21"/>
          <w:szCs w:val="21"/>
          <w:highlight w:val="none"/>
          <w:lang w:val="en-US" w:eastAsia="zh-CN"/>
        </w:rPr>
        <w:t>消毒后的餐用具应贮存在专用密闭保洁柜内，保洁柜应有明显标识，并定期清洗、消毒，保持洁净，不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存放其他物品。</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8</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宜沥干、烘干清洗消毒后的餐用具。</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6.9</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9 </w:t>
      </w:r>
      <w:r>
        <w:rPr>
          <w:rFonts w:hint="eastAsia" w:ascii="宋体" w:hAnsi="宋体" w:eastAsia="宋体" w:cs="宋体"/>
          <w:color w:val="auto"/>
          <w:sz w:val="21"/>
          <w:szCs w:val="21"/>
          <w:highlight w:val="none"/>
          <w:lang w:val="en-US" w:eastAsia="zh-CN"/>
        </w:rPr>
        <w:t>应</w:t>
      </w:r>
      <w:r>
        <w:rPr>
          <w:rFonts w:hint="eastAsia" w:ascii="宋体" w:hAnsi="宋体" w:cs="宋体"/>
          <w:color w:val="auto"/>
          <w:sz w:val="21"/>
          <w:szCs w:val="21"/>
          <w:highlight w:val="none"/>
          <w:lang w:val="en-US" w:eastAsia="zh-CN"/>
        </w:rPr>
        <w:t>定期</w:t>
      </w:r>
      <w:r>
        <w:rPr>
          <w:rFonts w:hint="eastAsia" w:ascii="宋体" w:hAnsi="宋体" w:eastAsia="宋体" w:cs="宋体"/>
          <w:color w:val="auto"/>
          <w:sz w:val="21"/>
          <w:szCs w:val="21"/>
          <w:highlight w:val="none"/>
          <w:lang w:val="en-US" w:eastAsia="zh-CN"/>
        </w:rPr>
        <w:t>委托有资质的第三方检测机构对餐用具进行抽样检测，取得合格的检测报告。</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6.9.10 </w:t>
      </w:r>
      <w:r>
        <w:rPr>
          <w:rFonts w:hint="eastAsia" w:ascii="宋体" w:hAnsi="宋体" w:eastAsia="宋体" w:cs="宋体"/>
          <w:color w:val="auto"/>
          <w:sz w:val="21"/>
          <w:szCs w:val="21"/>
          <w:highlight w:val="none"/>
          <w:lang w:val="en-US" w:eastAsia="zh-CN"/>
        </w:rPr>
        <w:t>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重复使用一次性餐用具。</w:t>
      </w:r>
    </w:p>
    <w:p>
      <w:pPr>
        <w:pStyle w:val="3"/>
        <w:keepNext/>
        <w:keepLines/>
        <w:pageBreakBefore w:val="0"/>
        <w:widowControl w:val="0"/>
        <w:kinsoku/>
        <w:wordWrap/>
        <w:overflowPunct/>
        <w:topLinePunct w:val="0"/>
        <w:autoSpaceDE/>
        <w:autoSpaceDN/>
        <w:bidi w:val="0"/>
        <w:adjustRightInd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6.</w:t>
      </w:r>
      <w:r>
        <w:rPr>
          <w:rFonts w:hint="eastAsia" w:ascii="黑体" w:hAnsi="黑体" w:cs="黑体"/>
          <w:b w:val="0"/>
          <w:bCs w:val="0"/>
          <w:color w:val="auto"/>
          <w:sz w:val="21"/>
          <w:szCs w:val="21"/>
          <w:lang w:val="en-US" w:eastAsia="zh-CN"/>
        </w:rPr>
        <w:t>10</w:t>
      </w:r>
      <w:r>
        <w:rPr>
          <w:rFonts w:hint="eastAsia" w:ascii="黑体" w:hAnsi="黑体" w:eastAsia="黑体" w:cs="黑体"/>
          <w:b w:val="0"/>
          <w:bCs w:val="0"/>
          <w:color w:val="auto"/>
          <w:sz w:val="21"/>
          <w:szCs w:val="21"/>
          <w:lang w:val="en-US" w:eastAsia="zh-CN"/>
        </w:rPr>
        <w:t xml:space="preserve"> </w:t>
      </w:r>
      <w:bookmarkStart w:id="115" w:name="OLE_LINK45"/>
      <w:r>
        <w:rPr>
          <w:rFonts w:hint="eastAsia" w:ascii="黑体" w:hAnsi="黑体" w:eastAsia="黑体" w:cs="黑体"/>
          <w:b w:val="0"/>
          <w:bCs w:val="0"/>
          <w:color w:val="auto"/>
          <w:sz w:val="21"/>
          <w:szCs w:val="21"/>
          <w:lang w:val="en-US" w:eastAsia="zh-CN"/>
        </w:rPr>
        <w:t>废弃物管理</w:t>
      </w:r>
      <w:bookmarkEnd w:id="115"/>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6.10</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食品处理区内可能产生废弃物的区域，应设置带盖的废弃物存放容器，其与食品加工制作容器应有明显的区别标识。</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6.10</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餐厨废弃物应分类放置，及时清理，不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溢出存放容器。餐厨废弃物的存放容器应及时清洁和消毒。</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6.10</w:t>
      </w:r>
      <w:r>
        <w:rPr>
          <w:rFonts w:hint="eastAsia" w:ascii="宋体" w:hAnsi="宋体" w:eastAsia="宋体" w:cs="宋体"/>
          <w:color w:val="auto"/>
          <w:sz w:val="21"/>
          <w:szCs w:val="21"/>
          <w:highlight w:val="none"/>
          <w:shd w:val="clear" w:color="auto" w:fill="auto"/>
          <w:lang w:val="en-US" w:eastAsia="zh-CN"/>
        </w:rPr>
        <w:t>.3</w:t>
      </w:r>
      <w:r>
        <w:rPr>
          <w:rFonts w:hint="eastAsia" w:ascii="宋体" w:hAnsi="宋体" w:cs="宋体"/>
          <w:color w:val="auto"/>
          <w:sz w:val="21"/>
          <w:szCs w:val="21"/>
          <w:highlight w:val="none"/>
          <w:shd w:val="clear" w:color="auto" w:fill="auto"/>
          <w:lang w:val="en-US" w:eastAsia="zh-CN"/>
        </w:rPr>
        <w:t xml:space="preserve"> </w:t>
      </w:r>
      <w:r>
        <w:rPr>
          <w:rFonts w:hint="eastAsia" w:ascii="宋体" w:hAnsi="宋体" w:eastAsia="宋体" w:cs="宋体"/>
          <w:color w:val="auto"/>
          <w:sz w:val="21"/>
          <w:szCs w:val="21"/>
          <w:highlight w:val="none"/>
          <w:shd w:val="clear" w:color="auto" w:fill="auto"/>
          <w:lang w:val="en-US" w:eastAsia="zh-CN"/>
        </w:rPr>
        <w:t>在</w:t>
      </w:r>
      <w:r>
        <w:rPr>
          <w:rFonts w:hint="eastAsia" w:ascii="宋体" w:hAnsi="宋体" w:cs="宋体"/>
          <w:color w:val="auto"/>
          <w:sz w:val="21"/>
          <w:szCs w:val="21"/>
          <w:highlight w:val="none"/>
          <w:shd w:val="clear" w:color="auto" w:fill="auto"/>
          <w:lang w:val="en-US" w:eastAsia="zh-CN"/>
        </w:rPr>
        <w:t>食堂</w:t>
      </w:r>
      <w:r>
        <w:rPr>
          <w:rFonts w:hint="eastAsia" w:ascii="宋体" w:hAnsi="宋体" w:eastAsia="宋体" w:cs="宋体"/>
          <w:color w:val="auto"/>
          <w:sz w:val="21"/>
          <w:szCs w:val="21"/>
          <w:highlight w:val="none"/>
          <w:shd w:val="clear" w:color="auto" w:fill="auto"/>
          <w:lang w:val="en-US" w:eastAsia="zh-CN"/>
        </w:rPr>
        <w:t>外适宜地点，宜设置结构密闭的废弃物临时集中存放设施。</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6.10.4 </w:t>
      </w:r>
      <w:r>
        <w:rPr>
          <w:rFonts w:hint="eastAsia" w:ascii="宋体" w:hAnsi="宋体" w:eastAsia="宋体" w:cs="宋体"/>
          <w:color w:val="auto"/>
          <w:sz w:val="21"/>
          <w:szCs w:val="21"/>
          <w:highlight w:val="none"/>
          <w:lang w:val="en-US" w:eastAsia="zh-CN"/>
        </w:rPr>
        <w:t>餐厨废弃物应统一由有资质的餐厨废弃物收运、处置单位处理，并建立餐厨废弃物处置台账，详细记录餐厨废弃物的处置时间、种类、数量、收运者等信息。</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6.10</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lang w:val="en-US" w:eastAsia="zh-CN"/>
        </w:rPr>
        <w:t>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利用回收的污染食品和餐厨废弃物再加工。</w:t>
      </w:r>
    </w:p>
    <w:p>
      <w:pPr>
        <w:pStyle w:val="3"/>
        <w:keepNext/>
        <w:keepLines/>
        <w:pageBreakBefore w:val="0"/>
        <w:widowControl w:val="0"/>
        <w:kinsoku/>
        <w:wordWrap/>
        <w:overflowPunct/>
        <w:topLinePunct w:val="0"/>
        <w:autoSpaceDE/>
        <w:autoSpaceDN/>
        <w:bidi w:val="0"/>
        <w:adjustRightInd w:val="0"/>
        <w:snapToGrid/>
        <w:spacing w:before="157" w:beforeLines="50" w:after="157" w:afterLines="50" w:line="20" w:lineRule="atLeast"/>
        <w:textAlignment w:val="auto"/>
        <w:outlineLvl w:val="1"/>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6.</w:t>
      </w:r>
      <w:r>
        <w:rPr>
          <w:rFonts w:hint="eastAsia" w:ascii="黑体" w:hAnsi="黑体" w:cs="黑体"/>
          <w:b w:val="0"/>
          <w:bCs w:val="0"/>
          <w:color w:val="auto"/>
          <w:sz w:val="21"/>
          <w:szCs w:val="21"/>
          <w:lang w:val="en-US" w:eastAsia="zh-CN"/>
        </w:rPr>
        <w:t>11</w:t>
      </w:r>
      <w:r>
        <w:rPr>
          <w:rFonts w:hint="eastAsia" w:ascii="黑体" w:hAnsi="黑体" w:eastAsia="黑体" w:cs="黑体"/>
          <w:b w:val="0"/>
          <w:bCs w:val="0"/>
          <w:color w:val="auto"/>
          <w:sz w:val="21"/>
          <w:szCs w:val="21"/>
          <w:lang w:val="en-US" w:eastAsia="zh-CN"/>
        </w:rPr>
        <w:t xml:space="preserve"> </w:t>
      </w:r>
      <w:bookmarkStart w:id="116" w:name="OLE_LINK46"/>
      <w:r>
        <w:rPr>
          <w:rFonts w:hint="eastAsia" w:ascii="黑体" w:hAnsi="黑体" w:eastAsia="黑体" w:cs="黑体"/>
          <w:b w:val="0"/>
          <w:bCs w:val="0"/>
          <w:color w:val="auto"/>
          <w:sz w:val="21"/>
          <w:szCs w:val="21"/>
          <w:lang w:val="en-US" w:eastAsia="zh-CN"/>
        </w:rPr>
        <w:t>有害生物控制</w:t>
      </w:r>
      <w:bookmarkEnd w:id="116"/>
      <w:bookmarkStart w:id="137" w:name="_GoBack"/>
      <w:bookmarkEnd w:id="137"/>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6.11</w:t>
      </w:r>
      <w:r>
        <w:rPr>
          <w:rFonts w:hint="eastAsia" w:ascii="宋体" w:hAnsi="宋体" w:eastAsia="宋体" w:cs="宋体"/>
          <w:color w:val="auto"/>
          <w:sz w:val="21"/>
          <w:szCs w:val="21"/>
          <w:highlight w:val="none"/>
          <w:lang w:val="en-US" w:eastAsia="zh-CN"/>
        </w:rPr>
        <w:t xml:space="preserve">.1 </w:t>
      </w:r>
      <w:r>
        <w:rPr>
          <w:rFonts w:hint="eastAsia" w:ascii="宋体" w:hAnsi="宋体" w:cs="宋体"/>
          <w:color w:val="auto"/>
          <w:sz w:val="21"/>
          <w:szCs w:val="21"/>
          <w:highlight w:val="none"/>
          <w:lang w:val="en-US" w:eastAsia="zh-CN"/>
        </w:rPr>
        <w:t>学校食堂和集中供餐配送单位应保持建筑结构完好，环境整洁，防止虫害侵入和孳生。</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6.11</w:t>
      </w:r>
      <w:r>
        <w:rPr>
          <w:rFonts w:hint="eastAsia" w:ascii="宋体" w:hAnsi="宋体" w:eastAsia="宋体" w:cs="宋体"/>
          <w:color w:val="auto"/>
          <w:sz w:val="21"/>
          <w:szCs w:val="21"/>
          <w:highlight w:val="none"/>
          <w:lang w:val="en-US" w:eastAsia="zh-CN"/>
        </w:rPr>
        <w:t xml:space="preserve">.2 </w:t>
      </w:r>
      <w:r>
        <w:rPr>
          <w:rFonts w:hint="eastAsia" w:ascii="宋体" w:hAnsi="宋体" w:cs="宋体"/>
          <w:color w:val="auto"/>
          <w:sz w:val="21"/>
          <w:szCs w:val="21"/>
          <w:highlight w:val="none"/>
          <w:lang w:val="en-US" w:eastAsia="zh-CN"/>
        </w:rPr>
        <w:t>有害生物防治应遵循优先使用物理方法，必要时使用化学方法的原则，化学药剂应专人专柜保存，化学药剂的选择和使用参见5.9。</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6.11.3 建筑内通风口、换气窗、排风扇外应安装网眼小于6 mm的金属网，食品处理区的窗户应闭合严密，窗户外部应安装钢丝网状的防鼠纱窗，纱窗密度不少于16目。</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6.11.4 食品处理区入口处应设置挡鼠板，挡鼠板应由金属材质制作成，高度常规尺寸为0.6m，标准厚度为25 mm，上部应贴有反光条。门缝隙不大于6 mm，木门和门框的下端应使用金属包被，高300 mm。</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6.11.5 </w:t>
      </w:r>
      <w:r>
        <w:rPr>
          <w:rFonts w:hint="eastAsia" w:ascii="宋体" w:hAnsi="宋体" w:cs="宋体"/>
          <w:color w:val="auto"/>
          <w:sz w:val="21"/>
          <w:szCs w:val="21"/>
          <w:highlight w:val="none"/>
          <w:shd w:val="clear" w:color="auto" w:fill="auto"/>
          <w:lang w:val="en-US" w:eastAsia="zh-CN"/>
        </w:rPr>
        <w:t>应使用</w:t>
      </w:r>
      <w:r>
        <w:rPr>
          <w:rFonts w:hint="eastAsia" w:ascii="宋体" w:hAnsi="宋体" w:cs="宋体"/>
          <w:color w:val="auto"/>
          <w:sz w:val="21"/>
          <w:szCs w:val="21"/>
          <w:highlight w:val="none"/>
          <w:lang w:val="en-US" w:eastAsia="zh-CN"/>
        </w:rPr>
        <w:t>粘鼠板、捕鼠笼、机械式捕鼠器等装置，不应使用</w:t>
      </w:r>
      <w:bookmarkStart w:id="117" w:name="OLE_LINK53"/>
      <w:r>
        <w:rPr>
          <w:rFonts w:hint="eastAsia" w:ascii="宋体" w:hAnsi="宋体" w:cs="宋体"/>
          <w:color w:val="auto"/>
          <w:sz w:val="21"/>
          <w:szCs w:val="21"/>
          <w:highlight w:val="none"/>
          <w:lang w:val="en-US" w:eastAsia="zh-CN"/>
        </w:rPr>
        <w:t>杀</w:t>
      </w:r>
      <w:bookmarkStart w:id="118" w:name="OLE_LINK54"/>
      <w:r>
        <w:rPr>
          <w:rFonts w:hint="eastAsia" w:ascii="宋体" w:hAnsi="宋体" w:cs="宋体"/>
          <w:color w:val="auto"/>
          <w:sz w:val="21"/>
          <w:szCs w:val="21"/>
          <w:highlight w:val="none"/>
          <w:lang w:val="en-US" w:eastAsia="zh-CN"/>
        </w:rPr>
        <w:t>鼠</w:t>
      </w:r>
      <w:bookmarkEnd w:id="118"/>
      <w:r>
        <w:rPr>
          <w:rFonts w:hint="eastAsia" w:ascii="宋体" w:hAnsi="宋体" w:cs="宋体"/>
          <w:color w:val="auto"/>
          <w:sz w:val="21"/>
          <w:szCs w:val="21"/>
          <w:highlight w:val="none"/>
          <w:lang w:val="en-US" w:eastAsia="zh-CN"/>
        </w:rPr>
        <w:t>剂</w:t>
      </w:r>
      <w:bookmarkEnd w:id="117"/>
      <w:r>
        <w:rPr>
          <w:rFonts w:hint="eastAsia" w:ascii="宋体" w:hAnsi="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6.11.6 食品处理区、就餐区宜安装粘捕式灭蝇灯。使用电击式灭蝇灯的，灭蝇灯不应悬挂在食品加工制作或贮存区域的上方。应根据场所的布局、面积及灭蝇灯使用技术要求，确定灭蝇灯的安装位置和数量。</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6.11.7 使用防蝇胶帘的，防蝇胶帘应覆盖整个门框，底部离地距离小于2cm，相邻胶帘条的重叠部分不少于2cm。</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6.11.8 定期检查食品库房或食品贮存区域、固定设施设备背面及其他阴暗、潮湿区域是否存在有害生物活动迹象。发现有害生物，应尽快将其杀灭，并查找和消除其来源途径。</w:t>
      </w:r>
    </w:p>
    <w:p>
      <w:pPr>
        <w:pStyle w:val="2"/>
        <w:keepNext/>
        <w:keepLines/>
        <w:pageBreakBefore w:val="0"/>
        <w:widowControl w:val="0"/>
        <w:kinsoku/>
        <w:wordWrap/>
        <w:overflowPunct/>
        <w:topLinePunct w:val="0"/>
        <w:autoSpaceDE/>
        <w:autoSpaceDN/>
        <w:bidi w:val="0"/>
        <w:adjustRightInd w:val="0"/>
        <w:snapToGrid/>
        <w:spacing w:before="313" w:beforeLines="100" w:after="313" w:afterLines="100" w:line="240" w:lineRule="auto"/>
        <w:textAlignment w:val="auto"/>
        <w:rPr>
          <w:rFonts w:hint="eastAsia" w:ascii="黑体" w:hAnsi="黑体" w:eastAsia="黑体" w:cs="黑体"/>
          <w:b w:val="0"/>
          <w:bCs w:val="0"/>
          <w:color w:val="auto"/>
          <w:sz w:val="21"/>
          <w:szCs w:val="21"/>
          <w:lang w:val="en-US" w:eastAsia="zh-CN"/>
        </w:rPr>
      </w:pPr>
      <w:bookmarkStart w:id="119" w:name="_Toc31663"/>
      <w:r>
        <w:rPr>
          <w:rFonts w:hint="eastAsia" w:ascii="黑体" w:hAnsi="黑体" w:eastAsia="黑体" w:cs="黑体"/>
          <w:b w:val="0"/>
          <w:bCs w:val="0"/>
          <w:color w:val="auto"/>
          <w:sz w:val="21"/>
          <w:szCs w:val="21"/>
          <w:lang w:val="en-US" w:eastAsia="zh-CN"/>
        </w:rPr>
        <w:t xml:space="preserve">7 </w:t>
      </w:r>
      <w:bookmarkStart w:id="120" w:name="OLE_LINK47"/>
      <w:r>
        <w:rPr>
          <w:rFonts w:hint="eastAsia" w:ascii="黑体" w:hAnsi="黑体" w:eastAsia="黑体" w:cs="黑体"/>
          <w:b w:val="0"/>
          <w:bCs w:val="0"/>
          <w:color w:val="auto"/>
          <w:sz w:val="21"/>
          <w:szCs w:val="21"/>
          <w:lang w:val="en-US" w:eastAsia="zh-CN"/>
        </w:rPr>
        <w:t>监督与评价</w:t>
      </w:r>
      <w:bookmarkEnd w:id="119"/>
      <w:bookmarkEnd w:id="120"/>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学校和涉校企业应配和接受教育部门、市场监督管理部门、卫生健康部门的抽查或专项检查</w:t>
      </w:r>
      <w:r>
        <w:rPr>
          <w:rFonts w:hint="eastAsia" w:ascii="宋体" w:hAnsi="宋体" w:eastAsia="宋体" w:cs="宋体"/>
          <w:color w:val="auto"/>
          <w:sz w:val="21"/>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应定期对原料品质、食品加工环境、人员卫生、加工过程、配餐管理等项目进行自评，或委托专业机构开展第三方评估，发现问题及时整改。</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建立有效、畅通的投诉渠道，接到投诉应即时响应并如实记录，在规定时间内向投诉对象反馈处置结果。</w:t>
      </w:r>
    </w:p>
    <w:p>
      <w:pPr>
        <w:pStyle w:val="57"/>
        <w:ind w:left="0" w:leftChars="0" w:firstLine="0" w:firstLineChars="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根据</w:t>
      </w:r>
      <w:r>
        <w:rPr>
          <w:rFonts w:hint="eastAsia" w:hAnsi="宋体" w:cs="宋体"/>
          <w:color w:val="auto"/>
          <w:sz w:val="21"/>
          <w:szCs w:val="21"/>
          <w:highlight w:val="none"/>
          <w:lang w:val="en-US" w:eastAsia="zh-CN"/>
        </w:rPr>
        <w:t>供</w:t>
      </w:r>
      <w:r>
        <w:rPr>
          <w:rFonts w:hint="eastAsia" w:ascii="宋体" w:hAnsi="宋体" w:eastAsia="宋体" w:cs="宋体"/>
          <w:color w:val="auto"/>
          <w:sz w:val="21"/>
          <w:szCs w:val="21"/>
          <w:highlight w:val="none"/>
          <w:lang w:val="en-US" w:eastAsia="zh-CN"/>
        </w:rPr>
        <w:t>餐过程中发现的问题和各方反馈的配餐需求，不断改进管理方法和完善技术手段，持续改进</w:t>
      </w:r>
      <w:r>
        <w:rPr>
          <w:rFonts w:hint="eastAsia" w:ascii="宋体" w:hAnsi="宋体" w:cs="宋体"/>
          <w:color w:val="auto"/>
          <w:sz w:val="21"/>
          <w:szCs w:val="21"/>
          <w:highlight w:val="none"/>
          <w:lang w:val="en-US" w:eastAsia="zh-CN"/>
        </w:rPr>
        <w:t>。</w:t>
      </w:r>
    </w:p>
    <w:p>
      <w:r>
        <w:br w:type="page"/>
      </w:r>
    </w:p>
    <w:p>
      <w:pPr>
        <w:pStyle w:val="77"/>
        <w:spacing w:after="156"/>
        <w:rPr>
          <w:rFonts w:hAnsi="黑体" w:cs="黑体"/>
          <w:color w:val="auto"/>
        </w:rPr>
      </w:pPr>
      <w:bookmarkStart w:id="121" w:name="_Toc26755"/>
      <w:r>
        <w:rPr>
          <w:rFonts w:hint="eastAsia" w:hAnsi="黑体" w:cs="黑体"/>
          <w:color w:val="auto"/>
        </w:rPr>
        <w:br w:type="textWrapping"/>
      </w:r>
      <w:r>
        <w:rPr>
          <w:rFonts w:hint="eastAsia" w:hAnsi="黑体" w:cs="黑体"/>
          <w:color w:val="auto"/>
        </w:rPr>
        <w:t>（</w:t>
      </w:r>
      <w:r>
        <w:rPr>
          <w:rFonts w:hint="eastAsia" w:hAnsi="黑体" w:cs="黑体"/>
          <w:color w:val="auto"/>
          <w:lang w:eastAsia="zh-CN"/>
        </w:rPr>
        <w:t>规范</w:t>
      </w:r>
      <w:r>
        <w:rPr>
          <w:rFonts w:hint="eastAsia" w:hAnsi="黑体" w:cs="黑体"/>
          <w:color w:val="auto"/>
        </w:rPr>
        <w:t>性）</w:t>
      </w:r>
      <w:r>
        <w:rPr>
          <w:rFonts w:hint="eastAsia" w:hAnsi="黑体" w:cs="黑体"/>
          <w:color w:val="auto"/>
        </w:rPr>
        <w:br w:type="textWrapping"/>
      </w:r>
      <w:bookmarkEnd w:id="121"/>
      <w:r>
        <w:rPr>
          <w:rFonts w:hint="eastAsia" w:hAnsi="黑体" w:cs="黑体"/>
          <w:color w:val="auto"/>
          <w:lang w:eastAsia="zh-CN"/>
        </w:rPr>
        <w:t>不同供餐方式经营主体资质要求表</w:t>
      </w:r>
    </w:p>
    <w:p>
      <w:pPr>
        <w:pStyle w:val="57"/>
        <w:spacing w:before="156" w:beforeLines="50" w:after="156" w:afterLines="50"/>
        <w:ind w:firstLine="420"/>
        <w:rPr>
          <w:rFonts w:hint="eastAsia" w:eastAsia="宋体"/>
          <w:color w:val="auto"/>
          <w:lang w:eastAsia="zh-CN"/>
        </w:rPr>
      </w:pPr>
      <w:r>
        <w:rPr>
          <w:rFonts w:ascii="Times New Roman"/>
          <w:color w:val="auto"/>
        </w:rPr>
        <w:t>表</w:t>
      </w:r>
      <w:r>
        <w:rPr>
          <w:rFonts w:hint="eastAsia" w:ascii="宋体" w:hAnsi="宋体" w:eastAsia="宋体" w:cs="宋体"/>
          <w:color w:val="auto"/>
        </w:rPr>
        <w:t>A.1给出了</w:t>
      </w:r>
      <w:r>
        <w:rPr>
          <w:rFonts w:hint="eastAsia" w:ascii="Times New Roman"/>
          <w:color w:val="auto"/>
          <w:lang w:eastAsia="zh-CN"/>
        </w:rPr>
        <w:t>不同供餐方式经营主体资质要求。</w:t>
      </w:r>
    </w:p>
    <w:p>
      <w:pPr>
        <w:pStyle w:val="57"/>
        <w:spacing w:before="156" w:beforeLines="50" w:after="156" w:afterLines="50"/>
        <w:ind w:firstLine="0" w:firstLineChars="0"/>
        <w:jc w:val="center"/>
        <w:rPr>
          <w:rFonts w:ascii="Times New Roman"/>
          <w:color w:val="auto"/>
        </w:rPr>
      </w:pPr>
      <w:r>
        <w:rPr>
          <w:rFonts w:hint="eastAsia" w:ascii="黑体" w:hAnsi="黑体" w:eastAsia="黑体" w:cs="黑体"/>
          <w:color w:val="auto"/>
        </w:rPr>
        <w:t xml:space="preserve">表A.1 </w:t>
      </w:r>
      <w:r>
        <w:rPr>
          <w:rFonts w:hint="eastAsia" w:ascii="黑体" w:hAnsi="黑体" w:eastAsia="黑体" w:cs="黑体"/>
          <w:color w:val="auto"/>
          <w:lang w:eastAsia="zh-CN"/>
        </w:rPr>
        <w:t>不同供餐方式经营主体资质要求</w:t>
      </w:r>
      <w:r>
        <w:rPr>
          <w:rFonts w:hint="eastAsia" w:ascii="黑体" w:hAnsi="黑体" w:eastAsia="黑体" w:cs="黑体"/>
          <w:color w:val="auto"/>
        </w:rPr>
        <w:t>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2342"/>
        <w:gridCol w:w="4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18"/>
                <w:szCs w:val="18"/>
                <w:highlight w:val="none"/>
                <w:shd w:val="clear" w:color="auto" w:fill="auto"/>
                <w:vertAlign w:val="baseline"/>
                <w:lang w:val="en-US" w:eastAsia="zh-CN"/>
              </w:rPr>
            </w:pPr>
            <w:bookmarkStart w:id="122" w:name="OLE_LINK18"/>
            <w:r>
              <w:rPr>
                <w:rFonts w:hint="eastAsia" w:ascii="宋体" w:hAnsi="宋体" w:cs="宋体"/>
                <w:color w:val="auto"/>
                <w:sz w:val="18"/>
                <w:szCs w:val="18"/>
                <w:highlight w:val="none"/>
                <w:shd w:val="clear" w:color="auto" w:fill="auto"/>
                <w:vertAlign w:val="baseline"/>
                <w:lang w:val="en-US" w:eastAsia="zh-CN"/>
              </w:rPr>
              <w:t>供餐方式</w:t>
            </w: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经营主体</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学校自办自管</w:t>
            </w: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学校</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bookmarkStart w:id="123" w:name="OLE_LINK8"/>
            <w:r>
              <w:rPr>
                <w:rFonts w:hint="eastAsia" w:ascii="宋体" w:hAnsi="宋体" w:cs="宋体"/>
                <w:color w:val="auto"/>
                <w:sz w:val="18"/>
                <w:szCs w:val="18"/>
                <w:highlight w:val="none"/>
                <w:shd w:val="clear" w:color="auto" w:fill="auto"/>
                <w:vertAlign w:val="baseline"/>
                <w:lang w:val="en-US" w:eastAsia="zh-CN"/>
              </w:rPr>
              <w:t>食品经营许可证</w:t>
            </w:r>
            <w:bookmarkEnd w:id="1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bookmarkStart w:id="124" w:name="OLE_LINK5"/>
            <w:r>
              <w:rPr>
                <w:rFonts w:hint="eastAsia" w:ascii="宋体" w:hAnsi="宋体" w:cs="宋体"/>
                <w:color w:val="auto"/>
                <w:sz w:val="18"/>
                <w:szCs w:val="18"/>
                <w:highlight w:val="none"/>
                <w:shd w:val="clear" w:color="auto" w:fill="auto"/>
                <w:vertAlign w:val="baseline"/>
                <w:lang w:val="en-US" w:eastAsia="zh-CN"/>
              </w:rPr>
              <w:t>食材配送企业</w:t>
            </w:r>
            <w:bookmarkEnd w:id="124"/>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bookmarkStart w:id="125" w:name="OLE_LINK9"/>
            <w:r>
              <w:rPr>
                <w:rFonts w:hint="eastAsia" w:ascii="宋体" w:hAnsi="宋体" w:cs="宋体"/>
                <w:color w:val="auto"/>
                <w:sz w:val="18"/>
                <w:szCs w:val="18"/>
                <w:highlight w:val="none"/>
                <w:shd w:val="clear" w:color="auto" w:fill="auto"/>
                <w:vertAlign w:val="baseline"/>
                <w:lang w:val="en-US" w:eastAsia="zh-CN"/>
              </w:rPr>
              <w:t>营业执照、食品经营许可证</w:t>
            </w:r>
            <w:bookmarkEnd w:id="1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校内委托加工</w:t>
            </w: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学校</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食品经营许可证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食材配送企业</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bookmarkStart w:id="126" w:name="OLE_LINK13"/>
            <w:r>
              <w:rPr>
                <w:rFonts w:hint="eastAsia" w:ascii="宋体" w:hAnsi="宋体" w:cs="宋体"/>
                <w:color w:val="auto"/>
                <w:sz w:val="18"/>
                <w:szCs w:val="18"/>
                <w:highlight w:val="none"/>
                <w:shd w:val="clear" w:color="auto" w:fill="auto"/>
                <w:vertAlign w:val="baseline"/>
                <w:lang w:val="en-US" w:eastAsia="zh-CN"/>
              </w:rPr>
              <w:t>营业执照、</w:t>
            </w:r>
            <w:bookmarkStart w:id="127" w:name="OLE_LINK10"/>
            <w:r>
              <w:rPr>
                <w:rFonts w:hint="eastAsia" w:ascii="宋体" w:hAnsi="宋体" w:cs="宋体"/>
                <w:color w:val="auto"/>
                <w:sz w:val="18"/>
                <w:szCs w:val="18"/>
                <w:highlight w:val="none"/>
                <w:shd w:val="clear" w:color="auto" w:fill="auto"/>
                <w:vertAlign w:val="baseline"/>
                <w:lang w:val="en-US" w:eastAsia="zh-CN"/>
              </w:rPr>
              <w:t>食品经营许可证</w:t>
            </w:r>
            <w:bookmarkEnd w:id="126"/>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委托经营企业</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bookmarkStart w:id="128" w:name="OLE_LINK16"/>
            <w:r>
              <w:rPr>
                <w:rFonts w:hint="eastAsia" w:ascii="宋体" w:hAnsi="宋体" w:cs="宋体"/>
                <w:color w:val="auto"/>
                <w:sz w:val="18"/>
                <w:szCs w:val="18"/>
                <w:highlight w:val="none"/>
                <w:shd w:val="clear" w:color="auto" w:fill="auto"/>
                <w:vertAlign w:val="baseline"/>
                <w:lang w:val="en-US" w:eastAsia="zh-CN"/>
              </w:rPr>
              <w:t>营业执照、</w:t>
            </w:r>
            <w:bookmarkStart w:id="129" w:name="OLE_LINK15"/>
            <w:r>
              <w:rPr>
                <w:rFonts w:hint="eastAsia" w:ascii="宋体" w:hAnsi="宋体" w:cs="宋体"/>
                <w:color w:val="auto"/>
                <w:sz w:val="18"/>
                <w:szCs w:val="18"/>
                <w:highlight w:val="none"/>
                <w:shd w:val="clear" w:color="auto" w:fill="auto"/>
                <w:vertAlign w:val="baseline"/>
                <w:lang w:val="en-US" w:eastAsia="zh-CN"/>
              </w:rPr>
              <w:t>食品经营许可证</w:t>
            </w:r>
            <w:bookmarkEnd w:id="128"/>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bookmarkStart w:id="130" w:name="OLE_LINK6"/>
            <w:r>
              <w:rPr>
                <w:rFonts w:hint="eastAsia" w:ascii="宋体" w:hAnsi="宋体" w:eastAsia="宋体" w:cs="宋体"/>
                <w:color w:val="auto"/>
                <w:sz w:val="18"/>
                <w:szCs w:val="18"/>
                <w:highlight w:val="none"/>
                <w:shd w:val="clear" w:color="auto" w:fill="auto"/>
                <w:lang w:val="en-US" w:eastAsia="zh-CN"/>
              </w:rPr>
              <w:t>集体用餐配送单位</w:t>
            </w:r>
            <w:bookmarkEnd w:id="130"/>
            <w:r>
              <w:rPr>
                <w:rFonts w:hint="eastAsia" w:ascii="宋体" w:hAnsi="宋体" w:cs="宋体"/>
                <w:color w:val="auto"/>
                <w:sz w:val="18"/>
                <w:szCs w:val="18"/>
                <w:highlight w:val="none"/>
                <w:shd w:val="clear" w:color="auto" w:fill="auto"/>
                <w:lang w:val="en-US" w:eastAsia="zh-CN"/>
              </w:rPr>
              <w:t>供餐</w:t>
            </w: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学校</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食品经营许可证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食材配送企业</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营业执照、</w:t>
            </w:r>
            <w:bookmarkStart w:id="131" w:name="OLE_LINK17"/>
            <w:r>
              <w:rPr>
                <w:rFonts w:hint="eastAsia" w:ascii="宋体" w:hAnsi="宋体" w:cs="宋体"/>
                <w:color w:val="auto"/>
                <w:sz w:val="18"/>
                <w:szCs w:val="18"/>
                <w:highlight w:val="none"/>
                <w:shd w:val="clear" w:color="auto" w:fill="auto"/>
                <w:vertAlign w:val="baseline"/>
                <w:lang w:val="en-US" w:eastAsia="zh-CN"/>
              </w:rPr>
              <w:t>食品经营许可证</w:t>
            </w:r>
            <w:bookmarkEnd w:id="1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p>
        </w:tc>
        <w:tc>
          <w:tcPr>
            <w:tcW w:w="23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eastAsia="宋体" w:cs="宋体"/>
                <w:color w:val="auto"/>
                <w:sz w:val="18"/>
                <w:szCs w:val="18"/>
                <w:highlight w:val="none"/>
                <w:shd w:val="clear" w:color="auto" w:fill="auto"/>
                <w:lang w:val="en-US" w:eastAsia="zh-CN"/>
              </w:rPr>
              <w:t>集体用餐配送单位</w:t>
            </w:r>
          </w:p>
        </w:tc>
        <w:tc>
          <w:tcPr>
            <w:tcW w:w="4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18"/>
                <w:szCs w:val="18"/>
                <w:highlight w:val="none"/>
                <w:shd w:val="clear" w:color="auto" w:fill="auto"/>
                <w:vertAlign w:val="baseline"/>
                <w:lang w:val="en-US" w:eastAsia="zh-CN"/>
              </w:rPr>
            </w:pPr>
            <w:r>
              <w:rPr>
                <w:rFonts w:hint="eastAsia" w:ascii="宋体" w:hAnsi="宋体" w:cs="宋体"/>
                <w:color w:val="auto"/>
                <w:sz w:val="18"/>
                <w:szCs w:val="18"/>
                <w:highlight w:val="none"/>
                <w:shd w:val="clear" w:color="auto" w:fill="auto"/>
                <w:vertAlign w:val="baseline"/>
                <w:lang w:val="en-US" w:eastAsia="zh-CN"/>
              </w:rPr>
              <w:t>营业执照、食品经营许可证（主体业态为</w:t>
            </w:r>
            <w:r>
              <w:rPr>
                <w:rFonts w:hint="eastAsia" w:ascii="宋体" w:hAnsi="宋体" w:eastAsia="宋体" w:cs="宋体"/>
                <w:color w:val="auto"/>
                <w:sz w:val="18"/>
                <w:szCs w:val="18"/>
                <w:highlight w:val="none"/>
                <w:lang w:val="en-US" w:eastAsia="zh-CN"/>
              </w:rPr>
              <w:t>集体用餐配送</w:t>
            </w:r>
            <w:r>
              <w:rPr>
                <w:rFonts w:hint="eastAsia" w:ascii="宋体" w:hAnsi="宋体" w:cs="宋体"/>
                <w:color w:val="auto"/>
                <w:sz w:val="18"/>
                <w:szCs w:val="18"/>
                <w:highlight w:val="none"/>
                <w:lang w:val="en-US" w:eastAsia="zh-CN"/>
              </w:rPr>
              <w:t>）</w:t>
            </w:r>
          </w:p>
        </w:tc>
      </w:tr>
      <w:bookmarkEnd w:id="122"/>
    </w:tbl>
    <w:p>
      <w:pPr>
        <w:pStyle w:val="57"/>
        <w:ind w:firstLine="0" w:firstLineChars="0"/>
        <w:jc w:val="cente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bookmarkStart w:id="132" w:name="_Toc32308"/>
      <w:bookmarkStart w:id="133" w:name="_Toc6074"/>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77"/>
        <w:spacing w:after="156"/>
        <w:rPr>
          <w:rFonts w:hAnsi="黑体" w:cs="黑体"/>
          <w:color w:val="auto"/>
        </w:rPr>
      </w:pPr>
      <w:r>
        <w:rPr>
          <w:rFonts w:hint="eastAsia" w:hAnsi="黑体" w:cs="黑体"/>
          <w:color w:val="auto"/>
        </w:rPr>
        <w:br w:type="textWrapping"/>
      </w:r>
      <w:r>
        <w:rPr>
          <w:rFonts w:hint="eastAsia" w:hAnsi="黑体" w:cs="黑体"/>
          <w:color w:val="auto"/>
        </w:rPr>
        <w:t>（资料性）</w:t>
      </w:r>
      <w:r>
        <w:rPr>
          <w:rFonts w:hint="eastAsia" w:hAnsi="黑体" w:cs="黑体"/>
          <w:color w:val="auto"/>
        </w:rPr>
        <w:br w:type="textWrapping"/>
      </w:r>
      <w:r>
        <w:rPr>
          <w:rFonts w:hint="eastAsia" w:hAnsi="黑体" w:cs="黑体"/>
          <w:color w:val="auto"/>
          <w:lang w:eastAsia="zh-CN"/>
        </w:rPr>
        <w:t>色标颜色推荐及分类表</w:t>
      </w:r>
    </w:p>
    <w:p>
      <w:pPr>
        <w:pStyle w:val="57"/>
        <w:spacing w:before="156" w:beforeLines="50" w:after="156" w:afterLines="50"/>
        <w:ind w:firstLine="420"/>
        <w:rPr>
          <w:rFonts w:hint="eastAsia" w:eastAsia="宋体"/>
          <w:color w:val="auto"/>
          <w:lang w:eastAsia="zh-CN"/>
        </w:rPr>
      </w:pPr>
      <w:r>
        <w:rPr>
          <w:rFonts w:hint="eastAsia" w:ascii="宋体" w:hAnsi="宋体" w:eastAsia="宋体" w:cs="宋体"/>
          <w:color w:val="auto"/>
        </w:rPr>
        <w:t>表</w:t>
      </w:r>
      <w:r>
        <w:rPr>
          <w:rFonts w:hint="eastAsia" w:ascii="宋体" w:hAnsi="宋体" w:eastAsia="宋体" w:cs="宋体"/>
          <w:color w:val="auto"/>
          <w:lang w:val="en-US" w:eastAsia="zh-CN"/>
        </w:rPr>
        <w:t>B</w:t>
      </w:r>
      <w:r>
        <w:rPr>
          <w:rFonts w:hint="eastAsia" w:ascii="宋体" w:hAnsi="宋体" w:eastAsia="宋体" w:cs="宋体"/>
          <w:color w:val="auto"/>
        </w:rPr>
        <w:t>.1给</w:t>
      </w:r>
      <w:r>
        <w:rPr>
          <w:rFonts w:hint="eastAsia" w:ascii="Times New Roman"/>
          <w:color w:val="auto"/>
        </w:rPr>
        <w:t>出了</w:t>
      </w:r>
      <w:r>
        <w:rPr>
          <w:rFonts w:hint="eastAsia" w:ascii="Times New Roman"/>
          <w:color w:val="auto"/>
          <w:lang w:eastAsia="zh-CN"/>
        </w:rPr>
        <w:t>色标颜色推荐及分类参考。</w:t>
      </w:r>
    </w:p>
    <w:p>
      <w:pPr>
        <w:pStyle w:val="57"/>
        <w:spacing w:before="156" w:beforeLines="50" w:after="156" w:afterLines="50"/>
        <w:ind w:firstLine="0" w:firstLineChars="0"/>
        <w:jc w:val="center"/>
        <w:rPr>
          <w:rFonts w:ascii="Times New Roman"/>
          <w:color w:val="auto"/>
        </w:rPr>
      </w:pPr>
      <w:r>
        <w:rPr>
          <w:rFonts w:hint="eastAsia" w:ascii="黑体" w:hAnsi="黑体" w:eastAsia="黑体" w:cs="黑体"/>
          <w:color w:val="auto"/>
        </w:rPr>
        <w:t>表</w:t>
      </w:r>
      <w:r>
        <w:rPr>
          <w:rFonts w:hint="eastAsia" w:ascii="黑体" w:hAnsi="黑体" w:eastAsia="黑体" w:cs="黑体"/>
          <w:color w:val="auto"/>
          <w:lang w:val="en-US" w:eastAsia="zh-CN"/>
        </w:rPr>
        <w:t>B</w:t>
      </w:r>
      <w:r>
        <w:rPr>
          <w:rFonts w:hint="eastAsia" w:ascii="黑体" w:hAnsi="黑体" w:eastAsia="黑体" w:cs="黑体"/>
          <w:color w:val="auto"/>
        </w:rPr>
        <w:t xml:space="preserve">.1 </w:t>
      </w:r>
      <w:r>
        <w:rPr>
          <w:rFonts w:hint="eastAsia" w:ascii="黑体" w:hAnsi="黑体" w:eastAsia="黑体" w:cs="黑体"/>
          <w:color w:val="auto"/>
          <w:lang w:eastAsia="zh-CN"/>
        </w:rPr>
        <w:t>色标颜色推荐及分类</w:t>
      </w:r>
      <w:r>
        <w:rPr>
          <w:rFonts w:hint="eastAsia" w:ascii="黑体" w:hAnsi="黑体" w:eastAsia="黑体" w:cs="黑体"/>
          <w:color w:val="auto"/>
        </w:rPr>
        <w:t>表</w:t>
      </w:r>
    </w:p>
    <w:tbl>
      <w:tblPr>
        <w:tblStyle w:val="27"/>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3"/>
        <w:gridCol w:w="4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色标管理分类</w:t>
            </w:r>
          </w:p>
        </w:tc>
        <w:tc>
          <w:tcPr>
            <w:tcW w:w="423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颜  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植物性食品（原料、半成品、成品）及其清洗、加工用具、设备</w:t>
            </w:r>
          </w:p>
        </w:tc>
        <w:tc>
          <w:tcPr>
            <w:tcW w:w="4234" w:type="dxa"/>
            <w:noWrap w:val="0"/>
            <w:vAlign w:val="center"/>
          </w:tcPr>
          <w:p>
            <w:pPr>
              <w:keepNext w:val="0"/>
              <w:keepLines w:val="0"/>
              <w:pageBreakBefore w:val="0"/>
              <w:kinsoku/>
              <w:wordWrap/>
              <w:overflowPunct/>
              <w:topLinePunct w:val="0"/>
              <w:autoSpaceDE/>
              <w:autoSpaceDN/>
              <w:bidi w:val="0"/>
              <w:adjustRightInd/>
              <w:snapToGrid/>
              <w:spacing w:line="596" w:lineRule="exact"/>
              <w:ind w:firstLine="0" w:firstLineChars="0"/>
              <w:jc w:val="both"/>
              <w:textAlignment w:val="auto"/>
              <w:rPr>
                <w:rFonts w:hint="eastAsia" w:ascii="宋体" w:hAnsi="宋体" w:eastAsia="宋体" w:cs="宋体"/>
                <w:color w:val="00CC00"/>
                <w:sz w:val="18"/>
                <w:szCs w:val="18"/>
                <w:lang w:val="zh-CN"/>
              </w:rPr>
            </w:pPr>
            <w:r>
              <w:rPr>
                <w:rFonts w:hint="eastAsia" w:ascii="宋体" w:hAnsi="宋体" w:eastAsia="宋体" w:cs="宋体"/>
                <w:sz w:val="18"/>
                <w:szCs w:val="18"/>
              </w:rPr>
              <mc:AlternateContent>
                <mc:Choice Requires="wps">
                  <w:drawing>
                    <wp:anchor distT="0" distB="0" distL="114300" distR="114300" simplePos="0" relativeHeight="251667456" behindDoc="0" locked="0" layoutInCell="1" allowOverlap="1">
                      <wp:simplePos x="0" y="0"/>
                      <wp:positionH relativeFrom="column">
                        <wp:posOffset>731520</wp:posOffset>
                      </wp:positionH>
                      <wp:positionV relativeFrom="paragraph">
                        <wp:posOffset>73025</wp:posOffset>
                      </wp:positionV>
                      <wp:extent cx="1839595" cy="190500"/>
                      <wp:effectExtent l="4445" t="4445" r="22860" b="14605"/>
                      <wp:wrapNone/>
                      <wp:docPr id="77" name="矩形 77"/>
                      <wp:cNvGraphicFramePr/>
                      <a:graphic xmlns:a="http://schemas.openxmlformats.org/drawingml/2006/main">
                        <a:graphicData uri="http://schemas.microsoft.com/office/word/2010/wordprocessingShape">
                          <wps:wsp>
                            <wps:cNvSpPr/>
                            <wps:spPr>
                              <a:xfrm rot="-10800000" flipH="1">
                                <a:off x="0" y="0"/>
                                <a:ext cx="1839595" cy="198755"/>
                              </a:xfrm>
                              <a:prstGeom prst="rect">
                                <a:avLst/>
                              </a:prstGeom>
                              <a:solidFill>
                                <a:srgbClr val="00CC00"/>
                              </a:solidFill>
                              <a:ln w="9525" cap="flat" cmpd="sng">
                                <a:solidFill>
                                  <a:srgbClr val="000000"/>
                                </a:solidFill>
                                <a:prstDash val="solid"/>
                                <a:miter/>
                                <a:headEnd type="none" w="med" len="med"/>
                                <a:tailEnd type="none" w="med" len="med"/>
                              </a:ln>
                              <a:effectLst/>
                            </wps:spPr>
                            <wps:txbx>
                              <w:txbxContent>
                                <w:p>
                                  <w:pPr>
                                    <w:autoSpaceDE w:val="0"/>
                                    <w:autoSpaceDN w:val="0"/>
                                    <w:adjustRightInd w:val="0"/>
                                    <w:jc w:val="center"/>
                                    <w:rPr>
                                      <w:rFonts w:ascii="Arial" w:hAnsi="Arial" w:eastAsia="宋体" w:cs="宋体"/>
                                      <w:color w:val="00CC00"/>
                                      <w:sz w:val="36"/>
                                      <w:szCs w:val="36"/>
                                      <w:lang w:val="zh-CN"/>
                                    </w:rPr>
                                  </w:pPr>
                                </w:p>
                                <w:p>
                                  <w:pPr>
                                    <w:jc w:val="center"/>
                                    <w:rPr>
                                      <w:rFonts w:ascii="Times New Roman" w:hAnsi="Times New Roman" w:eastAsia="宋体"/>
                                      <w:sz w:val="32"/>
                                      <w:szCs w:val="20"/>
                                    </w:rPr>
                                  </w:pPr>
                                </w:p>
                              </w:txbxContent>
                            </wps:txbx>
                            <wps:bodyPr anchor="ctr" anchorCtr="0" upright="1"/>
                          </wps:wsp>
                        </a:graphicData>
                      </a:graphic>
                    </wp:anchor>
                  </w:drawing>
                </mc:Choice>
                <mc:Fallback>
                  <w:pict>
                    <v:rect id="_x0000_s1026" o:spid="_x0000_s1026" o:spt="1" style="position:absolute;left:0pt;flip:x;margin-left:57.6pt;margin-top:5.75pt;height:15pt;width:144.85pt;rotation:11796480f;z-index:251667456;v-text-anchor:middle;mso-width-relative:page;mso-height-relative:page;" fillcolor="#00CC00" filled="t" stroked="t" coordsize="21600,21600" o:gfxdata="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F9HhXYAAAACQEAAA8AAAAAAAAAAQAg&#10;AAAAIgAAAGRycy9kb3ducmV2LnhtbFBLAQIUABQAAAAIAIdO4kCZWId2DgIAACAEAAAOAAAAAAAA&#10;AAEAIAAAACcBAABkcnMvZTJvRG9jLnhtbFBLBQYAAAAABgAGAFkBAACnBQAAAAA=&#10;">
                      <v:fill on="t" focussize="0,0"/>
                      <v:stroke color="#000000" joinstyle="miter"/>
                      <v:imagedata o:title=""/>
                      <o:lock v:ext="edit" aspectratio="f"/>
                      <v:textbox>
                        <w:txbxContent>
                          <w:p>
                            <w:pPr>
                              <w:autoSpaceDE w:val="0"/>
                              <w:autoSpaceDN w:val="0"/>
                              <w:adjustRightInd w:val="0"/>
                              <w:jc w:val="center"/>
                              <w:rPr>
                                <w:rFonts w:ascii="Arial" w:hAnsi="Arial" w:eastAsia="宋体" w:cs="宋体"/>
                                <w:color w:val="00CC00"/>
                                <w:sz w:val="36"/>
                                <w:szCs w:val="36"/>
                                <w:lang w:val="zh-CN"/>
                              </w:rPr>
                            </w:pPr>
                          </w:p>
                          <w:p>
                            <w:pPr>
                              <w:jc w:val="center"/>
                              <w:rPr>
                                <w:rFonts w:ascii="Times New Roman" w:hAnsi="Times New Roman" w:eastAsia="宋体"/>
                                <w:sz w:val="32"/>
                                <w:szCs w:val="20"/>
                              </w:rPr>
                            </w:pPr>
                          </w:p>
                        </w:txbxContent>
                      </v:textbox>
                    </v:rect>
                  </w:pict>
                </mc:Fallback>
              </mc:AlternateContent>
            </w:r>
            <w:r>
              <w:rPr>
                <w:rFonts w:hint="eastAsia" w:ascii="宋体" w:hAnsi="宋体" w:eastAsia="宋体" w:cs="宋体"/>
                <w:sz w:val="18"/>
                <w:szCs w:val="18"/>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动物性食品（原料、半成品、成品）及其加工用具、设备</w:t>
            </w:r>
          </w:p>
        </w:tc>
        <w:tc>
          <w:tcPr>
            <w:tcW w:w="4234" w:type="dxa"/>
            <w:noWrap w:val="0"/>
            <w:vAlign w:val="center"/>
          </w:tcPr>
          <w:p>
            <w:pPr>
              <w:keepNext w:val="0"/>
              <w:keepLines w:val="0"/>
              <w:pageBreakBefore w:val="0"/>
              <w:kinsoku/>
              <w:wordWrap/>
              <w:overflowPunct/>
              <w:topLinePunct w:val="0"/>
              <w:autoSpaceDE/>
              <w:autoSpaceDN/>
              <w:bidi w:val="0"/>
              <w:adjustRightInd/>
              <w:snapToGrid/>
              <w:spacing w:line="596" w:lineRule="exact"/>
              <w:ind w:firstLine="0" w:firstLineChars="0"/>
              <w:jc w:val="both"/>
              <w:textAlignment w:val="auto"/>
              <w:rPr>
                <w:rFonts w:hint="eastAsia" w:ascii="宋体" w:hAnsi="宋体" w:eastAsia="宋体" w:cs="宋体"/>
                <w:sz w:val="18"/>
                <w:szCs w:val="18"/>
              </w:rPr>
            </w:pPr>
            <w:r>
              <w:rPr>
                <w:rFonts w:hint="eastAsia" w:ascii="宋体" w:hAnsi="宋体" w:eastAsia="宋体" w:cs="宋体"/>
                <w:sz w:val="18"/>
                <w:szCs w:val="18"/>
              </w:rPr>
              <mc:AlternateContent>
                <mc:Choice Requires="wps">
                  <w:drawing>
                    <wp:anchor distT="0" distB="0" distL="114300" distR="114300" simplePos="0" relativeHeight="251665408" behindDoc="0" locked="0" layoutInCell="1" allowOverlap="1">
                      <wp:simplePos x="0" y="0"/>
                      <wp:positionH relativeFrom="column">
                        <wp:posOffset>739775</wp:posOffset>
                      </wp:positionH>
                      <wp:positionV relativeFrom="paragraph">
                        <wp:posOffset>69850</wp:posOffset>
                      </wp:positionV>
                      <wp:extent cx="1839595" cy="190500"/>
                      <wp:effectExtent l="4445" t="4445" r="22860" b="14605"/>
                      <wp:wrapNone/>
                      <wp:docPr id="75" name="矩形 75"/>
                      <wp:cNvGraphicFramePr/>
                      <a:graphic xmlns:a="http://schemas.openxmlformats.org/drawingml/2006/main">
                        <a:graphicData uri="http://schemas.microsoft.com/office/word/2010/wordprocessingShape">
                          <wps:wsp>
                            <wps:cNvSpPr/>
                            <wps:spPr>
                              <a:xfrm>
                                <a:off x="0" y="0"/>
                                <a:ext cx="1819275" cy="176530"/>
                              </a:xfrm>
                              <a:prstGeom prst="rect">
                                <a:avLst/>
                              </a:prstGeom>
                              <a:solidFill>
                                <a:srgbClr val="FF0000"/>
                              </a:solidFill>
                              <a:ln w="9525" cap="flat" cmpd="sng">
                                <a:solidFill>
                                  <a:srgbClr val="000000"/>
                                </a:solidFill>
                                <a:prstDash val="solid"/>
                                <a:miter/>
                                <a:headEnd type="none" w="med" len="med"/>
                                <a:tailEnd type="none" w="med" len="med"/>
                              </a:ln>
                              <a:effectLst/>
                            </wps:spPr>
                            <wps:txbx>
                              <w:txbxContent>
                                <w:p>
                                  <w:pPr>
                                    <w:rPr>
                                      <w:rFonts w:ascii="Times New Roman" w:hAnsi="Times New Roman" w:eastAsia="宋体"/>
                                      <w:sz w:val="32"/>
                                      <w:szCs w:val="20"/>
                                    </w:rPr>
                                  </w:pPr>
                                </w:p>
                              </w:txbxContent>
                            </wps:txbx>
                            <wps:bodyPr anchor="ctr" anchorCtr="0" upright="1"/>
                          </wps:wsp>
                        </a:graphicData>
                      </a:graphic>
                    </wp:anchor>
                  </w:drawing>
                </mc:Choice>
                <mc:Fallback>
                  <w:pict>
                    <v:rect id="_x0000_s1026" o:spid="_x0000_s1026" o:spt="1" style="position:absolute;left:0pt;margin-left:58.25pt;margin-top:5.5pt;height:15pt;width:144.85pt;z-index:251665408;v-text-anchor:middle;mso-width-relative:page;mso-height-relative:page;" fillcolor="#FF0000" filled="t" stroked="t" coordsize="21600,21600" o:gfxdata="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S36rp1gAAAAkBAAAPAAAAAAAAAAEAIAAAACIAAABkcnMvZG93bnJldi54&#10;bWxQSwECFAAUAAAACACHTuJALGi/mPwBAAAGBAAADgAAAAAAAAABACAAAAAlAQAAZHJzL2Uyb0Rv&#10;Yy54bWxQSwUGAAAAAAYABgBZAQAAkwUAAAAA&#10;">
                      <v:fill on="t" focussize="0,0"/>
                      <v:stroke color="#000000" joinstyle="miter"/>
                      <v:imagedata o:title=""/>
                      <o:lock v:ext="edit" aspectratio="f"/>
                      <v:textbox>
                        <w:txbxContent>
                          <w:p>
                            <w:pPr>
                              <w:rPr>
                                <w:rFonts w:ascii="Times New Roman" w:hAnsi="Times New Roman" w:eastAsia="宋体"/>
                                <w:sz w:val="32"/>
                                <w:szCs w:val="20"/>
                              </w:rPr>
                            </w:pPr>
                          </w:p>
                        </w:txbxContent>
                      </v:textbox>
                    </v:rect>
                  </w:pict>
                </mc:Fallback>
              </mc:AlternateContent>
            </w:r>
            <w:r>
              <w:rPr>
                <w:rFonts w:hint="eastAsia" w:ascii="宋体" w:hAnsi="宋体" w:eastAsia="宋体" w:cs="宋体"/>
                <w:color w:val="000000"/>
                <w:kern w:val="0"/>
                <w:sz w:val="18"/>
                <w:szCs w:val="18"/>
              </w:rPr>
              <w:t>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水产品（原料、半成品、成品）及其加工用具、设备</w:t>
            </w:r>
          </w:p>
        </w:tc>
        <w:tc>
          <w:tcPr>
            <w:tcW w:w="4234" w:type="dxa"/>
            <w:noWrap w:val="0"/>
            <w:vAlign w:val="center"/>
          </w:tcPr>
          <w:p>
            <w:pPr>
              <w:pStyle w:val="25"/>
              <w:keepNext w:val="0"/>
              <w:keepLines w:val="0"/>
              <w:pageBreakBefore w:val="0"/>
              <w:kinsoku/>
              <w:wordWrap/>
              <w:overflowPunct/>
              <w:topLinePunct w:val="0"/>
              <w:autoSpaceDE/>
              <w:autoSpaceDN/>
              <w:bidi w:val="0"/>
              <w:adjustRightInd/>
              <w:snapToGrid/>
              <w:spacing w:before="0" w:beforeAutospacing="0" w:after="0" w:afterAutospacing="0" w:line="596" w:lineRule="exact"/>
              <w:ind w:firstLine="0" w:firstLineChars="0"/>
              <w:jc w:val="both"/>
              <w:textAlignment w:val="auto"/>
              <w:rPr>
                <w:rFonts w:hint="eastAsia" w:ascii="宋体" w:hAnsi="宋体" w:eastAsia="宋体" w:cs="宋体"/>
                <w:color w:val="000000"/>
                <w:sz w:val="18"/>
                <w:szCs w:val="18"/>
              </w:rPr>
            </w:pPr>
            <w:r>
              <w:rPr>
                <w:rFonts w:hint="eastAsia" w:ascii="宋体" w:hAnsi="宋体" w:eastAsia="宋体" w:cs="宋体"/>
                <w:sz w:val="18"/>
                <w:szCs w:val="18"/>
              </w:rPr>
              <mc:AlternateContent>
                <mc:Choice Requires="wps">
                  <w:drawing>
                    <wp:anchor distT="0" distB="0" distL="114300" distR="114300" simplePos="0" relativeHeight="251666432" behindDoc="0" locked="0" layoutInCell="1" allowOverlap="1">
                      <wp:simplePos x="0" y="0"/>
                      <wp:positionH relativeFrom="column">
                        <wp:posOffset>739775</wp:posOffset>
                      </wp:positionH>
                      <wp:positionV relativeFrom="paragraph">
                        <wp:posOffset>83185</wp:posOffset>
                      </wp:positionV>
                      <wp:extent cx="1838960" cy="189865"/>
                      <wp:effectExtent l="4445" t="4445" r="23495" b="15240"/>
                      <wp:wrapNone/>
                      <wp:docPr id="86" name="矩形 86"/>
                      <wp:cNvGraphicFramePr/>
                      <a:graphic xmlns:a="http://schemas.openxmlformats.org/drawingml/2006/main">
                        <a:graphicData uri="http://schemas.microsoft.com/office/word/2010/wordprocessingShape">
                          <wps:wsp>
                            <wps:cNvSpPr/>
                            <wps:spPr>
                              <a:xfrm>
                                <a:off x="0" y="0"/>
                                <a:ext cx="1838960" cy="189865"/>
                              </a:xfrm>
                              <a:prstGeom prst="rect">
                                <a:avLst/>
                              </a:prstGeom>
                              <a:solidFill>
                                <a:srgbClr val="0000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jc w:val="center"/>
                                    <w:rPr>
                                      <w:rFonts w:ascii="Arial" w:hAnsi="Arial" w:eastAsia="宋体" w:cs="宋体"/>
                                      <w:color w:val="00CC00"/>
                                      <w:sz w:val="36"/>
                                      <w:szCs w:val="36"/>
                                      <w:lang w:val="zh-CN"/>
                                    </w:rPr>
                                  </w:pPr>
                                </w:p>
                              </w:txbxContent>
                            </wps:txbx>
                            <wps:bodyPr anchor="ctr" anchorCtr="0" upright="1"/>
                          </wps:wsp>
                        </a:graphicData>
                      </a:graphic>
                    </wp:anchor>
                  </w:drawing>
                </mc:Choice>
                <mc:Fallback>
                  <w:pict>
                    <v:rect id="_x0000_s1026" o:spid="_x0000_s1026" o:spt="1" style="position:absolute;left:0pt;margin-left:58.25pt;margin-top:6.55pt;height:14.95pt;width:144.8pt;z-index:251666432;v-text-anchor:middle;mso-width-relative:page;mso-height-relative:page;" fillcolor="#0000FF" filled="t" stroked="t" coordsize="21600,21600" o:gfxdata="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nYr8XTAAAACQEAAA8AAAAAAAAAAQAgAAAAIgAAAGRycy9kb3ducmV2Lnht&#10;bFBLAQIUABQAAAAIAIdO4kAi/yXd/gEAAAYEAAAOAAAAAAAAAAEAIAAAACIBAABkcnMvZTJvRG9j&#10;LnhtbFBLBQYAAAAABgAGAFkBAACSBQAAAAA=&#10;">
                      <v:fill on="t" focussize="0,0"/>
                      <v:stroke color="#000000" joinstyle="miter"/>
                      <v:imagedata o:title=""/>
                      <o:lock v:ext="edit" aspectratio="f"/>
                      <v:textbox>
                        <w:txbxContent>
                          <w:p>
                            <w:pPr>
                              <w:autoSpaceDE w:val="0"/>
                              <w:autoSpaceDN w:val="0"/>
                              <w:adjustRightInd w:val="0"/>
                              <w:jc w:val="center"/>
                              <w:rPr>
                                <w:rFonts w:ascii="Arial" w:hAnsi="Arial" w:eastAsia="宋体" w:cs="宋体"/>
                                <w:color w:val="00CC00"/>
                                <w:sz w:val="36"/>
                                <w:szCs w:val="36"/>
                                <w:lang w:val="zh-CN"/>
                              </w:rPr>
                            </w:pPr>
                          </w:p>
                        </w:txbxContent>
                      </v:textbox>
                    </v:rect>
                  </w:pict>
                </mc:Fallback>
              </mc:AlternateContent>
            </w:r>
            <w:r>
              <w:rPr>
                <w:rFonts w:hint="eastAsia" w:ascii="宋体" w:hAnsi="宋体" w:eastAsia="宋体" w:cs="宋体"/>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粮食类（原料、半成品、成品）</w:t>
            </w:r>
          </w:p>
        </w:tc>
        <w:tc>
          <w:tcPr>
            <w:tcW w:w="4234" w:type="dxa"/>
            <w:noWrap w:val="0"/>
            <w:vAlign w:val="center"/>
          </w:tcPr>
          <w:p>
            <w:pPr>
              <w:pStyle w:val="25"/>
              <w:keepNext w:val="0"/>
              <w:keepLines w:val="0"/>
              <w:pageBreakBefore w:val="0"/>
              <w:kinsoku/>
              <w:wordWrap/>
              <w:overflowPunct/>
              <w:topLinePunct w:val="0"/>
              <w:autoSpaceDE/>
              <w:autoSpaceDN/>
              <w:bidi w:val="0"/>
              <w:adjustRightInd/>
              <w:snapToGrid/>
              <w:spacing w:before="0" w:beforeAutospacing="0" w:after="0" w:afterAutospacing="0" w:line="596" w:lineRule="exact"/>
              <w:ind w:firstLine="0" w:firstLineChars="0"/>
              <w:jc w:val="both"/>
              <w:textAlignment w:val="auto"/>
              <w:rPr>
                <w:rFonts w:hint="eastAsia" w:ascii="宋体" w:hAnsi="宋体" w:eastAsia="宋体" w:cs="宋体"/>
                <w:sz w:val="18"/>
                <w:szCs w:val="18"/>
              </w:rPr>
            </w:pPr>
            <w:r>
              <w:rPr>
                <w:rFonts w:hint="eastAsia" w:ascii="宋体" w:hAnsi="宋体" w:eastAsia="宋体" w:cs="宋体"/>
                <w:sz w:val="18"/>
                <w:szCs w:val="18"/>
              </w:rPr>
              <mc:AlternateContent>
                <mc:Choice Requires="wps">
                  <w:drawing>
                    <wp:anchor distT="0" distB="0" distL="114300" distR="114300" simplePos="0" relativeHeight="251668480" behindDoc="0" locked="0" layoutInCell="1" allowOverlap="1">
                      <wp:simplePos x="0" y="0"/>
                      <wp:positionH relativeFrom="column">
                        <wp:posOffset>742950</wp:posOffset>
                      </wp:positionH>
                      <wp:positionV relativeFrom="paragraph">
                        <wp:posOffset>101600</wp:posOffset>
                      </wp:positionV>
                      <wp:extent cx="1839595" cy="190500"/>
                      <wp:effectExtent l="4445" t="4445" r="22860" b="14605"/>
                      <wp:wrapNone/>
                      <wp:docPr id="7" name="矩形 33"/>
                      <wp:cNvGraphicFramePr/>
                      <a:graphic xmlns:a="http://schemas.openxmlformats.org/drawingml/2006/main">
                        <a:graphicData uri="http://schemas.microsoft.com/office/word/2010/wordprocessingShape">
                          <wps:wsp>
                            <wps:cNvSpPr/>
                            <wps:spPr>
                              <a:xfrm>
                                <a:off x="0" y="0"/>
                                <a:ext cx="1839595" cy="190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33" o:spid="_x0000_s1026" o:spt="1" style="position:absolute;left:0pt;margin-left:58.5pt;margin-top:8pt;height:15pt;width:144.85pt;z-index:251668480;mso-width-relative:page;mso-height-relative:page;" fillcolor="#FFFFFF" filled="t" stroked="t" coordsize="21600,21600" o:gfxdata="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uLuPdQAAAAJAQAA&#10;DwAAAAAAAAABACAAAAAiAAAAZHJzL2Rvd25yZXYueG1sUEsBAhQAFAAAAAgAh07iQMuyU6jkAQAA&#10;0QMAAA4AAAAAAAAAAQAgAAAAIwEAAGRycy9lMm9Eb2MueG1sUEsFBgAAAAAGAAYAWQEAAHkFAAAA&#10;AA==&#10;">
                      <v:fill on="t" focussize="0,0"/>
                      <v:stroke color="#000000" joinstyle="miter"/>
                      <v:imagedata o:title=""/>
                      <o:lock v:ext="edit" aspectratio="f"/>
                    </v:rect>
                  </w:pict>
                </mc:Fallback>
              </mc:AlternateContent>
            </w:r>
            <w:r>
              <w:rPr>
                <w:rFonts w:hint="eastAsia" w:ascii="宋体" w:hAnsi="宋体" w:eastAsia="宋体" w:cs="宋体"/>
                <w:sz w:val="18"/>
                <w:szCs w:val="18"/>
                <w:lang w:eastAsia="zh-CN"/>
              </w:rPr>
              <w:t>白色</w:t>
            </w:r>
            <w:r>
              <w:rPr>
                <w:rFonts w:hint="eastAsia" w:ascii="宋体" w:hAnsi="宋体" w:eastAsia="宋体" w:cs="宋体"/>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食用油</w:t>
            </w:r>
          </w:p>
        </w:tc>
        <w:tc>
          <w:tcPr>
            <w:tcW w:w="4234" w:type="dxa"/>
            <w:noWrap w:val="0"/>
            <w:vAlign w:val="center"/>
          </w:tcPr>
          <w:p>
            <w:pPr>
              <w:pStyle w:val="25"/>
              <w:keepNext w:val="0"/>
              <w:keepLines w:val="0"/>
              <w:pageBreakBefore w:val="0"/>
              <w:kinsoku/>
              <w:wordWrap/>
              <w:overflowPunct/>
              <w:topLinePunct w:val="0"/>
              <w:autoSpaceDE/>
              <w:autoSpaceDN/>
              <w:bidi w:val="0"/>
              <w:adjustRightInd/>
              <w:snapToGrid/>
              <w:spacing w:before="0" w:beforeAutospacing="0" w:after="0" w:afterAutospacing="0" w:line="596" w:lineRule="exact"/>
              <w:ind w:firstLine="0" w:firstLineChars="0"/>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rPr>
              <mc:AlternateContent>
                <mc:Choice Requires="wps">
                  <w:drawing>
                    <wp:anchor distT="0" distB="0" distL="114300" distR="114300" simplePos="0" relativeHeight="251669504" behindDoc="0" locked="0" layoutInCell="1" allowOverlap="1">
                      <wp:simplePos x="0" y="0"/>
                      <wp:positionH relativeFrom="column">
                        <wp:posOffset>738505</wp:posOffset>
                      </wp:positionH>
                      <wp:positionV relativeFrom="paragraph">
                        <wp:posOffset>101600</wp:posOffset>
                      </wp:positionV>
                      <wp:extent cx="1838325" cy="190500"/>
                      <wp:effectExtent l="4445" t="4445" r="5080" b="14605"/>
                      <wp:wrapNone/>
                      <wp:docPr id="8" name="矩形 34"/>
                      <wp:cNvGraphicFramePr/>
                      <a:graphic xmlns:a="http://schemas.openxmlformats.org/drawingml/2006/main">
                        <a:graphicData uri="http://schemas.microsoft.com/office/word/2010/wordprocessingShape">
                          <wps:wsp>
                            <wps:cNvSpPr/>
                            <wps:spPr>
                              <a:xfrm>
                                <a:off x="0" y="0"/>
                                <a:ext cx="1838325" cy="190500"/>
                              </a:xfrm>
                              <a:prstGeom prst="rect">
                                <a:avLst/>
                              </a:prstGeom>
                              <a:solidFill>
                                <a:srgbClr val="FFFF0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34" o:spid="_x0000_s1026" o:spt="1" style="position:absolute;left:0pt;margin-left:58.15pt;margin-top:8pt;height:15pt;width:144.75pt;z-index:251669504;mso-width-relative:page;mso-height-relative:page;" fillcolor="#FFFF00" filled="t" stroked="t" coordsize="21600,21600" o:gfxdata="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Ecb4bWAAAACQEA&#10;AA8AAAAAAAAAAQAgAAAAIgAAAGRycy9kb3ducmV2LnhtbFBLAQIUABQAAAAIAIdO4kCqJkmB4wEA&#10;ANEDAAAOAAAAAAAAAAEAIAAAACUBAABkcnMvZTJvRG9jLnhtbFBLBQYAAAAABgAGAFkBAAB6BQAA&#10;AAA=&#10;">
                      <v:fill on="t" focussize="0,0"/>
                      <v:stroke color="#000000" joinstyle="miter"/>
                      <v:imagedata o:title=""/>
                      <o:lock v:ext="edit" aspectratio="f"/>
                    </v:rect>
                  </w:pict>
                </mc:Fallback>
              </mc:AlternateContent>
            </w:r>
            <w:r>
              <w:rPr>
                <w:rFonts w:hint="eastAsia" w:ascii="宋体" w:hAnsi="宋体" w:eastAsia="宋体" w:cs="宋体"/>
                <w:sz w:val="18"/>
                <w:szCs w:val="18"/>
                <w:lang w:eastAsia="zh-CN"/>
              </w:rPr>
              <w:t>黄色</w:t>
            </w:r>
            <w:r>
              <w:rPr>
                <w:rFonts w:hint="eastAsia" w:ascii="宋体" w:hAnsi="宋体" w:eastAsia="宋体" w:cs="宋体"/>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调味品</w:t>
            </w:r>
          </w:p>
        </w:tc>
        <w:tc>
          <w:tcPr>
            <w:tcW w:w="4234" w:type="dxa"/>
            <w:noWrap w:val="0"/>
            <w:vAlign w:val="center"/>
          </w:tcPr>
          <w:p>
            <w:pPr>
              <w:pStyle w:val="25"/>
              <w:keepNext w:val="0"/>
              <w:keepLines w:val="0"/>
              <w:pageBreakBefore w:val="0"/>
              <w:kinsoku/>
              <w:wordWrap/>
              <w:overflowPunct/>
              <w:topLinePunct w:val="0"/>
              <w:autoSpaceDE/>
              <w:autoSpaceDN/>
              <w:bidi w:val="0"/>
              <w:adjustRightInd/>
              <w:snapToGrid/>
              <w:spacing w:before="0" w:beforeAutospacing="0" w:after="0" w:afterAutospacing="0" w:line="596" w:lineRule="exact"/>
              <w:ind w:firstLine="0" w:firstLineChars="0"/>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rPr>
              <mc:AlternateContent>
                <mc:Choice Requires="wps">
                  <w:drawing>
                    <wp:anchor distT="0" distB="0" distL="114300" distR="114300" simplePos="0" relativeHeight="251670528" behindDoc="0" locked="0" layoutInCell="1" allowOverlap="1">
                      <wp:simplePos x="0" y="0"/>
                      <wp:positionH relativeFrom="column">
                        <wp:posOffset>737235</wp:posOffset>
                      </wp:positionH>
                      <wp:positionV relativeFrom="paragraph">
                        <wp:posOffset>79375</wp:posOffset>
                      </wp:positionV>
                      <wp:extent cx="1839595" cy="190500"/>
                      <wp:effectExtent l="4445" t="4445" r="22860" b="14605"/>
                      <wp:wrapNone/>
                      <wp:docPr id="9" name="矩形 35"/>
                      <wp:cNvGraphicFramePr/>
                      <a:graphic xmlns:a="http://schemas.openxmlformats.org/drawingml/2006/main">
                        <a:graphicData uri="http://schemas.microsoft.com/office/word/2010/wordprocessingShape">
                          <wps:wsp>
                            <wps:cNvSpPr/>
                            <wps:spPr>
                              <a:xfrm>
                                <a:off x="0" y="0"/>
                                <a:ext cx="1839595" cy="190500"/>
                              </a:xfrm>
                              <a:prstGeom prst="rect">
                                <a:avLst/>
                              </a:prstGeom>
                              <a:solidFill>
                                <a:srgbClr val="984807"/>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35" o:spid="_x0000_s1026" o:spt="1" style="position:absolute;left:0pt;margin-left:58.05pt;margin-top:6.25pt;height:15pt;width:144.85pt;z-index:251670528;mso-width-relative:page;mso-height-relative:page;" fillcolor="#984807" filled="t" stroked="t" coordsize="21600,21600" o:gfxdata="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p5YXLWAAAA&#10;CQEAAA8AAAAAAAAAAQAgAAAAIgAAAGRycy9kb3ducmV2LnhtbFBLAQIUABQAAAAIAIdO4kBpqunt&#10;5gEAANEDAAAOAAAAAAAAAAEAIAAAACUBAABkcnMvZTJvRG9jLnhtbFBLBQYAAAAABgAGAFkBAAB9&#10;BQAAAAA=&#10;">
                      <v:fill on="t" focussize="0,0"/>
                      <v:stroke color="#000000" joinstyle="miter"/>
                      <v:imagedata o:title=""/>
                      <o:lock v:ext="edit" aspectratio="f"/>
                    </v:rect>
                  </w:pict>
                </mc:Fallback>
              </mc:AlternateContent>
            </w:r>
            <w:r>
              <w:rPr>
                <w:rFonts w:hint="eastAsia" w:ascii="宋体" w:hAnsi="宋体" w:eastAsia="宋体" w:cs="宋体"/>
                <w:sz w:val="18"/>
                <w:szCs w:val="18"/>
                <w:lang w:eastAsia="zh-CN"/>
              </w:rPr>
              <w:t>褐色</w:t>
            </w:r>
            <w:r>
              <w:rPr>
                <w:rFonts w:hint="eastAsia" w:ascii="宋体" w:hAnsi="宋体" w:eastAsia="宋体" w:cs="宋体"/>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过期食品</w:t>
            </w:r>
          </w:p>
        </w:tc>
        <w:tc>
          <w:tcPr>
            <w:tcW w:w="4234" w:type="dxa"/>
            <w:noWrap w:val="0"/>
            <w:vAlign w:val="center"/>
          </w:tcPr>
          <w:p>
            <w:pPr>
              <w:pStyle w:val="25"/>
              <w:keepNext w:val="0"/>
              <w:keepLines w:val="0"/>
              <w:pageBreakBefore w:val="0"/>
              <w:kinsoku/>
              <w:wordWrap/>
              <w:overflowPunct/>
              <w:topLinePunct w:val="0"/>
              <w:autoSpaceDE/>
              <w:autoSpaceDN/>
              <w:bidi w:val="0"/>
              <w:adjustRightInd/>
              <w:snapToGrid/>
              <w:spacing w:before="0" w:beforeAutospacing="0" w:after="0" w:afterAutospacing="0" w:line="596" w:lineRule="exact"/>
              <w:ind w:firstLine="0" w:firstLineChars="0"/>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rPr>
              <mc:AlternateContent>
                <mc:Choice Requires="wps">
                  <w:drawing>
                    <wp:anchor distT="0" distB="0" distL="114300" distR="114300" simplePos="0" relativeHeight="251671552" behindDoc="0" locked="0" layoutInCell="1" allowOverlap="1">
                      <wp:simplePos x="0" y="0"/>
                      <wp:positionH relativeFrom="column">
                        <wp:posOffset>739140</wp:posOffset>
                      </wp:positionH>
                      <wp:positionV relativeFrom="paragraph">
                        <wp:posOffset>82550</wp:posOffset>
                      </wp:positionV>
                      <wp:extent cx="1839595" cy="190500"/>
                      <wp:effectExtent l="4445" t="4445" r="22860" b="14605"/>
                      <wp:wrapNone/>
                      <wp:docPr id="10" name="矩形 36"/>
                      <wp:cNvGraphicFramePr/>
                      <a:graphic xmlns:a="http://schemas.openxmlformats.org/drawingml/2006/main">
                        <a:graphicData uri="http://schemas.microsoft.com/office/word/2010/wordprocessingShape">
                          <wps:wsp>
                            <wps:cNvSpPr/>
                            <wps:spPr>
                              <a:xfrm>
                                <a:off x="0" y="0"/>
                                <a:ext cx="1839595" cy="190500"/>
                              </a:xfrm>
                              <a:prstGeom prst="rect">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36" o:spid="_x0000_s1026" o:spt="1" style="position:absolute;left:0pt;margin-left:58.2pt;margin-top:6.5pt;height:15pt;width:144.85pt;z-index:251671552;mso-width-relative:page;mso-height-relative:page;" fillcolor="#000000" filled="t" stroked="t" coordsize="21600,21600" o:gfxdata="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uVTd/UAAAACQEAAA8AAAAA&#10;AAAAAQAgAAAAIgAAAGRycy9kb3ducmV2LnhtbFBLAQIUABQAAAAIAIdO4kBrbQu83wEAANIDAAAO&#10;AAAAAAAAAAEAIAAAACMBAABkcnMvZTJvRG9jLnhtbFBLBQYAAAAABgAGAFkBAAB0BQAAAAA=&#10;">
                      <v:fill on="t" focussize="0,0"/>
                      <v:stroke color="#000000" joinstyle="miter"/>
                      <v:imagedata o:title=""/>
                      <o:lock v:ext="edit" aspectratio="f"/>
                    </v:rect>
                  </w:pict>
                </mc:Fallback>
              </mc:AlternateContent>
            </w:r>
            <w:r>
              <w:rPr>
                <w:rFonts w:hint="eastAsia" w:ascii="宋体" w:hAnsi="宋体" w:eastAsia="宋体" w:cs="宋体"/>
                <w:sz w:val="18"/>
                <w:szCs w:val="18"/>
                <w:lang w:eastAsia="zh-CN"/>
              </w:rPr>
              <w:t>黑色</w:t>
            </w:r>
            <w:r>
              <w:rPr>
                <w:rFonts w:hint="eastAsia" w:ascii="宋体" w:hAnsi="宋体" w:eastAsia="宋体" w:cs="宋体"/>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86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混合性食品（原料、半成品、成品）</w:t>
            </w:r>
          </w:p>
        </w:tc>
        <w:tc>
          <w:tcPr>
            <w:tcW w:w="423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按红、蓝、绿的次序选择相应色标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097" w:type="dxa"/>
            <w:gridSpan w:val="2"/>
            <w:noWrap w:val="0"/>
            <w:vAlign w:val="center"/>
          </w:tcPr>
          <w:p>
            <w:pPr>
              <w:pStyle w:val="2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0" w:firstLineChars="0"/>
              <w:jc w:val="both"/>
              <w:textAlignment w:val="auto"/>
              <w:rPr>
                <w:rFonts w:hint="eastAsia" w:ascii="宋体" w:hAnsi="宋体" w:eastAsia="宋体" w:cs="宋体"/>
                <w:sz w:val="18"/>
                <w:szCs w:val="18"/>
                <w:lang w:eastAsia="zh-CN"/>
              </w:rPr>
            </w:pPr>
            <w:r>
              <w:rPr>
                <w:rFonts w:hint="eastAsia" w:ascii="宋体" w:hAnsi="宋体" w:eastAsia="宋体" w:cs="宋体"/>
                <w:color w:val="auto"/>
                <w:kern w:val="2"/>
                <w:sz w:val="18"/>
                <w:szCs w:val="18"/>
                <w:highlight w:val="none"/>
                <w:lang w:val="en-US" w:eastAsia="zh-CN" w:bidi="ar-SA"/>
              </w:rPr>
              <w:t>注：可根据本单位实际选择其他不同的颜色进行区分。</w:t>
            </w:r>
          </w:p>
        </w:tc>
      </w:tr>
    </w:tbl>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both"/>
        <w:textAlignment w:val="auto"/>
        <w:outlineLvl w:val="0"/>
        <w:rPr>
          <w:rFonts w:hint="eastAsia" w:ascii="黑体" w:hAnsi="黑体" w:eastAsia="黑体" w:cs="黑体"/>
          <w:color w:val="auto"/>
          <w:lang w:val="en-US" w:eastAsia="zh-CN"/>
        </w:rPr>
      </w:pPr>
    </w:p>
    <w:p>
      <w:pPr>
        <w:pStyle w:val="163"/>
        <w:keepNext w:val="0"/>
        <w:keepLines w:val="0"/>
        <w:pageBreakBefore w:val="0"/>
        <w:widowControl/>
        <w:numPr>
          <w:ilvl w:val="0"/>
          <w:numId w:val="0"/>
        </w:numPr>
        <w:kinsoku/>
        <w:wordWrap/>
        <w:overflowPunct/>
        <w:topLinePunct w:val="0"/>
        <w:autoSpaceDE/>
        <w:autoSpaceDN/>
        <w:bidi w:val="0"/>
        <w:adjustRightInd/>
        <w:snapToGrid/>
        <w:spacing w:before="850" w:after="283"/>
        <w:jc w:val="center"/>
        <w:textAlignment w:val="auto"/>
        <w:outlineLvl w:val="0"/>
        <w:rPr>
          <w:rFonts w:hint="eastAsia" w:ascii="黑体" w:hAnsi="黑体" w:eastAsia="黑体" w:cs="黑体"/>
          <w:color w:val="auto"/>
          <w:lang w:val="en-US" w:eastAsia="zh-CN"/>
        </w:rPr>
      </w:pPr>
      <w:r>
        <w:rPr>
          <w:rFonts w:hint="eastAsia" w:ascii="黑体" w:hAnsi="黑体" w:eastAsia="黑体" w:cs="黑体"/>
          <w:color w:val="auto"/>
          <w:lang w:val="en-US" w:eastAsia="zh-CN"/>
        </w:rPr>
        <w:t>参考文献</w:t>
      </w:r>
      <w:bookmarkEnd w:id="132"/>
      <w:bookmarkEnd w:id="133"/>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szCs w:val="21"/>
          <w:highlight w:val="none"/>
          <w:lang w:val="en-US" w:eastAsia="zh-CN"/>
        </w:rPr>
      </w:pPr>
      <w:bookmarkStart w:id="134" w:name="OLE_LINK7"/>
      <w:r>
        <w:rPr>
          <w:rFonts w:hint="eastAsia" w:ascii="宋体" w:hAnsi="宋体" w:eastAsia="宋体" w:cs="宋体"/>
          <w:color w:val="auto"/>
          <w:sz w:val="21"/>
          <w:szCs w:val="21"/>
          <w:highlight w:val="none"/>
          <w:shd w:val="clear" w:color="auto" w:fill="auto"/>
          <w:lang w:val="en-US" w:eastAsia="zh-CN"/>
        </w:rPr>
        <w:t>《</w:t>
      </w:r>
      <w:r>
        <w:rPr>
          <w:rFonts w:hint="eastAsia" w:hAnsi="宋体" w:cs="宋体"/>
          <w:color w:val="auto"/>
          <w:sz w:val="21"/>
          <w:szCs w:val="21"/>
          <w:highlight w:val="none"/>
          <w:shd w:val="clear" w:color="auto" w:fill="auto"/>
          <w:lang w:val="en-US" w:eastAsia="zh-CN"/>
        </w:rPr>
        <w:t>中华人民共和国卫生行业标准</w:t>
      </w:r>
      <w:r>
        <w:rPr>
          <w:rFonts w:hint="eastAsia" w:ascii="宋体" w:hAnsi="宋体" w:eastAsia="宋体" w:cs="宋体"/>
          <w:color w:val="auto"/>
          <w:sz w:val="21"/>
          <w:szCs w:val="21"/>
          <w:highlight w:val="none"/>
          <w:lang w:val="en-US" w:eastAsia="zh-CN"/>
        </w:rPr>
        <w:t xml:space="preserve"> </w:t>
      </w:r>
      <w:bookmarkStart w:id="135" w:name="OLE_LINK62"/>
      <w:r>
        <w:rPr>
          <w:rFonts w:hint="eastAsia" w:ascii="宋体" w:hAnsi="宋体" w:eastAsia="宋体" w:cs="宋体"/>
          <w:color w:val="auto"/>
          <w:sz w:val="21"/>
          <w:szCs w:val="21"/>
          <w:highlight w:val="none"/>
          <w:lang w:val="en-US" w:eastAsia="zh-CN"/>
        </w:rPr>
        <w:t>学生餐营养指南</w:t>
      </w:r>
      <w:bookmarkEnd w:id="135"/>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WS/T 554</w:t>
      </w:r>
      <w:r>
        <w:rPr>
          <w:rFonts w:hint="eastAsia" w:hAnsi="宋体" w:cs="宋体"/>
          <w:color w:val="auto"/>
          <w:sz w:val="21"/>
          <w:szCs w:val="21"/>
          <w:highlight w:val="none"/>
          <w:lang w:val="en-US" w:eastAsia="zh-CN"/>
        </w:rPr>
        <w:t>-2017）</w:t>
      </w:r>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餐饮服务食品安全操作规范</w:t>
      </w:r>
      <w:r>
        <w:rPr>
          <w:rFonts w:hint="eastAsia" w:ascii="宋体" w:hAnsi="宋体" w:eastAsia="宋体" w:cs="宋体"/>
          <w:color w:val="auto"/>
          <w:sz w:val="21"/>
          <w:highlight w:val="none"/>
          <w:lang w:eastAsia="zh-CN"/>
        </w:rPr>
        <w:t>》</w:t>
      </w:r>
      <w:bookmarkEnd w:id="134"/>
      <w:r>
        <w:rPr>
          <w:rFonts w:hint="eastAsia" w:ascii="宋体" w:hAnsi="宋体" w:eastAsia="宋体" w:cs="宋体"/>
          <w:color w:val="auto"/>
          <w:sz w:val="21"/>
          <w:highlight w:val="none"/>
          <w:lang w:eastAsia="zh-CN"/>
        </w:rPr>
        <w:t>（市场</w:t>
      </w:r>
      <w:r>
        <w:rPr>
          <w:rFonts w:hint="eastAsia" w:ascii="宋体" w:hAnsi="宋体" w:eastAsia="宋体" w:cs="宋体"/>
          <w:color w:val="auto"/>
          <w:sz w:val="21"/>
          <w:highlight w:val="none"/>
          <w:lang w:val="en-US" w:eastAsia="zh-CN"/>
        </w:rPr>
        <w:t>监管总局关于发布</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餐饮服务食品安全操作规范</w:t>
      </w:r>
      <w:r>
        <w:rPr>
          <w:rFonts w:hint="eastAsia" w:ascii="宋体" w:hAnsi="宋体" w:eastAsia="宋体" w:cs="宋体"/>
          <w:color w:val="auto"/>
          <w:sz w:val="21"/>
          <w:highlight w:val="none"/>
          <w:lang w:eastAsia="zh-CN"/>
        </w:rPr>
        <w:t>》的公告</w:t>
      </w:r>
      <w:r>
        <w:rPr>
          <w:rFonts w:hint="eastAsia" w:ascii="宋体" w:hAnsi="宋体" w:eastAsia="宋体" w:cs="宋体"/>
          <w:color w:val="auto"/>
          <w:sz w:val="21"/>
          <w:highlight w:val="none"/>
          <w:lang w:val="en-US" w:eastAsia="zh-CN"/>
        </w:rPr>
        <w:t>〔2018〕第12号</w:t>
      </w:r>
      <w:r>
        <w:rPr>
          <w:rFonts w:hint="eastAsia" w:ascii="宋体" w:hAnsi="宋体" w:eastAsia="宋体" w:cs="宋体"/>
          <w:color w:val="auto"/>
          <w:sz w:val="21"/>
          <w:highlight w:val="none"/>
          <w:lang w:eastAsia="zh-CN"/>
        </w:rPr>
        <w:t>）</w:t>
      </w:r>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w:t>
      </w:r>
      <w:r>
        <w:rPr>
          <w:rFonts w:hint="eastAsia" w:ascii="宋体" w:hAnsi="宋体" w:eastAsia="宋体" w:cs="宋体"/>
          <w:color w:val="auto"/>
          <w:sz w:val="21"/>
          <w:szCs w:val="21"/>
          <w:highlight w:val="none"/>
          <w:shd w:val="clear" w:color="auto" w:fill="auto"/>
          <w:lang w:val="en-US" w:eastAsia="zh-CN"/>
        </w:rPr>
        <w:t>学校食堂和校外供餐单位复用餐饮具清洗消毒工作指引》（市场监管总局办公厅 教育部办公厅关于印发</w:t>
      </w:r>
      <w:r>
        <w:rPr>
          <w:rFonts w:hint="eastAsia" w:hAnsi="宋体" w:cs="宋体"/>
          <w:color w:val="auto"/>
          <w:sz w:val="21"/>
          <w:szCs w:val="21"/>
          <w:highlight w:val="none"/>
          <w:shd w:val="clear" w:color="auto" w:fill="auto"/>
          <w:lang w:val="en-US" w:eastAsia="zh-CN"/>
        </w:rPr>
        <w:t>《</w:t>
      </w:r>
      <w:r>
        <w:rPr>
          <w:rFonts w:hint="eastAsia" w:ascii="宋体" w:hAnsi="宋体" w:eastAsia="宋体" w:cs="宋体"/>
          <w:color w:val="auto"/>
          <w:sz w:val="21"/>
          <w:szCs w:val="21"/>
          <w:highlight w:val="none"/>
          <w:shd w:val="clear" w:color="auto" w:fill="auto"/>
          <w:lang w:val="en-US" w:eastAsia="zh-CN"/>
        </w:rPr>
        <w:t>学校食堂和校外供餐单位复用餐饮具清洗消毒工作指引</w:t>
      </w:r>
      <w:r>
        <w:rPr>
          <w:rFonts w:hint="eastAsia" w:hAnsi="宋体" w:cs="宋体"/>
          <w:color w:val="auto"/>
          <w:sz w:val="21"/>
          <w:szCs w:val="21"/>
          <w:highlight w:val="none"/>
          <w:shd w:val="clear" w:color="auto" w:fill="auto"/>
          <w:lang w:val="en-US" w:eastAsia="zh-CN"/>
        </w:rPr>
        <w:t>》</w:t>
      </w:r>
      <w:r>
        <w:rPr>
          <w:rFonts w:hint="eastAsia" w:ascii="宋体" w:hAnsi="宋体" w:eastAsia="宋体" w:cs="宋体"/>
          <w:color w:val="auto"/>
          <w:sz w:val="21"/>
          <w:szCs w:val="21"/>
          <w:highlight w:val="none"/>
          <w:shd w:val="clear" w:color="auto" w:fill="auto"/>
          <w:lang w:val="en-US" w:eastAsia="zh-CN"/>
        </w:rPr>
        <w:t>的通知）</w:t>
      </w:r>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《贵州省中小学、托幼机构 及养老机构高风险食品目录》（黔市监发〔2021〕6号）</w:t>
      </w:r>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《贵州省市场监管局 省教育厅 省民政厅关于推动学校和养老机构开展食品安全餐前查验工作的通知》（黔市监发〔2021〕7号）</w:t>
      </w:r>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w:t>
      </w:r>
      <w:bookmarkStart w:id="136" w:name="OLE_LINK21"/>
      <w:r>
        <w:rPr>
          <w:rFonts w:hint="eastAsia" w:ascii="宋体" w:hAnsi="宋体" w:eastAsia="宋体" w:cs="宋体"/>
          <w:color w:val="auto"/>
          <w:sz w:val="21"/>
          <w:szCs w:val="21"/>
          <w:highlight w:val="none"/>
          <w:shd w:val="clear" w:color="auto" w:fill="auto"/>
          <w:lang w:val="en-US" w:eastAsia="zh-CN"/>
        </w:rPr>
        <w:t>贵州省农村义务教育学生营养午餐推荐带量食谱（试行）</w:t>
      </w:r>
      <w:bookmarkEnd w:id="136"/>
      <w:r>
        <w:rPr>
          <w:rFonts w:hint="eastAsia" w:ascii="宋体" w:hAnsi="宋体" w:eastAsia="宋体" w:cs="宋体"/>
          <w:color w:val="auto"/>
          <w:sz w:val="21"/>
          <w:szCs w:val="21"/>
          <w:highlight w:val="none"/>
          <w:shd w:val="clear" w:color="auto" w:fill="auto"/>
          <w:lang w:val="en-US" w:eastAsia="zh-CN"/>
        </w:rPr>
        <w:t>》（省卫生健康委 省教育厅关于印发《贵州省农残义务教育学生营养误差推荐带量食谱（试行）》的通知）</w:t>
      </w:r>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《贵阳市学校集体用餐管理指导意见》（贵阳市教育局关于印发《贵阳市学校集体用餐管理指导意见》的通知(筑教发〔2023〕38号)）</w:t>
      </w:r>
    </w:p>
    <w:p>
      <w:pPr>
        <w:pStyle w:val="163"/>
        <w:keepNext w:val="0"/>
        <w:keepLines w:val="0"/>
        <w:pageBreakBefore w:val="0"/>
        <w:widowControl/>
        <w:numPr>
          <w:ilvl w:val="0"/>
          <w:numId w:val="38"/>
        </w:numPr>
        <w:kinsoku/>
        <w:wordWrap/>
        <w:overflowPunct/>
        <w:topLinePunct w:val="0"/>
        <w:autoSpaceDE/>
        <w:autoSpaceDN/>
        <w:bidi w:val="0"/>
        <w:adjustRightInd w:val="0"/>
        <w:snapToGrid w:val="0"/>
        <w:spacing w:line="240" w:lineRule="auto"/>
        <w:ind w:right="0" w:firstLine="420" w:firstLineChars="200"/>
        <w:textAlignment w:val="auto"/>
        <w:rPr>
          <w:rFonts w:hint="eastAsia" w:ascii="宋体" w:hAnsi="宋体" w:eastAsia="宋体" w:cs="宋体"/>
          <w:color w:val="auto"/>
          <w:sz w:val="21"/>
          <w:highlight w:val="none"/>
          <w:lang w:val="en-US" w:eastAsia="zh-CN"/>
        </w:rPr>
      </w:pPr>
      <w:r>
        <w:rPr>
          <w:rFonts w:hint="eastAsia" w:ascii="宋体" w:hAnsi="宋体" w:eastAsia="宋体" w:cs="宋体"/>
          <w:color w:val="auto"/>
          <w:sz w:val="21"/>
          <w:szCs w:val="21"/>
          <w:highlight w:val="none"/>
          <w:shd w:val="clear" w:color="auto" w:fill="auto"/>
          <w:lang w:val="en-US" w:eastAsia="zh-CN"/>
        </w:rPr>
        <w:t>《贵阳市关于进一步规范学校集体用餐管理工作实施方案》（关于印发《贵阳市关于进一步规范学校集体用餐管理工作实施方案》的通知（筑教发〔2023〕83号 ））</w:t>
      </w:r>
    </w:p>
    <w:sectPr>
      <w:footerReference r:id="rId17" w:type="default"/>
      <w:pgSz w:w="11906" w:h="16838"/>
      <w:pgMar w:top="1928" w:right="1134" w:bottom="1134" w:left="1134" w:header="1418" w:footer="1134" w:gutter="284"/>
      <w:pgNumType w:fmt="decimal"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3"/>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53"/>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3"/>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3"/>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3"/>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53"/>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DBXXXX/T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DBXXXX/T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DBXXXX/T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DBXXXX/T 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713B9"/>
    <w:multiLevelType w:val="singleLevel"/>
    <w:tmpl w:val="853713B9"/>
    <w:lvl w:ilvl="0" w:tentative="0">
      <w:start w:val="1"/>
      <w:numFmt w:val="decimal"/>
      <w:lvlText w:val="[%1]"/>
      <w:lvlJc w:val="left"/>
      <w:pPr>
        <w:tabs>
          <w:tab w:val="left" w:pos="312"/>
        </w:tabs>
      </w:pPr>
    </w:lvl>
  </w:abstractNum>
  <w:abstractNum w:abstractNumId="1">
    <w:nsid w:val="A3714B69"/>
    <w:multiLevelType w:val="singleLevel"/>
    <w:tmpl w:val="A3714B69"/>
    <w:lvl w:ilvl="0" w:tentative="0">
      <w:start w:val="1"/>
      <w:numFmt w:val="lowerLetter"/>
      <w:suff w:val="space"/>
      <w:lvlText w:val="%1)"/>
      <w:lvlJc w:val="left"/>
    </w:lvl>
  </w:abstractNum>
  <w:abstractNum w:abstractNumId="2">
    <w:nsid w:val="B37EF320"/>
    <w:multiLevelType w:val="singleLevel"/>
    <w:tmpl w:val="B37EF320"/>
    <w:lvl w:ilvl="0" w:tentative="0">
      <w:start w:val="1"/>
      <w:numFmt w:val="lowerLetter"/>
      <w:suff w:val="space"/>
      <w:lvlText w:val="%1)"/>
      <w:lvlJc w:val="left"/>
    </w:lvl>
  </w:abstractNum>
  <w:abstractNum w:abstractNumId="3">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5456AD"/>
    <w:multiLevelType w:val="singleLevel"/>
    <w:tmpl w:val="1E5456AD"/>
    <w:lvl w:ilvl="0" w:tentative="0">
      <w:start w:val="1"/>
      <w:numFmt w:val="lowerLetter"/>
      <w:suff w:val="space"/>
      <w:lvlText w:val="%1)"/>
      <w:lvlJc w:val="left"/>
    </w:lvl>
  </w:abstractNum>
  <w:abstractNum w:abstractNumId="13">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4FEA8969"/>
    <w:multiLevelType w:val="singleLevel"/>
    <w:tmpl w:val="4FEA8969"/>
    <w:lvl w:ilvl="0" w:tentative="0">
      <w:start w:val="1"/>
      <w:numFmt w:val="lowerLetter"/>
      <w:suff w:val="space"/>
      <w:lvlText w:val="%1)"/>
      <w:lvlJc w:val="left"/>
    </w:lvl>
  </w:abstractNum>
  <w:abstractNum w:abstractNumId="21">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5E431D9A"/>
    <w:multiLevelType w:val="singleLevel"/>
    <w:tmpl w:val="5E431D9A"/>
    <w:lvl w:ilvl="0" w:tentative="0">
      <w:start w:val="1"/>
      <w:numFmt w:val="lowerLetter"/>
      <w:suff w:val="space"/>
      <w:lvlText w:val="%1)"/>
      <w:lvlJc w:val="left"/>
    </w:lvl>
  </w:abstractNum>
  <w:abstractNum w:abstractNumId="26">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0975D3F"/>
    <w:multiLevelType w:val="singleLevel"/>
    <w:tmpl w:val="70975D3F"/>
    <w:lvl w:ilvl="0" w:tentative="0">
      <w:start w:val="1"/>
      <w:numFmt w:val="lowerLetter"/>
      <w:suff w:val="space"/>
      <w:lvlText w:val="%1)"/>
      <w:lvlJc w:val="left"/>
    </w:lvl>
  </w:abstractNum>
  <w:abstractNum w:abstractNumId="37">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33"/>
  </w:num>
  <w:num w:numId="3">
    <w:abstractNumId w:val="8"/>
  </w:num>
  <w:num w:numId="4">
    <w:abstractNumId w:val="29"/>
  </w:num>
  <w:num w:numId="5">
    <w:abstractNumId w:val="23"/>
  </w:num>
  <w:num w:numId="6">
    <w:abstractNumId w:val="17"/>
  </w:num>
  <w:num w:numId="7">
    <w:abstractNumId w:val="11"/>
  </w:num>
  <w:num w:numId="8">
    <w:abstractNumId w:val="6"/>
  </w:num>
  <w:num w:numId="9">
    <w:abstractNumId w:val="13"/>
  </w:num>
  <w:num w:numId="10">
    <w:abstractNumId w:val="21"/>
  </w:num>
  <w:num w:numId="11">
    <w:abstractNumId w:val="31"/>
  </w:num>
  <w:num w:numId="12">
    <w:abstractNumId w:val="15"/>
  </w:num>
  <w:num w:numId="13">
    <w:abstractNumId w:val="16"/>
  </w:num>
  <w:num w:numId="14">
    <w:abstractNumId w:val="10"/>
  </w:num>
  <w:num w:numId="15">
    <w:abstractNumId w:val="24"/>
  </w:num>
  <w:num w:numId="16">
    <w:abstractNumId w:val="27"/>
  </w:num>
  <w:num w:numId="17">
    <w:abstractNumId w:val="22"/>
  </w:num>
  <w:num w:numId="18">
    <w:abstractNumId w:val="35"/>
  </w:num>
  <w:num w:numId="19">
    <w:abstractNumId w:val="19"/>
  </w:num>
  <w:num w:numId="20">
    <w:abstractNumId w:val="4"/>
  </w:num>
  <w:num w:numId="21">
    <w:abstractNumId w:val="14"/>
  </w:num>
  <w:num w:numId="22">
    <w:abstractNumId w:val="37"/>
  </w:num>
  <w:num w:numId="23">
    <w:abstractNumId w:val="26"/>
  </w:num>
  <w:num w:numId="24">
    <w:abstractNumId w:val="9"/>
  </w:num>
  <w:num w:numId="25">
    <w:abstractNumId w:val="32"/>
  </w:num>
  <w:num w:numId="26">
    <w:abstractNumId w:val="34"/>
  </w:num>
  <w:num w:numId="27">
    <w:abstractNumId w:val="5"/>
  </w:num>
  <w:num w:numId="28">
    <w:abstractNumId w:val="7"/>
  </w:num>
  <w:num w:numId="29">
    <w:abstractNumId w:val="18"/>
  </w:num>
  <w:num w:numId="30">
    <w:abstractNumId w:val="30"/>
  </w:num>
  <w:num w:numId="31">
    <w:abstractNumId w:val="28"/>
  </w:num>
  <w:num w:numId="32">
    <w:abstractNumId w:val="12"/>
  </w:num>
  <w:num w:numId="33">
    <w:abstractNumId w:val="36"/>
  </w:num>
  <w:num w:numId="34">
    <w:abstractNumId w:val="2"/>
  </w:num>
  <w:num w:numId="35">
    <w:abstractNumId w:val="25"/>
  </w:num>
  <w:num w:numId="36">
    <w:abstractNumId w:val="1"/>
  </w:num>
  <w:num w:numId="37">
    <w:abstractNumId w:val="2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65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FF8"/>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2C1"/>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A92"/>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6A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4C3"/>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03C"/>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65B"/>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820A8"/>
    <w:rsid w:val="01E90341"/>
    <w:rsid w:val="020928AD"/>
    <w:rsid w:val="028F4AA8"/>
    <w:rsid w:val="02E87DA0"/>
    <w:rsid w:val="04184A92"/>
    <w:rsid w:val="05391E8F"/>
    <w:rsid w:val="060C6B81"/>
    <w:rsid w:val="062A0710"/>
    <w:rsid w:val="097A727E"/>
    <w:rsid w:val="0A89208F"/>
    <w:rsid w:val="0DF0271A"/>
    <w:rsid w:val="0E2B7433"/>
    <w:rsid w:val="0E7625A7"/>
    <w:rsid w:val="0E824CAC"/>
    <w:rsid w:val="0ED03657"/>
    <w:rsid w:val="0FC3657A"/>
    <w:rsid w:val="0FD819AF"/>
    <w:rsid w:val="1110379E"/>
    <w:rsid w:val="112C6320"/>
    <w:rsid w:val="11DC6FD8"/>
    <w:rsid w:val="13263463"/>
    <w:rsid w:val="155C5FF7"/>
    <w:rsid w:val="166B0E28"/>
    <w:rsid w:val="16C45366"/>
    <w:rsid w:val="17216EAE"/>
    <w:rsid w:val="1853655C"/>
    <w:rsid w:val="186662F2"/>
    <w:rsid w:val="19607A28"/>
    <w:rsid w:val="1A9515F3"/>
    <w:rsid w:val="1B617724"/>
    <w:rsid w:val="1B8829C8"/>
    <w:rsid w:val="1C194F6F"/>
    <w:rsid w:val="1D415227"/>
    <w:rsid w:val="1F6C616F"/>
    <w:rsid w:val="1FDF0B01"/>
    <w:rsid w:val="2079067A"/>
    <w:rsid w:val="20F65044"/>
    <w:rsid w:val="21536BBF"/>
    <w:rsid w:val="21F7249A"/>
    <w:rsid w:val="222A487C"/>
    <w:rsid w:val="226476BE"/>
    <w:rsid w:val="234A440B"/>
    <w:rsid w:val="241E42CE"/>
    <w:rsid w:val="244273A1"/>
    <w:rsid w:val="26100A8D"/>
    <w:rsid w:val="26512D97"/>
    <w:rsid w:val="26B523E7"/>
    <w:rsid w:val="279237A6"/>
    <w:rsid w:val="28DC27A5"/>
    <w:rsid w:val="29A20703"/>
    <w:rsid w:val="2B305001"/>
    <w:rsid w:val="2BAB493F"/>
    <w:rsid w:val="2BDC3C35"/>
    <w:rsid w:val="2D0B2D3C"/>
    <w:rsid w:val="2DE46823"/>
    <w:rsid w:val="2E4009E7"/>
    <w:rsid w:val="2EB66A6D"/>
    <w:rsid w:val="315E68FF"/>
    <w:rsid w:val="32A55A24"/>
    <w:rsid w:val="33F3502C"/>
    <w:rsid w:val="346A00D4"/>
    <w:rsid w:val="347178DC"/>
    <w:rsid w:val="354C4346"/>
    <w:rsid w:val="35EA52B5"/>
    <w:rsid w:val="39A14BAF"/>
    <w:rsid w:val="3C1B193C"/>
    <w:rsid w:val="3DB87F54"/>
    <w:rsid w:val="3DBD0D7C"/>
    <w:rsid w:val="3DDA2244"/>
    <w:rsid w:val="3E506B84"/>
    <w:rsid w:val="3EBF406A"/>
    <w:rsid w:val="3F656DDB"/>
    <w:rsid w:val="40372FE0"/>
    <w:rsid w:val="406334F2"/>
    <w:rsid w:val="43941F9D"/>
    <w:rsid w:val="443A545E"/>
    <w:rsid w:val="45255BD3"/>
    <w:rsid w:val="453531EB"/>
    <w:rsid w:val="45726BE3"/>
    <w:rsid w:val="46207E0B"/>
    <w:rsid w:val="463C2D19"/>
    <w:rsid w:val="466B5A56"/>
    <w:rsid w:val="46F220C4"/>
    <w:rsid w:val="491459A9"/>
    <w:rsid w:val="496244F6"/>
    <w:rsid w:val="49854A6D"/>
    <w:rsid w:val="498B1BBB"/>
    <w:rsid w:val="4B3C2B8C"/>
    <w:rsid w:val="4C8B37B9"/>
    <w:rsid w:val="4F1900E0"/>
    <w:rsid w:val="4F543B82"/>
    <w:rsid w:val="515F0BAD"/>
    <w:rsid w:val="51BE676E"/>
    <w:rsid w:val="525423C5"/>
    <w:rsid w:val="52AF4E50"/>
    <w:rsid w:val="5319240E"/>
    <w:rsid w:val="533B10FE"/>
    <w:rsid w:val="53B67125"/>
    <w:rsid w:val="5550331C"/>
    <w:rsid w:val="55B66ABD"/>
    <w:rsid w:val="55EB2205"/>
    <w:rsid w:val="56034491"/>
    <w:rsid w:val="56F760B0"/>
    <w:rsid w:val="58E04559"/>
    <w:rsid w:val="58F306CF"/>
    <w:rsid w:val="5BEC1A5C"/>
    <w:rsid w:val="5CE56D37"/>
    <w:rsid w:val="5D535073"/>
    <w:rsid w:val="5D632FBA"/>
    <w:rsid w:val="5D6C28C0"/>
    <w:rsid w:val="5E8706FE"/>
    <w:rsid w:val="5F022AC7"/>
    <w:rsid w:val="5F4A76D1"/>
    <w:rsid w:val="60841590"/>
    <w:rsid w:val="62E7087B"/>
    <w:rsid w:val="62FF0AB2"/>
    <w:rsid w:val="63F676E4"/>
    <w:rsid w:val="64364490"/>
    <w:rsid w:val="64514E79"/>
    <w:rsid w:val="64CB2E94"/>
    <w:rsid w:val="650652B3"/>
    <w:rsid w:val="663F3678"/>
    <w:rsid w:val="66C54DC5"/>
    <w:rsid w:val="671F37B5"/>
    <w:rsid w:val="69085593"/>
    <w:rsid w:val="69F03E58"/>
    <w:rsid w:val="6AE7401D"/>
    <w:rsid w:val="6B1A4F58"/>
    <w:rsid w:val="6B550564"/>
    <w:rsid w:val="6BD319B3"/>
    <w:rsid w:val="6C550942"/>
    <w:rsid w:val="6C682AA5"/>
    <w:rsid w:val="6FE0165C"/>
    <w:rsid w:val="717C3A3C"/>
    <w:rsid w:val="71AE4913"/>
    <w:rsid w:val="726A0106"/>
    <w:rsid w:val="72D45F0F"/>
    <w:rsid w:val="738E351F"/>
    <w:rsid w:val="73927E23"/>
    <w:rsid w:val="741C3D03"/>
    <w:rsid w:val="74536887"/>
    <w:rsid w:val="749C0B5E"/>
    <w:rsid w:val="750D688B"/>
    <w:rsid w:val="75AA0E7D"/>
    <w:rsid w:val="77372DBA"/>
    <w:rsid w:val="7748070B"/>
    <w:rsid w:val="77F91F6E"/>
    <w:rsid w:val="79171BD6"/>
    <w:rsid w:val="79C56390"/>
    <w:rsid w:val="7A087310"/>
    <w:rsid w:val="7A340CDB"/>
    <w:rsid w:val="7E1620D0"/>
    <w:rsid w:val="7F1979F6"/>
    <w:rsid w:val="F7E7C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ysgz\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a760059-36bb-4092-a7eb-04f1958b7011}"/>
        <w:style w:val=""/>
        <w:category>
          <w:name w:val="常规"/>
          <w:gallery w:val="placeholder"/>
        </w:category>
        <w:types>
          <w:type w:val="bbPlcHdr"/>
        </w:types>
        <w:behaviors>
          <w:behavior w:val="content"/>
        </w:behaviors>
        <w:description w:val=""/>
        <w:guid w:val="{1a760059-36bb-4092-a7eb-04f1958b7011}"/>
      </w:docPartPr>
      <w:docPartBody>
        <w:p>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7CC"/>
    <w:rsid w:val="00B327CC"/>
    <w:rsid w:val="00C04210"/>
    <w:rsid w:val="00E06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F7193AC209A4655A3137A8681F0B6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2CDEC0D9BD64B42BE291BACC70D69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420366A2AB44361B98166350DA584B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ABC57C0D280F48BD81D120400C52B1F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17</Pages>
  <Words>12296</Words>
  <Characters>13507</Characters>
  <Lines>31</Lines>
  <Paragraphs>8</Paragraphs>
  <TotalTime>9</TotalTime>
  <ScaleCrop>false</ScaleCrop>
  <LinksUpToDate>false</LinksUpToDate>
  <CharactersWithSpaces>14228</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2023-12-20T17:52:00Z</dcterms:created>
  <dc:creator>Asus</dc:creator>
  <dc:description>&lt;config cover="true" show_menu="true" version="1.0.0" doctype="SDKXY"&gt;_x000d_
&lt;/config&gt;</dc:description>
  <cp:lastModifiedBy>Admin</cp:lastModifiedBy>
  <cp:lastPrinted>2025-03-05T06:40:00Z</cp:lastPrinted>
  <dcterms:modified xsi:type="dcterms:W3CDTF">2025-05-08T01:46:17Z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2052-11.8.6.8811</vt:lpwstr>
  </property>
  <property fmtid="{D5CDD505-2E9C-101B-9397-08002B2CF9AE}" pid="16" name="ICV">
    <vt:lpwstr>72A03A9EC5F949BFA60C173C69E6C5DD_13</vt:lpwstr>
  </property>
  <property fmtid="{D5CDD505-2E9C-101B-9397-08002B2CF9AE}" pid="17" name="KSOTemplateDocerSaveRecord">
    <vt:lpwstr>eyJoZGlkIjoiMDVkY2I3ZGJmNTZiMzcyOWQwZDc2NTMzYmRkNWQ5MzgiLCJ1c2VySWQiOiIzNTY1NjcyNjAifQ==</vt:lpwstr>
  </property>
</Properties>
</file>