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方正小标宋简体" w:hAnsi="方正小标宋简体" w:eastAsia="方正小标宋简体" w:cs="方正小标宋简体"/>
          <w:b w:val="0"/>
          <w:bCs w:val="0"/>
          <w:color w:val="auto"/>
          <w:highlight w:val="none"/>
          <w:lang w:eastAsia="zh-CN"/>
        </w:rPr>
        <w:sectPr>
          <w:pgSz w:w="11906" w:h="16838"/>
          <w:pgMar w:top="1440" w:right="1800" w:bottom="1440" w:left="1800" w:header="851" w:footer="992" w:gutter="0"/>
          <w:pgNumType w:fmt="decimal"/>
          <w:cols w:space="425" w:num="1"/>
          <w:docGrid w:type="lines" w:linePitch="312" w:charSpace="0"/>
        </w:sectPr>
      </w:pPr>
    </w:p>
    <w:p>
      <w:pPr>
        <w:jc w:val="both"/>
        <w:rPr>
          <w:rFonts w:hint="eastAsia"/>
          <w:color w:val="auto"/>
          <w:highlight w:val="none"/>
          <w:lang w:val="en-US" w:eastAsia="zh-CN"/>
        </w:rPr>
      </w:pPr>
    </w:p>
    <w:p>
      <w:pPr>
        <w:pStyle w:val="2"/>
        <w:rPr>
          <w:rFonts w:hint="eastAsia"/>
          <w:color w:val="auto"/>
          <w:highlight w:val="none"/>
          <w:lang w:val="en-US" w:eastAsia="zh-CN"/>
        </w:rPr>
      </w:pPr>
    </w:p>
    <w:p>
      <w:pPr>
        <w:pStyle w:val="2"/>
        <w:rPr>
          <w:rFonts w:hint="eastAsia"/>
          <w:color w:val="auto"/>
          <w:highlight w:val="none"/>
          <w:lang w:val="en-US" w:eastAsia="zh-CN"/>
        </w:rPr>
      </w:pPr>
    </w:p>
    <w:p>
      <w:pPr>
        <w:jc w:val="center"/>
        <w:rPr>
          <w:rFonts w:hint="default" w:eastAsia="黑体"/>
          <w:b w:val="0"/>
          <w:bCs/>
          <w:color w:val="auto"/>
          <w:sz w:val="52"/>
          <w:szCs w:val="52"/>
          <w:highlight w:val="none"/>
          <w:lang w:val="en-US" w:eastAsia="zh-CN"/>
        </w:rPr>
      </w:pPr>
      <w:r>
        <w:rPr>
          <w:rFonts w:hint="eastAsia" w:eastAsia="黑体"/>
          <w:b w:val="0"/>
          <w:bCs/>
          <w:color w:val="auto"/>
          <w:spacing w:val="-17"/>
          <w:sz w:val="52"/>
          <w:szCs w:val="52"/>
          <w:highlight w:val="none"/>
          <w:lang w:val="en-US" w:eastAsia="zh-CN"/>
        </w:rPr>
        <w:t>学校集中供餐管理规范</w:t>
      </w:r>
    </w:p>
    <w:p>
      <w:pPr>
        <w:pStyle w:val="2"/>
        <w:rPr>
          <w:b w:val="0"/>
          <w:bCs/>
          <w:color w:val="auto"/>
          <w:highlight w:val="none"/>
        </w:rPr>
      </w:pPr>
    </w:p>
    <w:p>
      <w:pPr>
        <w:rPr>
          <w:b w:val="0"/>
          <w:bCs/>
          <w:color w:val="auto"/>
          <w:highlight w:val="none"/>
        </w:rPr>
      </w:pPr>
    </w:p>
    <w:p>
      <w:pPr>
        <w:pStyle w:val="2"/>
        <w:rPr>
          <w:b w:val="0"/>
          <w:bCs/>
          <w:color w:val="auto"/>
          <w:highlight w:val="none"/>
        </w:rPr>
      </w:pPr>
    </w:p>
    <w:p>
      <w:pPr>
        <w:jc w:val="center"/>
        <w:rPr>
          <w:rFonts w:eastAsia="黑体"/>
          <w:b w:val="0"/>
          <w:bCs/>
          <w:color w:val="auto"/>
          <w:sz w:val="48"/>
          <w:szCs w:val="48"/>
          <w:highlight w:val="none"/>
        </w:rPr>
      </w:pPr>
    </w:p>
    <w:p>
      <w:pPr>
        <w:jc w:val="center"/>
        <w:rPr>
          <w:rFonts w:eastAsia="黑体"/>
          <w:b w:val="0"/>
          <w:bCs/>
          <w:color w:val="auto"/>
          <w:sz w:val="52"/>
          <w:szCs w:val="52"/>
          <w:highlight w:val="none"/>
        </w:rPr>
      </w:pPr>
      <w:r>
        <w:rPr>
          <w:rFonts w:eastAsia="黑体"/>
          <w:b w:val="0"/>
          <w:bCs/>
          <w:color w:val="auto"/>
          <w:sz w:val="52"/>
          <w:szCs w:val="52"/>
          <w:highlight w:val="none"/>
        </w:rPr>
        <w:t>编</w:t>
      </w:r>
    </w:p>
    <w:p>
      <w:pPr>
        <w:pStyle w:val="2"/>
        <w:rPr>
          <w:b w:val="0"/>
          <w:bCs/>
          <w:color w:val="auto"/>
          <w:highlight w:val="none"/>
        </w:rPr>
      </w:pPr>
    </w:p>
    <w:p>
      <w:pPr>
        <w:jc w:val="center"/>
        <w:rPr>
          <w:rFonts w:eastAsia="黑体"/>
          <w:b w:val="0"/>
          <w:bCs/>
          <w:color w:val="auto"/>
          <w:sz w:val="52"/>
          <w:szCs w:val="52"/>
          <w:highlight w:val="none"/>
        </w:rPr>
      </w:pPr>
      <w:r>
        <w:rPr>
          <w:rFonts w:eastAsia="黑体"/>
          <w:b w:val="0"/>
          <w:bCs/>
          <w:color w:val="auto"/>
          <w:sz w:val="52"/>
          <w:szCs w:val="52"/>
          <w:highlight w:val="none"/>
        </w:rPr>
        <w:t xml:space="preserve">制 </w:t>
      </w:r>
    </w:p>
    <w:p>
      <w:pPr>
        <w:pStyle w:val="2"/>
        <w:rPr>
          <w:b w:val="0"/>
          <w:bCs/>
          <w:color w:val="auto"/>
          <w:highlight w:val="none"/>
        </w:rPr>
      </w:pPr>
    </w:p>
    <w:p>
      <w:pPr>
        <w:jc w:val="center"/>
        <w:rPr>
          <w:rFonts w:eastAsia="黑体"/>
          <w:b w:val="0"/>
          <w:bCs/>
          <w:color w:val="auto"/>
          <w:sz w:val="52"/>
          <w:szCs w:val="52"/>
          <w:highlight w:val="none"/>
        </w:rPr>
      </w:pPr>
      <w:r>
        <w:rPr>
          <w:rFonts w:eastAsia="黑体"/>
          <w:b w:val="0"/>
          <w:bCs/>
          <w:color w:val="auto"/>
          <w:sz w:val="52"/>
          <w:szCs w:val="52"/>
          <w:highlight w:val="none"/>
        </w:rPr>
        <w:t xml:space="preserve">说 </w:t>
      </w:r>
    </w:p>
    <w:p>
      <w:pPr>
        <w:pStyle w:val="2"/>
        <w:rPr>
          <w:b w:val="0"/>
          <w:bCs/>
          <w:color w:val="auto"/>
          <w:highlight w:val="none"/>
        </w:rPr>
      </w:pPr>
    </w:p>
    <w:p>
      <w:pPr>
        <w:jc w:val="center"/>
        <w:rPr>
          <w:rFonts w:eastAsia="黑体"/>
          <w:b w:val="0"/>
          <w:bCs/>
          <w:color w:val="auto"/>
          <w:sz w:val="52"/>
          <w:szCs w:val="52"/>
          <w:highlight w:val="none"/>
        </w:rPr>
      </w:pPr>
      <w:r>
        <w:rPr>
          <w:rFonts w:eastAsia="黑体"/>
          <w:b w:val="0"/>
          <w:bCs/>
          <w:color w:val="auto"/>
          <w:sz w:val="52"/>
          <w:szCs w:val="52"/>
          <w:highlight w:val="none"/>
        </w:rPr>
        <w:t>明</w:t>
      </w:r>
    </w:p>
    <w:p>
      <w:pPr>
        <w:pStyle w:val="2"/>
        <w:rPr>
          <w:b w:val="0"/>
          <w:bCs/>
          <w:color w:val="auto"/>
          <w:highlight w:val="none"/>
        </w:rPr>
      </w:pPr>
    </w:p>
    <w:p>
      <w:pPr>
        <w:jc w:val="center"/>
        <w:rPr>
          <w:rFonts w:eastAsia="黑体"/>
          <w:b w:val="0"/>
          <w:bCs/>
          <w:color w:val="auto"/>
          <w:sz w:val="48"/>
          <w:szCs w:val="48"/>
          <w:highlight w:val="none"/>
        </w:rPr>
      </w:pPr>
    </w:p>
    <w:p>
      <w:pPr>
        <w:jc w:val="center"/>
        <w:rPr>
          <w:rFonts w:eastAsia="黑体"/>
          <w:b w:val="0"/>
          <w:bCs/>
          <w:color w:val="auto"/>
          <w:sz w:val="48"/>
          <w:szCs w:val="48"/>
          <w:highlight w:val="none"/>
        </w:rPr>
      </w:pPr>
    </w:p>
    <w:p>
      <w:pPr>
        <w:jc w:val="center"/>
        <w:rPr>
          <w:rFonts w:eastAsia="黑体"/>
          <w:b w:val="0"/>
          <w:bCs/>
          <w:color w:val="auto"/>
          <w:sz w:val="48"/>
          <w:szCs w:val="48"/>
          <w:highlight w:val="none"/>
        </w:rPr>
      </w:pPr>
    </w:p>
    <w:p>
      <w:pPr>
        <w:jc w:val="center"/>
        <w:rPr>
          <w:rFonts w:hint="default" w:eastAsia="黑体"/>
          <w:b w:val="0"/>
          <w:bCs/>
          <w:color w:val="auto"/>
          <w:sz w:val="32"/>
          <w:szCs w:val="32"/>
          <w:highlight w:val="none"/>
          <w:lang w:val="en-US" w:eastAsia="zh-CN"/>
        </w:rPr>
      </w:pPr>
      <w:r>
        <w:rPr>
          <w:rFonts w:eastAsia="黑体"/>
          <w:b w:val="0"/>
          <w:bCs/>
          <w:color w:val="auto"/>
          <w:sz w:val="32"/>
          <w:szCs w:val="32"/>
          <w:highlight w:val="none"/>
        </w:rPr>
        <w:t>贵阳市</w:t>
      </w:r>
      <w:r>
        <w:rPr>
          <w:rFonts w:hint="eastAsia" w:eastAsia="黑体"/>
          <w:b w:val="0"/>
          <w:bCs/>
          <w:color w:val="auto"/>
          <w:sz w:val="32"/>
          <w:szCs w:val="32"/>
          <w:highlight w:val="none"/>
          <w:lang w:val="en-US" w:eastAsia="zh-CN"/>
        </w:rPr>
        <w:t>食品药品检验检测中心</w:t>
      </w:r>
    </w:p>
    <w:p>
      <w:pPr>
        <w:jc w:val="center"/>
        <w:rPr>
          <w:rFonts w:hint="eastAsia" w:eastAsia="黑体"/>
          <w:b w:val="0"/>
          <w:bCs/>
          <w:color w:val="auto"/>
          <w:sz w:val="32"/>
          <w:szCs w:val="32"/>
          <w:highlight w:val="none"/>
        </w:rPr>
      </w:pPr>
      <w:r>
        <w:rPr>
          <w:rFonts w:eastAsia="黑体"/>
          <w:b w:val="0"/>
          <w:bCs/>
          <w:color w:val="auto"/>
          <w:sz w:val="32"/>
          <w:szCs w:val="32"/>
          <w:highlight w:val="none"/>
        </w:rPr>
        <w:t>20</w:t>
      </w:r>
      <w:r>
        <w:rPr>
          <w:rFonts w:hint="eastAsia" w:eastAsia="黑体"/>
          <w:b w:val="0"/>
          <w:bCs/>
          <w:color w:val="auto"/>
          <w:sz w:val="32"/>
          <w:szCs w:val="32"/>
          <w:highlight w:val="none"/>
        </w:rPr>
        <w:t>2</w:t>
      </w:r>
      <w:r>
        <w:rPr>
          <w:rFonts w:hint="eastAsia" w:eastAsia="黑体"/>
          <w:b w:val="0"/>
          <w:bCs/>
          <w:color w:val="auto"/>
          <w:sz w:val="32"/>
          <w:szCs w:val="32"/>
          <w:highlight w:val="none"/>
          <w:lang w:val="en-US" w:eastAsia="zh-CN"/>
        </w:rPr>
        <w:t>5</w:t>
      </w:r>
      <w:r>
        <w:rPr>
          <w:rFonts w:hint="eastAsia" w:eastAsia="黑体"/>
          <w:b w:val="0"/>
          <w:bCs/>
          <w:color w:val="auto"/>
          <w:sz w:val="32"/>
          <w:szCs w:val="32"/>
          <w:highlight w:val="none"/>
        </w:rPr>
        <w:t>年</w:t>
      </w:r>
      <w:r>
        <w:rPr>
          <w:rFonts w:hint="eastAsia" w:eastAsia="黑体"/>
          <w:b w:val="0"/>
          <w:bCs/>
          <w:color w:val="auto"/>
          <w:sz w:val="32"/>
          <w:szCs w:val="32"/>
          <w:highlight w:val="none"/>
          <w:lang w:val="en-US" w:eastAsia="zh-CN"/>
        </w:rPr>
        <w:t>5</w:t>
      </w:r>
      <w:r>
        <w:rPr>
          <w:rFonts w:hint="eastAsia" w:eastAsia="黑体"/>
          <w:b w:val="0"/>
          <w:bCs/>
          <w:color w:val="auto"/>
          <w:sz w:val="32"/>
          <w:szCs w:val="32"/>
          <w:highlight w:val="none"/>
        </w:rPr>
        <w:t>月</w:t>
      </w:r>
    </w:p>
    <w:p>
      <w:pPr>
        <w:jc w:val="center"/>
        <w:rPr>
          <w:rFonts w:hint="eastAsia" w:eastAsia="黑体"/>
          <w:b/>
          <w:color w:val="auto"/>
          <w:sz w:val="28"/>
          <w:szCs w:val="28"/>
          <w:highlight w:val="none"/>
        </w:rPr>
      </w:pPr>
    </w:p>
    <w:p>
      <w:pPr>
        <w:jc w:val="center"/>
        <w:rPr>
          <w:rFonts w:hint="eastAsia" w:eastAsia="黑体"/>
          <w:b/>
          <w:color w:val="auto"/>
          <w:sz w:val="28"/>
          <w:szCs w:val="28"/>
          <w:highlight w:val="none"/>
        </w:rPr>
      </w:pPr>
    </w:p>
    <w:p>
      <w:pPr>
        <w:pStyle w:val="2"/>
        <w:rPr>
          <w:rFonts w:hint="eastAsia"/>
          <w:color w:val="auto"/>
          <w:highlight w:val="none"/>
        </w:rPr>
        <w:sectPr>
          <w:footerReference r:id="rId3" w:type="default"/>
          <w:type w:val="continuous"/>
          <w:pgSz w:w="11906" w:h="16838"/>
          <w:pgMar w:top="1440" w:right="1800" w:bottom="1440" w:left="1800" w:header="851" w:footer="992" w:gutter="0"/>
          <w:cols w:space="720" w:num="1"/>
          <w:docGrid w:type="lines" w:linePitch="312" w:charSpace="0"/>
        </w:sectPr>
      </w:pPr>
    </w:p>
    <w:p>
      <w:pPr>
        <w:rPr>
          <w:rFonts w:hint="eastAsia"/>
          <w:color w:val="auto"/>
          <w:highlight w:val="none"/>
        </w:rPr>
        <w:sectPr>
          <w:footerReference r:id="rId4" w:type="default"/>
          <w:pgSz w:w="11906" w:h="16838"/>
          <w:pgMar w:top="1440" w:right="1800" w:bottom="1440" w:left="1800" w:header="851" w:footer="992" w:gutter="0"/>
          <w:pgNumType w:start="1"/>
          <w:cols w:space="720" w:num="1"/>
          <w:docGrid w:type="lines" w:linePitch="312" w:charSpace="0"/>
        </w:sectPr>
      </w:pPr>
    </w:p>
    <w:p>
      <w:pPr>
        <w:jc w:val="center"/>
        <w:rPr>
          <w:rFonts w:hint="eastAsia" w:ascii="方正小标宋简体" w:hAnsi="方正小标宋简体" w:eastAsia="方正小标宋简体" w:cs="方正小标宋简体"/>
          <w:b w:val="0"/>
          <w:bCs w:val="0"/>
          <w:color w:val="auto"/>
          <w:kern w:val="44"/>
          <w:sz w:val="44"/>
          <w:szCs w:val="44"/>
          <w:highlight w:val="none"/>
          <w:lang w:val="en-US" w:eastAsia="zh-CN" w:bidi="ar-SA"/>
        </w:rPr>
      </w:pPr>
      <w:r>
        <w:rPr>
          <w:rFonts w:hint="eastAsia" w:ascii="方正小标宋简体" w:hAnsi="方正小标宋简体" w:eastAsia="方正小标宋简体" w:cs="方正小标宋简体"/>
          <w:b w:val="0"/>
          <w:bCs w:val="0"/>
          <w:color w:val="auto"/>
          <w:kern w:val="44"/>
          <w:sz w:val="44"/>
          <w:szCs w:val="44"/>
          <w:highlight w:val="none"/>
          <w:lang w:val="en-US" w:eastAsia="zh-CN" w:bidi="ar-SA"/>
        </w:rPr>
        <w:t>目   录</w:t>
      </w:r>
    </w:p>
    <w:p>
      <w:pPr>
        <w:pStyle w:val="7"/>
        <w:tabs>
          <w:tab w:val="right" w:leader="dot" w:pos="8306"/>
        </w:tabs>
        <w:rPr>
          <w:rFonts w:hint="eastAsia" w:ascii="宋体" w:hAnsi="宋体" w:cs="宋体"/>
          <w:color w:val="auto"/>
          <w:sz w:val="32"/>
          <w:szCs w:val="32"/>
          <w:highlight w:val="none"/>
        </w:rPr>
      </w:pP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before="0" w:after="0" w:line="560" w:lineRule="exact"/>
        <w:textAlignment w:val="auto"/>
        <w:rPr>
          <w:rFonts w:hint="eastAsia" w:ascii="宋体" w:hAnsi="宋体" w:cs="宋体"/>
          <w:b w:val="0"/>
          <w:bCs w:val="0"/>
          <w:color w:val="auto"/>
          <w:sz w:val="32"/>
          <w:szCs w:val="32"/>
          <w:highlight w:val="none"/>
        </w:rPr>
      </w:pPr>
      <w:r>
        <w:rPr>
          <w:rFonts w:hint="eastAsia" w:ascii="宋体" w:hAnsi="宋体" w:cs="宋体"/>
          <w:b w:val="0"/>
          <w:bCs w:val="0"/>
          <w:color w:val="auto"/>
          <w:sz w:val="32"/>
          <w:szCs w:val="32"/>
          <w:highlight w:val="none"/>
        </w:rPr>
        <w:fldChar w:fldCharType="begin"/>
      </w:r>
      <w:r>
        <w:rPr>
          <w:rFonts w:hint="eastAsia" w:ascii="宋体" w:hAnsi="宋体" w:cs="宋体"/>
          <w:b w:val="0"/>
          <w:bCs w:val="0"/>
          <w:color w:val="auto"/>
          <w:sz w:val="32"/>
          <w:szCs w:val="32"/>
          <w:highlight w:val="none"/>
        </w:rPr>
        <w:instrText xml:space="preserve"> HYPERLINK \l _Toc9281 </w:instrText>
      </w:r>
      <w:r>
        <w:rPr>
          <w:rFonts w:hint="eastAsia" w:ascii="宋体" w:hAnsi="宋体" w:cs="宋体"/>
          <w:b w:val="0"/>
          <w:bCs w:val="0"/>
          <w:color w:val="auto"/>
          <w:sz w:val="32"/>
          <w:szCs w:val="32"/>
          <w:highlight w:val="none"/>
        </w:rPr>
        <w:fldChar w:fldCharType="separate"/>
      </w:r>
      <w:r>
        <w:rPr>
          <w:rFonts w:hint="eastAsia" w:ascii="宋体" w:hAnsi="宋体" w:cs="宋体"/>
          <w:b w:val="0"/>
          <w:bCs w:val="0"/>
          <w:color w:val="auto"/>
          <w:sz w:val="32"/>
          <w:szCs w:val="32"/>
          <w:highlight w:val="none"/>
        </w:rPr>
        <w:t>一、项目背景</w:t>
      </w:r>
      <w:r>
        <w:rPr>
          <w:rFonts w:hint="eastAsia" w:ascii="宋体" w:hAnsi="宋体" w:cs="宋体"/>
          <w:b w:val="0"/>
          <w:bCs w:val="0"/>
          <w:color w:val="auto"/>
          <w:sz w:val="32"/>
          <w:szCs w:val="32"/>
          <w:highlight w:val="none"/>
        </w:rPr>
        <w:tab/>
      </w:r>
      <w:r>
        <w:rPr>
          <w:rFonts w:hint="eastAsia" w:ascii="宋体" w:hAnsi="宋体" w:cs="宋体"/>
          <w:b w:val="0"/>
          <w:bCs w:val="0"/>
          <w:color w:val="auto"/>
          <w:sz w:val="32"/>
          <w:szCs w:val="32"/>
          <w:highlight w:val="none"/>
        </w:rPr>
        <w:t>1</w:t>
      </w:r>
      <w:r>
        <w:rPr>
          <w:rFonts w:hint="eastAsia" w:ascii="宋体" w:hAnsi="宋体" w:cs="宋体"/>
          <w:b w:val="0"/>
          <w:bCs w:val="0"/>
          <w:color w:val="auto"/>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before="0" w:after="0" w:line="560" w:lineRule="exact"/>
        <w:textAlignment w:val="auto"/>
        <w:rPr>
          <w:rFonts w:hint="eastAsia" w:ascii="宋体" w:hAnsi="宋体" w:cs="宋体"/>
          <w:b w:val="0"/>
          <w:bCs w:val="0"/>
          <w:color w:val="auto"/>
          <w:sz w:val="32"/>
          <w:szCs w:val="32"/>
          <w:highlight w:val="none"/>
        </w:rPr>
      </w:pPr>
      <w:r>
        <w:rPr>
          <w:rFonts w:hint="eastAsia" w:ascii="宋体" w:hAnsi="宋体" w:cs="宋体"/>
          <w:b w:val="0"/>
          <w:bCs w:val="0"/>
          <w:color w:val="auto"/>
          <w:sz w:val="32"/>
          <w:szCs w:val="32"/>
          <w:highlight w:val="none"/>
        </w:rPr>
        <w:fldChar w:fldCharType="begin"/>
      </w:r>
      <w:r>
        <w:rPr>
          <w:rFonts w:hint="eastAsia" w:ascii="宋体" w:hAnsi="宋体" w:cs="宋体"/>
          <w:b w:val="0"/>
          <w:bCs w:val="0"/>
          <w:color w:val="auto"/>
          <w:sz w:val="32"/>
          <w:szCs w:val="32"/>
          <w:highlight w:val="none"/>
        </w:rPr>
        <w:instrText xml:space="preserve"> HYPERLINK \l _Toc9118 </w:instrText>
      </w:r>
      <w:r>
        <w:rPr>
          <w:rFonts w:hint="eastAsia" w:ascii="宋体" w:hAnsi="宋体" w:cs="宋体"/>
          <w:b w:val="0"/>
          <w:bCs w:val="0"/>
          <w:color w:val="auto"/>
          <w:sz w:val="32"/>
          <w:szCs w:val="32"/>
          <w:highlight w:val="none"/>
        </w:rPr>
        <w:fldChar w:fldCharType="separate"/>
      </w:r>
      <w:r>
        <w:rPr>
          <w:rFonts w:hint="eastAsia" w:ascii="宋体" w:hAnsi="宋体" w:cs="宋体"/>
          <w:b w:val="0"/>
          <w:bCs w:val="0"/>
          <w:color w:val="auto"/>
          <w:sz w:val="32"/>
          <w:szCs w:val="32"/>
          <w:highlight w:val="none"/>
        </w:rPr>
        <w:t>二、工作简况</w:t>
      </w:r>
      <w:r>
        <w:rPr>
          <w:rFonts w:hint="eastAsia" w:ascii="宋体" w:hAnsi="宋体" w:cs="宋体"/>
          <w:b w:val="0"/>
          <w:bCs w:val="0"/>
          <w:color w:val="auto"/>
          <w:sz w:val="32"/>
          <w:szCs w:val="32"/>
          <w:highlight w:val="none"/>
        </w:rPr>
        <w:tab/>
      </w:r>
      <w:r>
        <w:rPr>
          <w:rFonts w:hint="eastAsia" w:ascii="宋体" w:hAnsi="宋体" w:cs="宋体"/>
          <w:b w:val="0"/>
          <w:bCs w:val="0"/>
          <w:color w:val="auto"/>
          <w:sz w:val="32"/>
          <w:szCs w:val="32"/>
          <w:highlight w:val="none"/>
          <w:lang w:val="en-US" w:eastAsia="zh-CN"/>
        </w:rPr>
        <w:t>5</w:t>
      </w:r>
      <w:r>
        <w:rPr>
          <w:rFonts w:hint="eastAsia" w:ascii="宋体" w:hAnsi="宋体" w:cs="宋体"/>
          <w:b w:val="0"/>
          <w:bCs w:val="0"/>
          <w:color w:val="auto"/>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before="0" w:after="0" w:line="560" w:lineRule="exact"/>
        <w:textAlignment w:val="auto"/>
        <w:rPr>
          <w:rFonts w:hint="eastAsia" w:ascii="宋体" w:hAnsi="宋体" w:cs="宋体"/>
          <w:b w:val="0"/>
          <w:bCs w:val="0"/>
          <w:color w:val="auto"/>
          <w:sz w:val="32"/>
          <w:szCs w:val="32"/>
          <w:highlight w:val="none"/>
        </w:rPr>
      </w:pPr>
      <w:r>
        <w:rPr>
          <w:rFonts w:hint="eastAsia" w:ascii="宋体" w:hAnsi="宋体" w:cs="宋体"/>
          <w:b w:val="0"/>
          <w:bCs w:val="0"/>
          <w:color w:val="auto"/>
          <w:sz w:val="32"/>
          <w:szCs w:val="32"/>
          <w:highlight w:val="none"/>
        </w:rPr>
        <w:fldChar w:fldCharType="begin"/>
      </w:r>
      <w:r>
        <w:rPr>
          <w:rFonts w:hint="eastAsia" w:ascii="宋体" w:hAnsi="宋体" w:cs="宋体"/>
          <w:b w:val="0"/>
          <w:bCs w:val="0"/>
          <w:color w:val="auto"/>
          <w:sz w:val="32"/>
          <w:szCs w:val="32"/>
          <w:highlight w:val="none"/>
        </w:rPr>
        <w:instrText xml:space="preserve"> HYPERLINK \l _Toc26765 </w:instrText>
      </w:r>
      <w:r>
        <w:rPr>
          <w:rFonts w:hint="eastAsia" w:ascii="宋体" w:hAnsi="宋体" w:cs="宋体"/>
          <w:b w:val="0"/>
          <w:bCs w:val="0"/>
          <w:color w:val="auto"/>
          <w:sz w:val="32"/>
          <w:szCs w:val="32"/>
          <w:highlight w:val="none"/>
        </w:rPr>
        <w:fldChar w:fldCharType="separate"/>
      </w:r>
      <w:r>
        <w:rPr>
          <w:rFonts w:hint="eastAsia" w:ascii="宋体" w:hAnsi="宋体" w:cs="宋体"/>
          <w:b w:val="0"/>
          <w:bCs w:val="0"/>
          <w:color w:val="auto"/>
          <w:sz w:val="32"/>
          <w:szCs w:val="32"/>
          <w:highlight w:val="none"/>
        </w:rPr>
        <w:t>三、</w:t>
      </w:r>
      <w:r>
        <w:rPr>
          <w:rFonts w:hint="eastAsia" w:ascii="宋体" w:hAnsi="宋体" w:cs="宋体"/>
          <w:b w:val="0"/>
          <w:bCs w:val="0"/>
          <w:color w:val="auto"/>
          <w:sz w:val="32"/>
          <w:szCs w:val="32"/>
          <w:highlight w:val="none"/>
        </w:rPr>
        <w:fldChar w:fldCharType="end"/>
      </w:r>
      <w:r>
        <w:rPr>
          <w:rFonts w:hint="eastAsia" w:ascii="宋体" w:hAnsi="宋体" w:cs="宋体"/>
          <w:b w:val="0"/>
          <w:bCs w:val="0"/>
          <w:color w:val="auto"/>
          <w:sz w:val="32"/>
          <w:szCs w:val="32"/>
          <w:highlight w:val="none"/>
        </w:rPr>
        <w:fldChar w:fldCharType="begin"/>
      </w:r>
      <w:r>
        <w:rPr>
          <w:rFonts w:hint="eastAsia" w:ascii="宋体" w:hAnsi="宋体" w:cs="宋体"/>
          <w:b w:val="0"/>
          <w:bCs w:val="0"/>
          <w:color w:val="auto"/>
          <w:sz w:val="32"/>
          <w:szCs w:val="32"/>
          <w:highlight w:val="none"/>
        </w:rPr>
        <w:instrText xml:space="preserve"> HYPERLINK \l _Toc22973 </w:instrText>
      </w:r>
      <w:r>
        <w:rPr>
          <w:rFonts w:hint="eastAsia" w:ascii="宋体" w:hAnsi="宋体" w:cs="宋体"/>
          <w:b w:val="0"/>
          <w:bCs w:val="0"/>
          <w:color w:val="auto"/>
          <w:sz w:val="32"/>
          <w:szCs w:val="32"/>
          <w:highlight w:val="none"/>
        </w:rPr>
        <w:fldChar w:fldCharType="separate"/>
      </w:r>
      <w:r>
        <w:rPr>
          <w:rFonts w:hint="eastAsia" w:ascii="宋体" w:hAnsi="宋体" w:cs="宋体"/>
          <w:b w:val="0"/>
          <w:bCs w:val="0"/>
          <w:color w:val="auto"/>
          <w:sz w:val="32"/>
          <w:szCs w:val="32"/>
          <w:highlight w:val="none"/>
        </w:rPr>
        <w:t>主要条款的说明及确定依据</w:t>
      </w:r>
      <w:r>
        <w:rPr>
          <w:rFonts w:hint="eastAsia" w:ascii="宋体" w:hAnsi="宋体" w:cs="宋体"/>
          <w:b w:val="0"/>
          <w:bCs w:val="0"/>
          <w:color w:val="auto"/>
          <w:sz w:val="32"/>
          <w:szCs w:val="32"/>
          <w:highlight w:val="none"/>
        </w:rPr>
        <w:tab/>
      </w:r>
      <w:r>
        <w:rPr>
          <w:rFonts w:hint="eastAsia" w:ascii="宋体" w:hAnsi="宋体" w:cs="宋体"/>
          <w:b w:val="0"/>
          <w:bCs w:val="0"/>
          <w:color w:val="auto"/>
          <w:sz w:val="32"/>
          <w:szCs w:val="32"/>
          <w:highlight w:val="none"/>
          <w:lang w:val="en-US" w:eastAsia="zh-CN"/>
        </w:rPr>
        <w:t>9</w:t>
      </w:r>
      <w:r>
        <w:rPr>
          <w:rFonts w:hint="eastAsia" w:ascii="宋体" w:hAnsi="宋体" w:cs="宋体"/>
          <w:b w:val="0"/>
          <w:bCs w:val="0"/>
          <w:color w:val="auto"/>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before="0" w:after="0" w:line="560" w:lineRule="exact"/>
        <w:textAlignment w:val="auto"/>
        <w:rPr>
          <w:rFonts w:hint="default" w:ascii="宋体" w:hAnsi="宋体" w:eastAsia="宋体" w:cs="宋体"/>
          <w:b w:val="0"/>
          <w:bCs w:val="0"/>
          <w:color w:val="auto"/>
          <w:sz w:val="32"/>
          <w:szCs w:val="32"/>
          <w:highlight w:val="none"/>
          <w:lang w:val="en-US" w:eastAsia="zh-CN"/>
        </w:rPr>
      </w:pPr>
      <w:r>
        <w:rPr>
          <w:rFonts w:hint="eastAsia" w:ascii="宋体" w:hAnsi="宋体" w:cs="宋体"/>
          <w:b w:val="0"/>
          <w:bCs w:val="0"/>
          <w:color w:val="auto"/>
          <w:sz w:val="32"/>
          <w:szCs w:val="32"/>
          <w:highlight w:val="none"/>
        </w:rPr>
        <w:fldChar w:fldCharType="begin"/>
      </w:r>
      <w:r>
        <w:rPr>
          <w:rFonts w:hint="eastAsia" w:ascii="宋体" w:hAnsi="宋体" w:cs="宋体"/>
          <w:b w:val="0"/>
          <w:bCs w:val="0"/>
          <w:color w:val="auto"/>
          <w:sz w:val="32"/>
          <w:szCs w:val="32"/>
          <w:highlight w:val="none"/>
        </w:rPr>
        <w:instrText xml:space="preserve"> HYPERLINK \l _Toc22124 </w:instrText>
      </w:r>
      <w:r>
        <w:rPr>
          <w:rFonts w:hint="eastAsia" w:ascii="宋体" w:hAnsi="宋体" w:cs="宋体"/>
          <w:b w:val="0"/>
          <w:bCs w:val="0"/>
          <w:color w:val="auto"/>
          <w:sz w:val="32"/>
          <w:szCs w:val="32"/>
          <w:highlight w:val="none"/>
        </w:rPr>
        <w:fldChar w:fldCharType="separate"/>
      </w:r>
      <w:r>
        <w:rPr>
          <w:rFonts w:hint="eastAsia" w:ascii="宋体" w:hAnsi="宋体" w:cs="宋体"/>
          <w:b w:val="0"/>
          <w:bCs w:val="0"/>
          <w:color w:val="auto"/>
          <w:sz w:val="32"/>
          <w:szCs w:val="32"/>
          <w:highlight w:val="none"/>
          <w:lang w:val="en-US" w:eastAsia="zh-CN"/>
        </w:rPr>
        <w:t>四</w:t>
      </w:r>
      <w:r>
        <w:rPr>
          <w:rFonts w:hint="eastAsia" w:ascii="宋体" w:hAnsi="宋体" w:cs="宋体"/>
          <w:b w:val="0"/>
          <w:bCs w:val="0"/>
          <w:color w:val="auto"/>
          <w:sz w:val="32"/>
          <w:szCs w:val="32"/>
          <w:highlight w:val="none"/>
        </w:rPr>
        <w:t>、主要试验（或验证）的验证分析报告</w:t>
      </w:r>
      <w:r>
        <w:rPr>
          <w:rFonts w:hint="eastAsia" w:ascii="宋体" w:hAnsi="宋体" w:cs="宋体"/>
          <w:b w:val="0"/>
          <w:bCs w:val="0"/>
          <w:color w:val="auto"/>
          <w:sz w:val="32"/>
          <w:szCs w:val="32"/>
          <w:highlight w:val="none"/>
        </w:rPr>
        <w:tab/>
      </w:r>
      <w:r>
        <w:rPr>
          <w:rFonts w:hint="eastAsia" w:ascii="宋体" w:hAnsi="宋体" w:cs="宋体"/>
          <w:b w:val="0"/>
          <w:bCs w:val="0"/>
          <w:color w:val="auto"/>
          <w:sz w:val="32"/>
          <w:szCs w:val="32"/>
          <w:highlight w:val="none"/>
        </w:rPr>
        <w:fldChar w:fldCharType="end"/>
      </w:r>
      <w:r>
        <w:rPr>
          <w:rFonts w:hint="eastAsia" w:ascii="宋体" w:hAnsi="宋体" w:cs="宋体"/>
          <w:b w:val="0"/>
          <w:bCs w:val="0"/>
          <w:color w:val="auto"/>
          <w:sz w:val="32"/>
          <w:szCs w:val="32"/>
          <w:highlight w:val="none"/>
          <w:lang w:val="en-US" w:eastAsia="zh-CN"/>
        </w:rPr>
        <w:t>13</w:t>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before="0" w:after="0" w:line="560" w:lineRule="exact"/>
        <w:textAlignment w:val="auto"/>
        <w:rPr>
          <w:rFonts w:hint="eastAsia" w:ascii="宋体" w:hAnsi="宋体" w:eastAsia="宋体" w:cs="宋体"/>
          <w:b w:val="0"/>
          <w:bCs w:val="0"/>
          <w:color w:val="auto"/>
          <w:sz w:val="32"/>
          <w:szCs w:val="32"/>
          <w:highlight w:val="none"/>
          <w:lang w:val="en-US" w:eastAsia="zh-CN"/>
        </w:rPr>
      </w:pPr>
      <w:r>
        <w:rPr>
          <w:rFonts w:hint="eastAsia" w:ascii="宋体" w:hAnsi="宋体" w:cs="宋体"/>
          <w:b w:val="0"/>
          <w:bCs w:val="0"/>
          <w:color w:val="auto"/>
          <w:sz w:val="32"/>
          <w:szCs w:val="32"/>
          <w:highlight w:val="none"/>
        </w:rPr>
        <w:fldChar w:fldCharType="begin"/>
      </w:r>
      <w:r>
        <w:rPr>
          <w:rFonts w:hint="eastAsia" w:ascii="宋体" w:hAnsi="宋体" w:cs="宋体"/>
          <w:b w:val="0"/>
          <w:bCs w:val="0"/>
          <w:color w:val="auto"/>
          <w:sz w:val="32"/>
          <w:szCs w:val="32"/>
          <w:highlight w:val="none"/>
        </w:rPr>
        <w:instrText xml:space="preserve"> HYPERLINK \l _Toc24108 </w:instrText>
      </w:r>
      <w:r>
        <w:rPr>
          <w:rFonts w:hint="eastAsia" w:ascii="宋体" w:hAnsi="宋体" w:cs="宋体"/>
          <w:b w:val="0"/>
          <w:bCs w:val="0"/>
          <w:color w:val="auto"/>
          <w:sz w:val="32"/>
          <w:szCs w:val="32"/>
          <w:highlight w:val="none"/>
        </w:rPr>
        <w:fldChar w:fldCharType="separate"/>
      </w:r>
      <w:r>
        <w:rPr>
          <w:rFonts w:hint="eastAsia" w:ascii="宋体" w:hAnsi="宋体" w:cs="宋体"/>
          <w:b w:val="0"/>
          <w:bCs w:val="0"/>
          <w:color w:val="auto"/>
          <w:sz w:val="32"/>
          <w:szCs w:val="32"/>
          <w:highlight w:val="none"/>
          <w:lang w:val="en-US" w:eastAsia="zh-CN"/>
        </w:rPr>
        <w:t>五</w:t>
      </w:r>
      <w:r>
        <w:rPr>
          <w:rFonts w:hint="eastAsia" w:ascii="宋体" w:hAnsi="宋体" w:cs="宋体"/>
          <w:b w:val="0"/>
          <w:bCs w:val="0"/>
          <w:color w:val="auto"/>
          <w:sz w:val="32"/>
          <w:szCs w:val="32"/>
          <w:highlight w:val="none"/>
        </w:rPr>
        <w:t>、标准实施后对经济和社会发展的预期影响及论证</w:t>
      </w:r>
      <w:r>
        <w:rPr>
          <w:rFonts w:hint="eastAsia" w:ascii="宋体" w:hAnsi="宋体" w:cs="宋体"/>
          <w:b w:val="0"/>
          <w:bCs w:val="0"/>
          <w:color w:val="auto"/>
          <w:sz w:val="32"/>
          <w:szCs w:val="32"/>
          <w:highlight w:val="none"/>
        </w:rPr>
        <w:tab/>
      </w:r>
      <w:r>
        <w:rPr>
          <w:rFonts w:hint="eastAsia" w:ascii="宋体" w:hAnsi="宋体" w:cs="宋体"/>
          <w:b w:val="0"/>
          <w:bCs w:val="0"/>
          <w:color w:val="auto"/>
          <w:sz w:val="32"/>
          <w:szCs w:val="32"/>
          <w:highlight w:val="none"/>
          <w:lang w:val="en-US" w:eastAsia="zh-CN"/>
        </w:rPr>
        <w:t>1</w:t>
      </w:r>
      <w:r>
        <w:rPr>
          <w:rFonts w:hint="eastAsia" w:ascii="宋体" w:hAnsi="宋体" w:cs="宋体"/>
          <w:b w:val="0"/>
          <w:bCs w:val="0"/>
          <w:color w:val="auto"/>
          <w:sz w:val="32"/>
          <w:szCs w:val="32"/>
          <w:highlight w:val="none"/>
        </w:rPr>
        <w:fldChar w:fldCharType="end"/>
      </w:r>
      <w:r>
        <w:rPr>
          <w:rFonts w:hint="eastAsia" w:ascii="宋体" w:hAnsi="宋体" w:cs="宋体"/>
          <w:b w:val="0"/>
          <w:bCs w:val="0"/>
          <w:color w:val="auto"/>
          <w:sz w:val="32"/>
          <w:szCs w:val="32"/>
          <w:highlight w:val="none"/>
          <w:lang w:val="en-US" w:eastAsia="zh-CN"/>
        </w:rPr>
        <w:t>4</w:t>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before="0" w:after="0" w:line="560" w:lineRule="exact"/>
        <w:textAlignment w:val="auto"/>
        <w:rPr>
          <w:rFonts w:hint="default" w:ascii="宋体" w:hAnsi="宋体" w:eastAsia="宋体" w:cs="宋体"/>
          <w:b w:val="0"/>
          <w:bCs w:val="0"/>
          <w:color w:val="auto"/>
          <w:sz w:val="32"/>
          <w:szCs w:val="32"/>
          <w:highlight w:val="none"/>
          <w:lang w:val="en-US" w:eastAsia="zh-CN"/>
        </w:rPr>
      </w:pPr>
      <w:r>
        <w:rPr>
          <w:rFonts w:hint="eastAsia" w:ascii="宋体" w:hAnsi="宋体" w:cs="宋体"/>
          <w:b w:val="0"/>
          <w:bCs w:val="0"/>
          <w:color w:val="auto"/>
          <w:sz w:val="32"/>
          <w:szCs w:val="32"/>
          <w:highlight w:val="none"/>
          <w:lang w:val="en-US" w:eastAsia="zh-CN"/>
        </w:rPr>
        <w:t>六</w:t>
      </w:r>
      <w:r>
        <w:rPr>
          <w:rFonts w:hint="eastAsia" w:ascii="宋体" w:hAnsi="宋体" w:cs="宋体"/>
          <w:b w:val="0"/>
          <w:bCs w:val="0"/>
          <w:color w:val="auto"/>
          <w:sz w:val="32"/>
          <w:szCs w:val="32"/>
          <w:highlight w:val="none"/>
          <w:lang w:val="zh-CN"/>
        </w:rPr>
        <w:t>、</w:t>
      </w:r>
      <w:r>
        <w:rPr>
          <w:rFonts w:hint="eastAsia" w:ascii="宋体" w:hAnsi="宋体" w:cs="宋体"/>
          <w:b w:val="0"/>
          <w:bCs w:val="0"/>
          <w:color w:val="auto"/>
          <w:sz w:val="32"/>
          <w:szCs w:val="32"/>
          <w:highlight w:val="none"/>
          <w:lang w:val="zh-CN"/>
        </w:rPr>
        <w:fldChar w:fldCharType="begin"/>
      </w:r>
      <w:r>
        <w:rPr>
          <w:rFonts w:hint="eastAsia" w:ascii="宋体" w:hAnsi="宋体" w:cs="宋体"/>
          <w:b w:val="0"/>
          <w:bCs w:val="0"/>
          <w:color w:val="auto"/>
          <w:sz w:val="32"/>
          <w:szCs w:val="32"/>
          <w:highlight w:val="none"/>
          <w:lang w:val="zh-CN"/>
        </w:rPr>
        <w:instrText xml:space="preserve"> HYPERLINK \l _Toc2116 </w:instrText>
      </w:r>
      <w:r>
        <w:rPr>
          <w:rFonts w:hint="eastAsia" w:ascii="宋体" w:hAnsi="宋体" w:cs="宋体"/>
          <w:b w:val="0"/>
          <w:bCs w:val="0"/>
          <w:color w:val="auto"/>
          <w:sz w:val="32"/>
          <w:szCs w:val="32"/>
          <w:highlight w:val="none"/>
          <w:lang w:val="zh-CN"/>
        </w:rPr>
        <w:fldChar w:fldCharType="separate"/>
      </w:r>
      <w:r>
        <w:rPr>
          <w:rFonts w:hint="eastAsia" w:ascii="宋体" w:hAnsi="宋体" w:cs="宋体"/>
          <w:b w:val="0"/>
          <w:bCs w:val="0"/>
          <w:color w:val="auto"/>
          <w:sz w:val="32"/>
          <w:szCs w:val="32"/>
          <w:highlight w:val="none"/>
          <w:lang w:val="en-US" w:eastAsia="zh-CN"/>
        </w:rPr>
        <w:t>与</w:t>
      </w:r>
      <w:r>
        <w:rPr>
          <w:rFonts w:hint="eastAsia" w:ascii="宋体" w:hAnsi="宋体" w:cs="宋体"/>
          <w:b w:val="0"/>
          <w:bCs w:val="0"/>
          <w:color w:val="auto"/>
          <w:sz w:val="32"/>
          <w:szCs w:val="32"/>
          <w:highlight w:val="none"/>
        </w:rPr>
        <w:t>国</w:t>
      </w:r>
      <w:r>
        <w:rPr>
          <w:rFonts w:hint="eastAsia" w:ascii="宋体" w:hAnsi="宋体" w:cs="宋体"/>
          <w:b w:val="0"/>
          <w:bCs w:val="0"/>
          <w:color w:val="auto"/>
          <w:sz w:val="32"/>
          <w:szCs w:val="32"/>
          <w:highlight w:val="none"/>
          <w:lang w:val="en-US" w:eastAsia="zh-CN"/>
        </w:rPr>
        <w:t>内</w:t>
      </w:r>
      <w:r>
        <w:rPr>
          <w:rFonts w:hint="eastAsia" w:ascii="宋体" w:hAnsi="宋体" w:cs="宋体"/>
          <w:b w:val="0"/>
          <w:bCs w:val="0"/>
          <w:color w:val="auto"/>
          <w:sz w:val="32"/>
          <w:szCs w:val="32"/>
          <w:highlight w:val="none"/>
        </w:rPr>
        <w:t>标准</w:t>
      </w:r>
      <w:r>
        <w:rPr>
          <w:rFonts w:hint="eastAsia" w:ascii="宋体" w:hAnsi="宋体" w:cs="宋体"/>
          <w:b w:val="0"/>
          <w:bCs w:val="0"/>
          <w:color w:val="auto"/>
          <w:sz w:val="32"/>
          <w:szCs w:val="32"/>
          <w:highlight w:val="none"/>
          <w:lang w:val="en-US" w:eastAsia="zh-CN"/>
        </w:rPr>
        <w:t>的协调情况</w:t>
      </w:r>
      <w:r>
        <w:rPr>
          <w:rFonts w:hint="eastAsia" w:ascii="宋体" w:hAnsi="宋体" w:cs="宋体"/>
          <w:b w:val="0"/>
          <w:bCs w:val="0"/>
          <w:color w:val="auto"/>
          <w:sz w:val="32"/>
          <w:szCs w:val="32"/>
          <w:highlight w:val="none"/>
          <w:lang w:val="zh-CN"/>
        </w:rPr>
        <w:tab/>
      </w:r>
      <w:r>
        <w:rPr>
          <w:rFonts w:hint="eastAsia" w:ascii="宋体" w:hAnsi="宋体" w:cs="宋体"/>
          <w:b w:val="0"/>
          <w:bCs w:val="0"/>
          <w:color w:val="auto"/>
          <w:sz w:val="32"/>
          <w:szCs w:val="32"/>
          <w:highlight w:val="none"/>
          <w:lang w:val="zh-CN"/>
        </w:rPr>
        <w:fldChar w:fldCharType="end"/>
      </w:r>
      <w:r>
        <w:rPr>
          <w:rFonts w:hint="eastAsia" w:ascii="宋体" w:hAnsi="宋体" w:cs="宋体"/>
          <w:b w:val="0"/>
          <w:bCs w:val="0"/>
          <w:color w:val="auto"/>
          <w:sz w:val="32"/>
          <w:szCs w:val="32"/>
          <w:highlight w:val="none"/>
          <w:lang w:val="en-US" w:eastAsia="zh-CN"/>
        </w:rPr>
        <w:t>14</w:t>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before="0" w:after="0" w:line="560" w:lineRule="exact"/>
        <w:textAlignment w:val="auto"/>
        <w:rPr>
          <w:rFonts w:hint="default" w:ascii="宋体" w:hAnsi="宋体" w:eastAsia="宋体" w:cs="宋体"/>
          <w:b w:val="0"/>
          <w:bCs w:val="0"/>
          <w:color w:val="auto"/>
          <w:sz w:val="32"/>
          <w:szCs w:val="32"/>
          <w:highlight w:val="none"/>
          <w:lang w:val="en-US" w:eastAsia="zh-CN"/>
        </w:rPr>
      </w:pPr>
      <w:r>
        <w:rPr>
          <w:rFonts w:hint="eastAsia" w:ascii="宋体" w:hAnsi="宋体" w:cs="宋体"/>
          <w:b w:val="0"/>
          <w:bCs w:val="0"/>
          <w:color w:val="auto"/>
          <w:sz w:val="32"/>
          <w:szCs w:val="32"/>
          <w:highlight w:val="none"/>
        </w:rPr>
        <w:fldChar w:fldCharType="begin"/>
      </w:r>
      <w:r>
        <w:rPr>
          <w:rFonts w:hint="eastAsia" w:ascii="宋体" w:hAnsi="宋体" w:cs="宋体"/>
          <w:b w:val="0"/>
          <w:bCs w:val="0"/>
          <w:color w:val="auto"/>
          <w:sz w:val="32"/>
          <w:szCs w:val="32"/>
          <w:highlight w:val="none"/>
        </w:rPr>
        <w:instrText xml:space="preserve"> HYPERLINK \l _Toc29529 </w:instrText>
      </w:r>
      <w:r>
        <w:rPr>
          <w:rFonts w:hint="eastAsia" w:ascii="宋体" w:hAnsi="宋体" w:cs="宋体"/>
          <w:b w:val="0"/>
          <w:bCs w:val="0"/>
          <w:color w:val="auto"/>
          <w:sz w:val="32"/>
          <w:szCs w:val="32"/>
          <w:highlight w:val="none"/>
        </w:rPr>
        <w:fldChar w:fldCharType="separate"/>
      </w:r>
      <w:r>
        <w:rPr>
          <w:rFonts w:hint="eastAsia" w:ascii="宋体" w:hAnsi="宋体" w:cs="宋体"/>
          <w:b w:val="0"/>
          <w:bCs w:val="0"/>
          <w:color w:val="auto"/>
          <w:sz w:val="32"/>
          <w:szCs w:val="32"/>
          <w:highlight w:val="none"/>
          <w:lang w:val="en-US" w:eastAsia="zh-CN"/>
        </w:rPr>
        <w:t>七</w:t>
      </w:r>
      <w:r>
        <w:rPr>
          <w:rFonts w:hint="eastAsia" w:ascii="宋体" w:hAnsi="宋体" w:cs="宋体"/>
          <w:b w:val="0"/>
          <w:bCs w:val="0"/>
          <w:color w:val="auto"/>
          <w:sz w:val="32"/>
          <w:szCs w:val="32"/>
          <w:highlight w:val="none"/>
        </w:rPr>
        <w:t>、与现行法律、法规</w:t>
      </w:r>
      <w:r>
        <w:rPr>
          <w:rFonts w:hint="eastAsia" w:ascii="宋体" w:hAnsi="宋体" w:cs="宋体"/>
          <w:b w:val="0"/>
          <w:bCs w:val="0"/>
          <w:color w:val="auto"/>
          <w:sz w:val="32"/>
          <w:szCs w:val="32"/>
          <w:highlight w:val="none"/>
          <w:lang w:eastAsia="zh-CN"/>
        </w:rPr>
        <w:t>、</w:t>
      </w:r>
      <w:r>
        <w:rPr>
          <w:rFonts w:hint="eastAsia" w:ascii="宋体" w:hAnsi="宋体" w:cs="宋体"/>
          <w:b w:val="0"/>
          <w:bCs w:val="0"/>
          <w:color w:val="auto"/>
          <w:sz w:val="32"/>
          <w:szCs w:val="32"/>
          <w:highlight w:val="none"/>
          <w:lang w:val="en-US" w:eastAsia="zh-CN"/>
        </w:rPr>
        <w:t>强制标准</w:t>
      </w:r>
      <w:r>
        <w:rPr>
          <w:rFonts w:hint="eastAsia" w:ascii="宋体" w:hAnsi="宋体" w:cs="宋体"/>
          <w:b w:val="0"/>
          <w:bCs w:val="0"/>
          <w:color w:val="auto"/>
          <w:sz w:val="32"/>
          <w:szCs w:val="32"/>
          <w:highlight w:val="none"/>
        </w:rPr>
        <w:t>的关系</w:t>
      </w:r>
      <w:r>
        <w:rPr>
          <w:rFonts w:hint="eastAsia" w:ascii="宋体" w:hAnsi="宋体" w:cs="宋体"/>
          <w:b w:val="0"/>
          <w:bCs w:val="0"/>
          <w:color w:val="auto"/>
          <w:sz w:val="32"/>
          <w:szCs w:val="32"/>
          <w:highlight w:val="none"/>
        </w:rPr>
        <w:tab/>
      </w:r>
      <w:r>
        <w:rPr>
          <w:rFonts w:hint="eastAsia" w:ascii="宋体" w:hAnsi="宋体" w:cs="宋体"/>
          <w:b w:val="0"/>
          <w:bCs w:val="0"/>
          <w:color w:val="auto"/>
          <w:sz w:val="32"/>
          <w:szCs w:val="32"/>
          <w:highlight w:val="none"/>
        </w:rPr>
        <w:fldChar w:fldCharType="end"/>
      </w:r>
      <w:r>
        <w:rPr>
          <w:rFonts w:hint="eastAsia" w:ascii="宋体" w:hAnsi="宋体" w:cs="宋体"/>
          <w:b w:val="0"/>
          <w:bCs w:val="0"/>
          <w:color w:val="auto"/>
          <w:sz w:val="32"/>
          <w:szCs w:val="32"/>
          <w:highlight w:val="none"/>
          <w:lang w:val="en-US" w:eastAsia="zh-CN"/>
        </w:rPr>
        <w:t>14</w:t>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before="0" w:after="0" w:line="560" w:lineRule="exact"/>
        <w:textAlignment w:val="auto"/>
        <w:rPr>
          <w:rFonts w:hint="default" w:ascii="宋体" w:hAnsi="宋体" w:eastAsia="宋体" w:cs="宋体"/>
          <w:b w:val="0"/>
          <w:bCs w:val="0"/>
          <w:color w:val="auto"/>
          <w:sz w:val="32"/>
          <w:szCs w:val="32"/>
          <w:highlight w:val="none"/>
          <w:lang w:val="en-US" w:eastAsia="zh-CN"/>
        </w:rPr>
      </w:pPr>
      <w:r>
        <w:rPr>
          <w:rFonts w:hint="eastAsia" w:ascii="宋体" w:hAnsi="宋体" w:cs="宋体"/>
          <w:b w:val="0"/>
          <w:bCs w:val="0"/>
          <w:color w:val="auto"/>
          <w:sz w:val="32"/>
          <w:szCs w:val="32"/>
          <w:highlight w:val="none"/>
        </w:rPr>
        <w:fldChar w:fldCharType="begin"/>
      </w:r>
      <w:r>
        <w:rPr>
          <w:rFonts w:hint="eastAsia" w:ascii="宋体" w:hAnsi="宋体" w:cs="宋体"/>
          <w:b w:val="0"/>
          <w:bCs w:val="0"/>
          <w:color w:val="auto"/>
          <w:sz w:val="32"/>
          <w:szCs w:val="32"/>
          <w:highlight w:val="none"/>
        </w:rPr>
        <w:instrText xml:space="preserve"> HYPERLINK \l _Toc18881 </w:instrText>
      </w:r>
      <w:r>
        <w:rPr>
          <w:rFonts w:hint="eastAsia" w:ascii="宋体" w:hAnsi="宋体" w:cs="宋体"/>
          <w:b w:val="0"/>
          <w:bCs w:val="0"/>
          <w:color w:val="auto"/>
          <w:sz w:val="32"/>
          <w:szCs w:val="32"/>
          <w:highlight w:val="none"/>
        </w:rPr>
        <w:fldChar w:fldCharType="separate"/>
      </w:r>
      <w:r>
        <w:rPr>
          <w:rFonts w:hint="eastAsia" w:ascii="宋体" w:hAnsi="宋体" w:cs="宋体"/>
          <w:b w:val="0"/>
          <w:bCs w:val="0"/>
          <w:color w:val="auto"/>
          <w:sz w:val="32"/>
          <w:szCs w:val="32"/>
          <w:highlight w:val="none"/>
          <w:lang w:val="en-US" w:eastAsia="zh-CN"/>
        </w:rPr>
        <w:t>八</w:t>
      </w:r>
      <w:r>
        <w:rPr>
          <w:rFonts w:hint="eastAsia" w:ascii="宋体" w:hAnsi="宋体" w:cs="宋体"/>
          <w:b w:val="0"/>
          <w:bCs w:val="0"/>
          <w:color w:val="auto"/>
          <w:sz w:val="32"/>
          <w:szCs w:val="32"/>
          <w:highlight w:val="none"/>
        </w:rPr>
        <w:t>、</w:t>
      </w:r>
      <w:r>
        <w:rPr>
          <w:rFonts w:hint="eastAsia" w:ascii="宋体" w:hAnsi="宋体" w:cs="宋体"/>
          <w:b w:val="0"/>
          <w:bCs w:val="0"/>
          <w:color w:val="auto"/>
          <w:sz w:val="32"/>
          <w:szCs w:val="32"/>
          <w:highlight w:val="none"/>
          <w:lang w:val="zh-CN"/>
        </w:rPr>
        <w:t>是否涉及专利</w:t>
      </w:r>
      <w:r>
        <w:rPr>
          <w:rFonts w:hint="eastAsia" w:ascii="宋体" w:hAnsi="宋体" w:cs="宋体"/>
          <w:b w:val="0"/>
          <w:bCs w:val="0"/>
          <w:color w:val="auto"/>
          <w:sz w:val="32"/>
          <w:szCs w:val="32"/>
          <w:highlight w:val="none"/>
        </w:rPr>
        <w:tab/>
      </w:r>
      <w:r>
        <w:rPr>
          <w:rFonts w:hint="eastAsia" w:ascii="宋体" w:hAnsi="宋体" w:cs="宋体"/>
          <w:b w:val="0"/>
          <w:bCs w:val="0"/>
          <w:color w:val="auto"/>
          <w:sz w:val="32"/>
          <w:szCs w:val="32"/>
          <w:highlight w:val="none"/>
        </w:rPr>
        <w:fldChar w:fldCharType="end"/>
      </w:r>
      <w:r>
        <w:rPr>
          <w:rFonts w:hint="eastAsia" w:ascii="宋体" w:hAnsi="宋体" w:cs="宋体"/>
          <w:b w:val="0"/>
          <w:bCs w:val="0"/>
          <w:color w:val="auto"/>
          <w:sz w:val="32"/>
          <w:szCs w:val="32"/>
          <w:highlight w:val="none"/>
          <w:lang w:val="en-US" w:eastAsia="zh-CN"/>
        </w:rPr>
        <w:t>14</w:t>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before="0" w:after="0" w:line="560" w:lineRule="exact"/>
        <w:textAlignment w:val="auto"/>
        <w:rPr>
          <w:rFonts w:hint="default" w:ascii="宋体" w:hAnsi="宋体" w:eastAsia="宋体" w:cs="宋体"/>
          <w:b w:val="0"/>
          <w:bCs w:val="0"/>
          <w:color w:val="auto"/>
          <w:sz w:val="32"/>
          <w:szCs w:val="32"/>
          <w:highlight w:val="none"/>
          <w:lang w:val="en-US" w:eastAsia="zh-CN"/>
        </w:rPr>
      </w:pPr>
      <w:r>
        <w:rPr>
          <w:rFonts w:hint="eastAsia" w:ascii="宋体" w:hAnsi="宋体" w:cs="宋体"/>
          <w:b w:val="0"/>
          <w:bCs w:val="0"/>
          <w:color w:val="auto"/>
          <w:sz w:val="32"/>
          <w:szCs w:val="32"/>
          <w:highlight w:val="none"/>
        </w:rPr>
        <w:fldChar w:fldCharType="begin"/>
      </w:r>
      <w:r>
        <w:rPr>
          <w:rFonts w:hint="eastAsia" w:ascii="宋体" w:hAnsi="宋体" w:cs="宋体"/>
          <w:b w:val="0"/>
          <w:bCs w:val="0"/>
          <w:color w:val="auto"/>
          <w:sz w:val="32"/>
          <w:szCs w:val="32"/>
          <w:highlight w:val="none"/>
        </w:rPr>
        <w:instrText xml:space="preserve"> HYPERLINK \l _Toc13556 </w:instrText>
      </w:r>
      <w:r>
        <w:rPr>
          <w:rFonts w:hint="eastAsia" w:ascii="宋体" w:hAnsi="宋体" w:cs="宋体"/>
          <w:b w:val="0"/>
          <w:bCs w:val="0"/>
          <w:color w:val="auto"/>
          <w:sz w:val="32"/>
          <w:szCs w:val="32"/>
          <w:highlight w:val="none"/>
        </w:rPr>
        <w:fldChar w:fldCharType="separate"/>
      </w:r>
      <w:r>
        <w:rPr>
          <w:rFonts w:hint="eastAsia" w:ascii="宋体" w:hAnsi="宋体" w:cs="宋体"/>
          <w:b w:val="0"/>
          <w:bCs w:val="0"/>
          <w:color w:val="auto"/>
          <w:sz w:val="32"/>
          <w:szCs w:val="32"/>
          <w:highlight w:val="none"/>
          <w:lang w:val="en-US" w:eastAsia="zh-CN"/>
        </w:rPr>
        <w:t>九</w:t>
      </w:r>
      <w:r>
        <w:rPr>
          <w:rFonts w:hint="eastAsia" w:ascii="宋体" w:hAnsi="宋体" w:cs="宋体"/>
          <w:b w:val="0"/>
          <w:bCs w:val="0"/>
          <w:color w:val="auto"/>
          <w:sz w:val="32"/>
          <w:szCs w:val="32"/>
          <w:highlight w:val="none"/>
        </w:rPr>
        <w:t>、重大分歧意见的处理过程</w:t>
      </w:r>
      <w:r>
        <w:rPr>
          <w:rFonts w:hint="eastAsia" w:ascii="宋体" w:hAnsi="宋体" w:cs="宋体"/>
          <w:b w:val="0"/>
          <w:bCs w:val="0"/>
          <w:color w:val="auto"/>
          <w:sz w:val="32"/>
          <w:szCs w:val="32"/>
          <w:highlight w:val="none"/>
        </w:rPr>
        <w:tab/>
      </w:r>
      <w:r>
        <w:rPr>
          <w:rFonts w:hint="eastAsia" w:ascii="宋体" w:hAnsi="宋体" w:cs="宋体"/>
          <w:b w:val="0"/>
          <w:bCs w:val="0"/>
          <w:color w:val="auto"/>
          <w:sz w:val="32"/>
          <w:szCs w:val="32"/>
          <w:highlight w:val="none"/>
        </w:rPr>
        <w:fldChar w:fldCharType="end"/>
      </w:r>
      <w:r>
        <w:rPr>
          <w:rFonts w:hint="eastAsia" w:ascii="宋体" w:hAnsi="宋体" w:cs="宋体"/>
          <w:b w:val="0"/>
          <w:bCs w:val="0"/>
          <w:color w:val="auto"/>
          <w:sz w:val="32"/>
          <w:szCs w:val="32"/>
          <w:highlight w:val="none"/>
          <w:lang w:val="en-US" w:eastAsia="zh-CN"/>
        </w:rPr>
        <w:t>14</w:t>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before="0" w:after="0" w:line="560" w:lineRule="exact"/>
        <w:textAlignment w:val="auto"/>
        <w:rPr>
          <w:rFonts w:hint="default" w:ascii="宋体" w:hAnsi="宋体" w:eastAsia="宋体" w:cs="宋体"/>
          <w:b w:val="0"/>
          <w:bCs w:val="0"/>
          <w:color w:val="auto"/>
          <w:sz w:val="32"/>
          <w:szCs w:val="32"/>
          <w:highlight w:val="none"/>
          <w:lang w:val="en-US" w:eastAsia="zh-CN"/>
        </w:rPr>
      </w:pPr>
      <w:r>
        <w:rPr>
          <w:rFonts w:hint="eastAsia" w:ascii="宋体" w:hAnsi="宋体" w:cs="宋体"/>
          <w:b w:val="0"/>
          <w:bCs w:val="0"/>
          <w:color w:val="auto"/>
          <w:sz w:val="32"/>
          <w:szCs w:val="32"/>
          <w:highlight w:val="none"/>
          <w:lang w:val="zh-CN"/>
        </w:rPr>
        <w:t>十、</w:t>
      </w:r>
      <w:r>
        <w:rPr>
          <w:rFonts w:hint="eastAsia" w:ascii="宋体" w:hAnsi="宋体" w:cs="宋体"/>
          <w:b w:val="0"/>
          <w:bCs w:val="0"/>
          <w:color w:val="auto"/>
          <w:sz w:val="32"/>
          <w:szCs w:val="32"/>
          <w:highlight w:val="none"/>
        </w:rPr>
        <w:t>作为强制</w:t>
      </w:r>
      <w:r>
        <w:rPr>
          <w:rFonts w:hint="eastAsia" w:ascii="宋体" w:hAnsi="宋体" w:cs="宋体"/>
          <w:b w:val="0"/>
          <w:bCs w:val="0"/>
          <w:color w:val="auto"/>
          <w:sz w:val="32"/>
          <w:szCs w:val="32"/>
          <w:highlight w:val="none"/>
          <w:lang w:val="en-US" w:eastAsia="zh-CN"/>
        </w:rPr>
        <w:t>地方</w:t>
      </w:r>
      <w:r>
        <w:rPr>
          <w:rFonts w:hint="eastAsia" w:ascii="宋体" w:hAnsi="宋体" w:cs="宋体"/>
          <w:b w:val="0"/>
          <w:bCs w:val="0"/>
          <w:color w:val="auto"/>
          <w:sz w:val="32"/>
          <w:szCs w:val="32"/>
          <w:highlight w:val="none"/>
        </w:rPr>
        <w:t>标准的</w:t>
      </w:r>
      <w:r>
        <w:rPr>
          <w:rFonts w:hint="eastAsia" w:ascii="宋体" w:hAnsi="宋体" w:cs="宋体"/>
          <w:b w:val="0"/>
          <w:bCs w:val="0"/>
          <w:color w:val="auto"/>
          <w:sz w:val="32"/>
          <w:szCs w:val="32"/>
          <w:highlight w:val="none"/>
          <w:lang w:val="en-US" w:eastAsia="zh-CN"/>
        </w:rPr>
        <w:t>依据</w:t>
      </w:r>
      <w:r>
        <w:rPr>
          <w:rFonts w:hint="eastAsia" w:ascii="宋体" w:hAnsi="宋体" w:cs="宋体"/>
          <w:b w:val="0"/>
          <w:bCs w:val="0"/>
          <w:color w:val="auto"/>
          <w:sz w:val="32"/>
          <w:szCs w:val="32"/>
          <w:highlight w:val="none"/>
        </w:rPr>
        <w:tab/>
      </w:r>
      <w:r>
        <w:rPr>
          <w:rFonts w:hint="eastAsia" w:ascii="宋体" w:hAnsi="宋体" w:cs="宋体"/>
          <w:b w:val="0"/>
          <w:bCs w:val="0"/>
          <w:color w:val="auto"/>
          <w:sz w:val="32"/>
          <w:szCs w:val="32"/>
          <w:highlight w:val="none"/>
          <w:lang w:val="en-US" w:eastAsia="zh-CN"/>
        </w:rPr>
        <w:t>14</w:t>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before="0" w:after="0" w:line="560" w:lineRule="exact"/>
        <w:textAlignment w:val="auto"/>
        <w:rPr>
          <w:rFonts w:hint="default" w:ascii="宋体" w:hAnsi="宋体" w:eastAsia="宋体" w:cs="宋体"/>
          <w:b w:val="0"/>
          <w:bCs w:val="0"/>
          <w:color w:val="auto"/>
          <w:sz w:val="32"/>
          <w:szCs w:val="32"/>
          <w:highlight w:val="none"/>
          <w:lang w:val="en-US" w:eastAsia="zh-CN"/>
        </w:rPr>
      </w:pPr>
      <w:r>
        <w:rPr>
          <w:rFonts w:hint="eastAsia" w:ascii="宋体" w:hAnsi="宋体" w:cs="宋体"/>
          <w:b w:val="0"/>
          <w:bCs w:val="0"/>
          <w:color w:val="auto"/>
          <w:sz w:val="32"/>
          <w:szCs w:val="32"/>
          <w:highlight w:val="none"/>
          <w:lang w:val="zh-CN"/>
        </w:rPr>
        <w:t>十</w:t>
      </w:r>
      <w:r>
        <w:rPr>
          <w:rFonts w:hint="eastAsia" w:ascii="宋体" w:hAnsi="宋体" w:cs="宋体"/>
          <w:b w:val="0"/>
          <w:bCs w:val="0"/>
          <w:color w:val="auto"/>
          <w:sz w:val="32"/>
          <w:szCs w:val="32"/>
          <w:highlight w:val="none"/>
          <w:lang w:val="en-US" w:eastAsia="zh-CN"/>
        </w:rPr>
        <w:t>一</w:t>
      </w:r>
      <w:r>
        <w:rPr>
          <w:rFonts w:hint="eastAsia" w:ascii="宋体" w:hAnsi="宋体" w:cs="宋体"/>
          <w:b w:val="0"/>
          <w:bCs w:val="0"/>
          <w:color w:val="auto"/>
          <w:sz w:val="32"/>
          <w:szCs w:val="32"/>
          <w:highlight w:val="none"/>
          <w:lang w:val="zh-CN"/>
        </w:rPr>
        <w:t>、</w:t>
      </w:r>
      <w:r>
        <w:rPr>
          <w:rFonts w:hint="eastAsia" w:ascii="宋体" w:hAnsi="宋体" w:cs="宋体"/>
          <w:b w:val="0"/>
          <w:bCs w:val="0"/>
          <w:color w:val="auto"/>
          <w:sz w:val="32"/>
          <w:szCs w:val="32"/>
          <w:highlight w:val="none"/>
          <w:lang w:val="en-US" w:eastAsia="zh-CN"/>
        </w:rPr>
        <w:t>代替、</w:t>
      </w:r>
      <w:r>
        <w:rPr>
          <w:rFonts w:hint="eastAsia" w:ascii="宋体" w:hAnsi="宋体" w:cs="宋体"/>
          <w:b w:val="0"/>
          <w:bCs w:val="0"/>
          <w:color w:val="auto"/>
          <w:sz w:val="32"/>
          <w:szCs w:val="32"/>
          <w:highlight w:val="none"/>
        </w:rPr>
        <w:t>废止有关标准的建议</w:t>
      </w:r>
      <w:r>
        <w:rPr>
          <w:rFonts w:hint="eastAsia" w:ascii="宋体" w:hAnsi="宋体" w:cs="宋体"/>
          <w:b w:val="0"/>
          <w:bCs w:val="0"/>
          <w:color w:val="auto"/>
          <w:sz w:val="32"/>
          <w:szCs w:val="32"/>
          <w:highlight w:val="none"/>
        </w:rPr>
        <w:tab/>
      </w:r>
      <w:r>
        <w:rPr>
          <w:rFonts w:hint="eastAsia" w:ascii="宋体" w:hAnsi="宋体" w:cs="宋体"/>
          <w:b w:val="0"/>
          <w:bCs w:val="0"/>
          <w:color w:val="auto"/>
          <w:sz w:val="32"/>
          <w:szCs w:val="32"/>
          <w:highlight w:val="none"/>
          <w:lang w:val="en-US" w:eastAsia="zh-CN"/>
        </w:rPr>
        <w:t>14</w:t>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before="0" w:after="0" w:line="560" w:lineRule="exact"/>
        <w:textAlignment w:val="auto"/>
        <w:rPr>
          <w:rFonts w:hint="default" w:eastAsia="宋体"/>
          <w:b w:val="0"/>
          <w:bCs w:val="0"/>
          <w:color w:val="auto"/>
          <w:sz w:val="32"/>
          <w:szCs w:val="32"/>
          <w:highlight w:val="none"/>
          <w:lang w:val="en-US" w:eastAsia="zh-CN"/>
        </w:rPr>
      </w:pPr>
      <w:r>
        <w:rPr>
          <w:rFonts w:hint="eastAsia" w:ascii="宋体" w:hAnsi="宋体" w:cs="宋体"/>
          <w:b w:val="0"/>
          <w:bCs w:val="0"/>
          <w:color w:val="auto"/>
          <w:sz w:val="32"/>
          <w:szCs w:val="32"/>
          <w:highlight w:val="none"/>
          <w:lang w:val="zh-CN"/>
        </w:rPr>
        <w:t>十</w:t>
      </w:r>
      <w:r>
        <w:rPr>
          <w:rFonts w:hint="eastAsia" w:ascii="宋体" w:hAnsi="宋体" w:cs="宋体"/>
          <w:b w:val="0"/>
          <w:bCs w:val="0"/>
          <w:color w:val="auto"/>
          <w:sz w:val="32"/>
          <w:szCs w:val="32"/>
          <w:highlight w:val="none"/>
          <w:lang w:val="en-US" w:eastAsia="zh-CN"/>
        </w:rPr>
        <w:t>二</w:t>
      </w:r>
      <w:r>
        <w:rPr>
          <w:rFonts w:hint="eastAsia" w:ascii="宋体" w:hAnsi="宋体" w:cs="宋体"/>
          <w:b w:val="0"/>
          <w:bCs w:val="0"/>
          <w:color w:val="auto"/>
          <w:sz w:val="32"/>
          <w:szCs w:val="32"/>
          <w:highlight w:val="none"/>
          <w:lang w:val="zh-CN"/>
        </w:rPr>
        <w:t>、</w:t>
      </w:r>
      <w:r>
        <w:rPr>
          <w:rFonts w:hint="eastAsia" w:ascii="宋体" w:hAnsi="宋体" w:cs="宋体"/>
          <w:b w:val="0"/>
          <w:bCs w:val="0"/>
          <w:color w:val="auto"/>
          <w:sz w:val="32"/>
          <w:szCs w:val="32"/>
          <w:highlight w:val="none"/>
        </w:rPr>
        <w:t>标准实施的计划、方案</w:t>
      </w:r>
      <w:r>
        <w:rPr>
          <w:rFonts w:hint="eastAsia" w:ascii="宋体" w:hAnsi="宋体" w:cs="宋体"/>
          <w:b w:val="0"/>
          <w:bCs w:val="0"/>
          <w:color w:val="auto"/>
          <w:sz w:val="32"/>
          <w:szCs w:val="32"/>
          <w:highlight w:val="none"/>
        </w:rPr>
        <w:tab/>
      </w:r>
      <w:r>
        <w:rPr>
          <w:rFonts w:hint="eastAsia" w:ascii="宋体" w:hAnsi="宋体" w:cs="宋体"/>
          <w:b w:val="0"/>
          <w:bCs w:val="0"/>
          <w:color w:val="auto"/>
          <w:sz w:val="32"/>
          <w:szCs w:val="32"/>
          <w:highlight w:val="none"/>
          <w:lang w:val="en-US" w:eastAsia="zh-CN"/>
        </w:rPr>
        <w:t>14</w:t>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before="0" w:after="0" w:line="560" w:lineRule="exact"/>
        <w:textAlignment w:val="auto"/>
        <w:rPr>
          <w:rFonts w:hint="default" w:ascii="宋体" w:hAnsi="宋体" w:eastAsia="宋体" w:cs="宋体"/>
          <w:b w:val="0"/>
          <w:bCs w:val="0"/>
          <w:color w:val="auto"/>
          <w:sz w:val="32"/>
          <w:szCs w:val="32"/>
          <w:highlight w:val="none"/>
          <w:lang w:val="en-US" w:eastAsia="zh-CN"/>
        </w:rPr>
      </w:pPr>
      <w:r>
        <w:rPr>
          <w:rFonts w:hint="eastAsia" w:ascii="宋体" w:hAnsi="宋体" w:cs="宋体"/>
          <w:b w:val="0"/>
          <w:bCs w:val="0"/>
          <w:color w:val="auto"/>
          <w:sz w:val="32"/>
          <w:szCs w:val="32"/>
          <w:highlight w:val="none"/>
          <w:lang w:val="zh-CN"/>
        </w:rPr>
        <w:t>十</w:t>
      </w:r>
      <w:r>
        <w:rPr>
          <w:rFonts w:hint="eastAsia" w:ascii="宋体" w:hAnsi="宋体" w:cs="宋体"/>
          <w:b w:val="0"/>
          <w:bCs w:val="0"/>
          <w:color w:val="auto"/>
          <w:sz w:val="32"/>
          <w:szCs w:val="32"/>
          <w:highlight w:val="none"/>
          <w:lang w:val="en-US" w:eastAsia="zh-CN"/>
        </w:rPr>
        <w:t>三</w:t>
      </w:r>
      <w:r>
        <w:rPr>
          <w:rFonts w:hint="eastAsia" w:ascii="宋体" w:hAnsi="宋体" w:cs="宋体"/>
          <w:b w:val="0"/>
          <w:bCs w:val="0"/>
          <w:color w:val="auto"/>
          <w:sz w:val="32"/>
          <w:szCs w:val="32"/>
          <w:highlight w:val="none"/>
          <w:lang w:val="zh-CN"/>
        </w:rPr>
        <w:t>、</w:t>
      </w:r>
      <w:r>
        <w:rPr>
          <w:rFonts w:hint="eastAsia" w:ascii="宋体" w:hAnsi="宋体" w:cs="宋体"/>
          <w:b w:val="0"/>
          <w:bCs w:val="0"/>
          <w:color w:val="auto"/>
          <w:sz w:val="32"/>
          <w:szCs w:val="32"/>
          <w:highlight w:val="none"/>
        </w:rPr>
        <w:t>标准解释、归口管理及联系方式</w:t>
      </w:r>
      <w:r>
        <w:rPr>
          <w:rFonts w:hint="eastAsia" w:ascii="宋体" w:hAnsi="宋体" w:cs="宋体"/>
          <w:b w:val="0"/>
          <w:bCs w:val="0"/>
          <w:color w:val="auto"/>
          <w:sz w:val="32"/>
          <w:szCs w:val="32"/>
          <w:highlight w:val="none"/>
        </w:rPr>
        <w:tab/>
      </w:r>
      <w:r>
        <w:rPr>
          <w:rFonts w:hint="eastAsia" w:ascii="宋体" w:hAnsi="宋体" w:cs="宋体"/>
          <w:b w:val="0"/>
          <w:bCs w:val="0"/>
          <w:color w:val="auto"/>
          <w:sz w:val="32"/>
          <w:szCs w:val="32"/>
          <w:highlight w:val="none"/>
          <w:lang w:val="en-US" w:eastAsia="zh-CN"/>
        </w:rPr>
        <w:t>15</w:t>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before="0" w:after="0" w:line="560" w:lineRule="exact"/>
        <w:textAlignment w:val="auto"/>
        <w:rPr>
          <w:rFonts w:hint="default" w:ascii="宋体" w:hAnsi="宋体" w:eastAsia="宋体" w:cs="宋体"/>
          <w:b w:val="0"/>
          <w:bCs w:val="0"/>
          <w:color w:val="auto"/>
          <w:sz w:val="32"/>
          <w:szCs w:val="32"/>
          <w:highlight w:val="none"/>
          <w:lang w:val="en-US" w:eastAsia="zh-CN"/>
        </w:rPr>
      </w:pPr>
      <w:r>
        <w:rPr>
          <w:rFonts w:hint="eastAsia" w:ascii="宋体" w:hAnsi="宋体" w:cs="宋体"/>
          <w:b w:val="0"/>
          <w:bCs w:val="0"/>
          <w:color w:val="auto"/>
          <w:sz w:val="32"/>
          <w:szCs w:val="32"/>
          <w:highlight w:val="none"/>
          <w:lang w:val="zh-CN"/>
        </w:rPr>
        <w:t>十</w:t>
      </w:r>
      <w:r>
        <w:rPr>
          <w:rFonts w:hint="eastAsia" w:ascii="宋体" w:hAnsi="宋体" w:cs="宋体"/>
          <w:b w:val="0"/>
          <w:bCs w:val="0"/>
          <w:color w:val="auto"/>
          <w:sz w:val="32"/>
          <w:szCs w:val="32"/>
          <w:highlight w:val="none"/>
          <w:lang w:val="en-US" w:eastAsia="zh-CN"/>
        </w:rPr>
        <w:t>四</w:t>
      </w:r>
      <w:r>
        <w:rPr>
          <w:rFonts w:hint="eastAsia" w:ascii="宋体" w:hAnsi="宋体" w:cs="宋体"/>
          <w:b w:val="0"/>
          <w:bCs w:val="0"/>
          <w:color w:val="auto"/>
          <w:sz w:val="32"/>
          <w:szCs w:val="32"/>
          <w:highlight w:val="none"/>
          <w:lang w:val="zh-CN"/>
        </w:rPr>
        <w:t>、</w:t>
      </w:r>
      <w:r>
        <w:rPr>
          <w:rFonts w:hint="eastAsia" w:ascii="宋体" w:hAnsi="宋体" w:cs="宋体"/>
          <w:b w:val="0"/>
          <w:bCs w:val="0"/>
          <w:color w:val="auto"/>
          <w:sz w:val="32"/>
          <w:szCs w:val="32"/>
          <w:highlight w:val="none"/>
        </w:rPr>
        <w:t>其它应说明的事项</w:t>
      </w:r>
      <w:r>
        <w:rPr>
          <w:rFonts w:hint="eastAsia" w:ascii="宋体" w:hAnsi="宋体" w:cs="宋体"/>
          <w:b w:val="0"/>
          <w:bCs w:val="0"/>
          <w:color w:val="auto"/>
          <w:sz w:val="32"/>
          <w:szCs w:val="32"/>
          <w:highlight w:val="none"/>
        </w:rPr>
        <w:tab/>
      </w:r>
      <w:r>
        <w:rPr>
          <w:rFonts w:hint="eastAsia" w:ascii="宋体" w:hAnsi="宋体" w:cs="宋体"/>
          <w:b w:val="0"/>
          <w:bCs w:val="0"/>
          <w:color w:val="auto"/>
          <w:sz w:val="32"/>
          <w:szCs w:val="32"/>
          <w:highlight w:val="none"/>
          <w:lang w:val="en-US" w:eastAsia="zh-CN"/>
        </w:rPr>
        <w:t>15</w:t>
      </w:r>
    </w:p>
    <w:p>
      <w:pPr>
        <w:jc w:val="center"/>
        <w:rPr>
          <w:rFonts w:hint="eastAsia" w:ascii="宋体" w:hAnsi="宋体" w:cs="宋体"/>
          <w:b w:val="0"/>
          <w:bCs w:val="0"/>
          <w:caps/>
          <w:color w:val="auto"/>
          <w:sz w:val="32"/>
          <w:szCs w:val="32"/>
          <w:highlight w:val="none"/>
          <w:lang w:val="zh-CN"/>
        </w:rPr>
      </w:pPr>
    </w:p>
    <w:p>
      <w:pPr>
        <w:jc w:val="center"/>
        <w:rPr>
          <w:rFonts w:hint="eastAsia" w:eastAsia="黑体"/>
          <w:b/>
          <w:color w:val="auto"/>
          <w:sz w:val="32"/>
          <w:szCs w:val="32"/>
          <w:highlight w:val="none"/>
        </w:rPr>
        <w:sectPr>
          <w:footerReference r:id="rId5" w:type="default"/>
          <w:type w:val="continuous"/>
          <w:pgSz w:w="11906" w:h="16838"/>
          <w:pgMar w:top="1440" w:right="1800" w:bottom="1440" w:left="1800" w:header="851" w:footer="992" w:gutter="0"/>
          <w:pgNumType w:fmt="decimal"/>
          <w:cols w:space="425" w:num="1"/>
          <w:docGrid w:type="lines" w:linePitch="312" w:charSpace="0"/>
        </w:sectPr>
      </w:pPr>
    </w:p>
    <w:p>
      <w:pPr>
        <w:pStyle w:val="2"/>
        <w:rPr>
          <w:rFonts w:hint="eastAsia"/>
          <w:color w:val="auto"/>
          <w:highlight w:val="none"/>
        </w:rPr>
      </w:pPr>
    </w:p>
    <w:p>
      <w:pPr>
        <w:pStyle w:val="3"/>
        <w:pageBreakBefore w:val="0"/>
        <w:widowControl w:val="0"/>
        <w:kinsoku/>
        <w:wordWrap/>
        <w:overflowPunct/>
        <w:topLinePunct w:val="0"/>
        <w:autoSpaceDE/>
        <w:autoSpaceDN/>
        <w:bidi w:val="0"/>
        <w:adjustRightInd/>
        <w:snapToGrid/>
        <w:spacing w:before="0" w:after="0" w:line="540" w:lineRule="exact"/>
        <w:jc w:val="center"/>
        <w:textAlignment w:val="auto"/>
        <w:rPr>
          <w:rFonts w:hint="eastAsia" w:ascii="方正小标宋简体" w:hAnsi="方正小标宋简体" w:eastAsia="方正小标宋简体" w:cs="方正小标宋简体"/>
          <w:b w:val="0"/>
          <w:bCs w:val="0"/>
          <w:color w:val="auto"/>
          <w:sz w:val="44"/>
          <w:szCs w:val="44"/>
          <w:highlight w:val="none"/>
        </w:rPr>
      </w:pPr>
      <w:r>
        <w:rPr>
          <w:rFonts w:hint="eastAsia" w:ascii="方正小标宋简体" w:hAnsi="方正小标宋简体" w:eastAsia="方正小标宋简体" w:cs="方正小标宋简体"/>
          <w:b w:val="0"/>
          <w:bCs w:val="0"/>
          <w:color w:val="auto"/>
          <w:sz w:val="44"/>
          <w:szCs w:val="44"/>
          <w:highlight w:val="none"/>
          <w:lang w:eastAsia="zh-CN"/>
        </w:rPr>
        <w:t>贵阳市</w:t>
      </w:r>
      <w:r>
        <w:rPr>
          <w:rFonts w:hint="eastAsia" w:ascii="方正小标宋简体" w:hAnsi="方正小标宋简体" w:eastAsia="方正小标宋简体" w:cs="方正小标宋简体"/>
          <w:b w:val="0"/>
          <w:bCs w:val="0"/>
          <w:color w:val="auto"/>
          <w:sz w:val="44"/>
          <w:szCs w:val="44"/>
          <w:highlight w:val="none"/>
        </w:rPr>
        <w:t>地方标准《</w:t>
      </w:r>
      <w:bookmarkStart w:id="0" w:name="OLE_LINK1"/>
      <w:r>
        <w:rPr>
          <w:rFonts w:hint="eastAsia" w:ascii="方正小标宋简体" w:hAnsi="方正小标宋简体" w:eastAsia="方正小标宋简体" w:cs="方正小标宋简体"/>
          <w:b w:val="0"/>
          <w:bCs w:val="0"/>
          <w:sz w:val="44"/>
          <w:szCs w:val="44"/>
          <w:highlight w:val="none"/>
          <w:lang w:val="en-US" w:eastAsia="zh-CN"/>
        </w:rPr>
        <w:t>学校集中供餐管理规范</w:t>
      </w:r>
      <w:bookmarkEnd w:id="0"/>
      <w:r>
        <w:rPr>
          <w:rFonts w:hint="eastAsia" w:ascii="方正小标宋简体" w:hAnsi="方正小标宋简体" w:eastAsia="方正小标宋简体" w:cs="方正小标宋简体"/>
          <w:b w:val="0"/>
          <w:bCs w:val="0"/>
          <w:color w:val="auto"/>
          <w:sz w:val="44"/>
          <w:szCs w:val="44"/>
          <w:highlight w:val="none"/>
        </w:rPr>
        <w:t>》</w:t>
      </w:r>
    </w:p>
    <w:p>
      <w:pPr>
        <w:pStyle w:val="3"/>
        <w:pageBreakBefore w:val="0"/>
        <w:widowControl w:val="0"/>
        <w:kinsoku/>
        <w:wordWrap/>
        <w:overflowPunct/>
        <w:topLinePunct w:val="0"/>
        <w:autoSpaceDE/>
        <w:autoSpaceDN/>
        <w:bidi w:val="0"/>
        <w:adjustRightInd/>
        <w:snapToGrid/>
        <w:spacing w:before="0" w:after="0" w:line="540" w:lineRule="exact"/>
        <w:jc w:val="center"/>
        <w:textAlignment w:val="auto"/>
        <w:rPr>
          <w:rFonts w:hint="eastAsia" w:ascii="方正小标宋简体" w:hAnsi="方正小标宋简体" w:eastAsia="方正小标宋简体" w:cs="方正小标宋简体"/>
          <w:b w:val="0"/>
          <w:bCs w:val="0"/>
          <w:color w:val="auto"/>
          <w:sz w:val="44"/>
          <w:szCs w:val="44"/>
          <w:highlight w:val="none"/>
        </w:rPr>
      </w:pPr>
      <w:r>
        <w:rPr>
          <w:rFonts w:hint="eastAsia" w:ascii="方正小标宋简体" w:hAnsi="方正小标宋简体" w:eastAsia="方正小标宋简体" w:cs="方正小标宋简体"/>
          <w:b w:val="0"/>
          <w:bCs w:val="0"/>
          <w:color w:val="auto"/>
          <w:sz w:val="44"/>
          <w:szCs w:val="44"/>
          <w:highlight w:val="none"/>
          <w:lang w:eastAsia="zh-CN"/>
        </w:rPr>
        <w:t>（征求意见稿）</w:t>
      </w:r>
      <w:r>
        <w:rPr>
          <w:rFonts w:hint="eastAsia" w:ascii="方正小标宋简体" w:hAnsi="方正小标宋简体" w:eastAsia="方正小标宋简体" w:cs="方正小标宋简体"/>
          <w:b w:val="0"/>
          <w:bCs w:val="0"/>
          <w:color w:val="auto"/>
          <w:sz w:val="44"/>
          <w:szCs w:val="44"/>
          <w:highlight w:val="none"/>
        </w:rPr>
        <w:t>编制说明</w:t>
      </w:r>
    </w:p>
    <w:p>
      <w:pPr>
        <w:keepNext w:val="0"/>
        <w:keepLines w:val="0"/>
        <w:pageBreakBefore w:val="0"/>
        <w:widowControl/>
        <w:suppressLineNumbers w:val="0"/>
        <w:kinsoku/>
        <w:wordWrap/>
        <w:overflowPunct/>
        <w:topLinePunct w:val="0"/>
        <w:autoSpaceDE/>
        <w:autoSpaceDN/>
        <w:bidi w:val="0"/>
        <w:adjustRightInd/>
        <w:snapToGrid/>
        <w:spacing w:beforeAutospacing="0" w:line="540" w:lineRule="exact"/>
        <w:ind w:left="0" w:leftChars="0" w:firstLine="640" w:firstLineChars="200"/>
        <w:jc w:val="both"/>
        <w:textAlignment w:val="auto"/>
        <w:rPr>
          <w:rFonts w:hint="eastAsia" w:ascii="黑体" w:hAnsi="黑体" w:eastAsia="黑体" w:cs="黑体"/>
          <w:color w:val="auto"/>
          <w:sz w:val="32"/>
          <w:szCs w:val="32"/>
          <w:highlight w:val="none"/>
          <w:lang w:val="en-US" w:eastAsia="zh-CN"/>
        </w:rPr>
      </w:pPr>
    </w:p>
    <w:p>
      <w:pPr>
        <w:keepNext w:val="0"/>
        <w:keepLines w:val="0"/>
        <w:pageBreakBefore w:val="0"/>
        <w:widowControl/>
        <w:suppressLineNumbers w:val="0"/>
        <w:kinsoku/>
        <w:wordWrap/>
        <w:overflowPunct/>
        <w:topLinePunct w:val="0"/>
        <w:autoSpaceDE/>
        <w:autoSpaceDN/>
        <w:bidi w:val="0"/>
        <w:adjustRightInd/>
        <w:snapToGrid/>
        <w:spacing w:beforeAutospacing="0" w:line="540" w:lineRule="exact"/>
        <w:ind w:left="0" w:leftChars="0" w:firstLine="640" w:firstLineChars="200"/>
        <w:jc w:val="both"/>
        <w:textAlignment w:val="auto"/>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一、项目背景</w:t>
      </w:r>
    </w:p>
    <w:p>
      <w:pPr>
        <w:ind w:left="0" w:leftChars="0" w:firstLine="640" w:firstLineChars="200"/>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（一）学校食品安全现状</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leftChars="0" w:right="0" w:firstLine="640" w:firstLineChars="0"/>
        <w:jc w:val="both"/>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随着国家教育事业和经济不断发展，人们对学校食品安全越来越重视。学校食品安全一直都是市场监管、教育及卫生健康等相关部门工作的重中之重。2019年2月教育部、国家市场监督管理总局、国家卫生健康委员会联合发布了《学校食品安全与营养健康管理规定》，各级市场监管、教育及卫生健康部门也制定出台了系列学校食品安全管理规定。尤其是每年春、秋开学季均要加大整治力度，开展全国范围的专项排查，仍然存在食品安全主体责任落实不到位、管理措施跟不上等问题。</w:t>
      </w:r>
    </w:p>
    <w:p>
      <w:pPr>
        <w:ind w:left="0" w:leftChars="0" w:firstLine="640" w:firstLineChars="20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学校食品安全具有以下几个显著特点：一</w:t>
      </w:r>
      <w:r>
        <w:rPr>
          <w:rFonts w:hint="eastAsia" w:ascii="仿宋_GB2312" w:hAnsi="仿宋_GB2312" w:eastAsia="仿宋_GB2312" w:cs="仿宋_GB2312"/>
          <w:b/>
          <w:bCs/>
          <w:kern w:val="2"/>
          <w:sz w:val="32"/>
          <w:szCs w:val="32"/>
          <w:highlight w:val="none"/>
          <w:lang w:val="en-US" w:eastAsia="zh-CN" w:bidi="ar-SA"/>
        </w:rPr>
        <w:t>是供餐对象数量庞大。</w:t>
      </w:r>
      <w:r>
        <w:rPr>
          <w:rFonts w:hint="eastAsia" w:ascii="仿宋_GB2312" w:hAnsi="仿宋_GB2312" w:eastAsia="仿宋_GB2312" w:cs="仿宋_GB2312"/>
          <w:b w:val="0"/>
          <w:bCs w:val="0"/>
          <w:kern w:val="2"/>
          <w:sz w:val="32"/>
          <w:szCs w:val="32"/>
          <w:highlight w:val="none"/>
          <w:lang w:val="en-US" w:eastAsia="zh-CN" w:bidi="ar-SA"/>
        </w:rPr>
        <w:t>我国实行九年义务教育，学生家长也越来越重视学前教育，每年都会有数以万计的学生进入幼儿园（幼托）、小学、初中、高中、中职及大学各阶段的学习。以贵阳市为例，据不完全统计，现有幼儿园、小学、中学及职业教育学校2076所，拥有学生99万余人；</w:t>
      </w:r>
      <w:r>
        <w:rPr>
          <w:rFonts w:hint="eastAsia" w:ascii="仿宋_GB2312" w:hAnsi="仿宋_GB2312" w:eastAsia="仿宋_GB2312" w:cs="仿宋_GB2312"/>
          <w:b/>
          <w:bCs/>
          <w:kern w:val="2"/>
          <w:sz w:val="32"/>
          <w:szCs w:val="32"/>
          <w:highlight w:val="none"/>
          <w:lang w:val="en-US" w:eastAsia="zh-CN" w:bidi="ar-SA"/>
        </w:rPr>
        <w:t>二是经营形式多样。</w:t>
      </w:r>
      <w:r>
        <w:rPr>
          <w:rFonts w:hint="eastAsia" w:ascii="仿宋_GB2312" w:hAnsi="仿宋_GB2312" w:eastAsia="仿宋_GB2312" w:cs="仿宋_GB2312"/>
          <w:b w:val="0"/>
          <w:bCs w:val="0"/>
          <w:kern w:val="2"/>
          <w:sz w:val="32"/>
          <w:szCs w:val="32"/>
          <w:highlight w:val="none"/>
          <w:lang w:val="en-US" w:eastAsia="zh-CN" w:bidi="ar-SA"/>
        </w:rPr>
        <w:t>贵阳市学校就餐方式有食堂自办自管、企业集中配送、食堂委托加工三种集中供餐方式，以及实施农村义务教育营养改善计划的。60%以上的学校、73%以上的学生均是在固定时段集中就餐，具有长期、集中式供餐的特点；</w:t>
      </w:r>
      <w:r>
        <w:rPr>
          <w:rFonts w:hint="eastAsia" w:ascii="仿宋_GB2312" w:hAnsi="仿宋_GB2312" w:eastAsia="仿宋_GB2312" w:cs="仿宋_GB2312"/>
          <w:b/>
          <w:bCs/>
          <w:kern w:val="2"/>
          <w:sz w:val="32"/>
          <w:szCs w:val="32"/>
          <w:highlight w:val="none"/>
          <w:lang w:val="en-US" w:eastAsia="zh-CN" w:bidi="ar-SA"/>
        </w:rPr>
        <w:t>三是就餐人群易感。</w:t>
      </w:r>
      <w:r>
        <w:rPr>
          <w:rFonts w:hint="eastAsia" w:ascii="仿宋_GB2312" w:hAnsi="仿宋_GB2312" w:eastAsia="仿宋_GB2312" w:cs="仿宋_GB2312"/>
          <w:b w:val="0"/>
          <w:bCs w:val="0"/>
          <w:kern w:val="2"/>
          <w:sz w:val="32"/>
          <w:szCs w:val="32"/>
          <w:highlight w:val="none"/>
          <w:lang w:val="en-US" w:eastAsia="zh-CN" w:bidi="ar-SA"/>
        </w:rPr>
        <w:t>就餐对象为3-18岁青少年及儿童，自身抵抗力弱，易受疾病侵袭。例如，近年来常有诺如病毒感染引起腹泻、呕吐等事件在学校小范围爆发，主要是因为食品加工制作过程中，人员健康管理不到位、操作不规范、餐具消毒不彻底等导致食品受到病毒污染，加之学生抵抗力弱，就餐人员集中造成的；</w:t>
      </w:r>
      <w:r>
        <w:rPr>
          <w:rFonts w:hint="eastAsia" w:ascii="仿宋_GB2312" w:hAnsi="仿宋_GB2312" w:eastAsia="仿宋_GB2312" w:cs="仿宋_GB2312"/>
          <w:b/>
          <w:bCs/>
          <w:kern w:val="2"/>
          <w:sz w:val="32"/>
          <w:szCs w:val="32"/>
          <w:highlight w:val="none"/>
          <w:lang w:val="en-US" w:eastAsia="zh-CN" w:bidi="ar-SA"/>
        </w:rPr>
        <w:t>四是社会关注度高。</w:t>
      </w:r>
      <w:r>
        <w:rPr>
          <w:rFonts w:hint="eastAsia" w:ascii="仿宋_GB2312" w:hAnsi="仿宋_GB2312" w:eastAsia="仿宋_GB2312" w:cs="仿宋_GB2312"/>
          <w:b w:val="0"/>
          <w:bCs w:val="0"/>
          <w:kern w:val="2"/>
          <w:sz w:val="32"/>
          <w:szCs w:val="32"/>
          <w:highlight w:val="none"/>
          <w:lang w:val="en-US" w:eastAsia="zh-CN" w:bidi="ar-SA"/>
        </w:rPr>
        <w:t>学校食品安全直接关系到学生的健康成长，也关系到千千万万家庭的幸福安宁，更关系到社会的安稳，因此一直是社会关注的焦点。2019年个别家长摆拍学校食堂“发霉牛排”“硫磺鸡腿”“脏乱后厨”的照片，引发成都七中食品安全事件风暴，自发在家长群体为主的微信群、朋友圈爆料，推动事件发展，由此可以看出，家长们对学校食品安全问题舆论燃点很低。</w:t>
      </w:r>
    </w:p>
    <w:p>
      <w:pPr>
        <w:keepNext w:val="0"/>
        <w:keepLines w:val="0"/>
        <w:pageBreakBefore w:val="0"/>
        <w:kinsoku/>
        <w:wordWrap/>
        <w:overflowPunct/>
        <w:topLinePunct w:val="0"/>
        <w:autoSpaceDE/>
        <w:autoSpaceDN/>
        <w:bidi w:val="0"/>
        <w:adjustRightInd/>
        <w:snapToGrid/>
        <w:spacing w:line="540" w:lineRule="exact"/>
        <w:ind w:left="0" w:leftChars="0" w:firstLine="640" w:firstLineChars="200"/>
        <w:jc w:val="both"/>
        <w:textAlignment w:val="auto"/>
        <w:rPr>
          <w:rFonts w:hint="eastAsia" w:ascii="楷体" w:hAnsi="楷体" w:eastAsia="楷体" w:cs="楷体"/>
          <w:b w:val="0"/>
          <w:bCs w:val="0"/>
          <w:color w:val="auto"/>
          <w:kern w:val="0"/>
          <w:sz w:val="32"/>
          <w:szCs w:val="32"/>
          <w:highlight w:val="none"/>
        </w:rPr>
      </w:pPr>
      <w:r>
        <w:rPr>
          <w:rFonts w:hint="eastAsia" w:ascii="楷体" w:hAnsi="楷体" w:eastAsia="楷体" w:cs="楷体"/>
          <w:b w:val="0"/>
          <w:bCs w:val="0"/>
          <w:color w:val="auto"/>
          <w:kern w:val="0"/>
          <w:sz w:val="32"/>
          <w:szCs w:val="32"/>
          <w:highlight w:val="none"/>
        </w:rPr>
        <w:t>（二）</w:t>
      </w:r>
      <w:r>
        <w:rPr>
          <w:rFonts w:hint="eastAsia" w:ascii="楷体" w:hAnsi="楷体" w:eastAsia="楷体" w:cs="楷体"/>
          <w:b w:val="0"/>
          <w:bCs w:val="0"/>
          <w:color w:val="auto"/>
          <w:kern w:val="0"/>
          <w:sz w:val="32"/>
          <w:szCs w:val="32"/>
          <w:highlight w:val="none"/>
          <w:lang w:eastAsia="zh-CN"/>
        </w:rPr>
        <w:t>制订</w:t>
      </w:r>
      <w:r>
        <w:rPr>
          <w:rFonts w:hint="eastAsia" w:ascii="楷体" w:hAnsi="楷体" w:eastAsia="楷体" w:cs="楷体"/>
          <w:b w:val="0"/>
          <w:bCs w:val="0"/>
          <w:color w:val="auto"/>
          <w:kern w:val="0"/>
          <w:sz w:val="32"/>
          <w:szCs w:val="32"/>
          <w:highlight w:val="none"/>
        </w:rPr>
        <w:t>地方标准的必要性和意义</w:t>
      </w:r>
    </w:p>
    <w:p>
      <w:pPr>
        <w:ind w:left="0" w:leftChars="0" w:firstLine="640" w:firstLineChars="20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2024年调查显示，贵阳市现阶段除实施农村义务教育营养改善学校809所、26.28万学生外，其余1267所学校、72.73万学生均是采用集中供餐的方式就餐，其中，食堂自办自管学校1013所、学生数41.03万人，就餐学生数占比41%左右；校内委托加工学校139所、学生数20.96万人，就餐学生数占比21%左右；校外配餐学校112所、学生数10.27万人，就餐学生数占比10%左右。</w:t>
      </w:r>
    </w:p>
    <w:p>
      <w:pPr>
        <w:ind w:left="0" w:leftChars="0" w:firstLine="643" w:firstLineChars="20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bCs/>
          <w:kern w:val="2"/>
          <w:sz w:val="32"/>
          <w:szCs w:val="32"/>
          <w:highlight w:val="none"/>
          <w:lang w:val="en-US" w:eastAsia="zh-CN" w:bidi="ar-SA"/>
        </w:rPr>
        <w:t>1.学校集中供餐优势明显。一是</w:t>
      </w:r>
      <w:r>
        <w:rPr>
          <w:rFonts w:hint="eastAsia" w:ascii="仿宋_GB2312" w:hAnsi="仿宋_GB2312" w:eastAsia="仿宋_GB2312" w:cs="仿宋_GB2312"/>
          <w:b w:val="0"/>
          <w:bCs w:val="0"/>
          <w:kern w:val="2"/>
          <w:sz w:val="32"/>
          <w:szCs w:val="32"/>
          <w:highlight w:val="none"/>
          <w:lang w:val="en-US" w:eastAsia="zh-CN" w:bidi="ar-SA"/>
        </w:rPr>
        <w:t>学校集中供餐方便、快捷。现代社会生活节奏较快，加之城市规模扩张导致家庭、学校和工作场所较远，许多家庭没法为孩子提供午餐，学校集中供餐可以为家长解决后顾之忧，确保孩子正常饮食，也减省了孩子回家就餐的麻烦。</w:t>
      </w:r>
      <w:r>
        <w:rPr>
          <w:rFonts w:hint="eastAsia" w:ascii="仿宋_GB2312" w:hAnsi="仿宋_GB2312" w:eastAsia="仿宋_GB2312" w:cs="仿宋_GB2312"/>
          <w:b/>
          <w:bCs/>
          <w:kern w:val="2"/>
          <w:sz w:val="32"/>
          <w:szCs w:val="32"/>
          <w:highlight w:val="none"/>
          <w:lang w:val="en-US" w:eastAsia="zh-CN" w:bidi="ar-SA"/>
        </w:rPr>
        <w:t>二是</w:t>
      </w:r>
      <w:r>
        <w:rPr>
          <w:rFonts w:hint="eastAsia" w:ascii="仿宋_GB2312" w:hAnsi="仿宋_GB2312" w:eastAsia="仿宋_GB2312" w:cs="仿宋_GB2312"/>
          <w:b w:val="0"/>
          <w:bCs w:val="0"/>
          <w:kern w:val="2"/>
          <w:sz w:val="32"/>
          <w:szCs w:val="32"/>
          <w:highlight w:val="none"/>
          <w:lang w:val="en-US" w:eastAsia="zh-CN" w:bidi="ar-SA"/>
        </w:rPr>
        <w:t>科学制定菜谱，营养健康。幼儿园、小学、中学阶段的孩子都是在长身体的关键时期，营养需求较大，学校设置专职食品安全管理人员，能根据孩子营养需要，科学制定菜谱，保障孩子身体健康。</w:t>
      </w:r>
      <w:r>
        <w:rPr>
          <w:rFonts w:hint="eastAsia" w:ascii="仿宋_GB2312" w:hAnsi="仿宋_GB2312" w:eastAsia="仿宋_GB2312" w:cs="仿宋_GB2312"/>
          <w:b/>
          <w:bCs/>
          <w:kern w:val="2"/>
          <w:sz w:val="32"/>
          <w:szCs w:val="32"/>
          <w:highlight w:val="none"/>
          <w:lang w:val="en-US" w:eastAsia="zh-CN" w:bidi="ar-SA"/>
        </w:rPr>
        <w:t>三是</w:t>
      </w:r>
      <w:r>
        <w:rPr>
          <w:rFonts w:hint="eastAsia" w:ascii="仿宋_GB2312" w:hAnsi="仿宋_GB2312" w:eastAsia="仿宋_GB2312" w:cs="仿宋_GB2312"/>
          <w:b w:val="0"/>
          <w:bCs w:val="0"/>
          <w:kern w:val="2"/>
          <w:sz w:val="32"/>
          <w:szCs w:val="32"/>
          <w:highlight w:val="none"/>
          <w:lang w:val="en-US" w:eastAsia="zh-CN" w:bidi="ar-SA"/>
        </w:rPr>
        <w:t>集中采购、加工，降低人工成本。学校集中供餐用量大，可以集中采购、加工、配送、管理，提高工作效率、减少损耗，大大降低人工和运营成本。</w:t>
      </w:r>
    </w:p>
    <w:p>
      <w:pPr>
        <w:ind w:left="0" w:leftChars="0" w:firstLine="643" w:firstLineChars="200"/>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bCs/>
          <w:kern w:val="2"/>
          <w:sz w:val="32"/>
          <w:szCs w:val="32"/>
          <w:highlight w:val="none"/>
          <w:lang w:val="en-US" w:eastAsia="zh-CN" w:bidi="ar-SA"/>
        </w:rPr>
        <w:t>2.</w:t>
      </w:r>
      <w:r>
        <w:rPr>
          <w:rFonts w:hint="eastAsia" w:ascii="仿宋_GB2312" w:hAnsi="仿宋_GB2312" w:eastAsia="仿宋_GB2312" w:cs="仿宋_GB2312"/>
          <w:b w:val="0"/>
          <w:bCs w:val="0"/>
          <w:kern w:val="2"/>
          <w:sz w:val="32"/>
          <w:szCs w:val="32"/>
          <w:highlight w:val="none"/>
          <w:lang w:val="en-US" w:eastAsia="zh-CN" w:bidi="ar-SA"/>
        </w:rPr>
        <w:t>虽然学校集中供餐有诸多优点，但是学校通常将工作重心放在教学质量上，涉校企业更是注重</w:t>
      </w:r>
      <w:r>
        <w:rPr>
          <w:rFonts w:hint="eastAsia" w:ascii="仿宋_GB2312" w:hAnsi="仿宋_GB2312" w:eastAsia="仿宋_GB2312" w:cs="仿宋_GB2312"/>
          <w:b w:val="0"/>
          <w:bCs w:val="0"/>
          <w:sz w:val="32"/>
          <w:szCs w:val="32"/>
          <w:highlight w:val="none"/>
          <w:lang w:val="en-US" w:eastAsia="zh-CN"/>
        </w:rPr>
        <w:t>经济效益，可能会忽视食品安全性和管理规范性。</w:t>
      </w:r>
      <w:r>
        <w:rPr>
          <w:rFonts w:hint="eastAsia" w:ascii="仿宋_GB2312" w:hAnsi="仿宋_GB2312" w:eastAsia="仿宋_GB2312" w:cs="仿宋_GB2312"/>
          <w:b/>
          <w:bCs/>
          <w:sz w:val="32"/>
          <w:szCs w:val="32"/>
          <w:highlight w:val="none"/>
          <w:lang w:val="en-US" w:eastAsia="zh-CN"/>
        </w:rPr>
        <w:t>一是</w:t>
      </w:r>
      <w:r>
        <w:rPr>
          <w:rFonts w:hint="eastAsia" w:ascii="仿宋_GB2312" w:hAnsi="仿宋_GB2312" w:eastAsia="仿宋_GB2312" w:cs="仿宋_GB2312"/>
          <w:b w:val="0"/>
          <w:bCs w:val="0"/>
          <w:sz w:val="32"/>
          <w:szCs w:val="32"/>
          <w:highlight w:val="none"/>
          <w:lang w:val="en-US" w:eastAsia="zh-CN"/>
        </w:rPr>
        <w:t>设计不够规范。未能严格按照食品行业加工车间的标准进行空间设置和功能分区，例如生熟分区、清洁度分区、温度分区等，对水流、物流、人流等进行合理设计。</w:t>
      </w:r>
      <w:r>
        <w:rPr>
          <w:rFonts w:hint="eastAsia" w:ascii="仿宋_GB2312" w:hAnsi="仿宋_GB2312" w:eastAsia="仿宋_GB2312" w:cs="仿宋_GB2312"/>
          <w:b/>
          <w:bCs/>
          <w:sz w:val="32"/>
          <w:szCs w:val="32"/>
          <w:highlight w:val="none"/>
          <w:lang w:val="en-US" w:eastAsia="zh-CN"/>
        </w:rPr>
        <w:t>二是</w:t>
      </w:r>
      <w:r>
        <w:rPr>
          <w:rFonts w:hint="eastAsia" w:ascii="仿宋_GB2312" w:hAnsi="仿宋_GB2312" w:eastAsia="仿宋_GB2312" w:cs="仿宋_GB2312"/>
          <w:b w:val="0"/>
          <w:bCs w:val="0"/>
          <w:sz w:val="32"/>
          <w:szCs w:val="32"/>
          <w:highlight w:val="none"/>
          <w:lang w:val="en-US" w:eastAsia="zh-CN"/>
        </w:rPr>
        <w:t>学校食堂设施设备不能满足要求。部分学校修建初期未建设食堂，或学校规模扩大，现有食堂设施设备已不能满足现有学生餐食加工的需求，硬件及经费不足，从软件着手加强管理不失为良策。</w:t>
      </w:r>
      <w:r>
        <w:rPr>
          <w:rFonts w:hint="eastAsia" w:ascii="仿宋_GB2312" w:hAnsi="仿宋_GB2312" w:eastAsia="仿宋_GB2312" w:cs="仿宋_GB2312"/>
          <w:b/>
          <w:bCs/>
          <w:sz w:val="32"/>
          <w:szCs w:val="32"/>
          <w:highlight w:val="none"/>
          <w:lang w:val="en-US" w:eastAsia="zh-CN"/>
        </w:rPr>
        <w:t>三是</w:t>
      </w:r>
      <w:r>
        <w:rPr>
          <w:rFonts w:hint="eastAsia" w:ascii="仿宋_GB2312" w:hAnsi="仿宋_GB2312" w:eastAsia="仿宋_GB2312" w:cs="仿宋_GB2312"/>
          <w:b w:val="0"/>
          <w:bCs w:val="0"/>
          <w:sz w:val="32"/>
          <w:szCs w:val="32"/>
          <w:highlight w:val="none"/>
          <w:lang w:val="en-US" w:eastAsia="zh-CN"/>
        </w:rPr>
        <w:t>管理水平偏低。目前，学校食堂和集体用餐配送单位的管理水平普遍偏低，还没有上升到食品加工企业的层面进行规范，仍然存在</w:t>
      </w:r>
      <w:r>
        <w:rPr>
          <w:rFonts w:hint="eastAsia" w:ascii="仿宋_GB2312" w:hAnsi="仿宋_GB2312" w:eastAsia="仿宋_GB2312" w:cs="仿宋_GB2312"/>
          <w:b w:val="0"/>
          <w:bCs w:val="0"/>
          <w:spacing w:val="0"/>
          <w:w w:val="100"/>
          <w:kern w:val="2"/>
          <w:sz w:val="32"/>
          <w:szCs w:val="32"/>
          <w:highlight w:val="none"/>
          <w:lang w:val="en-US" w:eastAsia="zh-CN" w:bidi="ar-SA"/>
        </w:rPr>
        <w:t>场所设施设备维护不到位、采购贮存措施落实不到位、人员管理不到位及加工操作不规范等问题。</w:t>
      </w:r>
      <w:r>
        <w:rPr>
          <w:rFonts w:hint="eastAsia" w:ascii="仿宋_GB2312" w:hAnsi="仿宋_GB2312" w:eastAsia="仿宋_GB2312" w:cs="仿宋_GB2312"/>
          <w:b/>
          <w:bCs/>
          <w:sz w:val="32"/>
          <w:szCs w:val="32"/>
          <w:highlight w:val="none"/>
          <w:lang w:val="en-US" w:eastAsia="zh-CN"/>
        </w:rPr>
        <w:t>四是</w:t>
      </w:r>
      <w:r>
        <w:rPr>
          <w:rFonts w:hint="eastAsia" w:ascii="仿宋_GB2312" w:hAnsi="仿宋_GB2312" w:eastAsia="仿宋_GB2312" w:cs="仿宋_GB2312"/>
          <w:b w:val="0"/>
          <w:bCs w:val="0"/>
          <w:sz w:val="32"/>
          <w:szCs w:val="32"/>
          <w:highlight w:val="none"/>
          <w:lang w:val="en-US" w:eastAsia="zh-CN"/>
        </w:rPr>
        <w:t>标准体系不够全面。通常集体用餐配送单位都是按《食品安全国家标准 餐饮服务通用卫生规范餐饮服务食品安全操作规范》（GB 31654-2021）《餐饮服务食品安全操作规范》《食品经营许可管理办法》《中央厨房许可审查规范》相关要求来规范生产的，标准体系不健全，少有单位主动建立标准体系来提高自己的生产和管理能力。</w:t>
      </w:r>
    </w:p>
    <w:p>
      <w:pPr>
        <w:keepNext w:val="0"/>
        <w:keepLines w:val="0"/>
        <w:pageBreakBefore w:val="0"/>
        <w:kinsoku/>
        <w:wordWrap/>
        <w:overflowPunct/>
        <w:topLinePunct w:val="0"/>
        <w:autoSpaceDE/>
        <w:autoSpaceDN/>
        <w:bidi w:val="0"/>
        <w:adjustRightInd/>
        <w:snapToGrid/>
        <w:spacing w:line="540" w:lineRule="exact"/>
        <w:ind w:left="0" w:leftChars="0" w:firstLine="643" w:firstLineChars="200"/>
        <w:jc w:val="both"/>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3.规范学校集中供餐管理意义重大。</w:t>
      </w:r>
      <w:r>
        <w:rPr>
          <w:rFonts w:hint="eastAsia" w:ascii="仿宋_GB2312" w:hAnsi="仿宋_GB2312" w:eastAsia="仿宋_GB2312" w:cs="仿宋_GB2312"/>
          <w:b w:val="0"/>
          <w:bCs w:val="0"/>
          <w:sz w:val="32"/>
          <w:szCs w:val="32"/>
          <w:highlight w:val="none"/>
          <w:lang w:val="en-US" w:eastAsia="zh-CN"/>
        </w:rPr>
        <w:t>本文件拟从设施设备、人员管理、制度建设、采购管理、加工过程控制、食物配送、餐饮具消毒、就餐管理及食品安全事故应急处置等方面进行规范，提高学校集中供餐管理水平，切实保障学校食品质量安全，确保广大师生的身心健康。</w:t>
      </w:r>
    </w:p>
    <w:p>
      <w:pPr>
        <w:keepNext w:val="0"/>
        <w:keepLines w:val="0"/>
        <w:pageBreakBefore w:val="0"/>
        <w:kinsoku/>
        <w:wordWrap/>
        <w:overflowPunct/>
        <w:topLinePunct w:val="0"/>
        <w:autoSpaceDE/>
        <w:autoSpaceDN/>
        <w:bidi w:val="0"/>
        <w:adjustRightInd/>
        <w:snapToGrid/>
        <w:spacing w:line="540" w:lineRule="exact"/>
        <w:ind w:left="0" w:leftChars="0" w:firstLine="640" w:firstLineChars="200"/>
        <w:jc w:val="both"/>
        <w:textAlignment w:val="auto"/>
        <w:rPr>
          <w:rFonts w:hint="eastAsia" w:ascii="楷体" w:hAnsi="楷体" w:eastAsia="楷体" w:cs="楷体"/>
          <w:b w:val="0"/>
          <w:bCs w:val="0"/>
          <w:color w:val="auto"/>
          <w:kern w:val="0"/>
          <w:sz w:val="32"/>
          <w:szCs w:val="32"/>
          <w:highlight w:val="none"/>
        </w:rPr>
      </w:pPr>
      <w:r>
        <w:rPr>
          <w:rFonts w:hint="eastAsia" w:ascii="楷体" w:hAnsi="楷体" w:eastAsia="楷体" w:cs="楷体"/>
          <w:b w:val="0"/>
          <w:bCs w:val="0"/>
          <w:color w:val="auto"/>
          <w:kern w:val="0"/>
          <w:sz w:val="32"/>
          <w:szCs w:val="32"/>
          <w:highlight w:val="none"/>
        </w:rPr>
        <w:t>（三）主要内容</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firstLine="646" w:firstLineChars="202"/>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本标准主要分为适用范围、规范性引用文件、术语和定义、总体要求、管理要求、供餐过程管理和监督与评价七个部分，对学校集中供餐管理进行规范。主要内容如下：</w:t>
      </w:r>
    </w:p>
    <w:p>
      <w:pPr>
        <w:pStyle w:val="2"/>
        <w:ind w:left="0" w:leftChars="0" w:firstLine="643" w:firstLineChars="200"/>
        <w:rPr>
          <w:rFonts w:hint="default"/>
          <w:highlight w:val="none"/>
          <w:lang w:val="en-US" w:eastAsia="zh-CN"/>
        </w:rPr>
      </w:pPr>
      <w:r>
        <w:rPr>
          <w:rFonts w:hint="eastAsia" w:ascii="仿宋_GB2312" w:hAnsi="仿宋_GB2312" w:eastAsia="仿宋_GB2312" w:cs="仿宋_GB2312"/>
          <w:b/>
          <w:bCs/>
          <w:color w:val="auto"/>
          <w:sz w:val="32"/>
          <w:szCs w:val="32"/>
          <w:highlight w:val="none"/>
          <w:lang w:val="en-US" w:eastAsia="zh-CN"/>
        </w:rPr>
        <w:t>1.适用范围：</w:t>
      </w:r>
      <w:r>
        <w:rPr>
          <w:rFonts w:hint="eastAsia" w:ascii="仿宋_GB2312" w:hAnsi="仿宋_GB2312" w:eastAsia="仿宋_GB2312" w:cs="仿宋_GB2312"/>
          <w:color w:val="auto"/>
          <w:sz w:val="32"/>
          <w:szCs w:val="32"/>
          <w:highlight w:val="none"/>
          <w:lang w:val="en-US" w:eastAsia="zh-CN"/>
        </w:rPr>
        <w:t>明确了适用于本标准的主体对象为采用集中供餐的中、小学及幼儿园（含农村营养改善计划学校）食堂和</w:t>
      </w:r>
      <w:bookmarkStart w:id="1" w:name="OLE_LINK4"/>
      <w:r>
        <w:rPr>
          <w:rFonts w:hint="eastAsia" w:ascii="仿宋_GB2312" w:hAnsi="仿宋_GB2312" w:eastAsia="仿宋_GB2312" w:cs="仿宋_GB2312"/>
          <w:color w:val="auto"/>
          <w:sz w:val="32"/>
          <w:szCs w:val="32"/>
          <w:highlight w:val="none"/>
          <w:lang w:val="en-US" w:eastAsia="zh-CN"/>
        </w:rPr>
        <w:t>集体用餐配送单位</w:t>
      </w:r>
      <w:bookmarkEnd w:id="1"/>
      <w:r>
        <w:rPr>
          <w:rFonts w:hint="eastAsia" w:ascii="仿宋_GB2312" w:hAnsi="仿宋_GB2312" w:eastAsia="仿宋_GB2312" w:cs="仿宋_GB2312"/>
          <w:color w:val="auto"/>
          <w:sz w:val="32"/>
          <w:szCs w:val="32"/>
          <w:highlight w:val="none"/>
          <w:lang w:val="en-US" w:eastAsia="zh-CN"/>
        </w:rPr>
        <w:t>。</w:t>
      </w:r>
    </w:p>
    <w:p>
      <w:pPr>
        <w:pStyle w:val="2"/>
        <w:ind w:left="0" w:leftChars="0" w:firstLine="643"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2.总体要求：</w:t>
      </w:r>
      <w:r>
        <w:rPr>
          <w:rFonts w:hint="eastAsia" w:ascii="仿宋_GB2312" w:hAnsi="仿宋_GB2312" w:eastAsia="仿宋_GB2312" w:cs="仿宋_GB2312"/>
          <w:color w:val="auto"/>
          <w:sz w:val="32"/>
          <w:szCs w:val="32"/>
          <w:highlight w:val="none"/>
          <w:lang w:val="en-US" w:eastAsia="zh-CN"/>
        </w:rPr>
        <w:t>对学校食堂和集体用餐配送单位的主体责任做了明确规定，对人员和设备配置、食品安全责任保险、生产管理体系、营养菜谱、陪餐等方面做了一定要求。</w:t>
      </w:r>
    </w:p>
    <w:p>
      <w:pPr>
        <w:ind w:firstLine="643" w:firstLineChars="20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3.管理要求：</w:t>
      </w:r>
      <w:bookmarkStart w:id="2" w:name="OLE_LINK33"/>
      <w:r>
        <w:rPr>
          <w:rFonts w:hint="eastAsia" w:ascii="仿宋_GB2312" w:hAnsi="仿宋_GB2312" w:eastAsia="仿宋_GB2312" w:cs="仿宋_GB2312"/>
          <w:color w:val="auto"/>
          <w:kern w:val="2"/>
          <w:sz w:val="32"/>
          <w:szCs w:val="32"/>
          <w:highlight w:val="none"/>
          <w:lang w:val="en-US" w:eastAsia="zh-CN" w:bidi="ar-SA"/>
        </w:rPr>
        <w:t>对学校</w:t>
      </w:r>
      <w:r>
        <w:rPr>
          <w:rFonts w:hint="eastAsia" w:ascii="仿宋_GB2312" w:hAnsi="仿宋_GB2312" w:eastAsia="仿宋_GB2312" w:cs="仿宋_GB2312"/>
          <w:color w:val="auto"/>
          <w:sz w:val="32"/>
          <w:szCs w:val="32"/>
          <w:highlight w:val="none"/>
          <w:lang w:val="en-US" w:eastAsia="zh-CN"/>
        </w:rPr>
        <w:t>食堂和集体用餐配送单位的</w:t>
      </w:r>
      <w:r>
        <w:rPr>
          <w:rFonts w:hint="eastAsia" w:ascii="仿宋_GB2312" w:hAnsi="仿宋_GB2312" w:eastAsia="仿宋_GB2312" w:cs="仿宋_GB2312"/>
          <w:color w:val="auto"/>
          <w:kern w:val="2"/>
          <w:sz w:val="32"/>
          <w:szCs w:val="32"/>
          <w:highlight w:val="none"/>
          <w:lang w:val="en-US" w:eastAsia="zh-CN" w:bidi="ar-SA"/>
        </w:rPr>
        <w:t>场地布局与功能间设置</w:t>
      </w:r>
      <w:bookmarkEnd w:id="2"/>
      <w:r>
        <w:rPr>
          <w:rFonts w:hint="eastAsia" w:ascii="仿宋_GB2312" w:hAnsi="仿宋_GB2312" w:eastAsia="仿宋_GB2312" w:cs="仿宋_GB2312"/>
          <w:color w:val="auto"/>
          <w:kern w:val="2"/>
          <w:sz w:val="32"/>
          <w:szCs w:val="32"/>
          <w:highlight w:val="none"/>
          <w:lang w:val="en-US" w:eastAsia="zh-CN" w:bidi="ar-SA"/>
        </w:rPr>
        <w:t>、</w:t>
      </w:r>
      <w:bookmarkStart w:id="3" w:name="OLE_LINK34"/>
      <w:r>
        <w:rPr>
          <w:rFonts w:hint="eastAsia" w:ascii="仿宋_GB2312" w:hAnsi="仿宋_GB2312" w:eastAsia="仿宋_GB2312" w:cs="仿宋_GB2312"/>
          <w:color w:val="auto"/>
          <w:kern w:val="2"/>
          <w:sz w:val="32"/>
          <w:szCs w:val="32"/>
          <w:highlight w:val="none"/>
          <w:lang w:val="en-US" w:eastAsia="zh-CN" w:bidi="ar-SA"/>
        </w:rPr>
        <w:t>设施设备</w:t>
      </w:r>
      <w:bookmarkEnd w:id="3"/>
      <w:r>
        <w:rPr>
          <w:rFonts w:hint="eastAsia" w:ascii="仿宋_GB2312" w:hAnsi="仿宋_GB2312" w:eastAsia="仿宋_GB2312" w:cs="仿宋_GB2312"/>
          <w:color w:val="auto"/>
          <w:kern w:val="2"/>
          <w:sz w:val="32"/>
          <w:szCs w:val="32"/>
          <w:highlight w:val="none"/>
          <w:lang w:val="en-US" w:eastAsia="zh-CN" w:bidi="ar-SA"/>
        </w:rPr>
        <w:t>配备、制度建设、人员管理、膳食营养、</w:t>
      </w:r>
      <w:bookmarkStart w:id="4" w:name="OLE_LINK38"/>
      <w:r>
        <w:rPr>
          <w:rFonts w:hint="eastAsia" w:ascii="仿宋_GB2312" w:hAnsi="仿宋_GB2312" w:eastAsia="仿宋_GB2312" w:cs="仿宋_GB2312"/>
          <w:color w:val="auto"/>
          <w:kern w:val="2"/>
          <w:sz w:val="32"/>
          <w:szCs w:val="32"/>
          <w:highlight w:val="none"/>
          <w:lang w:val="en-US" w:eastAsia="zh-CN" w:bidi="ar-SA"/>
        </w:rPr>
        <w:t>食品添加剂</w:t>
      </w:r>
      <w:bookmarkEnd w:id="4"/>
      <w:r>
        <w:rPr>
          <w:rFonts w:hint="eastAsia" w:ascii="仿宋_GB2312" w:hAnsi="仿宋_GB2312" w:eastAsia="仿宋_GB2312" w:cs="仿宋_GB2312"/>
          <w:color w:val="auto"/>
          <w:kern w:val="2"/>
          <w:sz w:val="32"/>
          <w:szCs w:val="32"/>
          <w:highlight w:val="none"/>
          <w:lang w:val="en-US" w:eastAsia="zh-CN" w:bidi="ar-SA"/>
        </w:rPr>
        <w:t>、</w:t>
      </w:r>
      <w:bookmarkStart w:id="5" w:name="OLE_LINK39"/>
      <w:r>
        <w:rPr>
          <w:rFonts w:hint="eastAsia" w:ascii="仿宋_GB2312" w:hAnsi="仿宋_GB2312" w:eastAsia="仿宋_GB2312" w:cs="仿宋_GB2312"/>
          <w:color w:val="auto"/>
          <w:kern w:val="2"/>
          <w:sz w:val="32"/>
          <w:szCs w:val="32"/>
          <w:highlight w:val="none"/>
          <w:lang w:val="en-US" w:eastAsia="zh-CN" w:bidi="ar-SA"/>
        </w:rPr>
        <w:t>洗涤剂、消毒剂、杀虫剂和杀鼠剂</w:t>
      </w:r>
      <w:bookmarkEnd w:id="5"/>
      <w:r>
        <w:rPr>
          <w:rFonts w:hint="eastAsia" w:ascii="仿宋_GB2312" w:hAnsi="仿宋_GB2312" w:eastAsia="仿宋_GB2312" w:cs="仿宋_GB2312"/>
          <w:color w:val="auto"/>
          <w:kern w:val="2"/>
          <w:sz w:val="32"/>
          <w:szCs w:val="32"/>
          <w:highlight w:val="none"/>
          <w:lang w:val="en-US" w:eastAsia="zh-CN" w:bidi="ar-SA"/>
        </w:rPr>
        <w:t>、互联网+明厨亮灶、快速检测等方面做了规定。</w:t>
      </w:r>
    </w:p>
    <w:p>
      <w:pPr>
        <w:pStyle w:val="2"/>
        <w:ind w:left="0" w:leftChars="0" w:firstLine="643" w:firstLineChars="20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b/>
          <w:bCs/>
          <w:color w:val="auto"/>
          <w:sz w:val="32"/>
          <w:szCs w:val="32"/>
          <w:highlight w:val="none"/>
          <w:lang w:val="en-US" w:eastAsia="zh-CN"/>
        </w:rPr>
        <w:t>4.供餐过程管理：</w:t>
      </w:r>
      <w:r>
        <w:rPr>
          <w:rFonts w:hint="eastAsia" w:ascii="仿宋_GB2312" w:hAnsi="仿宋_GB2312" w:eastAsia="仿宋_GB2312" w:cs="仿宋_GB2312"/>
          <w:color w:val="auto"/>
          <w:kern w:val="2"/>
          <w:sz w:val="32"/>
          <w:szCs w:val="32"/>
          <w:highlight w:val="none"/>
          <w:lang w:val="en-US" w:eastAsia="zh-CN" w:bidi="ar-SA"/>
        </w:rPr>
        <w:t>按照学生供餐流程，从</w:t>
      </w:r>
      <w:bookmarkStart w:id="6" w:name="OLE_LINK40"/>
      <w:r>
        <w:rPr>
          <w:rFonts w:hint="eastAsia" w:ascii="仿宋_GB2312" w:hAnsi="仿宋_GB2312" w:eastAsia="仿宋_GB2312" w:cs="仿宋_GB2312"/>
          <w:color w:val="auto"/>
          <w:kern w:val="2"/>
          <w:sz w:val="32"/>
          <w:szCs w:val="32"/>
          <w:highlight w:val="none"/>
          <w:lang w:val="en-US" w:eastAsia="zh-CN" w:bidi="ar-SA"/>
        </w:rPr>
        <w:t>食品、食品添加剂及食品相关产品的采购与验收</w:t>
      </w:r>
      <w:bookmarkEnd w:id="6"/>
      <w:r>
        <w:rPr>
          <w:rFonts w:hint="eastAsia" w:ascii="仿宋_GB2312" w:hAnsi="仿宋_GB2312" w:eastAsia="仿宋_GB2312" w:cs="仿宋_GB2312"/>
          <w:color w:val="auto"/>
          <w:kern w:val="2"/>
          <w:sz w:val="32"/>
          <w:szCs w:val="32"/>
          <w:highlight w:val="none"/>
          <w:lang w:val="en-US" w:eastAsia="zh-CN" w:bidi="ar-SA"/>
        </w:rPr>
        <w:t>、</w:t>
      </w:r>
      <w:bookmarkStart w:id="7" w:name="OLE_LINK41"/>
      <w:r>
        <w:rPr>
          <w:rFonts w:hint="eastAsia" w:ascii="仿宋_GB2312" w:hAnsi="仿宋_GB2312" w:eastAsia="仿宋_GB2312" w:cs="仿宋_GB2312"/>
          <w:color w:val="auto"/>
          <w:kern w:val="2"/>
          <w:sz w:val="32"/>
          <w:szCs w:val="32"/>
          <w:highlight w:val="none"/>
          <w:lang w:val="en-US" w:eastAsia="zh-CN" w:bidi="ar-SA"/>
        </w:rPr>
        <w:t>原料贮存</w:t>
      </w:r>
      <w:bookmarkEnd w:id="7"/>
      <w:r>
        <w:rPr>
          <w:rFonts w:hint="eastAsia" w:ascii="仿宋_GB2312" w:hAnsi="仿宋_GB2312" w:eastAsia="仿宋_GB2312" w:cs="仿宋_GB2312"/>
          <w:color w:val="auto"/>
          <w:kern w:val="2"/>
          <w:sz w:val="32"/>
          <w:szCs w:val="32"/>
          <w:highlight w:val="none"/>
          <w:lang w:val="en-US" w:eastAsia="zh-CN" w:bidi="ar-SA"/>
        </w:rPr>
        <w:t>、食品加工过程、餐食成品留样、</w:t>
      </w:r>
      <w:bookmarkStart w:id="8" w:name="OLE_LINK49"/>
      <w:r>
        <w:rPr>
          <w:rFonts w:hint="eastAsia" w:ascii="仿宋_GB2312" w:hAnsi="仿宋_GB2312" w:eastAsia="仿宋_GB2312" w:cs="仿宋_GB2312"/>
          <w:color w:val="auto"/>
          <w:kern w:val="2"/>
          <w:sz w:val="32"/>
          <w:szCs w:val="32"/>
          <w:highlight w:val="none"/>
          <w:lang w:val="en-US" w:eastAsia="zh-CN" w:bidi="ar-SA"/>
        </w:rPr>
        <w:t>集体用餐配送单位的膳食配送</w:t>
      </w:r>
      <w:bookmarkEnd w:id="8"/>
      <w:r>
        <w:rPr>
          <w:rFonts w:hint="eastAsia" w:ascii="仿宋_GB2312" w:hAnsi="仿宋_GB2312" w:eastAsia="仿宋_GB2312" w:cs="仿宋_GB2312"/>
          <w:color w:val="auto"/>
          <w:kern w:val="2"/>
          <w:sz w:val="32"/>
          <w:szCs w:val="32"/>
          <w:highlight w:val="none"/>
          <w:lang w:val="en-US" w:eastAsia="zh-CN" w:bidi="ar-SA"/>
        </w:rPr>
        <w:t>、</w:t>
      </w:r>
      <w:bookmarkStart w:id="9" w:name="OLE_LINK50"/>
      <w:r>
        <w:rPr>
          <w:rFonts w:hint="eastAsia" w:ascii="仿宋_GB2312" w:hAnsi="仿宋_GB2312" w:eastAsia="仿宋_GB2312" w:cs="仿宋_GB2312"/>
          <w:color w:val="auto"/>
          <w:kern w:val="2"/>
          <w:sz w:val="32"/>
          <w:szCs w:val="32"/>
          <w:highlight w:val="none"/>
          <w:lang w:val="en-US" w:eastAsia="zh-CN" w:bidi="ar-SA"/>
        </w:rPr>
        <w:t>餐前查验</w:t>
      </w:r>
      <w:bookmarkEnd w:id="9"/>
      <w:r>
        <w:rPr>
          <w:rFonts w:hint="eastAsia" w:ascii="仿宋_GB2312" w:hAnsi="仿宋_GB2312" w:eastAsia="仿宋_GB2312" w:cs="仿宋_GB2312"/>
          <w:color w:val="auto"/>
          <w:kern w:val="2"/>
          <w:sz w:val="32"/>
          <w:szCs w:val="32"/>
          <w:highlight w:val="none"/>
          <w:lang w:val="en-US" w:eastAsia="zh-CN" w:bidi="ar-SA"/>
        </w:rPr>
        <w:t>、</w:t>
      </w:r>
      <w:bookmarkStart w:id="10" w:name="OLE_LINK51"/>
      <w:r>
        <w:rPr>
          <w:rFonts w:hint="eastAsia" w:ascii="仿宋_GB2312" w:hAnsi="仿宋_GB2312" w:eastAsia="仿宋_GB2312" w:cs="仿宋_GB2312"/>
          <w:color w:val="auto"/>
          <w:kern w:val="2"/>
          <w:sz w:val="32"/>
          <w:szCs w:val="32"/>
          <w:highlight w:val="none"/>
          <w:lang w:val="en-US" w:eastAsia="zh-CN" w:bidi="ar-SA"/>
        </w:rPr>
        <w:t>就餐管理</w:t>
      </w:r>
      <w:bookmarkEnd w:id="10"/>
      <w:r>
        <w:rPr>
          <w:rFonts w:hint="eastAsia" w:ascii="仿宋_GB2312" w:hAnsi="仿宋_GB2312" w:eastAsia="仿宋_GB2312" w:cs="仿宋_GB2312"/>
          <w:color w:val="auto"/>
          <w:kern w:val="2"/>
          <w:sz w:val="32"/>
          <w:szCs w:val="32"/>
          <w:highlight w:val="none"/>
          <w:lang w:val="en-US" w:eastAsia="zh-CN" w:bidi="ar-SA"/>
        </w:rPr>
        <w:t>、食品安全事故处理、</w:t>
      </w:r>
      <w:bookmarkStart w:id="11" w:name="OLE_LINK44"/>
      <w:r>
        <w:rPr>
          <w:rFonts w:hint="eastAsia" w:ascii="仿宋_GB2312" w:hAnsi="仿宋_GB2312" w:eastAsia="仿宋_GB2312" w:cs="仿宋_GB2312"/>
          <w:color w:val="auto"/>
          <w:kern w:val="2"/>
          <w:sz w:val="32"/>
          <w:szCs w:val="32"/>
          <w:highlight w:val="none"/>
          <w:lang w:val="en-US" w:eastAsia="zh-CN" w:bidi="ar-SA"/>
        </w:rPr>
        <w:t>餐饮具清洗消毒</w:t>
      </w:r>
      <w:bookmarkEnd w:id="11"/>
      <w:r>
        <w:rPr>
          <w:rFonts w:hint="eastAsia" w:ascii="仿宋_GB2312" w:hAnsi="仿宋_GB2312" w:eastAsia="仿宋_GB2312" w:cs="仿宋_GB2312"/>
          <w:color w:val="auto"/>
          <w:kern w:val="2"/>
          <w:sz w:val="32"/>
          <w:szCs w:val="32"/>
          <w:highlight w:val="none"/>
          <w:lang w:val="en-US" w:eastAsia="zh-CN" w:bidi="ar-SA"/>
        </w:rPr>
        <w:t>、</w:t>
      </w:r>
      <w:bookmarkStart w:id="12" w:name="OLE_LINK45"/>
      <w:r>
        <w:rPr>
          <w:rFonts w:hint="eastAsia" w:ascii="仿宋_GB2312" w:hAnsi="仿宋_GB2312" w:eastAsia="仿宋_GB2312" w:cs="仿宋_GB2312"/>
          <w:color w:val="auto"/>
          <w:kern w:val="2"/>
          <w:sz w:val="32"/>
          <w:szCs w:val="32"/>
          <w:highlight w:val="none"/>
          <w:lang w:val="en-US" w:eastAsia="zh-CN" w:bidi="ar-SA"/>
        </w:rPr>
        <w:t>餐厨废弃物管理</w:t>
      </w:r>
      <w:bookmarkEnd w:id="12"/>
      <w:r>
        <w:rPr>
          <w:rFonts w:hint="eastAsia" w:ascii="仿宋_GB2312" w:hAnsi="仿宋_GB2312" w:eastAsia="仿宋_GB2312" w:cs="仿宋_GB2312"/>
          <w:color w:val="auto"/>
          <w:kern w:val="2"/>
          <w:sz w:val="32"/>
          <w:szCs w:val="32"/>
          <w:highlight w:val="none"/>
          <w:lang w:val="en-US" w:eastAsia="zh-CN" w:bidi="ar-SA"/>
        </w:rPr>
        <w:t>、</w:t>
      </w:r>
      <w:bookmarkStart w:id="13" w:name="OLE_LINK46"/>
      <w:r>
        <w:rPr>
          <w:rFonts w:hint="eastAsia" w:ascii="仿宋_GB2312" w:hAnsi="仿宋_GB2312" w:eastAsia="仿宋_GB2312" w:cs="仿宋_GB2312"/>
          <w:color w:val="auto"/>
          <w:kern w:val="2"/>
          <w:sz w:val="32"/>
          <w:szCs w:val="32"/>
          <w:highlight w:val="none"/>
          <w:lang w:val="en-US" w:eastAsia="zh-CN" w:bidi="ar-SA"/>
        </w:rPr>
        <w:t>有害生物控制</w:t>
      </w:r>
      <w:bookmarkEnd w:id="13"/>
      <w:r>
        <w:rPr>
          <w:rFonts w:hint="eastAsia" w:ascii="仿宋_GB2312" w:hAnsi="仿宋_GB2312" w:eastAsia="仿宋_GB2312" w:cs="仿宋_GB2312"/>
          <w:color w:val="auto"/>
          <w:kern w:val="2"/>
          <w:sz w:val="32"/>
          <w:szCs w:val="32"/>
          <w:highlight w:val="none"/>
          <w:lang w:val="en-US" w:eastAsia="zh-CN" w:bidi="ar-SA"/>
        </w:rPr>
        <w:t>等各环节进行规定。</w:t>
      </w:r>
    </w:p>
    <w:p>
      <w:pPr>
        <w:keepNext w:val="0"/>
        <w:keepLines w:val="0"/>
        <w:pageBreakBefore w:val="0"/>
        <w:kinsoku/>
        <w:wordWrap/>
        <w:overflowPunct/>
        <w:topLinePunct w:val="0"/>
        <w:autoSpaceDE/>
        <w:autoSpaceDN/>
        <w:bidi w:val="0"/>
        <w:adjustRightInd/>
        <w:snapToGrid/>
        <w:spacing w:line="540" w:lineRule="exact"/>
        <w:ind w:left="0" w:leftChars="0" w:firstLine="640" w:firstLineChars="200"/>
        <w:jc w:val="both"/>
        <w:textAlignment w:val="auto"/>
        <w:rPr>
          <w:rFonts w:hint="eastAsia" w:ascii="楷体" w:hAnsi="楷体" w:eastAsia="楷体" w:cs="楷体"/>
          <w:b w:val="0"/>
          <w:bCs w:val="0"/>
          <w:color w:val="auto"/>
          <w:kern w:val="0"/>
          <w:sz w:val="32"/>
          <w:szCs w:val="32"/>
          <w:highlight w:val="none"/>
          <w:lang w:val="en-US" w:eastAsia="zh-CN"/>
        </w:rPr>
      </w:pPr>
      <w:r>
        <w:rPr>
          <w:rFonts w:hint="eastAsia" w:ascii="楷体" w:hAnsi="楷体" w:eastAsia="楷体" w:cs="楷体"/>
          <w:b w:val="0"/>
          <w:bCs w:val="0"/>
          <w:color w:val="auto"/>
          <w:kern w:val="0"/>
          <w:sz w:val="32"/>
          <w:szCs w:val="32"/>
          <w:highlight w:val="none"/>
          <w:lang w:val="en-US" w:eastAsia="zh-CN"/>
        </w:rPr>
        <w:t>（四）其它必要的情况说明</w:t>
      </w:r>
    </w:p>
    <w:p>
      <w:pPr>
        <w:ind w:left="0" w:leftChars="0" w:firstLine="640" w:firstLineChars="200"/>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无。</w:t>
      </w:r>
    </w:p>
    <w:p>
      <w:pPr>
        <w:keepNext w:val="0"/>
        <w:keepLines w:val="0"/>
        <w:pageBreakBefore w:val="0"/>
        <w:widowControl/>
        <w:suppressLineNumbers w:val="0"/>
        <w:kinsoku/>
        <w:wordWrap/>
        <w:overflowPunct/>
        <w:topLinePunct w:val="0"/>
        <w:autoSpaceDE/>
        <w:autoSpaceDN/>
        <w:bidi w:val="0"/>
        <w:adjustRightInd/>
        <w:snapToGrid/>
        <w:spacing w:beforeAutospacing="0" w:line="540" w:lineRule="exact"/>
        <w:ind w:left="0" w:leftChars="0" w:firstLine="640" w:firstLineChars="200"/>
        <w:jc w:val="both"/>
        <w:textAlignment w:val="auto"/>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二、工作简况</w:t>
      </w:r>
    </w:p>
    <w:p>
      <w:pPr>
        <w:keepNext w:val="0"/>
        <w:keepLines w:val="0"/>
        <w:pageBreakBefore w:val="0"/>
        <w:numPr>
          <w:ilvl w:val="0"/>
          <w:numId w:val="0"/>
        </w:numPr>
        <w:kinsoku/>
        <w:wordWrap/>
        <w:overflowPunct/>
        <w:topLinePunct w:val="0"/>
        <w:autoSpaceDE/>
        <w:autoSpaceDN/>
        <w:bidi w:val="0"/>
        <w:adjustRightInd/>
        <w:snapToGrid/>
        <w:spacing w:line="540" w:lineRule="exact"/>
        <w:ind w:left="0" w:leftChars="0" w:firstLine="640" w:firstLineChars="200"/>
        <w:jc w:val="both"/>
        <w:textAlignment w:val="auto"/>
        <w:rPr>
          <w:rFonts w:hint="eastAsia" w:ascii="楷体" w:hAnsi="楷体" w:eastAsia="楷体" w:cs="楷体"/>
          <w:color w:val="auto"/>
          <w:kern w:val="0"/>
          <w:sz w:val="32"/>
          <w:szCs w:val="32"/>
          <w:highlight w:val="none"/>
        </w:rPr>
      </w:pPr>
      <w:r>
        <w:rPr>
          <w:rFonts w:hint="eastAsia" w:ascii="楷体" w:hAnsi="楷体" w:eastAsia="楷体" w:cs="楷体"/>
          <w:color w:val="auto"/>
          <w:kern w:val="0"/>
          <w:sz w:val="32"/>
          <w:szCs w:val="32"/>
          <w:highlight w:val="none"/>
          <w:lang w:eastAsia="zh-CN"/>
        </w:rPr>
        <w:t>（一）</w:t>
      </w:r>
      <w:r>
        <w:rPr>
          <w:rFonts w:hint="eastAsia" w:ascii="楷体" w:hAnsi="楷体" w:eastAsia="楷体" w:cs="楷体"/>
          <w:color w:val="auto"/>
          <w:kern w:val="0"/>
          <w:sz w:val="32"/>
          <w:szCs w:val="32"/>
          <w:highlight w:val="none"/>
        </w:rPr>
        <w:t>任务来源</w:t>
      </w:r>
    </w:p>
    <w:p>
      <w:pPr>
        <w:keepNext w:val="0"/>
        <w:keepLines w:val="0"/>
        <w:pageBreakBefore w:val="0"/>
        <w:numPr>
          <w:ilvl w:val="0"/>
          <w:numId w:val="0"/>
        </w:numPr>
        <w:kinsoku/>
        <w:wordWrap/>
        <w:overflowPunct/>
        <w:topLinePunct w:val="0"/>
        <w:autoSpaceDE/>
        <w:autoSpaceDN/>
        <w:bidi w:val="0"/>
        <w:adjustRightInd/>
        <w:snapToGrid/>
        <w:spacing w:line="54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为了更好防范校园食品安全事件发生，保障广大师生身体健康，市市场监管局、市教育局委托市食品药品检验检测中心编制贵阳市地方标准《</w:t>
      </w:r>
      <w:bookmarkStart w:id="14" w:name="OLE_LINK2"/>
      <w:r>
        <w:rPr>
          <w:rFonts w:hint="eastAsia" w:ascii="仿宋_GB2312" w:hAnsi="仿宋_GB2312" w:eastAsia="仿宋_GB2312" w:cs="仿宋_GB2312"/>
          <w:color w:val="auto"/>
          <w:kern w:val="0"/>
          <w:sz w:val="32"/>
          <w:szCs w:val="32"/>
          <w:highlight w:val="none"/>
          <w:lang w:val="en-US" w:eastAsia="zh-CN"/>
        </w:rPr>
        <w:t>学校集中供餐管理</w:t>
      </w:r>
      <w:bookmarkEnd w:id="14"/>
      <w:r>
        <w:rPr>
          <w:rFonts w:hint="eastAsia" w:ascii="仿宋_GB2312" w:hAnsi="仿宋_GB2312" w:eastAsia="仿宋_GB2312" w:cs="仿宋_GB2312"/>
          <w:color w:val="auto"/>
          <w:kern w:val="0"/>
          <w:sz w:val="32"/>
          <w:szCs w:val="32"/>
          <w:highlight w:val="none"/>
          <w:lang w:val="en-US" w:eastAsia="zh-CN"/>
        </w:rPr>
        <w:t>规范》，指导学校食堂、集体用餐配送单位规范管理，系统提高学校集中供餐管理水平。鉴于此，2024年10月，市食品药品检验检测中心向市市场监管局提交了《贵阳市地方标准项目制订申报表》。2025年4月，《学校集中供餐管理规范》贵阳市地方标准获批立项。标准编制事项已纳入2025年贵阳市政府为民办十件实事。</w:t>
      </w:r>
    </w:p>
    <w:p>
      <w:pPr>
        <w:keepNext w:val="0"/>
        <w:keepLines w:val="0"/>
        <w:pageBreakBefore w:val="0"/>
        <w:numPr>
          <w:ilvl w:val="0"/>
          <w:numId w:val="0"/>
        </w:numPr>
        <w:kinsoku/>
        <w:wordWrap/>
        <w:overflowPunct/>
        <w:topLinePunct w:val="0"/>
        <w:autoSpaceDE/>
        <w:autoSpaceDN/>
        <w:bidi w:val="0"/>
        <w:adjustRightInd/>
        <w:snapToGrid/>
        <w:spacing w:line="540" w:lineRule="exact"/>
        <w:ind w:left="0" w:leftChars="0" w:firstLine="640" w:firstLineChars="200"/>
        <w:jc w:val="both"/>
        <w:textAlignment w:val="auto"/>
        <w:rPr>
          <w:rFonts w:hint="eastAsia" w:ascii="楷体" w:hAnsi="楷体" w:eastAsia="楷体" w:cs="楷体"/>
          <w:color w:val="auto"/>
          <w:kern w:val="0"/>
          <w:sz w:val="32"/>
          <w:szCs w:val="32"/>
          <w:highlight w:val="none"/>
          <w:lang w:eastAsia="zh-CN"/>
        </w:rPr>
      </w:pPr>
      <w:r>
        <w:rPr>
          <w:rFonts w:hint="eastAsia" w:ascii="楷体" w:hAnsi="楷体" w:eastAsia="楷体" w:cs="楷体"/>
          <w:color w:val="auto"/>
          <w:kern w:val="0"/>
          <w:sz w:val="32"/>
          <w:szCs w:val="32"/>
          <w:highlight w:val="none"/>
          <w:lang w:eastAsia="zh-CN"/>
        </w:rPr>
        <w:t>（二）编制过程</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标准编制主要经历了以下几个阶段：</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420" w:leftChars="200" w:firstLine="218" w:firstLineChars="68"/>
        <w:jc w:val="both"/>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1.组织起草阶段</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firstLine="643" w:firstLineChars="200"/>
        <w:jc w:val="both"/>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bCs w:val="0"/>
          <w:color w:val="auto"/>
          <w:sz w:val="32"/>
          <w:szCs w:val="32"/>
          <w:highlight w:val="none"/>
        </w:rPr>
        <w:t>①</w:t>
      </w:r>
      <w:r>
        <w:rPr>
          <w:rFonts w:hint="eastAsia" w:ascii="仿宋_GB2312" w:hAnsi="仿宋_GB2312" w:eastAsia="仿宋_GB2312" w:cs="仿宋_GB2312"/>
          <w:b/>
          <w:bCs/>
          <w:color w:val="auto"/>
          <w:sz w:val="32"/>
          <w:szCs w:val="32"/>
          <w:highlight w:val="none"/>
          <w:lang w:val="en-US" w:eastAsia="zh-CN"/>
        </w:rPr>
        <w:t>召开座谈会，调查研究。</w:t>
      </w:r>
      <w:r>
        <w:rPr>
          <w:rFonts w:hint="eastAsia" w:ascii="仿宋_GB2312" w:hAnsi="仿宋_GB2312" w:eastAsia="仿宋_GB2312" w:cs="仿宋_GB2312"/>
          <w:color w:val="auto"/>
          <w:sz w:val="32"/>
          <w:szCs w:val="32"/>
          <w:highlight w:val="none"/>
          <w:lang w:val="en-US" w:eastAsia="zh-CN"/>
        </w:rPr>
        <w:t>2024年10月-2025年4月，工作组先后调研了贵阳市采用自办自管食堂供餐的学校8所（省政府机关幼儿园、乌当新九小学、开阳七小、乌当中学、开阳四中、贵阳九中、为明学校、白云区第一高级中学），采用食堂委托加工供餐的学校2所（尚义路小学、环西小学），采用集体用餐配送单位配送的学校1所（贵阳市第十七中学），农村营养改善计划学校2所（白云区都拉小学、白云区沙文小学），以及12家集体用餐配送单位，如贵阳广垦农业发展有限公司、贵阳鑫鑫永顺餐饮有限公司、贵阳铭钰餐饮管理有限公司、贵阳广垦农业科技发展有限公司等。</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firstLine="640" w:firstLineChars="200"/>
        <w:jc w:val="both"/>
        <w:textAlignment w:val="auto"/>
        <w:rPr>
          <w:rFonts w:hint="eastAsia" w:ascii="仿宋_GB2312" w:eastAsia="仿宋_GB2312" w:cs="仿宋_GB2312"/>
          <w:color w:val="auto"/>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工作组</w:t>
      </w:r>
      <w:r>
        <w:rPr>
          <w:rFonts w:hint="eastAsia" w:ascii="仿宋_GB2312" w:hAnsi="仿宋_GB2312" w:eastAsia="仿宋_GB2312" w:cs="仿宋_GB2312"/>
          <w:color w:val="auto"/>
          <w:sz w:val="32"/>
          <w:szCs w:val="32"/>
          <w:highlight w:val="none"/>
          <w:lang w:val="en-US" w:eastAsia="zh-CN"/>
        </w:rPr>
        <w:t>进入学校食堂和集体用餐配送单位生产车间实地查看其制度规范、人员信息、设施布局、仪器设备、原料物资、备餐环境、索证索票、进货查验等情况，与学校食品安全员、师生、家长以及</w:t>
      </w:r>
      <w:bookmarkStart w:id="15" w:name="OLE_LINK5"/>
      <w:r>
        <w:rPr>
          <w:rFonts w:hint="eastAsia" w:ascii="仿宋_GB2312" w:hAnsi="仿宋_GB2312" w:eastAsia="仿宋_GB2312" w:cs="仿宋_GB2312"/>
          <w:color w:val="auto"/>
          <w:sz w:val="32"/>
          <w:szCs w:val="32"/>
          <w:highlight w:val="none"/>
          <w:lang w:val="en-US" w:eastAsia="zh-CN"/>
        </w:rPr>
        <w:t>集体用餐配送单位</w:t>
      </w:r>
      <w:bookmarkEnd w:id="15"/>
      <w:r>
        <w:rPr>
          <w:rFonts w:hint="eastAsia" w:ascii="仿宋_GB2312" w:hAnsi="仿宋_GB2312" w:eastAsia="仿宋_GB2312" w:cs="仿宋_GB2312"/>
          <w:color w:val="auto"/>
          <w:sz w:val="32"/>
          <w:szCs w:val="32"/>
          <w:highlight w:val="none"/>
          <w:lang w:val="en-US" w:eastAsia="zh-CN"/>
        </w:rPr>
        <w:t>的管理人员、车间工人开展了座谈交流，给出了在集中供餐方面存在的食品安全隐患，帮助其寻找改进的方法，同时听取了学校和企业在集中供餐方面经验做法、存在问题及意见建议。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19" w:leftChars="9" w:firstLine="617" w:firstLineChars="193"/>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eastAsia="仿宋_GB2312" w:cs="仿宋_GB2312"/>
          <w:color w:val="auto"/>
          <w:sz w:val="32"/>
          <w:szCs w:val="32"/>
          <w:highlight w:val="none"/>
          <w:lang w:val="en-US" w:eastAsia="zh-CN"/>
        </w:rPr>
        <w:t>调研结果显示，中小学、幼儿园以及集体用餐配送单位都非常支持规范学校集中供餐形成政策指引这项工作。小部分学校食堂和集体用餐配送单位拥有规范科学的质量管理体系，运行正常且有值得推广的管理经验，如贵阳为明学校，但是大部门学校食堂和集体用餐配送单位还存在管理制度流于形式、库房无温湿度监控、加工区三防设施不完善、初加工中生熟混放、餐前查验不规范、餐用具清洗不彻底等方面的问题。</w:t>
      </w:r>
    </w:p>
    <w:p>
      <w:pPr>
        <w:keepNext w:val="0"/>
        <w:keepLines w:val="0"/>
        <w:pageBreakBefore w:val="0"/>
        <w:widowControl w:val="0"/>
        <w:kinsoku/>
        <w:wordWrap/>
        <w:overflowPunct/>
        <w:topLinePunct w:val="0"/>
        <w:autoSpaceDE/>
        <w:autoSpaceDN/>
        <w:bidi w:val="0"/>
        <w:adjustRightInd/>
        <w:snapToGrid/>
        <w:spacing w:line="540" w:lineRule="exact"/>
        <w:ind w:left="0" w:firstLine="643" w:firstLineChars="200"/>
        <w:jc w:val="both"/>
        <w:textAlignment w:val="auto"/>
        <w:rPr>
          <w:rFonts w:hint="eastAsia"/>
          <w:highlight w:val="none"/>
          <w:lang w:val="en-US" w:eastAsia="zh-CN"/>
        </w:rPr>
      </w:pPr>
      <w:r>
        <w:rPr>
          <w:rFonts w:hint="eastAsia" w:ascii="仿宋_GB2312" w:hAnsi="仿宋_GB2312" w:eastAsia="仿宋_GB2312" w:cs="仿宋_GB2312"/>
          <w:b/>
          <w:bCs w:val="0"/>
          <w:color w:val="auto"/>
          <w:sz w:val="32"/>
          <w:szCs w:val="32"/>
          <w:highlight w:val="none"/>
        </w:rPr>
        <w:t>②</w:t>
      </w:r>
      <w:r>
        <w:rPr>
          <w:rFonts w:hint="eastAsia" w:ascii="仿宋" w:hAnsi="仿宋" w:eastAsia="仿宋" w:cs="仿宋"/>
          <w:b/>
          <w:bCs/>
          <w:color w:val="auto"/>
          <w:sz w:val="32"/>
          <w:szCs w:val="32"/>
          <w:highlight w:val="none"/>
        </w:rPr>
        <w:t>查阅资料</w:t>
      </w:r>
      <w:r>
        <w:rPr>
          <w:rFonts w:hint="eastAsia" w:ascii="仿宋" w:hAnsi="仿宋" w:eastAsia="仿宋" w:cs="仿宋"/>
          <w:b/>
          <w:bCs/>
          <w:color w:val="auto"/>
          <w:sz w:val="32"/>
          <w:szCs w:val="32"/>
          <w:highlight w:val="none"/>
          <w:lang w:eastAsia="zh-CN"/>
        </w:rPr>
        <w:t>，深入分析。</w:t>
      </w:r>
      <w:r>
        <w:rPr>
          <w:rFonts w:hint="eastAsia" w:ascii="仿宋_GB2312" w:hAnsi="仿宋_GB2312" w:eastAsia="仿宋_GB2312" w:cs="仿宋_GB2312"/>
          <w:bCs/>
          <w:color w:val="auto"/>
          <w:sz w:val="32"/>
          <w:szCs w:val="32"/>
          <w:highlight w:val="none"/>
          <w:lang w:val="en-US" w:eastAsia="zh-CN"/>
        </w:rPr>
        <w:t>工作组不仅</w:t>
      </w:r>
      <w:r>
        <w:rPr>
          <w:rFonts w:hint="eastAsia" w:ascii="仿宋_GB2312" w:eastAsia="仿宋_GB2312" w:cs="仿宋_GB2312"/>
          <w:color w:val="auto"/>
          <w:sz w:val="32"/>
          <w:szCs w:val="32"/>
          <w:highlight w:val="none"/>
          <w:lang w:val="en-US" w:eastAsia="zh-CN"/>
        </w:rPr>
        <w:t>查阅</w:t>
      </w:r>
      <w:r>
        <w:rPr>
          <w:rFonts w:hint="eastAsia" w:ascii="仿宋_GB2312" w:hAnsi="仿宋_GB2312" w:eastAsia="仿宋_GB2312" w:cs="仿宋_GB2312"/>
          <w:bCs/>
          <w:color w:val="auto"/>
          <w:sz w:val="32"/>
          <w:szCs w:val="32"/>
          <w:highlight w:val="none"/>
          <w:lang w:val="en-US" w:eastAsia="zh-CN"/>
        </w:rPr>
        <w:t>国内相关国家标准、行业标准和地方标准，如南京市的《集中配餐管理规范》，山西省的《中小学集体用餐加工配送操作规范》，</w:t>
      </w:r>
      <w:r>
        <w:rPr>
          <w:rFonts w:hint="eastAsia" w:ascii="仿宋_GB2312" w:eastAsia="仿宋_GB2312" w:cs="仿宋_GB2312"/>
          <w:color w:val="auto"/>
          <w:sz w:val="32"/>
          <w:szCs w:val="32"/>
          <w:highlight w:val="none"/>
          <w:lang w:val="en-US" w:eastAsia="zh-CN"/>
        </w:rPr>
        <w:t>还深入研究了</w:t>
      </w:r>
      <w:r>
        <w:rPr>
          <w:rFonts w:hint="eastAsia" w:ascii="仿宋_GB2312" w:hAnsi="仿宋_GB2312" w:eastAsia="仿宋_GB2312" w:cs="仿宋_GB2312"/>
          <w:bCs/>
          <w:color w:val="auto"/>
          <w:sz w:val="32"/>
          <w:szCs w:val="32"/>
          <w:highlight w:val="none"/>
          <w:lang w:val="en-US" w:eastAsia="zh-CN"/>
        </w:rPr>
        <w:t>国家、省、市教育部门、市场监管部门、民政部门等发布的相关文件、</w:t>
      </w:r>
      <w:r>
        <w:rPr>
          <w:rFonts w:hint="eastAsia" w:ascii="仿宋_GB2312" w:eastAsia="仿宋_GB2312" w:cs="仿宋_GB2312"/>
          <w:color w:val="auto"/>
          <w:sz w:val="32"/>
          <w:szCs w:val="32"/>
          <w:highlight w:val="none"/>
          <w:lang w:val="en-US" w:eastAsia="zh-CN"/>
        </w:rPr>
        <w:t>地方法规、规章及文献，如《贵州省关于推动学校和养老机构开展食品安全餐前查验工作的通知》《贵阳市学校集体用餐管理指导意见》《贵阳市关于开展学生餐专项整治工作的实施方案》，</w:t>
      </w:r>
      <w:r>
        <w:rPr>
          <w:rFonts w:hint="eastAsia" w:ascii="仿宋_GB2312" w:hAnsi="仿宋_GB2312" w:eastAsia="仿宋_GB2312" w:cs="仿宋_GB2312"/>
          <w:bCs/>
          <w:color w:val="auto"/>
          <w:sz w:val="32"/>
          <w:szCs w:val="32"/>
          <w:highlight w:val="none"/>
          <w:lang w:val="en-US" w:eastAsia="zh-CN"/>
        </w:rPr>
        <w:t>福建省的《供校集体用餐配送单位食品安全指南》，</w:t>
      </w:r>
      <w:r>
        <w:rPr>
          <w:rFonts w:hint="eastAsia" w:ascii="仿宋_GB2312" w:eastAsia="仿宋_GB2312" w:cs="仿宋_GB2312"/>
          <w:color w:val="auto"/>
          <w:sz w:val="32"/>
          <w:szCs w:val="32"/>
          <w:highlight w:val="none"/>
          <w:lang w:val="en-US" w:eastAsia="zh-CN"/>
        </w:rPr>
        <w:t>参考先进的管理经验的同时，结合贵阳市实际情况，制定标准。</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firstLine="643"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val="0"/>
          <w:color w:val="auto"/>
          <w:sz w:val="32"/>
          <w:szCs w:val="32"/>
          <w:highlight w:val="none"/>
        </w:rPr>
        <w:t>③综合论证</w:t>
      </w:r>
      <w:r>
        <w:rPr>
          <w:rFonts w:hint="eastAsia" w:ascii="仿宋_GB2312" w:hAnsi="仿宋_GB2312" w:eastAsia="仿宋_GB2312" w:cs="仿宋_GB2312"/>
          <w:b/>
          <w:bCs w:val="0"/>
          <w:color w:val="auto"/>
          <w:sz w:val="32"/>
          <w:szCs w:val="32"/>
          <w:highlight w:val="none"/>
          <w:lang w:eastAsia="zh-CN"/>
        </w:rPr>
        <w:t>，</w:t>
      </w:r>
      <w:r>
        <w:rPr>
          <w:rFonts w:hint="eastAsia" w:ascii="仿宋_GB2312" w:hAnsi="仿宋_GB2312" w:eastAsia="仿宋_GB2312" w:cs="仿宋_GB2312"/>
          <w:b/>
          <w:bCs w:val="0"/>
          <w:color w:val="auto"/>
          <w:sz w:val="32"/>
          <w:szCs w:val="32"/>
          <w:highlight w:val="none"/>
        </w:rPr>
        <w:t>撰写标准</w:t>
      </w:r>
      <w:r>
        <w:rPr>
          <w:rFonts w:hint="eastAsia" w:ascii="仿宋_GB2312" w:hAnsi="仿宋_GB2312" w:eastAsia="仿宋_GB2312" w:cs="仿宋_GB2312"/>
          <w:b/>
          <w:bCs w:val="0"/>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本标准主要参考了</w:t>
      </w:r>
      <w:r>
        <w:rPr>
          <w:rFonts w:hint="eastAsia" w:ascii="仿宋_GB2312" w:hAnsi="仿宋_GB2312" w:eastAsia="仿宋_GB2312" w:cs="仿宋_GB2312"/>
          <w:i w:val="0"/>
          <w:iCs w:val="0"/>
          <w:caps w:val="0"/>
          <w:smallCaps w:val="0"/>
          <w:color w:val="222222"/>
          <w:spacing w:val="0"/>
          <w:kern w:val="0"/>
          <w:sz w:val="32"/>
          <w:szCs w:val="32"/>
          <w:highlight w:val="none"/>
          <w:shd w:val="clear" w:color="auto" w:fill="FFFFFF"/>
          <w:lang w:val="en-US" w:eastAsia="zh-CN" w:bidi="ar-SA"/>
        </w:rPr>
        <w:t>福建省《供校集体用餐配送单位食品安全指南》，逐条对比</w:t>
      </w:r>
      <w:r>
        <w:rPr>
          <w:rFonts w:hint="eastAsia" w:ascii="仿宋_GB2312" w:hAnsi="仿宋_GB2312" w:eastAsia="仿宋_GB2312" w:cs="仿宋_GB2312"/>
          <w:sz w:val="32"/>
          <w:szCs w:val="32"/>
          <w:highlight w:val="none"/>
          <w:lang w:val="en-US" w:eastAsia="zh-CN"/>
        </w:rPr>
        <w:t>《食品安全国家标准 餐饮服务通用卫生规范》（</w:t>
      </w:r>
      <w:r>
        <w:rPr>
          <w:rFonts w:hint="eastAsia" w:ascii="仿宋_GB2312" w:hAnsi="仿宋_GB2312" w:eastAsia="仿宋_GB2312" w:cs="仿宋_GB2312"/>
          <w:i w:val="0"/>
          <w:iCs w:val="0"/>
          <w:caps w:val="0"/>
          <w:smallCaps w:val="0"/>
          <w:color w:val="222222"/>
          <w:spacing w:val="0"/>
          <w:kern w:val="0"/>
          <w:sz w:val="32"/>
          <w:szCs w:val="32"/>
          <w:highlight w:val="none"/>
          <w:shd w:val="clear" w:color="auto" w:fill="FFFFFF"/>
          <w:lang w:val="en-US" w:eastAsia="zh-CN" w:bidi="ar-SA"/>
        </w:rPr>
        <w:t>GB 31654-2021）和《餐饮服务食品安全操作规范》相关内容，密切结合贵阳市学校集中供餐相关规定进行编写。</w:t>
      </w:r>
      <w:r>
        <w:rPr>
          <w:rFonts w:hint="eastAsia" w:ascii="仿宋_GB2312" w:hAnsi="仿宋_GB2312" w:eastAsia="仿宋_GB2312" w:cs="仿宋_GB2312"/>
          <w:color w:val="auto"/>
          <w:sz w:val="32"/>
          <w:szCs w:val="32"/>
          <w:highlight w:val="none"/>
          <w:lang w:val="en-US" w:eastAsia="zh-CN"/>
        </w:rPr>
        <w:t>除了常规的要求外，还结合实际，在色标管理、互联网+明厨亮灶、快速检测方面做出了探索性的规定和建议。在此基础上草拟了标准初稿。</w:t>
      </w:r>
    </w:p>
    <w:p>
      <w:pPr>
        <w:keepNext w:val="0"/>
        <w:keepLines w:val="0"/>
        <w:pageBreakBefore w:val="0"/>
        <w:widowControl w:val="0"/>
        <w:kinsoku/>
        <w:wordWrap/>
        <w:overflowPunct/>
        <w:topLinePunct w:val="0"/>
        <w:autoSpaceDE/>
        <w:autoSpaceDN/>
        <w:bidi w:val="0"/>
        <w:adjustRightInd/>
        <w:snapToGrid/>
        <w:spacing w:line="540" w:lineRule="exact"/>
        <w:ind w:left="0" w:firstLine="643" w:firstLineChars="200"/>
        <w:jc w:val="both"/>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2.征求意见阶段</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为了确保标准的可操作性和实用性，工作组广泛征求了学校、学校集体用餐配送单位、相关部门和市民意见。</w:t>
      </w:r>
    </w:p>
    <w:p>
      <w:pPr>
        <w:keepNext w:val="0"/>
        <w:keepLines w:val="0"/>
        <w:pageBreakBefore w:val="0"/>
        <w:widowControl w:val="0"/>
        <w:kinsoku/>
        <w:wordWrap/>
        <w:overflowPunct/>
        <w:topLinePunct w:val="0"/>
        <w:autoSpaceDE/>
        <w:autoSpaceDN/>
        <w:bidi w:val="0"/>
        <w:adjustRightInd/>
        <w:snapToGrid/>
        <w:spacing w:line="540" w:lineRule="exact"/>
        <w:ind w:left="0" w:firstLine="643" w:firstLineChars="200"/>
        <w:jc w:val="both"/>
        <w:textAlignment w:val="auto"/>
        <w:rPr>
          <w:rFonts w:hint="eastAsia" w:asci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一是</w:t>
      </w:r>
      <w:r>
        <w:rPr>
          <w:rFonts w:hint="eastAsia" w:ascii="仿宋_GB2312" w:hAnsi="仿宋_GB2312" w:eastAsia="仿宋_GB2312" w:cs="仿宋_GB2312"/>
          <w:color w:val="auto"/>
          <w:sz w:val="32"/>
          <w:szCs w:val="32"/>
          <w:highlight w:val="none"/>
          <w:lang w:val="en-US" w:eastAsia="zh-CN"/>
        </w:rPr>
        <w:t>同省政府机关幼儿园、贵阳市白云区第一高中、贵阳市为明学校白云区沙文小学等学校食堂管理人员，以用贵阳鑫鑫永顺餐饮有限公司、贵阳广垦农业科技发展有限公司等学校集体用餐配送单位就标准草拟条款进行了逐项研讨，征求意见；</w:t>
      </w:r>
      <w:r>
        <w:rPr>
          <w:rFonts w:hint="eastAsia" w:ascii="仿宋_GB2312" w:eastAsia="仿宋_GB2312" w:cs="仿宋_GB2312"/>
          <w:b/>
          <w:bCs/>
          <w:color w:val="auto"/>
          <w:sz w:val="32"/>
          <w:szCs w:val="32"/>
          <w:highlight w:val="none"/>
          <w:lang w:val="en-US" w:eastAsia="zh-CN"/>
        </w:rPr>
        <w:t>二是</w:t>
      </w:r>
      <w:r>
        <w:rPr>
          <w:rFonts w:hint="eastAsia" w:ascii="仿宋_GB2312" w:eastAsia="仿宋_GB2312" w:cs="仿宋_GB2312"/>
          <w:color w:val="auto"/>
          <w:sz w:val="32"/>
          <w:szCs w:val="32"/>
          <w:highlight w:val="none"/>
          <w:lang w:val="en-US" w:eastAsia="zh-CN"/>
        </w:rPr>
        <w:t>定向征求了市教育局的意见；</w:t>
      </w:r>
      <w:r>
        <w:rPr>
          <w:rFonts w:hint="eastAsia" w:ascii="仿宋_GB2312" w:eastAsia="仿宋_GB2312" w:cs="仿宋_GB2312"/>
          <w:b/>
          <w:bCs/>
          <w:color w:val="auto"/>
          <w:sz w:val="32"/>
          <w:szCs w:val="32"/>
          <w:highlight w:val="none"/>
          <w:lang w:val="en-US" w:eastAsia="zh-CN"/>
        </w:rPr>
        <w:t>三是</w:t>
      </w:r>
      <w:r>
        <w:rPr>
          <w:rFonts w:hint="eastAsia" w:ascii="仿宋_GB2312" w:eastAsia="仿宋_GB2312" w:cs="仿宋_GB2312"/>
          <w:color w:val="auto"/>
          <w:sz w:val="32"/>
          <w:szCs w:val="32"/>
          <w:highlight w:val="none"/>
          <w:lang w:val="en-US" w:eastAsia="zh-CN"/>
        </w:rPr>
        <w:t>市市场监管局通过官网公开征求广大市民朋友的意见。</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jc w:val="both"/>
        <w:textAlignment w:val="auto"/>
        <w:rPr>
          <w:rFonts w:hint="eastAsia"/>
          <w:highlight w:val="none"/>
          <w:lang w:val="en-US" w:eastAsia="zh-CN"/>
        </w:rPr>
      </w:pPr>
      <w:r>
        <w:rPr>
          <w:rFonts w:hint="eastAsia" w:ascii="仿宋_GB2312" w:eastAsia="仿宋_GB2312" w:cs="仿宋_GB2312"/>
          <w:color w:val="auto"/>
          <w:sz w:val="32"/>
          <w:szCs w:val="32"/>
          <w:highlight w:val="none"/>
          <w:lang w:val="en-US" w:eastAsia="zh-CN"/>
        </w:rPr>
        <w:t>后来，结合各方反馈的意见，经工作组多次讨论修改后，最终形成了标准评审稿。</w:t>
      </w:r>
    </w:p>
    <w:p>
      <w:pPr>
        <w:pStyle w:val="2"/>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楷体" w:hAnsi="楷体" w:eastAsia="楷体" w:cs="楷体"/>
          <w:color w:val="auto"/>
          <w:sz w:val="32"/>
          <w:szCs w:val="32"/>
          <w:highlight w:val="none"/>
          <w:lang w:val="en-US" w:eastAsia="zh-CN"/>
        </w:rPr>
      </w:pPr>
      <w:r>
        <w:rPr>
          <w:rFonts w:hint="eastAsia" w:ascii="楷体" w:hAnsi="楷体" w:eastAsia="楷体" w:cs="楷体"/>
          <w:color w:val="auto"/>
          <w:sz w:val="32"/>
          <w:szCs w:val="32"/>
          <w:highlight w:val="none"/>
          <w:lang w:val="en-US" w:eastAsia="zh-CN"/>
        </w:rPr>
        <w:t>（三）主要起草人及工作分工</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本标准主要起草单位及人员一览表如下:</w:t>
      </w:r>
    </w:p>
    <w:p>
      <w:pPr>
        <w:rPr>
          <w:rFonts w:hint="eastAsia"/>
          <w:highlight w:val="none"/>
        </w:rPr>
      </w:pPr>
    </w:p>
    <w:p>
      <w:pPr>
        <w:keepNext w:val="0"/>
        <w:keepLines w:val="0"/>
        <w:pageBreakBefore w:val="0"/>
        <w:widowControl w:val="0"/>
        <w:kinsoku/>
        <w:wordWrap/>
        <w:overflowPunct/>
        <w:topLinePunct w:val="0"/>
        <w:autoSpaceDE/>
        <w:autoSpaceDN/>
        <w:bidi w:val="0"/>
        <w:adjustRightInd/>
        <w:snapToGrid/>
        <w:spacing w:line="540" w:lineRule="exact"/>
        <w:ind w:left="0" w:leftChars="0" w:firstLine="643" w:firstLineChars="200"/>
        <w:jc w:val="center"/>
        <w:textAlignment w:val="auto"/>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color w:val="auto"/>
          <w:sz w:val="32"/>
          <w:szCs w:val="32"/>
          <w:highlight w:val="none"/>
        </w:rPr>
        <w:t>主要起草单位及人员一览表</w:t>
      </w:r>
    </w:p>
    <w:tbl>
      <w:tblPr>
        <w:tblStyle w:val="10"/>
        <w:tblW w:w="89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69"/>
        <w:gridCol w:w="1245"/>
        <w:gridCol w:w="1665"/>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vAlign w:val="center"/>
          </w:tcPr>
          <w:p>
            <w:pPr>
              <w:spacing w:line="580" w:lineRule="exact"/>
              <w:jc w:val="center"/>
              <w:rPr>
                <w:rFonts w:hint="eastAsia" w:ascii="仿宋_GB2312" w:hAnsi="仿宋_GB2312" w:eastAsia="仿宋_GB2312" w:cs="仿宋_GB2312"/>
                <w:b/>
                <w:bCs w:val="0"/>
                <w:color w:val="auto"/>
                <w:sz w:val="24"/>
                <w:szCs w:val="24"/>
                <w:highlight w:val="none"/>
              </w:rPr>
            </w:pPr>
            <w:r>
              <w:rPr>
                <w:rFonts w:hint="eastAsia" w:ascii="仿宋_GB2312" w:hAnsi="仿宋_GB2312" w:eastAsia="仿宋_GB2312" w:cs="仿宋_GB2312"/>
                <w:b/>
                <w:bCs w:val="0"/>
                <w:color w:val="auto"/>
                <w:kern w:val="0"/>
                <w:sz w:val="24"/>
                <w:szCs w:val="24"/>
                <w:highlight w:val="none"/>
              </w:rPr>
              <w:t>主要起草单位</w:t>
            </w:r>
          </w:p>
        </w:tc>
        <w:tc>
          <w:tcPr>
            <w:tcW w:w="1245" w:type="dxa"/>
            <w:vAlign w:val="center"/>
          </w:tcPr>
          <w:p>
            <w:pPr>
              <w:spacing w:line="580" w:lineRule="exact"/>
              <w:jc w:val="center"/>
              <w:rPr>
                <w:rFonts w:hint="eastAsia" w:ascii="仿宋_GB2312" w:hAnsi="仿宋_GB2312" w:eastAsia="仿宋_GB2312" w:cs="仿宋_GB2312"/>
                <w:b/>
                <w:bCs w:val="0"/>
                <w:color w:val="auto"/>
                <w:sz w:val="24"/>
                <w:szCs w:val="24"/>
                <w:highlight w:val="none"/>
                <w:vertAlign w:val="baseline"/>
                <w:lang w:val="en-US" w:eastAsia="zh-CN"/>
              </w:rPr>
            </w:pPr>
            <w:r>
              <w:rPr>
                <w:rFonts w:hint="eastAsia" w:ascii="仿宋_GB2312" w:hAnsi="仿宋_GB2312" w:eastAsia="仿宋_GB2312" w:cs="仿宋_GB2312"/>
                <w:b/>
                <w:bCs w:val="0"/>
                <w:color w:val="auto"/>
                <w:sz w:val="24"/>
                <w:szCs w:val="24"/>
                <w:highlight w:val="none"/>
                <w:lang w:val="en-US" w:eastAsia="zh-CN"/>
              </w:rPr>
              <w:t>起草人员</w:t>
            </w:r>
          </w:p>
        </w:tc>
        <w:tc>
          <w:tcPr>
            <w:tcW w:w="1665" w:type="dxa"/>
            <w:vAlign w:val="center"/>
          </w:tcPr>
          <w:p>
            <w:pPr>
              <w:spacing w:line="580" w:lineRule="exact"/>
              <w:jc w:val="center"/>
              <w:rPr>
                <w:rFonts w:hint="eastAsia" w:ascii="仿宋_GB2312" w:hAnsi="仿宋_GB2312" w:eastAsia="仿宋_GB2312" w:cs="仿宋_GB2312"/>
                <w:b/>
                <w:bCs w:val="0"/>
                <w:color w:val="auto"/>
                <w:sz w:val="24"/>
                <w:szCs w:val="24"/>
                <w:highlight w:val="none"/>
                <w:vertAlign w:val="baseline"/>
                <w:lang w:val="en-US" w:eastAsia="zh-CN"/>
              </w:rPr>
            </w:pPr>
            <w:r>
              <w:rPr>
                <w:rFonts w:hint="eastAsia" w:ascii="仿宋_GB2312" w:hAnsi="仿宋_GB2312" w:eastAsia="仿宋_GB2312" w:cs="仿宋_GB2312"/>
                <w:b/>
                <w:bCs w:val="0"/>
                <w:color w:val="auto"/>
                <w:sz w:val="24"/>
                <w:szCs w:val="24"/>
                <w:highlight w:val="none"/>
              </w:rPr>
              <w:t>职称</w:t>
            </w:r>
            <w:r>
              <w:rPr>
                <w:rFonts w:hint="eastAsia" w:ascii="仿宋_GB2312" w:hAnsi="仿宋_GB2312" w:eastAsia="仿宋_GB2312" w:cs="仿宋_GB2312"/>
                <w:b/>
                <w:bCs w:val="0"/>
                <w:color w:val="auto"/>
                <w:sz w:val="24"/>
                <w:szCs w:val="24"/>
                <w:highlight w:val="none"/>
                <w:lang w:val="en-US" w:eastAsia="zh-CN"/>
              </w:rPr>
              <w:t>/职务</w:t>
            </w:r>
          </w:p>
        </w:tc>
        <w:tc>
          <w:tcPr>
            <w:tcW w:w="2375" w:type="dxa"/>
            <w:vAlign w:val="center"/>
          </w:tcPr>
          <w:p>
            <w:pPr>
              <w:spacing w:line="580" w:lineRule="exact"/>
              <w:jc w:val="center"/>
              <w:rPr>
                <w:rFonts w:hint="eastAsia" w:ascii="仿宋_GB2312" w:hAnsi="仿宋_GB2312" w:eastAsia="仿宋_GB2312" w:cs="仿宋_GB2312"/>
                <w:b/>
                <w:bCs w:val="0"/>
                <w:color w:val="auto"/>
                <w:sz w:val="24"/>
                <w:szCs w:val="24"/>
                <w:highlight w:val="none"/>
                <w:vertAlign w:val="baseline"/>
                <w:lang w:val="en-US" w:eastAsia="zh-CN"/>
              </w:rPr>
            </w:pPr>
            <w:r>
              <w:rPr>
                <w:rFonts w:hint="eastAsia" w:ascii="仿宋_GB2312" w:hAnsi="仿宋_GB2312" w:eastAsia="仿宋_GB2312" w:cs="仿宋_GB2312"/>
                <w:b/>
                <w:bCs w:val="0"/>
                <w:color w:val="auto"/>
                <w:sz w:val="24"/>
                <w:szCs w:val="24"/>
                <w:highlight w:val="none"/>
                <w:lang w:val="en-US" w:eastAsia="zh-CN"/>
              </w:rPr>
              <w:t>任务分工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vAlign w:val="center"/>
          </w:tcPr>
          <w:p>
            <w:pPr>
              <w:spacing w:line="580" w:lineRule="exact"/>
              <w:jc w:val="center"/>
              <w:rPr>
                <w:rFonts w:hint="eastAsia" w:ascii="仿宋_GB2312" w:hAnsi="仿宋_GB2312" w:eastAsia="仿宋_GB2312" w:cs="仿宋_GB2312"/>
                <w:b w:val="0"/>
                <w:bCs/>
                <w:color w:val="auto"/>
                <w:sz w:val="24"/>
                <w:szCs w:val="24"/>
                <w:highlight w:val="none"/>
                <w:lang w:val="en-US" w:eastAsia="zh-CN"/>
              </w:rPr>
            </w:pPr>
            <w:r>
              <w:rPr>
                <w:rFonts w:hint="eastAsia" w:ascii="仿宋_GB2312" w:hAnsi="仿宋_GB2312" w:eastAsia="仿宋_GB2312" w:cs="仿宋_GB2312"/>
                <w:b w:val="0"/>
                <w:bCs/>
                <w:color w:val="auto"/>
                <w:sz w:val="24"/>
                <w:szCs w:val="24"/>
                <w:highlight w:val="none"/>
                <w:lang w:val="en-US" w:eastAsia="zh-CN"/>
              </w:rPr>
              <w:t>贵阳市食品药品检验检测中心</w:t>
            </w:r>
          </w:p>
        </w:tc>
        <w:tc>
          <w:tcPr>
            <w:tcW w:w="1245" w:type="dxa"/>
            <w:vAlign w:val="center"/>
          </w:tcPr>
          <w:p>
            <w:pPr>
              <w:spacing w:line="580" w:lineRule="exact"/>
              <w:jc w:val="center"/>
              <w:rPr>
                <w:rFonts w:hint="eastAsia" w:ascii="仿宋_GB2312" w:hAnsi="仿宋_GB2312" w:eastAsia="仿宋_GB2312" w:cs="仿宋_GB2312"/>
                <w:b w:val="0"/>
                <w:bCs/>
                <w:color w:val="auto"/>
                <w:sz w:val="24"/>
                <w:szCs w:val="24"/>
                <w:highlight w:val="none"/>
                <w:vertAlign w:val="baseline"/>
              </w:rPr>
            </w:pPr>
            <w:r>
              <w:rPr>
                <w:rFonts w:hint="eastAsia" w:ascii="仿宋_GB2312" w:hAnsi="仿宋_GB2312" w:eastAsia="仿宋_GB2312" w:cs="仿宋_GB2312"/>
                <w:b w:val="0"/>
                <w:bCs/>
                <w:sz w:val="24"/>
                <w:szCs w:val="24"/>
                <w:highlight w:val="none"/>
                <w:lang w:val="en-US" w:eastAsia="zh-CN"/>
              </w:rPr>
              <w:t>李雪芹</w:t>
            </w:r>
          </w:p>
        </w:tc>
        <w:tc>
          <w:tcPr>
            <w:tcW w:w="1665" w:type="dxa"/>
            <w:vAlign w:val="center"/>
          </w:tcPr>
          <w:p>
            <w:pPr>
              <w:spacing w:line="580" w:lineRule="exact"/>
              <w:jc w:val="center"/>
              <w:rPr>
                <w:rFonts w:hint="eastAsia" w:ascii="仿宋_GB2312" w:hAnsi="仿宋_GB2312" w:eastAsia="仿宋_GB2312" w:cs="仿宋_GB2312"/>
                <w:b w:val="0"/>
                <w:bCs/>
                <w:color w:val="auto"/>
                <w:sz w:val="24"/>
                <w:szCs w:val="24"/>
                <w:highlight w:val="none"/>
                <w:vertAlign w:val="baseline"/>
              </w:rPr>
            </w:pPr>
            <w:r>
              <w:rPr>
                <w:rFonts w:hint="eastAsia" w:ascii="仿宋_GB2312" w:hAnsi="仿宋_GB2312" w:eastAsia="仿宋_GB2312" w:cs="仿宋_GB2312"/>
                <w:b w:val="0"/>
                <w:bCs/>
                <w:sz w:val="24"/>
                <w:szCs w:val="24"/>
                <w:highlight w:val="none"/>
                <w:lang w:val="en-US" w:eastAsia="zh-CN"/>
              </w:rPr>
              <w:t>高级工程师</w:t>
            </w:r>
          </w:p>
        </w:tc>
        <w:tc>
          <w:tcPr>
            <w:tcW w:w="2375" w:type="dxa"/>
            <w:vAlign w:val="center"/>
          </w:tcPr>
          <w:p>
            <w:pPr>
              <w:spacing w:line="580" w:lineRule="exact"/>
              <w:jc w:val="center"/>
              <w:rPr>
                <w:rFonts w:hint="eastAsia" w:ascii="仿宋_GB2312" w:hAnsi="仿宋_GB2312" w:eastAsia="仿宋_GB2312" w:cs="仿宋_GB2312"/>
                <w:b w:val="0"/>
                <w:bCs/>
                <w:color w:val="auto"/>
                <w:sz w:val="24"/>
                <w:szCs w:val="24"/>
                <w:highlight w:val="none"/>
                <w:vertAlign w:val="baseline"/>
                <w:lang w:val="en-US"/>
              </w:rPr>
            </w:pPr>
            <w:r>
              <w:rPr>
                <w:rFonts w:hint="eastAsia" w:ascii="仿宋_GB2312" w:hAnsi="仿宋_GB2312" w:eastAsia="仿宋_GB2312" w:cs="仿宋_GB2312"/>
                <w:b w:val="0"/>
                <w:bCs/>
                <w:color w:val="auto"/>
                <w:sz w:val="24"/>
                <w:szCs w:val="24"/>
                <w:highlight w:val="none"/>
                <w:lang w:val="en-US" w:eastAsia="zh-CN"/>
              </w:rPr>
              <w:t>标准起草、调研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vAlign w:val="center"/>
          </w:tcPr>
          <w:p>
            <w:pPr>
              <w:spacing w:line="580" w:lineRule="exact"/>
              <w:jc w:val="center"/>
              <w:rPr>
                <w:rFonts w:hint="eastAsia" w:ascii="仿宋_GB2312" w:hAnsi="仿宋_GB2312" w:eastAsia="仿宋_GB2312" w:cs="仿宋_GB2312"/>
                <w:b w:val="0"/>
                <w:bCs/>
                <w:color w:val="auto"/>
                <w:kern w:val="2"/>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rPr>
              <w:t>贵阳市食品药品检验检测中心</w:t>
            </w:r>
          </w:p>
        </w:tc>
        <w:tc>
          <w:tcPr>
            <w:tcW w:w="1245" w:type="dxa"/>
            <w:vAlign w:val="center"/>
          </w:tcPr>
          <w:p>
            <w:pPr>
              <w:spacing w:line="580" w:lineRule="exact"/>
              <w:jc w:val="center"/>
              <w:rPr>
                <w:rFonts w:hint="eastAsia" w:ascii="仿宋_GB2312" w:hAnsi="仿宋_GB2312" w:eastAsia="仿宋_GB2312" w:cs="仿宋_GB2312"/>
                <w:b w:val="0"/>
                <w:bCs/>
                <w:color w:val="auto"/>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高小于</w:t>
            </w:r>
          </w:p>
        </w:tc>
        <w:tc>
          <w:tcPr>
            <w:tcW w:w="1665" w:type="dxa"/>
            <w:vAlign w:val="center"/>
          </w:tcPr>
          <w:p>
            <w:pPr>
              <w:spacing w:line="580" w:lineRule="exact"/>
              <w:jc w:val="center"/>
              <w:rPr>
                <w:rFonts w:hint="eastAsia" w:ascii="仿宋_GB2312" w:hAnsi="仿宋_GB2312" w:eastAsia="仿宋_GB2312" w:cs="仿宋_GB2312"/>
                <w:b w:val="0"/>
                <w:bCs/>
                <w:color w:val="auto"/>
                <w:kern w:val="2"/>
                <w:sz w:val="24"/>
                <w:szCs w:val="24"/>
                <w:highlight w:val="none"/>
                <w:vertAlign w:val="baseline"/>
                <w:lang w:val="en-US" w:eastAsia="zh-CN" w:bidi="ar-SA"/>
              </w:rPr>
            </w:pPr>
            <w:r>
              <w:rPr>
                <w:rFonts w:hint="eastAsia" w:ascii="仿宋_GB2312" w:hAnsi="仿宋_GB2312" w:eastAsia="仿宋_GB2312" w:cs="仿宋_GB2312"/>
                <w:b w:val="0"/>
                <w:bCs/>
                <w:sz w:val="24"/>
                <w:szCs w:val="24"/>
                <w:highlight w:val="none"/>
                <w:lang w:val="en-US" w:eastAsia="zh-CN"/>
              </w:rPr>
              <w:t>工程师（中级）</w:t>
            </w:r>
          </w:p>
        </w:tc>
        <w:tc>
          <w:tcPr>
            <w:tcW w:w="2375" w:type="dxa"/>
            <w:vAlign w:val="center"/>
          </w:tcPr>
          <w:p>
            <w:pPr>
              <w:spacing w:line="580" w:lineRule="exact"/>
              <w:jc w:val="center"/>
              <w:rPr>
                <w:rFonts w:hint="eastAsia" w:ascii="仿宋_GB2312" w:hAnsi="仿宋_GB2312" w:eastAsia="仿宋_GB2312" w:cs="仿宋_GB2312"/>
                <w:b w:val="0"/>
                <w:bCs/>
                <w:color w:val="auto"/>
                <w:kern w:val="2"/>
                <w:sz w:val="24"/>
                <w:szCs w:val="24"/>
                <w:highlight w:val="none"/>
                <w:vertAlign w:val="baseline"/>
                <w:lang w:val="en-US" w:eastAsia="zh-CN" w:bidi="ar-SA"/>
              </w:rPr>
            </w:pPr>
            <w:r>
              <w:rPr>
                <w:rFonts w:hint="eastAsia" w:ascii="仿宋_GB2312" w:hAnsi="仿宋_GB2312" w:eastAsia="仿宋_GB2312" w:cs="仿宋_GB2312"/>
                <w:color w:val="auto"/>
                <w:sz w:val="24"/>
                <w:szCs w:val="24"/>
                <w:highlight w:val="none"/>
              </w:rPr>
              <w:t>标准起草</w:t>
            </w:r>
            <w:r>
              <w:rPr>
                <w:rFonts w:hint="eastAsia" w:ascii="仿宋_GB2312" w:hAnsi="仿宋_GB2312" w:eastAsia="仿宋_GB2312" w:cs="仿宋_GB2312"/>
                <w:b w:val="0"/>
                <w:bCs/>
                <w:color w:val="auto"/>
                <w:sz w:val="24"/>
                <w:szCs w:val="24"/>
                <w:highlight w:val="none"/>
                <w:lang w:val="en-US" w:eastAsia="zh-CN"/>
              </w:rPr>
              <w:t>、调研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vAlign w:val="center"/>
          </w:tcPr>
          <w:p>
            <w:pPr>
              <w:spacing w:line="580" w:lineRule="exact"/>
              <w:jc w:val="center"/>
              <w:rPr>
                <w:rFonts w:hint="eastAsia" w:ascii="仿宋_GB2312" w:hAnsi="仿宋_GB2312" w:eastAsia="仿宋_GB2312" w:cs="仿宋_GB2312"/>
                <w:b w:val="0"/>
                <w:bCs/>
                <w:color w:val="auto"/>
                <w:kern w:val="2"/>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rPr>
              <w:t>贵阳市食品药品检验检测中心</w:t>
            </w:r>
          </w:p>
        </w:tc>
        <w:tc>
          <w:tcPr>
            <w:tcW w:w="1245" w:type="dxa"/>
            <w:vAlign w:val="center"/>
          </w:tcPr>
          <w:p>
            <w:pPr>
              <w:spacing w:line="580" w:lineRule="exact"/>
              <w:jc w:val="center"/>
              <w:rPr>
                <w:rFonts w:hint="eastAsia" w:ascii="仿宋_GB2312" w:hAnsi="仿宋_GB2312" w:eastAsia="仿宋_GB2312" w:cs="仿宋_GB2312"/>
                <w:b w:val="0"/>
                <w:bCs/>
                <w:color w:val="auto"/>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田雅清</w:t>
            </w:r>
          </w:p>
        </w:tc>
        <w:tc>
          <w:tcPr>
            <w:tcW w:w="1665" w:type="dxa"/>
            <w:vAlign w:val="center"/>
          </w:tcPr>
          <w:p>
            <w:pPr>
              <w:spacing w:line="580" w:lineRule="exact"/>
              <w:jc w:val="center"/>
              <w:rPr>
                <w:rFonts w:hint="eastAsia" w:ascii="仿宋_GB2312" w:hAnsi="仿宋_GB2312" w:eastAsia="仿宋_GB2312" w:cs="仿宋_GB2312"/>
                <w:b w:val="0"/>
                <w:bCs/>
                <w:color w:val="auto"/>
                <w:kern w:val="2"/>
                <w:sz w:val="24"/>
                <w:szCs w:val="24"/>
                <w:highlight w:val="none"/>
                <w:vertAlign w:val="baseline"/>
                <w:lang w:val="en-US" w:eastAsia="zh-CN" w:bidi="ar-SA"/>
              </w:rPr>
            </w:pPr>
            <w:r>
              <w:rPr>
                <w:rFonts w:hint="eastAsia" w:ascii="仿宋_GB2312" w:hAnsi="仿宋_GB2312" w:eastAsia="仿宋_GB2312" w:cs="仿宋_GB2312"/>
                <w:b w:val="0"/>
                <w:bCs/>
                <w:sz w:val="24"/>
                <w:szCs w:val="24"/>
                <w:highlight w:val="none"/>
                <w:lang w:val="en-US" w:eastAsia="zh-CN"/>
              </w:rPr>
              <w:t>工程师（中级）</w:t>
            </w:r>
          </w:p>
        </w:tc>
        <w:tc>
          <w:tcPr>
            <w:tcW w:w="237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 w:val="0"/>
                <w:bCs/>
                <w:color w:val="auto"/>
                <w:kern w:val="2"/>
                <w:sz w:val="24"/>
                <w:szCs w:val="24"/>
                <w:highlight w:val="none"/>
                <w:vertAlign w:val="baseline"/>
                <w:lang w:val="en-US" w:eastAsia="zh-CN" w:bidi="ar-SA"/>
              </w:rPr>
            </w:pPr>
            <w:r>
              <w:rPr>
                <w:rFonts w:hint="eastAsia" w:ascii="仿宋_GB2312" w:hAnsi="仿宋_GB2312" w:eastAsia="仿宋_GB2312" w:cs="仿宋_GB2312"/>
                <w:color w:val="auto"/>
                <w:sz w:val="24"/>
                <w:szCs w:val="24"/>
                <w:highlight w:val="none"/>
              </w:rPr>
              <w:t>标准起草</w:t>
            </w:r>
            <w:r>
              <w:rPr>
                <w:rFonts w:hint="eastAsia" w:ascii="仿宋_GB2312" w:hAnsi="仿宋_GB2312" w:eastAsia="仿宋_GB2312" w:cs="仿宋_GB2312"/>
                <w:b w:val="0"/>
                <w:bCs/>
                <w:color w:val="auto"/>
                <w:sz w:val="24"/>
                <w:szCs w:val="24"/>
                <w:highlight w:val="none"/>
                <w:lang w:val="en-US" w:eastAsia="zh-CN"/>
              </w:rPr>
              <w:t>、调研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vAlign w:val="center"/>
          </w:tcPr>
          <w:p>
            <w:pPr>
              <w:spacing w:line="580" w:lineRule="exact"/>
              <w:jc w:val="center"/>
              <w:rPr>
                <w:rFonts w:hint="eastAsia" w:ascii="仿宋_GB2312" w:hAnsi="仿宋_GB2312" w:eastAsia="仿宋_GB2312" w:cs="仿宋_GB2312"/>
                <w:b w:val="0"/>
                <w:bCs/>
                <w:color w:val="auto"/>
                <w:kern w:val="2"/>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rPr>
              <w:t>贵阳市食品药品检验检测中心</w:t>
            </w:r>
          </w:p>
        </w:tc>
        <w:tc>
          <w:tcPr>
            <w:tcW w:w="1245" w:type="dxa"/>
            <w:vAlign w:val="center"/>
          </w:tcPr>
          <w:p>
            <w:pPr>
              <w:spacing w:line="580" w:lineRule="exact"/>
              <w:jc w:val="center"/>
              <w:rPr>
                <w:rFonts w:hint="eastAsia" w:ascii="仿宋_GB2312" w:hAnsi="仿宋_GB2312" w:eastAsia="仿宋_GB2312" w:cs="仿宋_GB2312"/>
                <w:b w:val="0"/>
                <w:bCs/>
                <w:color w:val="auto"/>
                <w:kern w:val="2"/>
                <w:sz w:val="24"/>
                <w:szCs w:val="24"/>
                <w:highlight w:val="none"/>
                <w:lang w:val="en-US" w:eastAsia="zh-CN" w:bidi="ar-SA"/>
              </w:rPr>
            </w:pPr>
            <w:r>
              <w:rPr>
                <w:rFonts w:hint="eastAsia" w:ascii="仿宋_GB2312" w:hAnsi="仿宋_GB2312" w:eastAsia="仿宋_GB2312" w:cs="仿宋_GB2312"/>
                <w:b w:val="0"/>
                <w:bCs/>
                <w:kern w:val="2"/>
                <w:sz w:val="24"/>
                <w:szCs w:val="24"/>
                <w:highlight w:val="none"/>
                <w:lang w:val="en-US" w:eastAsia="zh-CN" w:bidi="ar-SA"/>
              </w:rPr>
              <w:t>周  敏</w:t>
            </w:r>
          </w:p>
        </w:tc>
        <w:tc>
          <w:tcPr>
            <w:tcW w:w="1665" w:type="dxa"/>
            <w:vAlign w:val="center"/>
          </w:tcPr>
          <w:p>
            <w:pPr>
              <w:spacing w:line="580" w:lineRule="exact"/>
              <w:jc w:val="center"/>
              <w:rPr>
                <w:rFonts w:hint="eastAsia" w:ascii="仿宋_GB2312" w:hAnsi="仿宋_GB2312" w:eastAsia="仿宋_GB2312" w:cs="仿宋_GB2312"/>
                <w:b w:val="0"/>
                <w:bCs/>
                <w:color w:val="auto"/>
                <w:kern w:val="2"/>
                <w:sz w:val="24"/>
                <w:szCs w:val="24"/>
                <w:highlight w:val="none"/>
                <w:vertAlign w:val="baseline"/>
                <w:lang w:val="en-US" w:eastAsia="zh-CN" w:bidi="ar-SA"/>
              </w:rPr>
            </w:pPr>
            <w:r>
              <w:rPr>
                <w:rFonts w:hint="eastAsia" w:ascii="仿宋_GB2312" w:hAnsi="仿宋_GB2312" w:eastAsia="仿宋_GB2312" w:cs="仿宋_GB2312"/>
                <w:b w:val="0"/>
                <w:bCs/>
                <w:kern w:val="2"/>
                <w:sz w:val="24"/>
                <w:szCs w:val="24"/>
                <w:highlight w:val="none"/>
                <w:vertAlign w:val="baseline"/>
                <w:lang w:val="en-US" w:eastAsia="zh-CN" w:bidi="ar-SA"/>
              </w:rPr>
              <w:t>中心主任</w:t>
            </w:r>
          </w:p>
        </w:tc>
        <w:tc>
          <w:tcPr>
            <w:tcW w:w="2375" w:type="dxa"/>
            <w:vAlign w:val="center"/>
          </w:tcPr>
          <w:p>
            <w:pPr>
              <w:spacing w:line="580" w:lineRule="exact"/>
              <w:jc w:val="center"/>
              <w:rPr>
                <w:rFonts w:hint="eastAsia" w:ascii="仿宋_GB2312" w:hAnsi="仿宋_GB2312" w:eastAsia="仿宋_GB2312" w:cs="仿宋_GB2312"/>
                <w:b w:val="0"/>
                <w:bCs/>
                <w:color w:val="auto"/>
                <w:kern w:val="2"/>
                <w:sz w:val="24"/>
                <w:szCs w:val="24"/>
                <w:highlight w:val="none"/>
                <w:vertAlign w:val="baseline"/>
                <w:lang w:val="en-US" w:eastAsia="zh-CN" w:bidi="ar-SA"/>
              </w:rPr>
            </w:pPr>
            <w:r>
              <w:rPr>
                <w:rFonts w:hint="eastAsia" w:ascii="仿宋_GB2312" w:hAnsi="仿宋_GB2312" w:eastAsia="仿宋_GB2312" w:cs="仿宋_GB2312"/>
                <w:b w:val="0"/>
                <w:bCs/>
                <w:color w:val="auto"/>
                <w:sz w:val="24"/>
                <w:szCs w:val="24"/>
                <w:highlight w:val="none"/>
                <w:lang w:val="en-US" w:eastAsia="zh-CN"/>
              </w:rPr>
              <w:t>标准起草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vAlign w:val="center"/>
          </w:tcPr>
          <w:p>
            <w:pPr>
              <w:spacing w:line="580" w:lineRule="exact"/>
              <w:jc w:val="center"/>
              <w:rPr>
                <w:rFonts w:hint="eastAsia" w:ascii="仿宋_GB2312" w:hAnsi="仿宋_GB2312" w:eastAsia="仿宋_GB2312" w:cs="仿宋_GB2312"/>
                <w:b w:val="0"/>
                <w:bCs/>
                <w:color w:val="auto"/>
                <w:kern w:val="2"/>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rPr>
              <w:t>贵阳市食品药品检验检测中心</w:t>
            </w:r>
          </w:p>
        </w:tc>
        <w:tc>
          <w:tcPr>
            <w:tcW w:w="1245" w:type="dxa"/>
            <w:vAlign w:val="center"/>
          </w:tcPr>
          <w:p>
            <w:pPr>
              <w:spacing w:line="580" w:lineRule="exact"/>
              <w:jc w:val="center"/>
              <w:rPr>
                <w:rFonts w:hint="eastAsia" w:ascii="仿宋_GB2312" w:hAnsi="仿宋_GB2312" w:eastAsia="仿宋_GB2312" w:cs="仿宋_GB2312"/>
                <w:b w:val="0"/>
                <w:bCs/>
                <w:color w:val="auto"/>
                <w:kern w:val="2"/>
                <w:sz w:val="24"/>
                <w:szCs w:val="24"/>
                <w:highlight w:val="none"/>
                <w:lang w:val="en-US" w:eastAsia="zh-CN" w:bidi="ar-SA"/>
              </w:rPr>
            </w:pPr>
            <w:r>
              <w:rPr>
                <w:rFonts w:hint="eastAsia" w:ascii="仿宋_GB2312" w:hAnsi="仿宋_GB2312" w:eastAsia="仿宋_GB2312" w:cs="仿宋_GB2312"/>
                <w:b w:val="0"/>
                <w:bCs/>
                <w:sz w:val="24"/>
                <w:szCs w:val="24"/>
                <w:highlight w:val="none"/>
                <w:lang w:val="en-US" w:eastAsia="zh-CN"/>
              </w:rPr>
              <w:t>雷晓青</w:t>
            </w:r>
          </w:p>
        </w:tc>
        <w:tc>
          <w:tcPr>
            <w:tcW w:w="1665" w:type="dxa"/>
            <w:vAlign w:val="center"/>
          </w:tcPr>
          <w:p>
            <w:pPr>
              <w:spacing w:line="580" w:lineRule="exact"/>
              <w:jc w:val="center"/>
              <w:rPr>
                <w:rFonts w:hint="eastAsia" w:ascii="仿宋_GB2312" w:hAnsi="仿宋_GB2312" w:eastAsia="仿宋_GB2312" w:cs="仿宋_GB2312"/>
                <w:b w:val="0"/>
                <w:bCs/>
                <w:color w:val="auto"/>
                <w:kern w:val="2"/>
                <w:sz w:val="24"/>
                <w:szCs w:val="24"/>
                <w:highlight w:val="none"/>
                <w:lang w:val="en-US" w:eastAsia="zh-CN" w:bidi="ar-SA"/>
              </w:rPr>
            </w:pPr>
            <w:r>
              <w:rPr>
                <w:rFonts w:hint="eastAsia" w:ascii="仿宋_GB2312" w:hAnsi="仿宋_GB2312" w:eastAsia="仿宋_GB2312" w:cs="仿宋_GB2312"/>
                <w:b w:val="0"/>
                <w:bCs/>
                <w:sz w:val="24"/>
                <w:szCs w:val="24"/>
                <w:highlight w:val="none"/>
                <w:vertAlign w:val="baseline"/>
                <w:lang w:val="en-US" w:eastAsia="zh-CN"/>
              </w:rPr>
              <w:t>副主任药师</w:t>
            </w:r>
          </w:p>
        </w:tc>
        <w:tc>
          <w:tcPr>
            <w:tcW w:w="2375"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center"/>
              <w:textAlignment w:val="auto"/>
              <w:rPr>
                <w:rFonts w:hint="eastAsia" w:ascii="仿宋_GB2312" w:hAnsi="仿宋_GB2312" w:eastAsia="仿宋_GB2312" w:cs="仿宋_GB2312"/>
                <w:b w:val="0"/>
                <w:bCs/>
                <w:color w:val="auto"/>
                <w:kern w:val="2"/>
                <w:sz w:val="24"/>
                <w:szCs w:val="24"/>
                <w:highlight w:val="none"/>
                <w:vertAlign w:val="baseline"/>
                <w:lang w:val="en-US" w:eastAsia="zh-CN" w:bidi="ar-SA"/>
              </w:rPr>
            </w:pPr>
            <w:r>
              <w:rPr>
                <w:rFonts w:hint="eastAsia" w:ascii="仿宋_GB2312" w:hAnsi="仿宋_GB2312" w:eastAsia="仿宋_GB2312" w:cs="仿宋_GB2312"/>
                <w:color w:val="auto"/>
                <w:sz w:val="24"/>
                <w:szCs w:val="24"/>
                <w:highlight w:val="none"/>
              </w:rPr>
              <w:t>标准起草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vAlign w:val="center"/>
          </w:tcPr>
          <w:p>
            <w:pPr>
              <w:spacing w:line="580" w:lineRule="exact"/>
              <w:jc w:val="center"/>
              <w:rPr>
                <w:rFonts w:hint="eastAsia" w:ascii="仿宋_GB2312" w:hAnsi="仿宋_GB2312" w:eastAsia="仿宋_GB2312" w:cs="仿宋_GB2312"/>
                <w:b w:val="0"/>
                <w:bCs/>
                <w:color w:val="auto"/>
                <w:kern w:val="2"/>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rPr>
              <w:t>贵阳市食品药品检验检测中心</w:t>
            </w:r>
          </w:p>
        </w:tc>
        <w:tc>
          <w:tcPr>
            <w:tcW w:w="1245" w:type="dxa"/>
            <w:vAlign w:val="center"/>
          </w:tcPr>
          <w:p>
            <w:pPr>
              <w:spacing w:line="580" w:lineRule="exact"/>
              <w:jc w:val="center"/>
              <w:rPr>
                <w:rFonts w:hint="eastAsia" w:ascii="仿宋_GB2312" w:hAnsi="仿宋_GB2312" w:eastAsia="仿宋_GB2312" w:cs="仿宋_GB2312"/>
                <w:b w:val="0"/>
                <w:bCs/>
                <w:color w:val="auto"/>
                <w:kern w:val="2"/>
                <w:sz w:val="24"/>
                <w:szCs w:val="24"/>
                <w:highlight w:val="none"/>
                <w:lang w:val="en-US" w:eastAsia="zh-CN" w:bidi="ar-SA"/>
              </w:rPr>
            </w:pPr>
            <w:r>
              <w:rPr>
                <w:rFonts w:hint="eastAsia" w:ascii="仿宋_GB2312" w:hAnsi="仿宋_GB2312" w:eastAsia="仿宋_GB2312" w:cs="仿宋_GB2312"/>
                <w:b w:val="0"/>
                <w:bCs/>
                <w:sz w:val="24"/>
                <w:szCs w:val="24"/>
                <w:highlight w:val="none"/>
                <w:lang w:val="en-US" w:eastAsia="zh-CN"/>
              </w:rPr>
              <w:t>陈丽萍</w:t>
            </w:r>
          </w:p>
        </w:tc>
        <w:tc>
          <w:tcPr>
            <w:tcW w:w="1665" w:type="dxa"/>
            <w:vAlign w:val="center"/>
          </w:tcPr>
          <w:p>
            <w:pPr>
              <w:spacing w:line="580" w:lineRule="exact"/>
              <w:jc w:val="center"/>
              <w:rPr>
                <w:rFonts w:hint="eastAsia" w:ascii="仿宋_GB2312" w:hAnsi="仿宋_GB2312" w:eastAsia="仿宋_GB2312" w:cs="仿宋_GB2312"/>
                <w:b w:val="0"/>
                <w:bCs/>
                <w:color w:val="auto"/>
                <w:kern w:val="2"/>
                <w:sz w:val="24"/>
                <w:szCs w:val="24"/>
                <w:highlight w:val="none"/>
                <w:vertAlign w:val="baseline"/>
                <w:lang w:val="en-US" w:eastAsia="zh-CN" w:bidi="ar-SA"/>
              </w:rPr>
            </w:pPr>
            <w:r>
              <w:rPr>
                <w:rFonts w:hint="eastAsia" w:ascii="仿宋_GB2312" w:hAnsi="仿宋_GB2312" w:eastAsia="仿宋_GB2312" w:cs="仿宋_GB2312"/>
                <w:b w:val="0"/>
                <w:bCs/>
                <w:sz w:val="24"/>
                <w:szCs w:val="24"/>
                <w:highlight w:val="none"/>
                <w:vertAlign w:val="baseline"/>
                <w:lang w:eastAsia="zh-CN"/>
              </w:rPr>
              <w:t>主管药师</w:t>
            </w:r>
          </w:p>
        </w:tc>
        <w:tc>
          <w:tcPr>
            <w:tcW w:w="2375" w:type="dxa"/>
            <w:vAlign w:val="center"/>
          </w:tcPr>
          <w:p>
            <w:pPr>
              <w:spacing w:line="580" w:lineRule="exact"/>
              <w:jc w:val="center"/>
              <w:rPr>
                <w:rFonts w:hint="eastAsia" w:ascii="仿宋_GB2312" w:hAnsi="仿宋_GB2312" w:eastAsia="仿宋_GB2312" w:cs="仿宋_GB2312"/>
                <w:b w:val="0"/>
                <w:bCs/>
                <w:color w:val="auto"/>
                <w:kern w:val="2"/>
                <w:sz w:val="24"/>
                <w:szCs w:val="24"/>
                <w:highlight w:val="none"/>
                <w:vertAlign w:val="baseline"/>
                <w:lang w:val="en-US" w:eastAsia="zh-CN" w:bidi="ar-SA"/>
              </w:rPr>
            </w:pPr>
            <w:r>
              <w:rPr>
                <w:rFonts w:hint="eastAsia" w:ascii="仿宋_GB2312" w:hAnsi="仿宋_GB2312" w:eastAsia="仿宋_GB2312" w:cs="仿宋_GB2312"/>
                <w:b w:val="0"/>
                <w:bCs/>
                <w:color w:val="auto"/>
                <w:sz w:val="24"/>
                <w:szCs w:val="24"/>
                <w:highlight w:val="none"/>
                <w:vertAlign w:val="baseline"/>
                <w:lang w:val="en-US" w:eastAsia="zh-CN"/>
              </w:rPr>
              <w:t>标准调研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vAlign w:val="center"/>
          </w:tcPr>
          <w:p>
            <w:pPr>
              <w:spacing w:line="580" w:lineRule="exact"/>
              <w:jc w:val="center"/>
              <w:rPr>
                <w:rFonts w:hint="eastAsia" w:ascii="仿宋_GB2312" w:hAnsi="仿宋_GB2312" w:eastAsia="仿宋_GB2312" w:cs="仿宋_GB2312"/>
                <w:b w:val="0"/>
                <w:bCs/>
                <w:color w:val="auto"/>
                <w:kern w:val="2"/>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rPr>
              <w:t>贵阳市食品药品检验检测中心</w:t>
            </w:r>
          </w:p>
        </w:tc>
        <w:tc>
          <w:tcPr>
            <w:tcW w:w="1245" w:type="dxa"/>
            <w:vAlign w:val="center"/>
          </w:tcPr>
          <w:p>
            <w:pPr>
              <w:spacing w:line="580" w:lineRule="exact"/>
              <w:jc w:val="center"/>
              <w:rPr>
                <w:rFonts w:hint="eastAsia" w:ascii="仿宋_GB2312" w:hAnsi="仿宋_GB2312" w:eastAsia="仿宋_GB2312" w:cs="仿宋_GB2312"/>
                <w:b w:val="0"/>
                <w:bCs/>
                <w:color w:val="auto"/>
                <w:sz w:val="24"/>
                <w:szCs w:val="24"/>
                <w:highlight w:val="none"/>
                <w:lang w:val="en-US" w:eastAsia="zh-CN"/>
              </w:rPr>
            </w:pPr>
            <w:r>
              <w:rPr>
                <w:rFonts w:hint="eastAsia" w:ascii="仿宋_GB2312" w:hAnsi="仿宋_GB2312" w:eastAsia="仿宋_GB2312" w:cs="仿宋_GB2312"/>
                <w:b w:val="0"/>
                <w:bCs/>
                <w:kern w:val="2"/>
                <w:sz w:val="24"/>
                <w:szCs w:val="24"/>
                <w:highlight w:val="none"/>
                <w:lang w:val="en-US" w:eastAsia="zh-CN" w:bidi="ar-SA"/>
              </w:rPr>
              <w:t>赵应梅</w:t>
            </w:r>
          </w:p>
        </w:tc>
        <w:tc>
          <w:tcPr>
            <w:tcW w:w="1665" w:type="dxa"/>
            <w:vAlign w:val="center"/>
          </w:tcPr>
          <w:p>
            <w:pPr>
              <w:spacing w:line="580" w:lineRule="exact"/>
              <w:jc w:val="center"/>
              <w:rPr>
                <w:rFonts w:hint="eastAsia" w:ascii="仿宋_GB2312" w:hAnsi="仿宋_GB2312" w:eastAsia="仿宋_GB2312" w:cs="仿宋_GB2312"/>
                <w:b w:val="0"/>
                <w:bCs/>
                <w:color w:val="auto"/>
                <w:kern w:val="2"/>
                <w:sz w:val="24"/>
                <w:szCs w:val="24"/>
                <w:highlight w:val="none"/>
                <w:vertAlign w:val="baseline"/>
                <w:lang w:val="en-US" w:eastAsia="zh-CN" w:bidi="ar-SA"/>
              </w:rPr>
            </w:pPr>
            <w:r>
              <w:rPr>
                <w:rFonts w:hint="eastAsia" w:ascii="仿宋_GB2312" w:hAnsi="仿宋_GB2312" w:eastAsia="仿宋_GB2312" w:cs="仿宋_GB2312"/>
                <w:b w:val="0"/>
                <w:bCs/>
                <w:kern w:val="2"/>
                <w:sz w:val="24"/>
                <w:szCs w:val="24"/>
                <w:highlight w:val="none"/>
                <w:vertAlign w:val="baseline"/>
                <w:lang w:val="en-US" w:eastAsia="zh-CN" w:bidi="ar-SA"/>
              </w:rPr>
              <w:t>工程师</w:t>
            </w:r>
          </w:p>
        </w:tc>
        <w:tc>
          <w:tcPr>
            <w:tcW w:w="237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 w:val="0"/>
                <w:bCs/>
                <w:color w:val="auto"/>
                <w:kern w:val="2"/>
                <w:sz w:val="24"/>
                <w:szCs w:val="24"/>
                <w:highlight w:val="none"/>
                <w:vertAlign w:val="baseline"/>
                <w:lang w:val="en-US" w:eastAsia="zh-CN" w:bidi="ar-SA"/>
              </w:rPr>
            </w:pPr>
            <w:r>
              <w:rPr>
                <w:rFonts w:hint="eastAsia" w:ascii="仿宋_GB2312" w:hAnsi="仿宋_GB2312" w:eastAsia="仿宋_GB2312" w:cs="仿宋_GB2312"/>
                <w:b w:val="0"/>
                <w:bCs/>
                <w:color w:val="auto"/>
                <w:sz w:val="24"/>
                <w:szCs w:val="24"/>
                <w:highlight w:val="none"/>
                <w:vertAlign w:val="baseline"/>
                <w:lang w:val="en-US" w:eastAsia="zh-CN"/>
              </w:rPr>
              <w:t>标准调研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669" w:type="dxa"/>
            <w:vAlign w:val="center"/>
          </w:tcPr>
          <w:p>
            <w:pPr>
              <w:spacing w:line="580" w:lineRule="exact"/>
              <w:jc w:val="center"/>
              <w:rPr>
                <w:rFonts w:hint="eastAsia" w:ascii="仿宋_GB2312" w:hAnsi="仿宋_GB2312" w:eastAsia="仿宋_GB2312" w:cs="仿宋_GB2312"/>
                <w:b w:val="0"/>
                <w:bCs/>
                <w:color w:val="auto"/>
                <w:kern w:val="2"/>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rPr>
              <w:t>贵阳市药品不良反应监测中心</w:t>
            </w:r>
          </w:p>
        </w:tc>
        <w:tc>
          <w:tcPr>
            <w:tcW w:w="1245" w:type="dxa"/>
            <w:vAlign w:val="center"/>
          </w:tcPr>
          <w:p>
            <w:pPr>
              <w:spacing w:line="580" w:lineRule="exact"/>
              <w:jc w:val="center"/>
              <w:rPr>
                <w:rFonts w:hint="eastAsia" w:ascii="仿宋_GB2312" w:hAnsi="仿宋_GB2312" w:eastAsia="仿宋_GB2312" w:cs="仿宋_GB2312"/>
                <w:b w:val="0"/>
                <w:bCs/>
                <w:color w:val="auto"/>
                <w:sz w:val="24"/>
                <w:szCs w:val="24"/>
                <w:highlight w:val="none"/>
                <w:lang w:val="en-US" w:eastAsia="zh-CN"/>
              </w:rPr>
            </w:pPr>
            <w:r>
              <w:rPr>
                <w:rFonts w:hint="eastAsia" w:ascii="仿宋_GB2312" w:hAnsi="仿宋_GB2312" w:eastAsia="仿宋_GB2312" w:cs="仿宋_GB2312"/>
                <w:b w:val="0"/>
                <w:bCs/>
                <w:kern w:val="2"/>
                <w:sz w:val="24"/>
                <w:szCs w:val="24"/>
                <w:highlight w:val="none"/>
                <w:lang w:val="en-US" w:eastAsia="zh-CN" w:bidi="ar-SA"/>
              </w:rPr>
              <w:t>潘盛波</w:t>
            </w:r>
          </w:p>
        </w:tc>
        <w:tc>
          <w:tcPr>
            <w:tcW w:w="1665" w:type="dxa"/>
            <w:vAlign w:val="center"/>
          </w:tcPr>
          <w:p>
            <w:pPr>
              <w:spacing w:line="580" w:lineRule="exact"/>
              <w:jc w:val="center"/>
              <w:rPr>
                <w:rFonts w:hint="eastAsia" w:ascii="仿宋_GB2312" w:hAnsi="仿宋_GB2312" w:eastAsia="仿宋_GB2312" w:cs="仿宋_GB2312"/>
                <w:b w:val="0"/>
                <w:bCs/>
                <w:color w:val="auto"/>
                <w:kern w:val="2"/>
                <w:sz w:val="24"/>
                <w:szCs w:val="24"/>
                <w:highlight w:val="none"/>
                <w:lang w:val="en-US" w:eastAsia="zh-CN" w:bidi="ar-SA"/>
              </w:rPr>
            </w:pPr>
            <w:r>
              <w:rPr>
                <w:rFonts w:hint="eastAsia" w:ascii="仿宋_GB2312" w:hAnsi="仿宋_GB2312" w:eastAsia="仿宋_GB2312" w:cs="仿宋_GB2312"/>
                <w:b w:val="0"/>
                <w:bCs/>
                <w:kern w:val="2"/>
                <w:sz w:val="24"/>
                <w:szCs w:val="24"/>
                <w:highlight w:val="none"/>
                <w:vertAlign w:val="baseline"/>
                <w:lang w:val="en-US" w:eastAsia="zh-CN" w:bidi="ar-SA"/>
              </w:rPr>
              <w:t>高级工程师</w:t>
            </w:r>
          </w:p>
        </w:tc>
        <w:tc>
          <w:tcPr>
            <w:tcW w:w="2375" w:type="dxa"/>
            <w:vAlign w:val="center"/>
          </w:tcPr>
          <w:p>
            <w:pPr>
              <w:spacing w:line="580" w:lineRule="exact"/>
              <w:jc w:val="center"/>
              <w:rPr>
                <w:rFonts w:hint="eastAsia" w:ascii="仿宋_GB2312" w:hAnsi="仿宋_GB2312" w:eastAsia="仿宋_GB2312" w:cs="仿宋_GB2312"/>
                <w:b w:val="0"/>
                <w:bCs/>
                <w:color w:val="auto"/>
                <w:kern w:val="2"/>
                <w:sz w:val="24"/>
                <w:szCs w:val="24"/>
                <w:highlight w:val="none"/>
                <w:lang w:val="en-US" w:eastAsia="zh-CN" w:bidi="ar-SA"/>
              </w:rPr>
            </w:pPr>
            <w:r>
              <w:rPr>
                <w:rFonts w:hint="eastAsia" w:ascii="仿宋_GB2312" w:hAnsi="仿宋_GB2312" w:eastAsia="仿宋_GB2312" w:cs="仿宋_GB2312"/>
                <w:b w:val="0"/>
                <w:bCs/>
                <w:color w:val="auto"/>
                <w:sz w:val="24"/>
                <w:szCs w:val="24"/>
                <w:highlight w:val="none"/>
                <w:vertAlign w:val="baseline"/>
                <w:lang w:val="en-US" w:eastAsia="zh-CN"/>
              </w:rPr>
              <w:t>标准调研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vAlign w:val="center"/>
          </w:tcPr>
          <w:p>
            <w:pPr>
              <w:spacing w:line="580" w:lineRule="exact"/>
              <w:jc w:val="center"/>
              <w:rPr>
                <w:rFonts w:hint="eastAsia" w:ascii="仿宋_GB2312" w:hAnsi="仿宋_GB2312" w:eastAsia="仿宋_GB2312" w:cs="仿宋_GB2312"/>
                <w:b w:val="0"/>
                <w:bCs/>
                <w:color w:val="auto"/>
                <w:sz w:val="24"/>
                <w:szCs w:val="24"/>
                <w:highlight w:val="none"/>
                <w:lang w:val="en-US" w:eastAsia="zh-CN"/>
              </w:rPr>
            </w:pPr>
            <w:r>
              <w:rPr>
                <w:rFonts w:hint="eastAsia" w:ascii="仿宋_GB2312" w:hAnsi="仿宋_GB2312" w:eastAsia="仿宋_GB2312" w:cs="仿宋_GB2312"/>
                <w:b w:val="0"/>
                <w:bCs/>
                <w:color w:val="auto"/>
                <w:sz w:val="24"/>
                <w:szCs w:val="24"/>
                <w:highlight w:val="none"/>
                <w:lang w:val="en-US" w:eastAsia="zh-CN"/>
              </w:rPr>
              <w:t>贵阳市市场监管发展研究中心</w:t>
            </w:r>
          </w:p>
        </w:tc>
        <w:tc>
          <w:tcPr>
            <w:tcW w:w="1245" w:type="dxa"/>
            <w:vAlign w:val="center"/>
          </w:tcPr>
          <w:p>
            <w:pPr>
              <w:spacing w:line="580" w:lineRule="exact"/>
              <w:jc w:val="center"/>
              <w:rPr>
                <w:rFonts w:hint="eastAsia" w:ascii="仿宋_GB2312" w:hAnsi="仿宋_GB2312" w:eastAsia="仿宋_GB2312" w:cs="仿宋_GB2312"/>
                <w:b w:val="0"/>
                <w:bCs/>
                <w:color w:val="auto"/>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张  磊</w:t>
            </w:r>
          </w:p>
        </w:tc>
        <w:tc>
          <w:tcPr>
            <w:tcW w:w="1665" w:type="dxa"/>
            <w:vAlign w:val="center"/>
          </w:tcPr>
          <w:p>
            <w:pPr>
              <w:spacing w:line="580" w:lineRule="exact"/>
              <w:jc w:val="center"/>
              <w:rPr>
                <w:rFonts w:hint="eastAsia" w:ascii="仿宋_GB2312" w:hAnsi="仿宋_GB2312" w:eastAsia="仿宋_GB2312" w:cs="仿宋_GB2312"/>
                <w:b w:val="0"/>
                <w:bCs/>
                <w:color w:val="auto"/>
                <w:sz w:val="24"/>
                <w:szCs w:val="24"/>
                <w:highlight w:val="none"/>
                <w:lang w:val="en-US" w:eastAsia="zh-CN"/>
              </w:rPr>
            </w:pPr>
            <w:r>
              <w:rPr>
                <w:rFonts w:hint="eastAsia" w:ascii="仿宋_GB2312" w:hAnsi="仿宋_GB2312" w:eastAsia="仿宋_GB2312" w:cs="仿宋_GB2312"/>
                <w:b w:val="0"/>
                <w:bCs/>
                <w:kern w:val="2"/>
                <w:sz w:val="24"/>
                <w:szCs w:val="24"/>
                <w:highlight w:val="none"/>
                <w:vertAlign w:val="baseline"/>
                <w:lang w:val="en-US" w:eastAsia="zh-CN" w:bidi="ar-SA"/>
              </w:rPr>
              <w:t>工程师</w:t>
            </w:r>
          </w:p>
        </w:tc>
        <w:tc>
          <w:tcPr>
            <w:tcW w:w="2375"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标准起草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vAlign w:val="center"/>
          </w:tcPr>
          <w:p>
            <w:pPr>
              <w:spacing w:line="580" w:lineRule="exact"/>
              <w:jc w:val="center"/>
              <w:rPr>
                <w:rFonts w:hint="eastAsia" w:ascii="仿宋_GB2312" w:hAnsi="仿宋_GB2312" w:eastAsia="仿宋_GB2312" w:cs="仿宋_GB2312"/>
                <w:b w:val="0"/>
                <w:bCs/>
                <w:color w:val="auto"/>
                <w:kern w:val="2"/>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rPr>
              <w:t>贵阳市食品药品检验检测中心</w:t>
            </w:r>
          </w:p>
        </w:tc>
        <w:tc>
          <w:tcPr>
            <w:tcW w:w="1245" w:type="dxa"/>
            <w:vAlign w:val="center"/>
          </w:tcPr>
          <w:p>
            <w:pPr>
              <w:spacing w:line="580" w:lineRule="exact"/>
              <w:jc w:val="center"/>
              <w:rPr>
                <w:rFonts w:hint="eastAsia" w:ascii="仿宋_GB2312" w:hAnsi="仿宋_GB2312" w:eastAsia="仿宋_GB2312" w:cs="仿宋_GB2312"/>
                <w:b w:val="0"/>
                <w:bCs/>
                <w:color w:val="auto"/>
                <w:sz w:val="24"/>
                <w:szCs w:val="24"/>
                <w:highlight w:val="none"/>
                <w:lang w:val="en-US" w:eastAsia="zh-CN"/>
              </w:rPr>
            </w:pPr>
            <w:r>
              <w:rPr>
                <w:rFonts w:hint="eastAsia" w:ascii="仿宋_GB2312" w:hAnsi="仿宋_GB2312" w:eastAsia="仿宋_GB2312" w:cs="仿宋_GB2312"/>
                <w:b w:val="0"/>
                <w:bCs/>
                <w:kern w:val="2"/>
                <w:sz w:val="24"/>
                <w:szCs w:val="24"/>
                <w:highlight w:val="none"/>
                <w:lang w:val="en-US" w:eastAsia="zh-CN" w:bidi="ar-SA"/>
              </w:rPr>
              <w:t>韩墨流</w:t>
            </w:r>
          </w:p>
        </w:tc>
        <w:tc>
          <w:tcPr>
            <w:tcW w:w="1665" w:type="dxa"/>
            <w:vAlign w:val="center"/>
          </w:tcPr>
          <w:p>
            <w:pPr>
              <w:spacing w:line="580" w:lineRule="exact"/>
              <w:jc w:val="center"/>
              <w:rPr>
                <w:rFonts w:hint="eastAsia" w:ascii="仿宋_GB2312" w:hAnsi="仿宋_GB2312" w:eastAsia="仿宋_GB2312" w:cs="仿宋_GB2312"/>
                <w:b w:val="0"/>
                <w:bCs/>
                <w:color w:val="auto"/>
                <w:sz w:val="24"/>
                <w:szCs w:val="24"/>
                <w:highlight w:val="none"/>
                <w:lang w:val="en-US" w:eastAsia="zh-CN"/>
              </w:rPr>
            </w:pPr>
            <w:r>
              <w:rPr>
                <w:rFonts w:hint="eastAsia" w:ascii="仿宋_GB2312" w:hAnsi="仿宋_GB2312" w:eastAsia="仿宋_GB2312" w:cs="仿宋_GB2312"/>
                <w:b w:val="0"/>
                <w:bCs/>
                <w:kern w:val="2"/>
                <w:sz w:val="24"/>
                <w:szCs w:val="24"/>
                <w:highlight w:val="none"/>
                <w:vertAlign w:val="baseline"/>
                <w:lang w:val="en-US" w:eastAsia="zh-CN" w:bidi="ar-SA"/>
              </w:rPr>
              <w:t>工程师</w:t>
            </w:r>
          </w:p>
        </w:tc>
        <w:tc>
          <w:tcPr>
            <w:tcW w:w="2375" w:type="dxa"/>
            <w:vAlign w:val="center"/>
          </w:tcPr>
          <w:p>
            <w:pPr>
              <w:spacing w:line="580" w:lineRule="exact"/>
              <w:jc w:val="center"/>
              <w:rPr>
                <w:rFonts w:hint="eastAsia" w:ascii="仿宋_GB2312" w:hAnsi="仿宋_GB2312" w:eastAsia="仿宋_GB2312" w:cs="仿宋_GB2312"/>
                <w:b w:val="0"/>
                <w:bCs/>
                <w:color w:val="auto"/>
                <w:sz w:val="24"/>
                <w:szCs w:val="24"/>
                <w:highlight w:val="none"/>
                <w:lang w:val="en-US" w:eastAsia="zh-CN"/>
              </w:rPr>
            </w:pPr>
            <w:r>
              <w:rPr>
                <w:rFonts w:hint="eastAsia" w:ascii="仿宋_GB2312" w:hAnsi="仿宋_GB2312" w:eastAsia="仿宋_GB2312" w:cs="仿宋_GB2312"/>
                <w:b w:val="0"/>
                <w:bCs/>
                <w:color w:val="auto"/>
                <w:sz w:val="24"/>
                <w:szCs w:val="24"/>
                <w:highlight w:val="none"/>
                <w:lang w:val="en-US" w:eastAsia="zh-CN"/>
              </w:rPr>
              <w:t>标准调研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vAlign w:val="center"/>
          </w:tcPr>
          <w:p>
            <w:pPr>
              <w:spacing w:line="580" w:lineRule="exact"/>
              <w:jc w:val="center"/>
              <w:rPr>
                <w:rFonts w:hint="eastAsia" w:ascii="仿宋_GB2312" w:hAnsi="仿宋_GB2312" w:eastAsia="仿宋_GB2312" w:cs="仿宋_GB2312"/>
                <w:b w:val="0"/>
                <w:bCs/>
                <w:color w:val="auto"/>
                <w:kern w:val="2"/>
                <w:sz w:val="24"/>
                <w:szCs w:val="24"/>
                <w:highlight w:val="none"/>
                <w:lang w:val="en-US" w:eastAsia="zh-CN" w:bidi="ar-SA"/>
              </w:rPr>
            </w:pPr>
            <w:r>
              <w:rPr>
                <w:rFonts w:hint="eastAsia" w:ascii="仿宋_GB2312" w:hAnsi="仿宋_GB2312" w:eastAsia="仿宋_GB2312" w:cs="仿宋_GB2312"/>
                <w:b w:val="0"/>
                <w:bCs/>
                <w:color w:val="auto"/>
                <w:kern w:val="2"/>
                <w:sz w:val="24"/>
                <w:szCs w:val="24"/>
                <w:highlight w:val="none"/>
                <w:lang w:val="en-US" w:eastAsia="zh-CN" w:bidi="ar-SA"/>
              </w:rPr>
              <w:t>贵州省食品检验检测院</w:t>
            </w:r>
          </w:p>
        </w:tc>
        <w:tc>
          <w:tcPr>
            <w:tcW w:w="1245" w:type="dxa"/>
            <w:vAlign w:val="center"/>
          </w:tcPr>
          <w:p>
            <w:pPr>
              <w:spacing w:line="580" w:lineRule="exact"/>
              <w:jc w:val="center"/>
              <w:rPr>
                <w:rFonts w:hint="eastAsia" w:ascii="仿宋_GB2312" w:hAnsi="仿宋_GB2312" w:eastAsia="仿宋_GB2312" w:cs="仿宋_GB2312"/>
                <w:b w:val="0"/>
                <w:bCs/>
                <w:color w:val="auto"/>
                <w:sz w:val="24"/>
                <w:szCs w:val="24"/>
                <w:highlight w:val="none"/>
                <w:vertAlign w:val="baseline"/>
                <w:lang w:val="en-US" w:eastAsia="zh-CN"/>
              </w:rPr>
            </w:pPr>
            <w:r>
              <w:rPr>
                <w:rFonts w:hint="eastAsia" w:ascii="仿宋_GB2312" w:hAnsi="仿宋_GB2312" w:eastAsia="仿宋_GB2312" w:cs="仿宋_GB2312"/>
                <w:b w:val="0"/>
                <w:bCs/>
                <w:color w:val="auto"/>
                <w:kern w:val="2"/>
                <w:sz w:val="24"/>
                <w:szCs w:val="24"/>
                <w:highlight w:val="none"/>
                <w:lang w:val="en-US" w:eastAsia="zh-CN" w:bidi="ar-SA"/>
              </w:rPr>
              <w:t>高安琪</w:t>
            </w:r>
          </w:p>
        </w:tc>
        <w:tc>
          <w:tcPr>
            <w:tcW w:w="1665"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val="0"/>
                <w:bCs/>
                <w:color w:val="auto"/>
                <w:sz w:val="24"/>
                <w:szCs w:val="24"/>
                <w:highlight w:val="none"/>
                <w:vertAlign w:val="baseline"/>
                <w:lang w:val="en-US" w:eastAsia="zh-CN"/>
              </w:rPr>
            </w:pPr>
            <w:r>
              <w:rPr>
                <w:rFonts w:hint="eastAsia" w:ascii="仿宋_GB2312" w:hAnsi="仿宋_GB2312" w:eastAsia="仿宋_GB2312" w:cs="仿宋_GB2312"/>
                <w:b w:val="0"/>
                <w:bCs/>
                <w:color w:val="auto"/>
                <w:kern w:val="2"/>
                <w:sz w:val="24"/>
                <w:szCs w:val="24"/>
                <w:highlight w:val="none"/>
                <w:vertAlign w:val="baseline"/>
                <w:lang w:val="en-US" w:eastAsia="zh-CN" w:bidi="ar-SA"/>
              </w:rPr>
              <w:t>助理工程师</w:t>
            </w:r>
          </w:p>
        </w:tc>
        <w:tc>
          <w:tcPr>
            <w:tcW w:w="2375" w:type="dxa"/>
            <w:vAlign w:val="center"/>
          </w:tcPr>
          <w:p>
            <w:pPr>
              <w:spacing w:line="580" w:lineRule="exact"/>
              <w:jc w:val="center"/>
              <w:rPr>
                <w:rFonts w:hint="eastAsia" w:ascii="仿宋_GB2312" w:hAnsi="仿宋_GB2312" w:eastAsia="仿宋_GB2312" w:cs="仿宋_GB2312"/>
                <w:b w:val="0"/>
                <w:bCs/>
                <w:color w:val="auto"/>
                <w:sz w:val="24"/>
                <w:szCs w:val="24"/>
                <w:highlight w:val="none"/>
                <w:vertAlign w:val="baseline"/>
                <w:lang w:val="en-US" w:eastAsia="zh-CN"/>
              </w:rPr>
            </w:pPr>
            <w:r>
              <w:rPr>
                <w:rFonts w:hint="eastAsia" w:ascii="仿宋_GB2312" w:hAnsi="仿宋_GB2312" w:eastAsia="仿宋_GB2312" w:cs="仿宋_GB2312"/>
                <w:b w:val="0"/>
                <w:bCs/>
                <w:color w:val="auto"/>
                <w:sz w:val="24"/>
                <w:szCs w:val="24"/>
                <w:highlight w:val="none"/>
                <w:lang w:val="en-US" w:eastAsia="zh-CN"/>
              </w:rPr>
              <w:t>标准调研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vAlign w:val="center"/>
          </w:tcPr>
          <w:p>
            <w:pPr>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val="0"/>
                <w:bCs/>
                <w:color w:val="auto"/>
                <w:sz w:val="24"/>
                <w:szCs w:val="24"/>
                <w:lang w:val="en-US" w:eastAsia="zh-CN"/>
              </w:rPr>
              <w:t>贵州省检测技术研究应用中心</w:t>
            </w:r>
          </w:p>
        </w:tc>
        <w:tc>
          <w:tcPr>
            <w:tcW w:w="1245" w:type="dxa"/>
            <w:vAlign w:val="center"/>
          </w:tcPr>
          <w:p>
            <w:pPr>
              <w:spacing w:line="580" w:lineRule="exact"/>
              <w:jc w:val="center"/>
              <w:rPr>
                <w:rFonts w:hint="eastAsia" w:ascii="仿宋_GB2312" w:hAnsi="仿宋_GB2312" w:eastAsia="仿宋_GB2312" w:cs="仿宋_GB2312"/>
                <w:b w:val="0"/>
                <w:bCs/>
                <w:color w:val="auto"/>
                <w:sz w:val="24"/>
                <w:szCs w:val="24"/>
                <w:highlight w:val="none"/>
                <w:vertAlign w:val="baseline"/>
                <w:lang w:val="en-US" w:eastAsia="zh-CN"/>
              </w:rPr>
            </w:pPr>
            <w:r>
              <w:rPr>
                <w:rFonts w:hint="eastAsia" w:ascii="仿宋_GB2312" w:hAnsi="仿宋_GB2312" w:eastAsia="仿宋_GB2312" w:cs="仿宋_GB2312"/>
                <w:b w:val="0"/>
                <w:bCs/>
                <w:kern w:val="2"/>
                <w:sz w:val="24"/>
                <w:szCs w:val="24"/>
                <w:highlight w:val="none"/>
                <w:lang w:val="en-US" w:eastAsia="zh-CN" w:bidi="ar-SA"/>
              </w:rPr>
              <w:t>王波娜</w:t>
            </w:r>
          </w:p>
        </w:tc>
        <w:tc>
          <w:tcPr>
            <w:tcW w:w="1665" w:type="dxa"/>
            <w:vAlign w:val="center"/>
          </w:tcPr>
          <w:p>
            <w:pPr>
              <w:spacing w:line="580" w:lineRule="exact"/>
              <w:jc w:val="center"/>
              <w:rPr>
                <w:rFonts w:hint="eastAsia" w:ascii="仿宋_GB2312" w:hAnsi="仿宋_GB2312" w:eastAsia="仿宋_GB2312" w:cs="仿宋_GB2312"/>
                <w:b w:val="0"/>
                <w:bCs/>
                <w:color w:val="auto"/>
                <w:sz w:val="24"/>
                <w:szCs w:val="24"/>
                <w:highlight w:val="none"/>
                <w:vertAlign w:val="baseline"/>
                <w:lang w:val="en-US" w:eastAsia="zh-CN"/>
              </w:rPr>
            </w:pPr>
            <w:r>
              <w:rPr>
                <w:rFonts w:hint="eastAsia" w:ascii="仿宋_GB2312" w:hAnsi="仿宋_GB2312" w:eastAsia="仿宋_GB2312" w:cs="仿宋_GB2312"/>
                <w:b w:val="0"/>
                <w:bCs/>
                <w:kern w:val="2"/>
                <w:sz w:val="24"/>
                <w:szCs w:val="24"/>
                <w:highlight w:val="none"/>
                <w:vertAlign w:val="baseline"/>
                <w:lang w:val="en-US" w:eastAsia="zh-CN" w:bidi="ar-SA"/>
              </w:rPr>
              <w:t>助理工程师</w:t>
            </w:r>
          </w:p>
        </w:tc>
        <w:tc>
          <w:tcPr>
            <w:tcW w:w="2375" w:type="dxa"/>
            <w:vAlign w:val="center"/>
          </w:tcPr>
          <w:p>
            <w:pPr>
              <w:spacing w:line="580" w:lineRule="exact"/>
              <w:jc w:val="center"/>
              <w:rPr>
                <w:rFonts w:hint="eastAsia" w:ascii="仿宋_GB2312" w:hAnsi="仿宋_GB2312" w:eastAsia="仿宋_GB2312" w:cs="仿宋_GB2312"/>
                <w:b w:val="0"/>
                <w:bCs/>
                <w:color w:val="auto"/>
                <w:kern w:val="2"/>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rPr>
              <w:t>标准调研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vAlign w:val="center"/>
          </w:tcPr>
          <w:p>
            <w:pPr>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val="0"/>
                <w:bCs/>
                <w:color w:val="auto"/>
                <w:sz w:val="24"/>
                <w:szCs w:val="24"/>
                <w:lang w:val="en-US" w:eastAsia="zh-CN"/>
              </w:rPr>
              <w:t>贵州博联检测技术股份有限公司</w:t>
            </w:r>
          </w:p>
        </w:tc>
        <w:tc>
          <w:tcPr>
            <w:tcW w:w="1245" w:type="dxa"/>
            <w:vAlign w:val="center"/>
          </w:tcPr>
          <w:p>
            <w:pPr>
              <w:spacing w:line="580" w:lineRule="exact"/>
              <w:jc w:val="center"/>
              <w:rPr>
                <w:rFonts w:hint="eastAsia" w:ascii="仿宋_GB2312" w:hAnsi="仿宋_GB2312" w:eastAsia="仿宋_GB2312" w:cs="仿宋_GB2312"/>
                <w:b w:val="0"/>
                <w:bCs/>
                <w:color w:val="auto"/>
                <w:sz w:val="24"/>
                <w:szCs w:val="24"/>
                <w:highlight w:val="none"/>
                <w:vertAlign w:val="baseline"/>
                <w:lang w:val="en-US" w:eastAsia="zh-CN"/>
              </w:rPr>
            </w:pPr>
            <w:r>
              <w:rPr>
                <w:rFonts w:hint="eastAsia" w:ascii="仿宋_GB2312" w:hAnsi="仿宋_GB2312" w:eastAsia="仿宋_GB2312" w:cs="仿宋_GB2312"/>
                <w:b w:val="0"/>
                <w:bCs/>
                <w:kern w:val="2"/>
                <w:sz w:val="24"/>
                <w:szCs w:val="24"/>
                <w:highlight w:val="none"/>
                <w:lang w:val="en-US" w:eastAsia="zh-CN" w:bidi="ar-SA"/>
              </w:rPr>
              <w:t>龚  娜</w:t>
            </w:r>
          </w:p>
        </w:tc>
        <w:tc>
          <w:tcPr>
            <w:tcW w:w="1665" w:type="dxa"/>
            <w:vAlign w:val="center"/>
          </w:tcPr>
          <w:p>
            <w:pPr>
              <w:spacing w:line="580" w:lineRule="exact"/>
              <w:jc w:val="center"/>
              <w:rPr>
                <w:rFonts w:hint="eastAsia" w:ascii="仿宋_GB2312" w:hAnsi="仿宋_GB2312" w:eastAsia="仿宋_GB2312" w:cs="仿宋_GB2312"/>
                <w:b w:val="0"/>
                <w:bCs/>
                <w:color w:val="auto"/>
                <w:kern w:val="2"/>
                <w:sz w:val="24"/>
                <w:szCs w:val="24"/>
                <w:highlight w:val="none"/>
                <w:vertAlign w:val="baseline"/>
                <w:lang w:val="en-US" w:eastAsia="zh-CN" w:bidi="ar-SA"/>
              </w:rPr>
            </w:pPr>
            <w:r>
              <w:rPr>
                <w:rFonts w:hint="eastAsia" w:ascii="仿宋_GB2312" w:hAnsi="仿宋_GB2312" w:eastAsia="仿宋_GB2312" w:cs="仿宋_GB2312"/>
                <w:b w:val="0"/>
                <w:bCs/>
                <w:kern w:val="2"/>
                <w:sz w:val="24"/>
                <w:szCs w:val="24"/>
                <w:highlight w:val="none"/>
                <w:vertAlign w:val="baseline"/>
                <w:lang w:val="en-US" w:eastAsia="zh-CN" w:bidi="ar-SA"/>
              </w:rPr>
              <w:t>无</w:t>
            </w:r>
          </w:p>
        </w:tc>
        <w:tc>
          <w:tcPr>
            <w:tcW w:w="2375" w:type="dxa"/>
            <w:vAlign w:val="center"/>
          </w:tcPr>
          <w:p>
            <w:pPr>
              <w:spacing w:line="580" w:lineRule="exact"/>
              <w:jc w:val="center"/>
              <w:rPr>
                <w:rFonts w:hint="eastAsia" w:ascii="仿宋_GB2312" w:hAnsi="仿宋_GB2312" w:eastAsia="仿宋_GB2312" w:cs="仿宋_GB2312"/>
                <w:b w:val="0"/>
                <w:bCs/>
                <w:color w:val="auto"/>
                <w:kern w:val="2"/>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rPr>
              <w:t>标准调研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vAlign w:val="center"/>
          </w:tcPr>
          <w:p>
            <w:pPr>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val="0"/>
                <w:bCs/>
                <w:color w:val="auto"/>
                <w:kern w:val="2"/>
                <w:sz w:val="24"/>
                <w:szCs w:val="24"/>
                <w:highlight w:val="none"/>
                <w:lang w:val="en-US" w:eastAsia="zh-CN" w:bidi="ar-SA"/>
              </w:rPr>
              <w:t>贵阳市市场监管局</w:t>
            </w:r>
          </w:p>
        </w:tc>
        <w:tc>
          <w:tcPr>
            <w:tcW w:w="1245" w:type="dxa"/>
            <w:vAlign w:val="center"/>
          </w:tcPr>
          <w:p>
            <w:pPr>
              <w:spacing w:line="580" w:lineRule="exact"/>
              <w:jc w:val="center"/>
              <w:rPr>
                <w:rFonts w:hint="eastAsia" w:ascii="仿宋_GB2312" w:hAnsi="仿宋_GB2312" w:eastAsia="仿宋_GB2312" w:cs="仿宋_GB2312"/>
                <w:b w:val="0"/>
                <w:bCs/>
                <w:color w:val="auto"/>
                <w:sz w:val="24"/>
                <w:szCs w:val="24"/>
                <w:highlight w:val="none"/>
                <w:vertAlign w:val="baseline"/>
                <w:lang w:val="en-US" w:eastAsia="zh-CN"/>
              </w:rPr>
            </w:pPr>
            <w:r>
              <w:rPr>
                <w:rFonts w:hint="eastAsia" w:ascii="仿宋_GB2312" w:hAnsi="仿宋_GB2312" w:eastAsia="仿宋_GB2312" w:cs="仿宋_GB2312"/>
                <w:b w:val="0"/>
                <w:bCs/>
                <w:sz w:val="24"/>
                <w:szCs w:val="24"/>
                <w:highlight w:val="none"/>
                <w:lang w:val="en-US" w:eastAsia="zh-CN"/>
              </w:rPr>
              <w:t>夏琳婧</w:t>
            </w:r>
          </w:p>
        </w:tc>
        <w:tc>
          <w:tcPr>
            <w:tcW w:w="1665" w:type="dxa"/>
            <w:vAlign w:val="center"/>
          </w:tcPr>
          <w:p>
            <w:pPr>
              <w:spacing w:line="580" w:lineRule="exact"/>
              <w:jc w:val="center"/>
              <w:rPr>
                <w:rFonts w:hint="eastAsia" w:ascii="仿宋_GB2312" w:hAnsi="仿宋_GB2312" w:eastAsia="仿宋_GB2312" w:cs="仿宋_GB2312"/>
                <w:b w:val="0"/>
                <w:bCs/>
                <w:color w:val="auto"/>
                <w:kern w:val="2"/>
                <w:sz w:val="24"/>
                <w:szCs w:val="24"/>
                <w:highlight w:val="none"/>
                <w:vertAlign w:val="baseline"/>
                <w:lang w:val="en-US" w:eastAsia="zh-CN" w:bidi="ar-SA"/>
              </w:rPr>
            </w:pPr>
            <w:r>
              <w:rPr>
                <w:rFonts w:hint="eastAsia" w:ascii="仿宋_GB2312" w:hAnsi="仿宋_GB2312" w:eastAsia="仿宋_GB2312" w:cs="仿宋_GB2312"/>
                <w:b w:val="0"/>
                <w:bCs/>
                <w:sz w:val="24"/>
                <w:szCs w:val="24"/>
                <w:highlight w:val="none"/>
                <w:lang w:val="en-US" w:eastAsia="zh-CN"/>
              </w:rPr>
              <w:t>无</w:t>
            </w:r>
          </w:p>
        </w:tc>
        <w:tc>
          <w:tcPr>
            <w:tcW w:w="2375" w:type="dxa"/>
            <w:vAlign w:val="center"/>
          </w:tcPr>
          <w:p>
            <w:pPr>
              <w:spacing w:line="580" w:lineRule="exact"/>
              <w:jc w:val="center"/>
              <w:rPr>
                <w:rFonts w:hint="eastAsia" w:ascii="仿宋_GB2312" w:hAnsi="仿宋_GB2312" w:eastAsia="仿宋_GB2312" w:cs="仿宋_GB2312"/>
                <w:b w:val="0"/>
                <w:bCs/>
                <w:color w:val="auto"/>
                <w:kern w:val="2"/>
                <w:sz w:val="24"/>
                <w:szCs w:val="24"/>
                <w:highlight w:val="none"/>
                <w:vertAlign w:val="baseline"/>
                <w:lang w:val="en-US" w:eastAsia="zh-CN" w:bidi="ar-SA"/>
              </w:rPr>
            </w:pPr>
            <w:r>
              <w:rPr>
                <w:rFonts w:hint="eastAsia" w:ascii="仿宋_GB2312" w:hAnsi="仿宋_GB2312" w:eastAsia="仿宋_GB2312" w:cs="仿宋_GB2312"/>
                <w:b w:val="0"/>
                <w:bCs/>
                <w:color w:val="auto"/>
                <w:sz w:val="24"/>
                <w:szCs w:val="24"/>
                <w:highlight w:val="none"/>
                <w:lang w:val="en-US" w:eastAsia="zh-CN"/>
              </w:rPr>
              <w:t>标准调研</w:t>
            </w:r>
          </w:p>
        </w:tc>
      </w:tr>
    </w:tbl>
    <w:p>
      <w:pPr>
        <w:pStyle w:val="2"/>
        <w:rPr>
          <w:rFonts w:hint="eastAsia"/>
          <w:highlight w:val="none"/>
        </w:rPr>
      </w:pPr>
    </w:p>
    <w:p>
      <w:pPr>
        <w:keepNext w:val="0"/>
        <w:keepLines w:val="0"/>
        <w:pageBreakBefore w:val="0"/>
        <w:kinsoku/>
        <w:wordWrap/>
        <w:overflowPunct/>
        <w:topLinePunct w:val="0"/>
        <w:autoSpaceDE/>
        <w:autoSpaceDN/>
        <w:bidi w:val="0"/>
        <w:adjustRightInd/>
        <w:snapToGrid/>
        <w:spacing w:line="540" w:lineRule="exact"/>
        <w:ind w:left="0" w:leftChars="0" w:firstLine="640" w:firstLineChars="200"/>
        <w:textAlignment w:val="auto"/>
        <w:rPr>
          <w:rFonts w:hint="eastAsia" w:ascii="黑体" w:hAnsi="黑体" w:eastAsia="黑体"/>
          <w:color w:val="auto"/>
          <w:sz w:val="32"/>
          <w:szCs w:val="32"/>
          <w:highlight w:val="none"/>
        </w:rPr>
      </w:pPr>
      <w:r>
        <w:rPr>
          <w:rFonts w:hint="eastAsia" w:ascii="黑体" w:hAnsi="黑体" w:eastAsia="黑体"/>
          <w:color w:val="auto"/>
          <w:sz w:val="32"/>
          <w:szCs w:val="32"/>
          <w:highlight w:val="none"/>
          <w:lang w:val="en-US" w:eastAsia="zh-CN"/>
        </w:rPr>
        <w:t>三</w:t>
      </w:r>
      <w:r>
        <w:rPr>
          <w:rFonts w:ascii="黑体" w:hAnsi="黑体" w:eastAsia="黑体"/>
          <w:color w:val="auto"/>
          <w:sz w:val="32"/>
          <w:szCs w:val="32"/>
          <w:highlight w:val="none"/>
        </w:rPr>
        <w:t>、主要条款的</w:t>
      </w:r>
      <w:r>
        <w:rPr>
          <w:rFonts w:hint="eastAsia" w:ascii="黑体" w:hAnsi="黑体" w:eastAsia="黑体"/>
          <w:color w:val="auto"/>
          <w:sz w:val="32"/>
          <w:szCs w:val="32"/>
          <w:highlight w:val="none"/>
        </w:rPr>
        <w:t>说明及确定依据</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line="540" w:lineRule="exact"/>
        <w:ind w:left="0" w:leftChars="0" w:firstLine="640" w:firstLineChars="200"/>
        <w:jc w:val="both"/>
        <w:textAlignment w:val="auto"/>
        <w:rPr>
          <w:rFonts w:hint="eastAsia" w:ascii="楷体" w:hAnsi="楷体" w:eastAsia="楷体" w:cs="楷体"/>
          <w:color w:val="auto"/>
          <w:sz w:val="32"/>
          <w:szCs w:val="32"/>
          <w:highlight w:val="none"/>
          <w:lang w:val="en-US" w:eastAsia="zh-CN"/>
        </w:rPr>
      </w:pPr>
      <w:r>
        <w:rPr>
          <w:rFonts w:hint="eastAsia" w:ascii="楷体" w:hAnsi="楷体" w:eastAsia="楷体" w:cs="楷体"/>
          <w:color w:val="auto"/>
          <w:sz w:val="32"/>
          <w:szCs w:val="32"/>
          <w:highlight w:val="none"/>
          <w:lang w:val="en-US" w:eastAsia="zh-CN"/>
        </w:rPr>
        <w:t>（一）范围</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line="54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本文件规定</w:t>
      </w:r>
      <w:r>
        <w:rPr>
          <w:rFonts w:hint="eastAsia" w:ascii="仿宋_GB2312" w:hAnsi="仿宋_GB2312" w:eastAsia="仿宋_GB2312" w:cs="仿宋_GB2312"/>
          <w:color w:val="auto"/>
          <w:sz w:val="32"/>
          <w:szCs w:val="32"/>
          <w:highlight w:val="none"/>
          <w:lang w:eastAsia="zh-CN"/>
        </w:rPr>
        <w:t>了标准的适用</w:t>
      </w:r>
      <w:r>
        <w:rPr>
          <w:rFonts w:hint="eastAsia" w:ascii="仿宋_GB2312" w:hAnsi="仿宋_GB2312" w:eastAsia="仿宋_GB2312" w:cs="仿宋_GB2312"/>
          <w:color w:val="auto"/>
          <w:sz w:val="32"/>
          <w:szCs w:val="32"/>
          <w:highlight w:val="none"/>
        </w:rPr>
        <w:t>范围</w:t>
      </w:r>
      <w:r>
        <w:rPr>
          <w:rFonts w:hint="eastAsia" w:ascii="仿宋_GB2312" w:hAnsi="仿宋_GB2312" w:eastAsia="仿宋_GB2312" w:cs="仿宋_GB2312"/>
          <w:color w:val="auto"/>
          <w:sz w:val="32"/>
          <w:szCs w:val="32"/>
          <w:highlight w:val="none"/>
          <w:lang w:eastAsia="zh-CN"/>
        </w:rPr>
        <w:t>为</w:t>
      </w:r>
      <w:bookmarkStart w:id="16" w:name="OLE_LINK59"/>
      <w:r>
        <w:rPr>
          <w:rFonts w:hint="eastAsia" w:ascii="仿宋_GB2312" w:hAnsi="仿宋_GB2312" w:eastAsia="仿宋_GB2312" w:cs="仿宋_GB2312"/>
          <w:color w:val="auto"/>
          <w:sz w:val="32"/>
          <w:szCs w:val="32"/>
          <w:highlight w:val="none"/>
          <w:lang w:val="en-US" w:eastAsia="zh-CN"/>
        </w:rPr>
        <w:t>采用学校食堂和集体用餐配送单位供餐的中、小学及幼儿园（含农村营养改善计划学校）集中供餐管理</w:t>
      </w:r>
      <w:bookmarkEnd w:id="16"/>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kinsoku/>
        <w:wordWrap/>
        <w:overflowPunct/>
        <w:topLinePunct w:val="0"/>
        <w:autoSpaceDE/>
        <w:autoSpaceDN/>
        <w:bidi w:val="0"/>
        <w:adjustRightInd/>
        <w:snapToGrid/>
        <w:spacing w:line="540" w:lineRule="exact"/>
        <w:ind w:left="0" w:leftChars="0" w:firstLine="640" w:firstLineChars="200"/>
        <w:textAlignment w:val="auto"/>
        <w:rPr>
          <w:rFonts w:hint="eastAsia" w:ascii="楷体" w:hAnsi="楷体" w:eastAsia="楷体" w:cs="楷体"/>
          <w:bCs/>
          <w:color w:val="auto"/>
          <w:sz w:val="32"/>
          <w:szCs w:val="32"/>
          <w:highlight w:val="none"/>
        </w:rPr>
      </w:pPr>
      <w:r>
        <w:rPr>
          <w:rFonts w:hint="eastAsia" w:ascii="楷体" w:hAnsi="楷体" w:eastAsia="楷体" w:cs="楷体"/>
          <w:bCs/>
          <w:color w:val="auto"/>
          <w:sz w:val="32"/>
          <w:szCs w:val="32"/>
          <w:highlight w:val="none"/>
          <w:lang w:eastAsia="zh-CN"/>
        </w:rPr>
        <w:t>（二）</w:t>
      </w:r>
      <w:r>
        <w:rPr>
          <w:rFonts w:hint="eastAsia" w:ascii="楷体" w:hAnsi="楷体" w:eastAsia="楷体" w:cs="楷体"/>
          <w:bCs/>
          <w:color w:val="auto"/>
          <w:sz w:val="32"/>
          <w:szCs w:val="32"/>
          <w:highlight w:val="none"/>
        </w:rPr>
        <w:t>规范性引用文件。</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firstLine="646" w:firstLineChars="202"/>
        <w:jc w:val="both"/>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rPr>
        <w:t>本章列出了本文件中规范性引用的文件。</w:t>
      </w:r>
    </w:p>
    <w:p>
      <w:pPr>
        <w:keepNext w:val="0"/>
        <w:keepLines w:val="0"/>
        <w:pageBreakBefore w:val="0"/>
        <w:kinsoku/>
        <w:wordWrap/>
        <w:overflowPunct/>
        <w:topLinePunct w:val="0"/>
        <w:autoSpaceDE/>
        <w:autoSpaceDN/>
        <w:bidi w:val="0"/>
        <w:adjustRightInd/>
        <w:snapToGrid/>
        <w:spacing w:line="540" w:lineRule="exact"/>
        <w:ind w:left="0" w:leftChars="0" w:firstLine="640" w:firstLineChars="200"/>
        <w:textAlignment w:val="auto"/>
        <w:rPr>
          <w:rFonts w:hint="eastAsia" w:ascii="楷体" w:hAnsi="楷体" w:eastAsia="楷体" w:cs="楷体"/>
          <w:bCs/>
          <w:color w:val="auto"/>
          <w:sz w:val="32"/>
          <w:szCs w:val="32"/>
          <w:highlight w:val="none"/>
          <w:lang w:eastAsia="zh-CN"/>
        </w:rPr>
      </w:pPr>
      <w:r>
        <w:rPr>
          <w:rFonts w:hint="eastAsia" w:ascii="楷体" w:hAnsi="楷体" w:eastAsia="楷体" w:cs="楷体"/>
          <w:bCs/>
          <w:color w:val="auto"/>
          <w:sz w:val="32"/>
          <w:szCs w:val="32"/>
          <w:highlight w:val="none"/>
          <w:lang w:eastAsia="zh-CN"/>
        </w:rPr>
        <w:t>（三）术语和定义</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firstLine="646" w:firstLineChars="202"/>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本章规定了</w:t>
      </w:r>
      <w:r>
        <w:rPr>
          <w:rFonts w:hint="eastAsia" w:ascii="仿宋_GB2312" w:hAnsi="仿宋_GB2312" w:eastAsia="仿宋_GB2312" w:cs="仿宋_GB2312"/>
          <w:color w:val="auto"/>
          <w:sz w:val="32"/>
          <w:szCs w:val="32"/>
          <w:highlight w:val="none"/>
          <w:lang w:val="en-US" w:eastAsia="zh-CN"/>
        </w:rPr>
        <w:t>专间</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专用操作区、中心温度三</w:t>
      </w:r>
      <w:r>
        <w:rPr>
          <w:rFonts w:hint="eastAsia" w:ascii="仿宋_GB2312" w:hAnsi="仿宋_GB2312" w:eastAsia="仿宋_GB2312" w:cs="仿宋_GB2312"/>
          <w:color w:val="auto"/>
          <w:sz w:val="32"/>
          <w:szCs w:val="32"/>
          <w:highlight w:val="none"/>
        </w:rPr>
        <w:t>个在本文件中用到的术语</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suppressLineNumbers w:val="0"/>
        <w:kinsoku/>
        <w:wordWrap/>
        <w:overflowPunct/>
        <w:topLinePunct w:val="0"/>
        <w:autoSpaceDE/>
        <w:autoSpaceDN/>
        <w:bidi w:val="0"/>
        <w:adjustRightInd/>
        <w:snapToGrid/>
        <w:spacing w:line="540" w:lineRule="exact"/>
        <w:ind w:left="0" w:firstLine="643"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1.专间</w:t>
      </w:r>
      <w:r>
        <w:rPr>
          <w:rFonts w:hint="eastAsia" w:ascii="仿宋_GB2312" w:hAnsi="仿宋_GB2312" w:eastAsia="仿宋_GB2312" w:cs="仿宋_GB2312"/>
          <w:color w:val="auto"/>
          <w:sz w:val="32"/>
          <w:szCs w:val="32"/>
          <w:highlight w:val="none"/>
          <w:lang w:eastAsia="zh-CN"/>
        </w:rPr>
        <w:t>来源于《</w:t>
      </w:r>
      <w:r>
        <w:rPr>
          <w:rFonts w:hint="eastAsia" w:ascii="仿宋_GB2312" w:hAnsi="仿宋_GB2312" w:eastAsia="仿宋_GB2312" w:cs="仿宋_GB2312"/>
          <w:color w:val="auto"/>
          <w:sz w:val="32"/>
          <w:szCs w:val="32"/>
          <w:highlight w:val="none"/>
          <w:lang w:val="en-US" w:eastAsia="zh-CN"/>
        </w:rPr>
        <w:t>GB 31654-2021 食品安全国家标准 餐饮服务通用卫生规范</w:t>
      </w:r>
      <w:r>
        <w:rPr>
          <w:rFonts w:hint="eastAsia" w:ascii="仿宋_GB2312" w:hAnsi="仿宋_GB2312" w:eastAsia="仿宋_GB2312" w:cs="仿宋_GB2312"/>
          <w:color w:val="auto"/>
          <w:sz w:val="32"/>
          <w:szCs w:val="32"/>
          <w:highlight w:val="none"/>
          <w:lang w:eastAsia="zh-CN"/>
        </w:rPr>
        <w:t>》</w:t>
      </w:r>
      <w:r>
        <w:rPr>
          <w:rFonts w:hint="eastAsia" w:ascii="仿宋_GB2312" w:eastAsia="仿宋_GB2312" w:cs="仿宋_GB2312"/>
          <w:color w:val="auto"/>
          <w:sz w:val="32"/>
          <w:szCs w:val="32"/>
          <w:highlight w:val="none"/>
          <w:lang w:val="en-US" w:eastAsia="zh-CN"/>
        </w:rPr>
        <w:t>，是指为防止食品受到污染，以分隔方式设置的清洁程度要求较高的加工直接入口食品的专用操作间</w:t>
      </w:r>
      <w:r>
        <w:rPr>
          <w:rFonts w:hint="eastAsia" w:ascii="仿宋_GB2312" w:hAnsi="仿宋_GB2312" w:eastAsia="仿宋_GB2312" w:cs="仿宋_GB2312"/>
          <w:color w:val="auto"/>
          <w:sz w:val="32"/>
          <w:szCs w:val="32"/>
          <w:highlight w:val="none"/>
          <w:lang w:val="en-US" w:eastAsia="zh-CN"/>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tLeast"/>
        <w:ind w:left="0" w:leftChars="0" w:right="0" w:firstLine="643" w:firstLineChars="200"/>
        <w:jc w:val="both"/>
        <w:textAlignment w:val="auto"/>
        <w:rPr>
          <w:rFonts w:hint="eastAsia" w:asci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2.专用操作区</w:t>
      </w:r>
      <w:r>
        <w:rPr>
          <w:rFonts w:hint="eastAsia" w:ascii="仿宋_GB2312" w:hAnsi="仿宋_GB2312" w:eastAsia="仿宋_GB2312" w:cs="仿宋_GB2312"/>
          <w:color w:val="auto"/>
          <w:sz w:val="32"/>
          <w:szCs w:val="32"/>
          <w:highlight w:val="none"/>
          <w:lang w:val="en-US" w:eastAsia="zh-CN"/>
        </w:rPr>
        <w:t>来源于</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GB 31654-2021 食品安全国家标准 餐饮服务通用卫生规范</w:t>
      </w:r>
      <w:r>
        <w:rPr>
          <w:rFonts w:hint="eastAsia" w:ascii="仿宋_GB2312" w:hAnsi="仿宋_GB2312" w:eastAsia="仿宋_GB2312" w:cs="仿宋_GB2312"/>
          <w:color w:val="auto"/>
          <w:sz w:val="32"/>
          <w:szCs w:val="32"/>
          <w:highlight w:val="none"/>
          <w:lang w:eastAsia="zh-CN"/>
        </w:rPr>
        <w:t>》</w:t>
      </w:r>
      <w:r>
        <w:rPr>
          <w:rFonts w:hint="eastAsia" w:ascii="仿宋_GB2312" w:eastAsia="仿宋_GB2312" w:cs="仿宋_GB2312"/>
          <w:color w:val="auto"/>
          <w:sz w:val="32"/>
          <w:szCs w:val="32"/>
          <w:highlight w:val="none"/>
          <w:lang w:val="en-US" w:eastAsia="zh-CN"/>
        </w:rPr>
        <w:t>，</w:t>
      </w:r>
      <w:r>
        <w:rPr>
          <w:rFonts w:hint="eastAsia" w:ascii="仿宋_GB2312" w:cs="仿宋_GB2312"/>
          <w:color w:val="auto"/>
          <w:sz w:val="32"/>
          <w:szCs w:val="32"/>
          <w:highlight w:val="none"/>
          <w:lang w:val="en-US" w:eastAsia="zh-CN"/>
        </w:rPr>
        <w:t>是指</w:t>
      </w:r>
      <w:r>
        <w:rPr>
          <w:rFonts w:hint="eastAsia" w:ascii="仿宋_GB2312" w:eastAsia="仿宋_GB2312" w:cs="仿宋_GB2312"/>
          <w:color w:val="auto"/>
          <w:sz w:val="32"/>
          <w:szCs w:val="32"/>
          <w:highlight w:val="none"/>
          <w:lang w:val="en-US" w:eastAsia="zh-CN"/>
        </w:rPr>
        <w:t>为防止食品受到污染，以分离方式设置的清洁程度要求较高的加工直接入口食品的专用操作区域。</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tLeast"/>
        <w:ind w:left="0" w:leftChars="0" w:right="0" w:firstLine="643" w:firstLineChars="200"/>
        <w:jc w:val="both"/>
        <w:textAlignment w:val="auto"/>
        <w:rPr>
          <w:rFonts w:hint="default" w:ascii="仿宋" w:hAnsi="仿宋" w:eastAsia="仿宋" w:cs="仿宋"/>
          <w:color w:val="auto"/>
          <w:kern w:val="2"/>
          <w:sz w:val="32"/>
          <w:szCs w:val="32"/>
          <w:highlight w:val="none"/>
          <w:lang w:val="en-US" w:eastAsia="zh-CN" w:bidi="ar-SA"/>
        </w:rPr>
      </w:pPr>
      <w:r>
        <w:rPr>
          <w:rFonts w:hint="eastAsia" w:ascii="仿宋_GB2312" w:hAnsi="仿宋_GB2312" w:eastAsia="仿宋_GB2312" w:cs="仿宋_GB2312"/>
          <w:b/>
          <w:bCs/>
          <w:color w:val="auto"/>
          <w:sz w:val="32"/>
          <w:szCs w:val="32"/>
          <w:highlight w:val="none"/>
          <w:lang w:val="en-US" w:eastAsia="zh-CN"/>
        </w:rPr>
        <w:t>3.中心温度</w:t>
      </w:r>
      <w:r>
        <w:rPr>
          <w:rFonts w:hint="eastAsia" w:ascii="仿宋_GB2312" w:hAnsi="仿宋_GB2312" w:eastAsia="仿宋_GB2312" w:cs="仿宋_GB2312"/>
          <w:color w:val="auto"/>
          <w:sz w:val="32"/>
          <w:szCs w:val="32"/>
          <w:highlight w:val="none"/>
          <w:lang w:val="en-US" w:eastAsia="zh-CN"/>
        </w:rPr>
        <w:t>来源于</w:t>
      </w:r>
      <w:r>
        <w:rPr>
          <w:rFonts w:hint="eastAsia" w:ascii="仿宋_GB2312" w:hAnsi="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餐饮服务食品安全操作规范</w:t>
      </w:r>
      <w:r>
        <w:rPr>
          <w:rFonts w:hint="eastAsia" w:ascii="仿宋_GB2312" w:hAnsi="仿宋_GB2312" w:cs="仿宋_GB2312"/>
          <w:color w:val="auto"/>
          <w:sz w:val="32"/>
          <w:szCs w:val="32"/>
          <w:highlight w:val="none"/>
          <w:lang w:val="en-US" w:eastAsia="zh-CN"/>
        </w:rPr>
        <w:t>》，是</w:t>
      </w:r>
      <w:r>
        <w:rPr>
          <w:rFonts w:hint="eastAsia" w:ascii="Times New Roman" w:hAnsi="Times New Roman" w:eastAsia="仿宋_GB2312" w:cs="Times New Roman"/>
          <w:sz w:val="32"/>
          <w:szCs w:val="32"/>
          <w:highlight w:val="none"/>
        </w:rPr>
        <w:t>指块状食品或有容器存放的液态食品的中心部位的温度。</w:t>
      </w:r>
    </w:p>
    <w:p>
      <w:pPr>
        <w:keepNext w:val="0"/>
        <w:keepLines w:val="0"/>
        <w:pageBreakBefore w:val="0"/>
        <w:widowControl/>
        <w:suppressLineNumbers w:val="0"/>
        <w:kinsoku/>
        <w:wordWrap/>
        <w:overflowPunct/>
        <w:topLinePunct w:val="0"/>
        <w:autoSpaceDE/>
        <w:autoSpaceDN/>
        <w:bidi w:val="0"/>
        <w:adjustRightInd/>
        <w:snapToGrid/>
        <w:spacing w:line="540" w:lineRule="exact"/>
        <w:ind w:left="0" w:firstLine="640" w:firstLineChars="200"/>
        <w:jc w:val="both"/>
        <w:textAlignment w:val="auto"/>
        <w:rPr>
          <w:rFonts w:hint="eastAsia" w:ascii="楷体" w:hAnsi="楷体" w:eastAsia="楷体" w:cs="楷体"/>
          <w:color w:val="auto"/>
          <w:sz w:val="32"/>
          <w:szCs w:val="32"/>
          <w:highlight w:val="none"/>
          <w:lang w:val="en-US" w:eastAsia="zh-CN"/>
        </w:rPr>
      </w:pPr>
      <w:r>
        <w:rPr>
          <w:rFonts w:hint="eastAsia" w:ascii="楷体" w:hAnsi="楷体" w:eastAsia="楷体" w:cs="楷体"/>
          <w:color w:val="auto"/>
          <w:sz w:val="32"/>
          <w:szCs w:val="32"/>
          <w:highlight w:val="none"/>
          <w:lang w:val="en-US" w:eastAsia="zh-CN"/>
        </w:rPr>
        <w:t>（四）总体要求</w:t>
      </w:r>
    </w:p>
    <w:p>
      <w:pPr>
        <w:pStyle w:val="2"/>
        <w:keepNext w:val="0"/>
        <w:keepLines w:val="0"/>
        <w:pageBreakBefore w:val="0"/>
        <w:kinsoku/>
        <w:wordWrap/>
        <w:overflowPunct/>
        <w:topLinePunct w:val="0"/>
        <w:autoSpaceDE/>
        <w:autoSpaceDN/>
        <w:bidi w:val="0"/>
        <w:adjustRightInd/>
        <w:snapToGrid/>
        <w:spacing w:line="540" w:lineRule="exact"/>
        <w:ind w:left="0" w:leftChars="0" w:firstLine="598" w:firstLineChars="187"/>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本章主要是</w:t>
      </w:r>
      <w:r>
        <w:rPr>
          <w:rFonts w:hint="eastAsia" w:ascii="仿宋_GB2312" w:hAnsi="仿宋_GB2312" w:eastAsia="仿宋_GB2312" w:cs="仿宋_GB2312"/>
          <w:color w:val="auto"/>
          <w:sz w:val="32"/>
          <w:szCs w:val="32"/>
          <w:highlight w:val="none"/>
          <w:lang w:val="en-US" w:eastAsia="zh-CN"/>
        </w:rPr>
        <w:t>对学校食堂和集体用餐配送单位的主体责任做明确规定，对人员和设备配置、食品安全责任保险、生产管理体系、营养菜谱、陪餐等方面做了一定要求。</w:t>
      </w:r>
    </w:p>
    <w:p>
      <w:pPr>
        <w:keepNext w:val="0"/>
        <w:keepLines w:val="0"/>
        <w:pageBreakBefore w:val="0"/>
        <w:numPr>
          <w:ilvl w:val="0"/>
          <w:numId w:val="0"/>
        </w:numPr>
        <w:kinsoku/>
        <w:wordWrap/>
        <w:overflowPunct/>
        <w:topLinePunct w:val="0"/>
        <w:autoSpaceDE/>
        <w:autoSpaceDN/>
        <w:bidi w:val="0"/>
        <w:adjustRightInd/>
        <w:snapToGrid/>
        <w:spacing w:line="540" w:lineRule="exact"/>
        <w:ind w:leftChars="200"/>
        <w:textAlignment w:val="auto"/>
        <w:rPr>
          <w:rFonts w:hint="eastAsia" w:ascii="楷体" w:hAnsi="楷体" w:eastAsia="楷体" w:cs="楷体"/>
          <w:color w:val="auto"/>
          <w:sz w:val="32"/>
          <w:szCs w:val="32"/>
          <w:highlight w:val="none"/>
          <w:lang w:val="en-US" w:eastAsia="zh-CN"/>
        </w:rPr>
      </w:pPr>
      <w:r>
        <w:rPr>
          <w:rFonts w:hint="eastAsia" w:ascii="楷体" w:hAnsi="楷体" w:eastAsia="楷体" w:cs="楷体"/>
          <w:color w:val="auto"/>
          <w:sz w:val="32"/>
          <w:szCs w:val="32"/>
          <w:highlight w:val="none"/>
          <w:lang w:val="en-US" w:eastAsia="zh-CN"/>
        </w:rPr>
        <w:t>（五）管理要求</w:t>
      </w:r>
    </w:p>
    <w:p>
      <w:pPr>
        <w:pStyle w:val="2"/>
        <w:keepNext w:val="0"/>
        <w:keepLines w:val="0"/>
        <w:pageBreakBefore w:val="0"/>
        <w:kinsoku/>
        <w:wordWrap/>
        <w:overflowPunct/>
        <w:topLinePunct w:val="0"/>
        <w:autoSpaceDE/>
        <w:autoSpaceDN/>
        <w:bidi w:val="0"/>
        <w:adjustRightInd/>
        <w:snapToGrid/>
        <w:spacing w:line="540" w:lineRule="exact"/>
        <w:ind w:left="0" w:leftChars="0" w:firstLine="598" w:firstLineChars="187"/>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本章主要包含布局与设置、设施设备、</w:t>
      </w:r>
      <w:bookmarkStart w:id="17" w:name="OLE_LINK35"/>
      <w:r>
        <w:rPr>
          <w:rFonts w:hint="eastAsia" w:ascii="仿宋_GB2312" w:hAnsi="仿宋_GB2312" w:eastAsia="仿宋_GB2312" w:cs="仿宋_GB2312"/>
          <w:b w:val="0"/>
          <w:bCs w:val="0"/>
          <w:color w:val="auto"/>
          <w:sz w:val="32"/>
          <w:szCs w:val="32"/>
          <w:highlight w:val="none"/>
          <w:lang w:val="en-US" w:eastAsia="zh-CN"/>
        </w:rPr>
        <w:t>制度建设</w:t>
      </w:r>
      <w:bookmarkEnd w:id="17"/>
      <w:r>
        <w:rPr>
          <w:rFonts w:hint="eastAsia" w:ascii="仿宋_GB2312" w:hAnsi="仿宋_GB2312" w:eastAsia="仿宋_GB2312" w:cs="仿宋_GB2312"/>
          <w:b w:val="0"/>
          <w:bCs w:val="0"/>
          <w:color w:val="auto"/>
          <w:sz w:val="32"/>
          <w:szCs w:val="32"/>
          <w:highlight w:val="none"/>
          <w:lang w:val="en-US" w:eastAsia="zh-CN"/>
        </w:rPr>
        <w:t>、</w:t>
      </w:r>
      <w:bookmarkStart w:id="18" w:name="OLE_LINK36"/>
      <w:r>
        <w:rPr>
          <w:rFonts w:hint="eastAsia" w:ascii="仿宋_GB2312" w:hAnsi="仿宋_GB2312" w:eastAsia="仿宋_GB2312" w:cs="仿宋_GB2312"/>
          <w:b w:val="0"/>
          <w:bCs w:val="0"/>
          <w:color w:val="auto"/>
          <w:sz w:val="32"/>
          <w:szCs w:val="32"/>
          <w:highlight w:val="none"/>
          <w:lang w:val="en-US" w:eastAsia="zh-CN"/>
        </w:rPr>
        <w:t>人员管理</w:t>
      </w:r>
      <w:bookmarkEnd w:id="18"/>
      <w:r>
        <w:rPr>
          <w:rFonts w:hint="eastAsia" w:ascii="仿宋_GB2312" w:hAnsi="仿宋_GB2312" w:eastAsia="仿宋_GB2312" w:cs="仿宋_GB2312"/>
          <w:b w:val="0"/>
          <w:bCs w:val="0"/>
          <w:color w:val="auto"/>
          <w:sz w:val="32"/>
          <w:szCs w:val="32"/>
          <w:highlight w:val="none"/>
          <w:lang w:val="en-US" w:eastAsia="zh-CN"/>
        </w:rPr>
        <w:t>、</w:t>
      </w:r>
      <w:bookmarkStart w:id="19" w:name="OLE_LINK37"/>
      <w:r>
        <w:rPr>
          <w:rFonts w:hint="eastAsia" w:ascii="仿宋_GB2312" w:hAnsi="仿宋_GB2312" w:eastAsia="仿宋_GB2312" w:cs="仿宋_GB2312"/>
          <w:b w:val="0"/>
          <w:bCs w:val="0"/>
          <w:color w:val="auto"/>
          <w:sz w:val="32"/>
          <w:szCs w:val="32"/>
          <w:highlight w:val="none"/>
          <w:lang w:val="en-US" w:eastAsia="zh-CN"/>
        </w:rPr>
        <w:t>膳食营养</w:t>
      </w:r>
      <w:bookmarkEnd w:id="19"/>
      <w:r>
        <w:rPr>
          <w:rFonts w:hint="eastAsia" w:ascii="仿宋_GB2312" w:hAnsi="仿宋_GB2312" w:eastAsia="仿宋_GB2312" w:cs="仿宋_GB2312"/>
          <w:b w:val="0"/>
          <w:bCs w:val="0"/>
          <w:color w:val="auto"/>
          <w:sz w:val="32"/>
          <w:szCs w:val="32"/>
          <w:highlight w:val="none"/>
          <w:lang w:val="en-US" w:eastAsia="zh-CN"/>
        </w:rPr>
        <w:t>、互联网+明厨亮灶、快速检测、食品添加剂、洗涤剂、消毒剂、杀虫剂和杀鼠剂这9项条款。“互联网+明厨亮灶”是贵阳市餐饮工作的一大亮点工作，故而将该项条款纳入管理要求；快速检测条款中，</w:t>
      </w:r>
      <w:bookmarkStart w:id="20" w:name="OLE_LINK24"/>
      <w:r>
        <w:rPr>
          <w:rFonts w:hint="eastAsia" w:ascii="仿宋_GB2312" w:hAnsi="仿宋_GB2312" w:eastAsia="仿宋_GB2312" w:cs="仿宋_GB2312"/>
          <w:b w:val="0"/>
          <w:bCs w:val="0"/>
          <w:color w:val="auto"/>
          <w:sz w:val="32"/>
          <w:szCs w:val="32"/>
          <w:highlight w:val="none"/>
          <w:lang w:val="en-US" w:eastAsia="zh-CN"/>
        </w:rPr>
        <w:t>集体用餐配送单位</w:t>
      </w:r>
      <w:bookmarkEnd w:id="20"/>
      <w:r>
        <w:rPr>
          <w:rFonts w:hint="eastAsia" w:ascii="仿宋_GB2312" w:hAnsi="仿宋_GB2312" w:eastAsia="仿宋_GB2312" w:cs="仿宋_GB2312"/>
          <w:b w:val="0"/>
          <w:bCs w:val="0"/>
          <w:color w:val="auto"/>
          <w:sz w:val="32"/>
          <w:szCs w:val="32"/>
          <w:highlight w:val="none"/>
          <w:lang w:val="en-US" w:eastAsia="zh-CN"/>
        </w:rPr>
        <w:t>必须开展快速检测工作，可采取自行或委托具有资质的第三方机构进行。由于学校食堂场地和人员有限，故而鼓励学校食堂开展快速检测工作。</w:t>
      </w:r>
    </w:p>
    <w:p>
      <w:pPr>
        <w:keepNext w:val="0"/>
        <w:keepLines w:val="0"/>
        <w:pageBreakBefore w:val="0"/>
        <w:numPr>
          <w:ilvl w:val="0"/>
          <w:numId w:val="0"/>
        </w:numPr>
        <w:kinsoku/>
        <w:wordWrap/>
        <w:overflowPunct/>
        <w:topLinePunct w:val="0"/>
        <w:autoSpaceDE/>
        <w:autoSpaceDN/>
        <w:bidi w:val="0"/>
        <w:adjustRightInd/>
        <w:snapToGrid/>
        <w:spacing w:line="540" w:lineRule="exact"/>
        <w:ind w:leftChars="200"/>
        <w:textAlignment w:val="auto"/>
        <w:rPr>
          <w:rFonts w:hint="default" w:ascii="楷体" w:hAnsi="楷体" w:eastAsia="楷体" w:cs="楷体"/>
          <w:color w:val="auto"/>
          <w:sz w:val="32"/>
          <w:szCs w:val="32"/>
          <w:highlight w:val="none"/>
          <w:lang w:val="en-US" w:eastAsia="zh-CN"/>
        </w:rPr>
      </w:pPr>
      <w:r>
        <w:rPr>
          <w:rFonts w:hint="eastAsia" w:ascii="楷体" w:hAnsi="楷体" w:eastAsia="楷体" w:cs="楷体"/>
          <w:color w:val="auto"/>
          <w:sz w:val="32"/>
          <w:szCs w:val="32"/>
          <w:highlight w:val="none"/>
          <w:lang w:val="en-US" w:eastAsia="zh-CN"/>
        </w:rPr>
        <w:t>（六）供餐过程管理</w:t>
      </w:r>
    </w:p>
    <w:p>
      <w:pPr>
        <w:keepNext w:val="0"/>
        <w:keepLines w:val="0"/>
        <w:pageBreakBefore w:val="0"/>
        <w:kinsoku/>
        <w:wordWrap/>
        <w:overflowPunct/>
        <w:topLinePunct w:val="0"/>
        <w:autoSpaceDE/>
        <w:autoSpaceDN/>
        <w:bidi w:val="0"/>
        <w:adjustRightInd/>
        <w:snapToGrid/>
        <w:spacing w:line="540" w:lineRule="exact"/>
        <w:ind w:left="0" w:leftChars="0"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本章主要</w:t>
      </w:r>
      <w:r>
        <w:rPr>
          <w:rFonts w:hint="eastAsia" w:ascii="仿宋_GB2312" w:hAnsi="仿宋_GB2312" w:eastAsia="仿宋_GB2312" w:cs="仿宋_GB2312"/>
          <w:color w:val="auto"/>
          <w:kern w:val="2"/>
          <w:sz w:val="32"/>
          <w:szCs w:val="32"/>
          <w:highlight w:val="none"/>
          <w:lang w:val="en-US" w:eastAsia="zh-CN" w:bidi="ar-SA"/>
        </w:rPr>
        <w:t>从食品、食品添加剂及食品相关产品的采购与验收、原料贮存、食品加工、留样、集体用餐配送单位的膳食配送、餐前查验、就餐管理、食品安全事故处理、餐饮具清洗消毒、餐厨废弃物管理、有害生物控制这11个方面</w:t>
      </w:r>
      <w:r>
        <w:rPr>
          <w:rFonts w:hint="eastAsia" w:ascii="仿宋" w:hAnsi="仿宋" w:eastAsia="仿宋" w:cs="仿宋"/>
          <w:color w:val="auto"/>
          <w:sz w:val="32"/>
          <w:szCs w:val="32"/>
          <w:highlight w:val="none"/>
          <w:lang w:val="en-US" w:eastAsia="zh-CN"/>
        </w:rPr>
        <w:t>提出要求。其中</w:t>
      </w:r>
      <w:r>
        <w:rPr>
          <w:rFonts w:hint="eastAsia" w:ascii="仿宋_GB2312" w:hAnsi="仿宋_GB2312" w:eastAsia="仿宋_GB2312" w:cs="仿宋_GB2312"/>
          <w:color w:val="auto"/>
          <w:kern w:val="2"/>
          <w:sz w:val="32"/>
          <w:szCs w:val="32"/>
          <w:highlight w:val="none"/>
          <w:lang w:val="en-US" w:eastAsia="zh-CN" w:bidi="ar-SA"/>
        </w:rPr>
        <w:t>食品加工环节又对初加工、烹饪、专间和专用操作区操作、冷却、色标管理、食品相关产品使用等环节做了进一步分解和规定。</w:t>
      </w:r>
    </w:p>
    <w:p>
      <w:pPr>
        <w:pStyle w:val="2"/>
        <w:keepNext w:val="0"/>
        <w:keepLines w:val="0"/>
        <w:pageBreakBefore w:val="0"/>
        <w:numPr>
          <w:ilvl w:val="0"/>
          <w:numId w:val="0"/>
        </w:numPr>
        <w:kinsoku/>
        <w:wordWrap/>
        <w:overflowPunct/>
        <w:topLinePunct w:val="0"/>
        <w:autoSpaceDE/>
        <w:autoSpaceDN/>
        <w:bidi w:val="0"/>
        <w:adjustRightInd/>
        <w:snapToGrid/>
        <w:spacing w:line="540" w:lineRule="exact"/>
        <w:ind w:left="600" w:leftChars="0"/>
        <w:textAlignment w:val="auto"/>
        <w:rPr>
          <w:rFonts w:hint="eastAsia" w:ascii="楷体" w:hAnsi="楷体" w:eastAsia="楷体" w:cs="楷体"/>
          <w:b w:val="0"/>
          <w:bCs w:val="0"/>
          <w:color w:val="auto"/>
          <w:sz w:val="32"/>
          <w:szCs w:val="32"/>
          <w:highlight w:val="none"/>
          <w:lang w:val="en-US" w:eastAsia="zh-CN"/>
        </w:rPr>
      </w:pPr>
      <w:r>
        <w:rPr>
          <w:rFonts w:hint="eastAsia" w:ascii="楷体" w:hAnsi="楷体" w:eastAsia="楷体" w:cs="楷体"/>
          <w:color w:val="auto"/>
          <w:sz w:val="32"/>
          <w:szCs w:val="32"/>
          <w:highlight w:val="none"/>
          <w:lang w:val="en-US" w:eastAsia="zh-CN"/>
        </w:rPr>
        <w:t>（七）</w:t>
      </w:r>
      <w:r>
        <w:rPr>
          <w:rFonts w:hint="eastAsia" w:ascii="楷体" w:hAnsi="楷体" w:eastAsia="楷体" w:cs="楷体"/>
          <w:b w:val="0"/>
          <w:bCs w:val="0"/>
          <w:color w:val="auto"/>
          <w:sz w:val="32"/>
          <w:szCs w:val="32"/>
          <w:highlight w:val="none"/>
          <w:lang w:val="en-US" w:eastAsia="zh-CN"/>
        </w:rPr>
        <w:t>监督及评价</w:t>
      </w:r>
    </w:p>
    <w:p>
      <w:pPr>
        <w:pStyle w:val="2"/>
        <w:keepNext w:val="0"/>
        <w:keepLines w:val="0"/>
        <w:pageBreakBefore w:val="0"/>
        <w:numPr>
          <w:ilvl w:val="0"/>
          <w:numId w:val="0"/>
        </w:numPr>
        <w:kinsoku/>
        <w:wordWrap/>
        <w:overflowPunct/>
        <w:topLinePunct w:val="0"/>
        <w:autoSpaceDE/>
        <w:autoSpaceDN/>
        <w:bidi w:val="0"/>
        <w:adjustRightInd/>
        <w:snapToGrid/>
        <w:spacing w:line="540" w:lineRule="exact"/>
        <w:ind w:left="0" w:leftChars="0" w:firstLine="598" w:firstLineChars="187"/>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为持续不断约束学校食堂和集体用餐配送单位供餐卫生水平，要求学校食堂和集体用餐配送单位要配合接受相关部门检查，定期进行自评或委托专业机构开展第三方评估，建立并畅通投诉渠道，不断改进管理方法和完善技术手段。</w:t>
      </w:r>
    </w:p>
    <w:p>
      <w:pPr>
        <w:pStyle w:val="2"/>
        <w:keepNext w:val="0"/>
        <w:keepLines w:val="0"/>
        <w:pageBreakBefore w:val="0"/>
        <w:numPr>
          <w:ilvl w:val="0"/>
          <w:numId w:val="0"/>
        </w:numPr>
        <w:kinsoku/>
        <w:wordWrap/>
        <w:overflowPunct/>
        <w:topLinePunct w:val="0"/>
        <w:autoSpaceDE/>
        <w:autoSpaceDN/>
        <w:bidi w:val="0"/>
        <w:adjustRightInd/>
        <w:snapToGrid/>
        <w:spacing w:line="540" w:lineRule="exact"/>
        <w:ind w:left="600" w:leftChars="0"/>
        <w:textAlignment w:val="auto"/>
        <w:rPr>
          <w:rFonts w:hint="eastAsia" w:ascii="楷体" w:hAnsi="楷体" w:eastAsia="楷体" w:cs="楷体"/>
          <w:b w:val="0"/>
          <w:bCs w:val="0"/>
          <w:color w:val="auto"/>
          <w:sz w:val="32"/>
          <w:szCs w:val="32"/>
          <w:highlight w:val="none"/>
          <w:lang w:val="en-US" w:eastAsia="zh-CN"/>
        </w:rPr>
      </w:pPr>
      <w:r>
        <w:rPr>
          <w:rFonts w:hint="eastAsia" w:ascii="楷体" w:hAnsi="楷体" w:eastAsia="楷体" w:cs="楷体"/>
          <w:b w:val="0"/>
          <w:bCs w:val="0"/>
          <w:color w:val="auto"/>
          <w:sz w:val="32"/>
          <w:szCs w:val="32"/>
          <w:highlight w:val="none"/>
          <w:lang w:val="en-US" w:eastAsia="zh-CN"/>
        </w:rPr>
        <w:t>（八）附录A不同供餐方式经营主体资质要求表</w:t>
      </w:r>
    </w:p>
    <w:p>
      <w:pPr>
        <w:pStyle w:val="2"/>
        <w:keepNext w:val="0"/>
        <w:keepLines w:val="0"/>
        <w:pageBreakBefore w:val="0"/>
        <w:numPr>
          <w:ilvl w:val="0"/>
          <w:numId w:val="0"/>
        </w:numPr>
        <w:kinsoku/>
        <w:wordWrap/>
        <w:overflowPunct/>
        <w:topLinePunct w:val="0"/>
        <w:autoSpaceDE/>
        <w:autoSpaceDN/>
        <w:bidi w:val="0"/>
        <w:adjustRightInd/>
        <w:snapToGrid/>
        <w:spacing w:line="540" w:lineRule="exact"/>
        <w:ind w:left="0" w:leftChars="0" w:firstLine="598" w:firstLineChars="187"/>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在调研过程中发现，贵阳市学生供餐存在学校自管自办、校内委托加工、</w:t>
      </w:r>
      <w:bookmarkStart w:id="21" w:name="OLE_LINK6"/>
      <w:r>
        <w:rPr>
          <w:rFonts w:hint="eastAsia" w:ascii="仿宋_GB2312" w:hAnsi="仿宋_GB2312" w:eastAsia="仿宋_GB2312" w:cs="仿宋_GB2312"/>
          <w:color w:val="auto"/>
          <w:sz w:val="32"/>
          <w:szCs w:val="32"/>
          <w:highlight w:val="none"/>
          <w:lang w:val="en-US" w:eastAsia="zh-CN"/>
        </w:rPr>
        <w:t>集体用餐配送单位</w:t>
      </w:r>
      <w:bookmarkEnd w:id="21"/>
      <w:r>
        <w:rPr>
          <w:rFonts w:hint="eastAsia" w:ascii="仿宋_GB2312" w:hAnsi="仿宋_GB2312" w:eastAsia="仿宋_GB2312" w:cs="仿宋_GB2312"/>
          <w:color w:val="auto"/>
          <w:sz w:val="32"/>
          <w:szCs w:val="32"/>
          <w:highlight w:val="none"/>
          <w:lang w:val="en-US" w:eastAsia="zh-CN"/>
        </w:rPr>
        <w:t>供餐三种供餐形式，不同供餐形式的经营主体和资质要求不同，因此编制了附录A不同供餐方式经营主体资质要求表，可直观发现不同供餐形式之间存在的区别及各自的经营主体和资质要求。</w:t>
      </w:r>
    </w:p>
    <w:p>
      <w:pPr>
        <w:numPr>
          <w:ilvl w:val="0"/>
          <w:numId w:val="1"/>
        </w:numPr>
        <w:ind w:firstLine="640" w:firstLineChars="200"/>
        <w:rPr>
          <w:rFonts w:hint="eastAsia" w:ascii="楷体" w:hAnsi="楷体" w:eastAsia="楷体" w:cs="楷体"/>
          <w:b w:val="0"/>
          <w:bCs w:val="0"/>
          <w:color w:val="auto"/>
          <w:sz w:val="32"/>
          <w:szCs w:val="32"/>
          <w:highlight w:val="none"/>
          <w:lang w:val="en-US" w:eastAsia="zh-CN"/>
        </w:rPr>
      </w:pPr>
      <w:r>
        <w:rPr>
          <w:rFonts w:hint="eastAsia" w:ascii="楷体" w:hAnsi="楷体" w:eastAsia="楷体" w:cs="楷体"/>
          <w:b w:val="0"/>
          <w:bCs w:val="0"/>
          <w:color w:val="auto"/>
          <w:sz w:val="32"/>
          <w:szCs w:val="32"/>
          <w:highlight w:val="none"/>
          <w:lang w:val="en-US" w:eastAsia="zh-CN"/>
        </w:rPr>
        <w:t>附录B色标颜色推荐及分类表</w:t>
      </w:r>
    </w:p>
    <w:p>
      <w:pPr>
        <w:pStyle w:val="2"/>
        <w:keepNext w:val="0"/>
        <w:keepLines w:val="0"/>
        <w:pageBreakBefore w:val="0"/>
        <w:numPr>
          <w:ilvl w:val="0"/>
          <w:numId w:val="0"/>
        </w:numPr>
        <w:kinsoku/>
        <w:wordWrap/>
        <w:overflowPunct/>
        <w:topLinePunct w:val="0"/>
        <w:autoSpaceDE/>
        <w:autoSpaceDN/>
        <w:bidi w:val="0"/>
        <w:adjustRightInd/>
        <w:snapToGrid/>
        <w:spacing w:line="540" w:lineRule="exact"/>
        <w:ind w:left="0" w:leftChars="0" w:firstLine="598" w:firstLineChars="187"/>
        <w:textAlignment w:val="auto"/>
        <w:rPr>
          <w:rFonts w:hint="eastAsia"/>
          <w:highlight w:val="none"/>
          <w:lang w:val="en-US" w:eastAsia="zh-CN"/>
        </w:rPr>
      </w:pPr>
      <w:r>
        <w:rPr>
          <w:rFonts w:hint="eastAsia" w:ascii="仿宋_GB2312" w:hAnsi="仿宋_GB2312" w:eastAsia="仿宋_GB2312" w:cs="仿宋_GB2312"/>
          <w:color w:val="auto"/>
          <w:sz w:val="32"/>
          <w:szCs w:val="32"/>
          <w:highlight w:val="none"/>
          <w:lang w:val="en-US" w:eastAsia="zh-CN"/>
        </w:rPr>
        <w:t>在调研过程中发现，各学校食堂和集体用餐配送单位对色标管理的分类和颜色标识管理混乱，有些学校食堂和集体用餐配送单位也未进行色标管理，因此编制了附录B色标颜色推荐及分类表，对色标管理分类和颜色标识做了推荐参考。</w:t>
      </w:r>
    </w:p>
    <w:p>
      <w:pPr>
        <w:keepNext w:val="0"/>
        <w:keepLines w:val="0"/>
        <w:pageBreakBefore w:val="0"/>
        <w:widowControl/>
        <w:kinsoku/>
        <w:wordWrap/>
        <w:overflowPunct/>
        <w:topLinePunct w:val="0"/>
        <w:autoSpaceDE/>
        <w:autoSpaceDN/>
        <w:bidi w:val="0"/>
        <w:adjustRightInd/>
        <w:snapToGrid/>
        <w:spacing w:line="540" w:lineRule="exact"/>
        <w:ind w:left="0" w:leftChars="0" w:firstLine="640" w:firstLineChars="200"/>
        <w:jc w:val="left"/>
        <w:textAlignment w:val="auto"/>
        <w:rPr>
          <w:rFonts w:ascii="黑体" w:hAnsi="黑体" w:eastAsia="黑体" w:cs="宋体"/>
          <w:color w:val="auto"/>
          <w:kern w:val="0"/>
          <w:sz w:val="32"/>
          <w:szCs w:val="32"/>
          <w:highlight w:val="none"/>
        </w:rPr>
      </w:pPr>
      <w:r>
        <w:rPr>
          <w:rFonts w:hint="eastAsia" w:ascii="黑体" w:hAnsi="黑体" w:eastAsia="黑体" w:cs="宋体"/>
          <w:color w:val="auto"/>
          <w:kern w:val="0"/>
          <w:sz w:val="32"/>
          <w:szCs w:val="32"/>
          <w:highlight w:val="none"/>
          <w:lang w:val="en-US" w:eastAsia="zh-CN"/>
        </w:rPr>
        <w:t>四</w:t>
      </w:r>
      <w:r>
        <w:rPr>
          <w:rFonts w:hint="eastAsia" w:ascii="黑体" w:hAnsi="黑体" w:eastAsia="黑体" w:cs="宋体"/>
          <w:color w:val="auto"/>
          <w:kern w:val="0"/>
          <w:sz w:val="32"/>
          <w:szCs w:val="32"/>
          <w:highlight w:val="none"/>
        </w:rPr>
        <w:t>、主要试验（或验证）的验证分析报告（测试报告）</w:t>
      </w:r>
    </w:p>
    <w:p>
      <w:pPr>
        <w:keepNext w:val="0"/>
        <w:keepLines w:val="0"/>
        <w:pageBreakBefore w:val="0"/>
        <w:widowControl/>
        <w:kinsoku/>
        <w:wordWrap/>
        <w:overflowPunct/>
        <w:topLinePunct w:val="0"/>
        <w:autoSpaceDE/>
        <w:autoSpaceDN/>
        <w:bidi w:val="0"/>
        <w:adjustRightInd/>
        <w:snapToGrid/>
        <w:spacing w:line="540" w:lineRule="exact"/>
        <w:ind w:firstLine="680" w:firstLineChars="0"/>
        <w:jc w:val="left"/>
        <w:textAlignment w:val="auto"/>
        <w:rPr>
          <w:rFonts w:ascii="仿宋" w:hAnsi="仿宋" w:eastAsia="仿宋" w:cs="宋体"/>
          <w:color w:val="auto"/>
          <w:kern w:val="0"/>
          <w:sz w:val="32"/>
          <w:szCs w:val="32"/>
          <w:highlight w:val="none"/>
        </w:rPr>
      </w:pPr>
      <w:r>
        <w:rPr>
          <w:rFonts w:hint="eastAsia" w:ascii="仿宋" w:hAnsi="仿宋" w:eastAsia="仿宋" w:cs="宋体"/>
          <w:color w:val="auto"/>
          <w:kern w:val="0"/>
          <w:sz w:val="32"/>
          <w:szCs w:val="32"/>
          <w:highlight w:val="none"/>
        </w:rPr>
        <w:t>无。</w:t>
      </w:r>
    </w:p>
    <w:p>
      <w:pPr>
        <w:keepNext w:val="0"/>
        <w:keepLines w:val="0"/>
        <w:pageBreakBefore w:val="0"/>
        <w:widowControl/>
        <w:kinsoku/>
        <w:wordWrap/>
        <w:overflowPunct/>
        <w:topLinePunct w:val="0"/>
        <w:autoSpaceDE/>
        <w:autoSpaceDN/>
        <w:bidi w:val="0"/>
        <w:adjustRightInd/>
        <w:snapToGrid/>
        <w:spacing w:line="540" w:lineRule="exact"/>
        <w:ind w:left="0" w:leftChars="0" w:firstLine="640" w:firstLineChars="200"/>
        <w:jc w:val="left"/>
        <w:textAlignment w:val="auto"/>
        <w:rPr>
          <w:rFonts w:ascii="黑体" w:hAnsi="黑体" w:eastAsia="黑体" w:cs="宋体"/>
          <w:color w:val="auto"/>
          <w:kern w:val="0"/>
          <w:sz w:val="32"/>
          <w:szCs w:val="32"/>
          <w:highlight w:val="none"/>
        </w:rPr>
      </w:pPr>
      <w:r>
        <w:rPr>
          <w:rFonts w:hint="eastAsia" w:ascii="黑体" w:hAnsi="黑体" w:eastAsia="黑体" w:cs="宋体"/>
          <w:color w:val="auto"/>
          <w:kern w:val="0"/>
          <w:sz w:val="32"/>
          <w:szCs w:val="32"/>
          <w:highlight w:val="none"/>
          <w:lang w:val="en-US" w:eastAsia="zh-CN"/>
        </w:rPr>
        <w:t>五</w:t>
      </w:r>
      <w:r>
        <w:rPr>
          <w:rFonts w:hint="eastAsia" w:ascii="黑体" w:hAnsi="黑体" w:eastAsia="黑体" w:cs="宋体"/>
          <w:color w:val="auto"/>
          <w:kern w:val="0"/>
          <w:sz w:val="32"/>
          <w:szCs w:val="32"/>
          <w:highlight w:val="none"/>
        </w:rPr>
        <w:t>、标准实施后对经济和社会发展的预期影响及论证</w:t>
      </w:r>
    </w:p>
    <w:p>
      <w:pPr>
        <w:spacing w:line="560" w:lineRule="exact"/>
        <w:ind w:firstLine="707" w:firstLineChars="221"/>
        <w:rPr>
          <w:rFonts w:hint="eastAsia" w:ascii="仿宋" w:hAnsi="仿宋" w:eastAsia="仿宋" w:cs="宋体"/>
          <w:color w:val="auto"/>
          <w:kern w:val="0"/>
          <w:sz w:val="32"/>
          <w:szCs w:val="32"/>
          <w:highlight w:val="none"/>
          <w:lang w:eastAsia="zh-CN"/>
        </w:rPr>
      </w:pPr>
      <w:r>
        <w:rPr>
          <w:rFonts w:hint="eastAsia" w:ascii="仿宋" w:hAnsi="仿宋" w:eastAsia="仿宋" w:cs="宋体"/>
          <w:color w:val="auto"/>
          <w:kern w:val="0"/>
          <w:sz w:val="32"/>
          <w:szCs w:val="32"/>
          <w:highlight w:val="none"/>
          <w:lang w:eastAsia="zh-CN"/>
        </w:rPr>
        <w:t>本标准的制订填补了贵阳市学校集中供餐相关地方标准的空白，使贵阳市学校集中供餐管理有了全链条的规范指导，有利于提高学校食堂和集体用餐配送单位管理水平。同时也是对学校集中供餐管理监管方式的创新，</w:t>
      </w:r>
      <w:bookmarkStart w:id="22" w:name="OLE_LINK3"/>
      <w:r>
        <w:rPr>
          <w:rFonts w:hint="eastAsia" w:ascii="仿宋" w:hAnsi="仿宋" w:eastAsia="仿宋" w:cs="宋体"/>
          <w:color w:val="auto"/>
          <w:kern w:val="0"/>
          <w:sz w:val="32"/>
          <w:szCs w:val="32"/>
          <w:highlight w:val="none"/>
          <w:lang w:eastAsia="zh-CN"/>
        </w:rPr>
        <w:t>可高效</w:t>
      </w:r>
      <w:r>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t>促进</w:t>
      </w:r>
      <w:r>
        <w:rPr>
          <w:rFonts w:hint="eastAsia" w:ascii="仿宋_GB2312" w:eastAsia="仿宋_GB2312"/>
          <w:color w:val="0D0D0D" w:themeColor="text1" w:themeTint="F2"/>
          <w:sz w:val="32"/>
          <w:szCs w:val="32"/>
          <w:highlight w:val="none"/>
          <w:lang w:eastAsia="zh-CN"/>
          <w14:textFill>
            <w14:solidFill>
              <w14:schemeClr w14:val="tx1">
                <w14:lumMod w14:val="95000"/>
                <w14:lumOff w14:val="5000"/>
              </w14:schemeClr>
            </w14:solidFill>
          </w14:textFill>
        </w:rPr>
        <w:t>学校食堂和集中配餐单位</w:t>
      </w:r>
      <w:r>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t>提质增效，</w:t>
      </w:r>
      <w:bookmarkEnd w:id="22"/>
      <w:r>
        <w:rPr>
          <w:rFonts w:hint="eastAsia" w:ascii="仿宋_GB2312" w:eastAsia="仿宋_GB2312"/>
          <w:color w:val="0D0D0D" w:themeColor="text1" w:themeTint="F2"/>
          <w:sz w:val="32"/>
          <w:szCs w:val="32"/>
          <w:highlight w:val="none"/>
          <w:lang w:eastAsia="zh-CN"/>
          <w14:textFill>
            <w14:solidFill>
              <w14:schemeClr w14:val="tx1">
                <w14:lumMod w14:val="95000"/>
                <w14:lumOff w14:val="5000"/>
              </w14:schemeClr>
            </w14:solidFill>
          </w14:textFill>
        </w:rPr>
        <w:t>切实守牢守好广大师生“盘中餐”</w:t>
      </w:r>
      <w:r>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t>。</w:t>
      </w:r>
    </w:p>
    <w:p>
      <w:pPr>
        <w:keepNext w:val="0"/>
        <w:keepLines w:val="0"/>
        <w:pageBreakBefore w:val="0"/>
        <w:widowControl/>
        <w:kinsoku/>
        <w:wordWrap/>
        <w:overflowPunct/>
        <w:topLinePunct w:val="0"/>
        <w:autoSpaceDE/>
        <w:autoSpaceDN/>
        <w:bidi w:val="0"/>
        <w:adjustRightInd/>
        <w:snapToGrid/>
        <w:spacing w:line="540" w:lineRule="exact"/>
        <w:ind w:left="0" w:leftChars="0" w:firstLine="640" w:firstLineChars="200"/>
        <w:jc w:val="left"/>
        <w:textAlignment w:val="auto"/>
        <w:rPr>
          <w:rFonts w:ascii="黑体" w:hAnsi="黑体" w:eastAsia="黑体" w:cs="宋体"/>
          <w:color w:val="auto"/>
          <w:kern w:val="0"/>
          <w:sz w:val="32"/>
          <w:szCs w:val="32"/>
          <w:highlight w:val="none"/>
        </w:rPr>
      </w:pPr>
      <w:r>
        <w:rPr>
          <w:rFonts w:hint="eastAsia" w:ascii="黑体" w:hAnsi="黑体" w:eastAsia="黑体" w:cs="宋体"/>
          <w:color w:val="auto"/>
          <w:kern w:val="0"/>
          <w:sz w:val="32"/>
          <w:szCs w:val="32"/>
          <w:highlight w:val="none"/>
          <w:lang w:val="en-US" w:eastAsia="zh-CN"/>
        </w:rPr>
        <w:t>六</w:t>
      </w:r>
      <w:r>
        <w:rPr>
          <w:rFonts w:ascii="黑体" w:hAnsi="黑体" w:eastAsia="黑体" w:cs="宋体"/>
          <w:color w:val="auto"/>
          <w:kern w:val="0"/>
          <w:sz w:val="32"/>
          <w:szCs w:val="32"/>
          <w:highlight w:val="none"/>
        </w:rPr>
        <w:t>、与国内政府主导</w:t>
      </w:r>
      <w:r>
        <w:rPr>
          <w:rFonts w:hint="eastAsia" w:ascii="黑体" w:hAnsi="黑体" w:eastAsia="黑体" w:cs="宋体"/>
          <w:color w:val="auto"/>
          <w:kern w:val="0"/>
          <w:sz w:val="32"/>
          <w:szCs w:val="32"/>
          <w:highlight w:val="none"/>
          <w:lang w:eastAsia="zh-CN"/>
        </w:rPr>
        <w:t>制订</w:t>
      </w:r>
      <w:r>
        <w:rPr>
          <w:rFonts w:ascii="黑体" w:hAnsi="黑体" w:eastAsia="黑体" w:cs="宋体"/>
          <w:color w:val="auto"/>
          <w:kern w:val="0"/>
          <w:sz w:val="32"/>
          <w:szCs w:val="32"/>
          <w:highlight w:val="none"/>
        </w:rPr>
        <w:t>标准（国家标准、行业标准、地方标准）的协调情况，采用国际标准的先进程度</w:t>
      </w:r>
    </w:p>
    <w:p>
      <w:pPr>
        <w:keepNext w:val="0"/>
        <w:keepLines w:val="0"/>
        <w:pageBreakBefore w:val="0"/>
        <w:widowControl/>
        <w:kinsoku/>
        <w:wordWrap/>
        <w:overflowPunct/>
        <w:topLinePunct w:val="0"/>
        <w:autoSpaceDE/>
        <w:autoSpaceDN/>
        <w:bidi w:val="0"/>
        <w:adjustRightInd/>
        <w:snapToGrid/>
        <w:spacing w:line="540" w:lineRule="exact"/>
        <w:ind w:firstLine="680" w:firstLineChars="0"/>
        <w:jc w:val="left"/>
        <w:textAlignment w:val="auto"/>
        <w:rPr>
          <w:rFonts w:ascii="仿宋" w:hAnsi="仿宋" w:eastAsia="仿宋" w:cs="宋体"/>
          <w:color w:val="auto"/>
          <w:kern w:val="0"/>
          <w:sz w:val="32"/>
          <w:szCs w:val="32"/>
          <w:highlight w:val="none"/>
        </w:rPr>
      </w:pPr>
      <w:r>
        <w:rPr>
          <w:rFonts w:hint="eastAsia" w:ascii="仿宋" w:hAnsi="仿宋" w:eastAsia="仿宋" w:cs="宋体"/>
          <w:color w:val="auto"/>
          <w:kern w:val="0"/>
          <w:sz w:val="32"/>
          <w:szCs w:val="32"/>
          <w:highlight w:val="none"/>
        </w:rPr>
        <w:t>本标准与相关</w:t>
      </w:r>
      <w:r>
        <w:rPr>
          <w:rFonts w:ascii="仿宋" w:hAnsi="仿宋" w:eastAsia="仿宋" w:cs="宋体"/>
          <w:color w:val="auto"/>
          <w:kern w:val="0"/>
          <w:sz w:val="32"/>
          <w:szCs w:val="32"/>
          <w:highlight w:val="none"/>
        </w:rPr>
        <w:t>国家标准、行业标准、地方标准</w:t>
      </w:r>
      <w:r>
        <w:rPr>
          <w:rFonts w:hint="eastAsia" w:ascii="仿宋" w:hAnsi="仿宋" w:eastAsia="仿宋" w:cs="宋体"/>
          <w:color w:val="auto"/>
          <w:kern w:val="0"/>
          <w:sz w:val="32"/>
          <w:szCs w:val="32"/>
          <w:highlight w:val="none"/>
        </w:rPr>
        <w:t>相协调。</w:t>
      </w:r>
    </w:p>
    <w:p>
      <w:pPr>
        <w:keepNext w:val="0"/>
        <w:keepLines w:val="0"/>
        <w:pageBreakBefore w:val="0"/>
        <w:widowControl/>
        <w:kinsoku/>
        <w:wordWrap/>
        <w:overflowPunct/>
        <w:topLinePunct w:val="0"/>
        <w:autoSpaceDE/>
        <w:autoSpaceDN/>
        <w:bidi w:val="0"/>
        <w:adjustRightInd/>
        <w:snapToGrid/>
        <w:spacing w:line="540" w:lineRule="exact"/>
        <w:ind w:left="0" w:leftChars="0" w:firstLine="640" w:firstLineChars="200"/>
        <w:jc w:val="left"/>
        <w:textAlignment w:val="auto"/>
        <w:rPr>
          <w:rFonts w:ascii="黑体" w:hAnsi="黑体" w:eastAsia="黑体" w:cs="宋体"/>
          <w:color w:val="auto"/>
          <w:kern w:val="0"/>
          <w:sz w:val="32"/>
          <w:szCs w:val="32"/>
          <w:highlight w:val="none"/>
        </w:rPr>
      </w:pPr>
      <w:r>
        <w:rPr>
          <w:rFonts w:hint="eastAsia" w:ascii="黑体" w:hAnsi="黑体" w:eastAsia="黑体" w:cs="宋体"/>
          <w:color w:val="auto"/>
          <w:kern w:val="0"/>
          <w:sz w:val="32"/>
          <w:szCs w:val="32"/>
          <w:highlight w:val="none"/>
          <w:lang w:val="en-US" w:eastAsia="zh-CN"/>
        </w:rPr>
        <w:t>七</w:t>
      </w:r>
      <w:r>
        <w:rPr>
          <w:rFonts w:hint="eastAsia" w:ascii="黑体" w:hAnsi="黑体" w:eastAsia="黑体" w:cs="宋体"/>
          <w:color w:val="auto"/>
          <w:kern w:val="0"/>
          <w:sz w:val="32"/>
          <w:szCs w:val="32"/>
          <w:highlight w:val="none"/>
        </w:rPr>
        <w:t>、</w:t>
      </w:r>
      <w:r>
        <w:rPr>
          <w:rFonts w:ascii="黑体" w:hAnsi="黑体" w:eastAsia="黑体" w:cs="宋体"/>
          <w:color w:val="auto"/>
          <w:kern w:val="0"/>
          <w:sz w:val="32"/>
          <w:szCs w:val="32"/>
          <w:highlight w:val="none"/>
        </w:rPr>
        <w:t>与现行法律、法规、强制性标准的关系</w:t>
      </w:r>
    </w:p>
    <w:p>
      <w:pPr>
        <w:keepNext w:val="0"/>
        <w:keepLines w:val="0"/>
        <w:pageBreakBefore w:val="0"/>
        <w:widowControl w:val="0"/>
        <w:kinsoku/>
        <w:wordWrap/>
        <w:overflowPunct/>
        <w:topLinePunct w:val="0"/>
        <w:autoSpaceDE/>
        <w:autoSpaceDN/>
        <w:bidi w:val="0"/>
        <w:adjustRightInd/>
        <w:snapToGrid/>
        <w:spacing w:line="540" w:lineRule="exact"/>
        <w:ind w:firstLine="482" w:firstLineChars="0"/>
        <w:textAlignment w:val="auto"/>
        <w:rPr>
          <w:rFonts w:hint="eastAsia" w:ascii="仿宋" w:hAnsi="仿宋" w:eastAsia="仿宋" w:cs="宋体"/>
          <w:color w:val="auto"/>
          <w:kern w:val="0"/>
          <w:sz w:val="32"/>
          <w:szCs w:val="32"/>
          <w:highlight w:val="none"/>
        </w:rPr>
      </w:pPr>
      <w:r>
        <w:rPr>
          <w:rFonts w:ascii="仿宋" w:hAnsi="仿宋" w:eastAsia="仿宋" w:cs="宋体"/>
          <w:color w:val="auto"/>
          <w:kern w:val="0"/>
          <w:sz w:val="32"/>
          <w:szCs w:val="32"/>
          <w:highlight w:val="none"/>
        </w:rPr>
        <w:t>本标准依据《中华人民共和国标准化法》</w:t>
      </w:r>
      <w:r>
        <w:rPr>
          <w:rFonts w:hint="eastAsia" w:ascii="仿宋" w:hAnsi="仿宋" w:eastAsia="仿宋" w:cs="宋体"/>
          <w:color w:val="auto"/>
          <w:kern w:val="0"/>
          <w:sz w:val="32"/>
          <w:szCs w:val="32"/>
          <w:highlight w:val="none"/>
          <w:lang w:eastAsia="zh-CN"/>
        </w:rPr>
        <w:t>《食品安全法》《反食品浪费法》</w:t>
      </w:r>
      <w:r>
        <w:rPr>
          <w:rFonts w:ascii="仿宋" w:hAnsi="仿宋" w:eastAsia="仿宋" w:cs="宋体"/>
          <w:color w:val="auto"/>
          <w:kern w:val="0"/>
          <w:sz w:val="32"/>
          <w:szCs w:val="32"/>
          <w:highlight w:val="none"/>
        </w:rPr>
        <w:t>及相关政策</w:t>
      </w:r>
      <w:r>
        <w:rPr>
          <w:rFonts w:hint="eastAsia" w:ascii="仿宋" w:hAnsi="仿宋" w:eastAsia="仿宋" w:cs="宋体"/>
          <w:color w:val="auto"/>
          <w:kern w:val="0"/>
          <w:sz w:val="32"/>
          <w:szCs w:val="32"/>
          <w:highlight w:val="none"/>
          <w:lang w:eastAsia="zh-CN"/>
        </w:rPr>
        <w:t>制订</w:t>
      </w:r>
      <w:r>
        <w:rPr>
          <w:rFonts w:ascii="仿宋" w:hAnsi="仿宋" w:eastAsia="仿宋" w:cs="宋体"/>
          <w:color w:val="auto"/>
          <w:kern w:val="0"/>
          <w:sz w:val="32"/>
          <w:szCs w:val="32"/>
          <w:highlight w:val="none"/>
        </w:rPr>
        <w:t>，与现行法律、法规和强制性标准没有冲突。</w:t>
      </w:r>
    </w:p>
    <w:p>
      <w:pPr>
        <w:keepNext w:val="0"/>
        <w:keepLines w:val="0"/>
        <w:pageBreakBefore w:val="0"/>
        <w:widowControl/>
        <w:kinsoku/>
        <w:wordWrap/>
        <w:overflowPunct/>
        <w:topLinePunct w:val="0"/>
        <w:autoSpaceDE/>
        <w:autoSpaceDN/>
        <w:bidi w:val="0"/>
        <w:adjustRightInd/>
        <w:snapToGrid/>
        <w:spacing w:line="540" w:lineRule="exact"/>
        <w:ind w:left="0" w:leftChars="0" w:firstLine="640" w:firstLineChars="200"/>
        <w:jc w:val="left"/>
        <w:textAlignment w:val="auto"/>
        <w:rPr>
          <w:rFonts w:ascii="黑体" w:hAnsi="黑体" w:eastAsia="黑体" w:cs="宋体"/>
          <w:color w:val="auto"/>
          <w:kern w:val="0"/>
          <w:sz w:val="32"/>
          <w:szCs w:val="32"/>
          <w:highlight w:val="none"/>
        </w:rPr>
      </w:pPr>
      <w:r>
        <w:rPr>
          <w:rFonts w:hint="eastAsia" w:ascii="黑体" w:hAnsi="黑体" w:eastAsia="黑体" w:cs="宋体"/>
          <w:color w:val="auto"/>
          <w:kern w:val="0"/>
          <w:sz w:val="32"/>
          <w:szCs w:val="32"/>
          <w:highlight w:val="none"/>
          <w:lang w:val="en-US" w:eastAsia="zh-CN"/>
        </w:rPr>
        <w:t>八</w:t>
      </w:r>
      <w:r>
        <w:rPr>
          <w:rFonts w:hint="eastAsia" w:ascii="黑体" w:hAnsi="黑体" w:eastAsia="黑体" w:cs="宋体"/>
          <w:color w:val="auto"/>
          <w:kern w:val="0"/>
          <w:sz w:val="32"/>
          <w:szCs w:val="32"/>
          <w:highlight w:val="none"/>
        </w:rPr>
        <w:t>、是否涉及专利（涉及专利的应</w:t>
      </w:r>
      <w:r>
        <w:rPr>
          <w:rFonts w:hint="eastAsia" w:ascii="黑体" w:hAnsi="黑体" w:eastAsia="黑体" w:cs="宋体"/>
          <w:color w:val="auto"/>
          <w:kern w:val="0"/>
          <w:sz w:val="32"/>
          <w:szCs w:val="32"/>
          <w:highlight w:val="none"/>
          <w:lang w:val="en-US" w:eastAsia="zh-CN"/>
        </w:rPr>
        <w:t>做</w:t>
      </w:r>
      <w:r>
        <w:rPr>
          <w:rFonts w:hint="eastAsia" w:ascii="黑体" w:hAnsi="黑体" w:eastAsia="黑体" w:cs="宋体"/>
          <w:color w:val="auto"/>
          <w:kern w:val="0"/>
          <w:sz w:val="32"/>
          <w:szCs w:val="32"/>
          <w:highlight w:val="none"/>
        </w:rPr>
        <w:t>出必要专利声明）</w:t>
      </w:r>
    </w:p>
    <w:p>
      <w:pPr>
        <w:keepNext w:val="0"/>
        <w:keepLines w:val="0"/>
        <w:pageBreakBefore w:val="0"/>
        <w:widowControl/>
        <w:kinsoku/>
        <w:wordWrap/>
        <w:overflowPunct/>
        <w:topLinePunct w:val="0"/>
        <w:autoSpaceDE/>
        <w:autoSpaceDN/>
        <w:bidi w:val="0"/>
        <w:adjustRightInd/>
        <w:snapToGrid/>
        <w:spacing w:line="540" w:lineRule="exact"/>
        <w:ind w:firstLine="680" w:firstLineChars="0"/>
        <w:jc w:val="left"/>
        <w:textAlignment w:val="auto"/>
        <w:rPr>
          <w:rFonts w:hint="eastAsia" w:ascii="仿宋" w:hAnsi="仿宋" w:eastAsia="仿宋" w:cs="宋体"/>
          <w:color w:val="auto"/>
          <w:kern w:val="0"/>
          <w:sz w:val="32"/>
          <w:szCs w:val="32"/>
          <w:highlight w:val="none"/>
        </w:rPr>
      </w:pPr>
      <w:r>
        <w:rPr>
          <w:rFonts w:ascii="仿宋" w:hAnsi="仿宋" w:eastAsia="仿宋" w:cs="宋体"/>
          <w:color w:val="auto"/>
          <w:kern w:val="0"/>
          <w:sz w:val="32"/>
          <w:szCs w:val="32"/>
          <w:highlight w:val="none"/>
        </w:rPr>
        <w:t>本标准未涉及到相关领域专利及知识产权问题</w:t>
      </w:r>
      <w:r>
        <w:rPr>
          <w:rFonts w:hint="eastAsia" w:ascii="仿宋" w:hAnsi="仿宋" w:eastAsia="仿宋" w:cs="宋体"/>
          <w:color w:val="auto"/>
          <w:kern w:val="0"/>
          <w:sz w:val="32"/>
          <w:szCs w:val="32"/>
          <w:highlight w:val="none"/>
        </w:rPr>
        <w:t>。</w:t>
      </w:r>
    </w:p>
    <w:p>
      <w:pPr>
        <w:keepNext w:val="0"/>
        <w:keepLines w:val="0"/>
        <w:pageBreakBefore w:val="0"/>
        <w:widowControl/>
        <w:kinsoku/>
        <w:wordWrap/>
        <w:overflowPunct/>
        <w:topLinePunct w:val="0"/>
        <w:autoSpaceDE/>
        <w:autoSpaceDN/>
        <w:bidi w:val="0"/>
        <w:adjustRightInd/>
        <w:snapToGrid/>
        <w:spacing w:line="540" w:lineRule="exact"/>
        <w:ind w:left="0" w:leftChars="0" w:firstLine="640" w:firstLineChars="200"/>
        <w:jc w:val="left"/>
        <w:textAlignment w:val="auto"/>
        <w:rPr>
          <w:rFonts w:ascii="黑体" w:hAnsi="黑体" w:eastAsia="黑体" w:cs="宋体"/>
          <w:color w:val="auto"/>
          <w:kern w:val="0"/>
          <w:sz w:val="32"/>
          <w:szCs w:val="32"/>
          <w:highlight w:val="none"/>
        </w:rPr>
      </w:pPr>
      <w:r>
        <w:rPr>
          <w:rFonts w:hint="eastAsia" w:ascii="黑体" w:hAnsi="黑体" w:eastAsia="黑体" w:cs="宋体"/>
          <w:color w:val="auto"/>
          <w:kern w:val="0"/>
          <w:sz w:val="32"/>
          <w:szCs w:val="32"/>
          <w:highlight w:val="none"/>
          <w:lang w:val="en-US" w:eastAsia="zh-CN"/>
        </w:rPr>
        <w:t>九</w:t>
      </w:r>
      <w:r>
        <w:rPr>
          <w:rFonts w:hint="eastAsia" w:ascii="黑体" w:hAnsi="黑体" w:eastAsia="黑体" w:cs="宋体"/>
          <w:color w:val="auto"/>
          <w:kern w:val="0"/>
          <w:sz w:val="32"/>
          <w:szCs w:val="32"/>
          <w:highlight w:val="none"/>
        </w:rPr>
        <w:t>、重大分歧意见的处理过程</w:t>
      </w:r>
    </w:p>
    <w:p>
      <w:pPr>
        <w:keepNext w:val="0"/>
        <w:keepLines w:val="0"/>
        <w:pageBreakBefore w:val="0"/>
        <w:widowControl/>
        <w:kinsoku/>
        <w:wordWrap/>
        <w:overflowPunct/>
        <w:topLinePunct w:val="0"/>
        <w:autoSpaceDE/>
        <w:autoSpaceDN/>
        <w:bidi w:val="0"/>
        <w:adjustRightInd/>
        <w:snapToGrid/>
        <w:spacing w:line="540" w:lineRule="exact"/>
        <w:ind w:firstLine="680" w:firstLineChars="0"/>
        <w:jc w:val="left"/>
        <w:textAlignment w:val="auto"/>
        <w:rPr>
          <w:rFonts w:ascii="仿宋" w:hAnsi="仿宋" w:eastAsia="仿宋" w:cs="宋体"/>
          <w:color w:val="auto"/>
          <w:kern w:val="0"/>
          <w:sz w:val="32"/>
          <w:szCs w:val="32"/>
          <w:highlight w:val="none"/>
        </w:rPr>
      </w:pPr>
      <w:r>
        <w:rPr>
          <w:rFonts w:ascii="仿宋" w:hAnsi="仿宋" w:eastAsia="仿宋" w:cs="宋体"/>
          <w:color w:val="auto"/>
          <w:kern w:val="0"/>
          <w:sz w:val="32"/>
          <w:szCs w:val="32"/>
          <w:highlight w:val="none"/>
        </w:rPr>
        <w:t>本标准在编制、编制的过程中，通过广泛征求意见，未发生重大分歧意见。</w:t>
      </w:r>
    </w:p>
    <w:p>
      <w:pPr>
        <w:keepNext w:val="0"/>
        <w:keepLines w:val="0"/>
        <w:pageBreakBefore w:val="0"/>
        <w:widowControl/>
        <w:kinsoku/>
        <w:wordWrap/>
        <w:overflowPunct/>
        <w:topLinePunct w:val="0"/>
        <w:autoSpaceDE/>
        <w:autoSpaceDN/>
        <w:bidi w:val="0"/>
        <w:adjustRightInd/>
        <w:snapToGrid/>
        <w:spacing w:line="540" w:lineRule="exact"/>
        <w:ind w:left="0" w:leftChars="0" w:firstLine="640" w:firstLineChars="200"/>
        <w:jc w:val="left"/>
        <w:textAlignment w:val="auto"/>
        <w:rPr>
          <w:rFonts w:ascii="黑体" w:hAnsi="黑体" w:eastAsia="黑体" w:cs="宋体"/>
          <w:color w:val="auto"/>
          <w:kern w:val="0"/>
          <w:sz w:val="32"/>
          <w:szCs w:val="32"/>
          <w:highlight w:val="none"/>
        </w:rPr>
      </w:pPr>
      <w:r>
        <w:rPr>
          <w:rFonts w:hint="eastAsia" w:ascii="黑体" w:hAnsi="黑体" w:eastAsia="黑体" w:cs="宋体"/>
          <w:color w:val="auto"/>
          <w:kern w:val="0"/>
          <w:sz w:val="32"/>
          <w:szCs w:val="32"/>
          <w:highlight w:val="none"/>
        </w:rPr>
        <w:t>十</w:t>
      </w:r>
      <w:r>
        <w:rPr>
          <w:rFonts w:ascii="黑体" w:hAnsi="黑体" w:eastAsia="黑体" w:cs="宋体"/>
          <w:color w:val="auto"/>
          <w:kern w:val="0"/>
          <w:sz w:val="32"/>
          <w:szCs w:val="32"/>
          <w:highlight w:val="none"/>
        </w:rPr>
        <w:t>、作为强制性地方标准的依据（推荐性标准无需说明）</w:t>
      </w:r>
    </w:p>
    <w:p>
      <w:pPr>
        <w:keepNext w:val="0"/>
        <w:keepLines w:val="0"/>
        <w:pageBreakBefore w:val="0"/>
        <w:widowControl/>
        <w:kinsoku/>
        <w:wordWrap/>
        <w:overflowPunct/>
        <w:topLinePunct w:val="0"/>
        <w:autoSpaceDE/>
        <w:autoSpaceDN/>
        <w:bidi w:val="0"/>
        <w:adjustRightInd/>
        <w:snapToGrid/>
        <w:spacing w:line="540" w:lineRule="exact"/>
        <w:ind w:firstLine="680" w:firstLineChars="0"/>
        <w:jc w:val="left"/>
        <w:textAlignment w:val="auto"/>
        <w:rPr>
          <w:rFonts w:ascii="仿宋" w:hAnsi="仿宋" w:eastAsia="仿宋" w:cs="宋体"/>
          <w:color w:val="auto"/>
          <w:kern w:val="0"/>
          <w:sz w:val="32"/>
          <w:szCs w:val="32"/>
          <w:highlight w:val="none"/>
        </w:rPr>
      </w:pPr>
      <w:r>
        <w:rPr>
          <w:rFonts w:hint="eastAsia" w:ascii="仿宋" w:hAnsi="仿宋" w:eastAsia="仿宋" w:cs="宋体"/>
          <w:color w:val="auto"/>
          <w:kern w:val="0"/>
          <w:sz w:val="32"/>
          <w:szCs w:val="32"/>
          <w:highlight w:val="none"/>
        </w:rPr>
        <w:t>无。</w:t>
      </w:r>
    </w:p>
    <w:p>
      <w:pPr>
        <w:keepNext w:val="0"/>
        <w:keepLines w:val="0"/>
        <w:pageBreakBefore w:val="0"/>
        <w:widowControl/>
        <w:kinsoku/>
        <w:wordWrap/>
        <w:overflowPunct/>
        <w:topLinePunct w:val="0"/>
        <w:autoSpaceDE/>
        <w:autoSpaceDN/>
        <w:bidi w:val="0"/>
        <w:adjustRightInd/>
        <w:snapToGrid/>
        <w:spacing w:line="540" w:lineRule="exact"/>
        <w:ind w:left="0" w:leftChars="0" w:firstLine="640" w:firstLineChars="200"/>
        <w:jc w:val="left"/>
        <w:textAlignment w:val="auto"/>
        <w:rPr>
          <w:rFonts w:ascii="黑体" w:hAnsi="黑体" w:eastAsia="黑体" w:cs="宋体"/>
          <w:color w:val="auto"/>
          <w:kern w:val="0"/>
          <w:sz w:val="32"/>
          <w:szCs w:val="32"/>
          <w:highlight w:val="none"/>
        </w:rPr>
      </w:pPr>
      <w:r>
        <w:rPr>
          <w:rFonts w:hint="eastAsia" w:ascii="黑体" w:hAnsi="黑体" w:eastAsia="黑体" w:cs="宋体"/>
          <w:color w:val="auto"/>
          <w:kern w:val="0"/>
          <w:sz w:val="32"/>
          <w:szCs w:val="32"/>
          <w:highlight w:val="none"/>
        </w:rPr>
        <w:t>十</w:t>
      </w:r>
      <w:r>
        <w:rPr>
          <w:rFonts w:hint="eastAsia" w:ascii="黑体" w:hAnsi="黑体" w:eastAsia="黑体" w:cs="宋体"/>
          <w:color w:val="auto"/>
          <w:kern w:val="0"/>
          <w:sz w:val="32"/>
          <w:szCs w:val="32"/>
          <w:highlight w:val="none"/>
          <w:lang w:val="en-US" w:eastAsia="zh-CN"/>
        </w:rPr>
        <w:t>一</w:t>
      </w:r>
      <w:r>
        <w:rPr>
          <w:rFonts w:hint="eastAsia" w:ascii="黑体" w:hAnsi="黑体" w:eastAsia="黑体" w:cs="宋体"/>
          <w:color w:val="auto"/>
          <w:kern w:val="0"/>
          <w:sz w:val="32"/>
          <w:szCs w:val="32"/>
          <w:highlight w:val="none"/>
        </w:rPr>
        <w:t>、代替、废止有关地方标准的建议</w:t>
      </w:r>
    </w:p>
    <w:p>
      <w:pPr>
        <w:keepNext w:val="0"/>
        <w:keepLines w:val="0"/>
        <w:pageBreakBefore w:val="0"/>
        <w:widowControl/>
        <w:kinsoku/>
        <w:wordWrap/>
        <w:overflowPunct/>
        <w:topLinePunct w:val="0"/>
        <w:autoSpaceDE/>
        <w:autoSpaceDN/>
        <w:bidi w:val="0"/>
        <w:adjustRightInd/>
        <w:snapToGrid/>
        <w:spacing w:line="540" w:lineRule="exact"/>
        <w:ind w:firstLine="680" w:firstLineChars="0"/>
        <w:jc w:val="left"/>
        <w:textAlignment w:val="auto"/>
        <w:rPr>
          <w:rFonts w:ascii="仿宋" w:hAnsi="仿宋" w:eastAsia="仿宋" w:cs="宋体"/>
          <w:color w:val="auto"/>
          <w:kern w:val="0"/>
          <w:sz w:val="32"/>
          <w:szCs w:val="32"/>
          <w:highlight w:val="none"/>
        </w:rPr>
      </w:pPr>
      <w:r>
        <w:rPr>
          <w:rFonts w:hint="eastAsia" w:ascii="仿宋" w:hAnsi="仿宋" w:eastAsia="仿宋" w:cs="宋体"/>
          <w:color w:val="auto"/>
          <w:kern w:val="0"/>
          <w:sz w:val="32"/>
          <w:szCs w:val="32"/>
          <w:highlight w:val="none"/>
        </w:rPr>
        <w:t>无。</w:t>
      </w:r>
    </w:p>
    <w:p>
      <w:pPr>
        <w:keepNext w:val="0"/>
        <w:keepLines w:val="0"/>
        <w:pageBreakBefore w:val="0"/>
        <w:widowControl/>
        <w:kinsoku/>
        <w:wordWrap/>
        <w:overflowPunct/>
        <w:topLinePunct w:val="0"/>
        <w:autoSpaceDE/>
        <w:autoSpaceDN/>
        <w:bidi w:val="0"/>
        <w:adjustRightInd/>
        <w:snapToGrid/>
        <w:spacing w:line="540" w:lineRule="exact"/>
        <w:ind w:left="0" w:leftChars="0" w:firstLine="640" w:firstLineChars="200"/>
        <w:jc w:val="left"/>
        <w:textAlignment w:val="auto"/>
        <w:rPr>
          <w:rFonts w:ascii="黑体" w:hAnsi="黑体" w:eastAsia="黑体" w:cs="宋体"/>
          <w:color w:val="auto"/>
          <w:kern w:val="0"/>
          <w:sz w:val="32"/>
          <w:szCs w:val="32"/>
          <w:highlight w:val="none"/>
        </w:rPr>
      </w:pPr>
      <w:r>
        <w:rPr>
          <w:rFonts w:hint="eastAsia" w:ascii="黑体" w:hAnsi="黑体" w:eastAsia="黑体" w:cs="宋体"/>
          <w:color w:val="auto"/>
          <w:kern w:val="0"/>
          <w:sz w:val="32"/>
          <w:szCs w:val="32"/>
          <w:highlight w:val="none"/>
        </w:rPr>
        <w:t>十</w:t>
      </w:r>
      <w:r>
        <w:rPr>
          <w:rFonts w:hint="eastAsia" w:ascii="黑体" w:hAnsi="黑体" w:eastAsia="黑体" w:cs="宋体"/>
          <w:color w:val="auto"/>
          <w:kern w:val="0"/>
          <w:sz w:val="32"/>
          <w:szCs w:val="32"/>
          <w:highlight w:val="none"/>
          <w:lang w:val="en-US" w:eastAsia="zh-CN"/>
        </w:rPr>
        <w:t>二</w:t>
      </w:r>
      <w:r>
        <w:rPr>
          <w:rFonts w:hint="eastAsia" w:ascii="黑体" w:hAnsi="黑体" w:eastAsia="黑体" w:cs="宋体"/>
          <w:color w:val="auto"/>
          <w:kern w:val="0"/>
          <w:sz w:val="32"/>
          <w:szCs w:val="32"/>
          <w:highlight w:val="none"/>
        </w:rPr>
        <w:t>、标准实施的计划、方案</w:t>
      </w:r>
    </w:p>
    <w:p>
      <w:pPr>
        <w:keepNext w:val="0"/>
        <w:keepLines w:val="0"/>
        <w:pageBreakBefore w:val="0"/>
        <w:widowControl/>
        <w:kinsoku/>
        <w:wordWrap/>
        <w:overflowPunct/>
        <w:topLinePunct w:val="0"/>
        <w:autoSpaceDE/>
        <w:autoSpaceDN/>
        <w:bidi w:val="0"/>
        <w:adjustRightInd/>
        <w:snapToGrid/>
        <w:spacing w:line="540" w:lineRule="exact"/>
        <w:ind w:firstLine="680" w:firstLineChars="0"/>
        <w:jc w:val="both"/>
        <w:textAlignment w:val="auto"/>
        <w:rPr>
          <w:rFonts w:ascii="仿宋" w:hAnsi="仿宋" w:eastAsia="仿宋" w:cs="宋体"/>
          <w:color w:val="auto"/>
          <w:kern w:val="0"/>
          <w:sz w:val="32"/>
          <w:szCs w:val="32"/>
          <w:highlight w:val="none"/>
        </w:rPr>
      </w:pPr>
      <w:r>
        <w:rPr>
          <w:rFonts w:ascii="仿宋" w:hAnsi="仿宋" w:eastAsia="仿宋" w:cs="宋体"/>
          <w:color w:val="auto"/>
          <w:kern w:val="0"/>
          <w:sz w:val="32"/>
          <w:szCs w:val="32"/>
          <w:highlight w:val="none"/>
        </w:rPr>
        <w:t>本标准基本</w:t>
      </w:r>
      <w:r>
        <w:rPr>
          <w:rFonts w:hint="eastAsia" w:ascii="仿宋" w:hAnsi="仿宋" w:eastAsia="仿宋" w:cs="宋体"/>
          <w:color w:val="auto"/>
          <w:kern w:val="0"/>
          <w:sz w:val="32"/>
          <w:szCs w:val="32"/>
          <w:highlight w:val="none"/>
          <w:lang w:eastAsia="zh-CN"/>
        </w:rPr>
        <w:t>不仅</w:t>
      </w:r>
      <w:r>
        <w:rPr>
          <w:rFonts w:ascii="仿宋" w:hAnsi="仿宋" w:eastAsia="仿宋" w:cs="宋体"/>
          <w:color w:val="auto"/>
          <w:kern w:val="0"/>
          <w:sz w:val="32"/>
          <w:szCs w:val="32"/>
          <w:highlight w:val="none"/>
        </w:rPr>
        <w:t>涵盖了</w:t>
      </w:r>
      <w:r>
        <w:rPr>
          <w:rFonts w:hint="eastAsia" w:ascii="仿宋" w:hAnsi="仿宋" w:eastAsia="仿宋" w:cs="宋体"/>
          <w:color w:val="auto"/>
          <w:kern w:val="0"/>
          <w:sz w:val="32"/>
          <w:szCs w:val="32"/>
          <w:highlight w:val="none"/>
          <w:lang w:eastAsia="zh-CN"/>
        </w:rPr>
        <w:t>场地环境、设施设备、人员管理、制度建设、食材采购、加工过程、就餐管理等重要环节，对餐饮具消毒、食材快检、明厨亮灶等重要节点也做了详细要求。</w:t>
      </w:r>
      <w:r>
        <w:rPr>
          <w:rFonts w:ascii="仿宋" w:hAnsi="仿宋" w:eastAsia="仿宋" w:cs="宋体"/>
          <w:color w:val="auto"/>
          <w:kern w:val="0"/>
          <w:sz w:val="32"/>
          <w:szCs w:val="32"/>
          <w:highlight w:val="none"/>
        </w:rPr>
        <w:t>标准发布后，建议</w:t>
      </w:r>
      <w:r>
        <w:rPr>
          <w:rFonts w:hint="eastAsia" w:ascii="仿宋" w:hAnsi="仿宋" w:eastAsia="仿宋" w:cs="宋体"/>
          <w:color w:val="auto"/>
          <w:kern w:val="0"/>
          <w:sz w:val="32"/>
          <w:szCs w:val="32"/>
          <w:highlight w:val="none"/>
          <w:lang w:eastAsia="zh-CN"/>
        </w:rPr>
        <w:t>市市场监管局和市教育局组织辖区内涉校企业和学校对</w:t>
      </w:r>
      <w:r>
        <w:rPr>
          <w:rFonts w:ascii="仿宋" w:hAnsi="仿宋" w:eastAsia="仿宋" w:cs="宋体"/>
          <w:color w:val="auto"/>
          <w:kern w:val="0"/>
          <w:sz w:val="32"/>
          <w:szCs w:val="32"/>
          <w:highlight w:val="none"/>
        </w:rPr>
        <w:t>该标准进行系统的学习宣传，全面推动标准贯彻实施，</w:t>
      </w:r>
      <w:r>
        <w:rPr>
          <w:rFonts w:hint="eastAsia" w:ascii="仿宋" w:hAnsi="仿宋" w:eastAsia="仿宋" w:cs="宋体"/>
          <w:color w:val="auto"/>
          <w:kern w:val="0"/>
          <w:sz w:val="32"/>
          <w:szCs w:val="32"/>
          <w:highlight w:val="none"/>
          <w:lang w:eastAsia="zh-CN"/>
        </w:rPr>
        <w:t>切实提高</w:t>
      </w:r>
      <w:r>
        <w:rPr>
          <w:rFonts w:hint="eastAsia" w:ascii="仿宋" w:hAnsi="仿宋" w:eastAsia="仿宋" w:cs="宋体"/>
          <w:color w:val="auto"/>
          <w:kern w:val="0"/>
          <w:sz w:val="32"/>
          <w:szCs w:val="32"/>
          <w:highlight w:val="none"/>
        </w:rPr>
        <w:t>贵阳市</w:t>
      </w:r>
      <w:r>
        <w:rPr>
          <w:rFonts w:hint="eastAsia" w:ascii="仿宋" w:hAnsi="仿宋" w:eastAsia="仿宋" w:cs="宋体"/>
          <w:color w:val="auto"/>
          <w:kern w:val="0"/>
          <w:sz w:val="32"/>
          <w:szCs w:val="32"/>
          <w:highlight w:val="none"/>
          <w:lang w:eastAsia="zh-CN"/>
        </w:rPr>
        <w:t>学校集中供餐管理水平，为校园广大师生保驾护航</w:t>
      </w:r>
      <w:r>
        <w:rPr>
          <w:rFonts w:ascii="仿宋" w:hAnsi="仿宋" w:eastAsia="仿宋" w:cs="宋体"/>
          <w:color w:val="auto"/>
          <w:kern w:val="0"/>
          <w:sz w:val="32"/>
          <w:szCs w:val="32"/>
          <w:highlight w:val="none"/>
        </w:rPr>
        <w:t>。</w:t>
      </w:r>
    </w:p>
    <w:p>
      <w:pPr>
        <w:keepNext w:val="0"/>
        <w:keepLines w:val="0"/>
        <w:pageBreakBefore w:val="0"/>
        <w:widowControl/>
        <w:numPr>
          <w:ilvl w:val="0"/>
          <w:numId w:val="0"/>
        </w:numPr>
        <w:kinsoku/>
        <w:wordWrap/>
        <w:overflowPunct/>
        <w:topLinePunct w:val="0"/>
        <w:autoSpaceDE/>
        <w:autoSpaceDN/>
        <w:bidi w:val="0"/>
        <w:adjustRightInd/>
        <w:snapToGrid/>
        <w:spacing w:line="540" w:lineRule="exact"/>
        <w:ind w:leftChars="200"/>
        <w:jc w:val="left"/>
        <w:textAlignment w:val="auto"/>
        <w:rPr>
          <w:rFonts w:hint="eastAsia" w:ascii="黑体" w:hAnsi="黑体" w:eastAsia="黑体" w:cs="宋体"/>
          <w:color w:val="auto"/>
          <w:kern w:val="0"/>
          <w:sz w:val="32"/>
          <w:szCs w:val="32"/>
          <w:highlight w:val="none"/>
          <w:lang w:val="en-US" w:eastAsia="zh-CN"/>
        </w:rPr>
      </w:pPr>
      <w:r>
        <w:rPr>
          <w:rFonts w:hint="eastAsia" w:ascii="黑体" w:hAnsi="黑体" w:eastAsia="黑体" w:cs="宋体"/>
          <w:color w:val="auto"/>
          <w:kern w:val="0"/>
          <w:sz w:val="32"/>
          <w:szCs w:val="32"/>
          <w:highlight w:val="none"/>
          <w:lang w:val="en-US" w:eastAsia="zh-CN"/>
        </w:rPr>
        <w:t>十三、标准解释、归口管理以及获取意见建议的联系方式</w:t>
      </w:r>
    </w:p>
    <w:p>
      <w:pPr>
        <w:pStyle w:val="2"/>
        <w:numPr>
          <w:ilvl w:val="0"/>
          <w:numId w:val="0"/>
        </w:numPr>
        <w:ind w:left="0" w:leftChars="0" w:firstLine="640" w:firstLineChars="200"/>
        <w:rPr>
          <w:rFonts w:hint="eastAsia"/>
          <w:color w:val="auto"/>
          <w:highlight w:val="none"/>
          <w:lang w:eastAsia="zh-CN"/>
        </w:rPr>
      </w:pPr>
      <w:r>
        <w:rPr>
          <w:rFonts w:hint="eastAsia" w:ascii="仿宋" w:hAnsi="仿宋" w:eastAsia="仿宋" w:cs="宋体"/>
          <w:color w:val="auto"/>
          <w:kern w:val="0"/>
          <w:sz w:val="32"/>
          <w:szCs w:val="32"/>
          <w:highlight w:val="none"/>
          <w:lang w:val="en-US" w:eastAsia="zh-CN" w:bidi="ar-SA"/>
        </w:rPr>
        <w:t>本标准解释由标准起草单位贵阳市食品药品检验检测中心负责，归口管理部门为贵阳市市场监督管理局。如有修改意见或建议，请与本标准起草负责人李雪芹联系（电话：13885048339；邮箱：573454803@qq.com）。</w:t>
      </w:r>
      <w:bookmarkStart w:id="23" w:name="_GoBack"/>
      <w:bookmarkEnd w:id="23"/>
    </w:p>
    <w:p>
      <w:pPr>
        <w:keepNext w:val="0"/>
        <w:keepLines w:val="0"/>
        <w:pageBreakBefore w:val="0"/>
        <w:widowControl/>
        <w:kinsoku/>
        <w:wordWrap/>
        <w:overflowPunct/>
        <w:topLinePunct w:val="0"/>
        <w:autoSpaceDE/>
        <w:autoSpaceDN/>
        <w:bidi w:val="0"/>
        <w:adjustRightInd/>
        <w:snapToGrid/>
        <w:spacing w:line="540" w:lineRule="exact"/>
        <w:ind w:left="0" w:leftChars="0" w:firstLine="640" w:firstLineChars="200"/>
        <w:jc w:val="left"/>
        <w:textAlignment w:val="auto"/>
        <w:rPr>
          <w:rFonts w:hint="eastAsia" w:ascii="黑体" w:hAnsi="黑体" w:eastAsia="黑体" w:cs="宋体"/>
          <w:color w:val="auto"/>
          <w:kern w:val="0"/>
          <w:sz w:val="32"/>
          <w:szCs w:val="32"/>
          <w:highlight w:val="none"/>
          <w:lang w:eastAsia="zh-CN"/>
        </w:rPr>
      </w:pPr>
      <w:r>
        <w:rPr>
          <w:rFonts w:hint="eastAsia" w:ascii="黑体" w:hAnsi="黑体" w:eastAsia="黑体" w:cs="宋体"/>
          <w:color w:val="auto"/>
          <w:kern w:val="0"/>
          <w:sz w:val="32"/>
          <w:szCs w:val="32"/>
          <w:highlight w:val="none"/>
          <w:lang w:val="en-US" w:eastAsia="zh-CN"/>
        </w:rPr>
        <w:t>十四、</w:t>
      </w:r>
      <w:r>
        <w:rPr>
          <w:rFonts w:hint="eastAsia" w:ascii="黑体" w:hAnsi="黑体" w:eastAsia="黑体" w:cs="宋体"/>
          <w:color w:val="auto"/>
          <w:kern w:val="0"/>
          <w:sz w:val="32"/>
          <w:szCs w:val="32"/>
          <w:highlight w:val="none"/>
          <w:lang w:eastAsia="zh-CN"/>
        </w:rPr>
        <w:t>其他应说明的事项</w:t>
      </w:r>
    </w:p>
    <w:p>
      <w:pPr>
        <w:keepNext w:val="0"/>
        <w:keepLines w:val="0"/>
        <w:pageBreakBefore w:val="0"/>
        <w:widowControl/>
        <w:kinsoku/>
        <w:wordWrap/>
        <w:overflowPunct/>
        <w:topLinePunct w:val="0"/>
        <w:autoSpaceDE/>
        <w:autoSpaceDN/>
        <w:bidi w:val="0"/>
        <w:adjustRightInd/>
        <w:snapToGrid/>
        <w:spacing w:line="540" w:lineRule="exact"/>
        <w:ind w:firstLine="680" w:firstLineChars="0"/>
        <w:jc w:val="both"/>
        <w:textAlignment w:val="auto"/>
        <w:rPr>
          <w:rFonts w:hint="eastAsia" w:ascii="仿宋" w:hAnsi="仿宋" w:eastAsia="仿宋" w:cs="宋体"/>
          <w:color w:val="auto"/>
          <w:kern w:val="0"/>
          <w:sz w:val="32"/>
          <w:szCs w:val="32"/>
          <w:highlight w:val="none"/>
          <w:lang w:val="en-US" w:eastAsia="zh-CN"/>
        </w:rPr>
      </w:pPr>
      <w:r>
        <w:rPr>
          <w:rFonts w:hint="eastAsia" w:ascii="仿宋" w:hAnsi="仿宋" w:eastAsia="仿宋" w:cs="宋体"/>
          <w:color w:val="auto"/>
          <w:kern w:val="0"/>
          <w:sz w:val="32"/>
          <w:szCs w:val="32"/>
          <w:highlight w:val="none"/>
          <w:lang w:val="en-US" w:eastAsia="zh-CN"/>
        </w:rPr>
        <w:t>无。</w:t>
      </w:r>
    </w:p>
    <w:sectPr>
      <w:footerReference r:id="rId6"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5408"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A3B7D88"/>
    <w:multiLevelType w:val="singleLevel"/>
    <w:tmpl w:val="AA3B7D88"/>
    <w:lvl w:ilvl="0" w:tentative="0">
      <w:start w:val="9"/>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AC7A99"/>
    <w:rsid w:val="000C6D0D"/>
    <w:rsid w:val="014E28CD"/>
    <w:rsid w:val="01950CAB"/>
    <w:rsid w:val="01F504CA"/>
    <w:rsid w:val="07057293"/>
    <w:rsid w:val="15F51CD0"/>
    <w:rsid w:val="18D26050"/>
    <w:rsid w:val="19466486"/>
    <w:rsid w:val="1A560B6A"/>
    <w:rsid w:val="1BAE5CE9"/>
    <w:rsid w:val="1D2F5291"/>
    <w:rsid w:val="1DB613A2"/>
    <w:rsid w:val="23DF69D0"/>
    <w:rsid w:val="24C03616"/>
    <w:rsid w:val="26051214"/>
    <w:rsid w:val="273C3B74"/>
    <w:rsid w:val="288867E3"/>
    <w:rsid w:val="2C212651"/>
    <w:rsid w:val="2CBB1934"/>
    <w:rsid w:val="2D9968B6"/>
    <w:rsid w:val="2F113B74"/>
    <w:rsid w:val="31AA3CC2"/>
    <w:rsid w:val="31B31E59"/>
    <w:rsid w:val="31C069F2"/>
    <w:rsid w:val="35433A9B"/>
    <w:rsid w:val="35B178BF"/>
    <w:rsid w:val="38D96F63"/>
    <w:rsid w:val="39954569"/>
    <w:rsid w:val="40E62E8D"/>
    <w:rsid w:val="40E701F2"/>
    <w:rsid w:val="446D7BA7"/>
    <w:rsid w:val="48B87043"/>
    <w:rsid w:val="4AB87306"/>
    <w:rsid w:val="4B6842F6"/>
    <w:rsid w:val="4BAC7A99"/>
    <w:rsid w:val="4C1D6DF0"/>
    <w:rsid w:val="4E4E4521"/>
    <w:rsid w:val="4EBD2643"/>
    <w:rsid w:val="514B2B0E"/>
    <w:rsid w:val="51D0321D"/>
    <w:rsid w:val="56746B70"/>
    <w:rsid w:val="572377F5"/>
    <w:rsid w:val="5D586F72"/>
    <w:rsid w:val="5E6556C0"/>
    <w:rsid w:val="60D24BBE"/>
    <w:rsid w:val="62F42D1B"/>
    <w:rsid w:val="65AC4BE7"/>
    <w:rsid w:val="674E69AD"/>
    <w:rsid w:val="679B5C98"/>
    <w:rsid w:val="68C61C2B"/>
    <w:rsid w:val="69C22738"/>
    <w:rsid w:val="6A51360C"/>
    <w:rsid w:val="6BE04F5C"/>
    <w:rsid w:val="6EC84CC3"/>
    <w:rsid w:val="70857A22"/>
    <w:rsid w:val="71081D8B"/>
    <w:rsid w:val="71922268"/>
    <w:rsid w:val="76D86BBF"/>
    <w:rsid w:val="771F5180"/>
    <w:rsid w:val="7A643CA7"/>
    <w:rsid w:val="7BAE538C"/>
    <w:rsid w:val="7C7E3C98"/>
    <w:rsid w:val="7E131D48"/>
    <w:rsid w:val="7E2840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3">
    <w:name w:val="heading 1"/>
    <w:basedOn w:val="1"/>
    <w:next w:val="1"/>
    <w:qFormat/>
    <w:uiPriority w:val="0"/>
    <w:pPr>
      <w:keepNext/>
      <w:keepLines/>
      <w:spacing w:before="240" w:after="240" w:line="360" w:lineRule="auto"/>
      <w:ind w:firstLine="0" w:firstLineChars="0"/>
      <w:jc w:val="center"/>
      <w:outlineLvl w:val="0"/>
    </w:pPr>
    <w:rPr>
      <w:rFonts w:ascii="Times New Roman" w:hAnsi="Times New Roman" w:eastAsia="宋体"/>
      <w:b/>
      <w:bCs/>
      <w:kern w:val="44"/>
      <w:sz w:val="44"/>
      <w:szCs w:val="44"/>
    </w:rPr>
  </w:style>
  <w:style w:type="paragraph" w:styleId="2">
    <w:name w:val="heading 3"/>
    <w:basedOn w:val="1"/>
    <w:next w:val="1"/>
    <w:qFormat/>
    <w:uiPriority w:val="0"/>
    <w:pPr>
      <w:ind w:left="1000" w:hanging="400"/>
      <w:outlineLvl w:val="2"/>
    </w:pPr>
    <w:rPr>
      <w:rFonts w:ascii="Calibri" w:hAnsi="Calibri" w:eastAsia="宋体"/>
      <w:szCs w:val="21"/>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pPr>
      <w:spacing w:before="100" w:beforeAutospacing="1"/>
      <w:jc w:val="center"/>
    </w:pPr>
    <w:rPr>
      <w:rFonts w:ascii="Times New Roman" w:hAnsi="Times New Roman" w:eastAsia="黑体" w:cs="Times New Roman"/>
      <w:sz w:val="44"/>
      <w:szCs w:val="44"/>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7">
    <w:name w:val="toc 1"/>
    <w:basedOn w:val="1"/>
    <w:next w:val="1"/>
    <w:qFormat/>
    <w:uiPriority w:val="39"/>
    <w:pPr>
      <w:spacing w:before="120" w:after="120"/>
      <w:jc w:val="left"/>
    </w:pPr>
    <w:rPr>
      <w:rFonts w:ascii="Calibri" w:hAnsi="Calibri" w:eastAsia="宋体"/>
      <w:b/>
      <w:bCs/>
      <w:caps/>
      <w:sz w:val="20"/>
      <w:szCs w:val="20"/>
    </w:rPr>
  </w:style>
  <w:style w:type="paragraph" w:styleId="8">
    <w:name w:val="Normal (Web)"/>
    <w:basedOn w:val="1"/>
    <w:next w:val="4"/>
    <w:qFormat/>
    <w:uiPriority w:val="0"/>
    <w:pPr>
      <w:widowControl w:val="0"/>
      <w:spacing w:before="0" w:beforeAutospacing="1" w:after="0" w:afterAutospacing="1"/>
      <w:ind w:left="0" w:right="0"/>
      <w:jc w:val="left"/>
    </w:pPr>
    <w:rPr>
      <w:rFonts w:ascii="Calibri" w:hAnsi="Calibri" w:eastAsia="仿宋_GB2312" w:cs="Arial"/>
      <w:kern w:val="0"/>
      <w:sz w:val="24"/>
      <w:szCs w:val="24"/>
      <w:lang w:val="en-US" w:eastAsia="zh-CN" w:bidi="ar-SA"/>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qFormat/>
    <w:uiPriority w:val="0"/>
  </w:style>
  <w:style w:type="character" w:styleId="13">
    <w:name w:val="Hyperlink"/>
    <w:basedOn w:val="11"/>
    <w:qFormat/>
    <w:uiPriority w:val="0"/>
    <w:rPr>
      <w:color w:val="0000FF"/>
      <w:u w:val="single"/>
    </w:rPr>
  </w:style>
  <w:style w:type="character" w:customStyle="1" w:styleId="14">
    <w:name w:val="fontstyle01"/>
    <w:basedOn w:val="11"/>
    <w:qFormat/>
    <w:uiPriority w:val="0"/>
    <w:rPr>
      <w:rFonts w:ascii="宋体" w:hAnsi="宋体" w:eastAsia="宋体" w:cs="宋体"/>
      <w:color w:val="000000"/>
      <w:sz w:val="28"/>
      <w:szCs w:val="2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7931</Words>
  <Characters>8300</Characters>
  <Lines>0</Lines>
  <Paragraphs>0</Paragraphs>
  <TotalTime>0</TotalTime>
  <ScaleCrop>false</ScaleCrop>
  <LinksUpToDate>false</LinksUpToDate>
  <CharactersWithSpaces>8341</CharactersWithSpaces>
  <Application>WPS Office_11.8.6.8811_F1E327BC-269C-435d-A152-05C5408002CA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2023-07-14T01:45:00Z</dcterms:created>
  <dc:creator>Administrator</dc:creator>
  <cp:lastModifiedBy>Admin</cp:lastModifiedBy>
  <cp:lastPrinted>2023-08-18T06:49:00Z</cp:lastPrinted>
  <dcterms:modified xsi:type="dcterms:W3CDTF">2025-05-08T02:09:26Z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2052-11.8.6.8811</vt:lpwstr>
  </property>
</Properties>
</file>