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3074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B5466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2840E2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 xml:space="preserve"> </w:t>
            </w:r>
            <w:r>
              <w:rPr>
                <w:rFonts w:hint="eastAsia" w:ascii="黑体" w:hAnsi="黑体" w:eastAsia="黑体"/>
                <w:sz w:val="21"/>
                <w:szCs w:val="21"/>
                <w:lang w:eastAsia="zh-CN"/>
              </w:rPr>
              <w:t>6</w:t>
            </w:r>
            <w:r>
              <w:rPr>
                <w:rFonts w:hint="eastAsia" w:ascii="黑体" w:hAnsi="黑体" w:eastAsia="黑体"/>
                <w:sz w:val="21"/>
                <w:szCs w:val="21"/>
                <w:lang w:val="en-US" w:eastAsia="zh-CN"/>
              </w:rPr>
              <w:t>5.020.01</w:t>
            </w:r>
            <w:r>
              <w:rPr>
                <w:rFonts w:ascii="黑体" w:hAnsi="黑体" w:eastAsia="黑体"/>
                <w:sz w:val="21"/>
                <w:szCs w:val="21"/>
              </w:rPr>
              <w:fldChar w:fldCharType="end"/>
            </w:r>
            <w:bookmarkEnd w:id="0"/>
          </w:p>
        </w:tc>
      </w:tr>
      <w:tr w14:paraId="0A7F8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6AC16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DCF735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177CFBB0">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75DC524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 xml:space="preserve"> </w:t>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38</w:t>
            </w:r>
            <w:r>
              <w:rPr>
                <w:rFonts w:ascii="黑体" w:hAnsi="黑体" w:eastAsia="黑体"/>
                <w:sz w:val="21"/>
                <w:szCs w:val="21"/>
              </w:rPr>
              <w:fldChar w:fldCharType="end"/>
            </w:r>
            <w:bookmarkEnd w:id="2"/>
          </w:p>
        </w:tc>
      </w:tr>
    </w:tbl>
    <w:p w14:paraId="5C07FEDF">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53BA2BD">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B49D27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005024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118C9F2">
      <w:pPr>
        <w:pStyle w:val="50"/>
        <w:framePr w:w="9639" w:h="6976" w:hRule="exact" w:hSpace="0" w:vSpace="0" w:wrap="around" w:hAnchor="page" w:y="6408"/>
        <w:jc w:val="center"/>
        <w:rPr>
          <w:rFonts w:ascii="黑体" w:hAnsi="黑体" w:eastAsia="黑体"/>
          <w:b w:val="0"/>
          <w:bCs w:val="0"/>
          <w:w w:val="100"/>
        </w:rPr>
      </w:pPr>
    </w:p>
    <w:p w14:paraId="63B7885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肉桂产品贮藏技术规程</w:t>
      </w:r>
      <w:r>
        <w:fldChar w:fldCharType="end"/>
      </w:r>
      <w:bookmarkEnd w:id="9"/>
    </w:p>
    <w:p w14:paraId="3CBF0775">
      <w:pPr>
        <w:framePr w:w="9639" w:h="6974" w:hRule="exact" w:wrap="around" w:vAnchor="page" w:hAnchor="page" w:x="1419" w:y="6408" w:anchorLock="1"/>
        <w:ind w:left="-1418"/>
      </w:pPr>
    </w:p>
    <w:p w14:paraId="6CB9B85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eastAsia="zh-CN"/>
        </w:rPr>
        <w:t>Technical Regulations for the Storage of Cinnamon Products</w:t>
      </w:r>
      <w:r>
        <w:rPr>
          <w:rFonts w:hint="eastAsia" w:eastAsia="黑体"/>
          <w:szCs w:val="28"/>
          <w:lang w:val="en-US" w:eastAsia="zh-CN"/>
        </w:rPr>
        <w:t xml:space="preserve"> </w:t>
      </w:r>
      <w:r>
        <w:rPr>
          <w:rFonts w:eastAsia="黑体"/>
          <w:szCs w:val="28"/>
        </w:rPr>
        <w:fldChar w:fldCharType="end"/>
      </w:r>
      <w:bookmarkEnd w:id="10"/>
    </w:p>
    <w:p w14:paraId="3C95F47C">
      <w:pPr>
        <w:framePr w:w="9639" w:h="6974" w:hRule="exact" w:wrap="around" w:vAnchor="page" w:hAnchor="page" w:x="1419" w:y="6408" w:anchorLock="1"/>
        <w:spacing w:line="760" w:lineRule="exact"/>
        <w:ind w:left="-1418"/>
      </w:pPr>
    </w:p>
    <w:p w14:paraId="5E2F56B6">
      <w:pPr>
        <w:pStyle w:val="125"/>
        <w:framePr w:w="9639" w:h="6974" w:hRule="exact" w:wrap="around" w:vAnchor="page" w:hAnchor="page" w:x="1419" w:y="6408" w:anchorLock="1"/>
        <w:textAlignment w:val="bottom"/>
        <w:rPr>
          <w:rFonts w:eastAsia="黑体"/>
          <w:szCs w:val="28"/>
        </w:rPr>
      </w:pPr>
    </w:p>
    <w:p w14:paraId="5C978D4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6B97E8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6B9BB4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04A879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bookmarkStart w:id="46" w:name="_GoBack"/>
      <w:bookmarkEnd w:id="46"/>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0A8C80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1D62C41">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EFAD26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8DF932">
      <w:pPr>
        <w:pStyle w:val="89"/>
        <w:spacing w:after="360"/>
      </w:pPr>
      <w:bookmarkStart w:id="21" w:name="BookMark2"/>
      <w:r>
        <w:rPr>
          <w:spacing w:val="320"/>
        </w:rPr>
        <w:t>前</w:t>
      </w:r>
      <w:r>
        <w:t>言</w:t>
      </w:r>
    </w:p>
    <w:p w14:paraId="2B624AD1">
      <w:pPr>
        <w:pStyle w:val="56"/>
        <w:ind w:firstLine="420"/>
        <w:rPr>
          <w:rFonts w:ascii="Times New Roman"/>
        </w:rPr>
      </w:pPr>
      <w:r>
        <w:rPr>
          <w:rFonts w:ascii="Times New Roman"/>
        </w:rPr>
        <w:t>本文件按照GB/T 1.1—2020《标准化工作导则  第1部分：标准化文件的结构和起草规则》的规定起草。</w:t>
      </w:r>
    </w:p>
    <w:p w14:paraId="4D55586A">
      <w:pPr>
        <w:pStyle w:val="56"/>
        <w:ind w:firstLine="420"/>
        <w:rPr>
          <w:rFonts w:ascii="Times New Roman"/>
        </w:rPr>
      </w:pPr>
      <w:r>
        <w:rPr>
          <w:rFonts w:ascii="Times New Roman"/>
        </w:rPr>
        <w:t>本文件由</w:t>
      </w:r>
      <w:r>
        <w:rPr>
          <w:rFonts w:hint="eastAsia" w:ascii="宋体" w:hAnsi="宋体"/>
          <w:szCs w:val="21"/>
          <w:lang w:val="en-US" w:eastAsia="zh-CN"/>
        </w:rPr>
        <w:t>广西庚源香料有限责任公司</w:t>
      </w:r>
      <w:r>
        <w:rPr>
          <w:rFonts w:ascii="Times New Roman"/>
        </w:rPr>
        <w:t>提出、</w:t>
      </w:r>
      <w:r>
        <w:rPr>
          <w:rFonts w:hint="eastAsia" w:ascii="Times New Roman"/>
          <w:highlight w:val="none"/>
          <w:lang w:val="en-US" w:eastAsia="zh-CN"/>
        </w:rPr>
        <w:t>广西中药材产业协会</w:t>
      </w:r>
      <w:r>
        <w:rPr>
          <w:rFonts w:ascii="Times New Roman"/>
          <w:highlight w:val="none"/>
        </w:rPr>
        <w:t>归口并宣贯</w:t>
      </w:r>
      <w:r>
        <w:rPr>
          <w:rFonts w:ascii="Times New Roman"/>
        </w:rPr>
        <w:t>。</w:t>
      </w:r>
    </w:p>
    <w:p w14:paraId="025FCC77">
      <w:pPr>
        <w:pStyle w:val="56"/>
        <w:ind w:firstLine="420"/>
        <w:rPr>
          <w:rFonts w:ascii="Times New Roman"/>
        </w:rPr>
      </w:pPr>
      <w:r>
        <w:rPr>
          <w:rFonts w:ascii="Times New Roman"/>
        </w:rPr>
        <w:t>本文件起草单位：</w:t>
      </w:r>
      <w:r>
        <w:rPr>
          <w:rFonts w:hint="eastAsia" w:ascii="宋体" w:hAnsi="宋体"/>
          <w:szCs w:val="21"/>
          <w:lang w:val="en-US" w:eastAsia="zh-CN"/>
        </w:rPr>
        <w:t>广西庚源香料有限责任公司、</w:t>
      </w:r>
      <w:r>
        <w:rPr>
          <w:rFonts w:hint="eastAsia" w:ascii="宋体" w:hAnsi="宋体"/>
          <w:szCs w:val="21"/>
          <w:lang w:eastAsia="zh-CN"/>
        </w:rPr>
        <w:t>广西壮族自治区药用植物园、</w:t>
      </w:r>
      <w:r>
        <w:rPr>
          <w:rFonts w:hint="eastAsia" w:ascii="宋体" w:hAnsi="宋体"/>
          <w:szCs w:val="21"/>
          <w:lang w:val="en-US" w:eastAsia="zh-CN"/>
        </w:rPr>
        <w:t>广西中医药大学、广西香料香精行业协会、广西-东盟食品检验检测中心、广西一方天江制药有限公司、东兴市智慧产业园有限公司、广西国盛香料有限责任公司、广西东兴庚源生态产业发展有限公司、防城港市马路新建桂油厂有限公司</w:t>
      </w:r>
      <w:r>
        <w:rPr>
          <w:rFonts w:ascii="Times New Roman"/>
        </w:rPr>
        <w:t>。</w:t>
      </w:r>
    </w:p>
    <w:p w14:paraId="0D0E61EB">
      <w:pPr>
        <w:pStyle w:val="56"/>
        <w:ind w:firstLine="420"/>
        <w:rPr>
          <w:rFonts w:ascii="Times New Roman"/>
        </w:rPr>
      </w:pPr>
      <w:r>
        <w:rPr>
          <w:rFonts w:ascii="Times New Roman"/>
        </w:rPr>
        <w:t>本文件主要起草人：</w:t>
      </w:r>
      <w:r>
        <w:rPr>
          <w:rFonts w:hint="eastAsia" w:ascii="Times New Roman"/>
          <w:highlight w:val="none"/>
          <w:lang w:val="en-US" w:eastAsia="zh-CN"/>
        </w:rPr>
        <w:t>胡营、张笮晦、朱艳霞、陈耿、侯小涛、安家成、黄宝优、刘珈伶、覃仁俊、韦升坚、周笑、韦筱媚、龚良、李汶玥、黄峰光、禤佳理、唐国胜、黄兴辉。</w:t>
      </w:r>
    </w:p>
    <w:p w14:paraId="5F886FEA">
      <w:pPr>
        <w:pStyle w:val="56"/>
        <w:ind w:firstLine="420"/>
        <w:rPr>
          <w:rFonts w:ascii="Times New Roman"/>
        </w:rPr>
      </w:pPr>
    </w:p>
    <w:p w14:paraId="7D733247">
      <w:pPr>
        <w:pStyle w:val="56"/>
        <w:ind w:firstLine="420"/>
        <w:rPr>
          <w:rFonts w:ascii="Times New Roman"/>
        </w:rPr>
      </w:pPr>
    </w:p>
    <w:p w14:paraId="51025834">
      <w:pPr>
        <w:pStyle w:val="56"/>
        <w:ind w:firstLine="199" w:firstLineChars="95"/>
        <w:sectPr>
          <w:headerReference r:id="rId9" w:type="default"/>
          <w:footerReference r:id="rId11" w:type="default"/>
          <w:headerReference r:id="rId10" w:type="even"/>
          <w:pgSz w:w="11906" w:h="16838"/>
          <w:pgMar w:top="1928" w:right="1134" w:bottom="1134" w:left="1134" w:header="1418" w:footer="1134" w:gutter="284"/>
          <w:pgNumType w:fmt="upperRoman"/>
          <w:cols w:space="425" w:num="1"/>
          <w:formProt w:val="0"/>
          <w:docGrid w:linePitch="312" w:charSpace="0"/>
        </w:sectPr>
      </w:pPr>
    </w:p>
    <w:bookmarkEnd w:id="21"/>
    <w:p w14:paraId="67F1B4F4">
      <w:pPr>
        <w:spacing w:line="20" w:lineRule="exact"/>
        <w:jc w:val="center"/>
        <w:rPr>
          <w:rFonts w:ascii="黑体" w:hAnsi="黑体" w:eastAsia="黑体"/>
          <w:sz w:val="32"/>
          <w:szCs w:val="32"/>
        </w:rPr>
      </w:pPr>
      <w:bookmarkStart w:id="22" w:name="BookMark4"/>
    </w:p>
    <w:p w14:paraId="708D871C">
      <w:pPr>
        <w:spacing w:line="20" w:lineRule="exact"/>
        <w:jc w:val="center"/>
        <w:rPr>
          <w:rFonts w:ascii="黑体" w:hAnsi="黑体" w:eastAsia="黑体"/>
          <w:sz w:val="32"/>
          <w:szCs w:val="32"/>
        </w:rPr>
      </w:pPr>
    </w:p>
    <w:sdt>
      <w:sdtPr>
        <w:tag w:val="NEW_STAND_NAME"/>
        <w:id w:val="595910757"/>
        <w:lock w:val="sdtLocked"/>
        <w:placeholder>
          <w:docPart w:val="6B4BA43241DD4DBB8912548E02276FB1"/>
        </w:placeholder>
      </w:sdtPr>
      <w:sdtEndPr>
        <w:rPr>
          <w:rFonts w:ascii="Times New Roman" w:hAnsi="Times New Roman"/>
        </w:rPr>
      </w:sdtEndPr>
      <w:sdtContent>
        <w:p w14:paraId="599B56CD">
          <w:pPr>
            <w:pStyle w:val="177"/>
            <w:spacing w:before="2" w:beforeLines="1" w:after="528" w:afterLines="220"/>
            <w:rPr>
              <w:rFonts w:ascii="Times New Roman" w:hAnsi="Times New Roman"/>
            </w:rPr>
          </w:pPr>
          <w:bookmarkStart w:id="23" w:name="NEW_STAND_NAME"/>
          <w:r>
            <w:rPr>
              <w:rFonts w:hint="eastAsia"/>
              <w:lang w:val="en-US" w:eastAsia="zh-CN"/>
            </w:rPr>
            <w:t>肉桂产品</w:t>
          </w:r>
          <w:r>
            <w:rPr>
              <w:rFonts w:hint="eastAsia" w:ascii="Times New Roman" w:hAnsi="Times New Roman"/>
              <w:lang w:val="en-US" w:eastAsia="zh-CN"/>
            </w:rPr>
            <w:t>贮藏技术规程</w:t>
          </w:r>
        </w:p>
      </w:sdtContent>
    </w:sdt>
    <w:bookmarkEnd w:id="23"/>
    <w:p w14:paraId="0D218B1F">
      <w:pPr>
        <w:pStyle w:val="104"/>
        <w:spacing w:before="240" w:after="240"/>
        <w:rPr>
          <w:rFonts w:ascii="Times New Roman"/>
        </w:rPr>
      </w:pPr>
      <w:bookmarkStart w:id="24" w:name="_Toc97192964"/>
      <w:bookmarkStart w:id="25" w:name="_Toc26718930"/>
      <w:bookmarkStart w:id="26" w:name="_Toc17233325"/>
      <w:bookmarkStart w:id="27" w:name="_Toc156311870"/>
      <w:bookmarkStart w:id="28" w:name="_Toc26986771"/>
      <w:bookmarkStart w:id="29" w:name="_Toc24884218"/>
      <w:bookmarkStart w:id="30" w:name="_Toc24884211"/>
      <w:bookmarkStart w:id="31" w:name="_Toc17233333"/>
      <w:bookmarkStart w:id="32" w:name="_Toc26986530"/>
      <w:bookmarkStart w:id="33" w:name="_Toc26648465"/>
      <w:r>
        <w:rPr>
          <w:rFonts w:ascii="Times New Roman"/>
        </w:rPr>
        <w:t>范围</w:t>
      </w:r>
      <w:bookmarkEnd w:id="24"/>
      <w:bookmarkEnd w:id="25"/>
      <w:bookmarkEnd w:id="26"/>
      <w:bookmarkEnd w:id="27"/>
      <w:bookmarkEnd w:id="28"/>
      <w:bookmarkEnd w:id="29"/>
      <w:bookmarkEnd w:id="30"/>
      <w:bookmarkEnd w:id="31"/>
      <w:bookmarkEnd w:id="32"/>
      <w:bookmarkEnd w:id="33"/>
    </w:p>
    <w:p w14:paraId="158F0ABF">
      <w:pPr>
        <w:pStyle w:val="56"/>
        <w:ind w:firstLine="420"/>
        <w:rPr>
          <w:rFonts w:ascii="Times New Roman"/>
        </w:rPr>
      </w:pPr>
      <w:r>
        <w:rPr>
          <w:rFonts w:ascii="Times New Roman"/>
        </w:rPr>
        <w:t>本</w:t>
      </w:r>
      <w:r>
        <w:rPr>
          <w:rFonts w:hint="eastAsia" w:ascii="Times New Roman"/>
          <w:lang w:val="en-US" w:eastAsia="zh-CN"/>
        </w:rPr>
        <w:t>文件规定了肉桂产品贮藏前处理、入库管理、贮藏管理、出库管理和贮藏记录要求</w:t>
      </w:r>
      <w:r>
        <w:rPr>
          <w:rFonts w:ascii="Times New Roman"/>
        </w:rPr>
        <w:t>。</w:t>
      </w:r>
    </w:p>
    <w:p w14:paraId="58709DDE">
      <w:pPr>
        <w:pStyle w:val="56"/>
        <w:ind w:firstLine="420"/>
        <w:rPr>
          <w:rFonts w:ascii="Times New Roman"/>
        </w:rPr>
      </w:pPr>
      <w:bookmarkStart w:id="34" w:name="_Toc17233326"/>
      <w:bookmarkStart w:id="35" w:name="_Toc24884212"/>
      <w:bookmarkStart w:id="36" w:name="_Toc24884219"/>
      <w:bookmarkStart w:id="37" w:name="_Toc26648466"/>
      <w:bookmarkStart w:id="38" w:name="_Toc17233334"/>
      <w:r>
        <w:rPr>
          <w:rFonts w:ascii="Times New Roman"/>
        </w:rPr>
        <w:t>本文件适用于</w:t>
      </w:r>
      <w:r>
        <w:rPr>
          <w:rFonts w:hint="eastAsia" w:ascii="Times New Roman"/>
          <w:lang w:val="en-US" w:eastAsia="zh-CN"/>
        </w:rPr>
        <w:t>肉桂产品的贮藏</w:t>
      </w:r>
      <w:r>
        <w:rPr>
          <w:rFonts w:ascii="Times New Roman"/>
        </w:rPr>
        <w:t>。</w:t>
      </w:r>
    </w:p>
    <w:p w14:paraId="0D936E89">
      <w:pPr>
        <w:pStyle w:val="104"/>
        <w:spacing w:before="240" w:after="240"/>
        <w:rPr>
          <w:rFonts w:ascii="Times New Roman"/>
        </w:rPr>
      </w:pPr>
      <w:bookmarkStart w:id="39" w:name="_Toc26986531"/>
      <w:bookmarkStart w:id="40" w:name="_Toc26718931"/>
      <w:bookmarkStart w:id="41" w:name="_Toc97192965"/>
      <w:bookmarkStart w:id="42" w:name="_Toc156311871"/>
      <w:bookmarkStart w:id="43" w:name="_Toc26986772"/>
      <w:r>
        <w:rPr>
          <w:rFonts w:ascii="Times New Roman"/>
        </w:rPr>
        <w:t>规范性引用文件</w:t>
      </w:r>
      <w:bookmarkEnd w:id="34"/>
      <w:bookmarkEnd w:id="35"/>
      <w:bookmarkEnd w:id="36"/>
      <w:bookmarkEnd w:id="37"/>
      <w:bookmarkEnd w:id="38"/>
      <w:bookmarkEnd w:id="39"/>
      <w:bookmarkEnd w:id="40"/>
      <w:bookmarkEnd w:id="41"/>
      <w:bookmarkEnd w:id="42"/>
      <w:bookmarkEnd w:id="43"/>
    </w:p>
    <w:p w14:paraId="5440B233">
      <w:pPr>
        <w:pStyle w:val="56"/>
        <w:ind w:firstLine="420"/>
        <w:rPr>
          <w:rFonts w:hint="eastAsia"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C2169AE">
      <w:pPr>
        <w:pStyle w:val="56"/>
        <w:ind w:firstLine="420"/>
        <w:rPr>
          <w:rFonts w:hint="default" w:ascii="Times New Roman" w:eastAsia="宋体"/>
          <w:lang w:val="en-US" w:eastAsia="zh-CN"/>
        </w:rPr>
      </w:pPr>
      <w:r>
        <w:rPr>
          <w:rFonts w:hint="eastAsia" w:ascii="Times New Roman"/>
        </w:rPr>
        <w:t xml:space="preserve">GB/T </w:t>
      </w:r>
      <w:r>
        <w:rPr>
          <w:rFonts w:hint="eastAsia" w:ascii="Times New Roman"/>
          <w:lang w:val="en-US" w:eastAsia="zh-CN"/>
        </w:rPr>
        <w:t>6543 运输包装用单瓦楞纸箱和双瓦楞纸箱</w:t>
      </w:r>
    </w:p>
    <w:p w14:paraId="4409940B">
      <w:pPr>
        <w:pStyle w:val="56"/>
        <w:ind w:firstLine="420"/>
        <w:rPr>
          <w:rFonts w:hint="eastAsia" w:ascii="Times New Roman"/>
          <w:lang w:val="en-US" w:eastAsia="zh-CN"/>
        </w:rPr>
      </w:pPr>
      <w:r>
        <w:rPr>
          <w:rFonts w:hint="eastAsia" w:ascii="Times New Roman"/>
          <w:lang w:val="en-US" w:eastAsia="zh-CN"/>
        </w:rPr>
        <w:t>GB/T 42780 肉桂产品质量等级</w:t>
      </w:r>
    </w:p>
    <w:p w14:paraId="421D6434">
      <w:pPr>
        <w:pStyle w:val="56"/>
        <w:ind w:firstLine="420"/>
        <w:rPr>
          <w:rFonts w:hint="eastAsia" w:ascii="Times New Roman"/>
        </w:rPr>
      </w:pPr>
      <w:r>
        <w:rPr>
          <w:rFonts w:hint="eastAsia" w:ascii="Times New Roman"/>
        </w:rPr>
        <w:t>SB/T 11094</w:t>
      </w:r>
      <w:r>
        <w:rPr>
          <w:rFonts w:hint="eastAsia" w:ascii="Times New Roman"/>
          <w:lang w:val="en-US" w:eastAsia="zh-CN"/>
        </w:rPr>
        <w:t xml:space="preserve"> </w:t>
      </w:r>
      <w:r>
        <w:rPr>
          <w:rFonts w:hint="eastAsia" w:ascii="Times New Roman"/>
        </w:rPr>
        <w:t>中药材仓储管理规范</w:t>
      </w:r>
    </w:p>
    <w:p w14:paraId="1B92DA04">
      <w:pPr>
        <w:pStyle w:val="56"/>
        <w:ind w:firstLine="420"/>
        <w:rPr>
          <w:rFonts w:hint="eastAsia" w:ascii="Times New Roman"/>
        </w:rPr>
      </w:pPr>
      <w:r>
        <w:rPr>
          <w:rFonts w:hint="eastAsia" w:ascii="Times New Roman"/>
        </w:rPr>
        <w:t>SB/T 11095</w:t>
      </w:r>
      <w:r>
        <w:rPr>
          <w:rFonts w:hint="eastAsia" w:ascii="Times New Roman"/>
          <w:lang w:val="en-US" w:eastAsia="zh-CN"/>
        </w:rPr>
        <w:t xml:space="preserve"> </w:t>
      </w:r>
      <w:r>
        <w:rPr>
          <w:rFonts w:hint="eastAsia" w:ascii="Times New Roman"/>
        </w:rPr>
        <w:t>中药材仓库技术规范</w:t>
      </w:r>
    </w:p>
    <w:p w14:paraId="2B1B993C">
      <w:pPr>
        <w:pStyle w:val="56"/>
        <w:ind w:firstLine="420"/>
        <w:rPr>
          <w:rFonts w:hint="eastAsia" w:ascii="Times New Roman"/>
          <w:lang w:val="en-US" w:eastAsia="zh-CN"/>
        </w:rPr>
      </w:pPr>
      <w:r>
        <w:rPr>
          <w:rFonts w:hint="eastAsia" w:ascii="Times New Roman"/>
          <w:lang w:val="en-US" w:eastAsia="zh-CN"/>
        </w:rPr>
        <w:t>SB/T 11182 中药材包装技术规范</w:t>
      </w:r>
    </w:p>
    <w:p w14:paraId="082F9381">
      <w:pPr>
        <w:pStyle w:val="56"/>
        <w:ind w:firstLine="420"/>
        <w:rPr>
          <w:rFonts w:hint="default" w:ascii="Times New Roman"/>
          <w:lang w:val="en-US" w:eastAsia="zh-CN"/>
        </w:rPr>
      </w:pPr>
      <w:r>
        <w:rPr>
          <w:rFonts w:hint="eastAsia" w:ascii="Times New Roman"/>
        </w:rPr>
        <w:t>《中华人民共和国药典》 2020年版(四部) 通则</w:t>
      </w:r>
    </w:p>
    <w:p w14:paraId="6AE58AB2">
      <w:pPr>
        <w:pStyle w:val="104"/>
        <w:spacing w:before="240" w:after="240"/>
        <w:rPr>
          <w:rFonts w:ascii="Times New Roman"/>
        </w:rPr>
      </w:pPr>
      <w:bookmarkStart w:id="44" w:name="_Toc156311872"/>
      <w:r>
        <w:rPr>
          <w:rFonts w:ascii="Times New Roman"/>
        </w:rPr>
        <w:t>术语和定义</w:t>
      </w:r>
    </w:p>
    <w:p w14:paraId="454DADFF">
      <w:pPr>
        <w:pStyle w:val="56"/>
        <w:ind w:firstLine="420"/>
        <w:rPr>
          <w:rFonts w:ascii="Times New Roman"/>
        </w:rPr>
      </w:pPr>
      <w:r>
        <w:rPr>
          <w:rFonts w:ascii="Times New Roman"/>
        </w:rPr>
        <w:t>下列术语和文件适用于本文件。</w:t>
      </w:r>
    </w:p>
    <w:p w14:paraId="2A5B5B27">
      <w:pPr>
        <w:pStyle w:val="105"/>
        <w:ind w:left="0"/>
        <w:rPr>
          <w:rFonts w:ascii="Times New Roman"/>
        </w:rPr>
      </w:pPr>
    </w:p>
    <w:p w14:paraId="49C7FBDF">
      <w:pPr>
        <w:pStyle w:val="105"/>
        <w:numPr>
          <w:ilvl w:val="0"/>
          <w:numId w:val="0"/>
        </w:numPr>
        <w:ind w:firstLine="420" w:firstLineChars="200"/>
        <w:rPr>
          <w:rFonts w:ascii="Times New Roman"/>
        </w:rPr>
      </w:pPr>
      <w:r>
        <w:rPr>
          <w:rFonts w:hint="eastAsia" w:ascii="Times New Roman"/>
          <w:lang w:val="en-US" w:eastAsia="zh-CN"/>
        </w:rPr>
        <w:t>肉桂</w:t>
      </w:r>
      <w:r>
        <w:rPr>
          <w:rFonts w:ascii="Times New Roman"/>
        </w:rPr>
        <w:t xml:space="preserve"> </w:t>
      </w:r>
      <w:r>
        <w:rPr>
          <w:rFonts w:hint="eastAsia" w:ascii="Times New Roman"/>
          <w:i/>
          <w:iCs/>
          <w:lang w:val="en-US" w:eastAsia="zh-CN"/>
        </w:rPr>
        <w:t>Cinnamomum cassia</w:t>
      </w:r>
    </w:p>
    <w:p w14:paraId="7F3B07E3">
      <w:pPr>
        <w:pStyle w:val="56"/>
        <w:ind w:firstLine="420"/>
        <w:rPr>
          <w:rFonts w:ascii="Times New Roman"/>
        </w:rPr>
      </w:pPr>
      <w:r>
        <w:rPr>
          <w:rFonts w:hint="eastAsia" w:ascii="Times New Roman"/>
          <w:lang w:val="en-US" w:eastAsia="zh-CN"/>
        </w:rPr>
        <w:t>本品为樟科植物肉桂</w:t>
      </w:r>
      <w:r>
        <w:rPr>
          <w:rFonts w:hint="eastAsia" w:ascii="Times New Roman"/>
          <w:i/>
          <w:iCs/>
          <w:lang w:val="en-US" w:eastAsia="zh-CN"/>
        </w:rPr>
        <w:t xml:space="preserve">Cinnamomum cassia </w:t>
      </w:r>
      <w:r>
        <w:rPr>
          <w:rFonts w:hint="eastAsia" w:ascii="Times New Roman"/>
          <w:lang w:val="en-US" w:eastAsia="zh-CN"/>
        </w:rPr>
        <w:t>(L.) D. Don的干燥树皮</w:t>
      </w:r>
      <w:r>
        <w:rPr>
          <w:rFonts w:ascii="Times New Roman"/>
        </w:rPr>
        <w:t>。</w:t>
      </w:r>
    </w:p>
    <w:p w14:paraId="52F0BFE5">
      <w:pPr>
        <w:pStyle w:val="105"/>
        <w:ind w:left="0"/>
        <w:rPr>
          <w:rFonts w:ascii="Times New Roman"/>
        </w:rPr>
      </w:pPr>
    </w:p>
    <w:p w14:paraId="44EC119A">
      <w:pPr>
        <w:pStyle w:val="105"/>
        <w:numPr>
          <w:ilvl w:val="0"/>
          <w:numId w:val="0"/>
        </w:numPr>
        <w:ind w:firstLine="420" w:firstLineChars="200"/>
        <w:rPr>
          <w:rFonts w:hint="default" w:ascii="Times New Roman" w:hAnsi="Times New Roman" w:cs="Times New Roman"/>
          <w:lang w:val="en-US" w:eastAsia="zh-CN"/>
        </w:rPr>
      </w:pPr>
      <w:r>
        <w:rPr>
          <w:rFonts w:hint="eastAsia" w:ascii="Times New Roman" w:hAnsi="Times New Roman" w:cs="Times New Roman"/>
          <w:lang w:val="en-US" w:eastAsia="zh-CN"/>
        </w:rPr>
        <w:t>肉桂产品 Products of cassia</w:t>
      </w:r>
    </w:p>
    <w:p w14:paraId="52289077">
      <w:pPr>
        <w:pStyle w:val="56"/>
        <w:ind w:firstLine="42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由肉桂树皮初加工而成的产品，包括</w:t>
      </w:r>
      <w:r>
        <w:rPr>
          <w:rFonts w:hint="default" w:ascii="Times New Roman" w:hAnsi="Times New Roman" w:eastAsia="宋体" w:cs="Times New Roman"/>
          <w:lang w:val="en-US" w:eastAsia="zh-CN"/>
        </w:rPr>
        <w:t>板桂、桂通、烟仔桂、桂碎</w:t>
      </w:r>
      <w:r>
        <w:rPr>
          <w:rFonts w:hint="eastAsia" w:ascii="Times New Roman" w:hAnsi="Times New Roman" w:eastAsia="宋体" w:cs="Times New Roman"/>
          <w:lang w:val="en-US" w:eastAsia="zh-CN"/>
        </w:rPr>
        <w:t>等不同质量等级的产品。</w:t>
      </w:r>
    </w:p>
    <w:bookmarkEnd w:id="44"/>
    <w:p w14:paraId="0DD5897C">
      <w:pPr>
        <w:pStyle w:val="104"/>
        <w:spacing w:before="240" w:after="240"/>
        <w:rPr>
          <w:rFonts w:ascii="Times New Roman"/>
        </w:rPr>
      </w:pPr>
      <w:r>
        <w:rPr>
          <w:rFonts w:hint="eastAsia" w:ascii="Times New Roman"/>
          <w:lang w:val="en-US" w:eastAsia="zh-CN"/>
        </w:rPr>
        <w:t>贮藏前处理</w:t>
      </w:r>
    </w:p>
    <w:p w14:paraId="71B83E6D">
      <w:pPr>
        <w:pStyle w:val="105"/>
        <w:ind w:left="0"/>
        <w:rPr>
          <w:rFonts w:hint="eastAsia" w:ascii="Times New Roman" w:hAnsi="Times New Roman" w:cs="Times New Roman"/>
          <w:lang w:val="en-US" w:eastAsia="zh-CN"/>
        </w:rPr>
      </w:pPr>
      <w:r>
        <w:rPr>
          <w:rFonts w:hint="eastAsia" w:ascii="Times New Roman" w:hAnsi="Times New Roman" w:cs="Times New Roman"/>
          <w:lang w:val="en-US" w:eastAsia="zh-CN"/>
        </w:rPr>
        <w:t>肉桂产品分级</w:t>
      </w:r>
    </w:p>
    <w:p w14:paraId="648B4C0B">
      <w:pPr>
        <w:pStyle w:val="56"/>
        <w:rPr>
          <w:rFonts w:hint="eastAsia" w:ascii="Times New Roman" w:hAnsi="Times New Roman" w:eastAsia="宋体" w:cs="Times New Roman"/>
          <w:lang w:val="en-US" w:eastAsia="zh-CN"/>
        </w:rPr>
      </w:pPr>
      <w:r>
        <w:rPr>
          <w:rFonts w:hint="eastAsia" w:ascii="Times New Roman"/>
          <w:lang w:val="en-US" w:eastAsia="zh-CN"/>
        </w:rPr>
        <w:t>于每年的3~5月或8~10月剥取肉桂树皮，按GB/T 42780将肉桂产</w:t>
      </w:r>
      <w:r>
        <w:rPr>
          <w:rFonts w:hint="eastAsia" w:ascii="Times New Roman" w:hAnsi="Times New Roman" w:eastAsia="宋体" w:cs="Times New Roman"/>
          <w:lang w:val="en-US" w:eastAsia="zh-CN"/>
        </w:rPr>
        <w:t>品划分为板桂、桂通、烟仔桂、桂碎等不同等级，按等级分别晒干或阴干。</w:t>
      </w:r>
    </w:p>
    <w:p w14:paraId="6CA25FB0">
      <w:pPr>
        <w:pStyle w:val="105"/>
        <w:ind w:left="0"/>
        <w:rPr>
          <w:rFonts w:hint="eastAsia" w:ascii="Times New Roman" w:hAnsi="Times New Roman" w:cs="Times New Roman"/>
          <w:lang w:val="en-US" w:eastAsia="zh-CN"/>
        </w:rPr>
      </w:pPr>
      <w:r>
        <w:rPr>
          <w:rFonts w:hint="eastAsia" w:ascii="Times New Roman" w:hAnsi="Times New Roman" w:cs="Times New Roman"/>
          <w:lang w:val="en-US" w:eastAsia="zh-CN"/>
        </w:rPr>
        <w:t>肉桂产品质量检测</w:t>
      </w:r>
    </w:p>
    <w:p w14:paraId="079B7271">
      <w:pPr>
        <w:pStyle w:val="105"/>
        <w:numPr>
          <w:ilvl w:val="2"/>
          <w:numId w:val="0"/>
        </w:numPr>
        <w:ind w:leftChars="0"/>
        <w:rPr>
          <w:rFonts w:hint="default" w:ascii="Times New Roman" w:hAnsi="Times New Roman" w:cs="Times New Roman"/>
          <w:lang w:val="en-US" w:eastAsia="zh-CN"/>
        </w:rPr>
      </w:pPr>
      <w:r>
        <w:rPr>
          <w:rFonts w:hint="eastAsia" w:ascii="Times New Roman" w:hAnsi="Times New Roman" w:cs="Times New Roman"/>
          <w:lang w:val="en-US" w:eastAsia="zh-CN"/>
        </w:rPr>
        <w:t>4.2.1 外观检查</w:t>
      </w:r>
    </w:p>
    <w:p w14:paraId="52503F9C">
      <w:pPr>
        <w:pStyle w:val="56"/>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入库前检查肉桂产品的外观、色泽、滋味和气味。质量应符合表1的规定。</w:t>
      </w:r>
    </w:p>
    <w:p w14:paraId="39EB93C1">
      <w:pPr>
        <w:pStyle w:val="56"/>
        <w:jc w:val="center"/>
        <w:rPr>
          <w:rFonts w:hint="eastAsia" w:ascii="Times New Roman"/>
          <w:lang w:val="en-US" w:eastAsia="zh-CN"/>
        </w:rPr>
      </w:pPr>
      <w:r>
        <w:rPr>
          <w:rFonts w:hint="eastAsia" w:ascii="Times New Roman"/>
          <w:lang w:val="en-US" w:eastAsia="zh-CN"/>
        </w:rPr>
        <w:t>表1 肉桂产品外观检查要求</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8934"/>
      </w:tblGrid>
      <w:tr w14:paraId="7AEB1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D213">
            <w:pPr>
              <w:pStyle w:val="56"/>
              <w:ind w:left="0" w:leftChars="0" w:firstLine="0" w:firstLineChars="0"/>
              <w:jc w:val="center"/>
              <w:rPr>
                <w:rFonts w:hint="default" w:ascii="Times New Roman"/>
                <w:lang w:val="en-US" w:eastAsia="zh-CN"/>
              </w:rPr>
            </w:pPr>
            <w:r>
              <w:rPr>
                <w:rFonts w:hint="default" w:ascii="Times New Roman"/>
                <w:lang w:val="en-US" w:eastAsia="zh-CN"/>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AFB87">
            <w:pPr>
              <w:pStyle w:val="56"/>
              <w:jc w:val="center"/>
              <w:rPr>
                <w:rFonts w:hint="default" w:ascii="Times New Roman"/>
                <w:lang w:val="en-US" w:eastAsia="zh-CN"/>
              </w:rPr>
            </w:pPr>
            <w:r>
              <w:rPr>
                <w:rFonts w:hint="default" w:ascii="Times New Roman"/>
                <w:lang w:val="en-US" w:eastAsia="zh-CN"/>
              </w:rPr>
              <w:t>外观检查要求</w:t>
            </w:r>
          </w:p>
        </w:tc>
      </w:tr>
      <w:tr w14:paraId="013A5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1A80">
            <w:pPr>
              <w:pStyle w:val="56"/>
              <w:ind w:left="0" w:leftChars="0" w:firstLine="0" w:firstLineChars="0"/>
              <w:jc w:val="center"/>
              <w:rPr>
                <w:rFonts w:hint="default" w:ascii="Times New Roman"/>
                <w:lang w:val="en-US" w:eastAsia="zh-CN"/>
              </w:rPr>
            </w:pPr>
            <w:r>
              <w:rPr>
                <w:rFonts w:hint="default" w:ascii="Times New Roman"/>
                <w:lang w:val="en-US" w:eastAsia="zh-CN"/>
              </w:rPr>
              <w:t>色泽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5831B">
            <w:pPr>
              <w:pStyle w:val="56"/>
              <w:jc w:val="center"/>
              <w:rPr>
                <w:rFonts w:hint="default" w:ascii="Times New Roman"/>
                <w:lang w:val="en-US" w:eastAsia="zh-CN"/>
              </w:rPr>
            </w:pPr>
            <w:r>
              <w:rPr>
                <w:rFonts w:hint="default" w:ascii="Times New Roman"/>
                <w:lang w:val="en-US" w:eastAsia="zh-CN"/>
              </w:rPr>
              <w:t>不削皮产品外侧为棕灰色，带或不带灰白斑，内侧及削皮产品的内、外侧均为棕色或棕黄色</w:t>
            </w:r>
          </w:p>
        </w:tc>
      </w:tr>
      <w:tr w14:paraId="6F944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9CDD">
            <w:pPr>
              <w:pStyle w:val="56"/>
              <w:ind w:left="0" w:leftChars="0" w:firstLine="0" w:firstLineChars="0"/>
              <w:jc w:val="center"/>
              <w:rPr>
                <w:rFonts w:hint="default" w:ascii="Times New Roman"/>
                <w:lang w:val="en-US" w:eastAsia="zh-CN"/>
              </w:rPr>
            </w:pPr>
            <w:r>
              <w:rPr>
                <w:rFonts w:hint="default" w:ascii="Times New Roman"/>
                <w:lang w:val="en-US" w:eastAsia="zh-CN"/>
              </w:rPr>
              <w:t>表观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8EEAE">
            <w:pPr>
              <w:pStyle w:val="56"/>
              <w:jc w:val="center"/>
              <w:rPr>
                <w:rFonts w:hint="default" w:ascii="Times New Roman"/>
                <w:lang w:val="en-US" w:eastAsia="zh-CN"/>
              </w:rPr>
            </w:pPr>
            <w:r>
              <w:rPr>
                <w:rFonts w:hint="default" w:ascii="Times New Roman"/>
                <w:lang w:val="en-US" w:eastAsia="zh-CN"/>
              </w:rPr>
              <w:t>外表平整或较平整</w:t>
            </w:r>
          </w:p>
        </w:tc>
      </w:tr>
      <w:tr w14:paraId="43895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346A9">
            <w:pPr>
              <w:pStyle w:val="56"/>
              <w:ind w:left="0" w:leftChars="0" w:firstLine="0" w:firstLineChars="0"/>
              <w:jc w:val="center"/>
              <w:rPr>
                <w:rFonts w:hint="default" w:ascii="Times New Roman"/>
                <w:lang w:val="en-US" w:eastAsia="zh-CN"/>
              </w:rPr>
            </w:pPr>
            <w:r>
              <w:rPr>
                <w:rFonts w:hint="default" w:ascii="Times New Roman"/>
                <w:lang w:val="en-US" w:eastAsia="zh-CN"/>
              </w:rPr>
              <w:t>质地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0841">
            <w:pPr>
              <w:pStyle w:val="56"/>
              <w:jc w:val="center"/>
              <w:rPr>
                <w:rFonts w:hint="default" w:ascii="Times New Roman"/>
                <w:lang w:val="en-US" w:eastAsia="zh-CN"/>
              </w:rPr>
            </w:pPr>
            <w:r>
              <w:rPr>
                <w:rFonts w:hint="default" w:ascii="Times New Roman"/>
                <w:lang w:val="en-US" w:eastAsia="zh-CN"/>
              </w:rPr>
              <w:t>硬而脆</w:t>
            </w:r>
          </w:p>
        </w:tc>
      </w:tr>
      <w:tr w14:paraId="50972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30FE6">
            <w:pPr>
              <w:pStyle w:val="56"/>
              <w:ind w:left="0" w:leftChars="0" w:firstLine="0" w:firstLineChars="0"/>
              <w:jc w:val="center"/>
              <w:rPr>
                <w:rFonts w:hint="default" w:ascii="Times New Roman"/>
                <w:lang w:val="en-US" w:eastAsia="zh-CN"/>
              </w:rPr>
            </w:pPr>
            <w:r>
              <w:rPr>
                <w:rFonts w:hint="default" w:ascii="Times New Roman"/>
                <w:lang w:val="en-US" w:eastAsia="zh-CN"/>
              </w:rPr>
              <w:t>滋味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91D21">
            <w:pPr>
              <w:pStyle w:val="56"/>
              <w:jc w:val="center"/>
              <w:rPr>
                <w:rFonts w:hint="default" w:ascii="Times New Roman"/>
                <w:lang w:val="en-US" w:eastAsia="zh-CN"/>
              </w:rPr>
            </w:pPr>
            <w:r>
              <w:rPr>
                <w:rFonts w:hint="default" w:ascii="Times New Roman"/>
                <w:lang w:val="en-US" w:eastAsia="zh-CN"/>
              </w:rPr>
              <w:t>甜辛辣</w:t>
            </w:r>
          </w:p>
        </w:tc>
      </w:tr>
      <w:tr w14:paraId="4F38A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2085">
            <w:pPr>
              <w:pStyle w:val="56"/>
              <w:ind w:left="0" w:leftChars="0" w:firstLine="0" w:firstLineChars="0"/>
              <w:jc w:val="center"/>
              <w:rPr>
                <w:rFonts w:hint="default" w:ascii="Times New Roman"/>
                <w:lang w:val="en-US" w:eastAsia="zh-CN"/>
              </w:rPr>
            </w:pPr>
            <w:r>
              <w:rPr>
                <w:rFonts w:hint="default" w:ascii="Times New Roman"/>
                <w:lang w:val="en-US" w:eastAsia="zh-CN"/>
              </w:rPr>
              <w:t>气味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DB159">
            <w:pPr>
              <w:pStyle w:val="56"/>
              <w:jc w:val="center"/>
              <w:rPr>
                <w:rFonts w:hint="default" w:ascii="Times New Roman"/>
                <w:lang w:val="en-US" w:eastAsia="zh-CN"/>
              </w:rPr>
            </w:pPr>
            <w:r>
              <w:rPr>
                <w:rFonts w:hint="default" w:ascii="Times New Roman"/>
                <w:lang w:val="en-US" w:eastAsia="zh-CN"/>
              </w:rPr>
              <w:t>具有肉桂的特征香气</w:t>
            </w:r>
          </w:p>
        </w:tc>
      </w:tr>
      <w:tr w14:paraId="2B15C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03561">
            <w:pPr>
              <w:pStyle w:val="56"/>
              <w:ind w:left="0" w:leftChars="0" w:firstLine="0" w:firstLineChars="0"/>
              <w:jc w:val="center"/>
              <w:rPr>
                <w:rFonts w:hint="default" w:ascii="Times New Roman"/>
                <w:lang w:val="en-US" w:eastAsia="zh-CN"/>
              </w:rPr>
            </w:pPr>
            <w:r>
              <w:rPr>
                <w:rFonts w:hint="default" w:ascii="Times New Roman"/>
                <w:lang w:val="en-US" w:eastAsia="zh-CN"/>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DFE5">
            <w:pPr>
              <w:pStyle w:val="56"/>
              <w:jc w:val="center"/>
              <w:rPr>
                <w:rFonts w:hint="default" w:ascii="Times New Roman"/>
                <w:lang w:val="en-US" w:eastAsia="zh-CN"/>
              </w:rPr>
            </w:pPr>
            <w:r>
              <w:rPr>
                <w:rFonts w:hint="eastAsia" w:ascii="Times New Roman"/>
                <w:lang w:val="en-US" w:eastAsia="zh-CN"/>
              </w:rPr>
              <w:t>桂板：板状，</w:t>
            </w:r>
            <w:r>
              <w:rPr>
                <w:rFonts w:hint="default" w:ascii="Times New Roman"/>
                <w:lang w:val="en-US" w:eastAsia="zh-CN"/>
              </w:rPr>
              <w:t>长度30-45 cm，</w:t>
            </w:r>
            <w:r>
              <w:rPr>
                <w:rFonts w:hint="eastAsia" w:ascii="Times New Roman"/>
                <w:lang w:val="en-US" w:eastAsia="zh-CN"/>
              </w:rPr>
              <w:t>宽度</w:t>
            </w:r>
            <w:r>
              <w:rPr>
                <w:rFonts w:hint="default" w:ascii="Times New Roman"/>
                <w:lang w:val="en-US" w:eastAsia="zh-CN"/>
              </w:rPr>
              <w:t>≥</w:t>
            </w:r>
            <w:r>
              <w:rPr>
                <w:rFonts w:hint="eastAsia" w:ascii="Times New Roman"/>
                <w:lang w:val="en-US" w:eastAsia="zh-CN"/>
              </w:rPr>
              <w:t>15 c</w:t>
            </w:r>
            <w:r>
              <w:rPr>
                <w:rFonts w:hint="default" w:ascii="Times New Roman"/>
                <w:lang w:val="en-US" w:eastAsia="zh-CN"/>
              </w:rPr>
              <w:t>m</w:t>
            </w:r>
            <w:r>
              <w:rPr>
                <w:rFonts w:hint="eastAsia" w:ascii="Times New Roman"/>
                <w:lang w:val="en-US" w:eastAsia="zh-CN"/>
              </w:rPr>
              <w:t>，</w:t>
            </w:r>
            <w:r>
              <w:rPr>
                <w:rFonts w:hint="default" w:ascii="Times New Roman"/>
                <w:lang w:val="en-US" w:eastAsia="zh-CN"/>
              </w:rPr>
              <w:t>厚度≥2.5 mm</w:t>
            </w:r>
          </w:p>
          <w:p w14:paraId="0B935446">
            <w:pPr>
              <w:pStyle w:val="56"/>
              <w:jc w:val="center"/>
              <w:rPr>
                <w:rFonts w:hint="eastAsia" w:ascii="Times New Roman"/>
                <w:lang w:val="en-US" w:eastAsia="zh-CN"/>
              </w:rPr>
            </w:pPr>
            <w:r>
              <w:rPr>
                <w:rFonts w:hint="eastAsia" w:ascii="Times New Roman"/>
                <w:lang w:val="en-US" w:eastAsia="zh-CN"/>
              </w:rPr>
              <w:t>桂通：槽状或卷筒状，</w:t>
            </w:r>
            <w:r>
              <w:rPr>
                <w:rFonts w:hint="default" w:ascii="Times New Roman"/>
                <w:lang w:val="en-US" w:eastAsia="zh-CN"/>
              </w:rPr>
              <w:t>长度30-45 cm</w:t>
            </w:r>
            <w:r>
              <w:rPr>
                <w:rFonts w:hint="eastAsia" w:ascii="Times New Roman"/>
                <w:lang w:val="en-US" w:eastAsia="zh-CN"/>
              </w:rPr>
              <w:t>，</w:t>
            </w:r>
            <w:r>
              <w:rPr>
                <w:rFonts w:hint="default" w:ascii="Times New Roman"/>
                <w:lang w:val="en-US" w:eastAsia="zh-CN"/>
              </w:rPr>
              <w:t>厚度≥2 mm</w:t>
            </w:r>
          </w:p>
          <w:p w14:paraId="518C1DF3">
            <w:pPr>
              <w:pStyle w:val="56"/>
              <w:jc w:val="center"/>
              <w:rPr>
                <w:rFonts w:hint="default" w:ascii="Times New Roman"/>
                <w:lang w:val="en-US" w:eastAsia="zh-CN"/>
              </w:rPr>
            </w:pPr>
            <w:r>
              <w:rPr>
                <w:rFonts w:hint="eastAsia" w:ascii="Times New Roman"/>
                <w:lang w:val="en-US" w:eastAsia="zh-CN"/>
              </w:rPr>
              <w:t>烟仔桂：香烟大小的卷简状，</w:t>
            </w:r>
            <w:r>
              <w:rPr>
                <w:rFonts w:hint="default" w:ascii="Times New Roman"/>
                <w:lang w:val="en-US" w:eastAsia="zh-CN"/>
              </w:rPr>
              <w:t>长度</w:t>
            </w:r>
            <w:r>
              <w:rPr>
                <w:rFonts w:hint="eastAsia" w:ascii="Times New Roman"/>
                <w:lang w:val="en-US" w:eastAsia="zh-CN"/>
              </w:rPr>
              <w:t>7</w:t>
            </w:r>
            <w:r>
              <w:rPr>
                <w:rFonts w:hint="default" w:ascii="Times New Roman"/>
                <w:lang w:val="en-US" w:eastAsia="zh-CN"/>
              </w:rPr>
              <w:t>-</w:t>
            </w:r>
            <w:r>
              <w:rPr>
                <w:rFonts w:hint="eastAsia" w:ascii="Times New Roman"/>
                <w:lang w:val="en-US" w:eastAsia="zh-CN"/>
              </w:rPr>
              <w:t>12</w:t>
            </w:r>
            <w:r>
              <w:rPr>
                <w:rFonts w:hint="default" w:ascii="Times New Roman"/>
                <w:lang w:val="en-US" w:eastAsia="zh-CN"/>
              </w:rPr>
              <w:t xml:space="preserve"> cm</w:t>
            </w:r>
            <w:r>
              <w:rPr>
                <w:rFonts w:hint="eastAsia" w:ascii="Times New Roman"/>
                <w:lang w:val="en-US" w:eastAsia="zh-CN"/>
              </w:rPr>
              <w:t>，直径≤13 mm</w:t>
            </w:r>
          </w:p>
          <w:p w14:paraId="0101A76D">
            <w:pPr>
              <w:pStyle w:val="56"/>
              <w:jc w:val="center"/>
              <w:rPr>
                <w:rFonts w:hint="default" w:ascii="Times New Roman"/>
                <w:lang w:val="en-US" w:eastAsia="zh-CN"/>
              </w:rPr>
            </w:pPr>
            <w:r>
              <w:rPr>
                <w:rFonts w:hint="eastAsia" w:ascii="Times New Roman"/>
                <w:lang w:val="en-US" w:eastAsia="zh-CN"/>
              </w:rPr>
              <w:t>桂碎：不规则块状或碎块状</w:t>
            </w:r>
          </w:p>
        </w:tc>
      </w:tr>
      <w:tr w14:paraId="735E3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B43E">
            <w:pPr>
              <w:pStyle w:val="56"/>
              <w:ind w:left="0" w:leftChars="0" w:firstLine="0" w:firstLineChars="0"/>
              <w:jc w:val="center"/>
              <w:rPr>
                <w:rFonts w:hint="default" w:ascii="Times New Roman"/>
                <w:lang w:val="en-US" w:eastAsia="zh-CN"/>
              </w:rPr>
            </w:pPr>
            <w:r>
              <w:rPr>
                <w:rFonts w:hint="default" w:ascii="Times New Roman"/>
                <w:lang w:val="en-US" w:eastAsia="zh-CN"/>
              </w:rPr>
              <w:t>霉变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918E">
            <w:pPr>
              <w:pStyle w:val="56"/>
              <w:jc w:val="center"/>
              <w:rPr>
                <w:rFonts w:hint="default" w:ascii="Times New Roman"/>
                <w:lang w:val="en-US" w:eastAsia="zh-CN"/>
              </w:rPr>
            </w:pPr>
            <w:r>
              <w:rPr>
                <w:rFonts w:hint="default" w:ascii="Times New Roman"/>
                <w:lang w:val="en-US" w:eastAsia="zh-CN"/>
              </w:rPr>
              <w:t>无霉变</w:t>
            </w:r>
          </w:p>
        </w:tc>
      </w:tr>
      <w:tr w14:paraId="5235A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70BF">
            <w:pPr>
              <w:pStyle w:val="56"/>
              <w:ind w:left="0" w:leftChars="0" w:firstLine="0" w:firstLineChars="0"/>
              <w:jc w:val="center"/>
              <w:rPr>
                <w:rFonts w:hint="default" w:ascii="Times New Roman"/>
                <w:lang w:val="en-US" w:eastAsia="zh-CN"/>
              </w:rPr>
            </w:pPr>
            <w:r>
              <w:rPr>
                <w:rFonts w:hint="default" w:ascii="Times New Roman"/>
                <w:lang w:val="en-US" w:eastAsia="zh-CN"/>
              </w:rPr>
              <w:t>虫情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137E6">
            <w:pPr>
              <w:pStyle w:val="56"/>
              <w:jc w:val="center"/>
              <w:rPr>
                <w:rFonts w:hint="default" w:ascii="Times New Roman"/>
                <w:lang w:val="en-US" w:eastAsia="zh-CN"/>
              </w:rPr>
            </w:pPr>
            <w:r>
              <w:rPr>
                <w:rFonts w:hint="default" w:ascii="Times New Roman"/>
                <w:lang w:val="en-US" w:eastAsia="zh-CN"/>
              </w:rPr>
              <w:t>无虫蛀</w:t>
            </w:r>
          </w:p>
        </w:tc>
      </w:tr>
      <w:tr w14:paraId="5B464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DBAF">
            <w:pPr>
              <w:pStyle w:val="56"/>
              <w:ind w:left="0" w:leftChars="0" w:firstLine="0" w:firstLineChars="0"/>
              <w:jc w:val="center"/>
              <w:rPr>
                <w:rFonts w:hint="default" w:ascii="Times New Roman"/>
                <w:lang w:val="en-US" w:eastAsia="zh-CN"/>
              </w:rPr>
            </w:pPr>
            <w:r>
              <w:rPr>
                <w:rFonts w:hint="default" w:ascii="Times New Roman"/>
                <w:lang w:val="en-US" w:eastAsia="zh-CN"/>
              </w:rPr>
              <w:t>杂质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2F87A">
            <w:pPr>
              <w:pStyle w:val="56"/>
              <w:jc w:val="center"/>
              <w:rPr>
                <w:rFonts w:hint="default" w:ascii="Times New Roman"/>
                <w:lang w:val="en-US" w:eastAsia="zh-CN"/>
              </w:rPr>
            </w:pPr>
            <w:r>
              <w:rPr>
                <w:rFonts w:hint="default" w:ascii="Times New Roman"/>
                <w:lang w:val="en-US" w:eastAsia="zh-CN"/>
              </w:rPr>
              <w:t>无杂质</w:t>
            </w:r>
          </w:p>
        </w:tc>
      </w:tr>
    </w:tbl>
    <w:p w14:paraId="71BCD2F3">
      <w:pPr>
        <w:pStyle w:val="105"/>
        <w:numPr>
          <w:ilvl w:val="2"/>
          <w:numId w:val="0"/>
        </w:numPr>
        <w:ind w:leftChars="0"/>
        <w:rPr>
          <w:rFonts w:hint="eastAsia" w:ascii="Times New Roman" w:hAnsi="Times New Roman" w:cs="Times New Roman"/>
          <w:lang w:val="en-US" w:eastAsia="zh-CN"/>
        </w:rPr>
      </w:pPr>
      <w:r>
        <w:rPr>
          <w:rFonts w:hint="eastAsia" w:ascii="Times New Roman" w:hAnsi="Times New Roman" w:cs="Times New Roman"/>
          <w:lang w:val="en-US" w:eastAsia="zh-CN"/>
        </w:rPr>
        <w:t>4.2.2 理化指标</w:t>
      </w:r>
    </w:p>
    <w:p w14:paraId="14D851BB">
      <w:pPr>
        <w:pStyle w:val="56"/>
        <w:rPr>
          <w:rFonts w:hint="default"/>
          <w:lang w:val="en-US"/>
        </w:rPr>
      </w:pPr>
      <w:r>
        <w:rPr>
          <w:rFonts w:hint="eastAsia" w:ascii="Times New Roman" w:hAnsi="Times New Roman" w:eastAsia="宋体" w:cs="Times New Roman"/>
          <w:lang w:val="en-US" w:eastAsia="zh-CN"/>
        </w:rPr>
        <w:t>入库前检查肉桂产品的水分、灰分、挥发油含量和桂皮醛含量，质量</w:t>
      </w:r>
      <w:r>
        <w:rPr>
          <w:rFonts w:hint="eastAsia" w:ascii="Times New Roman"/>
          <w:szCs w:val="21"/>
          <w:lang w:val="en-US" w:eastAsia="zh-CN"/>
        </w:rPr>
        <w:t>应符合《中华人民共和国药典》2020年版的相关规定。</w:t>
      </w:r>
    </w:p>
    <w:p w14:paraId="65E6F459">
      <w:pPr>
        <w:pStyle w:val="104"/>
        <w:spacing w:before="240" w:after="240"/>
        <w:rPr>
          <w:rFonts w:ascii="Times New Roman"/>
          <w:szCs w:val="21"/>
        </w:rPr>
      </w:pPr>
      <w:r>
        <w:rPr>
          <w:rFonts w:hint="eastAsia" w:ascii="Times New Roman"/>
          <w:szCs w:val="21"/>
          <w:lang w:val="en-US" w:eastAsia="zh-CN"/>
        </w:rPr>
        <w:t xml:space="preserve">入库管理 </w:t>
      </w:r>
    </w:p>
    <w:p w14:paraId="277EE14A">
      <w:pPr>
        <w:pStyle w:val="105"/>
        <w:ind w:left="0"/>
        <w:rPr>
          <w:rFonts w:hint="default" w:ascii="Times New Roman" w:hAnsi="Times New Roman" w:cs="Times New Roman"/>
          <w:lang w:val="en-US" w:eastAsia="zh-CN"/>
        </w:rPr>
      </w:pPr>
      <w:r>
        <w:rPr>
          <w:rFonts w:hint="eastAsia" w:ascii="Times New Roman" w:hAnsi="Times New Roman" w:cs="Times New Roman"/>
          <w:lang w:val="en-US" w:eastAsia="zh-CN"/>
        </w:rPr>
        <w:t>包装</w:t>
      </w:r>
    </w:p>
    <w:p w14:paraId="6EE92AB3">
      <w:pPr>
        <w:pStyle w:val="56"/>
        <w:rPr>
          <w:rFonts w:hint="default" w:ascii="Times New Roman"/>
          <w:lang w:val="en-US" w:eastAsia="zh-CN"/>
        </w:rPr>
      </w:pPr>
      <w:r>
        <w:rPr>
          <w:rFonts w:hint="eastAsia" w:ascii="Times New Roman"/>
          <w:lang w:val="en-US" w:eastAsia="zh-CN"/>
        </w:rPr>
        <w:t>根据肉桂产品数量、等级、销售运输等条件的不同选择纸箱、纤维袋包装或纤维绳捆扎。包装应符合SB/T 11182的规定。瓦楞纸包装箱应符合</w:t>
      </w:r>
      <w:r>
        <w:rPr>
          <w:rFonts w:hint="eastAsia" w:ascii="Times New Roman"/>
        </w:rPr>
        <w:t xml:space="preserve">GB/T </w:t>
      </w:r>
      <w:r>
        <w:rPr>
          <w:rFonts w:hint="eastAsia" w:ascii="Times New Roman"/>
          <w:lang w:val="en-US" w:eastAsia="zh-CN"/>
        </w:rPr>
        <w:t>6543的要求，应无异味或污染。</w:t>
      </w:r>
    </w:p>
    <w:p w14:paraId="5EE252F5">
      <w:pPr>
        <w:pStyle w:val="105"/>
        <w:ind w:left="0"/>
        <w:rPr>
          <w:rFonts w:hint="default" w:ascii="Times New Roman"/>
          <w:lang w:val="en-US" w:eastAsia="zh-CN"/>
        </w:rPr>
      </w:pPr>
      <w:r>
        <w:rPr>
          <w:rFonts w:hint="eastAsia" w:ascii="Times New Roman"/>
          <w:lang w:val="en-US" w:eastAsia="zh-CN"/>
        </w:rPr>
        <w:t>标志</w:t>
      </w:r>
    </w:p>
    <w:p w14:paraId="5EDA8369">
      <w:pPr>
        <w:pStyle w:val="56"/>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在</w:t>
      </w:r>
      <w:r>
        <w:rPr>
          <w:rFonts w:hint="default" w:ascii="Times New Roman" w:hAnsi="Times New Roman" w:eastAsia="宋体" w:cs="Times New Roman"/>
          <w:lang w:val="en-US" w:eastAsia="zh-CN"/>
        </w:rPr>
        <w:t>包装上</w:t>
      </w:r>
      <w:r>
        <w:rPr>
          <w:rFonts w:hint="eastAsia" w:ascii="Times New Roman" w:hAnsi="Times New Roman" w:eastAsia="宋体" w:cs="Times New Roman"/>
          <w:lang w:val="en-US" w:eastAsia="zh-CN"/>
        </w:rPr>
        <w:t>作好标志，</w:t>
      </w:r>
      <w:r>
        <w:rPr>
          <w:rFonts w:hint="default" w:ascii="Times New Roman" w:hAnsi="Times New Roman" w:eastAsia="宋体" w:cs="Times New Roman"/>
          <w:lang w:val="en-US" w:eastAsia="zh-CN"/>
        </w:rPr>
        <w:t>标明产品名称、</w:t>
      </w:r>
      <w:r>
        <w:rPr>
          <w:rFonts w:hint="eastAsia" w:ascii="Times New Roman" w:hAnsi="Times New Roman" w:eastAsia="宋体" w:cs="Times New Roman"/>
          <w:lang w:val="en-US" w:eastAsia="zh-CN"/>
        </w:rPr>
        <w:t>规格等级、</w:t>
      </w:r>
      <w:r>
        <w:rPr>
          <w:rFonts w:hint="default" w:ascii="Times New Roman" w:hAnsi="Times New Roman" w:eastAsia="宋体" w:cs="Times New Roman"/>
          <w:lang w:val="en-US" w:eastAsia="zh-CN"/>
        </w:rPr>
        <w:t>净重、产地、</w:t>
      </w:r>
      <w:r>
        <w:rPr>
          <w:rFonts w:hint="eastAsia" w:ascii="Times New Roman" w:hAnsi="Times New Roman" w:eastAsia="宋体" w:cs="Times New Roman"/>
          <w:lang w:val="en-US" w:eastAsia="zh-CN"/>
        </w:rPr>
        <w:t>入库</w:t>
      </w:r>
      <w:r>
        <w:rPr>
          <w:rFonts w:hint="default" w:ascii="Times New Roman" w:hAnsi="Times New Roman" w:eastAsia="宋体" w:cs="Times New Roman"/>
          <w:lang w:val="en-US" w:eastAsia="zh-CN"/>
        </w:rPr>
        <w:t>日期等</w:t>
      </w:r>
      <w:r>
        <w:rPr>
          <w:rFonts w:hint="eastAsia" w:ascii="Times New Roman" w:hAnsi="Times New Roman" w:eastAsia="宋体" w:cs="Times New Roman"/>
          <w:lang w:val="en-US" w:eastAsia="zh-CN"/>
        </w:rPr>
        <w:t>信息。</w:t>
      </w:r>
    </w:p>
    <w:p w14:paraId="564038F3">
      <w:pPr>
        <w:pStyle w:val="105"/>
        <w:ind w:left="0"/>
        <w:rPr>
          <w:rFonts w:hint="eastAsia" w:ascii="Times New Roman" w:hAnsi="Times New Roman" w:cs="Times New Roman"/>
          <w:lang w:val="en-US" w:eastAsia="zh-CN"/>
        </w:rPr>
      </w:pPr>
      <w:r>
        <w:rPr>
          <w:rFonts w:hint="eastAsia" w:ascii="Times New Roman" w:hAnsi="Times New Roman" w:cs="Times New Roman"/>
          <w:lang w:val="en-US" w:eastAsia="zh-CN"/>
        </w:rPr>
        <w:t>仓库准备</w:t>
      </w:r>
    </w:p>
    <w:p w14:paraId="44FCF7BD">
      <w:pPr>
        <w:pStyle w:val="56"/>
        <w:rPr>
          <w:rFonts w:hint="eastAsia" w:ascii="Times New Roman"/>
          <w:lang w:val="en-US" w:eastAsia="zh-CN"/>
        </w:rPr>
      </w:pPr>
      <w:r>
        <w:rPr>
          <w:rFonts w:hint="eastAsia" w:ascii="Times New Roman"/>
          <w:lang w:val="en-US" w:eastAsia="zh-CN"/>
        </w:rPr>
        <w:t>选择常温库或阴凉库贮藏肉桂产品。仓库应符合</w:t>
      </w:r>
      <w:r>
        <w:rPr>
          <w:rFonts w:hint="eastAsia" w:ascii="Times New Roman"/>
        </w:rPr>
        <w:t>SB/T 11095</w:t>
      </w:r>
      <w:r>
        <w:rPr>
          <w:rFonts w:hint="eastAsia" w:ascii="Times New Roman"/>
          <w:lang w:val="en-US" w:eastAsia="zh-CN"/>
        </w:rPr>
        <w:t>规定，应提前一周对仓库进行清扫消毒，消毒后及时通风。</w:t>
      </w:r>
    </w:p>
    <w:p w14:paraId="46C9AF03">
      <w:pPr>
        <w:pStyle w:val="105"/>
        <w:ind w:left="0"/>
        <w:rPr>
          <w:rFonts w:ascii="Times New Roman"/>
        </w:rPr>
      </w:pPr>
      <w:r>
        <w:rPr>
          <w:rFonts w:hint="eastAsia" w:ascii="Times New Roman"/>
          <w:szCs w:val="21"/>
          <w:lang w:val="en-US" w:eastAsia="zh-CN"/>
        </w:rPr>
        <w:t>堆码</w:t>
      </w:r>
    </w:p>
    <w:p w14:paraId="2423723B">
      <w:pPr>
        <w:pStyle w:val="56"/>
        <w:rPr>
          <w:rFonts w:hint="default" w:ascii="Times New Roman"/>
          <w:lang w:val="en-US" w:eastAsia="zh-CN"/>
        </w:rPr>
      </w:pPr>
      <w:r>
        <w:rPr>
          <w:rFonts w:hint="eastAsia" w:ascii="Times New Roman"/>
          <w:lang w:val="en-US" w:eastAsia="zh-CN"/>
        </w:rPr>
        <w:t>应将肉桂产品在垫板上进行堆码，垫板高度不低于10 cm。垛与垛的间距不低于0.5 m，与梁、柱间距不低于0.3 m。主要通道的宽度不低于2 m，照明灯具垂直下方与药材距离不低于0.5 m。堆码应充分利用货位空间，保证货垛整齐、稳固、美观，便于肉桂产品的养护与仓储作业。</w:t>
      </w:r>
    </w:p>
    <w:p w14:paraId="67844C96">
      <w:pPr>
        <w:pStyle w:val="104"/>
        <w:spacing w:before="240" w:after="24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贮藏管理</w:t>
      </w:r>
    </w:p>
    <w:p w14:paraId="54322271">
      <w:pPr>
        <w:pStyle w:val="105"/>
        <w:ind w:left="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贮藏方式的选择</w:t>
      </w:r>
    </w:p>
    <w:p w14:paraId="31706FD6">
      <w:pPr>
        <w:pStyle w:val="56"/>
        <w:rPr>
          <w:rFonts w:hint="default"/>
          <w:lang w:val="en-US" w:eastAsia="zh-CN"/>
        </w:rPr>
      </w:pPr>
      <w:r>
        <w:rPr>
          <w:rFonts w:hint="eastAsia" w:ascii="Times New Roman" w:hAnsi="Times New Roman" w:cs="Times New Roman"/>
          <w:szCs w:val="21"/>
          <w:lang w:val="en-US" w:eastAsia="zh-CN"/>
        </w:rPr>
        <w:t>根据贮藏时间长短选择常温贮藏或低温贮藏。一般需要长期贮藏（＞1年）的选择低温贮藏，短期贮藏（≤1年）的选择常温贮藏。</w:t>
      </w:r>
    </w:p>
    <w:p w14:paraId="6577311A">
      <w:pPr>
        <w:pStyle w:val="105"/>
        <w:ind w:left="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温度</w:t>
      </w:r>
    </w:p>
    <w:p w14:paraId="2FA653F8">
      <w:pPr>
        <w:pStyle w:val="56"/>
        <w:rPr>
          <w:rFonts w:hint="eastAsia" w:ascii="Times New Roman"/>
          <w:lang w:val="en-US" w:eastAsia="zh-CN"/>
        </w:rPr>
      </w:pPr>
      <w:r>
        <w:rPr>
          <w:rFonts w:hint="eastAsia" w:ascii="Times New Roman"/>
          <w:lang w:val="en-US" w:eastAsia="zh-CN"/>
        </w:rPr>
        <w:t>常温库的贮藏温度20-30℃，低温库的贮藏温度0-10℃。</w:t>
      </w:r>
    </w:p>
    <w:p w14:paraId="3DDC998A">
      <w:pPr>
        <w:pStyle w:val="105"/>
        <w:ind w:left="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湿度</w:t>
      </w:r>
    </w:p>
    <w:p w14:paraId="73B28B5E">
      <w:pPr>
        <w:pStyle w:val="56"/>
        <w:rPr>
          <w:rFonts w:hint="eastAsia" w:ascii="Times New Roman"/>
          <w:lang w:val="en-US" w:eastAsia="zh-CN"/>
        </w:rPr>
      </w:pPr>
      <w:r>
        <w:rPr>
          <w:rFonts w:hint="eastAsia" w:ascii="Times New Roman"/>
          <w:lang w:val="en-US" w:eastAsia="zh-CN"/>
        </w:rPr>
        <w:t>空气相对湿度低于80%。</w:t>
      </w:r>
    </w:p>
    <w:p w14:paraId="7DA4513A">
      <w:pPr>
        <w:pStyle w:val="105"/>
        <w:ind w:left="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避光</w:t>
      </w:r>
    </w:p>
    <w:p w14:paraId="3AD99866">
      <w:pPr>
        <w:pStyle w:val="56"/>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肉桂可不避光贮藏。</w:t>
      </w:r>
    </w:p>
    <w:p w14:paraId="178DC20D">
      <w:pPr>
        <w:pStyle w:val="105"/>
        <w:ind w:left="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清洁、防鼠、防尘</w:t>
      </w:r>
    </w:p>
    <w:p w14:paraId="3639EA1C">
      <w:pPr>
        <w:pStyle w:val="56"/>
        <w:rPr>
          <w:rFonts w:hint="eastAsia" w:ascii="Times New Roman"/>
          <w:lang w:val="en-US" w:eastAsia="zh-CN"/>
        </w:rPr>
      </w:pPr>
      <w:r>
        <w:rPr>
          <w:rFonts w:hint="eastAsia" w:ascii="Times New Roman"/>
          <w:lang w:val="en-US" w:eastAsia="zh-CN"/>
        </w:rPr>
        <w:t>库内应保持清洁、干燥、无污染、无异味，有防潮、防霉、防鼠、防虫设施。</w:t>
      </w:r>
    </w:p>
    <w:p w14:paraId="37FD9F31">
      <w:pPr>
        <w:pStyle w:val="105"/>
        <w:ind w:left="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抽检</w:t>
      </w:r>
    </w:p>
    <w:p w14:paraId="0C22AB0F">
      <w:pPr>
        <w:pStyle w:val="56"/>
        <w:rPr>
          <w:rFonts w:hint="default"/>
          <w:lang w:val="en-US" w:eastAsia="zh-CN"/>
        </w:rPr>
      </w:pPr>
      <w:r>
        <w:rPr>
          <w:rFonts w:hint="eastAsia" w:ascii="Times New Roman" w:hAnsi="Times New Roman" w:cs="Times New Roman"/>
          <w:szCs w:val="21"/>
          <w:lang w:val="en-US" w:eastAsia="zh-CN"/>
        </w:rPr>
        <w:t>贮藏期间</w:t>
      </w:r>
      <w:r>
        <w:rPr>
          <w:rFonts w:hint="eastAsia" w:ascii="Times New Roman" w:cs="Times New Roman"/>
          <w:sz w:val="21"/>
          <w:lang w:val="en-US" w:eastAsia="zh-CN" w:bidi="ar-SA"/>
        </w:rPr>
        <w:t>定期对肉桂产品的外观和理化指标进行检测，每年至少检测1次，在潮湿或异常高温天气应增加检查频次。</w:t>
      </w:r>
    </w:p>
    <w:p w14:paraId="4D785C32">
      <w:pPr>
        <w:pStyle w:val="105"/>
        <w:ind w:left="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贮藏记录</w:t>
      </w:r>
    </w:p>
    <w:p w14:paraId="74B55247">
      <w:pPr>
        <w:pStyle w:val="56"/>
        <w:rPr>
          <w:rFonts w:hint="default" w:ascii="Times New Roman"/>
          <w:lang w:val="en-US" w:eastAsia="zh-CN"/>
        </w:rPr>
      </w:pPr>
      <w:r>
        <w:rPr>
          <w:rFonts w:hint="eastAsia" w:ascii="Times New Roman"/>
          <w:lang w:val="en-US" w:eastAsia="zh-CN"/>
        </w:rPr>
        <w:t>定期检查库内环境，并做好库内温湿度记录。</w:t>
      </w:r>
    </w:p>
    <w:p w14:paraId="4D9EE494">
      <w:pPr>
        <w:pStyle w:val="104"/>
        <w:spacing w:before="240" w:after="240"/>
        <w:rPr>
          <w:rFonts w:ascii="Times New Roman"/>
        </w:rPr>
      </w:pPr>
      <w:r>
        <w:rPr>
          <w:rFonts w:hint="eastAsia" w:ascii="Times New Roman"/>
          <w:lang w:val="en-US" w:eastAsia="zh-CN"/>
        </w:rPr>
        <w:t>出库管理</w:t>
      </w:r>
    </w:p>
    <w:p w14:paraId="460C2BCF">
      <w:pPr>
        <w:pStyle w:val="56"/>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出库前需对肉桂产品的质量进行检测，符合质量要求方可出库。出库是应</w:t>
      </w:r>
      <w:r>
        <w:rPr>
          <w:rFonts w:hint="eastAsia" w:ascii="Times New Roman"/>
          <w:lang w:val="en-US" w:eastAsia="zh-CN"/>
        </w:rPr>
        <w:t>详细记录肉桂产品名称、规格等级、净重、生产单位、产地、出库时间、出库操作人员等信息。</w:t>
      </w:r>
    </w:p>
    <w:p w14:paraId="016D12C0">
      <w:pPr>
        <w:pStyle w:val="104"/>
        <w:spacing w:before="240" w:after="240"/>
        <w:rPr>
          <w:rFonts w:hint="default" w:ascii="Times New Roman" w:hAnsi="Times New Roman" w:cs="Times New Roman"/>
          <w:lang w:val="en-US" w:eastAsia="zh-CN"/>
        </w:rPr>
      </w:pPr>
      <w:r>
        <w:rPr>
          <w:rFonts w:hint="eastAsia" w:ascii="Times New Roman" w:cs="Times New Roman"/>
          <w:lang w:val="en-US" w:eastAsia="zh-CN"/>
        </w:rPr>
        <w:t>贮藏</w:t>
      </w:r>
      <w:r>
        <w:rPr>
          <w:rFonts w:hint="eastAsia" w:ascii="Times New Roman" w:hAnsi="Times New Roman" w:cs="Times New Roman"/>
          <w:lang w:val="en-US" w:eastAsia="zh-CN"/>
        </w:rPr>
        <w:t>记录</w:t>
      </w:r>
      <w:r>
        <w:rPr>
          <w:rFonts w:hint="eastAsia" w:ascii="Times New Roman" w:cs="Times New Roman"/>
          <w:lang w:val="en-US" w:eastAsia="zh-CN"/>
        </w:rPr>
        <w:t>要求</w:t>
      </w:r>
    </w:p>
    <w:p w14:paraId="198DE08E">
      <w:pPr>
        <w:pStyle w:val="56"/>
        <w:rPr>
          <w:rFonts w:hint="default" w:ascii="Times New Roman"/>
          <w:lang w:val="en-US" w:eastAsia="zh-CN"/>
        </w:rPr>
      </w:pPr>
      <w:r>
        <w:rPr>
          <w:rFonts w:hint="eastAsia" w:ascii="Times New Roman" w:hAnsi="Times New Roman" w:eastAsia="宋体" w:cs="Times New Roman"/>
          <w:lang w:val="en-US" w:eastAsia="zh-CN"/>
        </w:rPr>
        <w:t>肉桂产品贮藏过程中的质量检测记录、出入库操作记录应归档保存，保存时间不少于5年，日常管理应符合SB/T 11094规定。</w:t>
      </w:r>
    </w:p>
    <w:bookmarkEnd w:id="22"/>
    <w:p w14:paraId="58DD6119">
      <w:pPr>
        <w:pStyle w:val="56"/>
        <w:pBdr>
          <w:bottom w:val="single" w:color="auto" w:sz="4" w:space="0"/>
        </w:pBdr>
        <w:rPr>
          <w:rFonts w:hint="eastAsia" w:ascii="Times New Roman"/>
          <w:lang w:val="en-US" w:eastAsia="zh-CN"/>
        </w:rPr>
      </w:pPr>
      <w:bookmarkStart w:id="45" w:name="BookMark6"/>
      <w:bookmarkEnd w:id="45"/>
    </w:p>
    <w:p w14:paraId="446CAB21">
      <w:pPr>
        <w:pStyle w:val="56"/>
        <w:rPr>
          <w:rFonts w:hint="default" w:ascii="Times New Roman"/>
          <w:lang w:val="en-US" w:eastAsia="zh-CN"/>
        </w:rP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0FC5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34A3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3A1D7">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C322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22F82">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5F48C">
    <w:pPr>
      <w:pStyle w:val="61"/>
    </w:pPr>
    <w:r>
      <w:fldChar w:fldCharType="begin"/>
    </w:r>
    <w:r>
      <w:instrText xml:space="preserve"> STYLEREF  标准文件_文件编号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B60E2">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attachedTemplate r:id="rId1"/>
  <w:documentProtection w:edit="forms" w:enforcement="1" w:cryptProviderType="rsaAES" w:cryptAlgorithmClass="hash" w:cryptAlgorithmType="typeAny" w:cryptAlgorithmSid="14" w:cryptSpinCount="100000" w:hash="6ZfhHU2x9Fc6ezorucOMwB/JoybYF2Zmo7/q1XVFbzKMuGjvoVZhvr7vaFTPMGzuYaMHydYtMrhdH7oiqK+8Gw==" w:salt="u0U3CokhNByy4JcpMlhFl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4NzI3MzcwMTU2NGVlMjEwYzcwYzEzODQyYjQ2NGEifQ=="/>
  </w:docVars>
  <w:rsids>
    <w:rsidRoot w:val="00792D3E"/>
    <w:rsid w:val="0000040A"/>
    <w:rsid w:val="00000A94"/>
    <w:rsid w:val="00001972"/>
    <w:rsid w:val="00001D9A"/>
    <w:rsid w:val="000066B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E88"/>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F78"/>
    <w:rsid w:val="000C7666"/>
    <w:rsid w:val="000D0A9C"/>
    <w:rsid w:val="000D1795"/>
    <w:rsid w:val="000D329A"/>
    <w:rsid w:val="000D4B9C"/>
    <w:rsid w:val="000D4EB6"/>
    <w:rsid w:val="000D753B"/>
    <w:rsid w:val="000E4C9E"/>
    <w:rsid w:val="000E6FD7"/>
    <w:rsid w:val="000E7144"/>
    <w:rsid w:val="000E7725"/>
    <w:rsid w:val="000E7CFA"/>
    <w:rsid w:val="000F0619"/>
    <w:rsid w:val="000F06E1"/>
    <w:rsid w:val="000F0E3C"/>
    <w:rsid w:val="000F19D5"/>
    <w:rsid w:val="000F1FC1"/>
    <w:rsid w:val="000F4050"/>
    <w:rsid w:val="000F47F7"/>
    <w:rsid w:val="000F4AEA"/>
    <w:rsid w:val="000F67E9"/>
    <w:rsid w:val="000F7D23"/>
    <w:rsid w:val="00104926"/>
    <w:rsid w:val="00113B1E"/>
    <w:rsid w:val="0011711C"/>
    <w:rsid w:val="001213C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E7A"/>
    <w:rsid w:val="001642FA"/>
    <w:rsid w:val="001649EB"/>
    <w:rsid w:val="00164BAF"/>
    <w:rsid w:val="00164FA8"/>
    <w:rsid w:val="00165024"/>
    <w:rsid w:val="00165065"/>
    <w:rsid w:val="00165434"/>
    <w:rsid w:val="0016580B"/>
    <w:rsid w:val="00165F49"/>
    <w:rsid w:val="00166B88"/>
    <w:rsid w:val="0016770A"/>
    <w:rsid w:val="00170804"/>
    <w:rsid w:val="001708E9"/>
    <w:rsid w:val="00170C81"/>
    <w:rsid w:val="00170E29"/>
    <w:rsid w:val="00170E85"/>
    <w:rsid w:val="0017340B"/>
    <w:rsid w:val="00173FB1"/>
    <w:rsid w:val="00176DFD"/>
    <w:rsid w:val="00177352"/>
    <w:rsid w:val="00181C16"/>
    <w:rsid w:val="001852C9"/>
    <w:rsid w:val="00187A0B"/>
    <w:rsid w:val="00190087"/>
    <w:rsid w:val="001913C4"/>
    <w:rsid w:val="0019348F"/>
    <w:rsid w:val="00193A07"/>
    <w:rsid w:val="00194C95"/>
    <w:rsid w:val="00194CFD"/>
    <w:rsid w:val="00194D31"/>
    <w:rsid w:val="00195C34"/>
    <w:rsid w:val="00196EF5"/>
    <w:rsid w:val="001A1A53"/>
    <w:rsid w:val="001A234A"/>
    <w:rsid w:val="001A4CF3"/>
    <w:rsid w:val="001A5A09"/>
    <w:rsid w:val="001A6696"/>
    <w:rsid w:val="001B06E8"/>
    <w:rsid w:val="001B59D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5"/>
    <w:rsid w:val="001E73AB"/>
    <w:rsid w:val="001F092D"/>
    <w:rsid w:val="001F143A"/>
    <w:rsid w:val="001F1605"/>
    <w:rsid w:val="001F2508"/>
    <w:rsid w:val="001F26BA"/>
    <w:rsid w:val="001F4816"/>
    <w:rsid w:val="001F69B4"/>
    <w:rsid w:val="001F77C7"/>
    <w:rsid w:val="00200183"/>
    <w:rsid w:val="00200333"/>
    <w:rsid w:val="0020107D"/>
    <w:rsid w:val="002013CA"/>
    <w:rsid w:val="00202AA4"/>
    <w:rsid w:val="002031F7"/>
    <w:rsid w:val="002040E6"/>
    <w:rsid w:val="0020527B"/>
    <w:rsid w:val="00205D69"/>
    <w:rsid w:val="00205F2C"/>
    <w:rsid w:val="00210B15"/>
    <w:rsid w:val="002142EA"/>
    <w:rsid w:val="00214934"/>
    <w:rsid w:val="00215ADD"/>
    <w:rsid w:val="002204BB"/>
    <w:rsid w:val="00221B79"/>
    <w:rsid w:val="00221C6B"/>
    <w:rsid w:val="002253A1"/>
    <w:rsid w:val="00225CF8"/>
    <w:rsid w:val="0022794E"/>
    <w:rsid w:val="00232E64"/>
    <w:rsid w:val="00233D64"/>
    <w:rsid w:val="0023482A"/>
    <w:rsid w:val="002359CB"/>
    <w:rsid w:val="00241AE8"/>
    <w:rsid w:val="00241BB1"/>
    <w:rsid w:val="00242251"/>
    <w:rsid w:val="00242C3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6B3"/>
    <w:rsid w:val="00267EF4"/>
    <w:rsid w:val="00270CB8"/>
    <w:rsid w:val="00272B08"/>
    <w:rsid w:val="00281BB8"/>
    <w:rsid w:val="00281E9E"/>
    <w:rsid w:val="00282405"/>
    <w:rsid w:val="00283313"/>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25"/>
    <w:rsid w:val="002B0C40"/>
    <w:rsid w:val="002B1966"/>
    <w:rsid w:val="002B4508"/>
    <w:rsid w:val="002B5779"/>
    <w:rsid w:val="002B7332"/>
    <w:rsid w:val="002B7F51"/>
    <w:rsid w:val="002C09E7"/>
    <w:rsid w:val="002C1E06"/>
    <w:rsid w:val="002C3F07"/>
    <w:rsid w:val="002C5278"/>
    <w:rsid w:val="002C7EBB"/>
    <w:rsid w:val="002D06C1"/>
    <w:rsid w:val="002D4093"/>
    <w:rsid w:val="002D42B5"/>
    <w:rsid w:val="002D4F1A"/>
    <w:rsid w:val="002D6EC6"/>
    <w:rsid w:val="002D79AC"/>
    <w:rsid w:val="002E0129"/>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32F"/>
    <w:rsid w:val="00336C64"/>
    <w:rsid w:val="00337162"/>
    <w:rsid w:val="003408A3"/>
    <w:rsid w:val="0034194F"/>
    <w:rsid w:val="00343564"/>
    <w:rsid w:val="00344605"/>
    <w:rsid w:val="003451E8"/>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1AB"/>
    <w:rsid w:val="003758FD"/>
    <w:rsid w:val="00376713"/>
    <w:rsid w:val="0037702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57A"/>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1B5D"/>
    <w:rsid w:val="003D262C"/>
    <w:rsid w:val="003D44F1"/>
    <w:rsid w:val="003D5C21"/>
    <w:rsid w:val="003D6D61"/>
    <w:rsid w:val="003E019F"/>
    <w:rsid w:val="003E091D"/>
    <w:rsid w:val="003E1C53"/>
    <w:rsid w:val="003E2A69"/>
    <w:rsid w:val="003E2D49"/>
    <w:rsid w:val="003E2FD4"/>
    <w:rsid w:val="003E3268"/>
    <w:rsid w:val="003E49F6"/>
    <w:rsid w:val="003E54EF"/>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E80"/>
    <w:rsid w:val="00445574"/>
    <w:rsid w:val="004467FB"/>
    <w:rsid w:val="00452D6B"/>
    <w:rsid w:val="00454484"/>
    <w:rsid w:val="00454977"/>
    <w:rsid w:val="0045517B"/>
    <w:rsid w:val="00463B77"/>
    <w:rsid w:val="00463C7B"/>
    <w:rsid w:val="004644A6"/>
    <w:rsid w:val="004659BD"/>
    <w:rsid w:val="00470775"/>
    <w:rsid w:val="004746B1"/>
    <w:rsid w:val="0047583F"/>
    <w:rsid w:val="00475DE8"/>
    <w:rsid w:val="004801E6"/>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940"/>
    <w:rsid w:val="004B3AA8"/>
    <w:rsid w:val="004B3E93"/>
    <w:rsid w:val="004B6E72"/>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A10"/>
    <w:rsid w:val="004F1D9C"/>
    <w:rsid w:val="004F391A"/>
    <w:rsid w:val="004F3CFB"/>
    <w:rsid w:val="004F3FA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89F"/>
    <w:rsid w:val="005220EC"/>
    <w:rsid w:val="00523F95"/>
    <w:rsid w:val="00524D65"/>
    <w:rsid w:val="00525B16"/>
    <w:rsid w:val="00533737"/>
    <w:rsid w:val="00533D04"/>
    <w:rsid w:val="00534804"/>
    <w:rsid w:val="00534BDF"/>
    <w:rsid w:val="005354EA"/>
    <w:rsid w:val="0053585F"/>
    <w:rsid w:val="00535EC4"/>
    <w:rsid w:val="00535ED9"/>
    <w:rsid w:val="0053692B"/>
    <w:rsid w:val="00541853"/>
    <w:rsid w:val="00543BDA"/>
    <w:rsid w:val="005441CC"/>
    <w:rsid w:val="005479DA"/>
    <w:rsid w:val="00547B1E"/>
    <w:rsid w:val="00547BCC"/>
    <w:rsid w:val="0055013B"/>
    <w:rsid w:val="00551F6F"/>
    <w:rsid w:val="00555044"/>
    <w:rsid w:val="00561475"/>
    <w:rsid w:val="00562308"/>
    <w:rsid w:val="0056487B"/>
    <w:rsid w:val="00564FB9"/>
    <w:rsid w:val="0056612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1A08"/>
    <w:rsid w:val="005C29B8"/>
    <w:rsid w:val="005C5F21"/>
    <w:rsid w:val="005C7156"/>
    <w:rsid w:val="005D068A"/>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242"/>
    <w:rsid w:val="006015CE"/>
    <w:rsid w:val="00604784"/>
    <w:rsid w:val="00606419"/>
    <w:rsid w:val="00607D29"/>
    <w:rsid w:val="00612952"/>
    <w:rsid w:val="00614CC1"/>
    <w:rsid w:val="00615A9D"/>
    <w:rsid w:val="00617387"/>
    <w:rsid w:val="006205D6"/>
    <w:rsid w:val="00622BE8"/>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506"/>
    <w:rsid w:val="00672BFD"/>
    <w:rsid w:val="006770F4"/>
    <w:rsid w:val="00677A84"/>
    <w:rsid w:val="0068026D"/>
    <w:rsid w:val="00680A27"/>
    <w:rsid w:val="006816A4"/>
    <w:rsid w:val="006819B8"/>
    <w:rsid w:val="006839D0"/>
    <w:rsid w:val="006840A6"/>
    <w:rsid w:val="00684ED4"/>
    <w:rsid w:val="006850CD"/>
    <w:rsid w:val="00685AAB"/>
    <w:rsid w:val="00687A06"/>
    <w:rsid w:val="0069375D"/>
    <w:rsid w:val="006A07AA"/>
    <w:rsid w:val="006A25E5"/>
    <w:rsid w:val="006A2B46"/>
    <w:rsid w:val="006A336D"/>
    <w:rsid w:val="006A37B9"/>
    <w:rsid w:val="006A5AC1"/>
    <w:rsid w:val="006A674A"/>
    <w:rsid w:val="006B2672"/>
    <w:rsid w:val="006B54BF"/>
    <w:rsid w:val="006B5F44"/>
    <w:rsid w:val="006B5F90"/>
    <w:rsid w:val="006B62E4"/>
    <w:rsid w:val="006B72E9"/>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621"/>
    <w:rsid w:val="00704387"/>
    <w:rsid w:val="00707669"/>
    <w:rsid w:val="00711CBA"/>
    <w:rsid w:val="00711FB5"/>
    <w:rsid w:val="00712A01"/>
    <w:rsid w:val="00714F58"/>
    <w:rsid w:val="007174E5"/>
    <w:rsid w:val="00722FBF"/>
    <w:rsid w:val="00722FC2"/>
    <w:rsid w:val="00724E1B"/>
    <w:rsid w:val="00725949"/>
    <w:rsid w:val="00727FA2"/>
    <w:rsid w:val="007322D9"/>
    <w:rsid w:val="00732BC0"/>
    <w:rsid w:val="0073720F"/>
    <w:rsid w:val="00737796"/>
    <w:rsid w:val="0074165C"/>
    <w:rsid w:val="00742C35"/>
    <w:rsid w:val="007432CA"/>
    <w:rsid w:val="007439EB"/>
    <w:rsid w:val="00743B22"/>
    <w:rsid w:val="00743CB4"/>
    <w:rsid w:val="00743F0A"/>
    <w:rsid w:val="007444E8"/>
    <w:rsid w:val="0074548E"/>
    <w:rsid w:val="00745773"/>
    <w:rsid w:val="00746800"/>
    <w:rsid w:val="007501A8"/>
    <w:rsid w:val="00750D61"/>
    <w:rsid w:val="00750EE1"/>
    <w:rsid w:val="00752B4D"/>
    <w:rsid w:val="00753C76"/>
    <w:rsid w:val="00755402"/>
    <w:rsid w:val="00756B26"/>
    <w:rsid w:val="00756EDF"/>
    <w:rsid w:val="007600E3"/>
    <w:rsid w:val="00763955"/>
    <w:rsid w:val="00765C43"/>
    <w:rsid w:val="00765EFB"/>
    <w:rsid w:val="007671CA"/>
    <w:rsid w:val="00767C61"/>
    <w:rsid w:val="0077008A"/>
    <w:rsid w:val="00773C1F"/>
    <w:rsid w:val="00774DA4"/>
    <w:rsid w:val="00776599"/>
    <w:rsid w:val="00777A7B"/>
    <w:rsid w:val="0078114B"/>
    <w:rsid w:val="00781DD2"/>
    <w:rsid w:val="007838D4"/>
    <w:rsid w:val="00783B33"/>
    <w:rsid w:val="00783ECF"/>
    <w:rsid w:val="0078413A"/>
    <w:rsid w:val="00792D3E"/>
    <w:rsid w:val="007959E8"/>
    <w:rsid w:val="00795E9C"/>
    <w:rsid w:val="007A0521"/>
    <w:rsid w:val="007A2E12"/>
    <w:rsid w:val="007A3475"/>
    <w:rsid w:val="007A41C8"/>
    <w:rsid w:val="007A54CE"/>
    <w:rsid w:val="007A5D3A"/>
    <w:rsid w:val="007A6FD9"/>
    <w:rsid w:val="007A7FFA"/>
    <w:rsid w:val="007B04EB"/>
    <w:rsid w:val="007B0D4F"/>
    <w:rsid w:val="007B193E"/>
    <w:rsid w:val="007B2D66"/>
    <w:rsid w:val="007B5A3D"/>
    <w:rsid w:val="007B5B95"/>
    <w:rsid w:val="007B6032"/>
    <w:rsid w:val="007B68EA"/>
    <w:rsid w:val="007B7453"/>
    <w:rsid w:val="007C2D89"/>
    <w:rsid w:val="007C3226"/>
    <w:rsid w:val="007C4593"/>
    <w:rsid w:val="007C5309"/>
    <w:rsid w:val="007C6069"/>
    <w:rsid w:val="007D06C4"/>
    <w:rsid w:val="007D1352"/>
    <w:rsid w:val="007D2508"/>
    <w:rsid w:val="007D3217"/>
    <w:rsid w:val="007D346A"/>
    <w:rsid w:val="007D6518"/>
    <w:rsid w:val="007D76BD"/>
    <w:rsid w:val="007E0BF1"/>
    <w:rsid w:val="007F0ED8"/>
    <w:rsid w:val="007F0F63"/>
    <w:rsid w:val="007F75CE"/>
    <w:rsid w:val="008013A4"/>
    <w:rsid w:val="008027CE"/>
    <w:rsid w:val="00802F42"/>
    <w:rsid w:val="00804383"/>
    <w:rsid w:val="00804BB7"/>
    <w:rsid w:val="00804D41"/>
    <w:rsid w:val="00806CC8"/>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EDF"/>
    <w:rsid w:val="00840F84"/>
    <w:rsid w:val="00842A47"/>
    <w:rsid w:val="00843C13"/>
    <w:rsid w:val="00843DEF"/>
    <w:rsid w:val="008454F8"/>
    <w:rsid w:val="00847629"/>
    <w:rsid w:val="0085173A"/>
    <w:rsid w:val="008603CE"/>
    <w:rsid w:val="008620FC"/>
    <w:rsid w:val="008627A5"/>
    <w:rsid w:val="00863E05"/>
    <w:rsid w:val="00865ACA"/>
    <w:rsid w:val="00865D28"/>
    <w:rsid w:val="00865F85"/>
    <w:rsid w:val="00867C10"/>
    <w:rsid w:val="00870439"/>
    <w:rsid w:val="008706FD"/>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5E2"/>
    <w:rsid w:val="0089762C"/>
    <w:rsid w:val="008A173B"/>
    <w:rsid w:val="008A1893"/>
    <w:rsid w:val="008A57E6"/>
    <w:rsid w:val="008A6F81"/>
    <w:rsid w:val="008A769A"/>
    <w:rsid w:val="008B0C9C"/>
    <w:rsid w:val="008B166D"/>
    <w:rsid w:val="008B17F4"/>
    <w:rsid w:val="008B27E2"/>
    <w:rsid w:val="008B3615"/>
    <w:rsid w:val="008B4AC4"/>
    <w:rsid w:val="008B4BAD"/>
    <w:rsid w:val="008B50C8"/>
    <w:rsid w:val="008B5281"/>
    <w:rsid w:val="008B7E05"/>
    <w:rsid w:val="008C012E"/>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913"/>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1E21"/>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B"/>
    <w:rsid w:val="009A118E"/>
    <w:rsid w:val="009A21CD"/>
    <w:rsid w:val="009A278C"/>
    <w:rsid w:val="009A2BC2"/>
    <w:rsid w:val="009A3824"/>
    <w:rsid w:val="009A42C1"/>
    <w:rsid w:val="009A5429"/>
    <w:rsid w:val="009A72AD"/>
    <w:rsid w:val="009B09E0"/>
    <w:rsid w:val="009B0BC5"/>
    <w:rsid w:val="009B1247"/>
    <w:rsid w:val="009B5878"/>
    <w:rsid w:val="009B6029"/>
    <w:rsid w:val="009B6971"/>
    <w:rsid w:val="009C27F1"/>
    <w:rsid w:val="009C3152"/>
    <w:rsid w:val="009C3257"/>
    <w:rsid w:val="009C4CFA"/>
    <w:rsid w:val="009C5070"/>
    <w:rsid w:val="009C65F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027"/>
    <w:rsid w:val="00A12588"/>
    <w:rsid w:val="00A129D0"/>
    <w:rsid w:val="00A12C33"/>
    <w:rsid w:val="00A138BA"/>
    <w:rsid w:val="00A14C8E"/>
    <w:rsid w:val="00A150FD"/>
    <w:rsid w:val="00A152A2"/>
    <w:rsid w:val="00A153D9"/>
    <w:rsid w:val="00A15F09"/>
    <w:rsid w:val="00A169B6"/>
    <w:rsid w:val="00A2271D"/>
    <w:rsid w:val="00A237D5"/>
    <w:rsid w:val="00A30EFC"/>
    <w:rsid w:val="00A31984"/>
    <w:rsid w:val="00A32D73"/>
    <w:rsid w:val="00A3367B"/>
    <w:rsid w:val="00A33C67"/>
    <w:rsid w:val="00A3597D"/>
    <w:rsid w:val="00A36C8D"/>
    <w:rsid w:val="00A36DD1"/>
    <w:rsid w:val="00A4006C"/>
    <w:rsid w:val="00A40091"/>
    <w:rsid w:val="00A4030F"/>
    <w:rsid w:val="00A41C79"/>
    <w:rsid w:val="00A41CB5"/>
    <w:rsid w:val="00A42CDF"/>
    <w:rsid w:val="00A4452E"/>
    <w:rsid w:val="00A4472C"/>
    <w:rsid w:val="00A44E69"/>
    <w:rsid w:val="00A4661E"/>
    <w:rsid w:val="00A50841"/>
    <w:rsid w:val="00A55BD6"/>
    <w:rsid w:val="00A55D50"/>
    <w:rsid w:val="00A57142"/>
    <w:rsid w:val="00A648CD"/>
    <w:rsid w:val="00A6537A"/>
    <w:rsid w:val="00A67866"/>
    <w:rsid w:val="00A70B07"/>
    <w:rsid w:val="00A723F8"/>
    <w:rsid w:val="00A77CCB"/>
    <w:rsid w:val="00A80A87"/>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C10"/>
    <w:rsid w:val="00AB6309"/>
    <w:rsid w:val="00AB6C5F"/>
    <w:rsid w:val="00AB7129"/>
    <w:rsid w:val="00AC27A6"/>
    <w:rsid w:val="00AC30F7"/>
    <w:rsid w:val="00AC3A5A"/>
    <w:rsid w:val="00AC4D95"/>
    <w:rsid w:val="00AC5CDA"/>
    <w:rsid w:val="00AC5DF4"/>
    <w:rsid w:val="00AD0AEF"/>
    <w:rsid w:val="00AD11B7"/>
    <w:rsid w:val="00AD1A94"/>
    <w:rsid w:val="00AD1C05"/>
    <w:rsid w:val="00AD4126"/>
    <w:rsid w:val="00AD41BE"/>
    <w:rsid w:val="00AD421C"/>
    <w:rsid w:val="00AD44FA"/>
    <w:rsid w:val="00AE070A"/>
    <w:rsid w:val="00AE101C"/>
    <w:rsid w:val="00AE2A69"/>
    <w:rsid w:val="00AE37E5"/>
    <w:rsid w:val="00AE5EB4"/>
    <w:rsid w:val="00AF0C18"/>
    <w:rsid w:val="00AF19CC"/>
    <w:rsid w:val="00AF3B6B"/>
    <w:rsid w:val="00AF47C5"/>
    <w:rsid w:val="00AF5398"/>
    <w:rsid w:val="00AF7526"/>
    <w:rsid w:val="00B02CA8"/>
    <w:rsid w:val="00B049AF"/>
    <w:rsid w:val="00B04C6B"/>
    <w:rsid w:val="00B04FD6"/>
    <w:rsid w:val="00B07242"/>
    <w:rsid w:val="00B10534"/>
    <w:rsid w:val="00B113DB"/>
    <w:rsid w:val="00B11D8A"/>
    <w:rsid w:val="00B11FB6"/>
    <w:rsid w:val="00B12981"/>
    <w:rsid w:val="00B147DD"/>
    <w:rsid w:val="00B156FD"/>
    <w:rsid w:val="00B21F61"/>
    <w:rsid w:val="00B25586"/>
    <w:rsid w:val="00B2589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AB1"/>
    <w:rsid w:val="00B65149"/>
    <w:rsid w:val="00B66567"/>
    <w:rsid w:val="00B66F52"/>
    <w:rsid w:val="00B66FE5"/>
    <w:rsid w:val="00B72880"/>
    <w:rsid w:val="00B74B5E"/>
    <w:rsid w:val="00B758BF"/>
    <w:rsid w:val="00B77EC8"/>
    <w:rsid w:val="00B827A6"/>
    <w:rsid w:val="00B831CE"/>
    <w:rsid w:val="00B86677"/>
    <w:rsid w:val="00B87131"/>
    <w:rsid w:val="00B91537"/>
    <w:rsid w:val="00B939B1"/>
    <w:rsid w:val="00B96BBB"/>
    <w:rsid w:val="00B96D40"/>
    <w:rsid w:val="00B97386"/>
    <w:rsid w:val="00BA263B"/>
    <w:rsid w:val="00BA2BAA"/>
    <w:rsid w:val="00BA42B2"/>
    <w:rsid w:val="00BA58D4"/>
    <w:rsid w:val="00BA5B9E"/>
    <w:rsid w:val="00BA7C9A"/>
    <w:rsid w:val="00BB5F8F"/>
    <w:rsid w:val="00BB657A"/>
    <w:rsid w:val="00BC1A4E"/>
    <w:rsid w:val="00BC2927"/>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D39"/>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17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F2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1BE"/>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8C0"/>
    <w:rsid w:val="00D06AB1"/>
    <w:rsid w:val="00D06FC1"/>
    <w:rsid w:val="00D072ED"/>
    <w:rsid w:val="00D07A16"/>
    <w:rsid w:val="00D07F94"/>
    <w:rsid w:val="00D1067E"/>
    <w:rsid w:val="00D10F50"/>
    <w:rsid w:val="00D11272"/>
    <w:rsid w:val="00D126F5"/>
    <w:rsid w:val="00D1489E"/>
    <w:rsid w:val="00D16ED1"/>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49D"/>
    <w:rsid w:val="00D66846"/>
    <w:rsid w:val="00D675FB"/>
    <w:rsid w:val="00D71F25"/>
    <w:rsid w:val="00D72A9C"/>
    <w:rsid w:val="00D77031"/>
    <w:rsid w:val="00D84941"/>
    <w:rsid w:val="00D84FA1"/>
    <w:rsid w:val="00D851F0"/>
    <w:rsid w:val="00D86DB7"/>
    <w:rsid w:val="00D87BF5"/>
    <w:rsid w:val="00D90721"/>
    <w:rsid w:val="00D90A3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B5F"/>
    <w:rsid w:val="00DD4FE5"/>
    <w:rsid w:val="00DD54B0"/>
    <w:rsid w:val="00DD5659"/>
    <w:rsid w:val="00DD57EE"/>
    <w:rsid w:val="00DD6BCC"/>
    <w:rsid w:val="00DE0A4B"/>
    <w:rsid w:val="00DE2410"/>
    <w:rsid w:val="00DE2939"/>
    <w:rsid w:val="00DE696E"/>
    <w:rsid w:val="00DE6E81"/>
    <w:rsid w:val="00DE703F"/>
    <w:rsid w:val="00DE7595"/>
    <w:rsid w:val="00DF1961"/>
    <w:rsid w:val="00DF44DE"/>
    <w:rsid w:val="00E01138"/>
    <w:rsid w:val="00E02DFB"/>
    <w:rsid w:val="00E030F9"/>
    <w:rsid w:val="00E0311A"/>
    <w:rsid w:val="00E03138"/>
    <w:rsid w:val="00E03658"/>
    <w:rsid w:val="00E06404"/>
    <w:rsid w:val="00E11A85"/>
    <w:rsid w:val="00E12495"/>
    <w:rsid w:val="00E15CCD"/>
    <w:rsid w:val="00E202EF"/>
    <w:rsid w:val="00E210B5"/>
    <w:rsid w:val="00E237AD"/>
    <w:rsid w:val="00E2552F"/>
    <w:rsid w:val="00E3137A"/>
    <w:rsid w:val="00E32CCF"/>
    <w:rsid w:val="00E34A98"/>
    <w:rsid w:val="00E35D1E"/>
    <w:rsid w:val="00E364F9"/>
    <w:rsid w:val="00E365FA"/>
    <w:rsid w:val="00E36789"/>
    <w:rsid w:val="00E44A83"/>
    <w:rsid w:val="00E45464"/>
    <w:rsid w:val="00E502C1"/>
    <w:rsid w:val="00E502DD"/>
    <w:rsid w:val="00E50D3A"/>
    <w:rsid w:val="00E51387"/>
    <w:rsid w:val="00E51E68"/>
    <w:rsid w:val="00E52EFD"/>
    <w:rsid w:val="00E5408A"/>
    <w:rsid w:val="00E56800"/>
    <w:rsid w:val="00E60C63"/>
    <w:rsid w:val="00E62FF9"/>
    <w:rsid w:val="00E635D6"/>
    <w:rsid w:val="00E639BC"/>
    <w:rsid w:val="00E660D2"/>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70"/>
    <w:rsid w:val="00E906C2"/>
    <w:rsid w:val="00E9311F"/>
    <w:rsid w:val="00E934D1"/>
    <w:rsid w:val="00E94AF0"/>
    <w:rsid w:val="00E95D13"/>
    <w:rsid w:val="00E95DD3"/>
    <w:rsid w:val="00E969D5"/>
    <w:rsid w:val="00EA1893"/>
    <w:rsid w:val="00EA58D1"/>
    <w:rsid w:val="00EA61BC"/>
    <w:rsid w:val="00EA681A"/>
    <w:rsid w:val="00EA735B"/>
    <w:rsid w:val="00EB1E69"/>
    <w:rsid w:val="00EB2086"/>
    <w:rsid w:val="00EB31ED"/>
    <w:rsid w:val="00EB5EDF"/>
    <w:rsid w:val="00EB60FE"/>
    <w:rsid w:val="00EB74DB"/>
    <w:rsid w:val="00EC5359"/>
    <w:rsid w:val="00EC562A"/>
    <w:rsid w:val="00EC6817"/>
    <w:rsid w:val="00ED067A"/>
    <w:rsid w:val="00ED2B50"/>
    <w:rsid w:val="00EE0350"/>
    <w:rsid w:val="00EE0719"/>
    <w:rsid w:val="00EE0E80"/>
    <w:rsid w:val="00EE4F6E"/>
    <w:rsid w:val="00EE613F"/>
    <w:rsid w:val="00EE7295"/>
    <w:rsid w:val="00EE7869"/>
    <w:rsid w:val="00EF054A"/>
    <w:rsid w:val="00EF3235"/>
    <w:rsid w:val="00EF4E7D"/>
    <w:rsid w:val="00EF6017"/>
    <w:rsid w:val="00EF7E72"/>
    <w:rsid w:val="00F058E1"/>
    <w:rsid w:val="00F06D37"/>
    <w:rsid w:val="00F07B9D"/>
    <w:rsid w:val="00F1027C"/>
    <w:rsid w:val="00F11586"/>
    <w:rsid w:val="00F1183B"/>
    <w:rsid w:val="00F11C9F"/>
    <w:rsid w:val="00F12263"/>
    <w:rsid w:val="00F1409D"/>
    <w:rsid w:val="00F14214"/>
    <w:rsid w:val="00F157A9"/>
    <w:rsid w:val="00F16F00"/>
    <w:rsid w:val="00F25BB6"/>
    <w:rsid w:val="00F26B7E"/>
    <w:rsid w:val="00F27A3B"/>
    <w:rsid w:val="00F32780"/>
    <w:rsid w:val="00F33817"/>
    <w:rsid w:val="00F40835"/>
    <w:rsid w:val="00F420D5"/>
    <w:rsid w:val="00F451EA"/>
    <w:rsid w:val="00F45447"/>
    <w:rsid w:val="00F456C6"/>
    <w:rsid w:val="00F4577B"/>
    <w:rsid w:val="00F4586F"/>
    <w:rsid w:val="00F46496"/>
    <w:rsid w:val="00F46CE9"/>
    <w:rsid w:val="00F4709B"/>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B48"/>
    <w:rsid w:val="00F97C99"/>
    <w:rsid w:val="00FA662D"/>
    <w:rsid w:val="00FA73B1"/>
    <w:rsid w:val="00FB0CB9"/>
    <w:rsid w:val="00FB231D"/>
    <w:rsid w:val="00FB45F1"/>
    <w:rsid w:val="00FB4A72"/>
    <w:rsid w:val="00FB54E8"/>
    <w:rsid w:val="00FB7054"/>
    <w:rsid w:val="00FC17B7"/>
    <w:rsid w:val="00FC2CB7"/>
    <w:rsid w:val="00FC4090"/>
    <w:rsid w:val="00FC4C82"/>
    <w:rsid w:val="00FC55B4"/>
    <w:rsid w:val="00FC77D1"/>
    <w:rsid w:val="00FC7B65"/>
    <w:rsid w:val="00FD00E6"/>
    <w:rsid w:val="00FD09A1"/>
    <w:rsid w:val="00FD2A7C"/>
    <w:rsid w:val="00FD43D6"/>
    <w:rsid w:val="00FD59EB"/>
    <w:rsid w:val="00FD7299"/>
    <w:rsid w:val="00FE1FBE"/>
    <w:rsid w:val="00FE3901"/>
    <w:rsid w:val="00FE39D3"/>
    <w:rsid w:val="00FE4BCE"/>
    <w:rsid w:val="00FE54AE"/>
    <w:rsid w:val="00FE576A"/>
    <w:rsid w:val="00FE7E79"/>
    <w:rsid w:val="00FF3BEF"/>
    <w:rsid w:val="00FF3E7D"/>
    <w:rsid w:val="00FF5B99"/>
    <w:rsid w:val="00FF730C"/>
    <w:rsid w:val="00FF73F4"/>
    <w:rsid w:val="00FF7CE4"/>
    <w:rsid w:val="00FF7E39"/>
    <w:rsid w:val="0A800FFA"/>
    <w:rsid w:val="18BC5F12"/>
    <w:rsid w:val="19B0368B"/>
    <w:rsid w:val="1D0E51AB"/>
    <w:rsid w:val="217A4BBD"/>
    <w:rsid w:val="23EE53EE"/>
    <w:rsid w:val="25952024"/>
    <w:rsid w:val="2BB2473F"/>
    <w:rsid w:val="2BBC541B"/>
    <w:rsid w:val="2CA330B1"/>
    <w:rsid w:val="2CEA52EC"/>
    <w:rsid w:val="3826627C"/>
    <w:rsid w:val="39740194"/>
    <w:rsid w:val="3AA765CB"/>
    <w:rsid w:val="3B807A44"/>
    <w:rsid w:val="3DB80AEF"/>
    <w:rsid w:val="3E1325B2"/>
    <w:rsid w:val="400A5594"/>
    <w:rsid w:val="498E2FF8"/>
    <w:rsid w:val="4C4D6121"/>
    <w:rsid w:val="4D0618E9"/>
    <w:rsid w:val="4EB83B95"/>
    <w:rsid w:val="52AD62F0"/>
    <w:rsid w:val="535502F4"/>
    <w:rsid w:val="59747B68"/>
    <w:rsid w:val="5F5D2E4C"/>
    <w:rsid w:val="61532759"/>
    <w:rsid w:val="6773320D"/>
    <w:rsid w:val="6EB72579"/>
    <w:rsid w:val="738642C8"/>
    <w:rsid w:val="756B1076"/>
    <w:rsid w:val="75D964C8"/>
    <w:rsid w:val="78A6654F"/>
    <w:rsid w:val="7C8F6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120" w:beforeLines="50" w:after="120" w:afterLines="50"/>
      <w:ind w:left="709"/>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420" w:firstLineChars="200"/>
    </w:pPr>
    <w:rPr>
      <w:rFonts w:ascii="宋体" w:cs="宋体"/>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4BA43241DD4DBB8912548E02276FB1"/>
        <w:style w:val=""/>
        <w:category>
          <w:name w:val="常规"/>
          <w:gallery w:val="placeholder"/>
        </w:category>
        <w:types>
          <w:type w:val="bbPlcHdr"/>
        </w:types>
        <w:behaviors>
          <w:behavior w:val="content"/>
        </w:behaviors>
        <w:description w:val=""/>
        <w:guid w:val="{BAD3691A-EBAA-41E9-A327-56EAF23A828B}"/>
      </w:docPartPr>
      <w:docPartBody>
        <w:p w14:paraId="0A4B7E07">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479"/>
    <w:rsid w:val="00067BA8"/>
    <w:rsid w:val="00120D5C"/>
    <w:rsid w:val="00140BD6"/>
    <w:rsid w:val="00155126"/>
    <w:rsid w:val="001A195B"/>
    <w:rsid w:val="00296479"/>
    <w:rsid w:val="002C317D"/>
    <w:rsid w:val="00627ACA"/>
    <w:rsid w:val="00827A22"/>
    <w:rsid w:val="00991C98"/>
    <w:rsid w:val="00B3665A"/>
    <w:rsid w:val="00C867AE"/>
    <w:rsid w:val="00D658B8"/>
    <w:rsid w:val="00F03AAB"/>
    <w:rsid w:val="00F6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6B4BA43241DD4DBB8912548E02276FB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C7DCB94D9A41F2ACD99C00C44B01E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3DABE4AC1EF4C8AAC65A7B05CA899A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CC99BB9E87FF41419F47CFBDA51A0CB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5EEDA7-5DEF-4680-9C51-0EDCF390BDDE}">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5</Pages>
  <Words>1707</Words>
  <Characters>1986</Characters>
  <Lines>20</Lines>
  <Paragraphs>5</Paragraphs>
  <TotalTime>3</TotalTime>
  <ScaleCrop>false</ScaleCrop>
  <LinksUpToDate>false</LinksUpToDate>
  <CharactersWithSpaces>2062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2023-12-06T10:39:00Z</dcterms:created>
  <dc:creator>lenovo</dc:creator>
  <dc:description>&lt;config cover="true" show_menu="true" version="1.0.0" doctype="SDKXY"&gt;_x000d_
&lt;/config&gt;</dc:description>
  <cp:lastModifiedBy>清茶</cp:lastModifiedBy>
  <cp:lastPrinted>2021-02-02T08:22:00Z</cp:lastPrinted>
  <dcterms:modified xsi:type="dcterms:W3CDTF">2025-05-07T03:12:31Z</dcterms:modified>
  <dc:title>团体标准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FBA5C4C931E84DE99BAAB99F530138B9_13</vt:lpwstr>
  </property>
  <property fmtid="{D5CDD505-2E9C-101B-9397-08002B2CF9AE}" pid="16" name="KSOTemplateDocerSaveRecord">
    <vt:lpwstr>eyJoZGlkIjoiNjViZGZlOTc3ZGIwZjc5NzQzYTk2MmE4YjhlY2EzYjMiLCJ1c2VySWQiOiI0MDAxNzEyNTUifQ==</vt:lpwstr>
  </property>
</Properties>
</file>