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F77B">
      <w:pPr>
        <w:spacing w:line="360" w:lineRule="auto"/>
        <w:jc w:val="center"/>
        <w:rPr>
          <w:rFonts w:hint="eastAsia" w:ascii="Times New Roman" w:hAnsi="Times New Roman" w:eastAsia="方正小标宋简体"/>
          <w:bCs/>
          <w:color w:val="FF0000"/>
          <w:sz w:val="44"/>
          <w:szCs w:val="44"/>
          <w:u w:val="single"/>
        </w:rPr>
      </w:pPr>
      <w:bookmarkStart w:id="0" w:name="_Toc193447669"/>
      <w:bookmarkStart w:id="1" w:name="_Toc181955251"/>
      <w:bookmarkStart w:id="2" w:name="_Toc193447513"/>
      <w:bookmarkStart w:id="3" w:name="_Toc192078847"/>
      <w:bookmarkStart w:id="4" w:name="BookMark1"/>
    </w:p>
    <w:p w14:paraId="71DC25BB">
      <w:pPr>
        <w:spacing w:line="360" w:lineRule="auto"/>
        <w:jc w:val="center"/>
        <w:rPr>
          <w:rFonts w:ascii="Times New Roman" w:hAnsi="Times New Roman" w:eastAsia="方正小标宋简体"/>
          <w:bCs/>
          <w:color w:val="FF0000"/>
          <w:sz w:val="44"/>
          <w:szCs w:val="44"/>
          <w:u w:val="single"/>
        </w:rPr>
      </w:pPr>
    </w:p>
    <w:p w14:paraId="39959CDA">
      <w:pPr>
        <w:spacing w:line="360" w:lineRule="auto"/>
        <w:jc w:val="center"/>
        <w:rPr>
          <w:rFonts w:ascii="Times New Roman" w:hAnsi="Times New Roman" w:eastAsia="方正小标宋简体"/>
          <w:bCs/>
          <w:color w:val="FF0000"/>
          <w:sz w:val="44"/>
          <w:szCs w:val="44"/>
          <w:u w:val="single"/>
        </w:rPr>
      </w:pPr>
    </w:p>
    <w:p w14:paraId="414DDDA5">
      <w:pPr>
        <w:spacing w:line="360" w:lineRule="auto"/>
        <w:jc w:val="center"/>
        <w:rPr>
          <w:rFonts w:ascii="Times New Roman" w:hAnsi="Times New Roman"/>
          <w:b/>
          <w:sz w:val="52"/>
          <w:szCs w:val="52"/>
        </w:rPr>
      </w:pPr>
      <w:r>
        <w:rPr>
          <w:rFonts w:ascii="Times New Roman" w:hAnsi="Times New Roman" w:eastAsia="方正小标宋简体"/>
          <w:bCs/>
          <w:sz w:val="44"/>
          <w:szCs w:val="44"/>
        </w:rPr>
        <w:t>垃圾填埋场垂直防渗墙检测技术规程</w:t>
      </w:r>
    </w:p>
    <w:p w14:paraId="79FBB237">
      <w:pPr>
        <w:widowControl/>
        <w:spacing w:line="360" w:lineRule="auto"/>
        <w:jc w:val="center"/>
        <w:rPr>
          <w:rFonts w:ascii="Times New Roman" w:hAnsi="Times New Roman"/>
          <w:b/>
          <w:bCs/>
          <w:sz w:val="32"/>
          <w:szCs w:val="32"/>
        </w:rPr>
      </w:pPr>
      <w:r>
        <w:rPr>
          <w:rFonts w:ascii="Times New Roman" w:hAnsi="Times New Roman"/>
          <w:b/>
          <w:bCs/>
          <w:sz w:val="32"/>
          <w:szCs w:val="32"/>
        </w:rPr>
        <w:t>（征求意见稿）</w:t>
      </w:r>
    </w:p>
    <w:p w14:paraId="73417E6F">
      <w:pPr>
        <w:pStyle w:val="106"/>
        <w:spacing w:after="468"/>
        <w:rPr>
          <w:rFonts w:ascii="Times New Roman" w:hAnsi="Times New Roman"/>
          <w:spacing w:val="320"/>
        </w:rPr>
      </w:pPr>
    </w:p>
    <w:p w14:paraId="41327B89">
      <w:pPr>
        <w:pStyle w:val="106"/>
        <w:spacing w:after="468"/>
        <w:rPr>
          <w:rFonts w:ascii="Times New Roman" w:hAnsi="Times New Roman"/>
          <w:spacing w:val="320"/>
        </w:rPr>
      </w:pPr>
    </w:p>
    <w:p w14:paraId="1718E29B">
      <w:pPr>
        <w:pStyle w:val="106"/>
        <w:spacing w:after="468"/>
        <w:rPr>
          <w:rFonts w:ascii="Times New Roman" w:hAnsi="Times New Roman"/>
          <w:spacing w:val="320"/>
        </w:rPr>
      </w:pPr>
    </w:p>
    <w:p w14:paraId="16E59CC3">
      <w:pPr>
        <w:pStyle w:val="106"/>
        <w:spacing w:after="468"/>
        <w:rPr>
          <w:rFonts w:ascii="Times New Roman" w:hAnsi="Times New Roman"/>
          <w:spacing w:val="320"/>
        </w:rPr>
      </w:pPr>
    </w:p>
    <w:p w14:paraId="567DE752">
      <w:pPr>
        <w:pStyle w:val="106"/>
        <w:spacing w:after="468"/>
        <w:rPr>
          <w:rFonts w:ascii="Times New Roman" w:hAnsi="Times New Roman"/>
          <w:spacing w:val="320"/>
        </w:rPr>
      </w:pPr>
    </w:p>
    <w:p w14:paraId="2BC7FD27">
      <w:pPr>
        <w:pStyle w:val="106"/>
        <w:spacing w:after="468"/>
        <w:rPr>
          <w:rFonts w:ascii="Times New Roman" w:hAnsi="Times New Roman"/>
          <w:spacing w:val="320"/>
        </w:rPr>
      </w:pPr>
    </w:p>
    <w:p w14:paraId="5F1138C7">
      <w:pPr>
        <w:pStyle w:val="106"/>
        <w:spacing w:after="468"/>
        <w:rPr>
          <w:rFonts w:ascii="Times New Roman" w:hAnsi="Times New Roman"/>
          <w:spacing w:val="320"/>
        </w:rPr>
        <w:sectPr>
          <w:footerReference r:id="rId5" w:type="even"/>
          <w:pgSz w:w="11906" w:h="16838"/>
          <w:pgMar w:top="1440" w:right="1797" w:bottom="1440" w:left="1797" w:header="1418" w:footer="1134" w:gutter="0"/>
          <w:pgNumType w:fmt="upperRoman" w:start="1"/>
          <w:cols w:space="425" w:num="1"/>
          <w:formProt w:val="0"/>
          <w:docGrid w:type="lines" w:linePitch="312" w:charSpace="0"/>
        </w:sectPr>
      </w:pPr>
    </w:p>
    <w:p w14:paraId="4493E280">
      <w:pPr>
        <w:spacing w:line="360" w:lineRule="auto"/>
        <w:jc w:val="center"/>
        <w:outlineLvl w:val="0"/>
        <w:rPr>
          <w:rFonts w:ascii="Times New Roman" w:hAnsi="Times New Roman"/>
          <w:b/>
          <w:bCs/>
          <w:sz w:val="36"/>
          <w:szCs w:val="36"/>
        </w:rPr>
      </w:pPr>
      <w:bookmarkStart w:id="5" w:name="_Toc23480"/>
      <w:bookmarkStart w:id="6" w:name="_Toc196124330"/>
      <w:r>
        <w:rPr>
          <w:rFonts w:ascii="Times New Roman" w:hAnsi="Times New Roman"/>
          <w:b/>
          <w:bCs/>
          <w:sz w:val="36"/>
          <w:szCs w:val="36"/>
        </w:rPr>
        <w:t>前  言</w:t>
      </w:r>
      <w:bookmarkEnd w:id="5"/>
      <w:bookmarkEnd w:id="6"/>
    </w:p>
    <w:p w14:paraId="77AC96AF">
      <w:pPr>
        <w:pStyle w:val="71"/>
        <w:spacing w:line="360" w:lineRule="auto"/>
        <w:ind w:firstLine="480"/>
        <w:rPr>
          <w:rFonts w:ascii="Times New Roman"/>
          <w:sz w:val="24"/>
          <w:szCs w:val="24"/>
        </w:rPr>
      </w:pPr>
      <w:r>
        <w:rPr>
          <w:rFonts w:ascii="Times New Roman"/>
          <w:sz w:val="24"/>
          <w:szCs w:val="24"/>
        </w:rPr>
        <w:t>为保障</w:t>
      </w:r>
      <w:r>
        <w:rPr>
          <w:rFonts w:hint="eastAsia" w:ascii="Times New Roman"/>
          <w:sz w:val="24"/>
          <w:szCs w:val="24"/>
        </w:rPr>
        <w:t>生活</w:t>
      </w:r>
      <w:r>
        <w:rPr>
          <w:rFonts w:ascii="Times New Roman"/>
          <w:sz w:val="24"/>
          <w:szCs w:val="24"/>
        </w:rPr>
        <w:t>垃圾填埋场垂直防渗墙工程质量，统一垂直防渗墙检测方法，根据《安徽省市场监督管理局关于下达2023年第三批安徽省地方标准制修订计划的通知》</w:t>
      </w:r>
      <w:r>
        <w:rPr>
          <w:rFonts w:hint="eastAsia" w:ascii="Times New Roman"/>
          <w:sz w:val="24"/>
          <w:szCs w:val="24"/>
        </w:rPr>
        <w:t>（皖市监函〔2023〕622号）</w:t>
      </w:r>
      <w:r>
        <w:rPr>
          <w:rFonts w:ascii="Times New Roman"/>
          <w:sz w:val="24"/>
          <w:szCs w:val="24"/>
        </w:rPr>
        <w:t>的要求，</w:t>
      </w:r>
      <w:r>
        <w:rPr>
          <w:rFonts w:hint="eastAsia" w:ascii="Times New Roman"/>
          <w:sz w:val="24"/>
          <w:szCs w:val="24"/>
        </w:rPr>
        <w:t>规程</w:t>
      </w:r>
      <w:r>
        <w:rPr>
          <w:rFonts w:ascii="Times New Roman"/>
          <w:sz w:val="24"/>
          <w:szCs w:val="24"/>
        </w:rPr>
        <w:t>编制组经广泛的调查和研究，参考</w:t>
      </w:r>
      <w:r>
        <w:rPr>
          <w:rFonts w:hint="eastAsia" w:ascii="Times New Roman"/>
          <w:sz w:val="24"/>
          <w:szCs w:val="24"/>
        </w:rPr>
        <w:t>相关的国家、行业标准，与国内相关规范协调</w:t>
      </w:r>
      <w:r>
        <w:rPr>
          <w:rFonts w:ascii="Times New Roman"/>
          <w:sz w:val="24"/>
          <w:szCs w:val="24"/>
        </w:rPr>
        <w:t>，结合安徽省实际，在充分征求意见的基础上编制本规程。</w:t>
      </w:r>
    </w:p>
    <w:p w14:paraId="04918689">
      <w:pPr>
        <w:pStyle w:val="71"/>
        <w:spacing w:line="360" w:lineRule="auto"/>
        <w:ind w:firstLine="480"/>
        <w:rPr>
          <w:rFonts w:ascii="Times New Roman"/>
          <w:sz w:val="24"/>
          <w:szCs w:val="24"/>
        </w:rPr>
      </w:pPr>
      <w:r>
        <w:rPr>
          <w:rFonts w:ascii="Times New Roman"/>
          <w:sz w:val="24"/>
          <w:szCs w:val="24"/>
        </w:rPr>
        <w:t>本</w:t>
      </w:r>
      <w:r>
        <w:rPr>
          <w:rFonts w:hint="eastAsia" w:ascii="Times New Roman"/>
          <w:sz w:val="24"/>
          <w:szCs w:val="24"/>
        </w:rPr>
        <w:t>规程</w:t>
      </w:r>
      <w:r>
        <w:rPr>
          <w:rFonts w:ascii="Times New Roman"/>
          <w:sz w:val="24"/>
          <w:szCs w:val="24"/>
        </w:rPr>
        <w:t>共分</w:t>
      </w:r>
      <w:r>
        <w:rPr>
          <w:rFonts w:hint="eastAsia" w:ascii="Times New Roman"/>
          <w:sz w:val="24"/>
          <w:szCs w:val="24"/>
        </w:rPr>
        <w:t>七</w:t>
      </w:r>
      <w:r>
        <w:rPr>
          <w:rFonts w:ascii="Times New Roman"/>
          <w:sz w:val="24"/>
          <w:szCs w:val="24"/>
        </w:rPr>
        <w:t>章，主要内容包括:1 总则、2 术语、3 基本规定、4 检测方法、5 注浆帷幕质量检测、6 单层垂直防渗墙质量检测、7 复合垂直防渗墙质量检测。</w:t>
      </w:r>
    </w:p>
    <w:p w14:paraId="3074A80A">
      <w:pPr>
        <w:pStyle w:val="71"/>
        <w:spacing w:line="360" w:lineRule="auto"/>
        <w:ind w:firstLine="480"/>
        <w:rPr>
          <w:rFonts w:ascii="Times New Roman"/>
          <w:sz w:val="24"/>
          <w:szCs w:val="24"/>
        </w:rPr>
      </w:pPr>
      <w:r>
        <w:rPr>
          <w:rFonts w:ascii="Times New Roman"/>
          <w:sz w:val="24"/>
          <w:szCs w:val="24"/>
        </w:rPr>
        <w:t>本</w:t>
      </w:r>
      <w:r>
        <w:rPr>
          <w:rFonts w:hint="eastAsia" w:ascii="Times New Roman"/>
          <w:sz w:val="24"/>
          <w:szCs w:val="24"/>
        </w:rPr>
        <w:t>规程</w:t>
      </w:r>
      <w:r>
        <w:rPr>
          <w:rFonts w:ascii="Times New Roman"/>
          <w:sz w:val="24"/>
          <w:szCs w:val="24"/>
        </w:rPr>
        <w:t>由安徽省住房和城乡建设厅负责归口管理，</w:t>
      </w:r>
      <w:r>
        <w:rPr>
          <w:rFonts w:hint="eastAsia" w:ascii="Times New Roman"/>
          <w:sz w:val="24"/>
          <w:szCs w:val="24"/>
        </w:rPr>
        <w:t>安徽省城建设计研究总院股份有限公司</w:t>
      </w:r>
      <w:r>
        <w:rPr>
          <w:rFonts w:ascii="Times New Roman"/>
          <w:sz w:val="24"/>
          <w:szCs w:val="24"/>
        </w:rPr>
        <w:t>负责具体技术内容的解释。</w:t>
      </w:r>
      <w:r>
        <w:rPr>
          <w:rFonts w:hint="eastAsia" w:ascii="Times New Roman"/>
          <w:sz w:val="24"/>
          <w:szCs w:val="24"/>
        </w:rPr>
        <w:t>本规程在</w:t>
      </w:r>
      <w:r>
        <w:rPr>
          <w:rFonts w:ascii="Times New Roman"/>
          <w:sz w:val="24"/>
          <w:szCs w:val="24"/>
        </w:rPr>
        <w:t>执行过程中如有意见或建议，请寄送</w:t>
      </w:r>
      <w:r>
        <w:rPr>
          <w:rFonts w:hint="eastAsia" w:ascii="Times New Roman"/>
          <w:sz w:val="24"/>
          <w:szCs w:val="24"/>
        </w:rPr>
        <w:t>至</w:t>
      </w:r>
      <w:r>
        <w:rPr>
          <w:rFonts w:ascii="Times New Roman"/>
          <w:sz w:val="24"/>
          <w:szCs w:val="24"/>
        </w:rPr>
        <w:t>安徽省城建设计研究总院股份有限公司</w:t>
      </w:r>
      <w:r>
        <w:rPr>
          <w:rFonts w:hint="eastAsia" w:ascii="Times New Roman"/>
          <w:sz w:val="24"/>
          <w:szCs w:val="24"/>
        </w:rPr>
        <w:t>（</w:t>
      </w:r>
      <w:r>
        <w:rPr>
          <w:rFonts w:ascii="Times New Roman"/>
          <w:sz w:val="24"/>
          <w:szCs w:val="24"/>
        </w:rPr>
        <w:t>地址</w:t>
      </w:r>
      <w:r>
        <w:rPr>
          <w:rFonts w:hint="eastAsia" w:ascii="Times New Roman"/>
          <w:sz w:val="24"/>
          <w:szCs w:val="24"/>
        </w:rPr>
        <w:t>：</w:t>
      </w:r>
      <w:r>
        <w:rPr>
          <w:rFonts w:ascii="Times New Roman"/>
          <w:sz w:val="24"/>
          <w:szCs w:val="24"/>
        </w:rPr>
        <w:t>合肥市包河区花园大道9号，邮政编码：230051</w:t>
      </w:r>
      <w:r>
        <w:rPr>
          <w:rFonts w:hint="eastAsia" w:ascii="Times New Roman"/>
          <w:sz w:val="24"/>
          <w:szCs w:val="24"/>
        </w:rPr>
        <w:t>）。</w:t>
      </w:r>
    </w:p>
    <w:p w14:paraId="0E51CB8F">
      <w:pPr>
        <w:pStyle w:val="71"/>
        <w:spacing w:line="360" w:lineRule="auto"/>
        <w:ind w:firstLine="480"/>
        <w:rPr>
          <w:rFonts w:ascii="Times New Roman"/>
          <w:sz w:val="24"/>
          <w:szCs w:val="24"/>
        </w:rPr>
      </w:pPr>
      <w:r>
        <w:rPr>
          <w:rFonts w:ascii="Times New Roman"/>
          <w:sz w:val="24"/>
          <w:szCs w:val="24"/>
        </w:rPr>
        <w:t>主编单位：安徽省城建设计研究总院股份有限公司</w:t>
      </w:r>
    </w:p>
    <w:p w14:paraId="11FA7D6B">
      <w:pPr>
        <w:pStyle w:val="71"/>
        <w:spacing w:line="360" w:lineRule="auto"/>
        <w:ind w:firstLine="1680" w:firstLineChars="700"/>
        <w:rPr>
          <w:rFonts w:ascii="Times New Roman"/>
          <w:sz w:val="24"/>
          <w:szCs w:val="24"/>
        </w:rPr>
      </w:pPr>
      <w:bookmarkStart w:id="7" w:name="OLE_LINK10"/>
      <w:r>
        <w:rPr>
          <w:rFonts w:ascii="Times New Roman"/>
          <w:sz w:val="24"/>
          <w:szCs w:val="24"/>
        </w:rPr>
        <w:t>安徽省建设工程测试研究院有限责任公司</w:t>
      </w:r>
    </w:p>
    <w:p w14:paraId="175E1DC7">
      <w:pPr>
        <w:pStyle w:val="71"/>
        <w:spacing w:line="360" w:lineRule="auto"/>
        <w:ind w:left="1680" w:leftChars="800" w:firstLine="0" w:firstLineChars="0"/>
        <w:rPr>
          <w:rFonts w:ascii="Times New Roman"/>
          <w:sz w:val="24"/>
          <w:szCs w:val="24"/>
        </w:rPr>
      </w:pPr>
      <w:r>
        <w:rPr>
          <w:rFonts w:ascii="Times New Roman"/>
          <w:sz w:val="24"/>
          <w:szCs w:val="24"/>
        </w:rPr>
        <w:t>安徽省（水利部淮河水利委员会）水利科学研究院（安徽省水利工程质量检测中心站）</w:t>
      </w:r>
    </w:p>
    <w:bookmarkEnd w:id="7"/>
    <w:p w14:paraId="29F5E89A">
      <w:pPr>
        <w:pStyle w:val="71"/>
        <w:spacing w:line="360" w:lineRule="auto"/>
        <w:ind w:firstLine="480"/>
        <w:rPr>
          <w:rFonts w:ascii="Times New Roman"/>
          <w:sz w:val="24"/>
          <w:szCs w:val="24"/>
        </w:rPr>
      </w:pPr>
      <w:r>
        <w:rPr>
          <w:rFonts w:ascii="Times New Roman"/>
          <w:sz w:val="24"/>
          <w:szCs w:val="24"/>
        </w:rPr>
        <w:t>参编单位：安徽工程勘察院有限公司</w:t>
      </w:r>
    </w:p>
    <w:p w14:paraId="7E2E4F79">
      <w:pPr>
        <w:pStyle w:val="71"/>
        <w:spacing w:line="360" w:lineRule="auto"/>
        <w:ind w:firstLine="1680" w:firstLineChars="700"/>
        <w:rPr>
          <w:rFonts w:ascii="Times New Roman"/>
          <w:sz w:val="24"/>
          <w:szCs w:val="24"/>
        </w:rPr>
      </w:pPr>
      <w:r>
        <w:rPr>
          <w:rFonts w:ascii="Times New Roman"/>
          <w:sz w:val="24"/>
          <w:szCs w:val="24"/>
        </w:rPr>
        <w:t>天津中联格林科技发展有限公司</w:t>
      </w:r>
    </w:p>
    <w:p w14:paraId="1443B011">
      <w:pPr>
        <w:tabs>
          <w:tab w:val="left" w:pos="0"/>
          <w:tab w:val="left" w:pos="4040"/>
        </w:tabs>
        <w:spacing w:line="360" w:lineRule="auto"/>
        <w:ind w:firstLine="480" w:firstLineChars="200"/>
        <w:rPr>
          <w:rFonts w:ascii="Times New Roman" w:hAnsi="Times New Roman"/>
          <w:sz w:val="24"/>
        </w:rPr>
      </w:pPr>
      <w:r>
        <w:rPr>
          <w:rFonts w:ascii="Times New Roman"/>
          <w:sz w:val="24"/>
          <w:szCs w:val="24"/>
        </w:rPr>
        <w:t>主要起草人：</w:t>
      </w:r>
      <w:r>
        <w:rPr>
          <w:rFonts w:hint="eastAsia" w:ascii="Times New Roman"/>
          <w:sz w:val="24"/>
          <w:szCs w:val="24"/>
        </w:rPr>
        <w:t>吴东彪</w:t>
      </w:r>
      <w:r>
        <w:rPr>
          <w:rFonts w:hint="eastAsia" w:ascii="Times New Roman" w:hAnsi="Times New Roman"/>
          <w:sz w:val="24"/>
          <w:szCs w:val="24"/>
        </w:rPr>
        <w:t xml:space="preserve">  </w:t>
      </w:r>
      <w:r>
        <w:rPr>
          <w:rFonts w:hint="eastAsia" w:ascii="Times New Roman"/>
          <w:sz w:val="24"/>
          <w:szCs w:val="24"/>
        </w:rPr>
        <w:t>徐建锋</w:t>
      </w:r>
      <w:r>
        <w:rPr>
          <w:rFonts w:hint="eastAsia" w:ascii="Times New Roman" w:hAnsi="Times New Roman"/>
          <w:sz w:val="24"/>
          <w:szCs w:val="24"/>
        </w:rPr>
        <w:t xml:space="preserve">  </w:t>
      </w:r>
      <w:r>
        <w:rPr>
          <w:rFonts w:hint="eastAsia" w:ascii="Times New Roman"/>
          <w:sz w:val="24"/>
          <w:szCs w:val="24"/>
        </w:rPr>
        <w:t xml:space="preserve">张 </w:t>
      </w:r>
      <w:r>
        <w:rPr>
          <w:rFonts w:ascii="Times New Roman"/>
          <w:sz w:val="24"/>
          <w:szCs w:val="24"/>
        </w:rPr>
        <w:t xml:space="preserve"> </w:t>
      </w:r>
      <w:r>
        <w:rPr>
          <w:rFonts w:hint="eastAsia" w:ascii="Times New Roman"/>
          <w:sz w:val="24"/>
          <w:szCs w:val="24"/>
        </w:rPr>
        <w:t>蕊</w:t>
      </w:r>
      <w:r>
        <w:rPr>
          <w:rFonts w:hint="eastAsia" w:ascii="Times New Roman" w:hAnsi="Times New Roman"/>
          <w:sz w:val="24"/>
          <w:szCs w:val="24"/>
        </w:rPr>
        <w:t xml:space="preserve">  </w:t>
      </w:r>
      <w:r>
        <w:rPr>
          <w:rFonts w:hint="eastAsia" w:ascii="Times New Roman"/>
          <w:sz w:val="24"/>
          <w:szCs w:val="24"/>
        </w:rPr>
        <w:t>徐海波</w:t>
      </w:r>
      <w:r>
        <w:rPr>
          <w:rFonts w:hint="eastAsia" w:ascii="Times New Roman" w:hAnsi="Times New Roman"/>
          <w:sz w:val="24"/>
          <w:szCs w:val="24"/>
        </w:rPr>
        <w:t xml:space="preserve">  </w:t>
      </w:r>
      <w:r>
        <w:rPr>
          <w:rFonts w:hint="eastAsia" w:ascii="Times New Roman"/>
          <w:sz w:val="24"/>
          <w:szCs w:val="24"/>
        </w:rPr>
        <w:t>胡俊杰</w:t>
      </w:r>
      <w:r>
        <w:rPr>
          <w:rFonts w:hint="eastAsia" w:ascii="Times New Roman" w:hAnsi="Times New Roman"/>
          <w:sz w:val="24"/>
          <w:szCs w:val="24"/>
        </w:rPr>
        <w:t xml:space="preserve">  </w:t>
      </w:r>
      <w:r>
        <w:rPr>
          <w:rFonts w:hint="eastAsia" w:ascii="Times New Roman"/>
          <w:sz w:val="24"/>
          <w:szCs w:val="24"/>
        </w:rPr>
        <w:t>熊耀华</w:t>
      </w:r>
      <w:r>
        <w:rPr>
          <w:rFonts w:hint="eastAsia" w:ascii="Times New Roman" w:hAnsi="Times New Roman"/>
          <w:sz w:val="24"/>
          <w:szCs w:val="24"/>
        </w:rPr>
        <w:t xml:space="preserve"> </w:t>
      </w:r>
    </w:p>
    <w:p w14:paraId="6065DDB5">
      <w:pPr>
        <w:tabs>
          <w:tab w:val="left" w:pos="0"/>
          <w:tab w:val="left" w:pos="4040"/>
        </w:tabs>
        <w:spacing w:line="360" w:lineRule="auto"/>
        <w:ind w:firstLine="1920" w:firstLineChars="800"/>
        <w:rPr>
          <w:rFonts w:ascii="Times New Roman" w:hAnsi="Times New Roman"/>
          <w:sz w:val="24"/>
        </w:rPr>
      </w:pPr>
      <w:r>
        <w:rPr>
          <w:rFonts w:hint="eastAsia" w:ascii="Times New Roman"/>
          <w:sz w:val="24"/>
          <w:szCs w:val="24"/>
        </w:rPr>
        <w:t>刘晶晶</w:t>
      </w:r>
      <w:r>
        <w:rPr>
          <w:rFonts w:hint="eastAsia" w:ascii="Times New Roman" w:hAnsi="Times New Roman"/>
          <w:sz w:val="24"/>
          <w:szCs w:val="24"/>
        </w:rPr>
        <w:t xml:space="preserve">  </w:t>
      </w:r>
      <w:r>
        <w:rPr>
          <w:rFonts w:hint="eastAsia" w:ascii="Times New Roman"/>
          <w:sz w:val="24"/>
          <w:szCs w:val="24"/>
        </w:rPr>
        <w:t xml:space="preserve">徐洪苗 </w:t>
      </w:r>
      <w:r>
        <w:rPr>
          <w:rFonts w:ascii="Times New Roman"/>
          <w:sz w:val="24"/>
          <w:szCs w:val="24"/>
        </w:rPr>
        <w:t xml:space="preserve"> </w:t>
      </w:r>
      <w:r>
        <w:rPr>
          <w:rFonts w:hint="eastAsia" w:ascii="Times New Roman" w:hAnsi="Times New Roman"/>
          <w:sz w:val="24"/>
          <w:szCs w:val="24"/>
        </w:rPr>
        <w:t xml:space="preserve">桂思远 </w:t>
      </w:r>
      <w:r>
        <w:rPr>
          <w:rFonts w:ascii="Times New Roman" w:hAnsi="Times New Roman"/>
          <w:sz w:val="24"/>
          <w:szCs w:val="24"/>
        </w:rPr>
        <w:t xml:space="preserve"> </w:t>
      </w:r>
      <w:r>
        <w:rPr>
          <w:rFonts w:hint="eastAsia" w:ascii="Times New Roman"/>
          <w:sz w:val="24"/>
          <w:szCs w:val="24"/>
        </w:rPr>
        <w:t>曹亚娟</w:t>
      </w:r>
      <w:r>
        <w:rPr>
          <w:rFonts w:hint="eastAsia" w:ascii="Times New Roman" w:hAnsi="Times New Roman"/>
          <w:sz w:val="24"/>
          <w:szCs w:val="24"/>
        </w:rPr>
        <w:t xml:space="preserve">  </w:t>
      </w:r>
      <w:r>
        <w:rPr>
          <w:rFonts w:hint="eastAsia" w:ascii="Times New Roman"/>
          <w:sz w:val="24"/>
          <w:szCs w:val="24"/>
        </w:rPr>
        <w:t xml:space="preserve">吴 </w:t>
      </w:r>
      <w:r>
        <w:rPr>
          <w:rFonts w:ascii="Times New Roman"/>
          <w:sz w:val="24"/>
          <w:szCs w:val="24"/>
        </w:rPr>
        <w:t xml:space="preserve"> </w:t>
      </w:r>
      <w:r>
        <w:rPr>
          <w:rFonts w:hint="eastAsia" w:ascii="Times New Roman"/>
          <w:sz w:val="24"/>
          <w:szCs w:val="24"/>
        </w:rPr>
        <w:t>杰</w:t>
      </w:r>
      <w:r>
        <w:rPr>
          <w:rFonts w:hint="eastAsia" w:ascii="Times New Roman" w:hAnsi="Times New Roman"/>
          <w:sz w:val="24"/>
          <w:szCs w:val="24"/>
        </w:rPr>
        <w:t xml:space="preserve">  </w:t>
      </w:r>
      <w:r>
        <w:rPr>
          <w:rFonts w:hint="eastAsia" w:ascii="Times New Roman"/>
          <w:sz w:val="24"/>
          <w:szCs w:val="24"/>
        </w:rPr>
        <w:t xml:space="preserve">王 </w:t>
      </w:r>
      <w:r>
        <w:rPr>
          <w:rFonts w:ascii="Times New Roman"/>
          <w:sz w:val="24"/>
          <w:szCs w:val="24"/>
        </w:rPr>
        <w:t xml:space="preserve"> </w:t>
      </w:r>
      <w:r>
        <w:rPr>
          <w:rFonts w:hint="eastAsia" w:ascii="Times New Roman"/>
          <w:sz w:val="24"/>
          <w:szCs w:val="24"/>
        </w:rPr>
        <w:t>佩</w:t>
      </w:r>
      <w:r>
        <w:rPr>
          <w:rFonts w:hint="eastAsia" w:ascii="Times New Roman" w:hAnsi="Times New Roman"/>
          <w:sz w:val="24"/>
          <w:szCs w:val="24"/>
        </w:rPr>
        <w:t xml:space="preserve">  </w:t>
      </w:r>
    </w:p>
    <w:p w14:paraId="756B07B4">
      <w:pPr>
        <w:tabs>
          <w:tab w:val="left" w:pos="0"/>
          <w:tab w:val="left" w:pos="4040"/>
        </w:tabs>
        <w:spacing w:line="360" w:lineRule="auto"/>
        <w:ind w:firstLine="1920" w:firstLineChars="800"/>
        <w:rPr>
          <w:rFonts w:ascii="Times New Roman" w:hAnsi="Times New Roman"/>
          <w:sz w:val="24"/>
        </w:rPr>
      </w:pPr>
      <w:r>
        <w:rPr>
          <w:rFonts w:hint="eastAsia" w:ascii="Times New Roman" w:hAnsi="Times New Roman"/>
          <w:kern w:val="0"/>
          <w:sz w:val="24"/>
          <w:szCs w:val="24"/>
        </w:rPr>
        <w:t>谢世平</w:t>
      </w:r>
      <w:r>
        <w:rPr>
          <w:rFonts w:hint="eastAsia" w:ascii="Times New Roman" w:hAnsi="Times New Roman"/>
          <w:sz w:val="24"/>
          <w:szCs w:val="24"/>
        </w:rPr>
        <w:t xml:space="preserve">  </w:t>
      </w:r>
      <w:r>
        <w:rPr>
          <w:rFonts w:hint="eastAsia" w:ascii="Times New Roman" w:hAnsi="Times New Roman"/>
          <w:kern w:val="0"/>
          <w:sz w:val="24"/>
          <w:szCs w:val="24"/>
        </w:rPr>
        <w:t>杜茂林</w:t>
      </w:r>
      <w:r>
        <w:rPr>
          <w:rFonts w:hint="eastAsia" w:ascii="Times New Roman" w:hAnsi="Times New Roman"/>
          <w:sz w:val="24"/>
          <w:szCs w:val="24"/>
        </w:rPr>
        <w:t xml:space="preserve">  </w:t>
      </w:r>
      <w:r>
        <w:rPr>
          <w:rFonts w:hint="eastAsia" w:ascii="Times New Roman" w:hAnsi="Times New Roman"/>
          <w:kern w:val="0"/>
          <w:sz w:val="24"/>
          <w:szCs w:val="24"/>
        </w:rPr>
        <w:t>郭润强</w:t>
      </w:r>
      <w:r>
        <w:rPr>
          <w:rFonts w:hint="eastAsia" w:ascii="Times New Roman" w:hAnsi="Times New Roman"/>
          <w:sz w:val="24"/>
          <w:szCs w:val="24"/>
        </w:rPr>
        <w:t xml:space="preserve">  </w:t>
      </w:r>
      <w:r>
        <w:rPr>
          <w:rFonts w:hint="eastAsia" w:ascii="Times New Roman"/>
          <w:sz w:val="24"/>
          <w:szCs w:val="24"/>
        </w:rPr>
        <w:t xml:space="preserve">许 </w:t>
      </w:r>
      <w:r>
        <w:rPr>
          <w:rFonts w:ascii="Times New Roman"/>
          <w:sz w:val="24"/>
          <w:szCs w:val="24"/>
        </w:rPr>
        <w:t xml:space="preserve"> </w:t>
      </w:r>
      <w:r>
        <w:rPr>
          <w:rFonts w:hint="eastAsia" w:ascii="Times New Roman"/>
          <w:sz w:val="24"/>
          <w:szCs w:val="24"/>
        </w:rPr>
        <w:t>震</w:t>
      </w: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何顺辉  </w:t>
      </w:r>
      <w:r>
        <w:rPr>
          <w:rFonts w:hint="eastAsia" w:ascii="Times New Roman"/>
          <w:sz w:val="24"/>
          <w:szCs w:val="24"/>
        </w:rPr>
        <w:t>廖旭涛</w:t>
      </w:r>
    </w:p>
    <w:p w14:paraId="44808749">
      <w:pPr>
        <w:pStyle w:val="71"/>
        <w:spacing w:line="360" w:lineRule="auto"/>
        <w:ind w:firstLine="480"/>
        <w:rPr>
          <w:rFonts w:ascii="Times New Roman"/>
          <w:sz w:val="24"/>
          <w:szCs w:val="24"/>
        </w:rPr>
      </w:pPr>
      <w:r>
        <w:rPr>
          <w:rFonts w:ascii="Times New Roman"/>
          <w:sz w:val="24"/>
          <w:szCs w:val="24"/>
        </w:rPr>
        <w:t>主要审查人：</w:t>
      </w:r>
    </w:p>
    <w:p w14:paraId="4C06365C">
      <w:pPr>
        <w:pStyle w:val="106"/>
        <w:spacing w:after="468"/>
        <w:rPr>
          <w:rFonts w:ascii="Times New Roman" w:hAnsi="Times New Roman"/>
          <w:spacing w:val="320"/>
        </w:rPr>
        <w:sectPr>
          <w:pgSz w:w="11906" w:h="16838"/>
          <w:pgMar w:top="1440" w:right="1797" w:bottom="1440" w:left="1797" w:header="1418" w:footer="1134" w:gutter="0"/>
          <w:pgNumType w:fmt="upperRoman" w:start="1"/>
          <w:cols w:space="425" w:num="1"/>
          <w:formProt w:val="0"/>
          <w:docGrid w:type="lines" w:linePitch="312" w:charSpace="0"/>
        </w:sectPr>
      </w:pPr>
    </w:p>
    <w:p w14:paraId="3177394F">
      <w:pPr>
        <w:pStyle w:val="250"/>
        <w:jc w:val="center"/>
        <w:rPr>
          <w:rFonts w:ascii="宋体" w:hAnsi="宋体" w:eastAsia="宋体"/>
          <w:b/>
          <w:bCs/>
          <w:color w:val="auto"/>
        </w:rPr>
      </w:pPr>
      <w:r>
        <w:rPr>
          <w:rFonts w:ascii="宋体" w:hAnsi="宋体" w:eastAsia="宋体"/>
          <w:b/>
          <w:bCs/>
          <w:color w:val="auto"/>
          <w:spacing w:val="320"/>
        </w:rPr>
        <w:t>目</w:t>
      </w:r>
      <w:r>
        <w:rPr>
          <w:rFonts w:ascii="宋体" w:hAnsi="宋体" w:eastAsia="宋体"/>
          <w:b/>
          <w:bCs/>
          <w:color w:val="auto"/>
        </w:rPr>
        <w:t>次</w:t>
      </w:r>
    </w:p>
    <w:sdt>
      <w:sdtPr>
        <w:rPr>
          <w:rFonts w:ascii="Calibri" w:eastAsia="宋体"/>
          <w:sz w:val="15"/>
          <w:szCs w:val="15"/>
          <w:lang w:val="zh-CN"/>
        </w:rPr>
        <w:id w:val="-787357863"/>
        <w:docPartObj>
          <w:docPartGallery w:val="Table of Contents"/>
          <w:docPartUnique/>
        </w:docPartObj>
      </w:sdtPr>
      <w:sdtEndPr>
        <w:rPr>
          <w:rFonts w:ascii="Calibri" w:eastAsia="宋体"/>
          <w:sz w:val="21"/>
          <w:szCs w:val="21"/>
          <w:lang w:val="zh-CN"/>
        </w:rPr>
      </w:sdtEndPr>
      <w:sdtContent>
        <w:p w14:paraId="1971AF71">
          <w:pPr>
            <w:pStyle w:val="106"/>
            <w:spacing w:before="0" w:after="0" w:afterLines="0"/>
            <w:rPr>
              <w:sz w:val="15"/>
              <w:szCs w:val="15"/>
            </w:rPr>
          </w:pPr>
        </w:p>
        <w:p w14:paraId="1A18A5D5">
          <w:pPr>
            <w:pStyle w:val="25"/>
            <w:rPr>
              <w:rFonts w:asciiTheme="minorHAnsi" w:hAnsiTheme="minorHAnsi" w:eastAsiaTheme="minorEastAsia" w:cstheme="minorBidi"/>
              <w:sz w:val="21"/>
              <w:szCs w:val="22"/>
            </w:rPr>
          </w:pPr>
          <w:r>
            <w:rPr>
              <w:szCs w:val="24"/>
            </w:rPr>
            <w:fldChar w:fldCharType="begin"/>
          </w:r>
          <w:r>
            <w:rPr>
              <w:szCs w:val="24"/>
            </w:rPr>
            <w:instrText xml:space="preserve"> TOC \o "1-2" \h \z \u </w:instrText>
          </w:r>
          <w:r>
            <w:rPr>
              <w:szCs w:val="24"/>
            </w:rPr>
            <w:fldChar w:fldCharType="separate"/>
          </w:r>
          <w:r>
            <w:fldChar w:fldCharType="begin"/>
          </w:r>
          <w:r>
            <w:instrText xml:space="preserve"> HYPERLINK \l "_Toc196124330" </w:instrText>
          </w:r>
          <w:r>
            <w:fldChar w:fldCharType="separate"/>
          </w:r>
          <w:r>
            <w:rPr>
              <w:rStyle w:val="41"/>
              <w:rFonts w:ascii="Times New Roman"/>
            </w:rPr>
            <w:t>前  言</w:t>
          </w:r>
          <w:r>
            <w:tab/>
          </w:r>
          <w:r>
            <w:fldChar w:fldCharType="begin"/>
          </w:r>
          <w:r>
            <w:instrText xml:space="preserve"> PAGEREF _Toc196124330 \h </w:instrText>
          </w:r>
          <w:r>
            <w:fldChar w:fldCharType="separate"/>
          </w:r>
          <w:r>
            <w:t>I</w:t>
          </w:r>
          <w:r>
            <w:fldChar w:fldCharType="end"/>
          </w:r>
          <w:r>
            <w:fldChar w:fldCharType="end"/>
          </w:r>
        </w:p>
        <w:p w14:paraId="0922C021">
          <w:pPr>
            <w:pStyle w:val="25"/>
            <w:rPr>
              <w:rFonts w:asciiTheme="minorHAnsi" w:hAnsiTheme="minorHAnsi" w:eastAsiaTheme="minorEastAsia" w:cstheme="minorBidi"/>
              <w:sz w:val="21"/>
              <w:szCs w:val="22"/>
            </w:rPr>
          </w:pPr>
          <w:r>
            <w:fldChar w:fldCharType="begin"/>
          </w:r>
          <w:r>
            <w:instrText xml:space="preserve"> HYPERLINK \l "_Toc196124331" </w:instrText>
          </w:r>
          <w:r>
            <w:fldChar w:fldCharType="separate"/>
          </w:r>
          <w:r>
            <w:rPr>
              <w:rStyle w:val="41"/>
              <w:rFonts w:ascii="Times New Roman"/>
            </w:rPr>
            <w:t>1总 则</w:t>
          </w:r>
          <w:r>
            <w:tab/>
          </w:r>
          <w:r>
            <w:fldChar w:fldCharType="begin"/>
          </w:r>
          <w:r>
            <w:instrText xml:space="preserve"> PAGEREF _Toc196124331 \h </w:instrText>
          </w:r>
          <w:r>
            <w:fldChar w:fldCharType="separate"/>
          </w:r>
          <w:r>
            <w:t>1</w:t>
          </w:r>
          <w:r>
            <w:fldChar w:fldCharType="end"/>
          </w:r>
          <w:r>
            <w:fldChar w:fldCharType="end"/>
          </w:r>
        </w:p>
        <w:p w14:paraId="494DACB0">
          <w:pPr>
            <w:pStyle w:val="25"/>
            <w:rPr>
              <w:rFonts w:asciiTheme="minorHAnsi" w:hAnsiTheme="minorHAnsi" w:eastAsiaTheme="minorEastAsia" w:cstheme="minorBidi"/>
              <w:sz w:val="21"/>
              <w:szCs w:val="22"/>
            </w:rPr>
          </w:pPr>
          <w:r>
            <w:fldChar w:fldCharType="begin"/>
          </w:r>
          <w:r>
            <w:instrText xml:space="preserve"> HYPERLINK \l "_Toc196124332" </w:instrText>
          </w:r>
          <w:r>
            <w:fldChar w:fldCharType="separate"/>
          </w:r>
          <w:r>
            <w:rPr>
              <w:rStyle w:val="41"/>
              <w:rFonts w:ascii="Times New Roman"/>
            </w:rPr>
            <w:t>2术 语</w:t>
          </w:r>
          <w:r>
            <w:tab/>
          </w:r>
          <w:r>
            <w:fldChar w:fldCharType="begin"/>
          </w:r>
          <w:r>
            <w:instrText xml:space="preserve"> PAGEREF _Toc196124332 \h </w:instrText>
          </w:r>
          <w:r>
            <w:fldChar w:fldCharType="separate"/>
          </w:r>
          <w:r>
            <w:t>2</w:t>
          </w:r>
          <w:r>
            <w:fldChar w:fldCharType="end"/>
          </w:r>
          <w:r>
            <w:fldChar w:fldCharType="end"/>
          </w:r>
        </w:p>
        <w:p w14:paraId="631B526D">
          <w:pPr>
            <w:pStyle w:val="25"/>
            <w:rPr>
              <w:rFonts w:asciiTheme="minorHAnsi" w:hAnsiTheme="minorHAnsi" w:eastAsiaTheme="minorEastAsia" w:cstheme="minorBidi"/>
              <w:sz w:val="21"/>
              <w:szCs w:val="22"/>
            </w:rPr>
          </w:pPr>
          <w:r>
            <w:fldChar w:fldCharType="begin"/>
          </w:r>
          <w:r>
            <w:instrText xml:space="preserve"> HYPERLINK \l "_Toc196124333" </w:instrText>
          </w:r>
          <w:r>
            <w:fldChar w:fldCharType="separate"/>
          </w:r>
          <w:r>
            <w:rPr>
              <w:rStyle w:val="41"/>
              <w:rFonts w:ascii="Times New Roman"/>
            </w:rPr>
            <w:t>3基本规定</w:t>
          </w:r>
          <w:r>
            <w:tab/>
          </w:r>
          <w:r>
            <w:fldChar w:fldCharType="begin"/>
          </w:r>
          <w:r>
            <w:instrText xml:space="preserve"> PAGEREF _Toc196124333 \h </w:instrText>
          </w:r>
          <w:r>
            <w:fldChar w:fldCharType="separate"/>
          </w:r>
          <w:r>
            <w:t>4</w:t>
          </w:r>
          <w:r>
            <w:fldChar w:fldCharType="end"/>
          </w:r>
          <w:r>
            <w:fldChar w:fldCharType="end"/>
          </w:r>
        </w:p>
        <w:p w14:paraId="4C3E8766">
          <w:pPr>
            <w:pStyle w:val="30"/>
            <w:ind w:firstLine="480"/>
            <w:rPr>
              <w:rFonts w:asciiTheme="minorHAnsi" w:hAnsiTheme="minorHAnsi" w:eastAsiaTheme="minorEastAsia" w:cstheme="minorBidi"/>
              <w:bCs/>
              <w:sz w:val="21"/>
              <w:szCs w:val="22"/>
            </w:rPr>
          </w:pPr>
          <w:r>
            <w:fldChar w:fldCharType="begin"/>
          </w:r>
          <w:r>
            <w:instrText xml:space="preserve"> HYPERLINK \l "_Toc196124334" </w:instrText>
          </w:r>
          <w:r>
            <w:fldChar w:fldCharType="separate"/>
          </w:r>
          <w:r>
            <w:rPr>
              <w:rStyle w:val="41"/>
              <w:rFonts w:ascii="Times New Roman"/>
              <w:bCs/>
            </w:rPr>
            <w:t>3.1 一般规定</w:t>
          </w:r>
          <w:r>
            <w:rPr>
              <w:bCs/>
            </w:rPr>
            <w:tab/>
          </w:r>
          <w:r>
            <w:rPr>
              <w:bCs/>
            </w:rPr>
            <w:fldChar w:fldCharType="begin"/>
          </w:r>
          <w:r>
            <w:rPr>
              <w:bCs/>
            </w:rPr>
            <w:instrText xml:space="preserve"> PAGEREF _Toc196124334 \h </w:instrText>
          </w:r>
          <w:r>
            <w:rPr>
              <w:bCs/>
            </w:rPr>
            <w:fldChar w:fldCharType="separate"/>
          </w:r>
          <w:r>
            <w:rPr>
              <w:bCs/>
            </w:rPr>
            <w:t>4</w:t>
          </w:r>
          <w:r>
            <w:rPr>
              <w:bCs/>
            </w:rPr>
            <w:fldChar w:fldCharType="end"/>
          </w:r>
          <w:r>
            <w:rPr>
              <w:bCs/>
            </w:rPr>
            <w:fldChar w:fldCharType="end"/>
          </w:r>
        </w:p>
        <w:p w14:paraId="7BC86DD9">
          <w:pPr>
            <w:pStyle w:val="30"/>
            <w:ind w:firstLine="480"/>
            <w:rPr>
              <w:rFonts w:asciiTheme="minorHAnsi" w:hAnsiTheme="minorHAnsi" w:eastAsiaTheme="minorEastAsia" w:cstheme="minorBidi"/>
              <w:bCs/>
              <w:sz w:val="21"/>
              <w:szCs w:val="22"/>
            </w:rPr>
          </w:pPr>
          <w:r>
            <w:fldChar w:fldCharType="begin"/>
          </w:r>
          <w:r>
            <w:instrText xml:space="preserve"> HYPERLINK \l "_Toc196124335" </w:instrText>
          </w:r>
          <w:r>
            <w:fldChar w:fldCharType="separate"/>
          </w:r>
          <w:r>
            <w:rPr>
              <w:rStyle w:val="41"/>
              <w:rFonts w:ascii="Times New Roman"/>
              <w:bCs/>
            </w:rPr>
            <w:t>3.2 检测工作程序和内容</w:t>
          </w:r>
          <w:r>
            <w:rPr>
              <w:bCs/>
            </w:rPr>
            <w:tab/>
          </w:r>
          <w:r>
            <w:rPr>
              <w:bCs/>
            </w:rPr>
            <w:fldChar w:fldCharType="begin"/>
          </w:r>
          <w:r>
            <w:rPr>
              <w:bCs/>
            </w:rPr>
            <w:instrText xml:space="preserve"> PAGEREF _Toc196124335 \h </w:instrText>
          </w:r>
          <w:r>
            <w:rPr>
              <w:bCs/>
            </w:rPr>
            <w:fldChar w:fldCharType="separate"/>
          </w:r>
          <w:r>
            <w:rPr>
              <w:bCs/>
            </w:rPr>
            <w:t>5</w:t>
          </w:r>
          <w:r>
            <w:rPr>
              <w:bCs/>
            </w:rPr>
            <w:fldChar w:fldCharType="end"/>
          </w:r>
          <w:r>
            <w:rPr>
              <w:bCs/>
            </w:rPr>
            <w:fldChar w:fldCharType="end"/>
          </w:r>
        </w:p>
        <w:p w14:paraId="362EAAC0">
          <w:pPr>
            <w:pStyle w:val="30"/>
            <w:ind w:firstLine="480"/>
            <w:rPr>
              <w:rFonts w:asciiTheme="minorHAnsi" w:hAnsiTheme="minorHAnsi" w:eastAsiaTheme="minorEastAsia" w:cstheme="minorBidi"/>
              <w:bCs/>
              <w:sz w:val="21"/>
              <w:szCs w:val="22"/>
            </w:rPr>
          </w:pPr>
          <w:r>
            <w:fldChar w:fldCharType="begin"/>
          </w:r>
          <w:r>
            <w:instrText xml:space="preserve"> HYPERLINK \l "_Toc196124336" </w:instrText>
          </w:r>
          <w:r>
            <w:fldChar w:fldCharType="separate"/>
          </w:r>
          <w:r>
            <w:rPr>
              <w:rStyle w:val="41"/>
              <w:rFonts w:ascii="Times New Roman"/>
              <w:bCs/>
            </w:rPr>
            <w:t>3.3 验证及扩大检测</w:t>
          </w:r>
          <w:r>
            <w:rPr>
              <w:bCs/>
            </w:rPr>
            <w:tab/>
          </w:r>
          <w:r>
            <w:rPr>
              <w:bCs/>
            </w:rPr>
            <w:fldChar w:fldCharType="begin"/>
          </w:r>
          <w:r>
            <w:rPr>
              <w:bCs/>
            </w:rPr>
            <w:instrText xml:space="preserve"> PAGEREF _Toc196124336 \h </w:instrText>
          </w:r>
          <w:r>
            <w:rPr>
              <w:bCs/>
            </w:rPr>
            <w:fldChar w:fldCharType="separate"/>
          </w:r>
          <w:r>
            <w:rPr>
              <w:bCs/>
            </w:rPr>
            <w:t>7</w:t>
          </w:r>
          <w:r>
            <w:rPr>
              <w:bCs/>
            </w:rPr>
            <w:fldChar w:fldCharType="end"/>
          </w:r>
          <w:r>
            <w:rPr>
              <w:bCs/>
            </w:rPr>
            <w:fldChar w:fldCharType="end"/>
          </w:r>
        </w:p>
        <w:p w14:paraId="5070693B">
          <w:pPr>
            <w:pStyle w:val="25"/>
            <w:rPr>
              <w:rFonts w:asciiTheme="minorHAnsi" w:hAnsiTheme="minorHAnsi" w:eastAsiaTheme="minorEastAsia" w:cstheme="minorBidi"/>
              <w:sz w:val="21"/>
              <w:szCs w:val="22"/>
            </w:rPr>
          </w:pPr>
          <w:r>
            <w:fldChar w:fldCharType="begin"/>
          </w:r>
          <w:r>
            <w:instrText xml:space="preserve"> HYPERLINK \l "_Toc196124337" </w:instrText>
          </w:r>
          <w:r>
            <w:fldChar w:fldCharType="separate"/>
          </w:r>
          <w:r>
            <w:rPr>
              <w:rStyle w:val="41"/>
              <w:rFonts w:ascii="Times New Roman"/>
            </w:rPr>
            <w:t>4检测方法</w:t>
          </w:r>
          <w:r>
            <w:tab/>
          </w:r>
          <w:r>
            <w:fldChar w:fldCharType="begin"/>
          </w:r>
          <w:r>
            <w:instrText xml:space="preserve"> PAGEREF _Toc196124337 \h </w:instrText>
          </w:r>
          <w:r>
            <w:fldChar w:fldCharType="separate"/>
          </w:r>
          <w:r>
            <w:t>8</w:t>
          </w:r>
          <w:r>
            <w:fldChar w:fldCharType="end"/>
          </w:r>
          <w:r>
            <w:fldChar w:fldCharType="end"/>
          </w:r>
        </w:p>
        <w:p w14:paraId="20E767D2">
          <w:pPr>
            <w:pStyle w:val="30"/>
            <w:ind w:firstLine="480"/>
            <w:rPr>
              <w:rFonts w:asciiTheme="minorHAnsi" w:hAnsiTheme="minorHAnsi" w:eastAsiaTheme="minorEastAsia" w:cstheme="minorBidi"/>
              <w:bCs/>
              <w:sz w:val="21"/>
              <w:szCs w:val="22"/>
            </w:rPr>
          </w:pPr>
          <w:r>
            <w:fldChar w:fldCharType="begin"/>
          </w:r>
          <w:r>
            <w:instrText xml:space="preserve"> HYPERLINK \l "_Toc196124338" </w:instrText>
          </w:r>
          <w:r>
            <w:fldChar w:fldCharType="separate"/>
          </w:r>
          <w:r>
            <w:rPr>
              <w:rStyle w:val="41"/>
              <w:rFonts w:ascii="Times New Roman"/>
              <w:bCs/>
            </w:rPr>
            <w:t>4.1 一般规定</w:t>
          </w:r>
          <w:r>
            <w:rPr>
              <w:bCs/>
            </w:rPr>
            <w:tab/>
          </w:r>
          <w:r>
            <w:rPr>
              <w:bCs/>
            </w:rPr>
            <w:fldChar w:fldCharType="begin"/>
          </w:r>
          <w:r>
            <w:rPr>
              <w:bCs/>
            </w:rPr>
            <w:instrText xml:space="preserve"> PAGEREF _Toc196124338 \h </w:instrText>
          </w:r>
          <w:r>
            <w:rPr>
              <w:bCs/>
            </w:rPr>
            <w:fldChar w:fldCharType="separate"/>
          </w:r>
          <w:r>
            <w:rPr>
              <w:bCs/>
            </w:rPr>
            <w:t>8</w:t>
          </w:r>
          <w:r>
            <w:rPr>
              <w:bCs/>
            </w:rPr>
            <w:fldChar w:fldCharType="end"/>
          </w:r>
          <w:r>
            <w:rPr>
              <w:bCs/>
            </w:rPr>
            <w:fldChar w:fldCharType="end"/>
          </w:r>
        </w:p>
        <w:p w14:paraId="51A18CC8">
          <w:pPr>
            <w:pStyle w:val="30"/>
            <w:ind w:firstLine="480"/>
            <w:rPr>
              <w:rFonts w:asciiTheme="minorHAnsi" w:hAnsiTheme="minorHAnsi" w:eastAsiaTheme="minorEastAsia" w:cstheme="minorBidi"/>
              <w:bCs/>
              <w:sz w:val="21"/>
              <w:szCs w:val="22"/>
            </w:rPr>
          </w:pPr>
          <w:r>
            <w:fldChar w:fldCharType="begin"/>
          </w:r>
          <w:r>
            <w:instrText xml:space="preserve"> HYPERLINK \l "_Toc196124339" </w:instrText>
          </w:r>
          <w:r>
            <w:fldChar w:fldCharType="separate"/>
          </w:r>
          <w:r>
            <w:rPr>
              <w:rStyle w:val="41"/>
              <w:rFonts w:ascii="Times New Roman"/>
              <w:bCs/>
            </w:rPr>
            <w:t>4.2 围井试验</w:t>
          </w:r>
          <w:r>
            <w:rPr>
              <w:bCs/>
            </w:rPr>
            <w:tab/>
          </w:r>
          <w:r>
            <w:rPr>
              <w:bCs/>
            </w:rPr>
            <w:fldChar w:fldCharType="begin"/>
          </w:r>
          <w:r>
            <w:rPr>
              <w:bCs/>
            </w:rPr>
            <w:instrText xml:space="preserve"> PAGEREF _Toc196124339 \h </w:instrText>
          </w:r>
          <w:r>
            <w:rPr>
              <w:bCs/>
            </w:rPr>
            <w:fldChar w:fldCharType="separate"/>
          </w:r>
          <w:r>
            <w:rPr>
              <w:bCs/>
            </w:rPr>
            <w:t>8</w:t>
          </w:r>
          <w:r>
            <w:rPr>
              <w:bCs/>
            </w:rPr>
            <w:fldChar w:fldCharType="end"/>
          </w:r>
          <w:r>
            <w:rPr>
              <w:bCs/>
            </w:rPr>
            <w:fldChar w:fldCharType="end"/>
          </w:r>
        </w:p>
        <w:p w14:paraId="430933F5">
          <w:pPr>
            <w:pStyle w:val="30"/>
            <w:ind w:firstLine="480"/>
            <w:rPr>
              <w:rFonts w:asciiTheme="minorHAnsi" w:hAnsiTheme="minorHAnsi" w:eastAsiaTheme="minorEastAsia" w:cstheme="minorBidi"/>
              <w:bCs/>
              <w:sz w:val="21"/>
              <w:szCs w:val="22"/>
            </w:rPr>
          </w:pPr>
          <w:r>
            <w:fldChar w:fldCharType="begin"/>
          </w:r>
          <w:r>
            <w:instrText xml:space="preserve"> HYPERLINK \l "_Toc196124340" </w:instrText>
          </w:r>
          <w:r>
            <w:fldChar w:fldCharType="separate"/>
          </w:r>
          <w:r>
            <w:rPr>
              <w:rStyle w:val="41"/>
              <w:rFonts w:ascii="Times New Roman"/>
              <w:bCs/>
            </w:rPr>
            <w:t>4.3 注水试验</w:t>
          </w:r>
          <w:r>
            <w:rPr>
              <w:bCs/>
            </w:rPr>
            <w:tab/>
          </w:r>
          <w:r>
            <w:rPr>
              <w:bCs/>
            </w:rPr>
            <w:fldChar w:fldCharType="begin"/>
          </w:r>
          <w:r>
            <w:rPr>
              <w:bCs/>
            </w:rPr>
            <w:instrText xml:space="preserve"> PAGEREF _Toc196124340 \h </w:instrText>
          </w:r>
          <w:r>
            <w:rPr>
              <w:bCs/>
            </w:rPr>
            <w:fldChar w:fldCharType="separate"/>
          </w:r>
          <w:r>
            <w:rPr>
              <w:bCs/>
            </w:rPr>
            <w:t>9</w:t>
          </w:r>
          <w:r>
            <w:rPr>
              <w:bCs/>
            </w:rPr>
            <w:fldChar w:fldCharType="end"/>
          </w:r>
          <w:r>
            <w:rPr>
              <w:bCs/>
            </w:rPr>
            <w:fldChar w:fldCharType="end"/>
          </w:r>
        </w:p>
        <w:p w14:paraId="1840F5D4">
          <w:pPr>
            <w:pStyle w:val="30"/>
            <w:ind w:firstLine="480"/>
            <w:rPr>
              <w:rFonts w:asciiTheme="minorHAnsi" w:hAnsiTheme="minorHAnsi" w:eastAsiaTheme="minorEastAsia" w:cstheme="minorBidi"/>
              <w:bCs/>
              <w:sz w:val="21"/>
              <w:szCs w:val="22"/>
            </w:rPr>
          </w:pPr>
          <w:r>
            <w:fldChar w:fldCharType="begin"/>
          </w:r>
          <w:r>
            <w:instrText xml:space="preserve"> HYPERLINK \l "_Toc196124341" </w:instrText>
          </w:r>
          <w:r>
            <w:fldChar w:fldCharType="separate"/>
          </w:r>
          <w:r>
            <w:rPr>
              <w:rStyle w:val="41"/>
              <w:rFonts w:ascii="Times New Roman"/>
              <w:bCs/>
            </w:rPr>
            <w:t>4.4 压水试验</w:t>
          </w:r>
          <w:r>
            <w:rPr>
              <w:bCs/>
            </w:rPr>
            <w:tab/>
          </w:r>
          <w:r>
            <w:rPr>
              <w:bCs/>
            </w:rPr>
            <w:fldChar w:fldCharType="begin"/>
          </w:r>
          <w:r>
            <w:rPr>
              <w:bCs/>
            </w:rPr>
            <w:instrText xml:space="preserve"> PAGEREF _Toc196124341 \h </w:instrText>
          </w:r>
          <w:r>
            <w:rPr>
              <w:bCs/>
            </w:rPr>
            <w:fldChar w:fldCharType="separate"/>
          </w:r>
          <w:r>
            <w:rPr>
              <w:bCs/>
            </w:rPr>
            <w:t>9</w:t>
          </w:r>
          <w:r>
            <w:rPr>
              <w:bCs/>
            </w:rPr>
            <w:fldChar w:fldCharType="end"/>
          </w:r>
          <w:r>
            <w:rPr>
              <w:bCs/>
            </w:rPr>
            <w:fldChar w:fldCharType="end"/>
          </w:r>
        </w:p>
        <w:p w14:paraId="33476E94">
          <w:pPr>
            <w:pStyle w:val="30"/>
            <w:ind w:firstLine="480"/>
            <w:rPr>
              <w:rFonts w:asciiTheme="minorHAnsi" w:hAnsiTheme="minorHAnsi" w:eastAsiaTheme="minorEastAsia" w:cstheme="minorBidi"/>
              <w:bCs/>
              <w:sz w:val="21"/>
              <w:szCs w:val="22"/>
            </w:rPr>
          </w:pPr>
          <w:r>
            <w:fldChar w:fldCharType="begin"/>
          </w:r>
          <w:r>
            <w:instrText xml:space="preserve"> HYPERLINK \l "_Toc196124342" </w:instrText>
          </w:r>
          <w:r>
            <w:fldChar w:fldCharType="separate"/>
          </w:r>
          <w:r>
            <w:rPr>
              <w:rStyle w:val="41"/>
              <w:rFonts w:ascii="Times New Roman"/>
              <w:bCs/>
            </w:rPr>
            <w:t>4.5 土柱试验</w:t>
          </w:r>
          <w:r>
            <w:rPr>
              <w:bCs/>
            </w:rPr>
            <w:tab/>
          </w:r>
          <w:r>
            <w:rPr>
              <w:bCs/>
            </w:rPr>
            <w:fldChar w:fldCharType="begin"/>
          </w:r>
          <w:r>
            <w:rPr>
              <w:bCs/>
            </w:rPr>
            <w:instrText xml:space="preserve"> PAGEREF _Toc196124342 \h </w:instrText>
          </w:r>
          <w:r>
            <w:rPr>
              <w:bCs/>
            </w:rPr>
            <w:fldChar w:fldCharType="separate"/>
          </w:r>
          <w:r>
            <w:rPr>
              <w:bCs/>
            </w:rPr>
            <w:t>10</w:t>
          </w:r>
          <w:r>
            <w:rPr>
              <w:bCs/>
            </w:rPr>
            <w:fldChar w:fldCharType="end"/>
          </w:r>
          <w:r>
            <w:rPr>
              <w:bCs/>
            </w:rPr>
            <w:fldChar w:fldCharType="end"/>
          </w:r>
        </w:p>
        <w:p w14:paraId="2112A321">
          <w:pPr>
            <w:pStyle w:val="30"/>
            <w:ind w:firstLine="480"/>
            <w:rPr>
              <w:rFonts w:asciiTheme="minorHAnsi" w:hAnsiTheme="minorHAnsi" w:eastAsiaTheme="minorEastAsia" w:cstheme="minorBidi"/>
              <w:bCs/>
              <w:sz w:val="21"/>
              <w:szCs w:val="22"/>
            </w:rPr>
          </w:pPr>
          <w:r>
            <w:fldChar w:fldCharType="begin"/>
          </w:r>
          <w:r>
            <w:instrText xml:space="preserve"> HYPERLINK \l "_Toc196124343" </w:instrText>
          </w:r>
          <w:r>
            <w:fldChar w:fldCharType="separate"/>
          </w:r>
          <w:r>
            <w:rPr>
              <w:rStyle w:val="41"/>
              <w:rFonts w:ascii="Times New Roman"/>
              <w:bCs/>
            </w:rPr>
            <w:t>4.6 直流电法</w:t>
          </w:r>
          <w:r>
            <w:rPr>
              <w:bCs/>
            </w:rPr>
            <w:tab/>
          </w:r>
          <w:r>
            <w:rPr>
              <w:bCs/>
            </w:rPr>
            <w:fldChar w:fldCharType="begin"/>
          </w:r>
          <w:r>
            <w:rPr>
              <w:bCs/>
            </w:rPr>
            <w:instrText xml:space="preserve"> PAGEREF _Toc196124343 \h </w:instrText>
          </w:r>
          <w:r>
            <w:rPr>
              <w:bCs/>
            </w:rPr>
            <w:fldChar w:fldCharType="separate"/>
          </w:r>
          <w:r>
            <w:rPr>
              <w:bCs/>
            </w:rPr>
            <w:t>10</w:t>
          </w:r>
          <w:r>
            <w:rPr>
              <w:bCs/>
            </w:rPr>
            <w:fldChar w:fldCharType="end"/>
          </w:r>
          <w:r>
            <w:rPr>
              <w:bCs/>
            </w:rPr>
            <w:fldChar w:fldCharType="end"/>
          </w:r>
        </w:p>
        <w:p w14:paraId="0F9DB47E">
          <w:pPr>
            <w:pStyle w:val="30"/>
            <w:ind w:firstLine="480"/>
            <w:rPr>
              <w:rFonts w:asciiTheme="minorHAnsi" w:hAnsiTheme="minorHAnsi" w:eastAsiaTheme="minorEastAsia" w:cstheme="minorBidi"/>
              <w:bCs/>
              <w:sz w:val="21"/>
              <w:szCs w:val="22"/>
            </w:rPr>
          </w:pPr>
          <w:r>
            <w:fldChar w:fldCharType="begin"/>
          </w:r>
          <w:r>
            <w:instrText xml:space="preserve"> HYPERLINK \l "_Toc196124344" </w:instrText>
          </w:r>
          <w:r>
            <w:fldChar w:fldCharType="separate"/>
          </w:r>
          <w:r>
            <w:rPr>
              <w:rStyle w:val="41"/>
              <w:rFonts w:ascii="Times New Roman"/>
              <w:bCs/>
            </w:rPr>
            <w:t>4.7 电磁法</w:t>
          </w:r>
          <w:r>
            <w:rPr>
              <w:bCs/>
            </w:rPr>
            <w:tab/>
          </w:r>
          <w:r>
            <w:rPr>
              <w:bCs/>
            </w:rPr>
            <w:fldChar w:fldCharType="begin"/>
          </w:r>
          <w:r>
            <w:rPr>
              <w:bCs/>
            </w:rPr>
            <w:instrText xml:space="preserve"> PAGEREF _Toc196124344 \h </w:instrText>
          </w:r>
          <w:r>
            <w:rPr>
              <w:bCs/>
            </w:rPr>
            <w:fldChar w:fldCharType="separate"/>
          </w:r>
          <w:r>
            <w:rPr>
              <w:bCs/>
            </w:rPr>
            <w:t>11</w:t>
          </w:r>
          <w:r>
            <w:rPr>
              <w:bCs/>
            </w:rPr>
            <w:fldChar w:fldCharType="end"/>
          </w:r>
          <w:r>
            <w:rPr>
              <w:bCs/>
            </w:rPr>
            <w:fldChar w:fldCharType="end"/>
          </w:r>
        </w:p>
        <w:p w14:paraId="48249494">
          <w:pPr>
            <w:pStyle w:val="30"/>
            <w:ind w:firstLine="480"/>
            <w:rPr>
              <w:rFonts w:asciiTheme="minorHAnsi" w:hAnsiTheme="minorHAnsi" w:eastAsiaTheme="minorEastAsia" w:cstheme="minorBidi"/>
              <w:bCs/>
              <w:sz w:val="21"/>
              <w:szCs w:val="22"/>
            </w:rPr>
          </w:pPr>
          <w:r>
            <w:fldChar w:fldCharType="begin"/>
          </w:r>
          <w:r>
            <w:instrText xml:space="preserve"> HYPERLINK \l "_Toc196124345" </w:instrText>
          </w:r>
          <w:r>
            <w:fldChar w:fldCharType="separate"/>
          </w:r>
          <w:r>
            <w:rPr>
              <w:rStyle w:val="41"/>
              <w:rFonts w:ascii="Times New Roman"/>
              <w:bCs/>
            </w:rPr>
            <w:t>4.8 浅层地震法</w:t>
          </w:r>
          <w:r>
            <w:rPr>
              <w:bCs/>
            </w:rPr>
            <w:tab/>
          </w:r>
          <w:r>
            <w:rPr>
              <w:bCs/>
            </w:rPr>
            <w:fldChar w:fldCharType="begin"/>
          </w:r>
          <w:r>
            <w:rPr>
              <w:bCs/>
            </w:rPr>
            <w:instrText xml:space="preserve"> PAGEREF _Toc196124345 \h </w:instrText>
          </w:r>
          <w:r>
            <w:rPr>
              <w:bCs/>
            </w:rPr>
            <w:fldChar w:fldCharType="separate"/>
          </w:r>
          <w:r>
            <w:rPr>
              <w:bCs/>
            </w:rPr>
            <w:t>11</w:t>
          </w:r>
          <w:r>
            <w:rPr>
              <w:bCs/>
            </w:rPr>
            <w:fldChar w:fldCharType="end"/>
          </w:r>
          <w:r>
            <w:rPr>
              <w:bCs/>
            </w:rPr>
            <w:fldChar w:fldCharType="end"/>
          </w:r>
        </w:p>
        <w:p w14:paraId="6F538F89">
          <w:pPr>
            <w:pStyle w:val="30"/>
            <w:ind w:firstLine="480"/>
            <w:rPr>
              <w:rFonts w:asciiTheme="minorHAnsi" w:hAnsiTheme="minorHAnsi" w:eastAsiaTheme="minorEastAsia" w:cstheme="minorBidi"/>
              <w:bCs/>
              <w:sz w:val="21"/>
              <w:szCs w:val="22"/>
            </w:rPr>
          </w:pPr>
          <w:r>
            <w:fldChar w:fldCharType="begin"/>
          </w:r>
          <w:r>
            <w:instrText xml:space="preserve"> HYPERLINK \l "_Toc196124346" </w:instrText>
          </w:r>
          <w:r>
            <w:fldChar w:fldCharType="separate"/>
          </w:r>
          <w:r>
            <w:rPr>
              <w:rStyle w:val="41"/>
              <w:rFonts w:ascii="Times New Roman"/>
              <w:bCs/>
            </w:rPr>
            <w:t>4.9 孔中检测法</w:t>
          </w:r>
          <w:r>
            <w:rPr>
              <w:bCs/>
            </w:rPr>
            <w:tab/>
          </w:r>
          <w:r>
            <w:rPr>
              <w:bCs/>
            </w:rPr>
            <w:fldChar w:fldCharType="begin"/>
          </w:r>
          <w:r>
            <w:rPr>
              <w:bCs/>
            </w:rPr>
            <w:instrText xml:space="preserve"> PAGEREF _Toc196124346 \h </w:instrText>
          </w:r>
          <w:r>
            <w:rPr>
              <w:bCs/>
            </w:rPr>
            <w:fldChar w:fldCharType="separate"/>
          </w:r>
          <w:r>
            <w:rPr>
              <w:bCs/>
            </w:rPr>
            <w:t>12</w:t>
          </w:r>
          <w:r>
            <w:rPr>
              <w:bCs/>
            </w:rPr>
            <w:fldChar w:fldCharType="end"/>
          </w:r>
          <w:r>
            <w:rPr>
              <w:bCs/>
            </w:rPr>
            <w:fldChar w:fldCharType="end"/>
          </w:r>
        </w:p>
        <w:p w14:paraId="4F545A44">
          <w:pPr>
            <w:pStyle w:val="25"/>
            <w:rPr>
              <w:rFonts w:asciiTheme="minorHAnsi" w:hAnsiTheme="minorHAnsi" w:eastAsiaTheme="minorEastAsia" w:cstheme="minorBidi"/>
              <w:sz w:val="21"/>
              <w:szCs w:val="22"/>
            </w:rPr>
          </w:pPr>
          <w:r>
            <w:fldChar w:fldCharType="begin"/>
          </w:r>
          <w:r>
            <w:instrText xml:space="preserve"> HYPERLINK \l "_Toc196124347" </w:instrText>
          </w:r>
          <w:r>
            <w:fldChar w:fldCharType="separate"/>
          </w:r>
          <w:r>
            <w:rPr>
              <w:rStyle w:val="41"/>
              <w:rFonts w:ascii="Times New Roman"/>
            </w:rPr>
            <w:t>5注浆帷幕质量检测</w:t>
          </w:r>
          <w:r>
            <w:tab/>
          </w:r>
          <w:r>
            <w:fldChar w:fldCharType="begin"/>
          </w:r>
          <w:r>
            <w:instrText xml:space="preserve"> PAGEREF _Toc196124347 \h </w:instrText>
          </w:r>
          <w:r>
            <w:fldChar w:fldCharType="separate"/>
          </w:r>
          <w:r>
            <w:t>13</w:t>
          </w:r>
          <w:r>
            <w:fldChar w:fldCharType="end"/>
          </w:r>
          <w:r>
            <w:fldChar w:fldCharType="end"/>
          </w:r>
        </w:p>
        <w:p w14:paraId="1C5A0425">
          <w:pPr>
            <w:pStyle w:val="30"/>
            <w:ind w:firstLine="480"/>
            <w:rPr>
              <w:rFonts w:asciiTheme="minorHAnsi" w:hAnsiTheme="minorHAnsi" w:eastAsiaTheme="minorEastAsia" w:cstheme="minorBidi"/>
              <w:bCs/>
              <w:sz w:val="21"/>
              <w:szCs w:val="22"/>
            </w:rPr>
          </w:pPr>
          <w:r>
            <w:fldChar w:fldCharType="begin"/>
          </w:r>
          <w:r>
            <w:instrText xml:space="preserve"> HYPERLINK \l "_Toc196124348" </w:instrText>
          </w:r>
          <w:r>
            <w:fldChar w:fldCharType="separate"/>
          </w:r>
          <w:r>
            <w:rPr>
              <w:rStyle w:val="41"/>
              <w:rFonts w:ascii="Times New Roman"/>
              <w:bCs/>
            </w:rPr>
            <w:t>5.1 一般规定</w:t>
          </w:r>
          <w:r>
            <w:rPr>
              <w:bCs/>
            </w:rPr>
            <w:tab/>
          </w:r>
          <w:r>
            <w:rPr>
              <w:bCs/>
            </w:rPr>
            <w:fldChar w:fldCharType="begin"/>
          </w:r>
          <w:r>
            <w:rPr>
              <w:bCs/>
            </w:rPr>
            <w:instrText xml:space="preserve"> PAGEREF _Toc196124348 \h </w:instrText>
          </w:r>
          <w:r>
            <w:rPr>
              <w:bCs/>
            </w:rPr>
            <w:fldChar w:fldCharType="separate"/>
          </w:r>
          <w:r>
            <w:rPr>
              <w:bCs/>
            </w:rPr>
            <w:t>13</w:t>
          </w:r>
          <w:r>
            <w:rPr>
              <w:bCs/>
            </w:rPr>
            <w:fldChar w:fldCharType="end"/>
          </w:r>
          <w:r>
            <w:rPr>
              <w:bCs/>
            </w:rPr>
            <w:fldChar w:fldCharType="end"/>
          </w:r>
        </w:p>
        <w:p w14:paraId="471DF4C9">
          <w:pPr>
            <w:pStyle w:val="30"/>
            <w:ind w:firstLine="480"/>
            <w:rPr>
              <w:rFonts w:asciiTheme="minorHAnsi" w:hAnsiTheme="minorHAnsi" w:eastAsiaTheme="minorEastAsia" w:cstheme="minorBidi"/>
              <w:bCs/>
              <w:sz w:val="21"/>
              <w:szCs w:val="22"/>
            </w:rPr>
          </w:pPr>
          <w:r>
            <w:fldChar w:fldCharType="begin"/>
          </w:r>
          <w:r>
            <w:instrText xml:space="preserve"> HYPERLINK \l "_Toc196124349" </w:instrText>
          </w:r>
          <w:r>
            <w:fldChar w:fldCharType="separate"/>
          </w:r>
          <w:r>
            <w:rPr>
              <w:rStyle w:val="41"/>
              <w:rFonts w:ascii="Times New Roman"/>
              <w:bCs/>
            </w:rPr>
            <w:t>5.2 完整性检测</w:t>
          </w:r>
          <w:r>
            <w:rPr>
              <w:bCs/>
            </w:rPr>
            <w:tab/>
          </w:r>
          <w:r>
            <w:rPr>
              <w:bCs/>
            </w:rPr>
            <w:fldChar w:fldCharType="begin"/>
          </w:r>
          <w:r>
            <w:rPr>
              <w:bCs/>
            </w:rPr>
            <w:instrText xml:space="preserve"> PAGEREF _Toc196124349 \h </w:instrText>
          </w:r>
          <w:r>
            <w:rPr>
              <w:bCs/>
            </w:rPr>
            <w:fldChar w:fldCharType="separate"/>
          </w:r>
          <w:r>
            <w:rPr>
              <w:bCs/>
            </w:rPr>
            <w:t>13</w:t>
          </w:r>
          <w:r>
            <w:rPr>
              <w:bCs/>
            </w:rPr>
            <w:fldChar w:fldCharType="end"/>
          </w:r>
          <w:r>
            <w:rPr>
              <w:bCs/>
            </w:rPr>
            <w:fldChar w:fldCharType="end"/>
          </w:r>
        </w:p>
        <w:p w14:paraId="62D42587">
          <w:pPr>
            <w:pStyle w:val="30"/>
            <w:ind w:firstLine="480"/>
            <w:rPr>
              <w:rFonts w:asciiTheme="minorHAnsi" w:hAnsiTheme="minorHAnsi" w:eastAsiaTheme="minorEastAsia" w:cstheme="minorBidi"/>
              <w:bCs/>
              <w:sz w:val="21"/>
              <w:szCs w:val="22"/>
            </w:rPr>
          </w:pPr>
          <w:r>
            <w:fldChar w:fldCharType="begin"/>
          </w:r>
          <w:r>
            <w:instrText xml:space="preserve"> HYPERLINK \l "_Toc196124350" </w:instrText>
          </w:r>
          <w:r>
            <w:fldChar w:fldCharType="separate"/>
          </w:r>
          <w:r>
            <w:rPr>
              <w:rStyle w:val="41"/>
              <w:rFonts w:ascii="Times New Roman"/>
              <w:bCs/>
            </w:rPr>
            <w:t>5.3 物理性质指标检测</w:t>
          </w:r>
          <w:r>
            <w:rPr>
              <w:bCs/>
            </w:rPr>
            <w:tab/>
          </w:r>
          <w:r>
            <w:rPr>
              <w:bCs/>
            </w:rPr>
            <w:fldChar w:fldCharType="begin"/>
          </w:r>
          <w:r>
            <w:rPr>
              <w:bCs/>
            </w:rPr>
            <w:instrText xml:space="preserve"> PAGEREF _Toc196124350 \h </w:instrText>
          </w:r>
          <w:r>
            <w:rPr>
              <w:bCs/>
            </w:rPr>
            <w:fldChar w:fldCharType="separate"/>
          </w:r>
          <w:r>
            <w:rPr>
              <w:bCs/>
            </w:rPr>
            <w:t>13</w:t>
          </w:r>
          <w:r>
            <w:rPr>
              <w:bCs/>
            </w:rPr>
            <w:fldChar w:fldCharType="end"/>
          </w:r>
          <w:r>
            <w:rPr>
              <w:bCs/>
            </w:rPr>
            <w:fldChar w:fldCharType="end"/>
          </w:r>
        </w:p>
        <w:p w14:paraId="32107496">
          <w:pPr>
            <w:pStyle w:val="30"/>
            <w:ind w:firstLine="480"/>
            <w:rPr>
              <w:rFonts w:asciiTheme="minorHAnsi" w:hAnsiTheme="minorHAnsi" w:eastAsiaTheme="minorEastAsia" w:cstheme="minorBidi"/>
              <w:bCs/>
              <w:sz w:val="21"/>
              <w:szCs w:val="22"/>
            </w:rPr>
          </w:pPr>
          <w:r>
            <w:fldChar w:fldCharType="begin"/>
          </w:r>
          <w:r>
            <w:instrText xml:space="preserve"> HYPERLINK \l "_Toc196124351" </w:instrText>
          </w:r>
          <w:r>
            <w:fldChar w:fldCharType="separate"/>
          </w:r>
          <w:r>
            <w:rPr>
              <w:rStyle w:val="41"/>
              <w:rFonts w:ascii="Times New Roman"/>
              <w:bCs/>
            </w:rPr>
            <w:t>5.4 检测结论</w:t>
          </w:r>
          <w:r>
            <w:rPr>
              <w:bCs/>
            </w:rPr>
            <w:tab/>
          </w:r>
          <w:r>
            <w:rPr>
              <w:bCs/>
            </w:rPr>
            <w:fldChar w:fldCharType="begin"/>
          </w:r>
          <w:r>
            <w:rPr>
              <w:bCs/>
            </w:rPr>
            <w:instrText xml:space="preserve"> PAGEREF _Toc196124351 \h </w:instrText>
          </w:r>
          <w:r>
            <w:rPr>
              <w:bCs/>
            </w:rPr>
            <w:fldChar w:fldCharType="separate"/>
          </w:r>
          <w:r>
            <w:rPr>
              <w:bCs/>
            </w:rPr>
            <w:t>14</w:t>
          </w:r>
          <w:r>
            <w:rPr>
              <w:bCs/>
            </w:rPr>
            <w:fldChar w:fldCharType="end"/>
          </w:r>
          <w:r>
            <w:rPr>
              <w:bCs/>
            </w:rPr>
            <w:fldChar w:fldCharType="end"/>
          </w:r>
        </w:p>
        <w:p w14:paraId="16F66BE7">
          <w:pPr>
            <w:pStyle w:val="25"/>
            <w:rPr>
              <w:rFonts w:asciiTheme="minorHAnsi" w:hAnsiTheme="minorHAnsi" w:eastAsiaTheme="minorEastAsia" w:cstheme="minorBidi"/>
              <w:sz w:val="21"/>
              <w:szCs w:val="22"/>
            </w:rPr>
          </w:pPr>
          <w:r>
            <w:fldChar w:fldCharType="begin"/>
          </w:r>
          <w:r>
            <w:instrText xml:space="preserve"> HYPERLINK \l "_Toc196124352" </w:instrText>
          </w:r>
          <w:r>
            <w:fldChar w:fldCharType="separate"/>
          </w:r>
          <w:r>
            <w:rPr>
              <w:rStyle w:val="41"/>
              <w:rFonts w:ascii="Times New Roman"/>
            </w:rPr>
            <w:t>6 单层垂直防渗墙质量检测</w:t>
          </w:r>
          <w:r>
            <w:tab/>
          </w:r>
          <w:r>
            <w:fldChar w:fldCharType="begin"/>
          </w:r>
          <w:r>
            <w:instrText xml:space="preserve"> PAGEREF _Toc196124352 \h </w:instrText>
          </w:r>
          <w:r>
            <w:fldChar w:fldCharType="separate"/>
          </w:r>
          <w:r>
            <w:t>15</w:t>
          </w:r>
          <w:r>
            <w:fldChar w:fldCharType="end"/>
          </w:r>
          <w:r>
            <w:fldChar w:fldCharType="end"/>
          </w:r>
        </w:p>
        <w:p w14:paraId="1D649386">
          <w:pPr>
            <w:pStyle w:val="30"/>
            <w:ind w:firstLine="480"/>
            <w:rPr>
              <w:rFonts w:asciiTheme="minorHAnsi" w:hAnsiTheme="minorHAnsi" w:eastAsiaTheme="minorEastAsia" w:cstheme="minorBidi"/>
              <w:bCs/>
              <w:sz w:val="21"/>
              <w:szCs w:val="22"/>
            </w:rPr>
          </w:pPr>
          <w:r>
            <w:fldChar w:fldCharType="begin"/>
          </w:r>
          <w:r>
            <w:instrText xml:space="preserve"> HYPERLINK \l "_Toc196124353" </w:instrText>
          </w:r>
          <w:r>
            <w:fldChar w:fldCharType="separate"/>
          </w:r>
          <w:r>
            <w:rPr>
              <w:rStyle w:val="41"/>
              <w:rFonts w:ascii="Times New Roman"/>
              <w:bCs/>
            </w:rPr>
            <w:t>6.1 一般规定</w:t>
          </w:r>
          <w:r>
            <w:rPr>
              <w:bCs/>
            </w:rPr>
            <w:tab/>
          </w:r>
          <w:r>
            <w:rPr>
              <w:bCs/>
            </w:rPr>
            <w:fldChar w:fldCharType="begin"/>
          </w:r>
          <w:r>
            <w:rPr>
              <w:bCs/>
            </w:rPr>
            <w:instrText xml:space="preserve"> PAGEREF _Toc196124353 \h </w:instrText>
          </w:r>
          <w:r>
            <w:rPr>
              <w:bCs/>
            </w:rPr>
            <w:fldChar w:fldCharType="separate"/>
          </w:r>
          <w:r>
            <w:rPr>
              <w:bCs/>
            </w:rPr>
            <w:t>15</w:t>
          </w:r>
          <w:r>
            <w:rPr>
              <w:bCs/>
            </w:rPr>
            <w:fldChar w:fldCharType="end"/>
          </w:r>
          <w:r>
            <w:rPr>
              <w:bCs/>
            </w:rPr>
            <w:fldChar w:fldCharType="end"/>
          </w:r>
        </w:p>
        <w:p w14:paraId="1B1DC1C6">
          <w:pPr>
            <w:pStyle w:val="30"/>
            <w:ind w:firstLine="480"/>
            <w:rPr>
              <w:rFonts w:asciiTheme="minorHAnsi" w:hAnsiTheme="minorHAnsi" w:eastAsiaTheme="minorEastAsia" w:cstheme="minorBidi"/>
              <w:bCs/>
              <w:sz w:val="21"/>
              <w:szCs w:val="22"/>
            </w:rPr>
          </w:pPr>
          <w:r>
            <w:fldChar w:fldCharType="begin"/>
          </w:r>
          <w:r>
            <w:instrText xml:space="preserve"> HYPERLINK \l "_Toc196124354" </w:instrText>
          </w:r>
          <w:r>
            <w:fldChar w:fldCharType="separate"/>
          </w:r>
          <w:r>
            <w:rPr>
              <w:rStyle w:val="41"/>
              <w:rFonts w:ascii="Times New Roman"/>
              <w:bCs/>
            </w:rPr>
            <w:t>6.2 墙体完整性检测</w:t>
          </w:r>
          <w:r>
            <w:rPr>
              <w:bCs/>
            </w:rPr>
            <w:tab/>
          </w:r>
          <w:r>
            <w:rPr>
              <w:bCs/>
            </w:rPr>
            <w:fldChar w:fldCharType="begin"/>
          </w:r>
          <w:r>
            <w:rPr>
              <w:bCs/>
            </w:rPr>
            <w:instrText xml:space="preserve"> PAGEREF _Toc196124354 \h </w:instrText>
          </w:r>
          <w:r>
            <w:rPr>
              <w:bCs/>
            </w:rPr>
            <w:fldChar w:fldCharType="separate"/>
          </w:r>
          <w:r>
            <w:rPr>
              <w:bCs/>
            </w:rPr>
            <w:t>15</w:t>
          </w:r>
          <w:r>
            <w:rPr>
              <w:bCs/>
            </w:rPr>
            <w:fldChar w:fldCharType="end"/>
          </w:r>
          <w:r>
            <w:rPr>
              <w:bCs/>
            </w:rPr>
            <w:fldChar w:fldCharType="end"/>
          </w:r>
        </w:p>
        <w:p w14:paraId="413EFB1A">
          <w:pPr>
            <w:pStyle w:val="30"/>
            <w:ind w:firstLine="480"/>
            <w:rPr>
              <w:rFonts w:asciiTheme="minorHAnsi" w:hAnsiTheme="minorHAnsi" w:eastAsiaTheme="minorEastAsia" w:cstheme="minorBidi"/>
              <w:bCs/>
              <w:sz w:val="21"/>
              <w:szCs w:val="22"/>
            </w:rPr>
          </w:pPr>
          <w:r>
            <w:fldChar w:fldCharType="begin"/>
          </w:r>
          <w:r>
            <w:instrText xml:space="preserve"> HYPERLINK \l "_Toc196124355" </w:instrText>
          </w:r>
          <w:r>
            <w:fldChar w:fldCharType="separate"/>
          </w:r>
          <w:r>
            <w:rPr>
              <w:rStyle w:val="41"/>
              <w:rFonts w:ascii="Times New Roman"/>
              <w:bCs/>
            </w:rPr>
            <w:t>6.3 物理性质指标检测</w:t>
          </w:r>
          <w:r>
            <w:rPr>
              <w:bCs/>
            </w:rPr>
            <w:tab/>
          </w:r>
          <w:r>
            <w:rPr>
              <w:bCs/>
            </w:rPr>
            <w:fldChar w:fldCharType="begin"/>
          </w:r>
          <w:r>
            <w:rPr>
              <w:bCs/>
            </w:rPr>
            <w:instrText xml:space="preserve"> PAGEREF _Toc196124355 \h </w:instrText>
          </w:r>
          <w:r>
            <w:rPr>
              <w:bCs/>
            </w:rPr>
            <w:fldChar w:fldCharType="separate"/>
          </w:r>
          <w:r>
            <w:rPr>
              <w:bCs/>
            </w:rPr>
            <w:t>15</w:t>
          </w:r>
          <w:r>
            <w:rPr>
              <w:bCs/>
            </w:rPr>
            <w:fldChar w:fldCharType="end"/>
          </w:r>
          <w:r>
            <w:rPr>
              <w:bCs/>
            </w:rPr>
            <w:fldChar w:fldCharType="end"/>
          </w:r>
        </w:p>
        <w:p w14:paraId="33B8B17D">
          <w:pPr>
            <w:pStyle w:val="30"/>
            <w:ind w:firstLine="480"/>
            <w:rPr>
              <w:rFonts w:asciiTheme="minorHAnsi" w:hAnsiTheme="minorHAnsi" w:eastAsiaTheme="minorEastAsia" w:cstheme="minorBidi"/>
              <w:bCs/>
              <w:sz w:val="21"/>
              <w:szCs w:val="22"/>
            </w:rPr>
          </w:pPr>
          <w:r>
            <w:fldChar w:fldCharType="begin"/>
          </w:r>
          <w:r>
            <w:instrText xml:space="preserve"> HYPERLINK \l "_Toc196124356" </w:instrText>
          </w:r>
          <w:r>
            <w:fldChar w:fldCharType="separate"/>
          </w:r>
          <w:r>
            <w:rPr>
              <w:rStyle w:val="41"/>
              <w:rFonts w:ascii="Times New Roman"/>
              <w:bCs/>
            </w:rPr>
            <w:t>6.4 检测结论</w:t>
          </w:r>
          <w:r>
            <w:rPr>
              <w:bCs/>
            </w:rPr>
            <w:tab/>
          </w:r>
          <w:r>
            <w:rPr>
              <w:bCs/>
            </w:rPr>
            <w:fldChar w:fldCharType="begin"/>
          </w:r>
          <w:r>
            <w:rPr>
              <w:bCs/>
            </w:rPr>
            <w:instrText xml:space="preserve"> PAGEREF _Toc196124356 \h </w:instrText>
          </w:r>
          <w:r>
            <w:rPr>
              <w:bCs/>
            </w:rPr>
            <w:fldChar w:fldCharType="separate"/>
          </w:r>
          <w:r>
            <w:rPr>
              <w:bCs/>
            </w:rPr>
            <w:t>15</w:t>
          </w:r>
          <w:r>
            <w:rPr>
              <w:bCs/>
            </w:rPr>
            <w:fldChar w:fldCharType="end"/>
          </w:r>
          <w:r>
            <w:rPr>
              <w:bCs/>
            </w:rPr>
            <w:fldChar w:fldCharType="end"/>
          </w:r>
        </w:p>
        <w:p w14:paraId="73425FB8">
          <w:pPr>
            <w:pStyle w:val="25"/>
            <w:ind w:firstLine="120" w:firstLineChars="50"/>
            <w:rPr>
              <w:rFonts w:asciiTheme="minorHAnsi" w:hAnsiTheme="minorHAnsi" w:eastAsiaTheme="minorEastAsia" w:cstheme="minorBidi"/>
              <w:sz w:val="21"/>
              <w:szCs w:val="22"/>
            </w:rPr>
          </w:pPr>
          <w:r>
            <w:fldChar w:fldCharType="begin"/>
          </w:r>
          <w:r>
            <w:instrText xml:space="preserve"> HYPERLINK \l "_Toc196124357" </w:instrText>
          </w:r>
          <w:r>
            <w:fldChar w:fldCharType="separate"/>
          </w:r>
          <w:r>
            <w:rPr>
              <w:rStyle w:val="41"/>
              <w:rFonts w:ascii="Times New Roman"/>
            </w:rPr>
            <w:t>7 复合垂直防渗墙质量检测</w:t>
          </w:r>
          <w:r>
            <w:tab/>
          </w:r>
          <w:r>
            <w:fldChar w:fldCharType="begin"/>
          </w:r>
          <w:r>
            <w:instrText xml:space="preserve"> PAGEREF _Toc196124357 \h </w:instrText>
          </w:r>
          <w:r>
            <w:fldChar w:fldCharType="separate"/>
          </w:r>
          <w:r>
            <w:t>17</w:t>
          </w:r>
          <w:r>
            <w:fldChar w:fldCharType="end"/>
          </w:r>
          <w:r>
            <w:fldChar w:fldCharType="end"/>
          </w:r>
        </w:p>
        <w:p w14:paraId="49179D21">
          <w:pPr>
            <w:pStyle w:val="30"/>
            <w:ind w:firstLine="480"/>
            <w:rPr>
              <w:rFonts w:asciiTheme="minorHAnsi" w:hAnsiTheme="minorHAnsi" w:eastAsiaTheme="minorEastAsia" w:cstheme="minorBidi"/>
              <w:bCs/>
              <w:sz w:val="21"/>
              <w:szCs w:val="22"/>
            </w:rPr>
          </w:pPr>
          <w:r>
            <w:fldChar w:fldCharType="begin"/>
          </w:r>
          <w:r>
            <w:instrText xml:space="preserve"> HYPERLINK \l "_Toc196124358" </w:instrText>
          </w:r>
          <w:r>
            <w:fldChar w:fldCharType="separate"/>
          </w:r>
          <w:r>
            <w:rPr>
              <w:rStyle w:val="41"/>
              <w:rFonts w:ascii="Times New Roman"/>
              <w:bCs/>
            </w:rPr>
            <w:t>7.1 一般规定</w:t>
          </w:r>
          <w:r>
            <w:rPr>
              <w:bCs/>
            </w:rPr>
            <w:tab/>
          </w:r>
          <w:r>
            <w:rPr>
              <w:bCs/>
            </w:rPr>
            <w:fldChar w:fldCharType="begin"/>
          </w:r>
          <w:r>
            <w:rPr>
              <w:bCs/>
            </w:rPr>
            <w:instrText xml:space="preserve"> PAGEREF _Toc196124358 \h </w:instrText>
          </w:r>
          <w:r>
            <w:rPr>
              <w:bCs/>
            </w:rPr>
            <w:fldChar w:fldCharType="separate"/>
          </w:r>
          <w:r>
            <w:rPr>
              <w:bCs/>
            </w:rPr>
            <w:t>17</w:t>
          </w:r>
          <w:r>
            <w:rPr>
              <w:bCs/>
            </w:rPr>
            <w:fldChar w:fldCharType="end"/>
          </w:r>
          <w:r>
            <w:rPr>
              <w:bCs/>
            </w:rPr>
            <w:fldChar w:fldCharType="end"/>
          </w:r>
        </w:p>
        <w:p w14:paraId="14E8CEFE">
          <w:pPr>
            <w:pStyle w:val="30"/>
            <w:ind w:firstLine="480"/>
            <w:rPr>
              <w:rFonts w:asciiTheme="minorHAnsi" w:hAnsiTheme="minorHAnsi" w:eastAsiaTheme="minorEastAsia" w:cstheme="minorBidi"/>
              <w:bCs/>
              <w:sz w:val="21"/>
              <w:szCs w:val="22"/>
            </w:rPr>
          </w:pPr>
          <w:r>
            <w:fldChar w:fldCharType="begin"/>
          </w:r>
          <w:r>
            <w:instrText xml:space="preserve"> HYPERLINK \l "_Toc196124359" </w:instrText>
          </w:r>
          <w:r>
            <w:fldChar w:fldCharType="separate"/>
          </w:r>
          <w:r>
            <w:rPr>
              <w:rStyle w:val="41"/>
              <w:rFonts w:ascii="Times New Roman"/>
              <w:bCs/>
            </w:rPr>
            <w:t>7.2 墙体完整性检测</w:t>
          </w:r>
          <w:r>
            <w:rPr>
              <w:bCs/>
            </w:rPr>
            <w:tab/>
          </w:r>
          <w:r>
            <w:rPr>
              <w:bCs/>
            </w:rPr>
            <w:fldChar w:fldCharType="begin"/>
          </w:r>
          <w:r>
            <w:rPr>
              <w:bCs/>
            </w:rPr>
            <w:instrText xml:space="preserve"> PAGEREF _Toc196124359 \h </w:instrText>
          </w:r>
          <w:r>
            <w:rPr>
              <w:bCs/>
            </w:rPr>
            <w:fldChar w:fldCharType="separate"/>
          </w:r>
          <w:r>
            <w:rPr>
              <w:bCs/>
            </w:rPr>
            <w:t>17</w:t>
          </w:r>
          <w:r>
            <w:rPr>
              <w:bCs/>
            </w:rPr>
            <w:fldChar w:fldCharType="end"/>
          </w:r>
          <w:r>
            <w:rPr>
              <w:bCs/>
            </w:rPr>
            <w:fldChar w:fldCharType="end"/>
          </w:r>
        </w:p>
        <w:p w14:paraId="04036916">
          <w:pPr>
            <w:pStyle w:val="30"/>
            <w:ind w:firstLine="480"/>
            <w:rPr>
              <w:rFonts w:asciiTheme="minorHAnsi" w:hAnsiTheme="minorHAnsi" w:eastAsiaTheme="minorEastAsia" w:cstheme="minorBidi"/>
              <w:bCs/>
              <w:sz w:val="21"/>
              <w:szCs w:val="22"/>
            </w:rPr>
          </w:pPr>
          <w:r>
            <w:fldChar w:fldCharType="begin"/>
          </w:r>
          <w:r>
            <w:instrText xml:space="preserve"> HYPERLINK \l "_Toc196124360" </w:instrText>
          </w:r>
          <w:r>
            <w:fldChar w:fldCharType="separate"/>
          </w:r>
          <w:r>
            <w:rPr>
              <w:rStyle w:val="41"/>
              <w:rFonts w:ascii="Times New Roman"/>
              <w:bCs/>
            </w:rPr>
            <w:t>7.3 物理性质指标检测</w:t>
          </w:r>
          <w:r>
            <w:rPr>
              <w:bCs/>
            </w:rPr>
            <w:tab/>
          </w:r>
          <w:r>
            <w:rPr>
              <w:bCs/>
            </w:rPr>
            <w:fldChar w:fldCharType="begin"/>
          </w:r>
          <w:r>
            <w:rPr>
              <w:bCs/>
            </w:rPr>
            <w:instrText xml:space="preserve"> PAGEREF _Toc196124360 \h </w:instrText>
          </w:r>
          <w:r>
            <w:rPr>
              <w:bCs/>
            </w:rPr>
            <w:fldChar w:fldCharType="separate"/>
          </w:r>
          <w:r>
            <w:rPr>
              <w:bCs/>
            </w:rPr>
            <w:t>17</w:t>
          </w:r>
          <w:r>
            <w:rPr>
              <w:bCs/>
            </w:rPr>
            <w:fldChar w:fldCharType="end"/>
          </w:r>
          <w:r>
            <w:rPr>
              <w:bCs/>
            </w:rPr>
            <w:fldChar w:fldCharType="end"/>
          </w:r>
        </w:p>
        <w:p w14:paraId="7AE22264">
          <w:pPr>
            <w:pStyle w:val="30"/>
            <w:ind w:firstLine="480"/>
            <w:rPr>
              <w:rFonts w:asciiTheme="minorHAnsi" w:hAnsiTheme="minorHAnsi" w:eastAsiaTheme="minorEastAsia" w:cstheme="minorBidi"/>
              <w:bCs/>
              <w:sz w:val="21"/>
              <w:szCs w:val="22"/>
            </w:rPr>
          </w:pPr>
          <w:r>
            <w:fldChar w:fldCharType="begin"/>
          </w:r>
          <w:r>
            <w:instrText xml:space="preserve"> HYPERLINK \l "_Toc196124361" </w:instrText>
          </w:r>
          <w:r>
            <w:fldChar w:fldCharType="separate"/>
          </w:r>
          <w:r>
            <w:rPr>
              <w:rStyle w:val="41"/>
              <w:rFonts w:ascii="Times New Roman"/>
              <w:bCs/>
            </w:rPr>
            <w:t>7.4 检测结论</w:t>
          </w:r>
          <w:r>
            <w:rPr>
              <w:bCs/>
            </w:rPr>
            <w:tab/>
          </w:r>
          <w:r>
            <w:rPr>
              <w:bCs/>
            </w:rPr>
            <w:fldChar w:fldCharType="begin"/>
          </w:r>
          <w:r>
            <w:rPr>
              <w:bCs/>
            </w:rPr>
            <w:instrText xml:space="preserve"> PAGEREF _Toc196124361 \h </w:instrText>
          </w:r>
          <w:r>
            <w:rPr>
              <w:bCs/>
            </w:rPr>
            <w:fldChar w:fldCharType="separate"/>
          </w:r>
          <w:r>
            <w:rPr>
              <w:bCs/>
            </w:rPr>
            <w:t>18</w:t>
          </w:r>
          <w:r>
            <w:rPr>
              <w:bCs/>
            </w:rPr>
            <w:fldChar w:fldCharType="end"/>
          </w:r>
          <w:r>
            <w:rPr>
              <w:bCs/>
            </w:rPr>
            <w:fldChar w:fldCharType="end"/>
          </w:r>
        </w:p>
        <w:p w14:paraId="7CA0A294">
          <w:pPr>
            <w:pStyle w:val="25"/>
            <w:rPr>
              <w:rFonts w:asciiTheme="minorHAnsi" w:hAnsiTheme="minorHAnsi" w:eastAsiaTheme="minorEastAsia" w:cstheme="minorBidi"/>
              <w:sz w:val="21"/>
              <w:szCs w:val="22"/>
            </w:rPr>
          </w:pPr>
          <w:r>
            <w:fldChar w:fldCharType="begin"/>
          </w:r>
          <w:r>
            <w:instrText xml:space="preserve"> HYPERLINK \l "_Toc196124362" </w:instrText>
          </w:r>
          <w:r>
            <w:fldChar w:fldCharType="separate"/>
          </w:r>
          <w:r>
            <w:rPr>
              <w:rStyle w:val="41"/>
              <w:rFonts w:ascii="Times New Roman"/>
            </w:rPr>
            <w:t>附录A 垂直防渗墙分类表</w:t>
          </w:r>
          <w:r>
            <w:tab/>
          </w:r>
          <w:r>
            <w:fldChar w:fldCharType="begin"/>
          </w:r>
          <w:r>
            <w:instrText xml:space="preserve"> PAGEREF _Toc196124362 \h </w:instrText>
          </w:r>
          <w:r>
            <w:fldChar w:fldCharType="separate"/>
          </w:r>
          <w:r>
            <w:t>19</w:t>
          </w:r>
          <w:r>
            <w:fldChar w:fldCharType="end"/>
          </w:r>
          <w:r>
            <w:fldChar w:fldCharType="end"/>
          </w:r>
        </w:p>
        <w:p w14:paraId="023CB5B7">
          <w:pPr>
            <w:pStyle w:val="25"/>
            <w:rPr>
              <w:rFonts w:asciiTheme="minorHAnsi" w:hAnsiTheme="minorHAnsi" w:eastAsiaTheme="minorEastAsia" w:cstheme="minorBidi"/>
              <w:sz w:val="21"/>
              <w:szCs w:val="22"/>
            </w:rPr>
          </w:pPr>
          <w:r>
            <w:fldChar w:fldCharType="begin"/>
          </w:r>
          <w:r>
            <w:instrText xml:space="preserve"> HYPERLINK \l "_Toc196124363" </w:instrText>
          </w:r>
          <w:r>
            <w:fldChar w:fldCharType="separate"/>
          </w:r>
          <w:r>
            <w:rPr>
              <w:rStyle w:val="41"/>
              <w:rFonts w:ascii="Times New Roman"/>
            </w:rPr>
            <w:t>附录B 地球物理检测技术方法表</w:t>
          </w:r>
          <w:r>
            <w:tab/>
          </w:r>
          <w:r>
            <w:fldChar w:fldCharType="begin"/>
          </w:r>
          <w:r>
            <w:instrText xml:space="preserve"> PAGEREF _Toc196124363 \h </w:instrText>
          </w:r>
          <w:r>
            <w:fldChar w:fldCharType="separate"/>
          </w:r>
          <w:r>
            <w:t>20</w:t>
          </w:r>
          <w:r>
            <w:fldChar w:fldCharType="end"/>
          </w:r>
          <w:r>
            <w:fldChar w:fldCharType="end"/>
          </w:r>
        </w:p>
        <w:p w14:paraId="4931B101">
          <w:pPr>
            <w:pStyle w:val="25"/>
            <w:rPr>
              <w:rFonts w:asciiTheme="minorHAnsi" w:hAnsiTheme="minorHAnsi" w:eastAsiaTheme="minorEastAsia" w:cstheme="minorBidi"/>
              <w:sz w:val="21"/>
              <w:szCs w:val="22"/>
            </w:rPr>
          </w:pPr>
          <w:r>
            <w:fldChar w:fldCharType="begin"/>
          </w:r>
          <w:r>
            <w:instrText xml:space="preserve"> HYPERLINK \l "_Toc196124364" </w:instrText>
          </w:r>
          <w:r>
            <w:fldChar w:fldCharType="separate"/>
          </w:r>
          <w:r>
            <w:rPr>
              <w:rStyle w:val="41"/>
              <w:rFonts w:ascii="Times New Roman"/>
            </w:rPr>
            <w:t>本标准用词说明</w:t>
          </w:r>
          <w:r>
            <w:tab/>
          </w:r>
          <w:r>
            <w:fldChar w:fldCharType="begin"/>
          </w:r>
          <w:r>
            <w:instrText xml:space="preserve"> PAGEREF _Toc196124364 \h </w:instrText>
          </w:r>
          <w:r>
            <w:fldChar w:fldCharType="separate"/>
          </w:r>
          <w:r>
            <w:t>25</w:t>
          </w:r>
          <w:r>
            <w:fldChar w:fldCharType="end"/>
          </w:r>
          <w:r>
            <w:fldChar w:fldCharType="end"/>
          </w:r>
        </w:p>
        <w:p w14:paraId="53F9D36E">
          <w:pPr>
            <w:pStyle w:val="25"/>
            <w:rPr>
              <w:rFonts w:asciiTheme="minorHAnsi" w:hAnsiTheme="minorHAnsi" w:eastAsiaTheme="minorEastAsia" w:cstheme="minorBidi"/>
              <w:sz w:val="21"/>
              <w:szCs w:val="22"/>
            </w:rPr>
          </w:pPr>
          <w:r>
            <w:fldChar w:fldCharType="begin"/>
          </w:r>
          <w:r>
            <w:instrText xml:space="preserve"> HYPERLINK \l "_Toc196124365" </w:instrText>
          </w:r>
          <w:r>
            <w:fldChar w:fldCharType="separate"/>
          </w:r>
          <w:r>
            <w:rPr>
              <w:rStyle w:val="41"/>
              <w:rFonts w:ascii="Times New Roman"/>
            </w:rPr>
            <w:t>引用标准名录</w:t>
          </w:r>
          <w:r>
            <w:tab/>
          </w:r>
          <w:r>
            <w:fldChar w:fldCharType="begin"/>
          </w:r>
          <w:r>
            <w:instrText xml:space="preserve"> PAGEREF _Toc196124365 \h </w:instrText>
          </w:r>
          <w:r>
            <w:fldChar w:fldCharType="separate"/>
          </w:r>
          <w:r>
            <w:t>26</w:t>
          </w:r>
          <w:r>
            <w:fldChar w:fldCharType="end"/>
          </w:r>
          <w:r>
            <w:fldChar w:fldCharType="end"/>
          </w:r>
        </w:p>
        <w:p w14:paraId="168CB12E">
          <w:pPr>
            <w:pStyle w:val="25"/>
            <w:rPr>
              <w:rFonts w:asciiTheme="minorHAnsi" w:hAnsiTheme="minorHAnsi" w:eastAsiaTheme="minorEastAsia" w:cstheme="minorBidi"/>
              <w:sz w:val="21"/>
              <w:szCs w:val="22"/>
            </w:rPr>
          </w:pPr>
          <w:r>
            <w:fldChar w:fldCharType="begin"/>
          </w:r>
          <w:r>
            <w:instrText xml:space="preserve"> HYPERLINK \l "_Toc196124366" </w:instrText>
          </w:r>
          <w:r>
            <w:fldChar w:fldCharType="separate"/>
          </w:r>
          <w:r>
            <w:rPr>
              <w:rStyle w:val="41"/>
              <w:rFonts w:ascii="Times New Roman"/>
            </w:rPr>
            <w:t>条文说明</w:t>
          </w:r>
          <w:r>
            <w:tab/>
          </w:r>
          <w:r>
            <w:fldChar w:fldCharType="begin"/>
          </w:r>
          <w:r>
            <w:instrText xml:space="preserve"> PAGEREF _Toc196124366 \h </w:instrText>
          </w:r>
          <w:r>
            <w:fldChar w:fldCharType="separate"/>
          </w:r>
          <w:r>
            <w:t>27</w:t>
          </w:r>
          <w:r>
            <w:fldChar w:fldCharType="end"/>
          </w:r>
          <w:r>
            <w:fldChar w:fldCharType="end"/>
          </w:r>
        </w:p>
        <w:p w14:paraId="353FE172">
          <w:pPr>
            <w:spacing w:line="360" w:lineRule="auto"/>
          </w:pPr>
          <w:r>
            <w:rPr>
              <w:rFonts w:ascii="Times New Roman" w:hAnsi="Times New Roman"/>
              <w:bCs/>
              <w:sz w:val="24"/>
              <w:szCs w:val="24"/>
            </w:rPr>
            <w:fldChar w:fldCharType="end"/>
          </w:r>
        </w:p>
      </w:sdtContent>
    </w:sdt>
    <w:p w14:paraId="6C28C1DE">
      <w:pPr>
        <w:pStyle w:val="106"/>
        <w:spacing w:after="468"/>
        <w:rPr>
          <w:rFonts w:ascii="Times New Roman" w:hAnsi="Times New Roman"/>
        </w:rPr>
      </w:pPr>
    </w:p>
    <w:p w14:paraId="072A4D2F">
      <w:pPr>
        <w:pStyle w:val="106"/>
        <w:spacing w:after="468"/>
        <w:rPr>
          <w:rFonts w:ascii="Times New Roman" w:hAnsi="Times New Roman"/>
        </w:rPr>
        <w:sectPr>
          <w:footerReference r:id="rId6" w:type="default"/>
          <w:pgSz w:w="11906" w:h="16838"/>
          <w:pgMar w:top="1440" w:right="1797" w:bottom="1440" w:left="1797" w:header="1418" w:footer="1134" w:gutter="0"/>
          <w:pgNumType w:fmt="upperRoman" w:start="1"/>
          <w:cols w:space="425" w:num="1"/>
          <w:formProt w:val="0"/>
          <w:docGrid w:type="lines" w:linePitch="312" w:charSpace="0"/>
        </w:sectPr>
      </w:pPr>
    </w:p>
    <w:bookmarkEnd w:id="0"/>
    <w:bookmarkEnd w:id="1"/>
    <w:bookmarkEnd w:id="2"/>
    <w:bookmarkEnd w:id="3"/>
    <w:bookmarkEnd w:id="4"/>
    <w:p w14:paraId="58162E09">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8" w:name="_Toc192078848"/>
      <w:bookmarkStart w:id="9" w:name="_Toc193447670"/>
      <w:bookmarkStart w:id="10" w:name="_Toc193447514"/>
      <w:bookmarkStart w:id="11" w:name="_Toc171414095"/>
      <w:bookmarkStart w:id="12" w:name="_Toc196124331"/>
      <w:bookmarkStart w:id="13" w:name="_Toc181955252"/>
      <w:bookmarkStart w:id="14" w:name="_Toc193447520"/>
      <w:bookmarkStart w:id="15" w:name="_Toc181955253"/>
      <w:bookmarkStart w:id="16" w:name="_Toc192078849"/>
      <w:bookmarkStart w:id="17" w:name="_Toc193447671"/>
      <w:bookmarkStart w:id="18" w:name="BookMark4"/>
      <w:r>
        <w:rPr>
          <w:rFonts w:ascii="Times New Roman" w:hAnsi="Times New Roman"/>
          <w:b/>
          <w:sz w:val="36"/>
          <w:szCs w:val="36"/>
        </w:rPr>
        <w:t>1总 则</w:t>
      </w:r>
      <w:bookmarkEnd w:id="8"/>
      <w:bookmarkEnd w:id="9"/>
      <w:bookmarkEnd w:id="10"/>
      <w:bookmarkEnd w:id="11"/>
      <w:bookmarkEnd w:id="12"/>
      <w:bookmarkEnd w:id="13"/>
    </w:p>
    <w:p w14:paraId="661889D5">
      <w:pPr>
        <w:pStyle w:val="166"/>
        <w:spacing w:before="0" w:after="0" w:line="360" w:lineRule="auto"/>
        <w:jc w:val="both"/>
        <w:outlineLvl w:val="9"/>
        <w:rPr>
          <w:rFonts w:ascii="Times New Roman" w:eastAsia="宋体"/>
          <w:kern w:val="2"/>
          <w:sz w:val="24"/>
          <w:szCs w:val="24"/>
        </w:rPr>
      </w:pPr>
      <w:bookmarkStart w:id="19" w:name="_Toc193447515"/>
      <w:bookmarkStart w:id="20" w:name="_Toc195717727"/>
      <w:r>
        <w:rPr>
          <w:rFonts w:ascii="Times New Roman" w:eastAsia="宋体"/>
          <w:b/>
          <w:bCs/>
          <w:kern w:val="2"/>
          <w:sz w:val="24"/>
          <w:szCs w:val="24"/>
        </w:rPr>
        <w:t>1.0.1</w:t>
      </w:r>
      <w:r>
        <w:rPr>
          <w:rFonts w:ascii="Times New Roman" w:eastAsia="宋体"/>
          <w:kern w:val="2"/>
          <w:sz w:val="24"/>
          <w:szCs w:val="24"/>
        </w:rPr>
        <w:t xml:space="preserve"> 为保障生活垃圾填埋场垂直防渗墙工程质量，</w:t>
      </w:r>
      <w:r>
        <w:rPr>
          <w:rFonts w:hint="eastAsia" w:ascii="Times New Roman" w:eastAsia="宋体"/>
          <w:kern w:val="2"/>
          <w:sz w:val="24"/>
          <w:szCs w:val="24"/>
        </w:rPr>
        <w:t>规范</w:t>
      </w:r>
      <w:r>
        <w:rPr>
          <w:rFonts w:ascii="Times New Roman" w:eastAsia="宋体"/>
          <w:kern w:val="2"/>
          <w:sz w:val="24"/>
          <w:szCs w:val="24"/>
        </w:rPr>
        <w:t>垂直防渗墙检测方法，为设计和质量验收提供可靠依据，制定本规程。</w:t>
      </w:r>
      <w:bookmarkEnd w:id="19"/>
      <w:bookmarkEnd w:id="20"/>
    </w:p>
    <w:p w14:paraId="60BC05E2">
      <w:pPr>
        <w:pStyle w:val="166"/>
        <w:spacing w:before="0" w:after="0" w:line="360" w:lineRule="auto"/>
        <w:jc w:val="both"/>
        <w:outlineLvl w:val="9"/>
        <w:rPr>
          <w:rFonts w:ascii="Times New Roman" w:eastAsia="宋体"/>
          <w:kern w:val="2"/>
          <w:sz w:val="24"/>
          <w:szCs w:val="24"/>
        </w:rPr>
      </w:pPr>
      <w:bookmarkStart w:id="21" w:name="_Toc195717728"/>
      <w:bookmarkStart w:id="22" w:name="_Toc193447516"/>
      <w:r>
        <w:rPr>
          <w:rFonts w:ascii="Times New Roman" w:eastAsia="宋体"/>
          <w:b/>
          <w:bCs/>
          <w:kern w:val="2"/>
          <w:sz w:val="24"/>
          <w:szCs w:val="24"/>
        </w:rPr>
        <w:t>1.0.2</w:t>
      </w:r>
      <w:r>
        <w:rPr>
          <w:rFonts w:ascii="Times New Roman" w:eastAsia="宋体"/>
          <w:kern w:val="2"/>
          <w:sz w:val="24"/>
          <w:szCs w:val="24"/>
        </w:rPr>
        <w:t xml:space="preserve"> 本规程适用于生活垃圾</w:t>
      </w:r>
      <w:r>
        <w:rPr>
          <w:rFonts w:hint="eastAsia" w:ascii="Times New Roman" w:eastAsia="宋体"/>
          <w:kern w:val="2"/>
          <w:sz w:val="24"/>
          <w:szCs w:val="24"/>
        </w:rPr>
        <w:t>填埋场</w:t>
      </w:r>
      <w:r>
        <w:rPr>
          <w:rFonts w:ascii="Times New Roman" w:eastAsia="宋体"/>
          <w:kern w:val="2"/>
          <w:sz w:val="24"/>
          <w:szCs w:val="24"/>
        </w:rPr>
        <w:t>垂直防渗墙的完整性和防渗性能</w:t>
      </w:r>
      <w:r>
        <w:rPr>
          <w:rFonts w:hint="eastAsia" w:ascii="Times New Roman" w:eastAsia="宋体"/>
          <w:kern w:val="2"/>
          <w:sz w:val="24"/>
          <w:szCs w:val="24"/>
        </w:rPr>
        <w:t>检测</w:t>
      </w:r>
      <w:r>
        <w:rPr>
          <w:rFonts w:ascii="Times New Roman" w:eastAsia="宋体"/>
          <w:kern w:val="2"/>
          <w:sz w:val="24"/>
          <w:szCs w:val="24"/>
        </w:rPr>
        <w:t>。</w:t>
      </w:r>
      <w:bookmarkEnd w:id="21"/>
      <w:bookmarkEnd w:id="22"/>
    </w:p>
    <w:p w14:paraId="2E0D8B46">
      <w:pPr>
        <w:pStyle w:val="166"/>
        <w:spacing w:before="0" w:after="0" w:line="360" w:lineRule="auto"/>
        <w:jc w:val="both"/>
        <w:outlineLvl w:val="9"/>
        <w:rPr>
          <w:rFonts w:ascii="Times New Roman" w:eastAsia="宋体"/>
          <w:kern w:val="2"/>
          <w:sz w:val="24"/>
          <w:szCs w:val="24"/>
        </w:rPr>
      </w:pPr>
      <w:bookmarkStart w:id="23" w:name="_Toc193447517"/>
      <w:bookmarkStart w:id="24" w:name="_Toc195717729"/>
      <w:r>
        <w:rPr>
          <w:rFonts w:ascii="Times New Roman" w:eastAsia="宋体"/>
          <w:b/>
          <w:bCs/>
          <w:kern w:val="2"/>
          <w:sz w:val="24"/>
          <w:szCs w:val="24"/>
        </w:rPr>
        <w:t>1.0.3</w:t>
      </w:r>
      <w:r>
        <w:rPr>
          <w:rFonts w:ascii="Times New Roman" w:eastAsia="宋体"/>
          <w:kern w:val="2"/>
          <w:sz w:val="24"/>
          <w:szCs w:val="24"/>
        </w:rPr>
        <w:t xml:space="preserve"> </w:t>
      </w:r>
      <w:r>
        <w:rPr>
          <w:rFonts w:ascii="Times New Roman" w:eastAsia="宋体"/>
          <w:sz w:val="24"/>
          <w:szCs w:val="24"/>
        </w:rPr>
        <w:t>垂直防渗墙检测应根据检测目的、工程环境、检测方法适用性、设计要求、施工工艺等，合理选择检测方法</w:t>
      </w:r>
      <w:bookmarkEnd w:id="23"/>
      <w:bookmarkEnd w:id="24"/>
      <w:r>
        <w:rPr>
          <w:rFonts w:ascii="Times New Roman" w:eastAsia="宋体"/>
          <w:sz w:val="24"/>
          <w:szCs w:val="24"/>
        </w:rPr>
        <w:t>。</w:t>
      </w:r>
    </w:p>
    <w:p w14:paraId="5A6128C7">
      <w:pPr>
        <w:pStyle w:val="166"/>
        <w:spacing w:before="0" w:after="0" w:line="360" w:lineRule="auto"/>
        <w:jc w:val="both"/>
        <w:outlineLvl w:val="9"/>
        <w:rPr>
          <w:rFonts w:ascii="Times New Roman" w:eastAsia="宋体"/>
          <w:kern w:val="2"/>
          <w:sz w:val="24"/>
          <w:szCs w:val="24"/>
        </w:rPr>
      </w:pPr>
      <w:bookmarkStart w:id="25" w:name="_Toc193447519"/>
      <w:bookmarkStart w:id="26" w:name="_Toc195717730"/>
      <w:r>
        <w:rPr>
          <w:rFonts w:ascii="Times New Roman" w:eastAsia="宋体"/>
          <w:b/>
          <w:bCs/>
          <w:kern w:val="2"/>
          <w:sz w:val="24"/>
          <w:szCs w:val="24"/>
        </w:rPr>
        <w:t xml:space="preserve">1.0.4 </w:t>
      </w:r>
      <w:r>
        <w:rPr>
          <w:rFonts w:ascii="Times New Roman" w:eastAsia="宋体"/>
          <w:kern w:val="2"/>
          <w:sz w:val="24"/>
          <w:szCs w:val="24"/>
        </w:rPr>
        <w:t>垂直防渗墙检测除应符合本规程外，尚应符合国家现行有关标准的规定。</w:t>
      </w:r>
      <w:bookmarkEnd w:id="25"/>
      <w:bookmarkEnd w:id="26"/>
    </w:p>
    <w:p w14:paraId="1BB45C67">
      <w:pPr>
        <w:pStyle w:val="118"/>
        <w:spacing w:before="312" w:after="312"/>
        <w:rPr>
          <w:rFonts w:ascii="Times New Roman"/>
        </w:rPr>
        <w:sectPr>
          <w:headerReference r:id="rId7" w:type="default"/>
          <w:footerReference r:id="rId9" w:type="default"/>
          <w:headerReference r:id="rId8" w:type="even"/>
          <w:footerReference r:id="rId10" w:type="even"/>
          <w:pgSz w:w="11906" w:h="16838"/>
          <w:pgMar w:top="1440" w:right="1797" w:bottom="1440" w:left="1797" w:header="1418" w:footer="1134" w:gutter="0"/>
          <w:pgNumType w:start="1"/>
          <w:cols w:space="425" w:num="1"/>
          <w:formProt w:val="0"/>
          <w:docGrid w:type="lines" w:linePitch="312" w:charSpace="0"/>
        </w:sectPr>
      </w:pPr>
    </w:p>
    <w:p w14:paraId="38B3BD3F">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27" w:name="_Toc196124332"/>
      <w:r>
        <w:rPr>
          <w:rFonts w:ascii="Times New Roman" w:hAnsi="Times New Roman"/>
          <w:b/>
          <w:sz w:val="36"/>
          <w:szCs w:val="36"/>
        </w:rPr>
        <w:t>2术 语</w:t>
      </w:r>
      <w:bookmarkEnd w:id="27"/>
    </w:p>
    <w:bookmarkEnd w:id="14"/>
    <w:bookmarkEnd w:id="15"/>
    <w:bookmarkEnd w:id="16"/>
    <w:bookmarkEnd w:id="17"/>
    <w:p w14:paraId="59321A37">
      <w:pPr>
        <w:pStyle w:val="166"/>
        <w:spacing w:before="0" w:after="0" w:line="360" w:lineRule="auto"/>
        <w:jc w:val="both"/>
        <w:outlineLvl w:val="9"/>
        <w:rPr>
          <w:rFonts w:ascii="Times New Roman" w:eastAsia="宋体"/>
          <w:kern w:val="2"/>
          <w:sz w:val="24"/>
          <w:szCs w:val="24"/>
        </w:rPr>
      </w:pPr>
      <w:bookmarkStart w:id="28" w:name="_Toc195717731"/>
      <w:r>
        <w:rPr>
          <w:rFonts w:ascii="Times New Roman" w:eastAsia="宋体"/>
          <w:b/>
          <w:bCs/>
          <w:kern w:val="2"/>
          <w:sz w:val="24"/>
          <w:szCs w:val="24"/>
        </w:rPr>
        <w:t>2.0.1</w:t>
      </w:r>
      <w:r>
        <w:rPr>
          <w:rFonts w:ascii="Times New Roman" w:eastAsia="宋体"/>
          <w:kern w:val="2"/>
          <w:sz w:val="24"/>
          <w:szCs w:val="24"/>
        </w:rPr>
        <w:t xml:space="preserve"> 垂直防渗墙  vertical barriers</w:t>
      </w:r>
      <w:bookmarkEnd w:id="28"/>
      <w:r>
        <w:rPr>
          <w:rFonts w:ascii="Times New Roman" w:eastAsia="宋体"/>
          <w:kern w:val="2"/>
          <w:sz w:val="24"/>
          <w:szCs w:val="24"/>
        </w:rPr>
        <w:t xml:space="preserve"> </w:t>
      </w:r>
    </w:p>
    <w:p w14:paraId="29A5913F">
      <w:pPr>
        <w:pStyle w:val="166"/>
        <w:spacing w:before="0" w:after="0" w:line="360" w:lineRule="auto"/>
        <w:ind w:firstLine="360" w:firstLineChars="150"/>
        <w:jc w:val="both"/>
        <w:outlineLvl w:val="9"/>
        <w:rPr>
          <w:rFonts w:ascii="Times New Roman" w:eastAsia="宋体"/>
          <w:kern w:val="2"/>
          <w:sz w:val="24"/>
          <w:szCs w:val="24"/>
        </w:rPr>
      </w:pPr>
      <w:bookmarkStart w:id="29" w:name="_Toc195717732"/>
      <w:r>
        <w:rPr>
          <w:rFonts w:ascii="Times New Roman" w:eastAsia="宋体"/>
          <w:kern w:val="2"/>
          <w:sz w:val="24"/>
          <w:szCs w:val="24"/>
        </w:rPr>
        <w:t>利用防渗材料在</w:t>
      </w:r>
      <w:r>
        <w:rPr>
          <w:rFonts w:hint="eastAsia" w:ascii="Times New Roman" w:eastAsia="宋体"/>
          <w:kern w:val="2"/>
          <w:sz w:val="24"/>
          <w:szCs w:val="24"/>
        </w:rPr>
        <w:t>生活垃圾</w:t>
      </w:r>
      <w:r>
        <w:rPr>
          <w:rFonts w:ascii="Times New Roman" w:eastAsia="宋体"/>
          <w:kern w:val="2"/>
          <w:sz w:val="24"/>
          <w:szCs w:val="24"/>
        </w:rPr>
        <w:t>填埋场周边设置，用于阻止污染物向填埋场外渗漏与扩散的竖向防渗结构，又称垂直防渗帷幕。</w:t>
      </w:r>
      <w:bookmarkEnd w:id="29"/>
    </w:p>
    <w:p w14:paraId="243AFD63">
      <w:pPr>
        <w:pStyle w:val="166"/>
        <w:spacing w:before="0" w:after="0" w:line="360" w:lineRule="auto"/>
        <w:jc w:val="both"/>
        <w:outlineLvl w:val="9"/>
        <w:rPr>
          <w:rFonts w:ascii="Times New Roman" w:eastAsia="宋体"/>
          <w:kern w:val="2"/>
          <w:sz w:val="24"/>
          <w:szCs w:val="24"/>
        </w:rPr>
      </w:pPr>
      <w:bookmarkStart w:id="30" w:name="_Toc195717733"/>
      <w:r>
        <w:rPr>
          <w:rFonts w:ascii="Times New Roman" w:eastAsia="宋体"/>
          <w:b/>
          <w:bCs/>
          <w:kern w:val="2"/>
          <w:sz w:val="24"/>
          <w:szCs w:val="24"/>
        </w:rPr>
        <w:t>2.0.2</w:t>
      </w:r>
      <w:r>
        <w:rPr>
          <w:rFonts w:ascii="Times New Roman" w:eastAsia="宋体"/>
          <w:kern w:val="2"/>
          <w:sz w:val="24"/>
          <w:szCs w:val="24"/>
        </w:rPr>
        <w:t xml:space="preserve"> 土柱试验 soil column leaching test</w:t>
      </w:r>
    </w:p>
    <w:p w14:paraId="1EA139B1">
      <w:pPr>
        <w:pStyle w:val="166"/>
        <w:spacing w:before="0" w:after="0" w:line="360" w:lineRule="auto"/>
        <w:ind w:firstLine="360" w:firstLineChars="150"/>
        <w:jc w:val="both"/>
        <w:outlineLvl w:val="9"/>
        <w:rPr>
          <w:rFonts w:ascii="Times New Roman" w:eastAsia="宋体"/>
          <w:kern w:val="2"/>
          <w:sz w:val="24"/>
          <w:szCs w:val="24"/>
        </w:rPr>
      </w:pPr>
      <w:bookmarkStart w:id="31" w:name="_Toc195717736"/>
      <w:r>
        <w:rPr>
          <w:rFonts w:ascii="Times New Roman" w:eastAsia="宋体"/>
          <w:kern w:val="2"/>
          <w:sz w:val="24"/>
          <w:szCs w:val="24"/>
        </w:rPr>
        <w:t>利用规定尺寸的试样进行可溶污染物迁移通过垂直防渗墙的水动力弥散系数及垂直防渗墙吸附污染物的阻滞因子测定的试验方法。</w:t>
      </w:r>
      <w:bookmarkEnd w:id="31"/>
    </w:p>
    <w:bookmarkEnd w:id="30"/>
    <w:p w14:paraId="0702EDCC">
      <w:pPr>
        <w:pStyle w:val="166"/>
        <w:spacing w:before="0" w:after="0" w:line="360" w:lineRule="auto"/>
        <w:jc w:val="both"/>
        <w:outlineLvl w:val="9"/>
        <w:rPr>
          <w:rFonts w:ascii="Times New Roman" w:eastAsia="宋体"/>
          <w:kern w:val="2"/>
          <w:sz w:val="24"/>
          <w:szCs w:val="24"/>
        </w:rPr>
      </w:pPr>
      <w:bookmarkStart w:id="32" w:name="OLE_LINK1"/>
      <w:bookmarkStart w:id="33" w:name="_Toc195717735"/>
      <w:r>
        <w:rPr>
          <w:rFonts w:ascii="Times New Roman" w:eastAsia="宋体"/>
          <w:b/>
          <w:bCs/>
          <w:kern w:val="2"/>
          <w:sz w:val="24"/>
          <w:szCs w:val="24"/>
        </w:rPr>
        <w:t>2.0.3</w:t>
      </w:r>
      <w:r>
        <w:rPr>
          <w:rFonts w:ascii="Times New Roman" w:eastAsia="宋体"/>
          <w:kern w:val="2"/>
          <w:sz w:val="24"/>
          <w:szCs w:val="24"/>
        </w:rPr>
        <w:t xml:space="preserve"> </w:t>
      </w:r>
      <w:bookmarkEnd w:id="32"/>
      <w:bookmarkEnd w:id="33"/>
      <w:r>
        <w:rPr>
          <w:rFonts w:ascii="Times New Roman" w:eastAsia="宋体"/>
          <w:kern w:val="2"/>
          <w:sz w:val="24"/>
          <w:szCs w:val="24"/>
        </w:rPr>
        <w:t>地球物理检测 geophysical exploration</w:t>
      </w:r>
    </w:p>
    <w:p w14:paraId="674E088C">
      <w:pPr>
        <w:pStyle w:val="166"/>
        <w:spacing w:before="0" w:after="0" w:line="360" w:lineRule="auto"/>
        <w:ind w:firstLine="360" w:firstLineChars="150"/>
        <w:jc w:val="both"/>
        <w:outlineLvl w:val="9"/>
        <w:rPr>
          <w:rFonts w:ascii="Times New Roman" w:eastAsia="宋体"/>
          <w:kern w:val="2"/>
          <w:sz w:val="24"/>
          <w:szCs w:val="24"/>
        </w:rPr>
      </w:pPr>
      <w:bookmarkStart w:id="34" w:name="_Toc195717734"/>
      <w:r>
        <w:rPr>
          <w:rFonts w:ascii="Times New Roman" w:eastAsia="宋体"/>
          <w:kern w:val="2"/>
          <w:sz w:val="24"/>
          <w:szCs w:val="24"/>
        </w:rPr>
        <w:t>通过观测、分析和研究各种物理场的变化规律，评价垂直防渗墙体连续性、完整性的间接检测方法</w:t>
      </w:r>
      <w:r>
        <w:rPr>
          <w:rFonts w:hint="eastAsia" w:ascii="Times New Roman" w:eastAsia="宋体"/>
          <w:kern w:val="2"/>
          <w:sz w:val="24"/>
          <w:szCs w:val="24"/>
        </w:rPr>
        <w:t>，</w:t>
      </w:r>
      <w:r>
        <w:rPr>
          <w:rFonts w:hint="eastAsia" w:ascii="Segoe UI" w:hAnsi="Segoe UI" w:eastAsia="宋体" w:cs="Segoe UI"/>
          <w:sz w:val="24"/>
          <w:szCs w:val="24"/>
          <w:shd w:val="clear" w:color="auto" w:fill="FFFFFF"/>
        </w:rPr>
        <w:t>包括直流电法、电磁法、</w:t>
      </w:r>
      <w:r>
        <w:rPr>
          <w:rFonts w:ascii="Times New Roman" w:eastAsia="宋体"/>
          <w:kern w:val="2"/>
          <w:sz w:val="24"/>
          <w:szCs w:val="24"/>
        </w:rPr>
        <w:t>浅层地震法</w:t>
      </w:r>
      <w:r>
        <w:rPr>
          <w:rFonts w:hint="eastAsia" w:eastAsia="宋体"/>
          <w:kern w:val="2"/>
          <w:sz w:val="24"/>
          <w:szCs w:val="24"/>
        </w:rPr>
        <w:t>、孔中检测法</w:t>
      </w:r>
      <w:r>
        <w:rPr>
          <w:rFonts w:hint="eastAsia" w:ascii="Segoe UI" w:hAnsi="Segoe UI" w:eastAsia="宋体" w:cs="Segoe UI"/>
          <w:sz w:val="24"/>
          <w:szCs w:val="24"/>
          <w:shd w:val="clear" w:color="auto" w:fill="FFFFFF"/>
        </w:rPr>
        <w:t>等</w:t>
      </w:r>
      <w:r>
        <w:rPr>
          <w:rFonts w:ascii="Times New Roman" w:eastAsia="宋体"/>
          <w:kern w:val="2"/>
          <w:sz w:val="24"/>
          <w:szCs w:val="24"/>
        </w:rPr>
        <w:t>。</w:t>
      </w:r>
      <w:bookmarkEnd w:id="34"/>
    </w:p>
    <w:p w14:paraId="52A30E63">
      <w:pPr>
        <w:pStyle w:val="166"/>
        <w:spacing w:before="0" w:after="0" w:line="360" w:lineRule="auto"/>
        <w:jc w:val="both"/>
        <w:outlineLvl w:val="9"/>
        <w:rPr>
          <w:rFonts w:ascii="Times New Roman" w:eastAsia="宋体"/>
          <w:kern w:val="2"/>
          <w:sz w:val="24"/>
          <w:szCs w:val="24"/>
        </w:rPr>
      </w:pPr>
      <w:r>
        <w:rPr>
          <w:rFonts w:ascii="Times New Roman" w:eastAsia="宋体"/>
          <w:b/>
          <w:bCs/>
          <w:kern w:val="2"/>
          <w:sz w:val="24"/>
          <w:szCs w:val="24"/>
        </w:rPr>
        <w:t>2.0.</w:t>
      </w:r>
      <w:r>
        <w:rPr>
          <w:rFonts w:hint="eastAsia" w:ascii="Times New Roman" w:eastAsia="宋体"/>
          <w:b/>
          <w:bCs/>
          <w:kern w:val="2"/>
          <w:sz w:val="24"/>
          <w:szCs w:val="24"/>
        </w:rPr>
        <w:t>4</w:t>
      </w:r>
      <w:r>
        <w:rPr>
          <w:rFonts w:ascii="Times New Roman" w:eastAsia="宋体"/>
          <w:kern w:val="2"/>
          <w:sz w:val="24"/>
          <w:szCs w:val="24"/>
        </w:rPr>
        <w:t xml:space="preserve"> 直流电法 </w:t>
      </w:r>
      <w:r>
        <w:rPr>
          <w:rFonts w:hint="eastAsia" w:ascii="Times New Roman" w:eastAsia="宋体"/>
          <w:kern w:val="2"/>
          <w:sz w:val="24"/>
          <w:szCs w:val="24"/>
        </w:rPr>
        <w:t>resistivity method</w:t>
      </w:r>
    </w:p>
    <w:p w14:paraId="312275D8">
      <w:pPr>
        <w:pStyle w:val="166"/>
        <w:spacing w:before="0" w:after="0" w:line="360" w:lineRule="auto"/>
        <w:ind w:firstLine="360" w:firstLineChars="150"/>
        <w:jc w:val="both"/>
        <w:outlineLvl w:val="9"/>
        <w:rPr>
          <w:rFonts w:ascii="Times New Roman" w:eastAsia="宋体"/>
          <w:kern w:val="2"/>
          <w:sz w:val="24"/>
          <w:szCs w:val="24"/>
        </w:rPr>
      </w:pPr>
      <w:r>
        <w:rPr>
          <w:rFonts w:hint="eastAsia" w:ascii="Times New Roman" w:eastAsia="宋体"/>
          <w:kern w:val="2"/>
          <w:sz w:val="24"/>
          <w:szCs w:val="24"/>
        </w:rPr>
        <w:t>根据不同岩土层之间的电性差异，通过观测天然或人工建立的电场的空间分布规律和时间特性，来检测垂直防渗墙完整性的一种地球物理检测方法。包含高密度电阻率法、自然电场法、充电法等。</w:t>
      </w:r>
    </w:p>
    <w:p w14:paraId="3E43D3B4">
      <w:pPr>
        <w:pStyle w:val="166"/>
        <w:spacing w:before="0" w:after="0" w:line="360" w:lineRule="auto"/>
        <w:jc w:val="both"/>
        <w:outlineLvl w:val="9"/>
        <w:rPr>
          <w:rFonts w:ascii="Times New Roman" w:eastAsia="宋体"/>
          <w:kern w:val="2"/>
          <w:sz w:val="24"/>
          <w:szCs w:val="24"/>
        </w:rPr>
      </w:pPr>
      <w:r>
        <w:rPr>
          <w:rFonts w:ascii="Times New Roman" w:eastAsia="宋体"/>
          <w:b/>
          <w:bCs/>
          <w:kern w:val="2"/>
          <w:sz w:val="24"/>
          <w:szCs w:val="24"/>
        </w:rPr>
        <w:t>2.0.</w:t>
      </w:r>
      <w:r>
        <w:rPr>
          <w:rFonts w:hint="eastAsia" w:ascii="Times New Roman" w:eastAsia="宋体"/>
          <w:b/>
          <w:bCs/>
          <w:kern w:val="2"/>
          <w:sz w:val="24"/>
          <w:szCs w:val="24"/>
        </w:rPr>
        <w:t>5</w:t>
      </w:r>
      <w:r>
        <w:rPr>
          <w:rFonts w:ascii="Times New Roman" w:eastAsia="宋体"/>
          <w:kern w:val="2"/>
          <w:sz w:val="24"/>
          <w:szCs w:val="24"/>
        </w:rPr>
        <w:t xml:space="preserve"> 电磁法 </w:t>
      </w:r>
      <w:r>
        <w:rPr>
          <w:rFonts w:hint="eastAsia" w:ascii="Times New Roman" w:eastAsia="宋体"/>
          <w:kern w:val="2"/>
          <w:sz w:val="24"/>
          <w:szCs w:val="24"/>
        </w:rPr>
        <w:t>electromagnetic method</w:t>
      </w:r>
    </w:p>
    <w:p w14:paraId="02D60403">
      <w:pPr>
        <w:pStyle w:val="166"/>
        <w:spacing w:before="0" w:after="0" w:line="360" w:lineRule="auto"/>
        <w:ind w:firstLine="360" w:firstLineChars="150"/>
        <w:jc w:val="both"/>
        <w:outlineLvl w:val="9"/>
        <w:rPr>
          <w:rFonts w:ascii="Times New Roman" w:eastAsia="宋体"/>
          <w:kern w:val="2"/>
          <w:sz w:val="24"/>
          <w:szCs w:val="24"/>
        </w:rPr>
      </w:pPr>
      <w:r>
        <w:rPr>
          <w:rFonts w:hint="eastAsia" w:ascii="Times New Roman" w:eastAsia="宋体"/>
          <w:kern w:val="2"/>
          <w:sz w:val="24"/>
          <w:szCs w:val="24"/>
        </w:rPr>
        <w:t>以岩土体的导电性、导磁性和介电性为主要物性基础，根据电磁感应原理，通过观测和研究电磁场的空间与时间分布规律，来检测垂直防渗墙完整性的一种地球物理检测方法。包含探地雷达法、瞬变电磁法等。</w:t>
      </w:r>
    </w:p>
    <w:p w14:paraId="3D1A76C3">
      <w:pPr>
        <w:pStyle w:val="166"/>
        <w:spacing w:before="0" w:after="0" w:line="360" w:lineRule="auto"/>
        <w:jc w:val="both"/>
        <w:outlineLvl w:val="9"/>
        <w:rPr>
          <w:rFonts w:ascii="Times New Roman" w:eastAsia="宋体"/>
          <w:kern w:val="2"/>
          <w:sz w:val="24"/>
          <w:szCs w:val="24"/>
        </w:rPr>
      </w:pPr>
      <w:r>
        <w:rPr>
          <w:rFonts w:ascii="Times New Roman" w:eastAsia="宋体"/>
          <w:b/>
          <w:bCs/>
          <w:kern w:val="2"/>
          <w:sz w:val="24"/>
          <w:szCs w:val="24"/>
        </w:rPr>
        <w:t>2.0.</w:t>
      </w:r>
      <w:r>
        <w:rPr>
          <w:rFonts w:hint="eastAsia" w:ascii="Times New Roman" w:eastAsia="宋体"/>
          <w:b/>
          <w:bCs/>
          <w:kern w:val="2"/>
          <w:sz w:val="24"/>
          <w:szCs w:val="24"/>
        </w:rPr>
        <w:t>6</w:t>
      </w:r>
      <w:r>
        <w:rPr>
          <w:rFonts w:ascii="Times New Roman" w:eastAsia="宋体"/>
          <w:kern w:val="2"/>
          <w:sz w:val="24"/>
          <w:szCs w:val="24"/>
        </w:rPr>
        <w:t xml:space="preserve"> 浅层地震法 </w:t>
      </w:r>
      <w:r>
        <w:rPr>
          <w:rFonts w:hint="eastAsia" w:ascii="Times New Roman" w:eastAsia="宋体"/>
          <w:kern w:val="2"/>
          <w:sz w:val="24"/>
          <w:szCs w:val="24"/>
        </w:rPr>
        <w:t>shallow seismic exploration</w:t>
      </w:r>
    </w:p>
    <w:p w14:paraId="1AA4C5D4">
      <w:pPr>
        <w:pStyle w:val="166"/>
        <w:spacing w:before="0" w:after="0" w:line="360" w:lineRule="auto"/>
        <w:ind w:firstLine="360" w:firstLineChars="150"/>
        <w:jc w:val="both"/>
        <w:outlineLvl w:val="9"/>
        <w:rPr>
          <w:rFonts w:ascii="Times New Roman" w:eastAsia="宋体"/>
          <w:kern w:val="2"/>
          <w:sz w:val="24"/>
          <w:szCs w:val="24"/>
        </w:rPr>
      </w:pPr>
      <w:r>
        <w:rPr>
          <w:rFonts w:hint="eastAsia" w:ascii="Times New Roman" w:eastAsia="宋体"/>
          <w:kern w:val="2"/>
          <w:sz w:val="24"/>
          <w:szCs w:val="24"/>
        </w:rPr>
        <w:t>以岩土体的弹性为基础，通过观测天然微动信号或人工激发的地震波并分析其传播特征，来检测垂直防渗墙完整性的一种地球物理检测方法。包含瞬态面波法、微动法、地震映像法等。</w:t>
      </w:r>
    </w:p>
    <w:p w14:paraId="78FC4FE5">
      <w:pPr>
        <w:pStyle w:val="166"/>
        <w:spacing w:before="0" w:after="0" w:line="360" w:lineRule="auto"/>
        <w:jc w:val="both"/>
        <w:outlineLvl w:val="9"/>
        <w:rPr>
          <w:rFonts w:ascii="Times New Roman" w:eastAsia="宋体"/>
          <w:kern w:val="2"/>
          <w:sz w:val="24"/>
          <w:szCs w:val="24"/>
        </w:rPr>
      </w:pPr>
      <w:r>
        <w:rPr>
          <w:rFonts w:ascii="Times New Roman" w:eastAsia="宋体"/>
          <w:b/>
          <w:bCs/>
          <w:kern w:val="2"/>
          <w:sz w:val="24"/>
          <w:szCs w:val="24"/>
        </w:rPr>
        <w:t>2.0.</w:t>
      </w:r>
      <w:r>
        <w:rPr>
          <w:rFonts w:hint="eastAsia" w:ascii="Times New Roman" w:eastAsia="宋体"/>
          <w:b/>
          <w:bCs/>
          <w:kern w:val="2"/>
          <w:sz w:val="24"/>
          <w:szCs w:val="24"/>
        </w:rPr>
        <w:t>7</w:t>
      </w:r>
      <w:r>
        <w:rPr>
          <w:rFonts w:ascii="Times New Roman" w:eastAsia="宋体"/>
          <w:kern w:val="2"/>
          <w:sz w:val="24"/>
          <w:szCs w:val="24"/>
        </w:rPr>
        <w:t xml:space="preserve"> 孔中检测法 </w:t>
      </w:r>
      <w:r>
        <w:rPr>
          <w:rFonts w:hint="eastAsia" w:ascii="Times New Roman" w:eastAsia="宋体"/>
          <w:kern w:val="2"/>
          <w:sz w:val="24"/>
          <w:szCs w:val="24"/>
        </w:rPr>
        <w:t>b</w:t>
      </w:r>
      <w:r>
        <w:rPr>
          <w:rFonts w:ascii="Times New Roman" w:eastAsia="宋体"/>
          <w:kern w:val="2"/>
          <w:sz w:val="24"/>
          <w:szCs w:val="24"/>
        </w:rPr>
        <w:t>orehole Detection Method</w:t>
      </w:r>
    </w:p>
    <w:p w14:paraId="638C4A3C">
      <w:pPr>
        <w:pStyle w:val="166"/>
        <w:spacing w:before="0" w:after="0" w:line="360" w:lineRule="auto"/>
        <w:ind w:firstLine="360" w:firstLineChars="150"/>
        <w:jc w:val="both"/>
        <w:outlineLvl w:val="9"/>
        <w:rPr>
          <w:rFonts w:ascii="Times New Roman" w:eastAsia="宋体"/>
          <w:kern w:val="2"/>
          <w:sz w:val="24"/>
          <w:szCs w:val="24"/>
        </w:rPr>
      </w:pPr>
      <w:r>
        <w:rPr>
          <w:rFonts w:hint="eastAsia" w:ascii="Times New Roman" w:eastAsia="宋体"/>
          <w:kern w:val="2"/>
          <w:sz w:val="24"/>
          <w:szCs w:val="24"/>
        </w:rPr>
        <w:t>通过钻孔或孔间进行地球物理检测的技术方法，主要用于获取井壁周围或井间的地质信息。包含钻孔全景光学成像、单孔弹性波测井、井间层析成像（跨孔弹性波CT、电阻率CT、电磁波CT）等。</w:t>
      </w:r>
    </w:p>
    <w:p w14:paraId="4FD7D992">
      <w:pPr>
        <w:pStyle w:val="166"/>
        <w:spacing w:before="0" w:after="0" w:line="360" w:lineRule="auto"/>
        <w:jc w:val="both"/>
        <w:outlineLvl w:val="9"/>
        <w:rPr>
          <w:rFonts w:ascii="Times New Roman" w:eastAsia="宋体"/>
          <w:kern w:val="2"/>
          <w:sz w:val="24"/>
          <w:szCs w:val="24"/>
        </w:rPr>
      </w:pPr>
      <w:r>
        <w:rPr>
          <w:rFonts w:ascii="Times New Roman" w:eastAsia="宋体"/>
          <w:kern w:val="2"/>
          <w:sz w:val="24"/>
          <w:szCs w:val="24"/>
        </w:rPr>
        <w:t xml:space="preserve"> </w:t>
      </w:r>
      <w:bookmarkStart w:id="35" w:name="_Toc195717737"/>
      <w:r>
        <w:rPr>
          <w:rFonts w:ascii="Times New Roman" w:eastAsia="宋体"/>
          <w:b/>
          <w:bCs/>
          <w:kern w:val="2"/>
          <w:sz w:val="24"/>
          <w:szCs w:val="24"/>
        </w:rPr>
        <w:t>2.0.</w:t>
      </w:r>
      <w:r>
        <w:rPr>
          <w:rFonts w:hint="eastAsia" w:ascii="Times New Roman" w:eastAsia="宋体"/>
          <w:b/>
          <w:bCs/>
          <w:kern w:val="2"/>
          <w:sz w:val="24"/>
          <w:szCs w:val="24"/>
        </w:rPr>
        <w:t>8</w:t>
      </w:r>
      <w:r>
        <w:rPr>
          <w:rFonts w:ascii="Times New Roman" w:eastAsia="宋体"/>
          <w:kern w:val="2"/>
          <w:sz w:val="24"/>
          <w:szCs w:val="24"/>
        </w:rPr>
        <w:t xml:space="preserve"> 设计使用年限 design working life</w:t>
      </w:r>
      <w:bookmarkEnd w:id="35"/>
    </w:p>
    <w:p w14:paraId="47D1D68D">
      <w:pPr>
        <w:pStyle w:val="166"/>
        <w:spacing w:before="0" w:after="0" w:line="360" w:lineRule="auto"/>
        <w:ind w:firstLine="360" w:firstLineChars="150"/>
        <w:jc w:val="both"/>
        <w:outlineLvl w:val="9"/>
        <w:rPr>
          <w:rFonts w:ascii="Times New Roman" w:eastAsia="宋体"/>
          <w:kern w:val="2"/>
          <w:sz w:val="24"/>
          <w:szCs w:val="24"/>
        </w:rPr>
      </w:pPr>
      <w:bookmarkStart w:id="36" w:name="_Toc195717738"/>
      <w:r>
        <w:rPr>
          <w:rFonts w:ascii="Times New Roman" w:eastAsia="宋体"/>
          <w:kern w:val="2"/>
          <w:sz w:val="24"/>
          <w:szCs w:val="24"/>
        </w:rPr>
        <w:t>设计使用年限即是垂直防渗墙的服役时间，是填埋场治理后运行时间与垃圾稳定化所需时间之和。</w:t>
      </w:r>
      <w:bookmarkEnd w:id="36"/>
    </w:p>
    <w:p w14:paraId="23EA00E0">
      <w:pPr>
        <w:pStyle w:val="166"/>
        <w:spacing w:before="0" w:after="0" w:line="360" w:lineRule="auto"/>
        <w:jc w:val="both"/>
        <w:outlineLvl w:val="9"/>
        <w:rPr>
          <w:rFonts w:ascii="Times New Roman" w:eastAsia="宋体"/>
          <w:kern w:val="2"/>
          <w:sz w:val="24"/>
          <w:szCs w:val="24"/>
        </w:rPr>
      </w:pPr>
      <w:bookmarkStart w:id="37" w:name="_Toc195717739"/>
      <w:r>
        <w:rPr>
          <w:rFonts w:ascii="Times New Roman" w:eastAsia="宋体"/>
          <w:b/>
          <w:bCs/>
          <w:kern w:val="2"/>
          <w:sz w:val="24"/>
          <w:szCs w:val="24"/>
        </w:rPr>
        <w:t>2.0.</w:t>
      </w:r>
      <w:r>
        <w:rPr>
          <w:rFonts w:hint="eastAsia" w:ascii="Times New Roman" w:eastAsia="宋体"/>
          <w:b/>
          <w:bCs/>
          <w:kern w:val="2"/>
          <w:sz w:val="24"/>
          <w:szCs w:val="24"/>
        </w:rPr>
        <w:t>9</w:t>
      </w:r>
      <w:r>
        <w:rPr>
          <w:rFonts w:ascii="Times New Roman" w:eastAsia="宋体"/>
          <w:kern w:val="2"/>
          <w:sz w:val="24"/>
          <w:szCs w:val="24"/>
        </w:rPr>
        <w:t xml:space="preserve"> 验收检测 acceptance inspection</w:t>
      </w:r>
      <w:bookmarkEnd w:id="37"/>
    </w:p>
    <w:p w14:paraId="404F3FA5">
      <w:pPr>
        <w:pStyle w:val="166"/>
        <w:spacing w:before="0" w:after="0" w:line="360" w:lineRule="auto"/>
        <w:ind w:firstLine="360" w:firstLineChars="150"/>
        <w:jc w:val="both"/>
        <w:outlineLvl w:val="9"/>
        <w:rPr>
          <w:rFonts w:ascii="Times New Roman"/>
        </w:rPr>
      </w:pPr>
      <w:bookmarkStart w:id="38" w:name="_Toc195717740"/>
      <w:r>
        <w:rPr>
          <w:rFonts w:ascii="Times New Roman" w:eastAsia="宋体"/>
          <w:kern w:val="2"/>
          <w:sz w:val="24"/>
          <w:szCs w:val="24"/>
        </w:rPr>
        <w:t>为满足垂直防渗墙工程验收需要，由项目建设单位委托具有相应资质的检测机构在施工完成后，对垂直防渗墙的完整性和防渗性能等进行检测的活动。</w:t>
      </w:r>
      <w:bookmarkEnd w:id="38"/>
    </w:p>
    <w:p w14:paraId="0CC7A69D">
      <w:pPr>
        <w:pStyle w:val="71"/>
        <w:ind w:firstLine="420"/>
        <w:rPr>
          <w:rFonts w:ascii="Times New Roman"/>
        </w:rPr>
      </w:pPr>
    </w:p>
    <w:p w14:paraId="0258B8CB">
      <w:pPr>
        <w:pStyle w:val="71"/>
        <w:ind w:firstLine="420"/>
        <w:rPr>
          <w:rFonts w:ascii="Times New Roman"/>
        </w:rPr>
        <w:sectPr>
          <w:pgSz w:w="11906" w:h="16838"/>
          <w:pgMar w:top="1440" w:right="1797" w:bottom="1440" w:left="1797" w:header="1418" w:footer="1134" w:gutter="0"/>
          <w:cols w:space="425" w:num="1"/>
          <w:formProt w:val="0"/>
          <w:docGrid w:type="lines" w:linePitch="312" w:charSpace="0"/>
        </w:sectPr>
      </w:pPr>
    </w:p>
    <w:p w14:paraId="5C20A636">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39" w:name="_Toc196124333"/>
      <w:bookmarkStart w:id="40" w:name="_Toc193447521"/>
      <w:bookmarkStart w:id="41" w:name="_Toc192078850"/>
      <w:bookmarkStart w:id="42" w:name="_Toc181955254"/>
      <w:bookmarkStart w:id="43" w:name="_Toc193447672"/>
      <w:r>
        <w:rPr>
          <w:rFonts w:ascii="Times New Roman" w:hAnsi="Times New Roman"/>
          <w:b/>
          <w:sz w:val="36"/>
          <w:szCs w:val="36"/>
        </w:rPr>
        <w:t>3基本规定</w:t>
      </w:r>
      <w:bookmarkEnd w:id="39"/>
    </w:p>
    <w:bookmarkEnd w:id="40"/>
    <w:bookmarkEnd w:id="41"/>
    <w:bookmarkEnd w:id="42"/>
    <w:bookmarkEnd w:id="43"/>
    <w:p w14:paraId="1BDDC4B7">
      <w:pPr>
        <w:pStyle w:val="119"/>
        <w:numPr>
          <w:ilvl w:val="0"/>
          <w:numId w:val="0"/>
        </w:numPr>
        <w:spacing w:before="156" w:after="156"/>
        <w:jc w:val="center"/>
        <w:rPr>
          <w:rFonts w:ascii="Times New Roman" w:eastAsia="宋体"/>
          <w:b/>
          <w:bCs/>
          <w:sz w:val="28"/>
          <w:szCs w:val="24"/>
        </w:rPr>
      </w:pPr>
      <w:bookmarkStart w:id="44" w:name="_Toc181955255"/>
      <w:bookmarkStart w:id="45" w:name="_Toc193447522"/>
      <w:bookmarkStart w:id="46" w:name="_Toc195717741"/>
      <w:bookmarkStart w:id="47" w:name="_Toc192078851"/>
      <w:bookmarkStart w:id="48" w:name="_Toc193447673"/>
      <w:bookmarkStart w:id="49" w:name="_Toc196124334"/>
      <w:r>
        <w:rPr>
          <w:rFonts w:ascii="Times New Roman" w:eastAsia="宋体"/>
          <w:b/>
          <w:bCs/>
          <w:sz w:val="28"/>
          <w:szCs w:val="24"/>
        </w:rPr>
        <w:t>3.1 一般规定</w:t>
      </w:r>
      <w:bookmarkEnd w:id="44"/>
      <w:bookmarkEnd w:id="45"/>
      <w:bookmarkEnd w:id="46"/>
      <w:bookmarkEnd w:id="47"/>
      <w:bookmarkEnd w:id="48"/>
      <w:bookmarkEnd w:id="49"/>
    </w:p>
    <w:p w14:paraId="51E34056">
      <w:pPr>
        <w:pStyle w:val="81"/>
        <w:numPr>
          <w:ilvl w:val="0"/>
          <w:numId w:val="0"/>
        </w:numPr>
        <w:spacing w:before="0" w:beforeLines="0" w:after="0" w:afterLines="0" w:line="360" w:lineRule="auto"/>
        <w:outlineLvl w:val="9"/>
        <w:rPr>
          <w:rFonts w:ascii="Times New Roman" w:eastAsia="宋体"/>
          <w:i/>
          <w:iCs/>
          <w:sz w:val="24"/>
          <w:szCs w:val="24"/>
        </w:rPr>
      </w:pPr>
      <w:bookmarkStart w:id="50" w:name="_Toc193447523"/>
      <w:bookmarkStart w:id="51" w:name="_Toc181955256"/>
      <w:r>
        <w:rPr>
          <w:rFonts w:ascii="Times New Roman" w:eastAsia="宋体"/>
          <w:b/>
          <w:bCs/>
          <w:sz w:val="24"/>
          <w:szCs w:val="24"/>
        </w:rPr>
        <w:t>3.1.1</w:t>
      </w:r>
      <w:r>
        <w:rPr>
          <w:rFonts w:ascii="Times New Roman" w:eastAsia="宋体"/>
          <w:sz w:val="24"/>
          <w:szCs w:val="24"/>
        </w:rPr>
        <w:t xml:space="preserve"> 垂直防渗墙检测分为施工前为设计提供依据的现场工艺性试验检测和施工后为验收提供依据的工程检测。</w:t>
      </w:r>
      <w:bookmarkEnd w:id="50"/>
    </w:p>
    <w:bookmarkEnd w:id="51"/>
    <w:p w14:paraId="70D144DD">
      <w:pPr>
        <w:pStyle w:val="81"/>
        <w:numPr>
          <w:ilvl w:val="0"/>
          <w:numId w:val="0"/>
        </w:numPr>
        <w:spacing w:before="0" w:beforeLines="0" w:after="0" w:afterLines="0" w:line="360" w:lineRule="auto"/>
        <w:outlineLvl w:val="9"/>
        <w:rPr>
          <w:rFonts w:ascii="Times New Roman" w:eastAsia="宋体"/>
          <w:sz w:val="24"/>
          <w:szCs w:val="24"/>
        </w:rPr>
      </w:pPr>
      <w:bookmarkStart w:id="52" w:name="_Toc181955257"/>
      <w:bookmarkStart w:id="53" w:name="_Toc193447525"/>
      <w:r>
        <w:rPr>
          <w:rFonts w:ascii="Times New Roman" w:eastAsia="宋体"/>
          <w:b/>
          <w:bCs/>
          <w:sz w:val="24"/>
          <w:szCs w:val="24"/>
        </w:rPr>
        <w:t>3.1.2</w:t>
      </w:r>
      <w:r>
        <w:rPr>
          <w:rFonts w:ascii="Times New Roman" w:eastAsia="宋体"/>
          <w:sz w:val="24"/>
          <w:szCs w:val="24"/>
        </w:rPr>
        <w:t xml:space="preserve"> 已实施垂直防渗墙的生活垃圾填埋场，当遇有下列情况时，应进行垂直防渗墙检测：</w:t>
      </w:r>
      <w:bookmarkEnd w:id="52"/>
      <w:bookmarkEnd w:id="53"/>
    </w:p>
    <w:p w14:paraId="66652687">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垂直防渗墙改变用途、改造或扩建前的评价；</w:t>
      </w:r>
    </w:p>
    <w:p w14:paraId="5F9342CE">
      <w:pPr>
        <w:pStyle w:val="123"/>
        <w:numPr>
          <w:ilvl w:val="0"/>
          <w:numId w:val="0"/>
        </w:numPr>
        <w:spacing w:line="360" w:lineRule="auto"/>
        <w:ind w:firstLine="361" w:firstLineChars="150"/>
        <w:rPr>
          <w:rFonts w:ascii="Times New Roman"/>
          <w:sz w:val="24"/>
          <w:szCs w:val="24"/>
        </w:rPr>
      </w:pPr>
      <w:r>
        <w:rPr>
          <w:rFonts w:ascii="Times New Roman"/>
          <w:b/>
          <w:bCs/>
          <w:sz w:val="24"/>
          <w:szCs w:val="24"/>
        </w:rPr>
        <w:t>2</w:t>
      </w:r>
      <w:r>
        <w:rPr>
          <w:rFonts w:ascii="Times New Roman"/>
          <w:sz w:val="24"/>
          <w:szCs w:val="24"/>
        </w:rPr>
        <w:t xml:space="preserve"> 垂直防渗墙达到设计使用年限要继续使用的；</w:t>
      </w:r>
    </w:p>
    <w:p w14:paraId="739EC004">
      <w:pPr>
        <w:pStyle w:val="123"/>
        <w:numPr>
          <w:ilvl w:val="0"/>
          <w:numId w:val="0"/>
        </w:numPr>
        <w:spacing w:line="360" w:lineRule="auto"/>
        <w:ind w:firstLine="361" w:firstLineChars="150"/>
        <w:rPr>
          <w:rFonts w:ascii="Times New Roman"/>
          <w:sz w:val="24"/>
          <w:szCs w:val="24"/>
        </w:rPr>
      </w:pPr>
      <w:r>
        <w:rPr>
          <w:rFonts w:ascii="Times New Roman"/>
          <w:b/>
          <w:bCs/>
          <w:sz w:val="24"/>
          <w:szCs w:val="24"/>
        </w:rPr>
        <w:t xml:space="preserve">3 </w:t>
      </w:r>
      <w:r>
        <w:rPr>
          <w:rFonts w:ascii="Times New Roman"/>
          <w:sz w:val="24"/>
          <w:szCs w:val="24"/>
        </w:rPr>
        <w:t>发现垂直防渗墙存在潜在损害风险或出现紧急情况的；</w:t>
      </w:r>
    </w:p>
    <w:p w14:paraId="233247C3">
      <w:pPr>
        <w:pStyle w:val="123"/>
        <w:numPr>
          <w:ilvl w:val="0"/>
          <w:numId w:val="0"/>
        </w:numPr>
        <w:spacing w:line="360" w:lineRule="auto"/>
        <w:ind w:firstLine="361" w:firstLineChars="150"/>
        <w:rPr>
          <w:rFonts w:ascii="Times New Roman"/>
          <w:sz w:val="24"/>
          <w:szCs w:val="24"/>
        </w:rPr>
      </w:pPr>
      <w:r>
        <w:rPr>
          <w:rFonts w:ascii="Times New Roman"/>
          <w:b/>
          <w:bCs/>
          <w:sz w:val="24"/>
          <w:szCs w:val="24"/>
        </w:rPr>
        <w:t>4</w:t>
      </w:r>
      <w:r>
        <w:rPr>
          <w:rFonts w:ascii="Times New Roman"/>
          <w:sz w:val="24"/>
          <w:szCs w:val="24"/>
        </w:rPr>
        <w:t xml:space="preserve"> 其他国家或地方规定有要求的。</w:t>
      </w:r>
    </w:p>
    <w:p w14:paraId="1256ED96">
      <w:pPr>
        <w:pStyle w:val="81"/>
        <w:numPr>
          <w:ilvl w:val="0"/>
          <w:numId w:val="0"/>
        </w:numPr>
        <w:spacing w:before="0" w:beforeLines="0" w:after="0" w:afterLines="0" w:line="360" w:lineRule="auto"/>
        <w:outlineLvl w:val="9"/>
        <w:rPr>
          <w:rFonts w:ascii="Times New Roman" w:eastAsia="宋体"/>
          <w:sz w:val="24"/>
          <w:szCs w:val="24"/>
        </w:rPr>
      </w:pPr>
      <w:bookmarkStart w:id="54" w:name="_Toc193447527"/>
      <w:bookmarkStart w:id="55" w:name="_Toc181955258"/>
      <w:r>
        <w:rPr>
          <w:rFonts w:ascii="Times New Roman" w:eastAsia="宋体"/>
          <w:b/>
          <w:bCs/>
          <w:sz w:val="24"/>
          <w:szCs w:val="24"/>
        </w:rPr>
        <w:t>3.1.3</w:t>
      </w:r>
      <w:r>
        <w:rPr>
          <w:rFonts w:ascii="Times New Roman" w:eastAsia="宋体"/>
          <w:sz w:val="24"/>
          <w:szCs w:val="24"/>
        </w:rPr>
        <w:t xml:space="preserve"> </w:t>
      </w:r>
      <w:r>
        <w:rPr>
          <w:rFonts w:hint="eastAsia" w:ascii="Times New Roman" w:eastAsia="宋体"/>
          <w:sz w:val="24"/>
          <w:szCs w:val="24"/>
        </w:rPr>
        <w:t>垂直</w:t>
      </w:r>
      <w:r>
        <w:rPr>
          <w:rFonts w:ascii="Times New Roman" w:eastAsia="宋体"/>
          <w:sz w:val="24"/>
          <w:szCs w:val="24"/>
        </w:rPr>
        <w:t>防渗墙</w:t>
      </w:r>
      <w:r>
        <w:rPr>
          <w:rFonts w:hint="eastAsia" w:ascii="Times New Roman" w:eastAsia="宋体"/>
          <w:sz w:val="24"/>
          <w:szCs w:val="24"/>
        </w:rPr>
        <w:t>类型的划分应符合</w:t>
      </w:r>
      <w:r>
        <w:rPr>
          <w:rFonts w:ascii="Times New Roman" w:eastAsia="宋体"/>
          <w:sz w:val="24"/>
          <w:szCs w:val="24"/>
        </w:rPr>
        <w:t>附录A</w:t>
      </w:r>
      <w:r>
        <w:rPr>
          <w:rFonts w:hint="eastAsia" w:ascii="Times New Roman" w:eastAsia="宋体"/>
          <w:sz w:val="24"/>
          <w:szCs w:val="24"/>
        </w:rPr>
        <w:t>的规定</w:t>
      </w:r>
      <w:r>
        <w:rPr>
          <w:rFonts w:ascii="Times New Roman" w:eastAsia="宋体"/>
          <w:sz w:val="24"/>
          <w:szCs w:val="24"/>
        </w:rPr>
        <w:t>。</w:t>
      </w:r>
      <w:bookmarkEnd w:id="54"/>
    </w:p>
    <w:bookmarkEnd w:id="55"/>
    <w:p w14:paraId="6985E7B6">
      <w:pPr>
        <w:pStyle w:val="81"/>
        <w:numPr>
          <w:ilvl w:val="0"/>
          <w:numId w:val="0"/>
        </w:numPr>
        <w:spacing w:before="0" w:beforeLines="0" w:after="0" w:afterLines="0" w:line="360" w:lineRule="auto"/>
        <w:outlineLvl w:val="9"/>
        <w:rPr>
          <w:rFonts w:ascii="Times New Roman" w:eastAsia="宋体"/>
          <w:sz w:val="24"/>
          <w:szCs w:val="24"/>
        </w:rPr>
      </w:pPr>
      <w:bookmarkStart w:id="56" w:name="_Toc181955259"/>
      <w:bookmarkStart w:id="57" w:name="_Toc193447529"/>
      <w:bookmarkStart w:id="58" w:name="_Toc181955260"/>
      <w:r>
        <w:rPr>
          <w:rFonts w:ascii="Times New Roman" w:eastAsia="宋体"/>
          <w:b/>
          <w:bCs/>
          <w:sz w:val="24"/>
          <w:szCs w:val="24"/>
        </w:rPr>
        <w:t>3.1.4</w:t>
      </w:r>
      <w:r>
        <w:rPr>
          <w:rFonts w:ascii="Times New Roman" w:eastAsia="宋体"/>
          <w:sz w:val="24"/>
          <w:szCs w:val="24"/>
        </w:rPr>
        <w:t xml:space="preserve"> 垂直防渗墙检测</w:t>
      </w:r>
      <w:r>
        <w:rPr>
          <w:rFonts w:hint="eastAsia" w:ascii="Times New Roman" w:eastAsia="宋体"/>
          <w:sz w:val="24"/>
          <w:szCs w:val="24"/>
        </w:rPr>
        <w:t>项目与检测方法见表3</w:t>
      </w:r>
      <w:r>
        <w:rPr>
          <w:rFonts w:ascii="Times New Roman" w:eastAsia="宋体"/>
          <w:sz w:val="24"/>
          <w:szCs w:val="24"/>
        </w:rPr>
        <w:t>.1.4</w:t>
      </w:r>
      <w:r>
        <w:rPr>
          <w:rFonts w:hint="eastAsia" w:ascii="Times New Roman" w:eastAsia="宋体"/>
          <w:sz w:val="24"/>
          <w:szCs w:val="24"/>
        </w:rPr>
        <w:t>。</w:t>
      </w:r>
      <w:bookmarkEnd w:id="56"/>
      <w:bookmarkEnd w:id="57"/>
      <w:bookmarkEnd w:id="58"/>
    </w:p>
    <w:p w14:paraId="0576B17D">
      <w:pPr>
        <w:pStyle w:val="126"/>
        <w:numPr>
          <w:ilvl w:val="0"/>
          <w:numId w:val="0"/>
        </w:numPr>
        <w:spacing w:before="156" w:after="156"/>
        <w:rPr>
          <w:rFonts w:ascii="Times New Roman" w:eastAsia="宋体"/>
          <w:b/>
          <w:bCs/>
        </w:rPr>
      </w:pPr>
      <w:r>
        <w:rPr>
          <w:rFonts w:ascii="Times New Roman" w:eastAsia="宋体"/>
          <w:b/>
          <w:bCs/>
        </w:rPr>
        <w:t>表3.1.4  检测项目与检测方法</w:t>
      </w:r>
    </w:p>
    <w:tbl>
      <w:tblPr>
        <w:tblStyle w:val="35"/>
        <w:tblW w:w="40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86"/>
        <w:gridCol w:w="1993"/>
        <w:gridCol w:w="4137"/>
      </w:tblGrid>
      <w:tr w14:paraId="70C0E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03" w:type="pct"/>
          </w:tcPr>
          <w:p w14:paraId="179C4E44">
            <w:pPr>
              <w:pStyle w:val="23"/>
              <w:jc w:val="center"/>
              <w:rPr>
                <w:rFonts w:eastAsia="宋体" w:cs="Times New Roman"/>
                <w:b/>
                <w:bCs/>
                <w:kern w:val="0"/>
                <w:sz w:val="21"/>
                <w:szCs w:val="21"/>
              </w:rPr>
            </w:pPr>
            <w:r>
              <w:rPr>
                <w:rFonts w:eastAsia="宋体" w:cs="Times New Roman"/>
                <w:b/>
                <w:bCs/>
                <w:kern w:val="0"/>
                <w:sz w:val="21"/>
                <w:szCs w:val="21"/>
              </w:rPr>
              <w:t>序号</w:t>
            </w:r>
          </w:p>
        </w:tc>
        <w:tc>
          <w:tcPr>
            <w:tcW w:w="1462" w:type="pct"/>
            <w:vAlign w:val="center"/>
          </w:tcPr>
          <w:p w14:paraId="21B81D0E">
            <w:pPr>
              <w:pStyle w:val="23"/>
              <w:jc w:val="center"/>
              <w:rPr>
                <w:rFonts w:eastAsia="宋体" w:cs="Times New Roman"/>
                <w:b/>
                <w:bCs/>
                <w:kern w:val="0"/>
                <w:sz w:val="21"/>
                <w:szCs w:val="21"/>
              </w:rPr>
            </w:pPr>
            <w:r>
              <w:rPr>
                <w:rFonts w:eastAsia="宋体" w:cs="Times New Roman"/>
                <w:b/>
                <w:bCs/>
                <w:kern w:val="0"/>
                <w:sz w:val="21"/>
                <w:szCs w:val="21"/>
              </w:rPr>
              <w:t>检测项目</w:t>
            </w:r>
          </w:p>
        </w:tc>
        <w:tc>
          <w:tcPr>
            <w:tcW w:w="3035" w:type="pct"/>
            <w:shd w:val="clear" w:color="auto" w:fill="auto"/>
            <w:vAlign w:val="center"/>
          </w:tcPr>
          <w:p w14:paraId="73E81B35">
            <w:pPr>
              <w:pStyle w:val="23"/>
              <w:jc w:val="center"/>
              <w:rPr>
                <w:rFonts w:eastAsia="宋体" w:cs="Times New Roman"/>
                <w:b/>
                <w:bCs/>
                <w:kern w:val="0"/>
                <w:sz w:val="21"/>
                <w:szCs w:val="21"/>
              </w:rPr>
            </w:pPr>
            <w:r>
              <w:rPr>
                <w:rFonts w:eastAsia="宋体" w:cs="Times New Roman"/>
                <w:b/>
                <w:bCs/>
                <w:kern w:val="0"/>
                <w:sz w:val="21"/>
                <w:szCs w:val="21"/>
              </w:rPr>
              <w:t>检测方法</w:t>
            </w:r>
          </w:p>
        </w:tc>
      </w:tr>
      <w:tr w14:paraId="054B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03" w:type="pct"/>
          </w:tcPr>
          <w:p w14:paraId="60413E76">
            <w:pPr>
              <w:pStyle w:val="192"/>
              <w:spacing w:line="360" w:lineRule="auto"/>
              <w:rPr>
                <w:rFonts w:ascii="Times New Roman"/>
                <w:sz w:val="21"/>
                <w:szCs w:val="21"/>
              </w:rPr>
            </w:pPr>
            <w:r>
              <w:rPr>
                <w:rFonts w:ascii="Times New Roman"/>
                <w:sz w:val="21"/>
                <w:szCs w:val="21"/>
              </w:rPr>
              <w:t>1</w:t>
            </w:r>
          </w:p>
        </w:tc>
        <w:tc>
          <w:tcPr>
            <w:tcW w:w="1462" w:type="pct"/>
            <w:vAlign w:val="center"/>
          </w:tcPr>
          <w:p w14:paraId="0B5B55A9">
            <w:pPr>
              <w:pStyle w:val="192"/>
              <w:spacing w:line="360" w:lineRule="auto"/>
              <w:rPr>
                <w:rFonts w:ascii="Times New Roman"/>
                <w:sz w:val="21"/>
                <w:szCs w:val="21"/>
              </w:rPr>
            </w:pPr>
            <w:r>
              <w:rPr>
                <w:rFonts w:ascii="Times New Roman"/>
                <w:sz w:val="21"/>
                <w:szCs w:val="21"/>
              </w:rPr>
              <w:t>深度</w:t>
            </w:r>
          </w:p>
        </w:tc>
        <w:tc>
          <w:tcPr>
            <w:tcW w:w="3035" w:type="pct"/>
            <w:shd w:val="clear" w:color="auto" w:fill="auto"/>
            <w:vAlign w:val="center"/>
          </w:tcPr>
          <w:p w14:paraId="621EDA28">
            <w:pPr>
              <w:pStyle w:val="192"/>
              <w:spacing w:line="360" w:lineRule="auto"/>
              <w:rPr>
                <w:rFonts w:ascii="Times New Roman"/>
                <w:sz w:val="21"/>
                <w:szCs w:val="21"/>
              </w:rPr>
            </w:pPr>
            <w:r>
              <w:rPr>
                <w:rFonts w:ascii="Times New Roman"/>
                <w:sz w:val="21"/>
                <w:szCs w:val="21"/>
              </w:rPr>
              <w:t>钻芯法</w:t>
            </w:r>
          </w:p>
        </w:tc>
      </w:tr>
      <w:tr w14:paraId="2BA3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503" w:type="pct"/>
          </w:tcPr>
          <w:p w14:paraId="1474E03E">
            <w:pPr>
              <w:pStyle w:val="192"/>
              <w:spacing w:line="360" w:lineRule="auto"/>
              <w:rPr>
                <w:rFonts w:ascii="Times New Roman"/>
                <w:sz w:val="21"/>
                <w:szCs w:val="21"/>
              </w:rPr>
            </w:pPr>
            <w:r>
              <w:rPr>
                <w:rFonts w:ascii="Times New Roman"/>
                <w:sz w:val="21"/>
                <w:szCs w:val="21"/>
              </w:rPr>
              <w:t>2</w:t>
            </w:r>
          </w:p>
        </w:tc>
        <w:tc>
          <w:tcPr>
            <w:tcW w:w="1462" w:type="pct"/>
            <w:vAlign w:val="center"/>
          </w:tcPr>
          <w:p w14:paraId="4504F62C">
            <w:pPr>
              <w:pStyle w:val="192"/>
              <w:spacing w:line="360" w:lineRule="auto"/>
              <w:rPr>
                <w:rFonts w:ascii="Times New Roman"/>
                <w:sz w:val="21"/>
                <w:szCs w:val="21"/>
              </w:rPr>
            </w:pPr>
            <w:r>
              <w:rPr>
                <w:rFonts w:ascii="Times New Roman"/>
                <w:sz w:val="21"/>
                <w:szCs w:val="21"/>
              </w:rPr>
              <w:t>抗压强度</w:t>
            </w:r>
          </w:p>
        </w:tc>
        <w:tc>
          <w:tcPr>
            <w:tcW w:w="3035" w:type="pct"/>
            <w:shd w:val="clear" w:color="auto" w:fill="auto"/>
            <w:vAlign w:val="center"/>
          </w:tcPr>
          <w:p w14:paraId="3C83BA61">
            <w:pPr>
              <w:pStyle w:val="192"/>
              <w:spacing w:line="360" w:lineRule="auto"/>
              <w:rPr>
                <w:rFonts w:ascii="Times New Roman"/>
                <w:sz w:val="21"/>
                <w:szCs w:val="21"/>
              </w:rPr>
            </w:pPr>
            <w:r>
              <w:rPr>
                <w:rFonts w:hint="eastAsia" w:ascii="Times New Roman"/>
                <w:sz w:val="21"/>
                <w:szCs w:val="21"/>
              </w:rPr>
              <w:t>无侧限</w:t>
            </w:r>
            <w:r>
              <w:rPr>
                <w:rFonts w:ascii="Times New Roman"/>
                <w:sz w:val="21"/>
                <w:szCs w:val="21"/>
              </w:rPr>
              <w:t>抗压强度试验</w:t>
            </w:r>
            <w:r>
              <w:rPr>
                <w:rFonts w:hint="eastAsia" w:ascii="Times New Roman"/>
                <w:sz w:val="21"/>
                <w:szCs w:val="21"/>
              </w:rPr>
              <w:t>、抗压强度试验</w:t>
            </w:r>
          </w:p>
        </w:tc>
      </w:tr>
      <w:tr w14:paraId="60FB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503" w:type="pct"/>
          </w:tcPr>
          <w:p w14:paraId="22A6FEEC">
            <w:pPr>
              <w:pStyle w:val="192"/>
              <w:spacing w:line="360" w:lineRule="auto"/>
              <w:rPr>
                <w:rFonts w:ascii="Times New Roman"/>
                <w:sz w:val="21"/>
                <w:szCs w:val="21"/>
              </w:rPr>
            </w:pPr>
            <w:r>
              <w:rPr>
                <w:rFonts w:ascii="Times New Roman"/>
                <w:sz w:val="21"/>
                <w:szCs w:val="21"/>
              </w:rPr>
              <w:t>3</w:t>
            </w:r>
          </w:p>
        </w:tc>
        <w:tc>
          <w:tcPr>
            <w:tcW w:w="1462" w:type="pct"/>
            <w:vAlign w:val="center"/>
          </w:tcPr>
          <w:p w14:paraId="53EDE9DF">
            <w:pPr>
              <w:pStyle w:val="192"/>
              <w:spacing w:line="360" w:lineRule="auto"/>
              <w:rPr>
                <w:rFonts w:ascii="Times New Roman"/>
                <w:sz w:val="21"/>
                <w:szCs w:val="21"/>
              </w:rPr>
            </w:pPr>
            <w:r>
              <w:rPr>
                <w:rFonts w:ascii="Times New Roman"/>
                <w:sz w:val="21"/>
                <w:szCs w:val="21"/>
              </w:rPr>
              <w:t>渗透系数</w:t>
            </w:r>
          </w:p>
        </w:tc>
        <w:tc>
          <w:tcPr>
            <w:tcW w:w="3035" w:type="pct"/>
            <w:shd w:val="clear" w:color="auto" w:fill="auto"/>
            <w:vAlign w:val="center"/>
          </w:tcPr>
          <w:p w14:paraId="6E68A720">
            <w:pPr>
              <w:pStyle w:val="192"/>
              <w:spacing w:line="360" w:lineRule="auto"/>
              <w:rPr>
                <w:rFonts w:ascii="Times New Roman"/>
                <w:sz w:val="21"/>
                <w:szCs w:val="21"/>
              </w:rPr>
            </w:pPr>
            <w:r>
              <w:rPr>
                <w:rFonts w:ascii="Times New Roman"/>
                <w:sz w:val="21"/>
                <w:szCs w:val="21"/>
              </w:rPr>
              <w:t>围井试验、注水试验、压水试验</w:t>
            </w:r>
          </w:p>
        </w:tc>
      </w:tr>
      <w:tr w14:paraId="3BB5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tcPr>
          <w:p w14:paraId="4D9AA336">
            <w:pPr>
              <w:pStyle w:val="192"/>
              <w:spacing w:line="360" w:lineRule="auto"/>
              <w:rPr>
                <w:rFonts w:ascii="Times New Roman"/>
                <w:sz w:val="21"/>
                <w:szCs w:val="21"/>
              </w:rPr>
            </w:pPr>
            <w:r>
              <w:rPr>
                <w:rFonts w:ascii="Times New Roman"/>
                <w:sz w:val="21"/>
                <w:szCs w:val="21"/>
              </w:rPr>
              <w:t>4</w:t>
            </w:r>
          </w:p>
        </w:tc>
        <w:tc>
          <w:tcPr>
            <w:tcW w:w="1462" w:type="pct"/>
            <w:vAlign w:val="center"/>
          </w:tcPr>
          <w:p w14:paraId="14E05977">
            <w:pPr>
              <w:pStyle w:val="192"/>
              <w:spacing w:line="360" w:lineRule="auto"/>
              <w:rPr>
                <w:rFonts w:ascii="Times New Roman"/>
                <w:sz w:val="21"/>
                <w:szCs w:val="21"/>
              </w:rPr>
            </w:pPr>
            <w:r>
              <w:rPr>
                <w:rFonts w:ascii="Times New Roman"/>
                <w:sz w:val="21"/>
                <w:szCs w:val="21"/>
              </w:rPr>
              <w:t>完整性</w:t>
            </w:r>
          </w:p>
        </w:tc>
        <w:tc>
          <w:tcPr>
            <w:tcW w:w="3035" w:type="pct"/>
            <w:shd w:val="clear" w:color="auto" w:fill="auto"/>
            <w:vAlign w:val="center"/>
          </w:tcPr>
          <w:p w14:paraId="714D995D">
            <w:pPr>
              <w:pStyle w:val="166"/>
              <w:spacing w:before="0" w:after="0" w:line="360" w:lineRule="auto"/>
              <w:jc w:val="both"/>
              <w:outlineLvl w:val="9"/>
              <w:rPr>
                <w:rFonts w:ascii="Times New Roman"/>
                <w:sz w:val="21"/>
                <w:szCs w:val="21"/>
              </w:rPr>
            </w:pPr>
            <w:r>
              <w:rPr>
                <w:rFonts w:ascii="Times New Roman" w:eastAsia="宋体"/>
                <w:sz w:val="21"/>
                <w:szCs w:val="21"/>
              </w:rPr>
              <w:t>直流电法</w:t>
            </w:r>
            <w:r>
              <w:rPr>
                <w:rFonts w:hint="eastAsia" w:ascii="Times New Roman" w:eastAsia="宋体"/>
                <w:sz w:val="21"/>
                <w:szCs w:val="21"/>
              </w:rPr>
              <w:t>、</w:t>
            </w:r>
            <w:r>
              <w:rPr>
                <w:rFonts w:ascii="Times New Roman" w:eastAsia="宋体"/>
                <w:sz w:val="21"/>
                <w:szCs w:val="21"/>
              </w:rPr>
              <w:t>电磁法</w:t>
            </w:r>
            <w:r>
              <w:rPr>
                <w:rFonts w:hint="eastAsia" w:ascii="Times New Roman" w:eastAsia="宋体"/>
                <w:sz w:val="21"/>
                <w:szCs w:val="21"/>
              </w:rPr>
              <w:t>、</w:t>
            </w:r>
            <w:r>
              <w:rPr>
                <w:rFonts w:ascii="Times New Roman" w:eastAsia="宋体"/>
                <w:sz w:val="21"/>
                <w:szCs w:val="21"/>
              </w:rPr>
              <w:t>浅层地震法</w:t>
            </w:r>
            <w:r>
              <w:rPr>
                <w:rFonts w:hint="eastAsia" w:ascii="Times New Roman" w:eastAsia="宋体"/>
                <w:sz w:val="21"/>
                <w:szCs w:val="21"/>
              </w:rPr>
              <w:t>、</w:t>
            </w:r>
            <w:r>
              <w:rPr>
                <w:rFonts w:ascii="Times New Roman" w:eastAsia="宋体"/>
                <w:sz w:val="21"/>
                <w:szCs w:val="21"/>
              </w:rPr>
              <w:t>孔中检测法</w:t>
            </w:r>
            <w:r>
              <w:rPr>
                <w:rFonts w:hint="eastAsia" w:ascii="Times New Roman" w:eastAsia="宋体"/>
                <w:sz w:val="21"/>
                <w:szCs w:val="21"/>
              </w:rPr>
              <w:t>、</w:t>
            </w:r>
            <w:r>
              <w:rPr>
                <w:rFonts w:ascii="Times New Roman" w:eastAsia="宋体"/>
                <w:sz w:val="21"/>
                <w:szCs w:val="21"/>
              </w:rPr>
              <w:t>钻芯法</w:t>
            </w:r>
            <w:r>
              <w:rPr>
                <w:rFonts w:hint="eastAsia" w:ascii="Times New Roman" w:eastAsia="宋体"/>
                <w:sz w:val="21"/>
                <w:szCs w:val="21"/>
              </w:rPr>
              <w:t>、双电极法、电火花法</w:t>
            </w:r>
          </w:p>
        </w:tc>
      </w:tr>
      <w:tr w14:paraId="5F80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tcPr>
          <w:p w14:paraId="041DFA72">
            <w:pPr>
              <w:pStyle w:val="192"/>
              <w:spacing w:line="360" w:lineRule="auto"/>
              <w:rPr>
                <w:rFonts w:ascii="Times New Roman"/>
                <w:sz w:val="21"/>
                <w:szCs w:val="21"/>
              </w:rPr>
            </w:pPr>
            <w:r>
              <w:rPr>
                <w:rFonts w:ascii="Times New Roman"/>
                <w:sz w:val="21"/>
                <w:szCs w:val="21"/>
              </w:rPr>
              <w:t>5</w:t>
            </w:r>
          </w:p>
        </w:tc>
        <w:tc>
          <w:tcPr>
            <w:tcW w:w="1462" w:type="pct"/>
            <w:vAlign w:val="center"/>
          </w:tcPr>
          <w:p w14:paraId="142C6FA4">
            <w:pPr>
              <w:pStyle w:val="192"/>
              <w:spacing w:line="360" w:lineRule="auto"/>
              <w:rPr>
                <w:rFonts w:ascii="Times New Roman"/>
                <w:sz w:val="21"/>
                <w:szCs w:val="21"/>
              </w:rPr>
            </w:pPr>
            <w:r>
              <w:rPr>
                <w:rFonts w:ascii="Times New Roman"/>
                <w:sz w:val="21"/>
                <w:szCs w:val="21"/>
              </w:rPr>
              <w:t>阻滞因子</w:t>
            </w:r>
          </w:p>
        </w:tc>
        <w:tc>
          <w:tcPr>
            <w:tcW w:w="3035" w:type="pct"/>
            <w:shd w:val="clear" w:color="auto" w:fill="auto"/>
            <w:vAlign w:val="center"/>
          </w:tcPr>
          <w:p w14:paraId="22961CD2">
            <w:pPr>
              <w:pStyle w:val="192"/>
              <w:spacing w:line="360" w:lineRule="auto"/>
              <w:rPr>
                <w:rFonts w:ascii="Times New Roman"/>
                <w:sz w:val="21"/>
                <w:szCs w:val="21"/>
              </w:rPr>
            </w:pPr>
            <w:r>
              <w:rPr>
                <w:rFonts w:ascii="Times New Roman"/>
                <w:sz w:val="21"/>
                <w:szCs w:val="21"/>
              </w:rPr>
              <w:t>土柱试验</w:t>
            </w:r>
          </w:p>
        </w:tc>
      </w:tr>
      <w:tr w14:paraId="4D17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tcPr>
          <w:p w14:paraId="6F6464C6">
            <w:pPr>
              <w:pStyle w:val="192"/>
              <w:spacing w:line="360" w:lineRule="auto"/>
              <w:rPr>
                <w:rFonts w:ascii="Times New Roman"/>
                <w:sz w:val="21"/>
                <w:szCs w:val="21"/>
              </w:rPr>
            </w:pPr>
            <w:r>
              <w:rPr>
                <w:rFonts w:hint="eastAsia" w:ascii="Times New Roman"/>
                <w:sz w:val="21"/>
                <w:szCs w:val="21"/>
              </w:rPr>
              <w:t>6</w:t>
            </w:r>
          </w:p>
        </w:tc>
        <w:tc>
          <w:tcPr>
            <w:tcW w:w="1462" w:type="pct"/>
            <w:vAlign w:val="center"/>
          </w:tcPr>
          <w:p w14:paraId="769A7129">
            <w:pPr>
              <w:pStyle w:val="192"/>
              <w:spacing w:line="360" w:lineRule="auto"/>
              <w:rPr>
                <w:rFonts w:ascii="Times New Roman"/>
                <w:sz w:val="21"/>
                <w:szCs w:val="21"/>
              </w:rPr>
            </w:pPr>
            <w:r>
              <w:rPr>
                <w:rFonts w:ascii="Times New Roman"/>
                <w:sz w:val="21"/>
                <w:szCs w:val="21"/>
              </w:rPr>
              <w:t>水动力弥散系数</w:t>
            </w:r>
          </w:p>
        </w:tc>
        <w:tc>
          <w:tcPr>
            <w:tcW w:w="3035" w:type="pct"/>
            <w:shd w:val="clear" w:color="auto" w:fill="auto"/>
            <w:vAlign w:val="center"/>
          </w:tcPr>
          <w:p w14:paraId="2B27F2E2">
            <w:pPr>
              <w:pStyle w:val="192"/>
              <w:spacing w:line="360" w:lineRule="auto"/>
              <w:rPr>
                <w:rFonts w:ascii="Times New Roman"/>
                <w:sz w:val="21"/>
                <w:szCs w:val="21"/>
              </w:rPr>
            </w:pPr>
            <w:r>
              <w:rPr>
                <w:rFonts w:ascii="Times New Roman"/>
                <w:sz w:val="21"/>
                <w:szCs w:val="21"/>
              </w:rPr>
              <w:t>土柱试验</w:t>
            </w:r>
          </w:p>
        </w:tc>
      </w:tr>
      <w:tr w14:paraId="6AAC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vAlign w:val="center"/>
          </w:tcPr>
          <w:p w14:paraId="0BB78465">
            <w:pPr>
              <w:pStyle w:val="192"/>
              <w:spacing w:line="360" w:lineRule="auto"/>
              <w:rPr>
                <w:rFonts w:ascii="Times New Roman"/>
                <w:i/>
                <w:iCs/>
                <w:sz w:val="21"/>
                <w:szCs w:val="21"/>
              </w:rPr>
            </w:pPr>
            <w:r>
              <w:rPr>
                <w:rFonts w:hint="eastAsia" w:ascii="Times New Roman"/>
                <w:i/>
                <w:iCs/>
                <w:sz w:val="21"/>
                <w:szCs w:val="21"/>
              </w:rPr>
              <w:t>7</w:t>
            </w:r>
          </w:p>
        </w:tc>
        <w:tc>
          <w:tcPr>
            <w:tcW w:w="1462" w:type="pct"/>
            <w:vAlign w:val="center"/>
          </w:tcPr>
          <w:p w14:paraId="3A9CF3BD">
            <w:pPr>
              <w:pStyle w:val="192"/>
              <w:spacing w:line="360" w:lineRule="auto"/>
              <w:rPr>
                <w:rFonts w:ascii="Times New Roman"/>
                <w:sz w:val="21"/>
                <w:szCs w:val="21"/>
              </w:rPr>
            </w:pPr>
            <w:r>
              <w:rPr>
                <w:rFonts w:ascii="Times New Roman"/>
                <w:sz w:val="21"/>
                <w:szCs w:val="21"/>
              </w:rPr>
              <w:t>厚度</w:t>
            </w:r>
          </w:p>
        </w:tc>
        <w:tc>
          <w:tcPr>
            <w:tcW w:w="3035" w:type="pct"/>
            <w:shd w:val="clear" w:color="auto" w:fill="auto"/>
            <w:vAlign w:val="center"/>
          </w:tcPr>
          <w:p w14:paraId="6B84146E">
            <w:pPr>
              <w:pStyle w:val="192"/>
              <w:spacing w:line="360" w:lineRule="auto"/>
              <w:rPr>
                <w:rFonts w:ascii="Times New Roman"/>
                <w:sz w:val="21"/>
                <w:szCs w:val="21"/>
              </w:rPr>
            </w:pPr>
            <w:r>
              <w:rPr>
                <w:rFonts w:ascii="Times New Roman"/>
                <w:sz w:val="21"/>
                <w:szCs w:val="21"/>
              </w:rPr>
              <w:t>探坑</w:t>
            </w:r>
            <w:r>
              <w:rPr>
                <w:rFonts w:hint="eastAsia" w:ascii="Times New Roman"/>
                <w:sz w:val="21"/>
                <w:szCs w:val="21"/>
              </w:rPr>
              <w:t>法</w:t>
            </w:r>
          </w:p>
        </w:tc>
      </w:tr>
      <w:tr w14:paraId="32A7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tcPr>
          <w:p w14:paraId="282A9E0F">
            <w:pPr>
              <w:pStyle w:val="192"/>
              <w:spacing w:line="360" w:lineRule="auto"/>
              <w:rPr>
                <w:rFonts w:ascii="Times New Roman"/>
                <w:sz w:val="21"/>
                <w:szCs w:val="21"/>
              </w:rPr>
            </w:pPr>
            <w:r>
              <w:rPr>
                <w:rFonts w:hint="eastAsia" w:ascii="Times New Roman"/>
                <w:sz w:val="21"/>
                <w:szCs w:val="21"/>
              </w:rPr>
              <w:t>8</w:t>
            </w:r>
          </w:p>
        </w:tc>
        <w:tc>
          <w:tcPr>
            <w:tcW w:w="1462" w:type="pct"/>
            <w:vAlign w:val="center"/>
          </w:tcPr>
          <w:p w14:paraId="7A61B3D5">
            <w:pPr>
              <w:pStyle w:val="192"/>
              <w:spacing w:line="360" w:lineRule="auto"/>
              <w:rPr>
                <w:rFonts w:ascii="Times New Roman"/>
                <w:sz w:val="21"/>
                <w:szCs w:val="21"/>
              </w:rPr>
            </w:pPr>
            <w:r>
              <w:rPr>
                <w:rFonts w:ascii="Times New Roman"/>
                <w:sz w:val="21"/>
                <w:szCs w:val="21"/>
              </w:rPr>
              <w:t>搭接宽度</w:t>
            </w:r>
          </w:p>
        </w:tc>
        <w:tc>
          <w:tcPr>
            <w:tcW w:w="3035" w:type="pct"/>
            <w:shd w:val="clear" w:color="auto" w:fill="auto"/>
          </w:tcPr>
          <w:p w14:paraId="02356BB9">
            <w:pPr>
              <w:pStyle w:val="192"/>
              <w:spacing w:line="360" w:lineRule="auto"/>
              <w:rPr>
                <w:rFonts w:ascii="Times New Roman"/>
                <w:sz w:val="21"/>
                <w:szCs w:val="21"/>
              </w:rPr>
            </w:pPr>
            <w:r>
              <w:rPr>
                <w:rFonts w:ascii="Times New Roman"/>
                <w:sz w:val="21"/>
                <w:szCs w:val="21"/>
              </w:rPr>
              <w:t>探坑</w:t>
            </w:r>
            <w:r>
              <w:rPr>
                <w:rFonts w:hint="eastAsia" w:ascii="Times New Roman"/>
                <w:sz w:val="21"/>
                <w:szCs w:val="21"/>
              </w:rPr>
              <w:t>法</w:t>
            </w:r>
          </w:p>
        </w:tc>
      </w:tr>
    </w:tbl>
    <w:p w14:paraId="1CF55DCB">
      <w:pPr>
        <w:sectPr>
          <w:headerReference r:id="rId11" w:type="default"/>
          <w:footerReference r:id="rId13" w:type="default"/>
          <w:headerReference r:id="rId12" w:type="even"/>
          <w:footerReference r:id="rId14" w:type="even"/>
          <w:pgSz w:w="11906" w:h="16838"/>
          <w:pgMar w:top="1440" w:right="1797" w:bottom="1440" w:left="1797" w:header="1418" w:footer="1134" w:gutter="0"/>
          <w:cols w:space="425" w:num="1"/>
          <w:formProt w:val="0"/>
          <w:docGrid w:type="lines" w:linePitch="312" w:charSpace="0"/>
        </w:sectPr>
      </w:pPr>
    </w:p>
    <w:p w14:paraId="420D1B24">
      <w:pPr>
        <w:pStyle w:val="126"/>
        <w:numPr>
          <w:ilvl w:val="0"/>
          <w:numId w:val="0"/>
        </w:numPr>
        <w:spacing w:before="156" w:after="156"/>
        <w:rPr>
          <w:rFonts w:ascii="Times New Roman" w:eastAsia="宋体"/>
          <w:b/>
          <w:bCs/>
        </w:rPr>
      </w:pPr>
      <w:r>
        <w:rPr>
          <w:rFonts w:hint="eastAsia" w:ascii="Times New Roman" w:eastAsia="宋体"/>
          <w:b/>
          <w:bCs/>
        </w:rPr>
        <w:t>续</w:t>
      </w:r>
      <w:r>
        <w:rPr>
          <w:rFonts w:ascii="Times New Roman" w:eastAsia="宋体"/>
          <w:b/>
          <w:bCs/>
        </w:rPr>
        <w:t xml:space="preserve">表3.1.4 </w:t>
      </w:r>
    </w:p>
    <w:tbl>
      <w:tblPr>
        <w:tblStyle w:val="35"/>
        <w:tblW w:w="40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86"/>
        <w:gridCol w:w="1993"/>
        <w:gridCol w:w="4137"/>
      </w:tblGrid>
      <w:tr w14:paraId="5BB6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tcBorders>
              <w:top w:val="single" w:color="auto" w:sz="4" w:space="0"/>
              <w:left w:val="single" w:color="auto" w:sz="4" w:space="0"/>
              <w:bottom w:val="single" w:color="auto" w:sz="4" w:space="0"/>
              <w:right w:val="single" w:color="auto" w:sz="4" w:space="0"/>
            </w:tcBorders>
            <w:vAlign w:val="center"/>
          </w:tcPr>
          <w:p w14:paraId="4CCF7162">
            <w:pPr>
              <w:pStyle w:val="192"/>
              <w:rPr>
                <w:rFonts w:ascii="Times New Roman"/>
                <w:sz w:val="21"/>
                <w:szCs w:val="21"/>
              </w:rPr>
            </w:pPr>
            <w:r>
              <w:rPr>
                <w:rFonts w:ascii="Times New Roman"/>
                <w:sz w:val="21"/>
                <w:szCs w:val="21"/>
              </w:rPr>
              <w:t>序号</w:t>
            </w:r>
          </w:p>
        </w:tc>
        <w:tc>
          <w:tcPr>
            <w:tcW w:w="1462" w:type="pct"/>
            <w:tcBorders>
              <w:top w:val="single" w:color="auto" w:sz="4" w:space="0"/>
              <w:left w:val="single" w:color="auto" w:sz="4" w:space="0"/>
              <w:bottom w:val="single" w:color="auto" w:sz="4" w:space="0"/>
              <w:right w:val="single" w:color="auto" w:sz="4" w:space="0"/>
            </w:tcBorders>
            <w:vAlign w:val="center"/>
          </w:tcPr>
          <w:p w14:paraId="14310841">
            <w:pPr>
              <w:pStyle w:val="192"/>
              <w:rPr>
                <w:rFonts w:ascii="Times New Roman"/>
                <w:sz w:val="21"/>
                <w:szCs w:val="21"/>
              </w:rPr>
            </w:pPr>
            <w:r>
              <w:rPr>
                <w:rFonts w:ascii="Times New Roman"/>
                <w:sz w:val="21"/>
                <w:szCs w:val="21"/>
              </w:rPr>
              <w:t>检测项目</w:t>
            </w:r>
          </w:p>
        </w:tc>
        <w:tc>
          <w:tcPr>
            <w:tcW w:w="3035" w:type="pct"/>
            <w:tcBorders>
              <w:top w:val="single" w:color="auto" w:sz="4" w:space="0"/>
              <w:left w:val="single" w:color="auto" w:sz="4" w:space="0"/>
              <w:bottom w:val="single" w:color="auto" w:sz="4" w:space="0"/>
              <w:right w:val="single" w:color="auto" w:sz="4" w:space="0"/>
            </w:tcBorders>
            <w:shd w:val="clear" w:color="auto" w:fill="auto"/>
            <w:vAlign w:val="center"/>
          </w:tcPr>
          <w:p w14:paraId="114929F2">
            <w:pPr>
              <w:pStyle w:val="192"/>
              <w:rPr>
                <w:rFonts w:ascii="Times New Roman"/>
                <w:sz w:val="21"/>
                <w:szCs w:val="21"/>
              </w:rPr>
            </w:pPr>
            <w:r>
              <w:rPr>
                <w:rFonts w:ascii="Times New Roman"/>
                <w:sz w:val="21"/>
                <w:szCs w:val="21"/>
              </w:rPr>
              <w:t>检测方法</w:t>
            </w:r>
          </w:p>
        </w:tc>
      </w:tr>
      <w:tr w14:paraId="5BCC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503" w:type="pct"/>
            <w:vAlign w:val="center"/>
          </w:tcPr>
          <w:p w14:paraId="1097D981">
            <w:pPr>
              <w:pStyle w:val="192"/>
              <w:spacing w:line="360" w:lineRule="auto"/>
              <w:rPr>
                <w:rFonts w:ascii="Times New Roman"/>
                <w:sz w:val="21"/>
                <w:szCs w:val="21"/>
              </w:rPr>
            </w:pPr>
            <w:r>
              <w:rPr>
                <w:rFonts w:hint="eastAsia" w:ascii="Times New Roman"/>
                <w:sz w:val="21"/>
                <w:szCs w:val="21"/>
              </w:rPr>
              <w:t>9</w:t>
            </w:r>
          </w:p>
        </w:tc>
        <w:tc>
          <w:tcPr>
            <w:tcW w:w="1462" w:type="pct"/>
            <w:vAlign w:val="center"/>
          </w:tcPr>
          <w:p w14:paraId="73AA9F2D">
            <w:pPr>
              <w:pStyle w:val="192"/>
              <w:spacing w:line="360" w:lineRule="auto"/>
              <w:rPr>
                <w:rFonts w:ascii="Times New Roman"/>
                <w:sz w:val="21"/>
                <w:szCs w:val="21"/>
              </w:rPr>
            </w:pPr>
            <w:r>
              <w:rPr>
                <w:rFonts w:ascii="Times New Roman"/>
                <w:sz w:val="21"/>
                <w:szCs w:val="21"/>
              </w:rPr>
              <w:t>焊缝强度</w:t>
            </w:r>
          </w:p>
        </w:tc>
        <w:tc>
          <w:tcPr>
            <w:tcW w:w="3035" w:type="pct"/>
            <w:shd w:val="clear" w:color="auto" w:fill="auto"/>
            <w:vAlign w:val="center"/>
          </w:tcPr>
          <w:p w14:paraId="199CA49A">
            <w:pPr>
              <w:pStyle w:val="192"/>
              <w:spacing w:line="360" w:lineRule="auto"/>
              <w:rPr>
                <w:rFonts w:ascii="Times New Roman"/>
                <w:sz w:val="21"/>
                <w:szCs w:val="21"/>
              </w:rPr>
            </w:pPr>
            <w:r>
              <w:rPr>
                <w:rFonts w:hint="eastAsia" w:ascii="Times New Roman"/>
                <w:sz w:val="21"/>
                <w:szCs w:val="21"/>
              </w:rPr>
              <w:t>气压、真空和破坏性检测法、电火花法</w:t>
            </w:r>
          </w:p>
        </w:tc>
      </w:tr>
    </w:tbl>
    <w:p w14:paraId="303E882C">
      <w:pPr>
        <w:pStyle w:val="81"/>
        <w:numPr>
          <w:ilvl w:val="0"/>
          <w:numId w:val="0"/>
        </w:numPr>
        <w:spacing w:before="0" w:beforeLines="0" w:after="0" w:afterLines="0" w:line="360" w:lineRule="auto"/>
        <w:outlineLvl w:val="9"/>
        <w:rPr>
          <w:rFonts w:ascii="宋体" w:hAnsi="宋体" w:eastAsia="宋体" w:cs="宋体"/>
          <w:b/>
          <w:bCs/>
          <w:szCs w:val="21"/>
        </w:rPr>
      </w:pPr>
      <w:bookmarkStart w:id="59" w:name="_Toc193447530"/>
      <w:r>
        <w:rPr>
          <w:rFonts w:hint="eastAsia" w:ascii="宋体" w:hAnsi="宋体" w:eastAsia="宋体" w:cs="宋体"/>
          <w:szCs w:val="21"/>
        </w:rPr>
        <w:t>注：垂直防渗墙完整性检测宜合理选用多种检测方法相互补充、验证。</w:t>
      </w:r>
    </w:p>
    <w:p w14:paraId="64F19D08">
      <w:pPr>
        <w:pStyle w:val="81"/>
        <w:numPr>
          <w:ilvl w:val="0"/>
          <w:numId w:val="0"/>
        </w:numPr>
        <w:spacing w:before="0" w:beforeLines="0" w:after="0" w:afterLines="0" w:line="360" w:lineRule="auto"/>
        <w:outlineLvl w:val="9"/>
        <w:rPr>
          <w:rFonts w:ascii="Times New Roman" w:eastAsia="宋体"/>
          <w:sz w:val="24"/>
          <w:szCs w:val="24"/>
        </w:rPr>
      </w:pPr>
      <w:r>
        <w:rPr>
          <w:rFonts w:hint="eastAsia" w:ascii="Times New Roman" w:eastAsia="宋体"/>
          <w:b/>
          <w:bCs/>
          <w:sz w:val="24"/>
          <w:szCs w:val="24"/>
        </w:rPr>
        <w:t>3</w:t>
      </w:r>
      <w:r>
        <w:rPr>
          <w:rFonts w:ascii="Times New Roman" w:eastAsia="宋体"/>
          <w:b/>
          <w:bCs/>
          <w:sz w:val="24"/>
          <w:szCs w:val="24"/>
        </w:rPr>
        <w:t>.1.5</w:t>
      </w:r>
      <w:r>
        <w:rPr>
          <w:rFonts w:ascii="Times New Roman" w:eastAsia="宋体"/>
          <w:sz w:val="24"/>
          <w:szCs w:val="24"/>
        </w:rPr>
        <w:t xml:space="preserve"> 垂直防渗墙检测时，应采取保护措施避免损坏垂直防渗墙</w:t>
      </w:r>
      <w:r>
        <w:rPr>
          <w:rFonts w:hint="eastAsia" w:ascii="Times New Roman" w:eastAsia="宋体"/>
          <w:sz w:val="24"/>
          <w:szCs w:val="24"/>
        </w:rPr>
        <w:t>；采用破坏性检测时，应在检测完成后及时修复垂直防渗墙</w:t>
      </w:r>
      <w:r>
        <w:rPr>
          <w:rFonts w:ascii="Times New Roman" w:eastAsia="宋体"/>
          <w:sz w:val="24"/>
          <w:szCs w:val="24"/>
        </w:rPr>
        <w:t>。</w:t>
      </w:r>
      <w:bookmarkEnd w:id="59"/>
    </w:p>
    <w:p w14:paraId="08A5834E">
      <w:pPr>
        <w:pStyle w:val="119"/>
        <w:numPr>
          <w:ilvl w:val="0"/>
          <w:numId w:val="0"/>
        </w:numPr>
        <w:spacing w:before="156" w:after="156"/>
        <w:jc w:val="center"/>
        <w:rPr>
          <w:rFonts w:ascii="Times New Roman" w:eastAsia="宋体"/>
          <w:b/>
          <w:bCs/>
          <w:sz w:val="28"/>
          <w:szCs w:val="24"/>
        </w:rPr>
      </w:pPr>
      <w:bookmarkStart w:id="60" w:name="_Toc192078852"/>
      <w:bookmarkStart w:id="61" w:name="_Toc181955261"/>
      <w:bookmarkStart w:id="62" w:name="_Toc195717742"/>
      <w:bookmarkStart w:id="63" w:name="_Toc193447531"/>
      <w:bookmarkStart w:id="64" w:name="_Toc196124335"/>
      <w:bookmarkStart w:id="65" w:name="_Toc193447674"/>
      <w:r>
        <w:rPr>
          <w:rFonts w:ascii="Times New Roman" w:eastAsia="宋体"/>
          <w:b/>
          <w:bCs/>
          <w:sz w:val="28"/>
          <w:szCs w:val="24"/>
        </w:rPr>
        <w:t>3.2 检测工作程序</w:t>
      </w:r>
      <w:bookmarkEnd w:id="60"/>
      <w:bookmarkEnd w:id="61"/>
      <w:r>
        <w:rPr>
          <w:rFonts w:ascii="Times New Roman" w:eastAsia="宋体"/>
          <w:b/>
          <w:bCs/>
          <w:sz w:val="28"/>
          <w:szCs w:val="24"/>
        </w:rPr>
        <w:t>和内容</w:t>
      </w:r>
      <w:bookmarkEnd w:id="62"/>
      <w:bookmarkEnd w:id="63"/>
      <w:bookmarkEnd w:id="64"/>
      <w:bookmarkEnd w:id="65"/>
    </w:p>
    <w:p w14:paraId="5CE13B8E">
      <w:pPr>
        <w:pStyle w:val="81"/>
        <w:numPr>
          <w:ilvl w:val="0"/>
          <w:numId w:val="0"/>
        </w:numPr>
        <w:spacing w:before="156" w:after="156"/>
        <w:outlineLvl w:val="9"/>
        <w:rPr>
          <w:rFonts w:ascii="Times New Roman" w:eastAsia="宋体"/>
          <w:sz w:val="24"/>
          <w:szCs w:val="24"/>
        </w:rPr>
      </w:pPr>
      <w:bookmarkStart w:id="66" w:name="_Toc181955262"/>
      <w:bookmarkStart w:id="67" w:name="_Toc193447532"/>
      <w:r>
        <w:rPr>
          <w:rFonts w:hint="eastAsia" w:ascii="Times New Roman" w:eastAsia="宋体"/>
          <w:b/>
          <w:bCs/>
          <w:sz w:val="24"/>
          <w:szCs w:val="24"/>
        </w:rPr>
        <w:t>3</w:t>
      </w:r>
      <w:r>
        <w:rPr>
          <w:rFonts w:ascii="Times New Roman" w:eastAsia="宋体"/>
          <w:b/>
          <w:bCs/>
          <w:sz w:val="24"/>
          <w:szCs w:val="24"/>
        </w:rPr>
        <w:t>.2.1</w:t>
      </w:r>
      <w:r>
        <w:rPr>
          <w:rFonts w:ascii="Times New Roman" w:eastAsia="宋体"/>
          <w:sz w:val="24"/>
          <w:szCs w:val="24"/>
        </w:rPr>
        <w:t xml:space="preserve"> 检测工作</w:t>
      </w:r>
      <w:r>
        <w:rPr>
          <w:rFonts w:hint="eastAsia" w:ascii="Times New Roman" w:eastAsia="宋体"/>
          <w:sz w:val="24"/>
          <w:szCs w:val="24"/>
        </w:rPr>
        <w:t>程序</w:t>
      </w:r>
      <w:r>
        <w:rPr>
          <w:rFonts w:ascii="Times New Roman" w:eastAsia="宋体"/>
          <w:sz w:val="24"/>
          <w:szCs w:val="24"/>
        </w:rPr>
        <w:t>应按图3.2.1进行。</w:t>
      </w:r>
      <w:bookmarkEnd w:id="66"/>
      <w:bookmarkEnd w:id="67"/>
    </w:p>
    <w:p w14:paraId="73319494">
      <w:pPr>
        <w:pStyle w:val="71"/>
        <w:spacing w:line="360" w:lineRule="auto"/>
        <w:ind w:firstLine="0" w:firstLineChars="0"/>
        <w:jc w:val="center"/>
        <w:rPr>
          <w:rFonts w:ascii="Times New Roman"/>
        </w:rPr>
      </w:pPr>
      <w:r>
        <w:drawing>
          <wp:inline distT="0" distB="0" distL="0" distR="0">
            <wp:extent cx="3108325" cy="5043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cstate="print">
                      <a:extLst>
                        <a:ext uri="{28A0092B-C50C-407E-A947-70E740481C1C}">
                          <a14:useLocalDpi xmlns:a14="http://schemas.microsoft.com/office/drawing/2010/main" val="0"/>
                        </a:ext>
                      </a:extLst>
                    </a:blip>
                    <a:srcRect r="19706"/>
                    <a:stretch>
                      <a:fillRect/>
                    </a:stretch>
                  </pic:blipFill>
                  <pic:spPr>
                    <a:xfrm>
                      <a:off x="0" y="0"/>
                      <a:ext cx="3117388" cy="5058098"/>
                    </a:xfrm>
                    <a:prstGeom prst="rect">
                      <a:avLst/>
                    </a:prstGeom>
                    <a:noFill/>
                    <a:ln>
                      <a:noFill/>
                    </a:ln>
                  </pic:spPr>
                </pic:pic>
              </a:graphicData>
            </a:graphic>
          </wp:inline>
        </w:drawing>
      </w:r>
    </w:p>
    <w:p w14:paraId="3648996F">
      <w:pPr>
        <w:pStyle w:val="128"/>
        <w:numPr>
          <w:ilvl w:val="0"/>
          <w:numId w:val="0"/>
        </w:numPr>
        <w:spacing w:before="156" w:after="156"/>
        <w:rPr>
          <w:rFonts w:ascii="Times New Roman" w:eastAsia="宋体"/>
        </w:rPr>
      </w:pPr>
      <w:r>
        <w:rPr>
          <w:rFonts w:hint="eastAsia" w:ascii="Times New Roman" w:eastAsia="宋体"/>
        </w:rPr>
        <w:t>图</w:t>
      </w:r>
      <w:r>
        <w:rPr>
          <w:rFonts w:ascii="Times New Roman" w:eastAsia="宋体"/>
        </w:rPr>
        <w:t>3.2.1 检测</w:t>
      </w:r>
      <w:r>
        <w:rPr>
          <w:rFonts w:hint="eastAsia" w:ascii="Times New Roman" w:eastAsia="宋体"/>
        </w:rPr>
        <w:t>工作</w:t>
      </w:r>
      <w:r>
        <w:rPr>
          <w:rFonts w:ascii="Times New Roman" w:eastAsia="宋体"/>
        </w:rPr>
        <w:t>程序</w:t>
      </w:r>
    </w:p>
    <w:p w14:paraId="242F5E26">
      <w:pPr>
        <w:pStyle w:val="81"/>
        <w:numPr>
          <w:ilvl w:val="0"/>
          <w:numId w:val="0"/>
        </w:numPr>
        <w:spacing w:before="0" w:beforeLines="0" w:after="0" w:afterLines="0" w:line="360" w:lineRule="auto"/>
        <w:outlineLvl w:val="9"/>
        <w:rPr>
          <w:rFonts w:ascii="Times New Roman" w:eastAsia="宋体"/>
          <w:sz w:val="24"/>
          <w:szCs w:val="22"/>
        </w:rPr>
      </w:pPr>
      <w:bookmarkStart w:id="68" w:name="_Toc181955263"/>
      <w:bookmarkStart w:id="69" w:name="_Toc193447533"/>
      <w:r>
        <w:rPr>
          <w:rFonts w:hint="eastAsia" w:ascii="Times New Roman" w:eastAsia="宋体"/>
          <w:b/>
          <w:bCs/>
          <w:sz w:val="24"/>
          <w:szCs w:val="22"/>
        </w:rPr>
        <w:t>3</w:t>
      </w:r>
      <w:r>
        <w:rPr>
          <w:rFonts w:ascii="Times New Roman" w:eastAsia="宋体"/>
          <w:b/>
          <w:bCs/>
          <w:sz w:val="24"/>
          <w:szCs w:val="22"/>
        </w:rPr>
        <w:t>.2.2</w:t>
      </w:r>
      <w:r>
        <w:rPr>
          <w:rFonts w:ascii="Times New Roman" w:eastAsia="宋体"/>
          <w:sz w:val="24"/>
          <w:szCs w:val="22"/>
        </w:rPr>
        <w:t xml:space="preserve"> 现场调查应根据检测目的和要求，对工程情况和现场环境</w:t>
      </w:r>
      <w:bookmarkEnd w:id="68"/>
      <w:bookmarkStart w:id="70" w:name="_Toc181955264"/>
      <w:r>
        <w:rPr>
          <w:rFonts w:ascii="Times New Roman" w:eastAsia="宋体"/>
          <w:sz w:val="24"/>
          <w:szCs w:val="22"/>
        </w:rPr>
        <w:t>条件进行</w:t>
      </w:r>
      <w:r>
        <w:rPr>
          <w:rFonts w:hint="eastAsia" w:ascii="Times New Roman" w:eastAsia="宋体"/>
          <w:sz w:val="24"/>
          <w:szCs w:val="22"/>
        </w:rPr>
        <w:t>调查</w:t>
      </w:r>
      <w:r>
        <w:rPr>
          <w:rFonts w:ascii="Times New Roman" w:eastAsia="宋体"/>
          <w:sz w:val="24"/>
          <w:szCs w:val="22"/>
        </w:rPr>
        <w:t>和分析；</w:t>
      </w:r>
      <w:r>
        <w:rPr>
          <w:rFonts w:hint="eastAsia" w:ascii="Times New Roman" w:eastAsia="宋体"/>
          <w:sz w:val="24"/>
          <w:szCs w:val="22"/>
        </w:rPr>
        <w:t>调查、</w:t>
      </w:r>
      <w:r>
        <w:rPr>
          <w:rFonts w:ascii="Times New Roman" w:eastAsia="宋体"/>
          <w:sz w:val="24"/>
          <w:szCs w:val="22"/>
        </w:rPr>
        <w:t>资料收集</w:t>
      </w:r>
      <w:r>
        <w:rPr>
          <w:rFonts w:hint="eastAsia" w:ascii="Times New Roman" w:eastAsia="宋体"/>
          <w:sz w:val="24"/>
          <w:szCs w:val="22"/>
        </w:rPr>
        <w:t>应包含以下内容</w:t>
      </w:r>
      <w:r>
        <w:rPr>
          <w:rFonts w:ascii="Times New Roman" w:eastAsia="宋体"/>
          <w:sz w:val="24"/>
          <w:szCs w:val="22"/>
        </w:rPr>
        <w:t>：</w:t>
      </w:r>
      <w:bookmarkEnd w:id="69"/>
      <w:bookmarkEnd w:id="70"/>
    </w:p>
    <w:p w14:paraId="36997440">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1</w:t>
      </w:r>
      <w:r>
        <w:rPr>
          <w:rFonts w:ascii="Times New Roman"/>
          <w:sz w:val="24"/>
          <w:szCs w:val="22"/>
        </w:rPr>
        <w:t xml:space="preserve"> 岩土工程勘察资料、设计文件、施工记录，施工中出现的异常情况记录；</w:t>
      </w:r>
    </w:p>
    <w:p w14:paraId="2B5E9EC2">
      <w:pPr>
        <w:pStyle w:val="123"/>
        <w:numPr>
          <w:ilvl w:val="0"/>
          <w:numId w:val="0"/>
        </w:numPr>
        <w:spacing w:line="360" w:lineRule="auto"/>
        <w:ind w:firstLine="361" w:firstLineChars="150"/>
        <w:rPr>
          <w:rFonts w:ascii="Times New Roman"/>
          <w:sz w:val="24"/>
          <w:szCs w:val="22"/>
        </w:rPr>
      </w:pPr>
      <w:r>
        <w:rPr>
          <w:rFonts w:ascii="Times New Roman"/>
          <w:b/>
          <w:bCs/>
          <w:sz w:val="24"/>
          <w:szCs w:val="22"/>
        </w:rPr>
        <w:t>2</w:t>
      </w:r>
      <w:r>
        <w:rPr>
          <w:rFonts w:ascii="Times New Roman"/>
          <w:sz w:val="24"/>
          <w:szCs w:val="22"/>
        </w:rPr>
        <w:t xml:space="preserve"> 委托方及设计方的具体检测要求；</w:t>
      </w:r>
    </w:p>
    <w:p w14:paraId="03A80438">
      <w:pPr>
        <w:pStyle w:val="123"/>
        <w:numPr>
          <w:ilvl w:val="0"/>
          <w:numId w:val="0"/>
        </w:numPr>
        <w:spacing w:line="360" w:lineRule="auto"/>
        <w:ind w:firstLine="361" w:firstLineChars="150"/>
        <w:rPr>
          <w:rFonts w:ascii="Times New Roman"/>
          <w:sz w:val="24"/>
          <w:szCs w:val="22"/>
        </w:rPr>
      </w:pPr>
      <w:r>
        <w:rPr>
          <w:rFonts w:ascii="Times New Roman"/>
          <w:b/>
          <w:bCs/>
          <w:sz w:val="24"/>
          <w:szCs w:val="22"/>
        </w:rPr>
        <w:t>3</w:t>
      </w:r>
      <w:r>
        <w:rPr>
          <w:rFonts w:ascii="Times New Roman"/>
          <w:sz w:val="24"/>
          <w:szCs w:val="22"/>
        </w:rPr>
        <w:t xml:space="preserve"> 检测现场实施的可行性。</w:t>
      </w:r>
    </w:p>
    <w:p w14:paraId="430DCDE6">
      <w:pPr>
        <w:pStyle w:val="81"/>
        <w:numPr>
          <w:ilvl w:val="0"/>
          <w:numId w:val="0"/>
        </w:numPr>
        <w:spacing w:before="0" w:beforeLines="0" w:after="0" w:afterLines="0" w:line="360" w:lineRule="auto"/>
        <w:outlineLvl w:val="9"/>
        <w:rPr>
          <w:rFonts w:ascii="Times New Roman" w:eastAsia="宋体"/>
          <w:sz w:val="24"/>
          <w:szCs w:val="22"/>
        </w:rPr>
      </w:pPr>
      <w:bookmarkStart w:id="71" w:name="_Toc181955265"/>
      <w:bookmarkStart w:id="72" w:name="_Toc193447535"/>
      <w:r>
        <w:rPr>
          <w:rFonts w:hint="eastAsia" w:ascii="Times New Roman" w:eastAsia="宋体"/>
          <w:b/>
          <w:bCs/>
          <w:sz w:val="24"/>
          <w:szCs w:val="22"/>
        </w:rPr>
        <w:t>3</w:t>
      </w:r>
      <w:r>
        <w:rPr>
          <w:rFonts w:ascii="Times New Roman" w:eastAsia="宋体"/>
          <w:b/>
          <w:bCs/>
          <w:sz w:val="24"/>
          <w:szCs w:val="22"/>
        </w:rPr>
        <w:t>.2.3</w:t>
      </w:r>
      <w:r>
        <w:rPr>
          <w:rFonts w:ascii="Times New Roman" w:eastAsia="宋体"/>
          <w:sz w:val="24"/>
          <w:szCs w:val="22"/>
        </w:rPr>
        <w:t xml:space="preserve"> 检测方案</w:t>
      </w:r>
      <w:r>
        <w:rPr>
          <w:rFonts w:hint="eastAsia" w:ascii="Times New Roman" w:eastAsia="宋体"/>
          <w:sz w:val="24"/>
          <w:szCs w:val="22"/>
        </w:rPr>
        <w:t>应包含以下内容</w:t>
      </w:r>
      <w:r>
        <w:rPr>
          <w:rFonts w:ascii="Times New Roman" w:eastAsia="宋体"/>
          <w:sz w:val="24"/>
          <w:szCs w:val="22"/>
        </w:rPr>
        <w:t>：</w:t>
      </w:r>
      <w:bookmarkEnd w:id="71"/>
      <w:bookmarkEnd w:id="72"/>
    </w:p>
    <w:p w14:paraId="5AC5DE04">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1</w:t>
      </w:r>
      <w:r>
        <w:rPr>
          <w:rFonts w:ascii="Times New Roman" w:eastAsia="宋体"/>
          <w:sz w:val="24"/>
          <w:szCs w:val="22"/>
        </w:rPr>
        <w:t xml:space="preserve"> 工程概况；</w:t>
      </w:r>
    </w:p>
    <w:p w14:paraId="3556B931">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hint="eastAsia" w:ascii="Times New Roman" w:eastAsia="宋体"/>
          <w:b/>
          <w:bCs/>
          <w:sz w:val="24"/>
          <w:szCs w:val="22"/>
        </w:rPr>
        <w:t>2</w:t>
      </w:r>
      <w:r>
        <w:rPr>
          <w:rFonts w:ascii="Times New Roman" w:eastAsia="宋体"/>
          <w:sz w:val="24"/>
          <w:szCs w:val="22"/>
        </w:rPr>
        <w:t xml:space="preserve"> 收集防渗墙相关资料，包括地质条件、设计、施工工艺等；</w:t>
      </w:r>
    </w:p>
    <w:p w14:paraId="52E6AAE0">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3</w:t>
      </w:r>
      <w:r>
        <w:rPr>
          <w:rFonts w:ascii="Times New Roman" w:eastAsia="宋体"/>
          <w:sz w:val="24"/>
          <w:szCs w:val="22"/>
        </w:rPr>
        <w:t xml:space="preserve"> 检测方法、检测数量及其依据的标准；</w:t>
      </w:r>
    </w:p>
    <w:p w14:paraId="0FCE6611">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4</w:t>
      </w:r>
      <w:r>
        <w:rPr>
          <w:rFonts w:ascii="Times New Roman" w:eastAsia="宋体"/>
          <w:sz w:val="24"/>
          <w:szCs w:val="22"/>
        </w:rPr>
        <w:t xml:space="preserve"> 检测点位的选取；</w:t>
      </w:r>
    </w:p>
    <w:p w14:paraId="49849726">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hint="eastAsia" w:ascii="Times New Roman" w:eastAsia="宋体"/>
          <w:b/>
          <w:bCs/>
          <w:sz w:val="24"/>
          <w:szCs w:val="22"/>
        </w:rPr>
        <w:t>5</w:t>
      </w:r>
      <w:r>
        <w:rPr>
          <w:rFonts w:ascii="Times New Roman" w:eastAsia="宋体"/>
          <w:sz w:val="24"/>
          <w:szCs w:val="22"/>
        </w:rPr>
        <w:t xml:space="preserve"> 所需的仪器设备和人员及进度计划；</w:t>
      </w:r>
    </w:p>
    <w:p w14:paraId="58087183">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6</w:t>
      </w:r>
      <w:r>
        <w:rPr>
          <w:rFonts w:ascii="Times New Roman" w:eastAsia="宋体"/>
          <w:sz w:val="24"/>
          <w:szCs w:val="22"/>
        </w:rPr>
        <w:t xml:space="preserve"> 场地供水供电、机械或人工配合需求；</w:t>
      </w:r>
    </w:p>
    <w:p w14:paraId="006A0D3C">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7</w:t>
      </w:r>
      <w:r>
        <w:rPr>
          <w:rFonts w:ascii="Times New Roman" w:eastAsia="宋体"/>
          <w:sz w:val="24"/>
          <w:szCs w:val="22"/>
        </w:rPr>
        <w:t xml:space="preserve"> 应急和环境安全保障措施，包括预案备案、应急物资配备、应急培训和演练、救援队伍及人员管理等环境风险防范制度措施等；</w:t>
      </w:r>
    </w:p>
    <w:p w14:paraId="443A6530">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ascii="Times New Roman" w:eastAsia="宋体"/>
          <w:b/>
          <w:bCs/>
          <w:sz w:val="24"/>
          <w:szCs w:val="22"/>
        </w:rPr>
        <w:t>8</w:t>
      </w:r>
      <w:r>
        <w:rPr>
          <w:rFonts w:ascii="Times New Roman" w:eastAsia="宋体"/>
          <w:sz w:val="24"/>
          <w:szCs w:val="22"/>
        </w:rPr>
        <w:t xml:space="preserve"> 质量及安全保证措施。</w:t>
      </w:r>
    </w:p>
    <w:p w14:paraId="222C5A5C">
      <w:pPr>
        <w:pStyle w:val="81"/>
        <w:numPr>
          <w:ilvl w:val="0"/>
          <w:numId w:val="0"/>
        </w:numPr>
        <w:spacing w:before="0" w:beforeLines="0" w:after="0" w:afterLines="0" w:line="360" w:lineRule="auto"/>
        <w:outlineLvl w:val="9"/>
        <w:rPr>
          <w:rFonts w:ascii="Times New Roman" w:eastAsia="宋体"/>
          <w:sz w:val="24"/>
          <w:szCs w:val="22"/>
        </w:rPr>
      </w:pPr>
      <w:bookmarkStart w:id="73" w:name="_Toc193447539"/>
      <w:r>
        <w:rPr>
          <w:rFonts w:hint="eastAsia" w:ascii="Times New Roman" w:eastAsia="宋体"/>
          <w:b/>
          <w:bCs/>
          <w:sz w:val="24"/>
          <w:szCs w:val="22"/>
        </w:rPr>
        <w:t>3</w:t>
      </w:r>
      <w:r>
        <w:rPr>
          <w:rFonts w:ascii="Times New Roman" w:eastAsia="宋体"/>
          <w:b/>
          <w:bCs/>
          <w:sz w:val="24"/>
          <w:szCs w:val="22"/>
        </w:rPr>
        <w:t>.2.4</w:t>
      </w:r>
      <w:r>
        <w:rPr>
          <w:rFonts w:ascii="Times New Roman" w:eastAsia="宋体"/>
          <w:sz w:val="24"/>
          <w:szCs w:val="22"/>
        </w:rPr>
        <w:t xml:space="preserve"> 检测方法的选择应符合下列要求：</w:t>
      </w:r>
      <w:bookmarkEnd w:id="73"/>
    </w:p>
    <w:p w14:paraId="28170AC0">
      <w:pPr>
        <w:pStyle w:val="123"/>
        <w:numPr>
          <w:ilvl w:val="0"/>
          <w:numId w:val="0"/>
        </w:numPr>
        <w:spacing w:line="360" w:lineRule="auto"/>
        <w:ind w:firstLine="361" w:firstLineChars="150"/>
        <w:rPr>
          <w:rFonts w:ascii="Times New Roman"/>
          <w:sz w:val="24"/>
          <w:szCs w:val="22"/>
        </w:rPr>
      </w:pPr>
      <w:r>
        <w:rPr>
          <w:rFonts w:ascii="Times New Roman"/>
          <w:b/>
          <w:bCs/>
          <w:sz w:val="24"/>
          <w:szCs w:val="22"/>
        </w:rPr>
        <w:t>1</w:t>
      </w:r>
      <w:r>
        <w:rPr>
          <w:rFonts w:ascii="Times New Roman"/>
          <w:sz w:val="24"/>
          <w:szCs w:val="22"/>
        </w:rPr>
        <w:t xml:space="preserve"> 垂直防渗墙工艺性试验应进行渗透系数、完整性、抗压强度、阻滞因子、水动力弥散系数检测，并结合设计要求进行其它检测；垂直防渗墙验收检测应进行渗透系数、完整性、抗压强度、深度、厚度</w:t>
      </w:r>
      <w:r>
        <w:rPr>
          <w:rFonts w:hint="eastAsia" w:ascii="Times New Roman"/>
          <w:sz w:val="24"/>
          <w:szCs w:val="22"/>
        </w:rPr>
        <w:t>、搭接宽度、焊缝强度</w:t>
      </w:r>
      <w:r>
        <w:rPr>
          <w:rFonts w:ascii="Times New Roman"/>
          <w:sz w:val="24"/>
          <w:szCs w:val="22"/>
        </w:rPr>
        <w:t>的检测。</w:t>
      </w:r>
    </w:p>
    <w:p w14:paraId="78CB839D">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2</w:t>
      </w:r>
      <w:r>
        <w:rPr>
          <w:rFonts w:ascii="Times New Roman"/>
          <w:sz w:val="24"/>
          <w:szCs w:val="22"/>
        </w:rPr>
        <w:t xml:space="preserve"> 注浆帷幕</w:t>
      </w:r>
      <w:r>
        <w:rPr>
          <w:rFonts w:hint="eastAsia" w:ascii="Times New Roman"/>
          <w:sz w:val="24"/>
          <w:szCs w:val="22"/>
        </w:rPr>
        <w:t>的</w:t>
      </w:r>
      <w:r>
        <w:rPr>
          <w:rFonts w:ascii="Times New Roman"/>
          <w:sz w:val="24"/>
          <w:szCs w:val="22"/>
        </w:rPr>
        <w:t>渗透系数检测宜采用压水试验</w:t>
      </w:r>
      <w:r>
        <w:rPr>
          <w:rFonts w:hint="eastAsia" w:ascii="Times New Roman"/>
          <w:sz w:val="24"/>
          <w:szCs w:val="22"/>
        </w:rPr>
        <w:t>或注水试验</w:t>
      </w:r>
      <w:r>
        <w:rPr>
          <w:rFonts w:ascii="Times New Roman"/>
          <w:sz w:val="24"/>
          <w:szCs w:val="22"/>
        </w:rPr>
        <w:t>；膨润土系垂直防渗墙宜采用注水试验，水泥系垂直防渗墙宜采用注水，</w:t>
      </w:r>
      <w:r>
        <w:rPr>
          <w:rFonts w:hint="eastAsia" w:ascii="Times New Roman"/>
          <w:sz w:val="24"/>
          <w:szCs w:val="22"/>
        </w:rPr>
        <w:t>塑性混凝土垂直防渗墙宜采用压水试验，</w:t>
      </w:r>
      <w:r>
        <w:rPr>
          <w:rFonts w:ascii="Times New Roman"/>
          <w:sz w:val="24"/>
          <w:szCs w:val="22"/>
        </w:rPr>
        <w:t>其它形式的防渗墙渗透系数宜根据施工工艺合理选用相应的</w:t>
      </w:r>
      <w:r>
        <w:rPr>
          <w:rFonts w:hint="eastAsia" w:ascii="Times New Roman"/>
          <w:sz w:val="24"/>
          <w:szCs w:val="22"/>
        </w:rPr>
        <w:t>检测</w:t>
      </w:r>
      <w:r>
        <w:rPr>
          <w:rFonts w:ascii="Times New Roman"/>
          <w:sz w:val="24"/>
          <w:szCs w:val="22"/>
        </w:rPr>
        <w:t>方法。</w:t>
      </w:r>
    </w:p>
    <w:p w14:paraId="3E27376D">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3</w:t>
      </w:r>
      <w:r>
        <w:rPr>
          <w:rFonts w:ascii="Times New Roman"/>
          <w:sz w:val="24"/>
          <w:szCs w:val="22"/>
        </w:rPr>
        <w:t xml:space="preserve"> </w:t>
      </w:r>
      <w:r>
        <w:rPr>
          <w:rFonts w:hint="eastAsia" w:ascii="Times New Roman"/>
          <w:sz w:val="24"/>
          <w:szCs w:val="22"/>
        </w:rPr>
        <w:t>垂直防渗墙的深度检测应采用</w:t>
      </w:r>
      <w:r>
        <w:rPr>
          <w:rFonts w:ascii="Times New Roman"/>
          <w:sz w:val="24"/>
          <w:szCs w:val="22"/>
        </w:rPr>
        <w:t>钻芯法</w:t>
      </w:r>
      <w:r>
        <w:rPr>
          <w:rFonts w:hint="eastAsia" w:ascii="Times New Roman"/>
          <w:sz w:val="24"/>
          <w:szCs w:val="22"/>
        </w:rPr>
        <w:t>；垂直防渗墙</w:t>
      </w:r>
      <w:r>
        <w:rPr>
          <w:rFonts w:ascii="Times New Roman"/>
          <w:sz w:val="24"/>
          <w:szCs w:val="22"/>
        </w:rPr>
        <w:t>抗压强度、阻滞因子、水动力弥散系数检测</w:t>
      </w:r>
      <w:r>
        <w:rPr>
          <w:rFonts w:hint="eastAsia" w:ascii="Times New Roman"/>
          <w:sz w:val="24"/>
          <w:szCs w:val="22"/>
        </w:rPr>
        <w:t>应采用钻芯取样后按进行室内试验；宜</w:t>
      </w:r>
      <w:r>
        <w:rPr>
          <w:rFonts w:ascii="Times New Roman"/>
          <w:sz w:val="24"/>
          <w:szCs w:val="22"/>
        </w:rPr>
        <w:t>利用压</w:t>
      </w:r>
      <w:r>
        <w:rPr>
          <w:rFonts w:hint="eastAsia" w:ascii="Times New Roman"/>
          <w:sz w:val="24"/>
          <w:szCs w:val="22"/>
        </w:rPr>
        <w:t>、</w:t>
      </w:r>
      <w:r>
        <w:rPr>
          <w:rFonts w:ascii="Times New Roman"/>
          <w:sz w:val="24"/>
          <w:szCs w:val="22"/>
        </w:rPr>
        <w:t>注水试验钻孔同步开展。</w:t>
      </w:r>
    </w:p>
    <w:p w14:paraId="3D0050BD">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4</w:t>
      </w:r>
      <w:r>
        <w:rPr>
          <w:rFonts w:ascii="Times New Roman"/>
          <w:sz w:val="24"/>
          <w:szCs w:val="22"/>
        </w:rPr>
        <w:t xml:space="preserve"> </w:t>
      </w:r>
      <w:r>
        <w:rPr>
          <w:rFonts w:ascii="Times New Roman"/>
          <w:sz w:val="24"/>
          <w:szCs w:val="24"/>
        </w:rPr>
        <w:t>垂直防渗墙</w:t>
      </w:r>
      <w:r>
        <w:rPr>
          <w:rFonts w:hint="eastAsia" w:ascii="Times New Roman"/>
          <w:sz w:val="24"/>
          <w:szCs w:val="24"/>
        </w:rPr>
        <w:t>的完整性应优先</w:t>
      </w:r>
      <w:r>
        <w:rPr>
          <w:rFonts w:ascii="Times New Roman"/>
          <w:sz w:val="24"/>
          <w:szCs w:val="24"/>
        </w:rPr>
        <w:t>采用</w:t>
      </w:r>
      <w:r>
        <w:rPr>
          <w:rFonts w:hint="eastAsia" w:ascii="Times New Roman"/>
          <w:sz w:val="24"/>
          <w:szCs w:val="24"/>
        </w:rPr>
        <w:t>地面</w:t>
      </w:r>
      <w:r>
        <w:rPr>
          <w:rFonts w:ascii="Times New Roman"/>
          <w:sz w:val="24"/>
          <w:szCs w:val="24"/>
        </w:rPr>
        <w:t>地球物理</w:t>
      </w:r>
      <w:r>
        <w:rPr>
          <w:rFonts w:hint="eastAsia" w:ascii="Times New Roman"/>
          <w:sz w:val="24"/>
          <w:szCs w:val="24"/>
        </w:rPr>
        <w:t>检</w:t>
      </w:r>
      <w:r>
        <w:rPr>
          <w:rFonts w:ascii="Times New Roman"/>
          <w:sz w:val="24"/>
          <w:szCs w:val="24"/>
        </w:rPr>
        <w:t>测</w:t>
      </w:r>
      <w:r>
        <w:rPr>
          <w:rFonts w:hint="eastAsia" w:ascii="Times New Roman"/>
          <w:sz w:val="24"/>
          <w:szCs w:val="24"/>
        </w:rPr>
        <w:t>法；地面</w:t>
      </w:r>
      <w:r>
        <w:rPr>
          <w:rFonts w:ascii="Times New Roman"/>
          <w:sz w:val="24"/>
          <w:szCs w:val="24"/>
        </w:rPr>
        <w:t>地球物理</w:t>
      </w:r>
      <w:r>
        <w:rPr>
          <w:rFonts w:hint="eastAsia" w:ascii="Times New Roman"/>
          <w:sz w:val="24"/>
          <w:szCs w:val="24"/>
        </w:rPr>
        <w:t>检</w:t>
      </w:r>
      <w:r>
        <w:rPr>
          <w:rFonts w:ascii="Times New Roman"/>
          <w:sz w:val="24"/>
          <w:szCs w:val="24"/>
        </w:rPr>
        <w:t>测</w:t>
      </w:r>
      <w:r>
        <w:rPr>
          <w:rFonts w:hint="eastAsia" w:ascii="Times New Roman"/>
          <w:sz w:val="24"/>
          <w:szCs w:val="24"/>
        </w:rPr>
        <w:t>方法</w:t>
      </w:r>
      <w:r>
        <w:rPr>
          <w:rFonts w:ascii="Times New Roman"/>
          <w:sz w:val="24"/>
          <w:szCs w:val="24"/>
        </w:rPr>
        <w:t>应</w:t>
      </w:r>
      <w:r>
        <w:rPr>
          <w:rFonts w:hint="eastAsia" w:ascii="Times New Roman"/>
          <w:sz w:val="24"/>
          <w:szCs w:val="24"/>
        </w:rPr>
        <w:t>结合</w:t>
      </w:r>
      <w:r>
        <w:rPr>
          <w:rFonts w:ascii="Times New Roman"/>
          <w:sz w:val="24"/>
          <w:szCs w:val="24"/>
        </w:rPr>
        <w:t>现场有效性试验、环境条件、工程特点按附录B选用</w:t>
      </w:r>
      <w:r>
        <w:rPr>
          <w:rFonts w:hint="eastAsia" w:ascii="Times New Roman"/>
          <w:sz w:val="24"/>
          <w:szCs w:val="24"/>
        </w:rPr>
        <w:t>，宜</w:t>
      </w:r>
      <w:r>
        <w:rPr>
          <w:rFonts w:ascii="Times New Roman"/>
          <w:sz w:val="24"/>
          <w:szCs w:val="24"/>
        </w:rPr>
        <w:t>采用</w:t>
      </w:r>
      <w:r>
        <w:rPr>
          <w:rFonts w:hint="eastAsia" w:ascii="Times New Roman"/>
          <w:sz w:val="24"/>
          <w:szCs w:val="24"/>
        </w:rPr>
        <w:t>两种及以上</w:t>
      </w:r>
      <w:r>
        <w:rPr>
          <w:rFonts w:ascii="Times New Roman"/>
          <w:sz w:val="24"/>
          <w:szCs w:val="24"/>
        </w:rPr>
        <w:t>地球物理</w:t>
      </w:r>
      <w:r>
        <w:rPr>
          <w:rFonts w:hint="eastAsia" w:ascii="Times New Roman"/>
          <w:sz w:val="24"/>
          <w:szCs w:val="24"/>
        </w:rPr>
        <w:t>检</w:t>
      </w:r>
      <w:r>
        <w:rPr>
          <w:rFonts w:ascii="Times New Roman"/>
          <w:sz w:val="24"/>
          <w:szCs w:val="24"/>
        </w:rPr>
        <w:t>测</w:t>
      </w:r>
      <w:r>
        <w:rPr>
          <w:rFonts w:hint="eastAsia" w:ascii="Times New Roman"/>
          <w:sz w:val="24"/>
          <w:szCs w:val="24"/>
        </w:rPr>
        <w:t>方</w:t>
      </w:r>
      <w:r>
        <w:rPr>
          <w:rFonts w:ascii="Times New Roman"/>
          <w:sz w:val="24"/>
          <w:szCs w:val="24"/>
        </w:rPr>
        <w:t>法对全墙段</w:t>
      </w:r>
      <w:r>
        <w:rPr>
          <w:rFonts w:hint="eastAsia" w:ascii="Times New Roman"/>
          <w:sz w:val="24"/>
          <w:szCs w:val="24"/>
        </w:rPr>
        <w:t>进行检测</w:t>
      </w:r>
      <w:r>
        <w:rPr>
          <w:rFonts w:ascii="Times New Roman"/>
          <w:sz w:val="24"/>
          <w:szCs w:val="22"/>
        </w:rPr>
        <w:t>。</w:t>
      </w:r>
    </w:p>
    <w:p w14:paraId="4501AE62">
      <w:pPr>
        <w:pStyle w:val="123"/>
        <w:numPr>
          <w:ilvl w:val="0"/>
          <w:numId w:val="0"/>
        </w:numPr>
        <w:spacing w:line="360" w:lineRule="auto"/>
        <w:ind w:firstLine="361" w:firstLineChars="150"/>
        <w:rPr>
          <w:rFonts w:ascii="Times New Roman"/>
          <w:sz w:val="24"/>
          <w:szCs w:val="22"/>
        </w:rPr>
      </w:pPr>
      <w:r>
        <w:rPr>
          <w:rFonts w:ascii="Times New Roman"/>
          <w:b/>
          <w:bCs/>
          <w:sz w:val="24"/>
          <w:szCs w:val="22"/>
        </w:rPr>
        <w:t>5</w:t>
      </w:r>
      <w:r>
        <w:rPr>
          <w:rFonts w:ascii="Times New Roman"/>
          <w:sz w:val="24"/>
          <w:szCs w:val="22"/>
        </w:rPr>
        <w:t xml:space="preserve"> </w:t>
      </w:r>
      <w:r>
        <w:rPr>
          <w:rFonts w:hint="eastAsia" w:ascii="Times New Roman"/>
          <w:sz w:val="24"/>
          <w:szCs w:val="22"/>
        </w:rPr>
        <w:t>垂直防渗墙的</w:t>
      </w:r>
      <w:r>
        <w:rPr>
          <w:rFonts w:ascii="Times New Roman"/>
          <w:sz w:val="24"/>
          <w:szCs w:val="22"/>
        </w:rPr>
        <w:t>水动力弥散系数</w:t>
      </w:r>
      <w:r>
        <w:rPr>
          <w:rFonts w:hint="eastAsia" w:ascii="Times New Roman"/>
          <w:sz w:val="24"/>
          <w:szCs w:val="22"/>
        </w:rPr>
        <w:t>和</w:t>
      </w:r>
      <w:r>
        <w:rPr>
          <w:rFonts w:ascii="Times New Roman"/>
          <w:sz w:val="24"/>
          <w:szCs w:val="22"/>
        </w:rPr>
        <w:t>阻滞因子</w:t>
      </w:r>
      <w:r>
        <w:rPr>
          <w:rFonts w:hint="eastAsia" w:ascii="Times New Roman"/>
          <w:sz w:val="24"/>
          <w:szCs w:val="22"/>
        </w:rPr>
        <w:t>应采用土柱法检测。</w:t>
      </w:r>
    </w:p>
    <w:p w14:paraId="61519EC2">
      <w:pPr>
        <w:pStyle w:val="71"/>
        <w:ind w:firstLine="482"/>
      </w:pPr>
      <w:r>
        <w:rPr>
          <w:rFonts w:hint="eastAsia" w:ascii="Times New Roman"/>
          <w:b/>
          <w:bCs/>
          <w:sz w:val="24"/>
          <w:szCs w:val="22"/>
        </w:rPr>
        <w:t>6</w:t>
      </w:r>
      <w:r>
        <w:rPr>
          <w:rFonts w:ascii="Times New Roman"/>
          <w:sz w:val="24"/>
          <w:szCs w:val="22"/>
        </w:rPr>
        <w:t xml:space="preserve"> 高密度聚乙烯土工膜复合防渗墙</w:t>
      </w:r>
      <w:r>
        <w:rPr>
          <w:rFonts w:hint="eastAsia" w:ascii="Times New Roman"/>
          <w:sz w:val="24"/>
          <w:szCs w:val="22"/>
        </w:rPr>
        <w:t>的焊缝强度宜采用气压、真空和电火花法等非破坏性的检测方法；焊缝强度采用破坏性检测时应控制检测数量。</w:t>
      </w:r>
    </w:p>
    <w:p w14:paraId="33F35261">
      <w:pPr>
        <w:pStyle w:val="81"/>
        <w:numPr>
          <w:ilvl w:val="0"/>
          <w:numId w:val="0"/>
        </w:numPr>
        <w:spacing w:before="0" w:beforeLines="0" w:after="0" w:afterLines="0" w:line="360" w:lineRule="auto"/>
        <w:outlineLvl w:val="9"/>
        <w:rPr>
          <w:rFonts w:ascii="Times New Roman" w:eastAsia="宋体"/>
          <w:sz w:val="24"/>
          <w:szCs w:val="22"/>
        </w:rPr>
      </w:pPr>
      <w:bookmarkStart w:id="74" w:name="_Toc181955267"/>
      <w:bookmarkStart w:id="75" w:name="_Toc193447540"/>
      <w:r>
        <w:rPr>
          <w:rFonts w:hint="eastAsia" w:ascii="Times New Roman" w:eastAsia="宋体"/>
          <w:b/>
          <w:bCs/>
          <w:sz w:val="24"/>
          <w:szCs w:val="24"/>
        </w:rPr>
        <w:t>3</w:t>
      </w:r>
      <w:r>
        <w:rPr>
          <w:rFonts w:ascii="Times New Roman" w:eastAsia="宋体"/>
          <w:b/>
          <w:bCs/>
          <w:sz w:val="24"/>
          <w:szCs w:val="24"/>
        </w:rPr>
        <w:t>.2.5</w:t>
      </w:r>
      <w:r>
        <w:rPr>
          <w:rFonts w:ascii="Times New Roman" w:eastAsia="宋体"/>
          <w:sz w:val="24"/>
          <w:szCs w:val="22"/>
        </w:rPr>
        <w:t xml:space="preserve"> 检测部位选择应遵循随机、均布原则，</w:t>
      </w:r>
      <w:r>
        <w:rPr>
          <w:rFonts w:hint="eastAsia" w:ascii="Times New Roman" w:eastAsia="宋体"/>
          <w:sz w:val="24"/>
          <w:szCs w:val="22"/>
        </w:rPr>
        <w:t>还</w:t>
      </w:r>
      <w:r>
        <w:rPr>
          <w:rFonts w:ascii="Times New Roman" w:eastAsia="宋体"/>
          <w:sz w:val="24"/>
          <w:szCs w:val="22"/>
        </w:rPr>
        <w:t>应符合以下规定：</w:t>
      </w:r>
      <w:bookmarkEnd w:id="74"/>
      <w:bookmarkEnd w:id="75"/>
    </w:p>
    <w:p w14:paraId="0751BDA4">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4"/>
        </w:rPr>
        <w:t>1</w:t>
      </w:r>
      <w:r>
        <w:rPr>
          <w:rFonts w:ascii="Times New Roman"/>
          <w:sz w:val="24"/>
          <w:szCs w:val="22"/>
        </w:rPr>
        <w:t xml:space="preserve"> 施工质量有疑问或施工过程出现异常的部位；</w:t>
      </w:r>
    </w:p>
    <w:p w14:paraId="01BD3E3B">
      <w:pPr>
        <w:pStyle w:val="123"/>
        <w:numPr>
          <w:ilvl w:val="0"/>
          <w:numId w:val="0"/>
        </w:numPr>
        <w:spacing w:line="360" w:lineRule="auto"/>
        <w:ind w:firstLine="361" w:firstLineChars="150"/>
        <w:rPr>
          <w:rFonts w:ascii="Times New Roman"/>
          <w:sz w:val="24"/>
          <w:szCs w:val="22"/>
        </w:rPr>
      </w:pPr>
      <w:r>
        <w:rPr>
          <w:rFonts w:ascii="Times New Roman"/>
          <w:b/>
          <w:bCs/>
          <w:sz w:val="24"/>
          <w:szCs w:val="24"/>
        </w:rPr>
        <w:t>2</w:t>
      </w:r>
      <w:r>
        <w:rPr>
          <w:rFonts w:ascii="Times New Roman"/>
          <w:sz w:val="24"/>
          <w:szCs w:val="22"/>
        </w:rPr>
        <w:t xml:space="preserve"> </w:t>
      </w:r>
      <w:r>
        <w:rPr>
          <w:rFonts w:hint="eastAsia" w:ascii="Times New Roman"/>
          <w:sz w:val="24"/>
          <w:szCs w:val="22"/>
        </w:rPr>
        <w:t>地球物理</w:t>
      </w:r>
      <w:r>
        <w:rPr>
          <w:rFonts w:ascii="Times New Roman"/>
          <w:sz w:val="24"/>
          <w:szCs w:val="22"/>
        </w:rPr>
        <w:t>检测</w:t>
      </w:r>
      <w:r>
        <w:rPr>
          <w:rFonts w:hint="eastAsia" w:ascii="Times New Roman"/>
          <w:sz w:val="24"/>
          <w:szCs w:val="22"/>
        </w:rPr>
        <w:t>初步判断</w:t>
      </w:r>
      <w:r>
        <w:rPr>
          <w:rFonts w:ascii="Times New Roman"/>
          <w:sz w:val="24"/>
          <w:szCs w:val="22"/>
        </w:rPr>
        <w:t>异常部位；</w:t>
      </w:r>
    </w:p>
    <w:p w14:paraId="1B33B131">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4"/>
        </w:rPr>
        <w:t>3</w:t>
      </w:r>
      <w:r>
        <w:rPr>
          <w:rFonts w:ascii="Times New Roman"/>
          <w:sz w:val="24"/>
          <w:szCs w:val="22"/>
        </w:rPr>
        <w:t xml:space="preserve"> </w:t>
      </w:r>
      <w:r>
        <w:rPr>
          <w:rFonts w:hint="eastAsia" w:ascii="Times New Roman"/>
          <w:sz w:val="24"/>
          <w:szCs w:val="22"/>
        </w:rPr>
        <w:t>地质</w:t>
      </w:r>
      <w:r>
        <w:rPr>
          <w:rFonts w:ascii="Times New Roman"/>
          <w:sz w:val="24"/>
          <w:szCs w:val="22"/>
        </w:rPr>
        <w:t>条件复杂的部位；</w:t>
      </w:r>
    </w:p>
    <w:p w14:paraId="5FE4CC94">
      <w:pPr>
        <w:pStyle w:val="123"/>
        <w:numPr>
          <w:ilvl w:val="0"/>
          <w:numId w:val="0"/>
        </w:numPr>
        <w:spacing w:line="360" w:lineRule="auto"/>
        <w:ind w:firstLine="361" w:firstLineChars="150"/>
        <w:rPr>
          <w:rFonts w:ascii="Times New Roman"/>
          <w:sz w:val="24"/>
          <w:szCs w:val="22"/>
        </w:rPr>
      </w:pPr>
      <w:r>
        <w:rPr>
          <w:rFonts w:ascii="Times New Roman"/>
          <w:b/>
          <w:bCs/>
          <w:sz w:val="24"/>
          <w:szCs w:val="24"/>
        </w:rPr>
        <w:t>4</w:t>
      </w:r>
      <w:r>
        <w:rPr>
          <w:rFonts w:ascii="Times New Roman"/>
          <w:sz w:val="24"/>
          <w:szCs w:val="22"/>
        </w:rPr>
        <w:t xml:space="preserve"> 设计认为重要的部位；</w:t>
      </w:r>
    </w:p>
    <w:p w14:paraId="288615E0">
      <w:pPr>
        <w:pStyle w:val="123"/>
        <w:numPr>
          <w:ilvl w:val="0"/>
          <w:numId w:val="0"/>
        </w:numPr>
        <w:spacing w:line="360" w:lineRule="auto"/>
        <w:ind w:firstLine="361" w:firstLineChars="150"/>
        <w:rPr>
          <w:rFonts w:ascii="Times New Roman"/>
          <w:sz w:val="24"/>
          <w:szCs w:val="22"/>
        </w:rPr>
      </w:pPr>
      <w:r>
        <w:rPr>
          <w:rFonts w:ascii="Times New Roman"/>
          <w:b/>
          <w:bCs/>
          <w:sz w:val="24"/>
          <w:szCs w:val="24"/>
        </w:rPr>
        <w:t>5</w:t>
      </w:r>
      <w:r>
        <w:rPr>
          <w:rFonts w:ascii="Times New Roman"/>
          <w:sz w:val="24"/>
          <w:szCs w:val="22"/>
        </w:rPr>
        <w:t xml:space="preserve"> 不同施工工艺</w:t>
      </w:r>
      <w:r>
        <w:rPr>
          <w:rFonts w:hint="eastAsia" w:ascii="Times New Roman"/>
          <w:sz w:val="24"/>
          <w:szCs w:val="22"/>
        </w:rPr>
        <w:t>衔接</w:t>
      </w:r>
      <w:r>
        <w:rPr>
          <w:rFonts w:ascii="Times New Roman"/>
          <w:sz w:val="24"/>
          <w:szCs w:val="22"/>
        </w:rPr>
        <w:t>部位。</w:t>
      </w:r>
    </w:p>
    <w:p w14:paraId="2B2972A0">
      <w:pPr>
        <w:pStyle w:val="81"/>
        <w:numPr>
          <w:ilvl w:val="0"/>
          <w:numId w:val="0"/>
        </w:numPr>
        <w:spacing w:before="0" w:beforeLines="0" w:after="0" w:afterLines="0" w:line="360" w:lineRule="auto"/>
        <w:outlineLvl w:val="9"/>
        <w:rPr>
          <w:rFonts w:ascii="Times New Roman" w:eastAsia="宋体"/>
          <w:sz w:val="24"/>
          <w:szCs w:val="22"/>
        </w:rPr>
      </w:pPr>
      <w:bookmarkStart w:id="76" w:name="_Toc193447541"/>
      <w:r>
        <w:rPr>
          <w:rFonts w:hint="eastAsia" w:ascii="Times New Roman" w:eastAsia="宋体"/>
          <w:b/>
          <w:bCs/>
          <w:sz w:val="24"/>
          <w:szCs w:val="22"/>
        </w:rPr>
        <w:t>3</w:t>
      </w:r>
      <w:r>
        <w:rPr>
          <w:rFonts w:ascii="Times New Roman" w:eastAsia="宋体"/>
          <w:b/>
          <w:bCs/>
          <w:sz w:val="24"/>
          <w:szCs w:val="22"/>
        </w:rPr>
        <w:t>.2.6</w:t>
      </w:r>
      <w:r>
        <w:rPr>
          <w:rFonts w:ascii="Times New Roman" w:eastAsia="宋体"/>
          <w:sz w:val="24"/>
          <w:szCs w:val="22"/>
        </w:rPr>
        <w:t xml:space="preserve"> 检测报告应包含以下内容：</w:t>
      </w:r>
      <w:bookmarkEnd w:id="76"/>
      <w:r>
        <w:rPr>
          <w:rFonts w:ascii="Times New Roman" w:eastAsia="宋体"/>
          <w:sz w:val="24"/>
          <w:szCs w:val="22"/>
        </w:rPr>
        <w:t xml:space="preserve"> </w:t>
      </w:r>
    </w:p>
    <w:p w14:paraId="0C4BF2CF">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1</w:t>
      </w:r>
      <w:r>
        <w:rPr>
          <w:rFonts w:ascii="Times New Roman"/>
          <w:sz w:val="24"/>
          <w:szCs w:val="24"/>
        </w:rPr>
        <w:t xml:space="preserve"> 工程概况，包括工程名称，建设、勘察、设计和施工单位，勘察及设计情况，施工工艺，检测目的，检测依据，检测数量，检测日期；</w:t>
      </w:r>
    </w:p>
    <w:p w14:paraId="5BBFCD25">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检测方案，包括</w:t>
      </w:r>
      <w:r>
        <w:rPr>
          <w:rFonts w:hint="eastAsia" w:ascii="Times New Roman"/>
          <w:sz w:val="24"/>
          <w:szCs w:val="24"/>
        </w:rPr>
        <w:t>检测内容、</w:t>
      </w:r>
      <w:r>
        <w:rPr>
          <w:rFonts w:ascii="Times New Roman"/>
          <w:sz w:val="24"/>
          <w:szCs w:val="24"/>
        </w:rPr>
        <w:t>检测方法，检测仪器设备；</w:t>
      </w:r>
    </w:p>
    <w:p w14:paraId="6F20B4A5">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3</w:t>
      </w:r>
      <w:r>
        <w:rPr>
          <w:rFonts w:hint="eastAsia" w:ascii="Times New Roman"/>
          <w:sz w:val="24"/>
          <w:szCs w:val="24"/>
        </w:rPr>
        <w:t xml:space="preserve"> 现场检测，包括检测点或线的布置、数据采集与处理等；</w:t>
      </w:r>
    </w:p>
    <w:p w14:paraId="59010117">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4</w:t>
      </w:r>
      <w:r>
        <w:rPr>
          <w:rFonts w:ascii="Times New Roman"/>
          <w:sz w:val="24"/>
          <w:szCs w:val="24"/>
        </w:rPr>
        <w:t xml:space="preserve"> 检测数据，实测与计算分析</w:t>
      </w:r>
      <w:r>
        <w:rPr>
          <w:rFonts w:hint="eastAsia" w:ascii="Times New Roman"/>
          <w:sz w:val="24"/>
          <w:szCs w:val="24"/>
        </w:rPr>
        <w:t>数据</w:t>
      </w:r>
      <w:r>
        <w:rPr>
          <w:rFonts w:ascii="Times New Roman"/>
          <w:sz w:val="24"/>
          <w:szCs w:val="24"/>
        </w:rPr>
        <w:t>、表格和汇总结果；</w:t>
      </w:r>
    </w:p>
    <w:p w14:paraId="47026B10">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5</w:t>
      </w:r>
      <w:r>
        <w:rPr>
          <w:rFonts w:ascii="Times New Roman"/>
          <w:sz w:val="24"/>
          <w:szCs w:val="24"/>
        </w:rPr>
        <w:t xml:space="preserve"> 检测结论，与检测内容相应的检测结论</w:t>
      </w:r>
      <w:r>
        <w:rPr>
          <w:rFonts w:hint="eastAsia" w:ascii="Times New Roman"/>
          <w:sz w:val="24"/>
          <w:szCs w:val="24"/>
        </w:rPr>
        <w:t>，</w:t>
      </w:r>
      <w:r>
        <w:rPr>
          <w:rFonts w:ascii="Times New Roman"/>
          <w:sz w:val="24"/>
          <w:szCs w:val="24"/>
        </w:rPr>
        <w:t>并评价检测对象是否满足要求。</w:t>
      </w:r>
    </w:p>
    <w:p w14:paraId="784E433C">
      <w:pPr>
        <w:pStyle w:val="119"/>
        <w:numPr>
          <w:ilvl w:val="0"/>
          <w:numId w:val="0"/>
        </w:numPr>
        <w:spacing w:before="156" w:after="156" w:line="360" w:lineRule="auto"/>
        <w:jc w:val="center"/>
        <w:rPr>
          <w:rFonts w:ascii="Times New Roman" w:eastAsia="宋体"/>
          <w:b/>
          <w:bCs/>
          <w:sz w:val="28"/>
          <w:szCs w:val="24"/>
        </w:rPr>
      </w:pPr>
      <w:bookmarkStart w:id="77" w:name="_Toc181955268"/>
      <w:bookmarkStart w:id="78" w:name="_Toc196124336"/>
      <w:bookmarkStart w:id="79" w:name="_Toc192078853"/>
      <w:bookmarkStart w:id="80" w:name="_Toc193447675"/>
      <w:bookmarkStart w:id="81" w:name="_Toc193447542"/>
      <w:bookmarkStart w:id="82" w:name="_Toc195717743"/>
      <w:r>
        <w:rPr>
          <w:rFonts w:ascii="Times New Roman" w:eastAsia="宋体"/>
          <w:b/>
          <w:bCs/>
          <w:sz w:val="28"/>
          <w:szCs w:val="24"/>
        </w:rPr>
        <w:t>3.3 验证及扩大检测</w:t>
      </w:r>
      <w:bookmarkEnd w:id="77"/>
      <w:bookmarkEnd w:id="78"/>
      <w:bookmarkEnd w:id="79"/>
      <w:bookmarkEnd w:id="80"/>
      <w:bookmarkEnd w:id="81"/>
      <w:bookmarkEnd w:id="82"/>
    </w:p>
    <w:p w14:paraId="129A472A">
      <w:pPr>
        <w:pStyle w:val="81"/>
        <w:numPr>
          <w:ilvl w:val="0"/>
          <w:numId w:val="0"/>
        </w:numPr>
        <w:spacing w:before="0" w:beforeLines="0" w:after="0" w:afterLines="0" w:line="360" w:lineRule="auto"/>
        <w:outlineLvl w:val="9"/>
        <w:rPr>
          <w:rFonts w:ascii="Times New Roman" w:eastAsia="宋体"/>
          <w:sz w:val="24"/>
          <w:szCs w:val="24"/>
        </w:rPr>
      </w:pPr>
      <w:bookmarkStart w:id="83" w:name="_Toc193447543"/>
      <w:bookmarkStart w:id="84" w:name="_Toc181955269"/>
      <w:r>
        <w:rPr>
          <w:rFonts w:hint="eastAsia" w:ascii="Times New Roman" w:eastAsia="宋体"/>
          <w:b/>
          <w:bCs/>
          <w:sz w:val="24"/>
          <w:szCs w:val="22"/>
        </w:rPr>
        <w:t>3</w:t>
      </w:r>
      <w:r>
        <w:rPr>
          <w:rFonts w:ascii="Times New Roman" w:eastAsia="宋体"/>
          <w:b/>
          <w:bCs/>
          <w:sz w:val="24"/>
          <w:szCs w:val="22"/>
        </w:rPr>
        <w:t>.3.1</w:t>
      </w:r>
      <w:r>
        <w:rPr>
          <w:rFonts w:ascii="Times New Roman" w:eastAsia="宋体"/>
          <w:sz w:val="24"/>
          <w:szCs w:val="22"/>
        </w:rPr>
        <w:t xml:space="preserve"> </w:t>
      </w:r>
      <w:r>
        <w:rPr>
          <w:rFonts w:hint="eastAsia" w:ascii="Times New Roman" w:eastAsia="宋体"/>
          <w:sz w:val="24"/>
          <w:szCs w:val="22"/>
        </w:rPr>
        <w:t>当多种地面地球物理检测出现质量缺陷</w:t>
      </w:r>
      <w:r>
        <w:rPr>
          <w:rFonts w:ascii="Times New Roman" w:eastAsia="宋体"/>
          <w:sz w:val="24"/>
          <w:szCs w:val="22"/>
        </w:rPr>
        <w:t>，</w:t>
      </w:r>
      <w:r>
        <w:rPr>
          <w:rFonts w:ascii="Times New Roman" w:eastAsia="宋体"/>
          <w:sz w:val="24"/>
          <w:szCs w:val="24"/>
        </w:rPr>
        <w:t>应采用钻芯法</w:t>
      </w:r>
      <w:r>
        <w:rPr>
          <w:rFonts w:hint="eastAsia" w:ascii="Times New Roman" w:eastAsia="宋体"/>
          <w:sz w:val="24"/>
          <w:szCs w:val="24"/>
        </w:rPr>
        <w:t>、</w:t>
      </w:r>
      <w:r>
        <w:rPr>
          <w:rFonts w:ascii="Times New Roman" w:eastAsia="宋体"/>
          <w:sz w:val="24"/>
          <w:szCs w:val="24"/>
        </w:rPr>
        <w:t>探坑法等方法验证</w:t>
      </w:r>
      <w:bookmarkEnd w:id="83"/>
      <w:r>
        <w:rPr>
          <w:rFonts w:hint="eastAsia" w:ascii="Times New Roman" w:eastAsia="宋体"/>
          <w:sz w:val="24"/>
          <w:szCs w:val="24"/>
        </w:rPr>
        <w:t>；采用钻芯法验证的同时宜同步开展孔中检测。</w:t>
      </w:r>
    </w:p>
    <w:bookmarkEnd w:id="84"/>
    <w:p w14:paraId="21599A76">
      <w:pPr>
        <w:pStyle w:val="81"/>
        <w:numPr>
          <w:ilvl w:val="0"/>
          <w:numId w:val="0"/>
        </w:numPr>
        <w:spacing w:before="0" w:beforeLines="0" w:after="0" w:afterLines="0" w:line="360" w:lineRule="auto"/>
        <w:outlineLvl w:val="9"/>
        <w:rPr>
          <w:rFonts w:ascii="Times New Roman"/>
          <w:highlight w:val="yellow"/>
        </w:rPr>
      </w:pPr>
      <w:bookmarkStart w:id="85" w:name="_Toc181955272"/>
      <w:bookmarkStart w:id="86" w:name="_Toc193447544"/>
      <w:r>
        <w:rPr>
          <w:rFonts w:hint="eastAsia" w:ascii="Times New Roman" w:eastAsia="宋体"/>
          <w:b/>
          <w:bCs/>
          <w:sz w:val="24"/>
          <w:szCs w:val="22"/>
        </w:rPr>
        <w:t>3</w:t>
      </w:r>
      <w:r>
        <w:rPr>
          <w:rFonts w:ascii="Times New Roman" w:eastAsia="宋体"/>
          <w:b/>
          <w:bCs/>
          <w:sz w:val="24"/>
          <w:szCs w:val="22"/>
        </w:rPr>
        <w:t>.3.2</w:t>
      </w:r>
      <w:r>
        <w:rPr>
          <w:rFonts w:ascii="Times New Roman" w:eastAsia="宋体"/>
          <w:sz w:val="24"/>
          <w:szCs w:val="22"/>
        </w:rPr>
        <w:t xml:space="preserve"> 当</w:t>
      </w:r>
      <w:r>
        <w:rPr>
          <w:rFonts w:hint="eastAsia" w:ascii="Times New Roman" w:eastAsia="宋体"/>
          <w:sz w:val="24"/>
          <w:szCs w:val="22"/>
        </w:rPr>
        <w:t>深度、抗压强度、渗透系数、阻滞因子、水动力弥散系数、厚度、搭接宽度、焊缝强度等检</w:t>
      </w:r>
      <w:r>
        <w:rPr>
          <w:rFonts w:ascii="Times New Roman" w:eastAsia="宋体"/>
          <w:sz w:val="24"/>
          <w:szCs w:val="22"/>
        </w:rPr>
        <w:t>测结果不满足设计</w:t>
      </w:r>
      <w:r>
        <w:rPr>
          <w:rFonts w:hint="eastAsia" w:ascii="Times New Roman" w:eastAsia="宋体"/>
          <w:sz w:val="24"/>
          <w:szCs w:val="22"/>
        </w:rPr>
        <w:t>或规范规定的</w:t>
      </w:r>
      <w:r>
        <w:rPr>
          <w:rFonts w:ascii="Times New Roman" w:eastAsia="宋体"/>
          <w:sz w:val="24"/>
          <w:szCs w:val="22"/>
        </w:rPr>
        <w:t>要求时，应分析原因并扩大检测</w:t>
      </w:r>
      <w:r>
        <w:rPr>
          <w:rFonts w:hint="eastAsia" w:ascii="Times New Roman" w:eastAsia="宋体"/>
          <w:sz w:val="24"/>
          <w:szCs w:val="22"/>
        </w:rPr>
        <w:t>，</w:t>
      </w:r>
      <w:r>
        <w:rPr>
          <w:rFonts w:ascii="Times New Roman" w:eastAsia="宋体"/>
          <w:sz w:val="24"/>
          <w:szCs w:val="24"/>
        </w:rPr>
        <w:t>扩大检测</w:t>
      </w:r>
      <w:r>
        <w:rPr>
          <w:rFonts w:hint="eastAsia" w:ascii="Times New Roman" w:eastAsia="宋体"/>
          <w:sz w:val="24"/>
          <w:szCs w:val="24"/>
        </w:rPr>
        <w:t>点</w:t>
      </w:r>
      <w:r>
        <w:rPr>
          <w:rFonts w:ascii="Times New Roman" w:eastAsia="宋体"/>
          <w:sz w:val="24"/>
          <w:szCs w:val="24"/>
        </w:rPr>
        <w:t>数量和范围应得到工程建设有关方的确认。</w:t>
      </w:r>
      <w:bookmarkEnd w:id="85"/>
      <w:bookmarkEnd w:id="86"/>
    </w:p>
    <w:p w14:paraId="5CB189CF">
      <w:pPr>
        <w:pStyle w:val="81"/>
        <w:numPr>
          <w:ilvl w:val="0"/>
          <w:numId w:val="0"/>
        </w:numPr>
        <w:spacing w:before="0" w:beforeLines="0" w:after="0" w:afterLines="0" w:line="360" w:lineRule="auto"/>
        <w:outlineLvl w:val="9"/>
        <w:rPr>
          <w:rFonts w:ascii="Times New Roman" w:eastAsia="宋体"/>
          <w:sz w:val="24"/>
          <w:szCs w:val="22"/>
        </w:rPr>
        <w:sectPr>
          <w:pgSz w:w="11906" w:h="16838"/>
          <w:pgMar w:top="1440" w:right="1797" w:bottom="1440" w:left="1797" w:header="1418" w:footer="1134" w:gutter="0"/>
          <w:cols w:space="425" w:num="1"/>
          <w:formProt w:val="0"/>
          <w:docGrid w:type="lines" w:linePitch="312" w:charSpace="0"/>
        </w:sectPr>
      </w:pPr>
      <w:bookmarkStart w:id="87" w:name="_Toc193447545"/>
      <w:bookmarkStart w:id="88" w:name="_Toc181955273"/>
      <w:r>
        <w:rPr>
          <w:rFonts w:hint="eastAsia" w:ascii="Times New Roman" w:eastAsia="宋体"/>
          <w:b/>
          <w:bCs/>
          <w:sz w:val="24"/>
          <w:szCs w:val="22"/>
        </w:rPr>
        <w:t>3</w:t>
      </w:r>
      <w:r>
        <w:rPr>
          <w:rFonts w:ascii="Times New Roman" w:eastAsia="宋体"/>
          <w:b/>
          <w:bCs/>
          <w:sz w:val="24"/>
          <w:szCs w:val="22"/>
        </w:rPr>
        <w:t>.3.3</w:t>
      </w:r>
      <w:r>
        <w:rPr>
          <w:rFonts w:ascii="Times New Roman" w:eastAsia="宋体"/>
          <w:sz w:val="24"/>
          <w:szCs w:val="22"/>
        </w:rPr>
        <w:t xml:space="preserve"> 对检测</w:t>
      </w:r>
      <w:r>
        <w:rPr>
          <w:rFonts w:hint="eastAsia" w:ascii="Times New Roman" w:eastAsia="宋体"/>
          <w:sz w:val="24"/>
          <w:szCs w:val="22"/>
        </w:rPr>
        <w:t>不合格</w:t>
      </w:r>
      <w:r>
        <w:rPr>
          <w:rFonts w:ascii="Times New Roman" w:eastAsia="宋体"/>
          <w:sz w:val="24"/>
          <w:szCs w:val="22"/>
        </w:rPr>
        <w:t>处进行施工处理后的工程部位应重新进行检测。</w:t>
      </w:r>
      <w:bookmarkEnd w:id="87"/>
      <w:bookmarkEnd w:id="88"/>
      <w:bookmarkStart w:id="89" w:name="_Toc181955274"/>
    </w:p>
    <w:p w14:paraId="343E93F7">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90" w:name="_Toc193447676"/>
      <w:bookmarkStart w:id="91" w:name="_Toc193447546"/>
      <w:bookmarkStart w:id="92" w:name="_Toc196124337"/>
      <w:bookmarkStart w:id="93" w:name="_Toc192078854"/>
      <w:r>
        <w:rPr>
          <w:rFonts w:hint="eastAsia" w:ascii="Times New Roman" w:hAnsi="Times New Roman"/>
          <w:b/>
          <w:sz w:val="36"/>
          <w:szCs w:val="36"/>
        </w:rPr>
        <w:t>4</w:t>
      </w:r>
      <w:r>
        <w:rPr>
          <w:rFonts w:ascii="Times New Roman" w:hAnsi="Times New Roman"/>
          <w:b/>
          <w:sz w:val="36"/>
          <w:szCs w:val="36"/>
        </w:rPr>
        <w:t>检测方法</w:t>
      </w:r>
      <w:bookmarkEnd w:id="89"/>
      <w:bookmarkEnd w:id="90"/>
      <w:bookmarkEnd w:id="91"/>
      <w:bookmarkEnd w:id="92"/>
      <w:bookmarkEnd w:id="93"/>
    </w:p>
    <w:p w14:paraId="49C59348">
      <w:pPr>
        <w:pStyle w:val="119"/>
        <w:numPr>
          <w:ilvl w:val="0"/>
          <w:numId w:val="0"/>
        </w:numPr>
        <w:spacing w:before="156" w:after="156" w:line="360" w:lineRule="auto"/>
        <w:jc w:val="center"/>
        <w:rPr>
          <w:rFonts w:ascii="Times New Roman" w:eastAsia="宋体"/>
          <w:b/>
          <w:bCs/>
          <w:sz w:val="28"/>
          <w:szCs w:val="24"/>
        </w:rPr>
      </w:pPr>
      <w:bookmarkStart w:id="94" w:name="_Toc193447677"/>
      <w:bookmarkStart w:id="95" w:name="_Toc192078855"/>
      <w:bookmarkStart w:id="96" w:name="_Toc193447547"/>
      <w:bookmarkStart w:id="97" w:name="_Toc195717744"/>
      <w:bookmarkStart w:id="98" w:name="_Toc181955275"/>
      <w:bookmarkStart w:id="99" w:name="_Toc196124338"/>
      <w:r>
        <w:rPr>
          <w:rFonts w:hint="eastAsia" w:ascii="Times New Roman" w:eastAsia="宋体"/>
          <w:b/>
          <w:bCs/>
          <w:sz w:val="28"/>
          <w:szCs w:val="24"/>
        </w:rPr>
        <w:t>4</w:t>
      </w:r>
      <w:r>
        <w:rPr>
          <w:rFonts w:ascii="Times New Roman" w:eastAsia="宋体"/>
          <w:b/>
          <w:bCs/>
          <w:sz w:val="28"/>
          <w:szCs w:val="24"/>
        </w:rPr>
        <w:t>.1 一般规定</w:t>
      </w:r>
      <w:bookmarkEnd w:id="94"/>
      <w:bookmarkEnd w:id="95"/>
      <w:bookmarkEnd w:id="96"/>
      <w:bookmarkEnd w:id="97"/>
      <w:bookmarkEnd w:id="98"/>
      <w:bookmarkEnd w:id="99"/>
    </w:p>
    <w:p w14:paraId="2893350E">
      <w:pPr>
        <w:pStyle w:val="81"/>
        <w:numPr>
          <w:ilvl w:val="0"/>
          <w:numId w:val="0"/>
        </w:numPr>
        <w:spacing w:before="0" w:beforeLines="0" w:after="0" w:afterLines="0" w:line="360" w:lineRule="auto"/>
        <w:outlineLvl w:val="9"/>
        <w:rPr>
          <w:rFonts w:ascii="Times New Roman" w:eastAsia="宋体"/>
          <w:sz w:val="24"/>
          <w:szCs w:val="24"/>
        </w:rPr>
      </w:pPr>
      <w:bookmarkStart w:id="100" w:name="_Toc193447548"/>
      <w:r>
        <w:rPr>
          <w:rFonts w:hint="eastAsia" w:ascii="Times New Roman" w:eastAsia="宋体"/>
          <w:b/>
          <w:bCs/>
          <w:sz w:val="24"/>
          <w:szCs w:val="24"/>
        </w:rPr>
        <w:t>4</w:t>
      </w:r>
      <w:r>
        <w:rPr>
          <w:rFonts w:ascii="Times New Roman" w:eastAsia="宋体"/>
          <w:b/>
          <w:bCs/>
          <w:sz w:val="24"/>
          <w:szCs w:val="24"/>
        </w:rPr>
        <w:t>.1.1</w:t>
      </w:r>
      <w:r>
        <w:rPr>
          <w:rFonts w:ascii="Times New Roman" w:eastAsia="宋体"/>
          <w:sz w:val="24"/>
          <w:szCs w:val="24"/>
        </w:rPr>
        <w:t xml:space="preserve"> 垂直防渗墙厚度</w:t>
      </w:r>
      <w:r>
        <w:rPr>
          <w:rFonts w:hint="eastAsia" w:ascii="Times New Roman" w:eastAsia="宋体"/>
          <w:sz w:val="24"/>
          <w:szCs w:val="24"/>
        </w:rPr>
        <w:t>宜采用探坑法检测，开挖深度</w:t>
      </w:r>
      <w:r>
        <w:rPr>
          <w:rFonts w:ascii="Times New Roman" w:eastAsia="宋体"/>
          <w:sz w:val="24"/>
          <w:szCs w:val="24"/>
        </w:rPr>
        <w:t>不宜大于3m</w:t>
      </w:r>
      <w:r>
        <w:rPr>
          <w:rFonts w:hint="eastAsia" w:ascii="Times New Roman" w:eastAsia="宋体"/>
          <w:sz w:val="24"/>
          <w:szCs w:val="24"/>
        </w:rPr>
        <w:t>；探坑法应符合现行行业标准《水利水电工程坑探规程》S</w:t>
      </w:r>
      <w:r>
        <w:rPr>
          <w:rFonts w:ascii="Times New Roman" w:eastAsia="宋体"/>
          <w:sz w:val="24"/>
          <w:szCs w:val="24"/>
        </w:rPr>
        <w:t>L 166</w:t>
      </w:r>
      <w:r>
        <w:rPr>
          <w:rFonts w:hint="eastAsia" w:ascii="Times New Roman" w:eastAsia="宋体"/>
          <w:sz w:val="24"/>
          <w:szCs w:val="24"/>
        </w:rPr>
        <w:t>的有关规定</w:t>
      </w:r>
      <w:r>
        <w:rPr>
          <w:rFonts w:ascii="Times New Roman" w:eastAsia="宋体"/>
          <w:sz w:val="24"/>
          <w:szCs w:val="24"/>
        </w:rPr>
        <w:t>。</w:t>
      </w:r>
      <w:bookmarkEnd w:id="100"/>
    </w:p>
    <w:p w14:paraId="684CD398">
      <w:pPr>
        <w:pStyle w:val="81"/>
        <w:numPr>
          <w:ilvl w:val="0"/>
          <w:numId w:val="0"/>
        </w:numPr>
        <w:spacing w:before="0" w:beforeLines="0" w:after="0" w:afterLines="0" w:line="360" w:lineRule="auto"/>
        <w:outlineLvl w:val="9"/>
        <w:rPr>
          <w:rFonts w:ascii="Times New Roman" w:eastAsia="宋体"/>
          <w:sz w:val="24"/>
          <w:szCs w:val="24"/>
        </w:rPr>
      </w:pPr>
      <w:bookmarkStart w:id="101" w:name="_Toc193447549"/>
      <w:r>
        <w:rPr>
          <w:rFonts w:hint="eastAsia" w:ascii="Times New Roman" w:eastAsia="宋体"/>
          <w:b/>
          <w:bCs/>
          <w:sz w:val="24"/>
          <w:szCs w:val="24"/>
        </w:rPr>
        <w:t>4</w:t>
      </w:r>
      <w:r>
        <w:rPr>
          <w:rFonts w:ascii="Times New Roman" w:eastAsia="宋体"/>
          <w:b/>
          <w:bCs/>
          <w:sz w:val="24"/>
          <w:szCs w:val="24"/>
        </w:rPr>
        <w:t>.1.2</w:t>
      </w:r>
      <w:r>
        <w:rPr>
          <w:rFonts w:ascii="Times New Roman" w:eastAsia="宋体"/>
          <w:sz w:val="24"/>
          <w:szCs w:val="24"/>
        </w:rPr>
        <w:t xml:space="preserve"> 垂直防渗墙</w:t>
      </w:r>
      <w:r>
        <w:rPr>
          <w:rFonts w:hint="eastAsia" w:ascii="Times New Roman" w:eastAsia="宋体"/>
          <w:sz w:val="24"/>
          <w:szCs w:val="24"/>
        </w:rPr>
        <w:t>现场</w:t>
      </w:r>
      <w:r>
        <w:rPr>
          <w:rFonts w:ascii="Times New Roman" w:eastAsia="宋体"/>
          <w:sz w:val="24"/>
          <w:szCs w:val="24"/>
        </w:rPr>
        <w:t>工艺性试验检测时，垂直防渗墙渗透系数应采用围井试验或压（注）水试验方法，检测数量应满足设计要求，且在同一条件下不少于3处。垂直防渗墙阻滞因子、水动力弥散系数应采用土柱试验方法确定，检测数量应满足设计要求，且在同一条件下不少于1处。</w:t>
      </w:r>
      <w:bookmarkEnd w:id="101"/>
    </w:p>
    <w:p w14:paraId="2D583901">
      <w:pPr>
        <w:pStyle w:val="81"/>
        <w:numPr>
          <w:ilvl w:val="0"/>
          <w:numId w:val="0"/>
        </w:numPr>
        <w:spacing w:before="0" w:beforeLines="0" w:after="0" w:afterLines="0" w:line="360" w:lineRule="auto"/>
        <w:outlineLvl w:val="9"/>
        <w:rPr>
          <w:rFonts w:ascii="Times New Roman" w:eastAsia="宋体"/>
          <w:sz w:val="24"/>
          <w:szCs w:val="24"/>
        </w:rPr>
      </w:pPr>
      <w:bookmarkStart w:id="102" w:name="_Toc193447550"/>
      <w:r>
        <w:rPr>
          <w:rFonts w:hint="eastAsia" w:ascii="Times New Roman" w:eastAsia="宋体"/>
          <w:b/>
          <w:bCs/>
          <w:sz w:val="24"/>
          <w:szCs w:val="24"/>
        </w:rPr>
        <w:t>4</w:t>
      </w:r>
      <w:r>
        <w:rPr>
          <w:rFonts w:ascii="Times New Roman" w:eastAsia="宋体"/>
          <w:b/>
          <w:bCs/>
          <w:sz w:val="24"/>
          <w:szCs w:val="24"/>
        </w:rPr>
        <w:t>.1.3</w:t>
      </w:r>
      <w:r>
        <w:rPr>
          <w:rFonts w:ascii="Times New Roman" w:eastAsia="宋体"/>
          <w:sz w:val="24"/>
          <w:szCs w:val="24"/>
        </w:rPr>
        <w:t xml:space="preserve"> 钻孔</w:t>
      </w:r>
      <w:r>
        <w:rPr>
          <w:rFonts w:hint="eastAsia" w:ascii="Times New Roman" w:eastAsia="宋体"/>
          <w:sz w:val="24"/>
          <w:szCs w:val="24"/>
        </w:rPr>
        <w:t>检测</w:t>
      </w:r>
      <w:r>
        <w:rPr>
          <w:rFonts w:ascii="Times New Roman" w:eastAsia="宋体"/>
          <w:sz w:val="24"/>
          <w:szCs w:val="24"/>
        </w:rPr>
        <w:t>结束后，</w:t>
      </w:r>
      <w:r>
        <w:rPr>
          <w:rFonts w:hint="eastAsia" w:ascii="Times New Roman" w:eastAsia="宋体"/>
          <w:sz w:val="24"/>
          <w:szCs w:val="24"/>
        </w:rPr>
        <w:t>应采用水泥-膨润土浆液、水泥砂浆等止水材料</w:t>
      </w:r>
      <w:r>
        <w:rPr>
          <w:rFonts w:ascii="Times New Roman" w:eastAsia="宋体"/>
          <w:sz w:val="24"/>
          <w:szCs w:val="24"/>
        </w:rPr>
        <w:t>进行灌浆和封孔。</w:t>
      </w:r>
      <w:bookmarkEnd w:id="102"/>
    </w:p>
    <w:p w14:paraId="23ADFD3C">
      <w:pPr>
        <w:pStyle w:val="81"/>
        <w:numPr>
          <w:ilvl w:val="0"/>
          <w:numId w:val="0"/>
        </w:numPr>
        <w:spacing w:before="0" w:beforeLines="0" w:after="0" w:afterLines="0" w:line="360" w:lineRule="auto"/>
        <w:outlineLvl w:val="9"/>
        <w:rPr>
          <w:rFonts w:ascii="Times New Roman" w:eastAsia="宋体"/>
          <w:b/>
          <w:bCs/>
          <w:sz w:val="24"/>
          <w:szCs w:val="24"/>
        </w:rPr>
      </w:pPr>
      <w:r>
        <w:rPr>
          <w:rFonts w:hint="eastAsia" w:ascii="Times New Roman" w:eastAsia="宋体"/>
          <w:b/>
          <w:bCs/>
          <w:sz w:val="24"/>
          <w:szCs w:val="24"/>
        </w:rPr>
        <w:t>4.1.4</w:t>
      </w:r>
      <w:r>
        <w:rPr>
          <w:rFonts w:hint="eastAsia" w:ascii="Times New Roman" w:eastAsia="宋体"/>
          <w:sz w:val="24"/>
          <w:szCs w:val="24"/>
        </w:rPr>
        <w:t>高密度聚乙烯土工膜焊缝的气压监测、真空监测、电火花测试以及破坏性检测应符合现行国家标准《生活垃圾卫生填埋场防渗系统工程技术标准》GB/T 51403的规定。</w:t>
      </w:r>
    </w:p>
    <w:p w14:paraId="656CD88D">
      <w:pPr>
        <w:pStyle w:val="81"/>
        <w:numPr>
          <w:ilvl w:val="0"/>
          <w:numId w:val="0"/>
        </w:numPr>
        <w:spacing w:before="0" w:beforeLines="0" w:after="0" w:afterLines="0" w:line="360" w:lineRule="auto"/>
        <w:outlineLvl w:val="9"/>
        <w:rPr>
          <w:rFonts w:ascii="Times New Roman" w:eastAsia="宋体"/>
          <w:b/>
          <w:bCs/>
          <w:sz w:val="24"/>
          <w:szCs w:val="24"/>
        </w:rPr>
      </w:pPr>
      <w:r>
        <w:rPr>
          <w:rFonts w:hint="eastAsia" w:ascii="Times New Roman" w:eastAsia="宋体"/>
          <w:b/>
          <w:bCs/>
          <w:sz w:val="24"/>
          <w:szCs w:val="24"/>
        </w:rPr>
        <w:t>4.1.5</w:t>
      </w:r>
      <w:r>
        <w:rPr>
          <w:rFonts w:hint="eastAsia" w:ascii="Times New Roman" w:eastAsia="宋体"/>
          <w:sz w:val="24"/>
          <w:szCs w:val="24"/>
        </w:rPr>
        <w:t>高密度聚乙烯土工膜渗漏破损探测采用双电极法或电火花法检测应符合现行行业标准《生活垃圾填埋场防渗土工膜渗漏破损探测技术规程》CJJ/T 214的规定。</w:t>
      </w:r>
    </w:p>
    <w:p w14:paraId="437DBAD2">
      <w:pPr>
        <w:pStyle w:val="81"/>
        <w:numPr>
          <w:ilvl w:val="0"/>
          <w:numId w:val="0"/>
        </w:numPr>
        <w:spacing w:before="0" w:beforeLines="0" w:after="0" w:afterLines="0" w:line="360" w:lineRule="auto"/>
        <w:outlineLvl w:val="9"/>
        <w:rPr>
          <w:rFonts w:ascii="Times New Roman" w:eastAsia="宋体"/>
          <w:sz w:val="24"/>
          <w:szCs w:val="24"/>
        </w:rPr>
      </w:pPr>
      <w:bookmarkStart w:id="103" w:name="_Toc193447551"/>
      <w:r>
        <w:rPr>
          <w:rFonts w:hint="eastAsia" w:ascii="Times New Roman" w:eastAsia="宋体"/>
          <w:b/>
          <w:bCs/>
          <w:sz w:val="24"/>
          <w:szCs w:val="24"/>
        </w:rPr>
        <w:t>4</w:t>
      </w:r>
      <w:r>
        <w:rPr>
          <w:rFonts w:ascii="Times New Roman" w:eastAsia="宋体"/>
          <w:b/>
          <w:bCs/>
          <w:sz w:val="24"/>
          <w:szCs w:val="24"/>
        </w:rPr>
        <w:t>.1.6</w:t>
      </w:r>
      <w:r>
        <w:rPr>
          <w:rFonts w:ascii="Times New Roman" w:eastAsia="宋体"/>
          <w:sz w:val="24"/>
          <w:szCs w:val="24"/>
        </w:rPr>
        <w:t xml:space="preserve"> 地球物理检测工作</w:t>
      </w:r>
      <w:r>
        <w:rPr>
          <w:rFonts w:hint="eastAsia" w:ascii="Times New Roman" w:eastAsia="宋体"/>
          <w:sz w:val="24"/>
          <w:szCs w:val="24"/>
        </w:rPr>
        <w:t>宜</w:t>
      </w:r>
      <w:r>
        <w:rPr>
          <w:rFonts w:ascii="Times New Roman" w:eastAsia="宋体"/>
          <w:sz w:val="24"/>
          <w:szCs w:val="24"/>
        </w:rPr>
        <w:t>遵循从简单到复杂、从已知到未知的原则</w:t>
      </w:r>
      <w:bookmarkEnd w:id="103"/>
      <w:r>
        <w:rPr>
          <w:rFonts w:hint="eastAsia" w:ascii="Times New Roman" w:eastAsia="宋体"/>
          <w:sz w:val="24"/>
          <w:szCs w:val="24"/>
        </w:rPr>
        <w:t>；</w:t>
      </w:r>
      <w:bookmarkStart w:id="104" w:name="_Toc193447552"/>
      <w:r>
        <w:rPr>
          <w:rFonts w:ascii="Times New Roman" w:eastAsia="宋体"/>
          <w:sz w:val="24"/>
          <w:szCs w:val="24"/>
        </w:rPr>
        <w:t>测线</w:t>
      </w:r>
      <w:r>
        <w:rPr>
          <w:rFonts w:hint="eastAsia" w:ascii="Times New Roman" w:eastAsia="宋体"/>
          <w:sz w:val="24"/>
          <w:szCs w:val="24"/>
        </w:rPr>
        <w:t>的</w:t>
      </w:r>
      <w:r>
        <w:rPr>
          <w:rFonts w:ascii="Times New Roman" w:eastAsia="宋体"/>
          <w:sz w:val="24"/>
          <w:szCs w:val="24"/>
        </w:rPr>
        <w:t>布置</w:t>
      </w:r>
      <w:r>
        <w:rPr>
          <w:rFonts w:hint="eastAsia" w:ascii="Times New Roman" w:eastAsia="宋体"/>
          <w:sz w:val="24"/>
          <w:szCs w:val="24"/>
        </w:rPr>
        <w:t>宜</w:t>
      </w:r>
      <w:r>
        <w:rPr>
          <w:rFonts w:ascii="Times New Roman" w:eastAsia="宋体"/>
          <w:sz w:val="24"/>
          <w:szCs w:val="24"/>
        </w:rPr>
        <w:t>符合下列规定：</w:t>
      </w:r>
      <w:bookmarkEnd w:id="104"/>
    </w:p>
    <w:p w14:paraId="1C9921FB">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1</w:t>
      </w:r>
      <w:r>
        <w:rPr>
          <w:rFonts w:ascii="Times New Roman"/>
          <w:sz w:val="24"/>
          <w:szCs w:val="24"/>
        </w:rPr>
        <w:t xml:space="preserve"> 测线宜避开地形及其他干扰的影响；</w:t>
      </w:r>
    </w:p>
    <w:p w14:paraId="7D4FDDA4">
      <w:pPr>
        <w:pStyle w:val="123"/>
        <w:numPr>
          <w:ilvl w:val="0"/>
          <w:numId w:val="0"/>
        </w:numPr>
        <w:spacing w:line="360" w:lineRule="auto"/>
        <w:ind w:firstLine="361" w:firstLineChars="150"/>
        <w:rPr>
          <w:rFonts w:ascii="Times New Roman"/>
          <w:sz w:val="24"/>
          <w:szCs w:val="24"/>
        </w:rPr>
      </w:pPr>
      <w:r>
        <w:rPr>
          <w:rFonts w:ascii="Times New Roman"/>
          <w:b/>
          <w:bCs/>
          <w:sz w:val="24"/>
          <w:szCs w:val="24"/>
        </w:rPr>
        <w:t>2</w:t>
      </w:r>
      <w:r>
        <w:rPr>
          <w:rFonts w:ascii="Times New Roman"/>
          <w:sz w:val="24"/>
          <w:szCs w:val="24"/>
        </w:rPr>
        <w:t xml:space="preserve"> 测线宜通过已知点、钻孔布设；</w:t>
      </w:r>
    </w:p>
    <w:p w14:paraId="0FC03438">
      <w:pPr>
        <w:pStyle w:val="123"/>
        <w:numPr>
          <w:ilvl w:val="0"/>
          <w:numId w:val="0"/>
        </w:numPr>
        <w:spacing w:line="360" w:lineRule="auto"/>
        <w:ind w:firstLine="361" w:firstLineChars="150"/>
        <w:rPr>
          <w:rFonts w:ascii="Times New Roman"/>
          <w:sz w:val="24"/>
          <w:szCs w:val="24"/>
        </w:rPr>
      </w:pPr>
      <w:bookmarkStart w:id="105" w:name="OLE_LINK6"/>
      <w:r>
        <w:rPr>
          <w:rFonts w:ascii="Times New Roman"/>
          <w:b/>
          <w:bCs/>
          <w:sz w:val="24"/>
          <w:szCs w:val="24"/>
        </w:rPr>
        <w:t>3</w:t>
      </w:r>
      <w:r>
        <w:rPr>
          <w:rFonts w:ascii="Times New Roman"/>
          <w:sz w:val="24"/>
          <w:szCs w:val="24"/>
        </w:rPr>
        <w:t xml:space="preserve"> </w:t>
      </w:r>
      <w:r>
        <w:rPr>
          <w:rFonts w:hint="eastAsia" w:ascii="Times New Roman"/>
          <w:sz w:val="24"/>
          <w:szCs w:val="24"/>
        </w:rPr>
        <w:t>测线长度与间距的设计应满足完整、连续地检测出垂直防渗墙的质量缺陷</w:t>
      </w:r>
      <w:r>
        <w:rPr>
          <w:rFonts w:ascii="Times New Roman"/>
          <w:sz w:val="24"/>
          <w:szCs w:val="24"/>
        </w:rPr>
        <w:t>；</w:t>
      </w:r>
    </w:p>
    <w:bookmarkEnd w:id="105"/>
    <w:p w14:paraId="34E278B1">
      <w:pPr>
        <w:pStyle w:val="123"/>
        <w:numPr>
          <w:ilvl w:val="0"/>
          <w:numId w:val="0"/>
        </w:numPr>
        <w:spacing w:line="360" w:lineRule="auto"/>
        <w:ind w:firstLine="361" w:firstLineChars="150"/>
        <w:rPr>
          <w:rFonts w:ascii="Times New Roman"/>
          <w:sz w:val="24"/>
          <w:szCs w:val="24"/>
        </w:rPr>
      </w:pPr>
      <w:r>
        <w:rPr>
          <w:rFonts w:ascii="Times New Roman"/>
          <w:b/>
          <w:bCs/>
          <w:sz w:val="24"/>
          <w:szCs w:val="24"/>
        </w:rPr>
        <w:t>4</w:t>
      </w:r>
      <w:r>
        <w:rPr>
          <w:rFonts w:ascii="Times New Roman"/>
          <w:sz w:val="24"/>
          <w:szCs w:val="24"/>
        </w:rPr>
        <w:t xml:space="preserve"> 对重点区域，测线宜适当加密布设。</w:t>
      </w:r>
    </w:p>
    <w:p w14:paraId="45E8C70D">
      <w:pPr>
        <w:pStyle w:val="119"/>
        <w:numPr>
          <w:ilvl w:val="0"/>
          <w:numId w:val="0"/>
        </w:numPr>
        <w:spacing w:before="156" w:after="156" w:line="360" w:lineRule="auto"/>
        <w:jc w:val="center"/>
        <w:rPr>
          <w:rFonts w:ascii="Times New Roman" w:eastAsia="宋体"/>
          <w:b/>
          <w:bCs/>
          <w:sz w:val="28"/>
          <w:szCs w:val="24"/>
        </w:rPr>
      </w:pPr>
      <w:bookmarkStart w:id="106" w:name="_Toc193447678"/>
      <w:bookmarkStart w:id="107" w:name="_Toc196124339"/>
      <w:bookmarkStart w:id="108" w:name="_Toc193447553"/>
      <w:bookmarkStart w:id="109" w:name="_Toc192078856"/>
      <w:bookmarkStart w:id="110" w:name="_Toc195717745"/>
      <w:r>
        <w:rPr>
          <w:rFonts w:hint="eastAsia" w:ascii="Times New Roman" w:eastAsia="宋体"/>
          <w:b/>
          <w:bCs/>
          <w:sz w:val="28"/>
          <w:szCs w:val="24"/>
        </w:rPr>
        <w:t>4</w:t>
      </w:r>
      <w:r>
        <w:rPr>
          <w:rFonts w:ascii="Times New Roman" w:eastAsia="宋体"/>
          <w:b/>
          <w:bCs/>
          <w:sz w:val="28"/>
          <w:szCs w:val="24"/>
        </w:rPr>
        <w:t>.2 围井试验</w:t>
      </w:r>
      <w:bookmarkEnd w:id="106"/>
      <w:bookmarkEnd w:id="107"/>
      <w:bookmarkEnd w:id="108"/>
      <w:bookmarkEnd w:id="109"/>
      <w:bookmarkEnd w:id="110"/>
    </w:p>
    <w:p w14:paraId="3A9DF922">
      <w:pPr>
        <w:pStyle w:val="81"/>
        <w:numPr>
          <w:ilvl w:val="0"/>
          <w:numId w:val="0"/>
        </w:numPr>
        <w:spacing w:before="0" w:beforeLines="0" w:after="0" w:afterLines="0" w:line="360" w:lineRule="auto"/>
        <w:outlineLvl w:val="9"/>
        <w:rPr>
          <w:rFonts w:ascii="Times New Roman" w:eastAsia="宋体"/>
          <w:sz w:val="24"/>
          <w:szCs w:val="24"/>
        </w:rPr>
      </w:pPr>
      <w:bookmarkStart w:id="111" w:name="_Toc193447554"/>
      <w:r>
        <w:rPr>
          <w:rFonts w:hint="eastAsia" w:ascii="Times New Roman" w:eastAsia="宋体"/>
          <w:b/>
          <w:bCs/>
          <w:sz w:val="24"/>
          <w:szCs w:val="24"/>
        </w:rPr>
        <w:t>4</w:t>
      </w:r>
      <w:r>
        <w:rPr>
          <w:rFonts w:ascii="Times New Roman" w:eastAsia="宋体"/>
          <w:b/>
          <w:bCs/>
          <w:sz w:val="24"/>
          <w:szCs w:val="24"/>
        </w:rPr>
        <w:t>.2.1</w:t>
      </w:r>
      <w:r>
        <w:rPr>
          <w:rFonts w:ascii="Times New Roman" w:eastAsia="宋体"/>
          <w:sz w:val="24"/>
          <w:szCs w:val="24"/>
        </w:rPr>
        <w:t xml:space="preserve"> </w:t>
      </w:r>
      <w:bookmarkEnd w:id="111"/>
      <w:r>
        <w:rPr>
          <w:rFonts w:ascii="Times New Roman" w:eastAsia="宋体"/>
          <w:sz w:val="24"/>
          <w:szCs w:val="24"/>
        </w:rPr>
        <w:t>围井试验</w:t>
      </w:r>
      <w:r>
        <w:rPr>
          <w:rFonts w:hint="eastAsia" w:ascii="Times New Roman" w:eastAsia="宋体"/>
          <w:sz w:val="24"/>
          <w:szCs w:val="24"/>
        </w:rPr>
        <w:t>宜</w:t>
      </w:r>
      <w:r>
        <w:rPr>
          <w:rFonts w:ascii="Times New Roman" w:eastAsia="宋体"/>
          <w:sz w:val="24"/>
          <w:szCs w:val="24"/>
        </w:rPr>
        <w:t>符合下列规定</w:t>
      </w:r>
      <w:r>
        <w:rPr>
          <w:rFonts w:hint="eastAsia" w:ascii="Times New Roman" w:eastAsia="宋体"/>
          <w:sz w:val="24"/>
          <w:szCs w:val="24"/>
        </w:rPr>
        <w:t>：</w:t>
      </w:r>
    </w:p>
    <w:p w14:paraId="6237970A">
      <w:pPr>
        <w:pStyle w:val="81"/>
        <w:numPr>
          <w:ilvl w:val="0"/>
          <w:numId w:val="0"/>
        </w:numPr>
        <w:spacing w:before="0" w:beforeLines="0" w:after="0" w:afterLines="0" w:line="360" w:lineRule="auto"/>
        <w:ind w:firstLine="361" w:firstLineChars="150"/>
        <w:outlineLvl w:val="9"/>
        <w:rPr>
          <w:rFonts w:ascii="Times New Roman" w:eastAsia="宋体"/>
          <w:sz w:val="24"/>
          <w:szCs w:val="24"/>
        </w:rPr>
      </w:pPr>
      <w:r>
        <w:rPr>
          <w:rFonts w:ascii="Times New Roman" w:eastAsia="宋体"/>
          <w:b/>
          <w:bCs/>
          <w:sz w:val="24"/>
          <w:szCs w:val="24"/>
        </w:rPr>
        <w:t>1</w:t>
      </w:r>
      <w:r>
        <w:rPr>
          <w:rFonts w:ascii="Times New Roman" w:eastAsia="宋体"/>
          <w:sz w:val="24"/>
          <w:szCs w:val="24"/>
        </w:rPr>
        <w:t xml:space="preserve"> 围井的面积不宜小于4.5m</w:t>
      </w:r>
      <w:r>
        <w:rPr>
          <w:rFonts w:ascii="Times New Roman" w:eastAsia="宋体"/>
          <w:sz w:val="24"/>
          <w:szCs w:val="24"/>
          <w:vertAlign w:val="superscript"/>
        </w:rPr>
        <w:t>2</w:t>
      </w:r>
      <w:r>
        <w:rPr>
          <w:rFonts w:ascii="Times New Roman" w:eastAsia="宋体"/>
          <w:sz w:val="24"/>
          <w:szCs w:val="24"/>
        </w:rPr>
        <w:t>；</w:t>
      </w:r>
    </w:p>
    <w:p w14:paraId="4203560B">
      <w:pPr>
        <w:pStyle w:val="81"/>
        <w:numPr>
          <w:ilvl w:val="0"/>
          <w:numId w:val="0"/>
        </w:numPr>
        <w:spacing w:before="0" w:beforeLines="0" w:after="0" w:afterLines="0" w:line="360" w:lineRule="auto"/>
        <w:ind w:firstLine="361" w:firstLineChars="150"/>
        <w:outlineLvl w:val="9"/>
        <w:rPr>
          <w:rFonts w:ascii="Times New Roman" w:eastAsia="宋体"/>
          <w:sz w:val="24"/>
          <w:szCs w:val="24"/>
        </w:rPr>
      </w:pPr>
      <w:r>
        <w:rPr>
          <w:rFonts w:ascii="Times New Roman" w:eastAsia="宋体"/>
          <w:b/>
          <w:bCs/>
          <w:sz w:val="24"/>
          <w:szCs w:val="24"/>
        </w:rPr>
        <w:t>2</w:t>
      </w:r>
      <w:r>
        <w:rPr>
          <w:rFonts w:ascii="Times New Roman" w:eastAsia="宋体"/>
          <w:sz w:val="24"/>
          <w:szCs w:val="24"/>
        </w:rPr>
        <w:t xml:space="preserve"> 细粒土土层中的防渗墙，围井内应开挖并进行底部封闭，宜采用围井注水试验；</w:t>
      </w:r>
    </w:p>
    <w:p w14:paraId="41A99A34">
      <w:pPr>
        <w:pStyle w:val="81"/>
        <w:numPr>
          <w:ilvl w:val="0"/>
          <w:numId w:val="0"/>
        </w:numPr>
        <w:spacing w:before="0" w:beforeLines="0" w:after="0" w:afterLines="0" w:line="360" w:lineRule="auto"/>
        <w:ind w:firstLine="361" w:firstLineChars="150"/>
        <w:outlineLvl w:val="9"/>
        <w:rPr>
          <w:rFonts w:ascii="Times New Roman" w:eastAsia="宋体"/>
          <w:sz w:val="24"/>
          <w:szCs w:val="24"/>
        </w:rPr>
      </w:pPr>
      <w:r>
        <w:rPr>
          <w:rFonts w:hint="eastAsia" w:ascii="Times New Roman" w:eastAsia="宋体"/>
          <w:b/>
          <w:bCs/>
          <w:sz w:val="24"/>
          <w:szCs w:val="24"/>
        </w:rPr>
        <w:t>3</w:t>
      </w:r>
      <w:r>
        <w:rPr>
          <w:rFonts w:ascii="Times New Roman" w:eastAsia="宋体"/>
          <w:sz w:val="24"/>
          <w:szCs w:val="24"/>
        </w:rPr>
        <w:t xml:space="preserve"> 对于围井底部有相对隔水层时，可采用井内注水，也可采用井内下滤管注水；</w:t>
      </w:r>
    </w:p>
    <w:p w14:paraId="2993CD1C">
      <w:pPr>
        <w:pStyle w:val="81"/>
        <w:numPr>
          <w:ilvl w:val="0"/>
          <w:numId w:val="0"/>
        </w:numPr>
        <w:tabs>
          <w:tab w:val="left" w:pos="322"/>
        </w:tabs>
        <w:spacing w:before="0" w:beforeLines="0" w:after="0" w:afterLines="0" w:line="360" w:lineRule="auto"/>
        <w:ind w:firstLine="361" w:firstLineChars="150"/>
        <w:outlineLvl w:val="9"/>
        <w:rPr>
          <w:rFonts w:ascii="Times New Roman" w:eastAsia="宋体"/>
          <w:bCs/>
          <w:sz w:val="24"/>
          <w:szCs w:val="24"/>
        </w:rPr>
      </w:pPr>
      <w:r>
        <w:rPr>
          <w:rFonts w:hint="eastAsia" w:ascii="Times New Roman" w:eastAsia="宋体"/>
          <w:b/>
          <w:sz w:val="24"/>
          <w:szCs w:val="24"/>
        </w:rPr>
        <w:t>4</w:t>
      </w:r>
      <w:r>
        <w:rPr>
          <w:rFonts w:ascii="Times New Roman" w:eastAsia="宋体"/>
          <w:bCs/>
          <w:sz w:val="24"/>
          <w:szCs w:val="24"/>
        </w:rPr>
        <w:t xml:space="preserve"> </w:t>
      </w:r>
      <w:r>
        <w:rPr>
          <w:rFonts w:hint="eastAsia" w:ascii="Times New Roman" w:eastAsia="宋体"/>
          <w:bCs/>
          <w:sz w:val="24"/>
          <w:szCs w:val="24"/>
        </w:rPr>
        <w:t>围井边墙与被检查墙体的技术条件应一致。</w:t>
      </w:r>
    </w:p>
    <w:p w14:paraId="1176B588">
      <w:pPr>
        <w:pStyle w:val="81"/>
        <w:numPr>
          <w:ilvl w:val="0"/>
          <w:numId w:val="0"/>
        </w:numPr>
        <w:spacing w:before="0" w:beforeLines="0" w:after="0" w:afterLines="0" w:line="360" w:lineRule="auto"/>
        <w:ind w:firstLine="361" w:firstLineChars="150"/>
        <w:outlineLvl w:val="9"/>
        <w:rPr>
          <w:rFonts w:ascii="Times New Roman" w:eastAsia="宋体"/>
          <w:bCs/>
          <w:sz w:val="24"/>
          <w:szCs w:val="24"/>
        </w:rPr>
      </w:pPr>
      <w:r>
        <w:rPr>
          <w:rFonts w:ascii="Times New Roman" w:eastAsia="宋体"/>
          <w:b/>
          <w:sz w:val="24"/>
          <w:szCs w:val="24"/>
        </w:rPr>
        <w:t>5</w:t>
      </w:r>
      <w:r>
        <w:rPr>
          <w:rFonts w:hint="eastAsia" w:ascii="Times New Roman" w:eastAsia="宋体"/>
          <w:bCs/>
          <w:sz w:val="24"/>
          <w:szCs w:val="24"/>
        </w:rPr>
        <w:t xml:space="preserve"> </w:t>
      </w:r>
      <w:r>
        <w:rPr>
          <w:rFonts w:ascii="Times New Roman" w:eastAsia="宋体"/>
          <w:bCs/>
          <w:sz w:val="24"/>
          <w:szCs w:val="24"/>
        </w:rPr>
        <w:t>围井</w:t>
      </w:r>
      <w:r>
        <w:rPr>
          <w:rFonts w:hint="eastAsia" w:ascii="Times New Roman" w:eastAsia="宋体"/>
          <w:bCs/>
          <w:sz w:val="24"/>
          <w:szCs w:val="24"/>
        </w:rPr>
        <w:t>试验</w:t>
      </w:r>
      <w:r>
        <w:rPr>
          <w:rFonts w:ascii="Times New Roman" w:eastAsia="宋体"/>
          <w:bCs/>
          <w:sz w:val="24"/>
          <w:szCs w:val="24"/>
        </w:rPr>
        <w:t>宜在灌浆结束14d</w:t>
      </w:r>
      <w:r>
        <w:rPr>
          <w:rFonts w:hint="eastAsia" w:ascii="Times New Roman" w:eastAsia="宋体"/>
          <w:bCs/>
          <w:sz w:val="24"/>
          <w:szCs w:val="24"/>
        </w:rPr>
        <w:t>后进行</w:t>
      </w:r>
      <w:r>
        <w:rPr>
          <w:rFonts w:ascii="Times New Roman" w:eastAsia="宋体"/>
          <w:bCs/>
          <w:sz w:val="24"/>
          <w:szCs w:val="24"/>
        </w:rPr>
        <w:t>。</w:t>
      </w:r>
    </w:p>
    <w:p w14:paraId="129EC405">
      <w:pPr>
        <w:pStyle w:val="81"/>
        <w:numPr>
          <w:ilvl w:val="0"/>
          <w:numId w:val="0"/>
        </w:numPr>
        <w:spacing w:before="0" w:beforeLines="0" w:after="0" w:afterLines="0" w:line="360" w:lineRule="auto"/>
        <w:ind w:firstLine="361" w:firstLineChars="150"/>
        <w:outlineLvl w:val="9"/>
        <w:rPr>
          <w:rFonts w:ascii="Times New Roman" w:eastAsia="宋体"/>
          <w:sz w:val="24"/>
          <w:szCs w:val="24"/>
        </w:rPr>
      </w:pPr>
      <w:r>
        <w:rPr>
          <w:rFonts w:ascii="Times New Roman" w:eastAsia="宋体"/>
          <w:b/>
          <w:bCs/>
          <w:sz w:val="24"/>
          <w:szCs w:val="24"/>
        </w:rPr>
        <w:t>6</w:t>
      </w:r>
      <w:r>
        <w:rPr>
          <w:rFonts w:ascii="Times New Roman" w:eastAsia="宋体"/>
          <w:sz w:val="24"/>
          <w:szCs w:val="24"/>
        </w:rPr>
        <w:t xml:space="preserve"> 试验过程中，观测围井外侧地下水位和水面蒸发量。</w:t>
      </w:r>
    </w:p>
    <w:p w14:paraId="2AF46C62">
      <w:pPr>
        <w:pStyle w:val="81"/>
        <w:numPr>
          <w:ilvl w:val="0"/>
          <w:numId w:val="0"/>
        </w:numPr>
        <w:spacing w:before="0" w:beforeLines="0" w:after="0" w:afterLines="0" w:line="360" w:lineRule="auto"/>
        <w:outlineLvl w:val="9"/>
        <w:rPr>
          <w:rFonts w:ascii="Times New Roman" w:eastAsia="宋体"/>
          <w:sz w:val="24"/>
          <w:szCs w:val="24"/>
        </w:rPr>
      </w:pPr>
      <w:bookmarkStart w:id="112" w:name="_Toc193447556"/>
      <w:r>
        <w:rPr>
          <w:rFonts w:hint="eastAsia" w:ascii="Times New Roman" w:eastAsia="宋体"/>
          <w:b/>
          <w:bCs/>
          <w:sz w:val="24"/>
          <w:szCs w:val="24"/>
        </w:rPr>
        <w:t>4</w:t>
      </w:r>
      <w:r>
        <w:rPr>
          <w:rFonts w:ascii="Times New Roman" w:eastAsia="宋体"/>
          <w:b/>
          <w:bCs/>
          <w:sz w:val="24"/>
          <w:szCs w:val="24"/>
        </w:rPr>
        <w:t>.2.</w:t>
      </w:r>
      <w:r>
        <w:rPr>
          <w:rFonts w:hint="eastAsia" w:ascii="Times New Roman" w:eastAsia="宋体"/>
          <w:b/>
          <w:bCs/>
          <w:sz w:val="24"/>
          <w:szCs w:val="24"/>
        </w:rPr>
        <w:t>2</w:t>
      </w:r>
      <w:r>
        <w:rPr>
          <w:rFonts w:ascii="Times New Roman" w:eastAsia="宋体"/>
          <w:sz w:val="24"/>
          <w:szCs w:val="24"/>
        </w:rPr>
        <w:t xml:space="preserve"> 围井试验</w:t>
      </w:r>
      <w:r>
        <w:rPr>
          <w:rFonts w:hint="eastAsia" w:ascii="Times New Roman" w:eastAsia="宋体"/>
          <w:sz w:val="24"/>
          <w:szCs w:val="24"/>
        </w:rPr>
        <w:t>设备、</w:t>
      </w:r>
      <w:r>
        <w:rPr>
          <w:rFonts w:ascii="Times New Roman" w:eastAsia="宋体"/>
          <w:sz w:val="24"/>
          <w:szCs w:val="24"/>
        </w:rPr>
        <w:t>试验步骤、数据处理等应符合</w:t>
      </w:r>
      <w:r>
        <w:rPr>
          <w:rFonts w:hint="eastAsia" w:ascii="Times New Roman" w:eastAsia="宋体"/>
          <w:sz w:val="24"/>
          <w:szCs w:val="24"/>
        </w:rPr>
        <w:t>现行行业标准</w:t>
      </w:r>
      <w:r>
        <w:rPr>
          <w:rFonts w:ascii="Times New Roman" w:eastAsia="宋体"/>
          <w:sz w:val="24"/>
          <w:szCs w:val="24"/>
        </w:rPr>
        <w:t>《水电水利工程高压喷射灌浆技术规范》DL/T 5200的规定。</w:t>
      </w:r>
      <w:bookmarkEnd w:id="112"/>
    </w:p>
    <w:p w14:paraId="0D977CEE">
      <w:pPr>
        <w:pStyle w:val="119"/>
        <w:numPr>
          <w:ilvl w:val="0"/>
          <w:numId w:val="0"/>
        </w:numPr>
        <w:spacing w:before="156" w:after="156" w:line="360" w:lineRule="auto"/>
        <w:jc w:val="center"/>
        <w:rPr>
          <w:rFonts w:ascii="Times New Roman" w:eastAsia="宋体"/>
          <w:b/>
          <w:bCs/>
          <w:sz w:val="28"/>
          <w:szCs w:val="24"/>
        </w:rPr>
      </w:pPr>
      <w:bookmarkStart w:id="113" w:name="_Toc196124340"/>
      <w:bookmarkStart w:id="114" w:name="_Toc193447557"/>
      <w:bookmarkStart w:id="115" w:name="_Toc193447679"/>
      <w:bookmarkStart w:id="116" w:name="_Toc192078857"/>
      <w:bookmarkStart w:id="117" w:name="_Toc195717746"/>
      <w:r>
        <w:rPr>
          <w:rFonts w:hint="eastAsia" w:ascii="Times New Roman" w:eastAsia="宋体"/>
          <w:b/>
          <w:bCs/>
          <w:sz w:val="28"/>
          <w:szCs w:val="24"/>
        </w:rPr>
        <w:t>4</w:t>
      </w:r>
      <w:r>
        <w:rPr>
          <w:rFonts w:ascii="Times New Roman" w:eastAsia="宋体"/>
          <w:b/>
          <w:bCs/>
          <w:sz w:val="28"/>
          <w:szCs w:val="24"/>
        </w:rPr>
        <w:t>.3 注水试验</w:t>
      </w:r>
      <w:bookmarkEnd w:id="113"/>
      <w:bookmarkEnd w:id="114"/>
      <w:bookmarkEnd w:id="115"/>
      <w:bookmarkEnd w:id="116"/>
      <w:bookmarkEnd w:id="117"/>
    </w:p>
    <w:p w14:paraId="75DBB7EA">
      <w:pPr>
        <w:pStyle w:val="81"/>
        <w:numPr>
          <w:ilvl w:val="0"/>
          <w:numId w:val="0"/>
        </w:numPr>
        <w:spacing w:before="0" w:beforeLines="0" w:after="0" w:afterLines="0" w:line="360" w:lineRule="auto"/>
        <w:outlineLvl w:val="9"/>
        <w:rPr>
          <w:rFonts w:ascii="Times New Roman" w:eastAsia="宋体"/>
          <w:sz w:val="24"/>
          <w:szCs w:val="24"/>
        </w:rPr>
      </w:pPr>
      <w:bookmarkStart w:id="118" w:name="_Toc193447558"/>
      <w:bookmarkStart w:id="119" w:name="_Toc196124341"/>
      <w:bookmarkStart w:id="120" w:name="_Toc195717747"/>
      <w:bookmarkStart w:id="121" w:name="_Toc192078858"/>
      <w:bookmarkStart w:id="122" w:name="_Toc193447680"/>
      <w:bookmarkStart w:id="123" w:name="_Toc193447561"/>
      <w:r>
        <w:rPr>
          <w:rFonts w:hint="eastAsia" w:ascii="Times New Roman" w:eastAsia="宋体"/>
          <w:b/>
          <w:bCs/>
          <w:sz w:val="24"/>
          <w:szCs w:val="24"/>
        </w:rPr>
        <w:t>4</w:t>
      </w:r>
      <w:r>
        <w:rPr>
          <w:rFonts w:ascii="Times New Roman" w:eastAsia="宋体"/>
          <w:b/>
          <w:bCs/>
          <w:sz w:val="24"/>
          <w:szCs w:val="24"/>
        </w:rPr>
        <w:t>.3.1</w:t>
      </w:r>
      <w:r>
        <w:rPr>
          <w:rFonts w:ascii="Times New Roman" w:eastAsia="宋体"/>
          <w:sz w:val="24"/>
          <w:szCs w:val="24"/>
        </w:rPr>
        <w:t xml:space="preserve"> 注水试验应符合下列规定：</w:t>
      </w:r>
      <w:bookmarkEnd w:id="118"/>
    </w:p>
    <w:p w14:paraId="0DDAD22F">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钻孔的孔径宜为59mm~110mm，并小于防渗墙厚度的1/4。注水试验钻孔宜采用金刚石或合金钻进，不应使用泥浆等护壁材料钻进。孔底距防渗墙底部距离宜为1.0 m</w:t>
      </w:r>
      <w:r>
        <w:rPr>
          <w:rFonts w:hint="eastAsia" w:ascii="Times New Roman"/>
          <w:sz w:val="24"/>
          <w:szCs w:val="24"/>
        </w:rPr>
        <w:t>；</w:t>
      </w:r>
    </w:p>
    <w:p w14:paraId="47E1CC75">
      <w:pPr>
        <w:pStyle w:val="123"/>
        <w:numPr>
          <w:ilvl w:val="0"/>
          <w:numId w:val="0"/>
        </w:numPr>
        <w:spacing w:line="360" w:lineRule="auto"/>
        <w:ind w:firstLine="361" w:firstLineChars="150"/>
        <w:rPr>
          <w:rFonts w:ascii="Times New Roman"/>
          <w:sz w:val="24"/>
          <w:szCs w:val="24"/>
        </w:rPr>
      </w:pPr>
      <w:r>
        <w:rPr>
          <w:rFonts w:ascii="Times New Roman"/>
          <w:b/>
          <w:sz w:val="24"/>
          <w:szCs w:val="24"/>
        </w:rPr>
        <w:t>2</w:t>
      </w:r>
      <w:r>
        <w:rPr>
          <w:rFonts w:ascii="Times New Roman"/>
          <w:sz w:val="24"/>
          <w:szCs w:val="24"/>
        </w:rPr>
        <w:t xml:space="preserve"> 注水试验钻孔孔位宜布置在墙体中心线上，钻孔宜自上而下分段进行；</w:t>
      </w:r>
    </w:p>
    <w:p w14:paraId="30302234">
      <w:pPr>
        <w:pStyle w:val="123"/>
        <w:numPr>
          <w:ilvl w:val="0"/>
          <w:numId w:val="0"/>
        </w:numPr>
        <w:spacing w:line="360" w:lineRule="auto"/>
        <w:ind w:firstLine="361" w:firstLineChars="150"/>
        <w:rPr>
          <w:rFonts w:ascii="Times New Roman"/>
          <w:sz w:val="24"/>
          <w:szCs w:val="24"/>
        </w:rPr>
      </w:pPr>
      <w:r>
        <w:rPr>
          <w:rFonts w:ascii="Times New Roman"/>
          <w:b/>
          <w:bCs/>
          <w:sz w:val="24"/>
          <w:szCs w:val="24"/>
        </w:rPr>
        <w:t>3</w:t>
      </w:r>
      <w:r>
        <w:rPr>
          <w:rFonts w:ascii="Times New Roman"/>
          <w:sz w:val="24"/>
          <w:szCs w:val="24"/>
        </w:rPr>
        <w:t xml:space="preserve"> 试段长度不宜大于5m；</w:t>
      </w:r>
    </w:p>
    <w:p w14:paraId="0682AFA5">
      <w:pPr>
        <w:pStyle w:val="123"/>
        <w:numPr>
          <w:ilvl w:val="0"/>
          <w:numId w:val="0"/>
        </w:numPr>
        <w:spacing w:line="360" w:lineRule="auto"/>
        <w:ind w:firstLine="361" w:firstLineChars="150"/>
        <w:rPr>
          <w:rFonts w:ascii="Times New Roman"/>
          <w:sz w:val="24"/>
          <w:szCs w:val="24"/>
        </w:rPr>
      </w:pPr>
      <w:r>
        <w:rPr>
          <w:rFonts w:hint="eastAsia" w:ascii="Times New Roman"/>
          <w:b/>
          <w:sz w:val="24"/>
          <w:szCs w:val="24"/>
        </w:rPr>
        <w:t>4</w:t>
      </w:r>
      <w:r>
        <w:rPr>
          <w:rFonts w:ascii="Times New Roman"/>
          <w:sz w:val="24"/>
          <w:szCs w:val="24"/>
        </w:rPr>
        <w:t xml:space="preserve"> </w:t>
      </w:r>
      <w:r>
        <w:rPr>
          <w:rFonts w:hint="eastAsia" w:ascii="Times New Roman"/>
          <w:sz w:val="24"/>
          <w:szCs w:val="24"/>
        </w:rPr>
        <w:t>注水试验宜在灌浆结束</w:t>
      </w:r>
      <w:r>
        <w:rPr>
          <w:rFonts w:ascii="Times New Roman"/>
          <w:sz w:val="24"/>
          <w:szCs w:val="24"/>
        </w:rPr>
        <w:t>14 d后进行。</w:t>
      </w:r>
    </w:p>
    <w:p w14:paraId="49B0B053">
      <w:pPr>
        <w:pStyle w:val="123"/>
        <w:numPr>
          <w:ilvl w:val="0"/>
          <w:numId w:val="0"/>
        </w:numPr>
        <w:spacing w:line="360" w:lineRule="auto"/>
        <w:ind w:firstLine="361" w:firstLineChars="150"/>
        <w:rPr>
          <w:rFonts w:ascii="Times New Roman"/>
          <w:sz w:val="24"/>
          <w:szCs w:val="24"/>
        </w:rPr>
      </w:pPr>
      <w:r>
        <w:rPr>
          <w:rFonts w:ascii="Times New Roman"/>
          <w:b/>
          <w:bCs/>
          <w:sz w:val="24"/>
          <w:szCs w:val="24"/>
        </w:rPr>
        <w:t>5</w:t>
      </w:r>
      <w:r>
        <w:rPr>
          <w:rFonts w:ascii="Times New Roman"/>
          <w:sz w:val="24"/>
          <w:szCs w:val="24"/>
        </w:rPr>
        <w:t xml:space="preserve"> 试段注入清水后，应至少保持24h水位稳定，使土体饱和。</w:t>
      </w:r>
    </w:p>
    <w:p w14:paraId="6C142AE9">
      <w:pPr>
        <w:pStyle w:val="81"/>
        <w:numPr>
          <w:ilvl w:val="0"/>
          <w:numId w:val="0"/>
        </w:numPr>
        <w:spacing w:before="0" w:beforeLines="0" w:after="0" w:afterLines="0" w:line="360" w:lineRule="auto"/>
        <w:outlineLvl w:val="9"/>
        <w:rPr>
          <w:rFonts w:ascii="Times New Roman" w:eastAsia="宋体"/>
          <w:sz w:val="24"/>
          <w:szCs w:val="24"/>
        </w:rPr>
      </w:pPr>
      <w:bookmarkStart w:id="124" w:name="_Toc193447560"/>
      <w:r>
        <w:rPr>
          <w:rFonts w:hint="eastAsia" w:ascii="Times New Roman" w:eastAsia="宋体"/>
          <w:b/>
          <w:bCs/>
          <w:sz w:val="24"/>
          <w:szCs w:val="24"/>
        </w:rPr>
        <w:t>4</w:t>
      </w:r>
      <w:r>
        <w:rPr>
          <w:rFonts w:ascii="Times New Roman" w:eastAsia="宋体"/>
          <w:b/>
          <w:bCs/>
          <w:sz w:val="24"/>
          <w:szCs w:val="24"/>
        </w:rPr>
        <w:t>.3.2</w:t>
      </w:r>
      <w:r>
        <w:rPr>
          <w:rFonts w:ascii="Times New Roman" w:eastAsia="宋体"/>
          <w:sz w:val="24"/>
          <w:szCs w:val="24"/>
        </w:rPr>
        <w:t xml:space="preserve"> 注水试验步骤、数据处理等应符合</w:t>
      </w:r>
      <w:r>
        <w:rPr>
          <w:rFonts w:hint="eastAsia" w:ascii="Times New Roman" w:eastAsia="宋体"/>
          <w:sz w:val="24"/>
          <w:szCs w:val="24"/>
        </w:rPr>
        <w:t>现行行业标准</w:t>
      </w:r>
      <w:r>
        <w:rPr>
          <w:rFonts w:ascii="Times New Roman" w:eastAsia="宋体"/>
          <w:sz w:val="24"/>
          <w:szCs w:val="24"/>
        </w:rPr>
        <w:t>《水利水电工程注水试验规程》SL 345的规定。</w:t>
      </w:r>
      <w:bookmarkEnd w:id="124"/>
    </w:p>
    <w:p w14:paraId="0CBFB772">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4</w:t>
      </w:r>
      <w:r>
        <w:rPr>
          <w:rFonts w:ascii="Times New Roman" w:eastAsia="宋体"/>
          <w:b/>
          <w:bCs/>
          <w:sz w:val="28"/>
          <w:szCs w:val="24"/>
        </w:rPr>
        <w:t>.4 压水试验</w:t>
      </w:r>
      <w:bookmarkEnd w:id="119"/>
      <w:bookmarkEnd w:id="120"/>
      <w:bookmarkEnd w:id="121"/>
      <w:bookmarkEnd w:id="122"/>
      <w:bookmarkEnd w:id="123"/>
    </w:p>
    <w:p w14:paraId="2606A333">
      <w:pPr>
        <w:pStyle w:val="81"/>
        <w:numPr>
          <w:ilvl w:val="0"/>
          <w:numId w:val="0"/>
        </w:numPr>
        <w:spacing w:before="0" w:beforeLines="0" w:after="0" w:afterLines="0" w:line="360" w:lineRule="auto"/>
        <w:outlineLvl w:val="9"/>
        <w:rPr>
          <w:rFonts w:ascii="Times New Roman" w:eastAsia="宋体"/>
          <w:sz w:val="24"/>
          <w:szCs w:val="24"/>
        </w:rPr>
      </w:pPr>
      <w:bookmarkStart w:id="125" w:name="_Toc193447562"/>
      <w:bookmarkStart w:id="126" w:name="_Toc193447564"/>
      <w:r>
        <w:rPr>
          <w:rFonts w:hint="eastAsia" w:ascii="Times New Roman" w:eastAsia="宋体"/>
          <w:b/>
          <w:bCs/>
          <w:sz w:val="24"/>
          <w:szCs w:val="24"/>
        </w:rPr>
        <w:t>4</w:t>
      </w:r>
      <w:r>
        <w:rPr>
          <w:rFonts w:ascii="Times New Roman" w:eastAsia="宋体"/>
          <w:b/>
          <w:bCs/>
          <w:sz w:val="24"/>
          <w:szCs w:val="24"/>
        </w:rPr>
        <w:t>.4.1</w:t>
      </w:r>
      <w:r>
        <w:rPr>
          <w:rFonts w:ascii="Times New Roman" w:eastAsia="宋体"/>
          <w:sz w:val="24"/>
          <w:szCs w:val="24"/>
        </w:rPr>
        <w:t xml:space="preserve"> 压水试验应符合下列规定：</w:t>
      </w:r>
      <w:bookmarkEnd w:id="125"/>
    </w:p>
    <w:p w14:paraId="147210E6">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钻孔的孔径宜为59mm~110mm</w:t>
      </w:r>
      <w:r>
        <w:rPr>
          <w:rFonts w:hint="eastAsia" w:ascii="Times New Roman"/>
          <w:sz w:val="24"/>
          <w:szCs w:val="24"/>
        </w:rPr>
        <w:t>；</w:t>
      </w:r>
      <w:r>
        <w:rPr>
          <w:rFonts w:ascii="Times New Roman"/>
          <w:sz w:val="24"/>
          <w:szCs w:val="24"/>
        </w:rPr>
        <w:t>压水试验钻孔宜采用金刚石或合金钻进，不应使用泥浆等护壁材料钻进。钻孔深度距防渗墙底部不小于1.0m</w:t>
      </w:r>
      <w:r>
        <w:rPr>
          <w:rFonts w:hint="eastAsia" w:ascii="Times New Roman"/>
          <w:sz w:val="24"/>
          <w:szCs w:val="24"/>
        </w:rPr>
        <w:t>；</w:t>
      </w:r>
    </w:p>
    <w:p w14:paraId="3536C35E">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钻孔压水试验应随钻孔的加深自上而下地用单栓塞分段隔离进行；对于必须单独进行试验的孔段，可采用双栓塞分段进行</w:t>
      </w:r>
      <w:r>
        <w:rPr>
          <w:rFonts w:hint="eastAsia" w:ascii="Times New Roman"/>
          <w:sz w:val="24"/>
          <w:szCs w:val="24"/>
        </w:rPr>
        <w:t>；</w:t>
      </w:r>
    </w:p>
    <w:p w14:paraId="73DE0506">
      <w:pPr>
        <w:pStyle w:val="123"/>
        <w:numPr>
          <w:ilvl w:val="0"/>
          <w:numId w:val="0"/>
        </w:numPr>
        <w:spacing w:line="360" w:lineRule="auto"/>
        <w:ind w:firstLine="361" w:firstLineChars="150"/>
        <w:rPr>
          <w:rFonts w:ascii="Times New Roman"/>
          <w:sz w:val="24"/>
          <w:szCs w:val="24"/>
        </w:rPr>
      </w:pPr>
      <w:r>
        <w:rPr>
          <w:rFonts w:ascii="Times New Roman"/>
          <w:b/>
          <w:bCs/>
          <w:sz w:val="24"/>
          <w:szCs w:val="24"/>
        </w:rPr>
        <w:t>3</w:t>
      </w:r>
      <w:r>
        <w:rPr>
          <w:rFonts w:ascii="Times New Roman"/>
          <w:sz w:val="24"/>
          <w:szCs w:val="24"/>
        </w:rPr>
        <w:t xml:space="preserve"> 试段长度不宜大于5m</w:t>
      </w:r>
      <w:r>
        <w:rPr>
          <w:rFonts w:hint="eastAsia" w:ascii="Times New Roman"/>
          <w:sz w:val="24"/>
          <w:szCs w:val="24"/>
        </w:rPr>
        <w:t>；</w:t>
      </w:r>
    </w:p>
    <w:p w14:paraId="6327367A">
      <w:pPr>
        <w:pStyle w:val="123"/>
        <w:numPr>
          <w:ilvl w:val="0"/>
          <w:numId w:val="0"/>
        </w:numPr>
        <w:spacing w:line="360" w:lineRule="auto"/>
        <w:ind w:firstLine="361" w:firstLineChars="150"/>
        <w:rPr>
          <w:rFonts w:ascii="Times New Roman"/>
          <w:sz w:val="24"/>
          <w:szCs w:val="24"/>
        </w:rPr>
      </w:pPr>
      <w:r>
        <w:rPr>
          <w:rFonts w:ascii="Times New Roman"/>
          <w:b/>
          <w:bCs/>
          <w:sz w:val="24"/>
          <w:szCs w:val="24"/>
        </w:rPr>
        <w:t>4</w:t>
      </w:r>
      <w:r>
        <w:rPr>
          <w:rFonts w:ascii="Times New Roman"/>
          <w:sz w:val="24"/>
          <w:szCs w:val="24"/>
        </w:rPr>
        <w:t xml:space="preserve"> 最大压力不宜超过灌浆施工过程中的最大压力，且压力不应对防渗墙产生破坏</w:t>
      </w:r>
      <w:r>
        <w:rPr>
          <w:rFonts w:hint="eastAsia" w:ascii="Times New Roman"/>
          <w:sz w:val="24"/>
          <w:szCs w:val="24"/>
        </w:rPr>
        <w:t>；</w:t>
      </w:r>
    </w:p>
    <w:p w14:paraId="268C1388">
      <w:pPr>
        <w:pStyle w:val="123"/>
        <w:numPr>
          <w:ilvl w:val="0"/>
          <w:numId w:val="0"/>
        </w:numPr>
        <w:spacing w:line="360" w:lineRule="auto"/>
        <w:ind w:firstLine="361" w:firstLineChars="150"/>
        <w:rPr>
          <w:rFonts w:ascii="Times New Roman"/>
          <w:sz w:val="24"/>
          <w:szCs w:val="24"/>
        </w:rPr>
      </w:pPr>
      <w:r>
        <w:rPr>
          <w:rFonts w:ascii="Times New Roman"/>
          <w:b/>
          <w:bCs/>
          <w:sz w:val="24"/>
          <w:szCs w:val="24"/>
        </w:rPr>
        <w:t>5</w:t>
      </w:r>
      <w:r>
        <w:rPr>
          <w:rFonts w:ascii="Times New Roman"/>
          <w:sz w:val="24"/>
          <w:szCs w:val="24"/>
        </w:rPr>
        <w:t xml:space="preserve"> 压水试验宜在</w:t>
      </w:r>
      <w:r>
        <w:rPr>
          <w:rFonts w:hint="eastAsia" w:ascii="Times New Roman"/>
          <w:sz w:val="24"/>
          <w:szCs w:val="24"/>
        </w:rPr>
        <w:t>灌浆</w:t>
      </w:r>
      <w:r>
        <w:rPr>
          <w:rFonts w:ascii="Times New Roman"/>
          <w:sz w:val="24"/>
          <w:szCs w:val="24"/>
        </w:rPr>
        <w:t>结束14d后进行</w:t>
      </w:r>
      <w:r>
        <w:rPr>
          <w:rFonts w:hint="eastAsia" w:ascii="Times New Roman"/>
          <w:sz w:val="24"/>
          <w:szCs w:val="24"/>
        </w:rPr>
        <w:t>。</w:t>
      </w:r>
    </w:p>
    <w:p w14:paraId="0AB88164">
      <w:pPr>
        <w:pStyle w:val="81"/>
        <w:numPr>
          <w:ilvl w:val="0"/>
          <w:numId w:val="0"/>
        </w:numPr>
        <w:spacing w:before="0" w:beforeLines="0" w:after="0" w:afterLines="0" w:line="360" w:lineRule="auto"/>
        <w:outlineLvl w:val="9"/>
        <w:rPr>
          <w:rFonts w:ascii="Times New Roman" w:eastAsia="宋体"/>
          <w:sz w:val="24"/>
          <w:szCs w:val="24"/>
        </w:rPr>
      </w:pPr>
      <w:bookmarkStart w:id="127" w:name="_Toc193447563"/>
      <w:r>
        <w:rPr>
          <w:rFonts w:hint="eastAsia" w:ascii="Times New Roman" w:eastAsia="宋体"/>
          <w:b/>
          <w:bCs/>
          <w:sz w:val="24"/>
          <w:szCs w:val="24"/>
        </w:rPr>
        <w:t>4</w:t>
      </w:r>
      <w:r>
        <w:rPr>
          <w:rFonts w:ascii="Times New Roman" w:eastAsia="宋体"/>
          <w:b/>
          <w:bCs/>
          <w:sz w:val="24"/>
          <w:szCs w:val="24"/>
        </w:rPr>
        <w:t>.4.2</w:t>
      </w:r>
      <w:bookmarkEnd w:id="127"/>
      <w:r>
        <w:rPr>
          <w:rFonts w:ascii="Times New Roman" w:eastAsia="宋体"/>
          <w:sz w:val="24"/>
          <w:szCs w:val="24"/>
        </w:rPr>
        <w:t>压水试验步骤、数据处理等应符合</w:t>
      </w:r>
      <w:r>
        <w:rPr>
          <w:rFonts w:hint="eastAsia" w:ascii="Times New Roman" w:eastAsia="宋体"/>
          <w:sz w:val="24"/>
          <w:szCs w:val="24"/>
        </w:rPr>
        <w:t>现行行业标准</w:t>
      </w:r>
      <w:r>
        <w:rPr>
          <w:rFonts w:ascii="Times New Roman" w:eastAsia="宋体"/>
          <w:sz w:val="24"/>
          <w:szCs w:val="24"/>
        </w:rPr>
        <w:t>《水利水电工程钻孔压水试验规程》SL 31的规定。</w:t>
      </w:r>
    </w:p>
    <w:bookmarkEnd w:id="126"/>
    <w:p w14:paraId="4BCFD28C">
      <w:pPr>
        <w:pStyle w:val="119"/>
        <w:numPr>
          <w:ilvl w:val="0"/>
          <w:numId w:val="0"/>
        </w:numPr>
        <w:spacing w:before="156" w:after="156" w:line="360" w:lineRule="auto"/>
        <w:jc w:val="center"/>
        <w:rPr>
          <w:rFonts w:ascii="Times New Roman" w:eastAsia="宋体"/>
          <w:b/>
          <w:bCs/>
          <w:sz w:val="28"/>
          <w:szCs w:val="24"/>
        </w:rPr>
      </w:pPr>
      <w:bookmarkStart w:id="128" w:name="_Toc193447565"/>
      <w:bookmarkStart w:id="129" w:name="_Toc192078859"/>
      <w:bookmarkStart w:id="130" w:name="_Toc195717748"/>
      <w:bookmarkStart w:id="131" w:name="_Toc196124342"/>
      <w:bookmarkStart w:id="132" w:name="_Toc193447681"/>
      <w:r>
        <w:rPr>
          <w:rFonts w:hint="eastAsia" w:ascii="Times New Roman" w:eastAsia="宋体"/>
          <w:b/>
          <w:bCs/>
          <w:sz w:val="28"/>
          <w:szCs w:val="24"/>
        </w:rPr>
        <w:t>4</w:t>
      </w:r>
      <w:r>
        <w:rPr>
          <w:rFonts w:ascii="Times New Roman" w:eastAsia="宋体"/>
          <w:b/>
          <w:bCs/>
          <w:sz w:val="28"/>
          <w:szCs w:val="24"/>
        </w:rPr>
        <w:t>.5 土柱试验</w:t>
      </w:r>
      <w:bookmarkEnd w:id="128"/>
      <w:bookmarkEnd w:id="129"/>
      <w:bookmarkEnd w:id="130"/>
      <w:bookmarkEnd w:id="131"/>
      <w:bookmarkEnd w:id="132"/>
    </w:p>
    <w:p w14:paraId="65DE5ECE">
      <w:pPr>
        <w:pStyle w:val="81"/>
        <w:numPr>
          <w:ilvl w:val="0"/>
          <w:numId w:val="0"/>
        </w:numPr>
        <w:spacing w:before="0" w:beforeLines="0" w:after="0" w:afterLines="0" w:line="360" w:lineRule="auto"/>
        <w:outlineLvl w:val="9"/>
        <w:rPr>
          <w:rFonts w:ascii="Times New Roman" w:eastAsia="宋体"/>
          <w:sz w:val="24"/>
          <w:szCs w:val="24"/>
        </w:rPr>
      </w:pPr>
      <w:bookmarkStart w:id="133" w:name="_Toc193447567"/>
      <w:r>
        <w:rPr>
          <w:rFonts w:hint="eastAsia" w:ascii="Times New Roman" w:eastAsia="宋体"/>
          <w:b/>
          <w:bCs/>
          <w:sz w:val="24"/>
          <w:szCs w:val="24"/>
        </w:rPr>
        <w:t>4</w:t>
      </w:r>
      <w:r>
        <w:rPr>
          <w:rFonts w:ascii="Times New Roman" w:eastAsia="宋体"/>
          <w:b/>
          <w:bCs/>
          <w:sz w:val="24"/>
          <w:szCs w:val="24"/>
        </w:rPr>
        <w:t>.5.1</w:t>
      </w:r>
      <w:r>
        <w:rPr>
          <w:rFonts w:ascii="Times New Roman" w:eastAsia="宋体"/>
          <w:sz w:val="24"/>
          <w:szCs w:val="24"/>
        </w:rPr>
        <w:t xml:space="preserve"> 土柱试验检测抽样原则、方法及数量</w:t>
      </w:r>
      <w:r>
        <w:rPr>
          <w:rFonts w:hint="eastAsia" w:ascii="Times New Roman" w:eastAsia="宋体"/>
          <w:sz w:val="24"/>
          <w:szCs w:val="24"/>
        </w:rPr>
        <w:t>宜</w:t>
      </w:r>
      <w:r>
        <w:rPr>
          <w:rFonts w:ascii="Times New Roman" w:eastAsia="宋体"/>
          <w:sz w:val="24"/>
          <w:szCs w:val="24"/>
        </w:rPr>
        <w:t>符合下列规定：</w:t>
      </w:r>
      <w:bookmarkEnd w:id="133"/>
    </w:p>
    <w:p w14:paraId="54CCBAFE">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土柱试验宜在垂直防渗墙施工结束28d后进行</w:t>
      </w:r>
      <w:r>
        <w:rPr>
          <w:rFonts w:hint="eastAsia" w:ascii="Times New Roman"/>
          <w:sz w:val="24"/>
          <w:szCs w:val="24"/>
        </w:rPr>
        <w:t>；</w:t>
      </w:r>
    </w:p>
    <w:p w14:paraId="188635CB">
      <w:pPr>
        <w:pStyle w:val="123"/>
        <w:numPr>
          <w:ilvl w:val="0"/>
          <w:numId w:val="0"/>
        </w:numPr>
        <w:spacing w:line="360" w:lineRule="auto"/>
        <w:ind w:firstLine="361" w:firstLineChars="150"/>
        <w:rPr>
          <w:rFonts w:ascii="Times New Roman"/>
          <w:sz w:val="24"/>
          <w:szCs w:val="24"/>
        </w:rPr>
      </w:pPr>
      <w:r>
        <w:rPr>
          <w:rFonts w:ascii="Times New Roman"/>
          <w:b/>
          <w:bCs/>
          <w:sz w:val="24"/>
          <w:szCs w:val="24"/>
        </w:rPr>
        <w:t>2</w:t>
      </w:r>
      <w:r>
        <w:rPr>
          <w:rFonts w:ascii="Times New Roman"/>
          <w:sz w:val="24"/>
          <w:szCs w:val="24"/>
        </w:rPr>
        <w:t xml:space="preserve"> 土柱试验钻孔布置数量每300m~500m设置1孔，且每项工程不少于1孔。</w:t>
      </w:r>
    </w:p>
    <w:p w14:paraId="40DB4F4A">
      <w:pPr>
        <w:pStyle w:val="81"/>
        <w:numPr>
          <w:ilvl w:val="0"/>
          <w:numId w:val="0"/>
        </w:numPr>
        <w:spacing w:before="0" w:beforeLines="0" w:after="0" w:afterLines="0" w:line="360" w:lineRule="auto"/>
        <w:outlineLvl w:val="9"/>
        <w:rPr>
          <w:rFonts w:ascii="Times New Roman" w:eastAsia="宋体"/>
          <w:sz w:val="24"/>
          <w:szCs w:val="24"/>
        </w:rPr>
      </w:pPr>
      <w:bookmarkStart w:id="134" w:name="_Toc193447568"/>
      <w:r>
        <w:rPr>
          <w:rFonts w:hint="eastAsia" w:ascii="Times New Roman" w:eastAsia="宋体"/>
          <w:b/>
          <w:bCs/>
          <w:sz w:val="24"/>
          <w:szCs w:val="24"/>
        </w:rPr>
        <w:t>4</w:t>
      </w:r>
      <w:r>
        <w:rPr>
          <w:rFonts w:ascii="Times New Roman" w:eastAsia="宋体"/>
          <w:b/>
          <w:bCs/>
          <w:sz w:val="24"/>
          <w:szCs w:val="24"/>
        </w:rPr>
        <w:t>.5.2</w:t>
      </w:r>
      <w:r>
        <w:rPr>
          <w:rFonts w:ascii="Times New Roman" w:eastAsia="宋体"/>
          <w:sz w:val="24"/>
          <w:szCs w:val="24"/>
        </w:rPr>
        <w:t xml:space="preserve"> 试验宜利用压</w:t>
      </w:r>
      <w:r>
        <w:rPr>
          <w:rFonts w:hint="eastAsia" w:ascii="Times New Roman" w:eastAsia="宋体"/>
          <w:sz w:val="24"/>
          <w:szCs w:val="24"/>
        </w:rPr>
        <w:t>水或</w:t>
      </w:r>
      <w:r>
        <w:rPr>
          <w:rFonts w:ascii="Times New Roman" w:eastAsia="宋体"/>
          <w:sz w:val="24"/>
          <w:szCs w:val="24"/>
        </w:rPr>
        <w:t>注水试验孔取土柱试样，试样宜为圆柱体，直径宜为100mm，高径比2:1；试验前试样应饱和。</w:t>
      </w:r>
      <w:bookmarkEnd w:id="134"/>
    </w:p>
    <w:p w14:paraId="3F4B9CE2">
      <w:pPr>
        <w:pStyle w:val="81"/>
        <w:numPr>
          <w:ilvl w:val="0"/>
          <w:numId w:val="0"/>
        </w:numPr>
        <w:spacing w:before="0" w:beforeLines="0" w:after="0" w:afterLines="0" w:line="360" w:lineRule="auto"/>
        <w:outlineLvl w:val="9"/>
        <w:rPr>
          <w:rFonts w:ascii="Times New Roman" w:eastAsia="宋体"/>
          <w:sz w:val="24"/>
          <w:szCs w:val="24"/>
        </w:rPr>
      </w:pPr>
      <w:bookmarkStart w:id="135" w:name="_Toc193447570"/>
      <w:r>
        <w:rPr>
          <w:rFonts w:ascii="Times New Roman" w:eastAsia="宋体"/>
          <w:b/>
          <w:bCs/>
          <w:sz w:val="24"/>
          <w:szCs w:val="24"/>
        </w:rPr>
        <w:t>4.5.3</w:t>
      </w:r>
      <w:r>
        <w:rPr>
          <w:rFonts w:ascii="Times New Roman" w:eastAsia="宋体"/>
          <w:sz w:val="24"/>
          <w:szCs w:val="24"/>
        </w:rPr>
        <w:t xml:space="preserve"> 土柱试验</w:t>
      </w:r>
      <w:r>
        <w:rPr>
          <w:rFonts w:hint="eastAsia" w:ascii="Times New Roman" w:eastAsia="宋体"/>
          <w:sz w:val="24"/>
          <w:szCs w:val="24"/>
        </w:rPr>
        <w:t>设备、试验</w:t>
      </w:r>
      <w:r>
        <w:rPr>
          <w:rFonts w:ascii="Times New Roman" w:eastAsia="宋体"/>
          <w:sz w:val="24"/>
          <w:szCs w:val="24"/>
        </w:rPr>
        <w:t>步骤、数据处理等应符合</w:t>
      </w:r>
      <w:r>
        <w:rPr>
          <w:rFonts w:hint="eastAsia" w:ascii="Times New Roman" w:eastAsia="宋体"/>
          <w:sz w:val="24"/>
          <w:szCs w:val="24"/>
        </w:rPr>
        <w:t>现行行业标准</w:t>
      </w:r>
      <w:r>
        <w:rPr>
          <w:rFonts w:ascii="Times New Roman" w:eastAsia="宋体"/>
          <w:sz w:val="24"/>
          <w:szCs w:val="24"/>
        </w:rPr>
        <w:t>《工业污染场地竖向阻隔技术规范》HG/T 20715的规定。</w:t>
      </w:r>
      <w:bookmarkEnd w:id="135"/>
    </w:p>
    <w:p w14:paraId="484E6EFF">
      <w:pPr>
        <w:pStyle w:val="119"/>
        <w:numPr>
          <w:ilvl w:val="0"/>
          <w:numId w:val="0"/>
        </w:numPr>
        <w:spacing w:before="156" w:after="156" w:line="360" w:lineRule="auto"/>
        <w:jc w:val="center"/>
        <w:rPr>
          <w:rFonts w:ascii="Times New Roman" w:eastAsia="宋体"/>
          <w:b/>
          <w:bCs/>
          <w:sz w:val="28"/>
          <w:szCs w:val="24"/>
        </w:rPr>
      </w:pPr>
      <w:bookmarkStart w:id="136" w:name="_Toc196124343"/>
      <w:bookmarkStart w:id="137" w:name="_Toc192078860"/>
      <w:bookmarkStart w:id="138" w:name="_Toc195717749"/>
      <w:bookmarkStart w:id="139" w:name="_Toc181955283"/>
      <w:bookmarkStart w:id="140" w:name="_Toc193447682"/>
      <w:bookmarkStart w:id="141" w:name="_Toc193447571"/>
      <w:r>
        <w:rPr>
          <w:rFonts w:hint="eastAsia" w:ascii="Times New Roman" w:eastAsia="宋体"/>
          <w:b/>
          <w:bCs/>
          <w:sz w:val="28"/>
          <w:szCs w:val="24"/>
        </w:rPr>
        <w:t>4</w:t>
      </w:r>
      <w:r>
        <w:rPr>
          <w:rFonts w:ascii="Times New Roman" w:eastAsia="宋体"/>
          <w:b/>
          <w:bCs/>
          <w:sz w:val="28"/>
          <w:szCs w:val="24"/>
        </w:rPr>
        <w:t>.6 直流电法</w:t>
      </w:r>
      <w:bookmarkEnd w:id="136"/>
      <w:bookmarkEnd w:id="137"/>
      <w:bookmarkEnd w:id="138"/>
      <w:bookmarkEnd w:id="139"/>
      <w:bookmarkEnd w:id="140"/>
      <w:bookmarkEnd w:id="141"/>
    </w:p>
    <w:p w14:paraId="53E8BA36">
      <w:pPr>
        <w:pStyle w:val="81"/>
        <w:numPr>
          <w:ilvl w:val="0"/>
          <w:numId w:val="0"/>
        </w:numPr>
        <w:spacing w:before="0" w:beforeLines="0" w:after="0" w:afterLines="0" w:line="360" w:lineRule="auto"/>
        <w:outlineLvl w:val="9"/>
        <w:rPr>
          <w:rFonts w:ascii="Times New Roman" w:eastAsia="宋体"/>
          <w:sz w:val="24"/>
          <w:szCs w:val="24"/>
        </w:rPr>
      </w:pPr>
      <w:bookmarkStart w:id="142" w:name="_Toc193447572"/>
      <w:r>
        <w:rPr>
          <w:rFonts w:hint="eastAsia" w:ascii="Times New Roman" w:eastAsia="宋体"/>
          <w:b/>
          <w:bCs/>
          <w:sz w:val="24"/>
          <w:szCs w:val="24"/>
        </w:rPr>
        <w:t>4</w:t>
      </w:r>
      <w:r>
        <w:rPr>
          <w:rFonts w:ascii="Times New Roman" w:eastAsia="宋体"/>
          <w:b/>
          <w:bCs/>
          <w:sz w:val="24"/>
          <w:szCs w:val="24"/>
        </w:rPr>
        <w:t>.6.1</w:t>
      </w:r>
      <w:r>
        <w:rPr>
          <w:rFonts w:ascii="Times New Roman" w:eastAsia="宋体"/>
          <w:sz w:val="24"/>
          <w:szCs w:val="24"/>
        </w:rPr>
        <w:t xml:space="preserve"> 直流电法检测宜选用高密度电阻率法。</w:t>
      </w:r>
      <w:bookmarkEnd w:id="142"/>
    </w:p>
    <w:p w14:paraId="17A01DC3">
      <w:pPr>
        <w:pStyle w:val="81"/>
        <w:numPr>
          <w:ilvl w:val="0"/>
          <w:numId w:val="0"/>
        </w:numPr>
        <w:spacing w:before="0" w:beforeLines="0" w:after="0" w:afterLines="0" w:line="360" w:lineRule="auto"/>
        <w:outlineLvl w:val="9"/>
        <w:rPr>
          <w:rFonts w:ascii="Times New Roman" w:eastAsia="宋体"/>
          <w:sz w:val="24"/>
          <w:szCs w:val="24"/>
        </w:rPr>
      </w:pPr>
      <w:bookmarkStart w:id="143" w:name="_Toc193447573"/>
      <w:r>
        <w:rPr>
          <w:rFonts w:hint="eastAsia" w:ascii="Times New Roman" w:eastAsia="宋体"/>
          <w:b/>
          <w:bCs/>
          <w:sz w:val="24"/>
          <w:szCs w:val="24"/>
        </w:rPr>
        <w:t>4</w:t>
      </w:r>
      <w:r>
        <w:rPr>
          <w:rFonts w:ascii="Times New Roman" w:eastAsia="宋体"/>
          <w:b/>
          <w:bCs/>
          <w:sz w:val="24"/>
          <w:szCs w:val="24"/>
        </w:rPr>
        <w:t>.6.2</w:t>
      </w:r>
      <w:r>
        <w:rPr>
          <w:rFonts w:ascii="Times New Roman" w:eastAsia="宋体"/>
          <w:sz w:val="24"/>
          <w:szCs w:val="24"/>
        </w:rPr>
        <w:t xml:space="preserve"> 直流电法检测应用条件</w:t>
      </w:r>
      <w:r>
        <w:rPr>
          <w:rFonts w:hint="eastAsia" w:ascii="Times New Roman" w:eastAsia="宋体"/>
          <w:sz w:val="24"/>
          <w:szCs w:val="24"/>
        </w:rPr>
        <w:t>宜</w:t>
      </w:r>
      <w:r>
        <w:rPr>
          <w:rFonts w:ascii="Times New Roman" w:eastAsia="宋体"/>
          <w:sz w:val="24"/>
          <w:szCs w:val="24"/>
        </w:rPr>
        <w:t>符合下列规定：</w:t>
      </w:r>
      <w:bookmarkEnd w:id="143"/>
    </w:p>
    <w:p w14:paraId="4F9779D2">
      <w:pPr>
        <w:pStyle w:val="123"/>
        <w:numPr>
          <w:ilvl w:val="0"/>
          <w:numId w:val="0"/>
        </w:numPr>
        <w:spacing w:line="360" w:lineRule="auto"/>
        <w:ind w:firstLine="361" w:firstLineChars="150"/>
        <w:rPr>
          <w:rFonts w:ascii="Times New Roman"/>
          <w:b/>
          <w:bCs/>
          <w:sz w:val="24"/>
          <w:szCs w:val="24"/>
        </w:rPr>
      </w:pPr>
      <w:bookmarkStart w:id="144" w:name="_Toc193447576"/>
      <w:r>
        <w:rPr>
          <w:rFonts w:hint="eastAsia" w:ascii="Times New Roman"/>
          <w:b/>
          <w:bCs/>
          <w:sz w:val="24"/>
          <w:szCs w:val="24"/>
        </w:rPr>
        <w:t xml:space="preserve">1 </w:t>
      </w:r>
      <w:r>
        <w:rPr>
          <w:rFonts w:hint="eastAsia" w:ascii="Times New Roman"/>
          <w:sz w:val="24"/>
          <w:szCs w:val="24"/>
        </w:rPr>
        <w:t>垂直防渗墙质量缺陷与完整墙体之间存在明显的电性差异；</w:t>
      </w:r>
    </w:p>
    <w:p w14:paraId="61354078">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w:t>
      </w:r>
      <w:r>
        <w:rPr>
          <w:rFonts w:hint="eastAsia" w:ascii="Times New Roman"/>
          <w:sz w:val="24"/>
          <w:szCs w:val="24"/>
        </w:rPr>
        <w:t>检</w:t>
      </w:r>
      <w:r>
        <w:rPr>
          <w:rFonts w:ascii="Times New Roman"/>
          <w:sz w:val="24"/>
          <w:szCs w:val="24"/>
        </w:rPr>
        <w:t>测区内接地条件良好或能通过采取措施加以改善</w:t>
      </w:r>
      <w:r>
        <w:rPr>
          <w:rFonts w:hint="eastAsia" w:ascii="Times New Roman"/>
          <w:sz w:val="24"/>
          <w:szCs w:val="24"/>
        </w:rPr>
        <w:t>；</w:t>
      </w:r>
    </w:p>
    <w:p w14:paraId="297A8666">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3</w:t>
      </w:r>
      <w:r>
        <w:rPr>
          <w:rFonts w:ascii="Times New Roman"/>
          <w:sz w:val="24"/>
          <w:szCs w:val="24"/>
        </w:rPr>
        <w:t xml:space="preserve"> </w:t>
      </w:r>
      <w:r>
        <w:rPr>
          <w:rFonts w:hint="eastAsia" w:ascii="Times New Roman"/>
          <w:sz w:val="24"/>
          <w:szCs w:val="24"/>
        </w:rPr>
        <w:t>检</w:t>
      </w:r>
      <w:r>
        <w:rPr>
          <w:rFonts w:ascii="Times New Roman"/>
          <w:sz w:val="24"/>
          <w:szCs w:val="24"/>
        </w:rPr>
        <w:t>测区内没有电阻屏蔽层</w:t>
      </w:r>
      <w:r>
        <w:rPr>
          <w:rFonts w:hint="eastAsia" w:ascii="Times New Roman"/>
          <w:sz w:val="24"/>
          <w:szCs w:val="24"/>
        </w:rPr>
        <w:t>；</w:t>
      </w:r>
    </w:p>
    <w:p w14:paraId="592EAC30">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4</w:t>
      </w:r>
      <w:r>
        <w:rPr>
          <w:rFonts w:ascii="Times New Roman"/>
          <w:sz w:val="24"/>
          <w:szCs w:val="24"/>
        </w:rPr>
        <w:t xml:space="preserve"> </w:t>
      </w:r>
      <w:r>
        <w:rPr>
          <w:rFonts w:hint="eastAsia" w:ascii="Times New Roman"/>
          <w:sz w:val="24"/>
          <w:szCs w:val="24"/>
        </w:rPr>
        <w:t>检</w:t>
      </w:r>
      <w:r>
        <w:rPr>
          <w:rFonts w:ascii="Times New Roman"/>
          <w:sz w:val="24"/>
          <w:szCs w:val="24"/>
        </w:rPr>
        <w:t>测区内应无较强的游散电流、大地电流或其他电磁干扰。</w:t>
      </w:r>
    </w:p>
    <w:p w14:paraId="05DCB11D">
      <w:pPr>
        <w:pStyle w:val="81"/>
        <w:numPr>
          <w:ilvl w:val="0"/>
          <w:numId w:val="0"/>
        </w:numPr>
        <w:spacing w:before="0" w:beforeLines="0" w:after="0" w:afterLines="0" w:line="360" w:lineRule="auto"/>
        <w:outlineLvl w:val="9"/>
        <w:rPr>
          <w:rFonts w:ascii="Times New Roman" w:eastAsia="宋体"/>
          <w:sz w:val="24"/>
          <w:szCs w:val="24"/>
        </w:rPr>
      </w:pPr>
      <w:bookmarkStart w:id="145" w:name="_Toc193447575"/>
      <w:r>
        <w:rPr>
          <w:rFonts w:hint="eastAsia" w:ascii="Times New Roman" w:eastAsia="宋体"/>
          <w:b/>
          <w:bCs/>
          <w:sz w:val="24"/>
          <w:szCs w:val="24"/>
        </w:rPr>
        <w:t>4</w:t>
      </w:r>
      <w:r>
        <w:rPr>
          <w:rFonts w:ascii="Times New Roman" w:eastAsia="宋体"/>
          <w:b/>
          <w:bCs/>
          <w:sz w:val="24"/>
          <w:szCs w:val="24"/>
        </w:rPr>
        <w:t>.6.</w:t>
      </w:r>
      <w:r>
        <w:rPr>
          <w:rFonts w:hint="eastAsia" w:ascii="Times New Roman" w:eastAsia="宋体"/>
          <w:b/>
          <w:bCs/>
          <w:sz w:val="24"/>
          <w:szCs w:val="24"/>
        </w:rPr>
        <w:t>3</w:t>
      </w:r>
      <w:r>
        <w:rPr>
          <w:rFonts w:ascii="Times New Roman" w:eastAsia="宋体"/>
          <w:sz w:val="24"/>
          <w:szCs w:val="24"/>
        </w:rPr>
        <w:t>高密度电阻率法宜优先选用</w:t>
      </w:r>
      <w:r>
        <w:rPr>
          <w:rFonts w:hint="eastAsia" w:ascii="Times New Roman" w:eastAsia="宋体"/>
          <w:sz w:val="24"/>
          <w:szCs w:val="24"/>
        </w:rPr>
        <w:t>四极</w:t>
      </w:r>
      <w:r>
        <w:rPr>
          <w:rFonts w:ascii="Times New Roman" w:eastAsia="宋体"/>
          <w:sz w:val="24"/>
          <w:szCs w:val="24"/>
        </w:rPr>
        <w:t>装置（温纳装置、斯伦贝谢装置、温施装置）、微分装置、偶极装置；复杂条件下，应采用不少于两种观测装置进行检测。</w:t>
      </w:r>
      <w:bookmarkEnd w:id="145"/>
    </w:p>
    <w:p w14:paraId="65751C73">
      <w:pPr>
        <w:pStyle w:val="81"/>
        <w:numPr>
          <w:ilvl w:val="0"/>
          <w:numId w:val="0"/>
        </w:numPr>
        <w:spacing w:before="0" w:beforeLines="0" w:after="0" w:afterLines="0" w:line="360" w:lineRule="auto"/>
        <w:outlineLvl w:val="9"/>
        <w:rPr>
          <w:rFonts w:ascii="Times New Roman" w:eastAsia="宋体"/>
          <w:sz w:val="24"/>
          <w:szCs w:val="24"/>
        </w:rPr>
      </w:pPr>
      <w:r>
        <w:rPr>
          <w:rFonts w:hint="eastAsia" w:ascii="Times New Roman" w:eastAsia="宋体"/>
          <w:b/>
          <w:bCs/>
          <w:sz w:val="24"/>
          <w:szCs w:val="24"/>
        </w:rPr>
        <w:t>4</w:t>
      </w:r>
      <w:r>
        <w:rPr>
          <w:rFonts w:ascii="Times New Roman" w:eastAsia="宋体"/>
          <w:b/>
          <w:bCs/>
          <w:sz w:val="24"/>
          <w:szCs w:val="24"/>
        </w:rPr>
        <w:t>.6.</w:t>
      </w:r>
      <w:r>
        <w:rPr>
          <w:rFonts w:hint="eastAsia" w:ascii="Times New Roman" w:eastAsia="宋体"/>
          <w:b/>
          <w:bCs/>
          <w:sz w:val="24"/>
          <w:szCs w:val="24"/>
        </w:rPr>
        <w:t>4</w:t>
      </w:r>
      <w:r>
        <w:rPr>
          <w:rFonts w:ascii="Times New Roman" w:eastAsia="宋体"/>
          <w:sz w:val="24"/>
          <w:szCs w:val="24"/>
        </w:rPr>
        <w:t xml:space="preserve"> 直流电法的工作总精度以均方相对误差进行衡量，质量检查工作量不应少于总工作量的3%，均方相对误差不</w:t>
      </w:r>
      <w:r>
        <w:rPr>
          <w:rFonts w:hint="eastAsia" w:ascii="Times New Roman" w:eastAsia="宋体"/>
          <w:sz w:val="24"/>
          <w:szCs w:val="24"/>
        </w:rPr>
        <w:t>应</w:t>
      </w:r>
      <w:r>
        <w:rPr>
          <w:rFonts w:ascii="Times New Roman" w:eastAsia="宋体"/>
          <w:sz w:val="24"/>
          <w:szCs w:val="24"/>
        </w:rPr>
        <w:t>超过5%。</w:t>
      </w:r>
      <w:bookmarkEnd w:id="144"/>
    </w:p>
    <w:p w14:paraId="40EE10D9">
      <w:pPr>
        <w:pStyle w:val="81"/>
        <w:numPr>
          <w:ilvl w:val="0"/>
          <w:numId w:val="0"/>
        </w:numPr>
        <w:spacing w:before="0" w:beforeLines="0" w:after="0" w:afterLines="0" w:line="360" w:lineRule="auto"/>
        <w:outlineLvl w:val="9"/>
        <w:rPr>
          <w:rFonts w:ascii="Times New Roman" w:eastAsia="宋体"/>
          <w:sz w:val="24"/>
          <w:szCs w:val="24"/>
        </w:rPr>
      </w:pPr>
      <w:bookmarkStart w:id="146" w:name="_Toc193447574"/>
      <w:bookmarkStart w:id="147" w:name="_Toc193447577"/>
      <w:r>
        <w:rPr>
          <w:rFonts w:hint="eastAsia" w:ascii="Times New Roman" w:eastAsia="宋体"/>
          <w:b/>
          <w:bCs/>
          <w:sz w:val="24"/>
          <w:szCs w:val="24"/>
        </w:rPr>
        <w:t>4</w:t>
      </w:r>
      <w:r>
        <w:rPr>
          <w:rFonts w:ascii="Times New Roman" w:eastAsia="宋体"/>
          <w:b/>
          <w:bCs/>
          <w:sz w:val="24"/>
          <w:szCs w:val="24"/>
        </w:rPr>
        <w:t>.6.</w:t>
      </w:r>
      <w:r>
        <w:rPr>
          <w:rFonts w:hint="eastAsia" w:ascii="Times New Roman" w:eastAsia="宋体"/>
          <w:b/>
          <w:bCs/>
          <w:sz w:val="24"/>
          <w:szCs w:val="24"/>
        </w:rPr>
        <w:t>5</w:t>
      </w:r>
      <w:r>
        <w:rPr>
          <w:rFonts w:ascii="Times New Roman" w:eastAsia="宋体"/>
          <w:sz w:val="24"/>
          <w:szCs w:val="24"/>
        </w:rPr>
        <w:t xml:space="preserve"> 直流电法</w:t>
      </w:r>
      <w:r>
        <w:rPr>
          <w:rFonts w:hint="eastAsia" w:ascii="Times New Roman" w:eastAsia="宋体"/>
          <w:sz w:val="24"/>
          <w:szCs w:val="24"/>
        </w:rPr>
        <w:t>的</w:t>
      </w:r>
      <w:r>
        <w:rPr>
          <w:rFonts w:ascii="Times New Roman" w:eastAsia="宋体"/>
          <w:sz w:val="24"/>
          <w:szCs w:val="24"/>
        </w:rPr>
        <w:t>仪器设备、数据采集</w:t>
      </w:r>
      <w:r>
        <w:rPr>
          <w:rFonts w:hint="eastAsia" w:ascii="Times New Roman" w:eastAsia="宋体"/>
          <w:sz w:val="24"/>
          <w:szCs w:val="24"/>
        </w:rPr>
        <w:t>与</w:t>
      </w:r>
      <w:r>
        <w:rPr>
          <w:rFonts w:ascii="Times New Roman" w:eastAsia="宋体"/>
          <w:sz w:val="24"/>
          <w:szCs w:val="24"/>
        </w:rPr>
        <w:t>处理</w:t>
      </w:r>
      <w:r>
        <w:rPr>
          <w:rFonts w:hint="eastAsia" w:ascii="Times New Roman" w:eastAsia="宋体"/>
          <w:sz w:val="24"/>
          <w:szCs w:val="24"/>
        </w:rPr>
        <w:t>、检测成果内容</w:t>
      </w:r>
      <w:r>
        <w:rPr>
          <w:rFonts w:ascii="Times New Roman" w:eastAsia="宋体"/>
          <w:sz w:val="24"/>
          <w:szCs w:val="24"/>
        </w:rPr>
        <w:t>应符合现行</w:t>
      </w:r>
      <w:r>
        <w:rPr>
          <w:rFonts w:hint="eastAsia" w:ascii="Times New Roman" w:eastAsia="宋体"/>
          <w:sz w:val="24"/>
          <w:szCs w:val="24"/>
        </w:rPr>
        <w:t>行业标准《城市工程地球物理探测标准》CJJ/T 7的规定</w:t>
      </w:r>
      <w:r>
        <w:rPr>
          <w:rFonts w:ascii="Times New Roman" w:eastAsia="宋体"/>
          <w:sz w:val="24"/>
          <w:szCs w:val="24"/>
        </w:rPr>
        <w:t>。</w:t>
      </w:r>
      <w:bookmarkEnd w:id="146"/>
    </w:p>
    <w:bookmarkEnd w:id="147"/>
    <w:p w14:paraId="73925CDA">
      <w:pPr>
        <w:pStyle w:val="119"/>
        <w:numPr>
          <w:ilvl w:val="0"/>
          <w:numId w:val="0"/>
        </w:numPr>
        <w:spacing w:before="156" w:after="156" w:line="360" w:lineRule="auto"/>
        <w:jc w:val="center"/>
        <w:rPr>
          <w:rFonts w:ascii="Times New Roman" w:eastAsia="宋体"/>
          <w:b/>
          <w:bCs/>
          <w:sz w:val="28"/>
          <w:szCs w:val="24"/>
        </w:rPr>
      </w:pPr>
      <w:bookmarkStart w:id="148" w:name="_Toc195717750"/>
      <w:bookmarkStart w:id="149" w:name="_Toc192078861"/>
      <w:bookmarkStart w:id="150" w:name="_Toc193447578"/>
      <w:bookmarkStart w:id="151" w:name="_Toc196124344"/>
      <w:bookmarkStart w:id="152" w:name="_Toc193447683"/>
      <w:r>
        <w:rPr>
          <w:rFonts w:hint="eastAsia" w:ascii="Times New Roman" w:eastAsia="宋体"/>
          <w:b/>
          <w:bCs/>
          <w:sz w:val="28"/>
          <w:szCs w:val="24"/>
        </w:rPr>
        <w:t>4</w:t>
      </w:r>
      <w:r>
        <w:rPr>
          <w:rFonts w:ascii="Times New Roman" w:eastAsia="宋体"/>
          <w:b/>
          <w:bCs/>
          <w:sz w:val="28"/>
          <w:szCs w:val="24"/>
        </w:rPr>
        <w:t>.7 电磁法</w:t>
      </w:r>
      <w:bookmarkEnd w:id="148"/>
      <w:bookmarkEnd w:id="149"/>
      <w:bookmarkEnd w:id="150"/>
      <w:bookmarkEnd w:id="151"/>
      <w:bookmarkEnd w:id="152"/>
    </w:p>
    <w:p w14:paraId="7AADF073">
      <w:pPr>
        <w:pStyle w:val="81"/>
        <w:numPr>
          <w:ilvl w:val="0"/>
          <w:numId w:val="0"/>
        </w:numPr>
        <w:spacing w:before="0" w:beforeLines="0" w:after="0" w:afterLines="0" w:line="360" w:lineRule="auto"/>
        <w:outlineLvl w:val="9"/>
        <w:rPr>
          <w:rFonts w:ascii="Times New Roman" w:eastAsia="宋体"/>
          <w:sz w:val="24"/>
          <w:szCs w:val="24"/>
        </w:rPr>
      </w:pPr>
      <w:bookmarkStart w:id="153" w:name="_Toc193447579"/>
      <w:r>
        <w:rPr>
          <w:rFonts w:hint="eastAsia" w:ascii="Times New Roman" w:eastAsia="宋体"/>
          <w:b/>
          <w:bCs/>
          <w:sz w:val="24"/>
          <w:szCs w:val="24"/>
        </w:rPr>
        <w:t>4</w:t>
      </w:r>
      <w:r>
        <w:rPr>
          <w:rFonts w:ascii="Times New Roman" w:eastAsia="宋体"/>
          <w:b/>
          <w:bCs/>
          <w:sz w:val="24"/>
          <w:szCs w:val="24"/>
        </w:rPr>
        <w:t>.7.1</w:t>
      </w:r>
      <w:r>
        <w:rPr>
          <w:rFonts w:ascii="Times New Roman" w:eastAsia="宋体"/>
          <w:sz w:val="24"/>
          <w:szCs w:val="24"/>
        </w:rPr>
        <w:t xml:space="preserve"> 电磁法检测宜选用探地雷达法、瞬变电磁法等。</w:t>
      </w:r>
      <w:bookmarkEnd w:id="153"/>
    </w:p>
    <w:p w14:paraId="12CD53B2">
      <w:pPr>
        <w:pStyle w:val="81"/>
        <w:numPr>
          <w:ilvl w:val="0"/>
          <w:numId w:val="0"/>
        </w:numPr>
        <w:spacing w:before="0" w:beforeLines="0" w:after="0" w:afterLines="0" w:line="360" w:lineRule="auto"/>
        <w:outlineLvl w:val="9"/>
        <w:rPr>
          <w:rFonts w:ascii="Times New Roman" w:eastAsia="宋体"/>
          <w:sz w:val="24"/>
          <w:szCs w:val="24"/>
        </w:rPr>
      </w:pPr>
      <w:bookmarkStart w:id="154" w:name="_Toc193447580"/>
      <w:r>
        <w:rPr>
          <w:rFonts w:hint="eastAsia" w:ascii="Times New Roman" w:eastAsia="宋体"/>
          <w:b/>
          <w:bCs/>
          <w:sz w:val="24"/>
          <w:szCs w:val="24"/>
        </w:rPr>
        <w:t>4</w:t>
      </w:r>
      <w:r>
        <w:rPr>
          <w:rFonts w:ascii="Times New Roman" w:eastAsia="宋体"/>
          <w:b/>
          <w:bCs/>
          <w:sz w:val="24"/>
          <w:szCs w:val="24"/>
        </w:rPr>
        <w:t>.7.2</w:t>
      </w:r>
      <w:r>
        <w:rPr>
          <w:rFonts w:ascii="Times New Roman" w:eastAsia="宋体"/>
          <w:sz w:val="24"/>
          <w:szCs w:val="24"/>
        </w:rPr>
        <w:t xml:space="preserve"> 电磁法检测应用条件</w:t>
      </w:r>
      <w:r>
        <w:rPr>
          <w:rFonts w:hint="eastAsia" w:ascii="Times New Roman" w:eastAsia="宋体"/>
          <w:sz w:val="24"/>
          <w:szCs w:val="24"/>
        </w:rPr>
        <w:t>宜</w:t>
      </w:r>
      <w:r>
        <w:rPr>
          <w:rFonts w:ascii="Times New Roman" w:eastAsia="宋体"/>
          <w:sz w:val="24"/>
          <w:szCs w:val="24"/>
        </w:rPr>
        <w:t>符合下列规定：</w:t>
      </w:r>
      <w:bookmarkEnd w:id="154"/>
    </w:p>
    <w:p w14:paraId="1C3ED43D">
      <w:pPr>
        <w:pStyle w:val="123"/>
        <w:numPr>
          <w:ilvl w:val="0"/>
          <w:numId w:val="0"/>
        </w:numPr>
        <w:spacing w:line="360" w:lineRule="auto"/>
        <w:ind w:firstLine="361" w:firstLineChars="150"/>
      </w:pPr>
      <w:r>
        <w:rPr>
          <w:rFonts w:ascii="Times New Roman"/>
          <w:b/>
          <w:bCs/>
          <w:sz w:val="24"/>
          <w:szCs w:val="24"/>
        </w:rPr>
        <w:t>1</w:t>
      </w:r>
      <w:bookmarkStart w:id="155" w:name="OLE_LINK2"/>
      <w:r>
        <w:rPr>
          <w:rFonts w:ascii="Times New Roman"/>
          <w:sz w:val="24"/>
          <w:szCs w:val="24"/>
        </w:rPr>
        <w:t xml:space="preserve"> </w:t>
      </w:r>
      <w:r>
        <w:rPr>
          <w:rFonts w:hint="eastAsia" w:ascii="Times New Roman"/>
          <w:sz w:val="24"/>
          <w:szCs w:val="24"/>
        </w:rPr>
        <w:t>垂直防渗墙质量缺陷与完整墙体之间</w:t>
      </w:r>
      <w:r>
        <w:rPr>
          <w:rFonts w:ascii="Times New Roman"/>
          <w:sz w:val="24"/>
          <w:szCs w:val="24"/>
        </w:rPr>
        <w:t>存在明显的电</w:t>
      </w:r>
      <w:r>
        <w:rPr>
          <w:rFonts w:hint="eastAsia" w:ascii="Times New Roman"/>
          <w:sz w:val="24"/>
          <w:szCs w:val="24"/>
        </w:rPr>
        <w:t>磁</w:t>
      </w:r>
      <w:r>
        <w:rPr>
          <w:rFonts w:ascii="Times New Roman"/>
          <w:sz w:val="24"/>
          <w:szCs w:val="24"/>
        </w:rPr>
        <w:t>性差异。</w:t>
      </w:r>
    </w:p>
    <w:p w14:paraId="7DC30BC4">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w:t>
      </w:r>
      <w:r>
        <w:rPr>
          <w:rFonts w:hint="eastAsia" w:ascii="Times New Roman"/>
          <w:sz w:val="24"/>
          <w:szCs w:val="24"/>
        </w:rPr>
        <w:t>检</w:t>
      </w:r>
      <w:r>
        <w:rPr>
          <w:rFonts w:ascii="Times New Roman"/>
          <w:sz w:val="24"/>
          <w:szCs w:val="24"/>
        </w:rPr>
        <w:t>测区内应无较强的游散电流、大地电流或其他电磁干扰。</w:t>
      </w:r>
    </w:p>
    <w:p w14:paraId="6DA71FD1">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3</w:t>
      </w:r>
      <w:r>
        <w:rPr>
          <w:rFonts w:ascii="Times New Roman"/>
          <w:sz w:val="24"/>
          <w:szCs w:val="24"/>
        </w:rPr>
        <w:t xml:space="preserve"> </w:t>
      </w:r>
      <w:r>
        <w:rPr>
          <w:rFonts w:hint="eastAsia" w:ascii="Times New Roman"/>
          <w:sz w:val="24"/>
          <w:szCs w:val="24"/>
        </w:rPr>
        <w:t>检</w:t>
      </w:r>
      <w:r>
        <w:rPr>
          <w:rFonts w:ascii="Times New Roman"/>
          <w:sz w:val="24"/>
          <w:szCs w:val="24"/>
        </w:rPr>
        <w:t>测区内地形地貌条件应适合野外实时观测。</w:t>
      </w:r>
    </w:p>
    <w:p w14:paraId="2BD7C4E4">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4</w:t>
      </w:r>
      <w:r>
        <w:rPr>
          <w:rFonts w:ascii="Times New Roman"/>
          <w:sz w:val="24"/>
          <w:szCs w:val="24"/>
        </w:rPr>
        <w:t xml:space="preserve"> </w:t>
      </w:r>
      <w:r>
        <w:rPr>
          <w:rFonts w:hint="eastAsia" w:ascii="Times New Roman"/>
          <w:sz w:val="24"/>
          <w:szCs w:val="24"/>
        </w:rPr>
        <w:t>垂直防渗墙质量缺陷部位</w:t>
      </w:r>
      <w:r>
        <w:rPr>
          <w:rFonts w:ascii="Times New Roman"/>
          <w:sz w:val="24"/>
          <w:szCs w:val="24"/>
        </w:rPr>
        <w:t>不应在</w:t>
      </w:r>
      <w:r>
        <w:rPr>
          <w:rFonts w:hint="eastAsia" w:ascii="Times New Roman"/>
          <w:sz w:val="24"/>
          <w:szCs w:val="24"/>
        </w:rPr>
        <w:t>检测</w:t>
      </w:r>
      <w:r>
        <w:rPr>
          <w:rFonts w:ascii="Times New Roman"/>
          <w:sz w:val="24"/>
          <w:szCs w:val="24"/>
        </w:rPr>
        <w:t>盲区内。</w:t>
      </w:r>
    </w:p>
    <w:bookmarkEnd w:id="155"/>
    <w:p w14:paraId="675B5E31">
      <w:pPr>
        <w:pStyle w:val="81"/>
        <w:numPr>
          <w:ilvl w:val="0"/>
          <w:numId w:val="0"/>
        </w:numPr>
        <w:spacing w:before="0" w:beforeLines="0" w:after="0" w:afterLines="0" w:line="360" w:lineRule="auto"/>
        <w:outlineLvl w:val="9"/>
        <w:rPr>
          <w:rFonts w:ascii="Times New Roman" w:eastAsia="宋体"/>
          <w:sz w:val="24"/>
          <w:szCs w:val="24"/>
        </w:rPr>
      </w:pPr>
      <w:bookmarkStart w:id="156" w:name="_Toc193447582"/>
      <w:r>
        <w:rPr>
          <w:rFonts w:hint="eastAsia" w:ascii="Times New Roman" w:eastAsia="宋体"/>
          <w:b/>
          <w:bCs/>
          <w:sz w:val="24"/>
          <w:szCs w:val="24"/>
        </w:rPr>
        <w:t>4</w:t>
      </w:r>
      <w:r>
        <w:rPr>
          <w:rFonts w:ascii="Times New Roman" w:eastAsia="宋体"/>
          <w:b/>
          <w:bCs/>
          <w:sz w:val="24"/>
          <w:szCs w:val="24"/>
        </w:rPr>
        <w:t>.7.</w:t>
      </w:r>
      <w:r>
        <w:rPr>
          <w:rFonts w:hint="eastAsia" w:ascii="Times New Roman" w:eastAsia="宋体"/>
          <w:b/>
          <w:bCs/>
          <w:sz w:val="24"/>
          <w:szCs w:val="24"/>
        </w:rPr>
        <w:t>3</w:t>
      </w:r>
      <w:r>
        <w:rPr>
          <w:rFonts w:ascii="Times New Roman" w:eastAsia="宋体"/>
          <w:sz w:val="24"/>
          <w:szCs w:val="24"/>
        </w:rPr>
        <w:t xml:space="preserve"> 探地雷达法应用于垂直防渗墙检测时，宜采用剖面法；当深部数据信噪比较低不能满足</w:t>
      </w:r>
      <w:r>
        <w:rPr>
          <w:rFonts w:hint="eastAsia" w:ascii="Times New Roman" w:eastAsia="宋体"/>
          <w:sz w:val="24"/>
          <w:szCs w:val="24"/>
        </w:rPr>
        <w:t>检测</w:t>
      </w:r>
      <w:r>
        <w:rPr>
          <w:rFonts w:ascii="Times New Roman" w:eastAsia="宋体"/>
          <w:sz w:val="24"/>
          <w:szCs w:val="24"/>
        </w:rPr>
        <w:t>要求时，宜采用共深度点法；在满足</w:t>
      </w:r>
      <w:r>
        <w:rPr>
          <w:rFonts w:hint="eastAsia" w:ascii="Times New Roman" w:eastAsia="宋体"/>
          <w:sz w:val="24"/>
          <w:szCs w:val="24"/>
        </w:rPr>
        <w:t>检测</w:t>
      </w:r>
      <w:r>
        <w:rPr>
          <w:rFonts w:ascii="Times New Roman" w:eastAsia="宋体"/>
          <w:sz w:val="24"/>
          <w:szCs w:val="24"/>
        </w:rPr>
        <w:t>深度的前提下，应选用高频天线。</w:t>
      </w:r>
      <w:bookmarkEnd w:id="156"/>
    </w:p>
    <w:p w14:paraId="556D1EE8">
      <w:pPr>
        <w:pStyle w:val="81"/>
        <w:numPr>
          <w:ilvl w:val="0"/>
          <w:numId w:val="0"/>
        </w:numPr>
        <w:spacing w:before="0" w:beforeLines="0" w:after="0" w:afterLines="0" w:line="360" w:lineRule="auto"/>
        <w:outlineLvl w:val="9"/>
        <w:rPr>
          <w:rFonts w:ascii="Times New Roman" w:eastAsia="宋体"/>
          <w:sz w:val="24"/>
          <w:szCs w:val="24"/>
        </w:rPr>
      </w:pPr>
      <w:bookmarkStart w:id="157" w:name="_Toc193447583"/>
      <w:r>
        <w:rPr>
          <w:rFonts w:hint="eastAsia" w:ascii="Times New Roman" w:eastAsia="宋体"/>
          <w:b/>
          <w:bCs/>
          <w:sz w:val="24"/>
          <w:szCs w:val="24"/>
        </w:rPr>
        <w:t>4</w:t>
      </w:r>
      <w:r>
        <w:rPr>
          <w:rFonts w:ascii="Times New Roman" w:eastAsia="宋体"/>
          <w:b/>
          <w:bCs/>
          <w:sz w:val="24"/>
          <w:szCs w:val="24"/>
        </w:rPr>
        <w:t>.7.</w:t>
      </w:r>
      <w:r>
        <w:rPr>
          <w:rFonts w:hint="eastAsia" w:ascii="Times New Roman" w:eastAsia="宋体"/>
          <w:b/>
          <w:bCs/>
          <w:sz w:val="24"/>
          <w:szCs w:val="24"/>
        </w:rPr>
        <w:t>4</w:t>
      </w:r>
      <w:r>
        <w:rPr>
          <w:rFonts w:ascii="Times New Roman" w:eastAsia="宋体"/>
          <w:sz w:val="24"/>
          <w:szCs w:val="24"/>
        </w:rPr>
        <w:t xml:space="preserve"> 瞬变电磁法应用于垂直防渗墙检测时，宜选用等值反磁通装置或中心回线装置；应根据试验结果确定发射、接收线框的大小及其他参数。</w:t>
      </w:r>
      <w:bookmarkEnd w:id="157"/>
    </w:p>
    <w:p w14:paraId="53F03300">
      <w:pPr>
        <w:pStyle w:val="81"/>
        <w:numPr>
          <w:ilvl w:val="0"/>
          <w:numId w:val="0"/>
        </w:numPr>
        <w:spacing w:before="0" w:beforeLines="0" w:after="0" w:afterLines="0" w:line="360" w:lineRule="auto"/>
        <w:outlineLvl w:val="9"/>
        <w:rPr>
          <w:rFonts w:ascii="Times New Roman"/>
          <w:sz w:val="24"/>
          <w:szCs w:val="24"/>
        </w:rPr>
      </w:pPr>
      <w:bookmarkStart w:id="158" w:name="_Toc193447585"/>
      <w:bookmarkStart w:id="159" w:name="_Toc196124345"/>
      <w:bookmarkStart w:id="160" w:name="_Toc193447684"/>
      <w:bookmarkStart w:id="161" w:name="_Toc195717751"/>
      <w:bookmarkStart w:id="162" w:name="_Toc193447586"/>
      <w:r>
        <w:rPr>
          <w:rFonts w:hint="eastAsia" w:ascii="Times New Roman" w:eastAsia="宋体"/>
          <w:b/>
          <w:bCs/>
          <w:sz w:val="24"/>
          <w:szCs w:val="24"/>
        </w:rPr>
        <w:t>4</w:t>
      </w:r>
      <w:r>
        <w:rPr>
          <w:rFonts w:ascii="Times New Roman" w:eastAsia="宋体"/>
          <w:b/>
          <w:bCs/>
          <w:sz w:val="24"/>
          <w:szCs w:val="24"/>
        </w:rPr>
        <w:t>.7.</w:t>
      </w:r>
      <w:r>
        <w:rPr>
          <w:rFonts w:hint="eastAsia" w:ascii="Times New Roman" w:eastAsia="宋体"/>
          <w:b/>
          <w:bCs/>
          <w:sz w:val="24"/>
          <w:szCs w:val="24"/>
        </w:rPr>
        <w:t>5</w:t>
      </w:r>
      <w:r>
        <w:rPr>
          <w:rFonts w:ascii="Times New Roman" w:eastAsia="宋体"/>
          <w:sz w:val="24"/>
          <w:szCs w:val="24"/>
        </w:rPr>
        <w:t xml:space="preserve"> </w:t>
      </w:r>
      <w:bookmarkEnd w:id="158"/>
      <w:r>
        <w:rPr>
          <w:rFonts w:hint="eastAsia" w:ascii="Times New Roman" w:eastAsia="宋体"/>
          <w:sz w:val="24"/>
          <w:szCs w:val="24"/>
        </w:rPr>
        <w:t>电磁法的仪器设备、数据采集与处理、检测成果内容应符合现行行业标准《城市工程地球物理探测标准》CJJ/T 7的规定。</w:t>
      </w:r>
    </w:p>
    <w:p w14:paraId="68D4A684">
      <w:pPr>
        <w:pStyle w:val="119"/>
        <w:numPr>
          <w:ilvl w:val="0"/>
          <w:numId w:val="0"/>
        </w:numPr>
        <w:spacing w:before="156" w:after="156"/>
        <w:jc w:val="center"/>
        <w:rPr>
          <w:rFonts w:ascii="Times New Roman" w:eastAsia="宋体"/>
          <w:b/>
          <w:bCs/>
          <w:sz w:val="28"/>
          <w:szCs w:val="24"/>
        </w:rPr>
      </w:pPr>
      <w:r>
        <w:rPr>
          <w:rFonts w:hint="eastAsia" w:ascii="Times New Roman" w:eastAsia="宋体"/>
          <w:b/>
          <w:bCs/>
          <w:sz w:val="28"/>
          <w:szCs w:val="24"/>
        </w:rPr>
        <w:t>4</w:t>
      </w:r>
      <w:r>
        <w:rPr>
          <w:rFonts w:ascii="Times New Roman" w:eastAsia="宋体"/>
          <w:b/>
          <w:bCs/>
          <w:sz w:val="28"/>
          <w:szCs w:val="24"/>
        </w:rPr>
        <w:t>.8 浅层地震法</w:t>
      </w:r>
      <w:bookmarkEnd w:id="159"/>
      <w:bookmarkEnd w:id="160"/>
      <w:bookmarkEnd w:id="161"/>
      <w:bookmarkEnd w:id="162"/>
    </w:p>
    <w:p w14:paraId="422B121B">
      <w:pPr>
        <w:pStyle w:val="81"/>
        <w:numPr>
          <w:ilvl w:val="0"/>
          <w:numId w:val="0"/>
        </w:numPr>
        <w:spacing w:before="0" w:beforeLines="0" w:after="0" w:afterLines="0" w:line="360" w:lineRule="auto"/>
        <w:outlineLvl w:val="9"/>
        <w:rPr>
          <w:rFonts w:ascii="Times New Roman" w:eastAsia="宋体"/>
          <w:sz w:val="24"/>
          <w:szCs w:val="24"/>
        </w:rPr>
      </w:pPr>
      <w:bookmarkStart w:id="163" w:name="_Toc193447587"/>
      <w:r>
        <w:rPr>
          <w:rFonts w:hint="eastAsia" w:ascii="Times New Roman" w:eastAsia="宋体"/>
          <w:b/>
          <w:bCs/>
          <w:sz w:val="24"/>
          <w:szCs w:val="24"/>
        </w:rPr>
        <w:t>4</w:t>
      </w:r>
      <w:r>
        <w:rPr>
          <w:rFonts w:ascii="Times New Roman" w:eastAsia="宋体"/>
          <w:b/>
          <w:bCs/>
          <w:sz w:val="24"/>
          <w:szCs w:val="24"/>
        </w:rPr>
        <w:t>.8.1</w:t>
      </w:r>
      <w:r>
        <w:rPr>
          <w:rFonts w:ascii="Times New Roman" w:eastAsia="宋体"/>
          <w:sz w:val="24"/>
          <w:szCs w:val="24"/>
        </w:rPr>
        <w:t xml:space="preserve"> 浅层地震法检测宜选用瞬态面波法、微动法、地震映像法等。</w:t>
      </w:r>
      <w:bookmarkEnd w:id="163"/>
    </w:p>
    <w:p w14:paraId="3A285E1D">
      <w:pPr>
        <w:pStyle w:val="81"/>
        <w:numPr>
          <w:ilvl w:val="0"/>
          <w:numId w:val="0"/>
        </w:numPr>
        <w:spacing w:before="0" w:beforeLines="0" w:after="0" w:afterLines="0" w:line="360" w:lineRule="auto"/>
        <w:outlineLvl w:val="9"/>
        <w:rPr>
          <w:rFonts w:ascii="Times New Roman" w:eastAsia="宋体"/>
          <w:sz w:val="24"/>
          <w:szCs w:val="24"/>
        </w:rPr>
      </w:pPr>
      <w:bookmarkStart w:id="164" w:name="_Toc193447588"/>
      <w:r>
        <w:rPr>
          <w:rFonts w:hint="eastAsia" w:ascii="Times New Roman" w:eastAsia="宋体"/>
          <w:b/>
          <w:bCs/>
          <w:sz w:val="24"/>
          <w:szCs w:val="24"/>
        </w:rPr>
        <w:t>4</w:t>
      </w:r>
      <w:r>
        <w:rPr>
          <w:rFonts w:ascii="Times New Roman" w:eastAsia="宋体"/>
          <w:b/>
          <w:bCs/>
          <w:sz w:val="24"/>
          <w:szCs w:val="24"/>
        </w:rPr>
        <w:t>.8.2</w:t>
      </w:r>
      <w:r>
        <w:rPr>
          <w:rFonts w:ascii="Times New Roman" w:eastAsia="宋体"/>
          <w:sz w:val="24"/>
          <w:szCs w:val="24"/>
        </w:rPr>
        <w:t xml:space="preserve"> 浅层地震法</w:t>
      </w:r>
      <w:bookmarkEnd w:id="164"/>
      <w:r>
        <w:rPr>
          <w:rFonts w:ascii="Times New Roman" w:eastAsia="宋体"/>
          <w:sz w:val="24"/>
          <w:szCs w:val="24"/>
        </w:rPr>
        <w:t>地震法应用条件</w:t>
      </w:r>
      <w:r>
        <w:rPr>
          <w:rFonts w:hint="eastAsia" w:ascii="Times New Roman" w:eastAsia="宋体"/>
          <w:sz w:val="24"/>
          <w:szCs w:val="24"/>
        </w:rPr>
        <w:t>宜</w:t>
      </w:r>
      <w:r>
        <w:rPr>
          <w:rFonts w:ascii="Times New Roman" w:eastAsia="宋体"/>
          <w:sz w:val="24"/>
          <w:szCs w:val="24"/>
        </w:rPr>
        <w:t>符合下列规定：</w:t>
      </w:r>
    </w:p>
    <w:p w14:paraId="2744259F">
      <w:pPr>
        <w:pStyle w:val="123"/>
        <w:numPr>
          <w:ilvl w:val="0"/>
          <w:numId w:val="0"/>
        </w:numPr>
        <w:spacing w:line="360" w:lineRule="auto"/>
        <w:ind w:firstLine="361" w:firstLineChars="150"/>
        <w:rPr>
          <w:rFonts w:ascii="Times New Roman"/>
          <w:b/>
          <w:bCs/>
          <w:sz w:val="24"/>
          <w:szCs w:val="24"/>
        </w:rPr>
      </w:pPr>
      <w:r>
        <w:rPr>
          <w:rFonts w:hint="eastAsia" w:ascii="Times New Roman"/>
          <w:b/>
          <w:bCs/>
          <w:sz w:val="24"/>
          <w:szCs w:val="24"/>
        </w:rPr>
        <w:t xml:space="preserve">1 </w:t>
      </w:r>
      <w:r>
        <w:rPr>
          <w:rFonts w:hint="eastAsia" w:ascii="Times New Roman"/>
          <w:sz w:val="24"/>
          <w:szCs w:val="24"/>
        </w:rPr>
        <w:t>垂直防渗墙质量缺陷与完整墙体之间存在明显的速度或波阻抗差异；</w:t>
      </w:r>
    </w:p>
    <w:p w14:paraId="04F20CB4">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w:t>
      </w:r>
      <w:r>
        <w:rPr>
          <w:rFonts w:hint="eastAsia" w:ascii="Times New Roman"/>
          <w:sz w:val="24"/>
          <w:szCs w:val="24"/>
        </w:rPr>
        <w:t>检</w:t>
      </w:r>
      <w:r>
        <w:rPr>
          <w:rFonts w:ascii="Times New Roman"/>
          <w:sz w:val="24"/>
          <w:szCs w:val="24"/>
        </w:rPr>
        <w:t>测区内地形地貌条件应适合野外实时观测</w:t>
      </w:r>
      <w:r>
        <w:rPr>
          <w:rFonts w:hint="eastAsia" w:ascii="Times New Roman"/>
          <w:sz w:val="24"/>
          <w:szCs w:val="24"/>
        </w:rPr>
        <w:t>；</w:t>
      </w:r>
    </w:p>
    <w:p w14:paraId="11E7A74A">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3</w:t>
      </w:r>
      <w:r>
        <w:rPr>
          <w:rFonts w:ascii="Times New Roman"/>
          <w:sz w:val="24"/>
          <w:szCs w:val="24"/>
        </w:rPr>
        <w:t xml:space="preserve"> </w:t>
      </w:r>
      <w:r>
        <w:rPr>
          <w:rFonts w:hint="eastAsia" w:ascii="Times New Roman"/>
          <w:sz w:val="24"/>
          <w:szCs w:val="24"/>
        </w:rPr>
        <w:t>检</w:t>
      </w:r>
      <w:r>
        <w:rPr>
          <w:rFonts w:ascii="Times New Roman"/>
          <w:sz w:val="24"/>
          <w:szCs w:val="24"/>
        </w:rPr>
        <w:t>测区内地表相对平坦，无临空面、陡立面，相邻检波器之间的高差小于1/2道间距。</w:t>
      </w:r>
    </w:p>
    <w:p w14:paraId="4DC4F9BD">
      <w:pPr>
        <w:pStyle w:val="81"/>
        <w:numPr>
          <w:ilvl w:val="0"/>
          <w:numId w:val="0"/>
        </w:numPr>
        <w:spacing w:before="0" w:beforeLines="0" w:after="0" w:afterLines="0" w:line="360" w:lineRule="auto"/>
        <w:outlineLvl w:val="9"/>
        <w:rPr>
          <w:rFonts w:ascii="Times New Roman" w:eastAsia="宋体"/>
          <w:sz w:val="24"/>
          <w:szCs w:val="24"/>
        </w:rPr>
      </w:pPr>
      <w:bookmarkStart w:id="165" w:name="_Toc193447589"/>
      <w:r>
        <w:rPr>
          <w:rFonts w:hint="eastAsia" w:ascii="Times New Roman" w:eastAsia="宋体"/>
          <w:b/>
          <w:bCs/>
          <w:sz w:val="24"/>
          <w:szCs w:val="24"/>
        </w:rPr>
        <w:t>4</w:t>
      </w:r>
      <w:r>
        <w:rPr>
          <w:rFonts w:ascii="Times New Roman" w:eastAsia="宋体"/>
          <w:b/>
          <w:bCs/>
          <w:sz w:val="24"/>
          <w:szCs w:val="24"/>
        </w:rPr>
        <w:t>.8.3</w:t>
      </w:r>
      <w:r>
        <w:rPr>
          <w:rFonts w:ascii="Times New Roman" w:eastAsia="宋体"/>
          <w:sz w:val="24"/>
          <w:szCs w:val="24"/>
        </w:rPr>
        <w:t xml:space="preserve"> 瞬态面波法、地震映像法</w:t>
      </w:r>
      <w:r>
        <w:rPr>
          <w:rFonts w:hint="eastAsia" w:ascii="Times New Roman" w:eastAsia="宋体"/>
          <w:sz w:val="24"/>
          <w:szCs w:val="24"/>
        </w:rPr>
        <w:t>应</w:t>
      </w:r>
      <w:r>
        <w:rPr>
          <w:rFonts w:ascii="Times New Roman" w:eastAsia="宋体"/>
          <w:sz w:val="24"/>
          <w:szCs w:val="24"/>
        </w:rPr>
        <w:t>采用线性等道间距排列方式，</w:t>
      </w:r>
      <w:r>
        <w:rPr>
          <w:rFonts w:hint="eastAsia" w:ascii="Times New Roman" w:eastAsia="宋体"/>
          <w:sz w:val="24"/>
          <w:szCs w:val="24"/>
        </w:rPr>
        <w:t>长剖面</w:t>
      </w:r>
      <w:r>
        <w:rPr>
          <w:rFonts w:ascii="Times New Roman" w:eastAsia="宋体"/>
          <w:sz w:val="24"/>
          <w:szCs w:val="24"/>
        </w:rPr>
        <w:t>宜采用滚动排列的方式追踪</w:t>
      </w:r>
      <w:r>
        <w:rPr>
          <w:rFonts w:hint="eastAsia" w:ascii="Times New Roman" w:eastAsia="宋体"/>
          <w:sz w:val="24"/>
          <w:szCs w:val="24"/>
        </w:rPr>
        <w:t>质量缺陷</w:t>
      </w:r>
      <w:r>
        <w:rPr>
          <w:rFonts w:ascii="Times New Roman" w:eastAsia="宋体"/>
          <w:sz w:val="24"/>
          <w:szCs w:val="24"/>
        </w:rPr>
        <w:t>的分布</w:t>
      </w:r>
      <w:r>
        <w:rPr>
          <w:rFonts w:hint="eastAsia" w:ascii="Times New Roman" w:eastAsia="宋体"/>
          <w:sz w:val="24"/>
          <w:szCs w:val="24"/>
        </w:rPr>
        <w:t>；</w:t>
      </w:r>
      <w:r>
        <w:rPr>
          <w:rFonts w:ascii="Times New Roman" w:eastAsia="宋体"/>
          <w:sz w:val="24"/>
          <w:szCs w:val="24"/>
        </w:rPr>
        <w:t>检波器自然频率宜选用4Hz~20Hz；震源宜采用机械落重式、人工锤击式或者电磁式震源。</w:t>
      </w:r>
      <w:bookmarkEnd w:id="165"/>
    </w:p>
    <w:p w14:paraId="5263A9AD">
      <w:pPr>
        <w:pStyle w:val="81"/>
        <w:numPr>
          <w:ilvl w:val="0"/>
          <w:numId w:val="0"/>
        </w:numPr>
        <w:spacing w:before="0" w:beforeLines="0" w:after="0" w:afterLines="0" w:line="360" w:lineRule="auto"/>
        <w:outlineLvl w:val="9"/>
        <w:rPr>
          <w:rFonts w:ascii="Times New Roman" w:eastAsia="宋体"/>
          <w:sz w:val="24"/>
          <w:szCs w:val="24"/>
        </w:rPr>
      </w:pPr>
      <w:bookmarkStart w:id="166" w:name="_Toc193447592"/>
      <w:r>
        <w:rPr>
          <w:rFonts w:hint="eastAsia" w:ascii="Times New Roman" w:eastAsia="宋体"/>
          <w:b/>
          <w:bCs/>
          <w:sz w:val="24"/>
          <w:szCs w:val="24"/>
        </w:rPr>
        <w:t>4</w:t>
      </w:r>
      <w:r>
        <w:rPr>
          <w:rFonts w:ascii="Times New Roman" w:eastAsia="宋体"/>
          <w:b/>
          <w:bCs/>
          <w:sz w:val="24"/>
          <w:szCs w:val="24"/>
        </w:rPr>
        <w:t>.8.</w:t>
      </w:r>
      <w:r>
        <w:rPr>
          <w:rFonts w:hint="eastAsia" w:ascii="Times New Roman" w:eastAsia="宋体"/>
          <w:b/>
          <w:bCs/>
          <w:sz w:val="24"/>
          <w:szCs w:val="24"/>
        </w:rPr>
        <w:t>4</w:t>
      </w:r>
      <w:r>
        <w:rPr>
          <w:rFonts w:ascii="Times New Roman" w:eastAsia="宋体"/>
          <w:sz w:val="24"/>
          <w:szCs w:val="24"/>
        </w:rPr>
        <w:t xml:space="preserve"> 微动法</w:t>
      </w:r>
      <w:r>
        <w:rPr>
          <w:rFonts w:hint="eastAsia" w:ascii="Times New Roman" w:eastAsia="宋体"/>
          <w:sz w:val="24"/>
          <w:szCs w:val="24"/>
        </w:rPr>
        <w:t>应用于垂直防渗墙检测时</w:t>
      </w:r>
      <w:r>
        <w:rPr>
          <w:rFonts w:ascii="Times New Roman" w:eastAsia="宋体"/>
          <w:sz w:val="24"/>
          <w:szCs w:val="24"/>
        </w:rPr>
        <w:t>，</w:t>
      </w:r>
      <w:r>
        <w:rPr>
          <w:rFonts w:hint="eastAsia" w:ascii="Times New Roman" w:eastAsia="宋体"/>
          <w:sz w:val="24"/>
          <w:szCs w:val="24"/>
        </w:rPr>
        <w:t>应</w:t>
      </w:r>
      <w:r>
        <w:rPr>
          <w:rFonts w:ascii="Times New Roman" w:eastAsia="宋体"/>
          <w:sz w:val="24"/>
          <w:szCs w:val="24"/>
        </w:rPr>
        <w:t>根据试验结果、现场工作条件等因素，选择采用圆形、内嵌三角形、T形、L形、十字形或直线型等台阵观测方式。</w:t>
      </w:r>
      <w:bookmarkEnd w:id="166"/>
    </w:p>
    <w:p w14:paraId="646E0389">
      <w:pPr>
        <w:pStyle w:val="123"/>
        <w:numPr>
          <w:ilvl w:val="0"/>
          <w:numId w:val="0"/>
        </w:numPr>
        <w:spacing w:line="360" w:lineRule="auto"/>
        <w:rPr>
          <w:rFonts w:ascii="Times New Roman"/>
          <w:sz w:val="24"/>
          <w:szCs w:val="24"/>
        </w:rPr>
      </w:pPr>
      <w:r>
        <w:rPr>
          <w:rFonts w:hint="eastAsia" w:ascii="Times New Roman"/>
          <w:b/>
          <w:bCs/>
          <w:sz w:val="24"/>
          <w:szCs w:val="24"/>
        </w:rPr>
        <w:t>4</w:t>
      </w:r>
      <w:r>
        <w:rPr>
          <w:rFonts w:ascii="Times New Roman"/>
          <w:b/>
          <w:bCs/>
          <w:sz w:val="24"/>
          <w:szCs w:val="24"/>
        </w:rPr>
        <w:t>.8.</w:t>
      </w:r>
      <w:r>
        <w:rPr>
          <w:rFonts w:hint="eastAsia" w:ascii="Times New Roman"/>
          <w:b/>
          <w:bCs/>
          <w:sz w:val="24"/>
          <w:szCs w:val="24"/>
        </w:rPr>
        <w:t xml:space="preserve">5 </w:t>
      </w:r>
      <w:r>
        <w:rPr>
          <w:rFonts w:hint="eastAsia" w:ascii="Times New Roman"/>
          <w:sz w:val="24"/>
          <w:szCs w:val="24"/>
        </w:rPr>
        <w:t>浅层地震法的仪器设备、数据采集与处理、检测成果内容应符合现行行业标准《城市工程地球物理探测标准》CJJ/T 7的规定。</w:t>
      </w:r>
    </w:p>
    <w:p w14:paraId="0C5D544A">
      <w:pPr>
        <w:pStyle w:val="119"/>
        <w:numPr>
          <w:ilvl w:val="0"/>
          <w:numId w:val="0"/>
        </w:numPr>
        <w:spacing w:before="156" w:after="156"/>
        <w:jc w:val="center"/>
        <w:rPr>
          <w:rFonts w:ascii="Times New Roman" w:eastAsia="宋体"/>
          <w:b/>
          <w:bCs/>
          <w:sz w:val="28"/>
          <w:szCs w:val="24"/>
        </w:rPr>
      </w:pPr>
      <w:bookmarkStart w:id="167" w:name="_Toc195717752"/>
      <w:bookmarkStart w:id="168" w:name="_Toc196124346"/>
      <w:bookmarkStart w:id="169" w:name="_Toc193447595"/>
      <w:bookmarkStart w:id="170" w:name="_Toc193447685"/>
      <w:r>
        <w:rPr>
          <w:rFonts w:hint="eastAsia" w:ascii="Times New Roman" w:eastAsia="宋体"/>
          <w:b/>
          <w:bCs/>
          <w:sz w:val="28"/>
          <w:szCs w:val="24"/>
        </w:rPr>
        <w:t>4</w:t>
      </w:r>
      <w:r>
        <w:rPr>
          <w:rFonts w:ascii="Times New Roman" w:eastAsia="宋体"/>
          <w:b/>
          <w:bCs/>
          <w:sz w:val="28"/>
          <w:szCs w:val="24"/>
        </w:rPr>
        <w:t>.9 孔中检测法</w:t>
      </w:r>
      <w:bookmarkEnd w:id="167"/>
      <w:bookmarkEnd w:id="168"/>
      <w:bookmarkEnd w:id="169"/>
      <w:bookmarkEnd w:id="170"/>
    </w:p>
    <w:p w14:paraId="54C780D5">
      <w:pPr>
        <w:pStyle w:val="81"/>
        <w:numPr>
          <w:ilvl w:val="0"/>
          <w:numId w:val="0"/>
        </w:numPr>
        <w:spacing w:before="0" w:beforeLines="0" w:after="0" w:afterLines="0" w:line="360" w:lineRule="auto"/>
        <w:outlineLvl w:val="9"/>
        <w:rPr>
          <w:rFonts w:ascii="Times New Roman" w:eastAsia="宋体"/>
          <w:sz w:val="24"/>
          <w:szCs w:val="24"/>
        </w:rPr>
      </w:pPr>
      <w:bookmarkStart w:id="171" w:name="_Toc193447596"/>
      <w:r>
        <w:rPr>
          <w:rFonts w:hint="eastAsia" w:ascii="Times New Roman" w:eastAsia="宋体"/>
          <w:b/>
          <w:bCs/>
          <w:sz w:val="24"/>
          <w:szCs w:val="24"/>
        </w:rPr>
        <w:t>4</w:t>
      </w:r>
      <w:r>
        <w:rPr>
          <w:rFonts w:ascii="Times New Roman" w:eastAsia="宋体"/>
          <w:b/>
          <w:bCs/>
          <w:sz w:val="24"/>
          <w:szCs w:val="24"/>
        </w:rPr>
        <w:t>.9.1</w:t>
      </w:r>
      <w:r>
        <w:rPr>
          <w:rFonts w:ascii="Times New Roman" w:eastAsia="宋体"/>
          <w:sz w:val="24"/>
          <w:szCs w:val="24"/>
        </w:rPr>
        <w:t xml:space="preserve"> </w:t>
      </w:r>
      <w:bookmarkEnd w:id="171"/>
      <w:r>
        <w:rPr>
          <w:rFonts w:ascii="Times New Roman" w:eastAsia="宋体"/>
          <w:sz w:val="24"/>
          <w:szCs w:val="24"/>
        </w:rPr>
        <w:t>孔中检测法宜</w:t>
      </w:r>
      <w:bookmarkStart w:id="172" w:name="OLE_LINK4"/>
      <w:r>
        <w:rPr>
          <w:rFonts w:ascii="Times New Roman" w:eastAsia="宋体"/>
          <w:sz w:val="24"/>
          <w:szCs w:val="24"/>
        </w:rPr>
        <w:t>采用</w:t>
      </w:r>
      <w:bookmarkEnd w:id="172"/>
      <w:r>
        <w:rPr>
          <w:rFonts w:ascii="Times New Roman" w:eastAsia="宋体"/>
          <w:sz w:val="24"/>
          <w:szCs w:val="24"/>
        </w:rPr>
        <w:t>钻孔全景光学成像法、</w:t>
      </w:r>
      <w:r>
        <w:rPr>
          <w:rFonts w:hint="eastAsia" w:ascii="Times New Roman" w:eastAsia="宋体"/>
          <w:sz w:val="24"/>
          <w:szCs w:val="24"/>
        </w:rPr>
        <w:t>单孔弹性波测井法、</w:t>
      </w:r>
      <w:r>
        <w:rPr>
          <w:rFonts w:ascii="Times New Roman" w:eastAsia="宋体"/>
          <w:sz w:val="24"/>
          <w:szCs w:val="24"/>
        </w:rPr>
        <w:t>井间层析成像法等</w:t>
      </w:r>
      <w:r>
        <w:rPr>
          <w:rFonts w:hint="eastAsia" w:ascii="Times New Roman" w:eastAsia="宋体"/>
          <w:sz w:val="24"/>
          <w:szCs w:val="24"/>
        </w:rPr>
        <w:t>；井间层析成像法宜选择跨孔地震波CT、电磁波CT、电阻率CT法。</w:t>
      </w:r>
    </w:p>
    <w:p w14:paraId="254CB1FA">
      <w:pPr>
        <w:pStyle w:val="81"/>
        <w:numPr>
          <w:ilvl w:val="0"/>
          <w:numId w:val="0"/>
        </w:numPr>
        <w:spacing w:before="0" w:beforeLines="0" w:after="0" w:afterLines="0" w:line="360" w:lineRule="auto"/>
        <w:outlineLvl w:val="9"/>
        <w:rPr>
          <w:rFonts w:ascii="Times New Roman" w:eastAsia="宋体"/>
          <w:sz w:val="24"/>
          <w:szCs w:val="24"/>
        </w:rPr>
      </w:pPr>
      <w:r>
        <w:rPr>
          <w:rFonts w:ascii="Times New Roman" w:eastAsia="宋体"/>
          <w:b/>
          <w:bCs/>
          <w:sz w:val="24"/>
          <w:szCs w:val="24"/>
        </w:rPr>
        <w:t>4.9.</w:t>
      </w:r>
      <w:r>
        <w:rPr>
          <w:rFonts w:hint="eastAsia" w:ascii="Times New Roman" w:eastAsia="宋体"/>
          <w:b/>
          <w:bCs/>
          <w:sz w:val="24"/>
          <w:szCs w:val="24"/>
        </w:rPr>
        <w:t>2</w:t>
      </w:r>
      <w:r>
        <w:rPr>
          <w:rFonts w:ascii="Times New Roman" w:eastAsia="宋体"/>
          <w:sz w:val="24"/>
          <w:szCs w:val="24"/>
        </w:rPr>
        <w:t xml:space="preserve"> </w:t>
      </w:r>
      <w:r>
        <w:rPr>
          <w:rFonts w:hint="eastAsia" w:ascii="Times New Roman" w:eastAsia="宋体"/>
          <w:sz w:val="24"/>
          <w:szCs w:val="24"/>
        </w:rPr>
        <w:t>钻孔全景光学成像法</w:t>
      </w:r>
      <w:r>
        <w:rPr>
          <w:rFonts w:ascii="Times New Roman" w:eastAsia="宋体"/>
          <w:sz w:val="24"/>
          <w:szCs w:val="24"/>
        </w:rPr>
        <w:t>应用</w:t>
      </w:r>
      <w:r>
        <w:rPr>
          <w:rFonts w:hint="eastAsia" w:ascii="Times New Roman" w:eastAsia="宋体"/>
          <w:sz w:val="24"/>
          <w:szCs w:val="24"/>
        </w:rPr>
        <w:t>于垂直防渗墙检测时，宜</w:t>
      </w:r>
      <w:r>
        <w:rPr>
          <w:rFonts w:ascii="Times New Roman" w:eastAsia="宋体"/>
          <w:sz w:val="24"/>
          <w:szCs w:val="24"/>
        </w:rPr>
        <w:t>符合下列规定：</w:t>
      </w:r>
    </w:p>
    <w:p w14:paraId="16A08A9C">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hint="eastAsia" w:ascii="Times New Roman"/>
          <w:sz w:val="24"/>
          <w:szCs w:val="24"/>
        </w:rPr>
        <w:t xml:space="preserve"> 宜在干孔、清水孔中进行；当孔中水质透明度不足时，应采用清水循环冲洗并加沉淀剂澄清；</w:t>
      </w:r>
    </w:p>
    <w:p w14:paraId="2AADFACA">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2 </w:t>
      </w:r>
      <w:r>
        <w:rPr>
          <w:rFonts w:hint="eastAsia" w:ascii="Times New Roman"/>
          <w:sz w:val="24"/>
          <w:szCs w:val="24"/>
        </w:rPr>
        <w:t>钻孔全景光学成像法摄像机有效像素应不低于500万像素。</w:t>
      </w:r>
    </w:p>
    <w:p w14:paraId="04236680">
      <w:pPr>
        <w:pStyle w:val="81"/>
        <w:numPr>
          <w:ilvl w:val="0"/>
          <w:numId w:val="0"/>
        </w:numPr>
        <w:spacing w:before="0" w:beforeLines="0" w:after="0" w:afterLines="0" w:line="360" w:lineRule="auto"/>
        <w:outlineLvl w:val="9"/>
        <w:rPr>
          <w:rFonts w:ascii="Times New Roman" w:eastAsia="宋体"/>
          <w:sz w:val="24"/>
          <w:szCs w:val="24"/>
        </w:rPr>
      </w:pPr>
      <w:r>
        <w:rPr>
          <w:rFonts w:ascii="Times New Roman" w:eastAsia="宋体"/>
          <w:b/>
          <w:bCs/>
          <w:sz w:val="24"/>
          <w:szCs w:val="24"/>
        </w:rPr>
        <w:t>4.9.</w:t>
      </w:r>
      <w:r>
        <w:rPr>
          <w:rFonts w:hint="eastAsia" w:ascii="Times New Roman" w:eastAsia="宋体"/>
          <w:b/>
          <w:bCs/>
          <w:sz w:val="24"/>
          <w:szCs w:val="24"/>
        </w:rPr>
        <w:t>3</w:t>
      </w:r>
      <w:r>
        <w:rPr>
          <w:rFonts w:ascii="Times New Roman" w:eastAsia="宋体"/>
          <w:sz w:val="24"/>
          <w:szCs w:val="24"/>
        </w:rPr>
        <w:t xml:space="preserve"> </w:t>
      </w:r>
      <w:r>
        <w:rPr>
          <w:rFonts w:hint="eastAsia" w:ascii="Times New Roman" w:eastAsia="宋体"/>
          <w:sz w:val="24"/>
          <w:szCs w:val="24"/>
        </w:rPr>
        <w:t>单孔弹性波测井法</w:t>
      </w:r>
      <w:r>
        <w:rPr>
          <w:rFonts w:ascii="Times New Roman" w:eastAsia="宋体"/>
          <w:sz w:val="24"/>
          <w:szCs w:val="24"/>
        </w:rPr>
        <w:t>应用</w:t>
      </w:r>
      <w:r>
        <w:rPr>
          <w:rFonts w:hint="eastAsia" w:ascii="Times New Roman" w:eastAsia="宋体"/>
          <w:sz w:val="24"/>
          <w:szCs w:val="24"/>
        </w:rPr>
        <w:t>于垂直防渗墙检测时，宜</w:t>
      </w:r>
      <w:r>
        <w:rPr>
          <w:rFonts w:ascii="Times New Roman" w:eastAsia="宋体"/>
          <w:sz w:val="24"/>
          <w:szCs w:val="24"/>
        </w:rPr>
        <w:t>符合下列规定：</w:t>
      </w:r>
    </w:p>
    <w:p w14:paraId="6F667899">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hint="eastAsia" w:ascii="Times New Roman"/>
          <w:sz w:val="24"/>
          <w:szCs w:val="24"/>
        </w:rPr>
        <w:t xml:space="preserve"> 检测钻孔应为裸孔、无套管，井壁应光滑，不坍塌、不掉快；</w:t>
      </w:r>
    </w:p>
    <w:p w14:paraId="4F5A9EE5">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2 </w:t>
      </w:r>
      <w:r>
        <w:rPr>
          <w:rFonts w:hint="eastAsia" w:ascii="Times New Roman"/>
          <w:sz w:val="24"/>
          <w:szCs w:val="24"/>
        </w:rPr>
        <w:t>声波测井的检测段应有井液，且井液浓度不大，检测段墙体的纵波波速应高于井液波速；</w:t>
      </w:r>
    </w:p>
    <w:p w14:paraId="2D42A875">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3 </w:t>
      </w:r>
      <w:r>
        <w:rPr>
          <w:rFonts w:hint="eastAsia" w:ascii="Times New Roman"/>
          <w:sz w:val="24"/>
          <w:szCs w:val="24"/>
        </w:rPr>
        <w:t>检测时应从孔底自下而上进行；声波测井时点距不大于0.1m；剪切波测试时点距宜为0.5m~1m。</w:t>
      </w:r>
    </w:p>
    <w:p w14:paraId="6A261BDA">
      <w:pPr>
        <w:pStyle w:val="81"/>
        <w:numPr>
          <w:ilvl w:val="0"/>
          <w:numId w:val="0"/>
        </w:numPr>
        <w:spacing w:before="0" w:beforeLines="0" w:after="0" w:afterLines="0" w:line="360" w:lineRule="auto"/>
        <w:outlineLvl w:val="9"/>
        <w:rPr>
          <w:rFonts w:ascii="Times New Roman" w:eastAsia="宋体"/>
          <w:sz w:val="24"/>
          <w:szCs w:val="24"/>
        </w:rPr>
      </w:pPr>
      <w:bookmarkStart w:id="173" w:name="_Toc193447598"/>
      <w:r>
        <w:rPr>
          <w:rFonts w:ascii="Times New Roman" w:eastAsia="宋体"/>
          <w:b/>
          <w:bCs/>
          <w:sz w:val="24"/>
          <w:szCs w:val="24"/>
        </w:rPr>
        <w:t>4.9.</w:t>
      </w:r>
      <w:r>
        <w:rPr>
          <w:rFonts w:hint="eastAsia" w:ascii="Times New Roman" w:eastAsia="宋体"/>
          <w:b/>
          <w:bCs/>
          <w:sz w:val="24"/>
          <w:szCs w:val="24"/>
        </w:rPr>
        <w:t>4</w:t>
      </w:r>
      <w:r>
        <w:rPr>
          <w:rFonts w:ascii="Times New Roman" w:eastAsia="宋体"/>
          <w:sz w:val="24"/>
          <w:szCs w:val="24"/>
        </w:rPr>
        <w:t xml:space="preserve"> </w:t>
      </w:r>
      <w:r>
        <w:rPr>
          <w:rFonts w:hint="eastAsia" w:ascii="Times New Roman" w:eastAsia="宋体"/>
          <w:sz w:val="24"/>
          <w:szCs w:val="24"/>
        </w:rPr>
        <w:t>井间层析成像法</w:t>
      </w:r>
      <w:r>
        <w:rPr>
          <w:rFonts w:ascii="Times New Roman" w:eastAsia="宋体"/>
          <w:sz w:val="24"/>
          <w:szCs w:val="24"/>
        </w:rPr>
        <w:t>应用</w:t>
      </w:r>
      <w:r>
        <w:rPr>
          <w:rFonts w:hint="eastAsia" w:ascii="Times New Roman" w:eastAsia="宋体"/>
          <w:sz w:val="24"/>
          <w:szCs w:val="24"/>
        </w:rPr>
        <w:t>垂直防渗墙检测时，宜</w:t>
      </w:r>
      <w:r>
        <w:rPr>
          <w:rFonts w:ascii="Times New Roman" w:eastAsia="宋体"/>
          <w:sz w:val="24"/>
          <w:szCs w:val="24"/>
        </w:rPr>
        <w:t>符合下列规定：</w:t>
      </w:r>
      <w:bookmarkEnd w:id="173"/>
    </w:p>
    <w:p w14:paraId="17622DA0">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垂直防渗墙与周围介质间应存在弹性、电磁性或电性差异；孔深不应小于井间距的1.5倍；</w:t>
      </w:r>
    </w:p>
    <w:p w14:paraId="44393F31">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井间层析成像检测时，孔深应大于</w:t>
      </w:r>
      <w:r>
        <w:rPr>
          <w:rFonts w:hint="eastAsia" w:ascii="Times New Roman"/>
          <w:sz w:val="24"/>
          <w:szCs w:val="24"/>
        </w:rPr>
        <w:t>防渗墙深度</w:t>
      </w:r>
      <w:r>
        <w:rPr>
          <w:rFonts w:ascii="Times New Roman"/>
          <w:sz w:val="24"/>
          <w:szCs w:val="24"/>
        </w:rPr>
        <w:t>5m，跨孔距离不宜大于20m</w:t>
      </w:r>
      <w:r>
        <w:rPr>
          <w:rFonts w:hint="eastAsia" w:ascii="Times New Roman"/>
          <w:sz w:val="24"/>
          <w:szCs w:val="24"/>
        </w:rPr>
        <w:t>；</w:t>
      </w:r>
    </w:p>
    <w:p w14:paraId="33F4406F">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3 </w:t>
      </w:r>
      <w:r>
        <w:rPr>
          <w:rFonts w:hint="eastAsia" w:ascii="Times New Roman"/>
          <w:sz w:val="24"/>
          <w:szCs w:val="24"/>
        </w:rPr>
        <w:t>跨孔弹性波CT</w:t>
      </w:r>
      <w:r>
        <w:rPr>
          <w:rFonts w:ascii="Times New Roman"/>
          <w:sz w:val="24"/>
          <w:szCs w:val="24"/>
        </w:rPr>
        <w:t>应用于垂直防渗检测时</w:t>
      </w:r>
      <w:r>
        <w:rPr>
          <w:rFonts w:hint="eastAsia" w:ascii="Times New Roman"/>
          <w:sz w:val="24"/>
          <w:szCs w:val="24"/>
        </w:rPr>
        <w:t>，发射频率宜为4kHz ~100kHz；孔间穿透纵波速度测试孔距宜为5</w:t>
      </w:r>
      <w:r>
        <w:rPr>
          <w:rFonts w:ascii="Times New Roman"/>
          <w:sz w:val="24"/>
          <w:szCs w:val="24"/>
        </w:rPr>
        <w:t>m</w:t>
      </w:r>
      <w:r>
        <w:rPr>
          <w:rFonts w:hint="eastAsia" w:ascii="Times New Roman"/>
          <w:sz w:val="24"/>
          <w:szCs w:val="24"/>
        </w:rPr>
        <w:t>~10m，横波速度测试孔距宜为2</w:t>
      </w:r>
      <w:r>
        <w:rPr>
          <w:rFonts w:ascii="Times New Roman"/>
          <w:sz w:val="24"/>
          <w:szCs w:val="24"/>
        </w:rPr>
        <w:t>m</w:t>
      </w:r>
      <w:r>
        <w:rPr>
          <w:rFonts w:hint="eastAsia" w:ascii="Times New Roman"/>
          <w:sz w:val="24"/>
          <w:szCs w:val="24"/>
        </w:rPr>
        <w:t>~5m；</w:t>
      </w:r>
    </w:p>
    <w:p w14:paraId="4F9C6A23">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4 </w:t>
      </w:r>
      <w:r>
        <w:rPr>
          <w:rFonts w:ascii="Times New Roman"/>
          <w:sz w:val="24"/>
          <w:szCs w:val="24"/>
        </w:rPr>
        <w:t>跨孔电磁波CT检测时，应选取不少于两个发射频率和相应的天线进行全孔段同步观测，应选择观测数据不小于110dB时的最高频率为工作频率；当相邻有多组剖面进行电磁波CT法时，宜采用相同的频率进行观测</w:t>
      </w:r>
      <w:r>
        <w:rPr>
          <w:rFonts w:hint="eastAsia" w:ascii="Times New Roman"/>
          <w:sz w:val="24"/>
          <w:szCs w:val="24"/>
        </w:rPr>
        <w:t>；</w:t>
      </w:r>
    </w:p>
    <w:p w14:paraId="0E973432">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 xml:space="preserve">5 </w:t>
      </w:r>
      <w:r>
        <w:rPr>
          <w:rFonts w:hint="eastAsia" w:ascii="Times New Roman"/>
          <w:sz w:val="24"/>
          <w:szCs w:val="24"/>
        </w:rPr>
        <w:t>跨孔</w:t>
      </w:r>
      <w:r>
        <w:rPr>
          <w:rFonts w:ascii="Times New Roman"/>
          <w:sz w:val="24"/>
          <w:szCs w:val="24"/>
        </w:rPr>
        <w:t>电阻率CT法检测时，观测孔段应有井液耦合；若孔壁完整性差，宜使用PVC管护壁，PVC管应制作成花管</w:t>
      </w:r>
      <w:r>
        <w:rPr>
          <w:rFonts w:hint="eastAsia" w:ascii="Times New Roman"/>
          <w:sz w:val="24"/>
          <w:szCs w:val="24"/>
        </w:rPr>
        <w:t>。</w:t>
      </w:r>
    </w:p>
    <w:p w14:paraId="2710A7AB">
      <w:pPr>
        <w:pStyle w:val="81"/>
        <w:numPr>
          <w:ilvl w:val="0"/>
          <w:numId w:val="0"/>
        </w:numPr>
        <w:spacing w:before="0" w:beforeLines="0" w:after="0" w:afterLines="0" w:line="360" w:lineRule="auto"/>
        <w:outlineLvl w:val="9"/>
        <w:rPr>
          <w:rFonts w:ascii="Times New Roman"/>
        </w:rPr>
      </w:pPr>
      <w:bookmarkStart w:id="174" w:name="_Hlk191844598"/>
      <w:bookmarkStart w:id="175" w:name="OLE_LINK3"/>
      <w:bookmarkStart w:id="176" w:name="_Toc193447600"/>
      <w:r>
        <w:rPr>
          <w:rFonts w:hint="eastAsia" w:ascii="Times New Roman" w:eastAsia="宋体"/>
          <w:b/>
          <w:bCs/>
          <w:sz w:val="24"/>
          <w:szCs w:val="24"/>
        </w:rPr>
        <w:t>4</w:t>
      </w:r>
      <w:r>
        <w:rPr>
          <w:rFonts w:ascii="Times New Roman" w:eastAsia="宋体"/>
          <w:b/>
          <w:bCs/>
          <w:sz w:val="24"/>
          <w:szCs w:val="24"/>
        </w:rPr>
        <w:t>.9.5</w:t>
      </w:r>
      <w:r>
        <w:rPr>
          <w:rFonts w:hint="eastAsia" w:ascii="Times New Roman" w:eastAsia="宋体"/>
          <w:sz w:val="24"/>
          <w:szCs w:val="24"/>
        </w:rPr>
        <w:t xml:space="preserve"> 孔中检测法的仪器设备、数据采集与处理、检测成果内容应符合</w:t>
      </w:r>
      <w:r>
        <w:rPr>
          <w:rFonts w:ascii="Times New Roman" w:eastAsia="宋体"/>
          <w:sz w:val="24"/>
          <w:szCs w:val="24"/>
        </w:rPr>
        <w:t>现行</w:t>
      </w:r>
      <w:r>
        <w:rPr>
          <w:rFonts w:hint="eastAsia" w:ascii="Times New Roman" w:eastAsia="宋体"/>
          <w:sz w:val="24"/>
          <w:szCs w:val="24"/>
        </w:rPr>
        <w:t>行业标准</w:t>
      </w:r>
      <w:r>
        <w:rPr>
          <w:rFonts w:ascii="Times New Roman" w:eastAsia="宋体"/>
          <w:sz w:val="24"/>
          <w:szCs w:val="24"/>
        </w:rPr>
        <w:t>《城市工程地球物理探测标准》CJJ/T 7的规定</w:t>
      </w:r>
      <w:bookmarkEnd w:id="174"/>
      <w:r>
        <w:rPr>
          <w:rFonts w:ascii="Times New Roman" w:eastAsia="宋体"/>
          <w:sz w:val="24"/>
          <w:szCs w:val="24"/>
        </w:rPr>
        <w:t>。</w:t>
      </w:r>
      <w:bookmarkEnd w:id="175"/>
      <w:bookmarkEnd w:id="176"/>
    </w:p>
    <w:p w14:paraId="1174C26F">
      <w:pPr>
        <w:pStyle w:val="123"/>
        <w:numPr>
          <w:ilvl w:val="0"/>
          <w:numId w:val="0"/>
        </w:numPr>
        <w:ind w:left="1276"/>
        <w:rPr>
          <w:rFonts w:ascii="Times New Roman"/>
        </w:rPr>
        <w:sectPr>
          <w:headerReference r:id="rId15" w:type="default"/>
          <w:footerReference r:id="rId17" w:type="default"/>
          <w:headerReference r:id="rId16" w:type="even"/>
          <w:footerReference r:id="rId18" w:type="even"/>
          <w:pgSz w:w="11906" w:h="16838"/>
          <w:pgMar w:top="1440" w:right="1797" w:bottom="1440" w:left="1797" w:header="1418" w:footer="1134" w:gutter="0"/>
          <w:cols w:space="425" w:num="1"/>
          <w:formProt w:val="0"/>
          <w:docGrid w:type="lines" w:linePitch="312" w:charSpace="0"/>
        </w:sectPr>
      </w:pPr>
    </w:p>
    <w:p w14:paraId="4B638293">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177" w:name="_Toc181955306"/>
      <w:bookmarkStart w:id="178" w:name="_Toc196124347"/>
      <w:bookmarkStart w:id="179" w:name="_Toc193447607"/>
      <w:bookmarkStart w:id="180" w:name="_Toc193447686"/>
      <w:bookmarkStart w:id="181" w:name="_Toc192078864"/>
      <w:r>
        <w:rPr>
          <w:rFonts w:hint="eastAsia" w:ascii="Times New Roman" w:hAnsi="Times New Roman"/>
          <w:b/>
          <w:sz w:val="36"/>
          <w:szCs w:val="36"/>
        </w:rPr>
        <w:t>5</w:t>
      </w:r>
      <w:r>
        <w:rPr>
          <w:rFonts w:ascii="Times New Roman" w:hAnsi="Times New Roman"/>
          <w:b/>
          <w:sz w:val="36"/>
          <w:szCs w:val="36"/>
        </w:rPr>
        <w:t>注浆帷幕质量检测</w:t>
      </w:r>
      <w:bookmarkEnd w:id="177"/>
      <w:bookmarkEnd w:id="178"/>
      <w:bookmarkEnd w:id="179"/>
      <w:bookmarkEnd w:id="180"/>
      <w:bookmarkEnd w:id="181"/>
    </w:p>
    <w:p w14:paraId="0231CD25">
      <w:pPr>
        <w:pStyle w:val="119"/>
        <w:numPr>
          <w:ilvl w:val="0"/>
          <w:numId w:val="0"/>
        </w:numPr>
        <w:spacing w:before="156" w:after="156" w:line="360" w:lineRule="auto"/>
        <w:jc w:val="center"/>
        <w:rPr>
          <w:rFonts w:ascii="Times New Roman" w:eastAsia="宋体"/>
          <w:b/>
          <w:bCs/>
          <w:sz w:val="28"/>
          <w:szCs w:val="24"/>
        </w:rPr>
      </w:pPr>
      <w:bookmarkStart w:id="182" w:name="_Toc195717753"/>
      <w:bookmarkStart w:id="183" w:name="_Toc193447608"/>
      <w:bookmarkStart w:id="184" w:name="_Toc181955307"/>
      <w:bookmarkStart w:id="185" w:name="_Toc193447687"/>
      <w:bookmarkStart w:id="186" w:name="_Toc196124348"/>
      <w:bookmarkStart w:id="187" w:name="_Toc192078865"/>
      <w:r>
        <w:rPr>
          <w:rFonts w:hint="eastAsia" w:ascii="Times New Roman" w:eastAsia="宋体"/>
          <w:b/>
          <w:bCs/>
          <w:sz w:val="28"/>
          <w:szCs w:val="24"/>
        </w:rPr>
        <w:t>5</w:t>
      </w:r>
      <w:r>
        <w:rPr>
          <w:rFonts w:ascii="Times New Roman" w:eastAsia="宋体"/>
          <w:b/>
          <w:bCs/>
          <w:sz w:val="28"/>
          <w:szCs w:val="24"/>
        </w:rPr>
        <w:t>.1 一般规定</w:t>
      </w:r>
      <w:bookmarkEnd w:id="182"/>
      <w:bookmarkEnd w:id="183"/>
      <w:bookmarkEnd w:id="184"/>
      <w:bookmarkEnd w:id="185"/>
      <w:bookmarkEnd w:id="186"/>
      <w:bookmarkEnd w:id="187"/>
    </w:p>
    <w:p w14:paraId="196A7EA6">
      <w:pPr>
        <w:pStyle w:val="81"/>
        <w:numPr>
          <w:ilvl w:val="0"/>
          <w:numId w:val="0"/>
        </w:numPr>
        <w:spacing w:before="0" w:beforeLines="0" w:after="0" w:afterLines="0" w:line="360" w:lineRule="auto"/>
        <w:outlineLvl w:val="9"/>
        <w:rPr>
          <w:rFonts w:ascii="Times New Roman" w:eastAsia="宋体"/>
          <w:sz w:val="24"/>
          <w:szCs w:val="24"/>
        </w:rPr>
      </w:pPr>
      <w:bookmarkStart w:id="188" w:name="_Toc193447609"/>
      <w:r>
        <w:rPr>
          <w:rFonts w:ascii="Times New Roman" w:eastAsia="宋体"/>
          <w:b/>
          <w:bCs/>
          <w:sz w:val="24"/>
          <w:szCs w:val="24"/>
        </w:rPr>
        <w:t>5.1.</w:t>
      </w:r>
      <w:r>
        <w:rPr>
          <w:rFonts w:hint="eastAsia" w:ascii="Times New Roman" w:eastAsia="宋体"/>
          <w:b/>
          <w:bCs/>
          <w:sz w:val="24"/>
          <w:szCs w:val="24"/>
        </w:rPr>
        <w:t>1</w:t>
      </w:r>
      <w:r>
        <w:rPr>
          <w:rFonts w:ascii="Times New Roman" w:eastAsia="宋体"/>
          <w:sz w:val="24"/>
          <w:szCs w:val="24"/>
        </w:rPr>
        <w:t xml:space="preserve"> 检测项目应</w:t>
      </w:r>
      <w:r>
        <w:rPr>
          <w:rFonts w:hint="eastAsia" w:ascii="Times New Roman" w:eastAsia="宋体"/>
          <w:sz w:val="24"/>
          <w:szCs w:val="24"/>
        </w:rPr>
        <w:t>包含</w:t>
      </w:r>
      <w:r>
        <w:rPr>
          <w:rFonts w:ascii="Times New Roman" w:eastAsia="宋体"/>
          <w:sz w:val="24"/>
          <w:szCs w:val="24"/>
        </w:rPr>
        <w:t>渗透系数、深度、完整性</w:t>
      </w:r>
      <w:r>
        <w:rPr>
          <w:rFonts w:hint="eastAsia" w:ascii="Times New Roman" w:eastAsia="宋体"/>
          <w:sz w:val="24"/>
          <w:szCs w:val="24"/>
        </w:rPr>
        <w:t>、水动力</w:t>
      </w:r>
      <w:r>
        <w:rPr>
          <w:rFonts w:ascii="Times New Roman" w:eastAsia="宋体"/>
          <w:sz w:val="24"/>
          <w:szCs w:val="24"/>
        </w:rPr>
        <w:t>弥散系数</w:t>
      </w:r>
      <w:r>
        <w:rPr>
          <w:rFonts w:hint="eastAsia" w:ascii="Times New Roman" w:eastAsia="宋体"/>
          <w:sz w:val="24"/>
          <w:szCs w:val="24"/>
        </w:rPr>
        <w:t>、阻滞因子</w:t>
      </w:r>
      <w:r>
        <w:rPr>
          <w:rFonts w:ascii="Times New Roman" w:eastAsia="宋体"/>
          <w:sz w:val="24"/>
          <w:szCs w:val="24"/>
        </w:rPr>
        <w:t>等。</w:t>
      </w:r>
      <w:bookmarkEnd w:id="188"/>
    </w:p>
    <w:p w14:paraId="7C5F188C">
      <w:pPr>
        <w:pStyle w:val="81"/>
        <w:numPr>
          <w:ilvl w:val="0"/>
          <w:numId w:val="0"/>
        </w:numPr>
        <w:spacing w:before="0" w:beforeLines="0" w:after="0" w:afterLines="0" w:line="360" w:lineRule="auto"/>
        <w:outlineLvl w:val="9"/>
        <w:rPr>
          <w:rFonts w:ascii="Times New Roman" w:eastAsia="宋体"/>
          <w:sz w:val="24"/>
          <w:szCs w:val="24"/>
        </w:rPr>
      </w:pPr>
      <w:bookmarkStart w:id="189" w:name="_Toc193447610"/>
      <w:r>
        <w:rPr>
          <w:rFonts w:ascii="Times New Roman" w:eastAsia="宋体"/>
          <w:b/>
          <w:bCs/>
          <w:sz w:val="24"/>
          <w:szCs w:val="24"/>
        </w:rPr>
        <w:t>5.1.</w:t>
      </w:r>
      <w:r>
        <w:rPr>
          <w:rFonts w:hint="eastAsia" w:ascii="Times New Roman" w:eastAsia="宋体"/>
          <w:b/>
          <w:bCs/>
          <w:sz w:val="24"/>
          <w:szCs w:val="24"/>
        </w:rPr>
        <w:t>2</w:t>
      </w:r>
      <w:r>
        <w:rPr>
          <w:rFonts w:ascii="Times New Roman" w:eastAsia="宋体"/>
          <w:sz w:val="24"/>
          <w:szCs w:val="24"/>
        </w:rPr>
        <w:t xml:space="preserve"> 检测单元应根据工程特点</w:t>
      </w:r>
      <w:r>
        <w:rPr>
          <w:rFonts w:hint="eastAsia" w:ascii="Times New Roman" w:eastAsia="宋体"/>
          <w:sz w:val="24"/>
          <w:szCs w:val="24"/>
        </w:rPr>
        <w:t>、设计要求</w:t>
      </w:r>
      <w:r>
        <w:rPr>
          <w:rFonts w:ascii="Times New Roman" w:eastAsia="宋体"/>
          <w:sz w:val="24"/>
          <w:szCs w:val="24"/>
        </w:rPr>
        <w:t>和施工情况</w:t>
      </w:r>
      <w:r>
        <w:rPr>
          <w:rFonts w:hint="eastAsia" w:ascii="Times New Roman" w:eastAsia="宋体"/>
          <w:sz w:val="24"/>
          <w:szCs w:val="24"/>
        </w:rPr>
        <w:t>进行划分；</w:t>
      </w:r>
      <w:r>
        <w:rPr>
          <w:rFonts w:ascii="Times New Roman" w:eastAsia="宋体"/>
          <w:sz w:val="24"/>
          <w:szCs w:val="24"/>
        </w:rPr>
        <w:t>宜沿帷幕</w:t>
      </w:r>
      <w:r>
        <w:rPr>
          <w:rFonts w:hint="eastAsia" w:ascii="Times New Roman" w:eastAsia="宋体"/>
          <w:sz w:val="24"/>
          <w:szCs w:val="24"/>
        </w:rPr>
        <w:t>平面中心轴</w:t>
      </w:r>
      <w:r>
        <w:rPr>
          <w:rFonts w:ascii="Times New Roman" w:eastAsia="宋体"/>
          <w:sz w:val="24"/>
          <w:szCs w:val="24"/>
        </w:rPr>
        <w:t>线每12m划分为1个检测单元。</w:t>
      </w:r>
      <w:bookmarkEnd w:id="189"/>
    </w:p>
    <w:p w14:paraId="6FE60AAB">
      <w:pPr>
        <w:pStyle w:val="119"/>
        <w:numPr>
          <w:ilvl w:val="0"/>
          <w:numId w:val="0"/>
        </w:numPr>
        <w:spacing w:before="156" w:after="156" w:line="360" w:lineRule="auto"/>
        <w:jc w:val="center"/>
        <w:rPr>
          <w:rFonts w:ascii="Times New Roman" w:eastAsia="宋体"/>
          <w:b/>
          <w:bCs/>
          <w:sz w:val="28"/>
          <w:szCs w:val="24"/>
        </w:rPr>
      </w:pPr>
      <w:bookmarkStart w:id="190" w:name="_Toc193447611"/>
      <w:bookmarkStart w:id="191" w:name="_Toc196124349"/>
      <w:bookmarkStart w:id="192" w:name="_Toc195717754"/>
      <w:bookmarkStart w:id="193" w:name="_Toc192078866"/>
      <w:bookmarkStart w:id="194" w:name="_Toc181955311"/>
      <w:bookmarkStart w:id="195" w:name="_Toc193447688"/>
      <w:r>
        <w:rPr>
          <w:rFonts w:hint="eastAsia" w:ascii="Times New Roman" w:eastAsia="宋体"/>
          <w:b/>
          <w:bCs/>
          <w:sz w:val="28"/>
          <w:szCs w:val="24"/>
        </w:rPr>
        <w:t>5</w:t>
      </w:r>
      <w:r>
        <w:rPr>
          <w:rFonts w:ascii="Times New Roman" w:eastAsia="宋体"/>
          <w:b/>
          <w:bCs/>
          <w:sz w:val="28"/>
          <w:szCs w:val="24"/>
        </w:rPr>
        <w:t>.2 完整性检测</w:t>
      </w:r>
      <w:bookmarkEnd w:id="190"/>
      <w:bookmarkEnd w:id="191"/>
      <w:bookmarkEnd w:id="192"/>
      <w:bookmarkEnd w:id="193"/>
      <w:bookmarkEnd w:id="194"/>
      <w:bookmarkEnd w:id="195"/>
    </w:p>
    <w:p w14:paraId="41015C42">
      <w:pPr>
        <w:pStyle w:val="81"/>
        <w:numPr>
          <w:ilvl w:val="0"/>
          <w:numId w:val="0"/>
        </w:numPr>
        <w:spacing w:before="0" w:beforeLines="0" w:after="0" w:afterLines="0" w:line="360" w:lineRule="auto"/>
        <w:outlineLvl w:val="9"/>
        <w:rPr>
          <w:rFonts w:ascii="Times New Roman" w:eastAsia="宋体"/>
          <w:b/>
          <w:bCs/>
          <w:sz w:val="24"/>
          <w:szCs w:val="24"/>
        </w:rPr>
      </w:pPr>
      <w:bookmarkStart w:id="196" w:name="_Toc193447612"/>
      <w:bookmarkStart w:id="197" w:name="_Toc193447614"/>
      <w:bookmarkStart w:id="198" w:name="_Toc181955316"/>
      <w:r>
        <w:rPr>
          <w:rFonts w:hint="eastAsia" w:ascii="Times New Roman" w:eastAsia="宋体"/>
          <w:b/>
          <w:bCs/>
          <w:sz w:val="24"/>
          <w:szCs w:val="24"/>
        </w:rPr>
        <w:t>5</w:t>
      </w:r>
      <w:r>
        <w:rPr>
          <w:rFonts w:ascii="Times New Roman" w:eastAsia="宋体"/>
          <w:b/>
          <w:bCs/>
          <w:sz w:val="24"/>
          <w:szCs w:val="24"/>
        </w:rPr>
        <w:t>.2.1</w:t>
      </w:r>
      <w:r>
        <w:rPr>
          <w:rFonts w:hint="eastAsia" w:ascii="Times New Roman" w:eastAsia="宋体"/>
          <w:b/>
          <w:bCs/>
          <w:sz w:val="24"/>
          <w:szCs w:val="24"/>
        </w:rPr>
        <w:t xml:space="preserve"> </w:t>
      </w:r>
      <w:r>
        <w:rPr>
          <w:rFonts w:hint="eastAsia" w:ascii="Times New Roman" w:eastAsia="宋体"/>
          <w:sz w:val="24"/>
          <w:szCs w:val="24"/>
        </w:rPr>
        <w:t>覆盖层灌浆完整性检测，宜符合下列规定：</w:t>
      </w:r>
    </w:p>
    <w:p w14:paraId="2B8D7115">
      <w:pPr>
        <w:pStyle w:val="123"/>
        <w:numPr>
          <w:ilvl w:val="0"/>
          <w:numId w:val="0"/>
        </w:numPr>
        <w:spacing w:line="360" w:lineRule="auto"/>
        <w:ind w:firstLine="361" w:firstLineChars="150"/>
        <w:rPr>
          <w:rFonts w:ascii="Times New Roman"/>
          <w:sz w:val="24"/>
          <w:szCs w:val="24"/>
        </w:rPr>
      </w:pPr>
      <w:r>
        <w:rPr>
          <w:rFonts w:ascii="Times New Roman"/>
          <w:b/>
          <w:bCs/>
          <w:sz w:val="24"/>
          <w:szCs w:val="24"/>
        </w:rPr>
        <w:t>1</w:t>
      </w:r>
      <w:r>
        <w:rPr>
          <w:rFonts w:ascii="Times New Roman"/>
          <w:sz w:val="24"/>
          <w:szCs w:val="24"/>
        </w:rPr>
        <w:t xml:space="preserve"> </w:t>
      </w:r>
      <w:r>
        <w:rPr>
          <w:rFonts w:hint="eastAsia" w:ascii="Times New Roman"/>
          <w:sz w:val="24"/>
          <w:szCs w:val="24"/>
        </w:rPr>
        <w:t>宜采用高密度电阻率法、探地雷达法、瞬态面波法、微动法、孔中检测法。</w:t>
      </w:r>
    </w:p>
    <w:p w14:paraId="55E68B19">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hint="eastAsia" w:ascii="Times New Roman"/>
          <w:sz w:val="24"/>
          <w:szCs w:val="24"/>
        </w:rPr>
        <w:t xml:space="preserve"> 地球物理检测</w:t>
      </w:r>
      <w:r>
        <w:rPr>
          <w:rFonts w:ascii="Times New Roman"/>
          <w:sz w:val="24"/>
          <w:szCs w:val="24"/>
        </w:rPr>
        <w:t>测线宜布置在帷幕</w:t>
      </w:r>
      <w:r>
        <w:rPr>
          <w:rFonts w:hint="eastAsia" w:ascii="Times New Roman"/>
          <w:sz w:val="24"/>
          <w:szCs w:val="24"/>
        </w:rPr>
        <w:t>平面中心轴</w:t>
      </w:r>
      <w:r>
        <w:rPr>
          <w:rFonts w:ascii="Times New Roman"/>
          <w:sz w:val="24"/>
          <w:szCs w:val="24"/>
        </w:rPr>
        <w:t>线上，剖面深度</w:t>
      </w:r>
      <w:r>
        <w:rPr>
          <w:rFonts w:hint="eastAsia" w:ascii="Times New Roman"/>
          <w:sz w:val="24"/>
          <w:szCs w:val="24"/>
        </w:rPr>
        <w:t>不</w:t>
      </w:r>
      <w:r>
        <w:rPr>
          <w:rFonts w:ascii="Times New Roman"/>
          <w:sz w:val="24"/>
          <w:szCs w:val="24"/>
        </w:rPr>
        <w:t>应</w:t>
      </w:r>
      <w:r>
        <w:rPr>
          <w:rFonts w:hint="eastAsia" w:ascii="Times New Roman"/>
          <w:sz w:val="24"/>
          <w:szCs w:val="24"/>
        </w:rPr>
        <w:t>小于灌浆</w:t>
      </w:r>
      <w:r>
        <w:rPr>
          <w:rFonts w:ascii="Times New Roman"/>
          <w:sz w:val="24"/>
          <w:szCs w:val="24"/>
        </w:rPr>
        <w:t>深度5m；单条轴向</w:t>
      </w:r>
      <w:r>
        <w:rPr>
          <w:rFonts w:hint="eastAsia" w:ascii="Times New Roman"/>
          <w:sz w:val="24"/>
          <w:szCs w:val="24"/>
        </w:rPr>
        <w:t>地球物理检测</w:t>
      </w:r>
      <w:r>
        <w:rPr>
          <w:rFonts w:ascii="Times New Roman"/>
          <w:sz w:val="24"/>
          <w:szCs w:val="24"/>
        </w:rPr>
        <w:t>剖面应完整覆盖墙体</w:t>
      </w:r>
      <w:r>
        <w:rPr>
          <w:rFonts w:hint="eastAsia" w:ascii="Times New Roman"/>
          <w:sz w:val="24"/>
          <w:szCs w:val="24"/>
        </w:rPr>
        <w:t>；</w:t>
      </w:r>
    </w:p>
    <w:p w14:paraId="3D795E6D">
      <w:pPr>
        <w:pStyle w:val="71"/>
        <w:ind w:firstLine="0" w:firstLineChars="0"/>
        <w:rPr>
          <w:rFonts w:ascii="Times New Roman"/>
          <w:sz w:val="24"/>
          <w:szCs w:val="24"/>
        </w:rPr>
      </w:pPr>
      <w:r>
        <w:rPr>
          <w:rFonts w:hint="eastAsia" w:ascii="Times New Roman"/>
          <w:b/>
          <w:bCs/>
          <w:sz w:val="24"/>
          <w:szCs w:val="24"/>
        </w:rPr>
        <w:t>5</w:t>
      </w:r>
      <w:r>
        <w:rPr>
          <w:rFonts w:ascii="Times New Roman"/>
          <w:b/>
          <w:bCs/>
          <w:sz w:val="24"/>
          <w:szCs w:val="24"/>
        </w:rPr>
        <w:t>.2.</w:t>
      </w:r>
      <w:r>
        <w:rPr>
          <w:rFonts w:hint="eastAsia" w:ascii="Times New Roman"/>
          <w:b/>
          <w:bCs/>
          <w:sz w:val="24"/>
          <w:szCs w:val="24"/>
        </w:rPr>
        <w:t xml:space="preserve">2 </w:t>
      </w:r>
      <w:r>
        <w:rPr>
          <w:rFonts w:hint="eastAsia" w:ascii="Times New Roman"/>
          <w:sz w:val="24"/>
          <w:szCs w:val="24"/>
        </w:rPr>
        <w:t>基岩帷幕注浆质量效果检测，宜符合下列规定：</w:t>
      </w:r>
    </w:p>
    <w:p w14:paraId="08D7971B">
      <w:pPr>
        <w:pStyle w:val="123"/>
        <w:numPr>
          <w:ilvl w:val="0"/>
          <w:numId w:val="0"/>
        </w:numPr>
        <w:spacing w:line="360" w:lineRule="auto"/>
        <w:ind w:firstLine="361" w:firstLineChars="150"/>
        <w:rPr>
          <w:rFonts w:ascii="Times New Roman"/>
          <w:b/>
          <w:bCs/>
          <w:sz w:val="24"/>
          <w:szCs w:val="24"/>
        </w:rPr>
      </w:pPr>
      <w:r>
        <w:rPr>
          <w:rFonts w:ascii="Times New Roman"/>
          <w:b/>
          <w:bCs/>
          <w:sz w:val="24"/>
          <w:szCs w:val="24"/>
        </w:rPr>
        <w:t>1</w:t>
      </w:r>
      <w:r>
        <w:rPr>
          <w:rFonts w:ascii="Times New Roman"/>
          <w:sz w:val="24"/>
          <w:szCs w:val="24"/>
        </w:rPr>
        <w:t xml:space="preserve"> </w:t>
      </w:r>
      <w:r>
        <w:rPr>
          <w:rFonts w:hint="eastAsia" w:ascii="Times New Roman"/>
          <w:sz w:val="24"/>
          <w:szCs w:val="24"/>
        </w:rPr>
        <w:t>宜采用孔中检测法；</w:t>
      </w:r>
    </w:p>
    <w:p w14:paraId="6C5164F5">
      <w:pPr>
        <w:pStyle w:val="123"/>
        <w:numPr>
          <w:ilvl w:val="0"/>
          <w:numId w:val="0"/>
        </w:numPr>
        <w:spacing w:line="360" w:lineRule="auto"/>
        <w:ind w:firstLine="361" w:firstLineChars="150"/>
        <w:rPr>
          <w:rFonts w:ascii="Times New Roman"/>
          <w:b/>
          <w:bCs/>
          <w:sz w:val="24"/>
          <w:szCs w:val="24"/>
        </w:rPr>
      </w:pPr>
      <w:r>
        <w:rPr>
          <w:rFonts w:hint="eastAsia" w:ascii="Times New Roman"/>
          <w:b/>
          <w:bCs/>
          <w:sz w:val="24"/>
          <w:szCs w:val="24"/>
        </w:rPr>
        <w:t xml:space="preserve">2 </w:t>
      </w:r>
      <w:r>
        <w:rPr>
          <w:rFonts w:hint="eastAsia" w:ascii="Times New Roman"/>
          <w:sz w:val="24"/>
          <w:szCs w:val="22"/>
        </w:rPr>
        <w:t>基岩帷幕注浆质量效果检测，采用</w:t>
      </w:r>
      <w:r>
        <w:rPr>
          <w:rFonts w:ascii="Times New Roman"/>
          <w:sz w:val="24"/>
          <w:szCs w:val="22"/>
        </w:rPr>
        <w:t>注浆前和注浆后对比分析</w:t>
      </w:r>
      <w:r>
        <w:rPr>
          <w:rFonts w:hint="eastAsia" w:ascii="Times New Roman"/>
          <w:sz w:val="24"/>
          <w:szCs w:val="22"/>
        </w:rPr>
        <w:t>时</w:t>
      </w:r>
      <w:r>
        <w:rPr>
          <w:rFonts w:hint="eastAsia" w:ascii="Times New Roman"/>
          <w:sz w:val="24"/>
          <w:szCs w:val="24"/>
        </w:rPr>
        <w:t>，在相同</w:t>
      </w:r>
      <w:r>
        <w:rPr>
          <w:rFonts w:ascii="Times New Roman"/>
          <w:sz w:val="24"/>
          <w:szCs w:val="24"/>
        </w:rPr>
        <w:t>位置</w:t>
      </w:r>
      <w:r>
        <w:rPr>
          <w:rFonts w:hint="eastAsia" w:ascii="Times New Roman"/>
          <w:sz w:val="24"/>
          <w:szCs w:val="24"/>
        </w:rPr>
        <w:t>，利</w:t>
      </w:r>
      <w:r>
        <w:rPr>
          <w:rFonts w:ascii="Times New Roman"/>
          <w:sz w:val="24"/>
          <w:szCs w:val="24"/>
        </w:rPr>
        <w:t>用相同方法</w:t>
      </w:r>
      <w:r>
        <w:rPr>
          <w:rFonts w:hint="eastAsia" w:ascii="Times New Roman"/>
          <w:sz w:val="24"/>
          <w:szCs w:val="24"/>
        </w:rPr>
        <w:t>、相同参数</w:t>
      </w:r>
      <w:r>
        <w:rPr>
          <w:rFonts w:ascii="Times New Roman"/>
          <w:sz w:val="24"/>
          <w:szCs w:val="24"/>
        </w:rPr>
        <w:t>进行对比检测，</w:t>
      </w:r>
      <w:r>
        <w:rPr>
          <w:rFonts w:ascii="Times New Roman"/>
          <w:sz w:val="24"/>
          <w:szCs w:val="22"/>
        </w:rPr>
        <w:t>计算提高率或提高量</w:t>
      </w:r>
      <w:r>
        <w:rPr>
          <w:rFonts w:hint="eastAsia" w:ascii="Times New Roman"/>
          <w:sz w:val="24"/>
          <w:szCs w:val="22"/>
        </w:rPr>
        <w:t>；</w:t>
      </w:r>
      <w:r>
        <w:rPr>
          <w:rFonts w:ascii="Times New Roman"/>
          <w:sz w:val="24"/>
          <w:szCs w:val="24"/>
        </w:rPr>
        <w:t>测点密度应根据注浆施工工艺和</w:t>
      </w:r>
      <w:r>
        <w:rPr>
          <w:rFonts w:hint="eastAsia" w:ascii="Times New Roman"/>
          <w:sz w:val="24"/>
          <w:szCs w:val="24"/>
        </w:rPr>
        <w:t>检测</w:t>
      </w:r>
      <w:r>
        <w:rPr>
          <w:rFonts w:ascii="Times New Roman"/>
          <w:sz w:val="24"/>
          <w:szCs w:val="24"/>
        </w:rPr>
        <w:t>要求综合考虑</w:t>
      </w:r>
      <w:r>
        <w:rPr>
          <w:rFonts w:hint="eastAsia" w:ascii="Times New Roman"/>
          <w:sz w:val="24"/>
          <w:szCs w:val="24"/>
        </w:rPr>
        <w:t>；</w:t>
      </w:r>
    </w:p>
    <w:bookmarkEnd w:id="196"/>
    <w:p w14:paraId="01203386">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3</w:t>
      </w:r>
      <w:r>
        <w:rPr>
          <w:rFonts w:ascii="Times New Roman"/>
          <w:sz w:val="24"/>
          <w:szCs w:val="22"/>
        </w:rPr>
        <w:t>、</w:t>
      </w:r>
      <w:r>
        <w:rPr>
          <w:rFonts w:hint="eastAsia" w:ascii="Times New Roman"/>
          <w:sz w:val="24"/>
          <w:szCs w:val="22"/>
        </w:rPr>
        <w:t>基岩帷幕注浆采用</w:t>
      </w:r>
      <w:r>
        <w:rPr>
          <w:rFonts w:ascii="Times New Roman"/>
          <w:sz w:val="24"/>
          <w:szCs w:val="22"/>
        </w:rPr>
        <w:t>达标分析或现象描述评价</w:t>
      </w:r>
      <w:r>
        <w:rPr>
          <w:rFonts w:hint="eastAsia" w:ascii="Times New Roman"/>
          <w:sz w:val="24"/>
          <w:szCs w:val="22"/>
        </w:rPr>
        <w:t>注浆</w:t>
      </w:r>
      <w:r>
        <w:rPr>
          <w:rFonts w:ascii="Times New Roman"/>
          <w:sz w:val="24"/>
          <w:szCs w:val="22"/>
        </w:rPr>
        <w:t>效果</w:t>
      </w:r>
      <w:r>
        <w:rPr>
          <w:rFonts w:hint="eastAsia" w:ascii="Times New Roman"/>
          <w:sz w:val="24"/>
          <w:szCs w:val="22"/>
        </w:rPr>
        <w:t>时，</w:t>
      </w:r>
      <w:r>
        <w:rPr>
          <w:rFonts w:ascii="Times New Roman"/>
          <w:sz w:val="24"/>
          <w:szCs w:val="22"/>
        </w:rPr>
        <w:t>应将注浆单元内注浆后的检测数据与要求的达标值进行比较进行统计分析</w:t>
      </w:r>
      <w:r>
        <w:rPr>
          <w:rFonts w:hint="eastAsia" w:ascii="Times New Roman"/>
          <w:sz w:val="24"/>
          <w:szCs w:val="22"/>
        </w:rPr>
        <w:t>。</w:t>
      </w:r>
    </w:p>
    <w:p w14:paraId="1DC559C1">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4</w:t>
      </w:r>
      <w:r>
        <w:rPr>
          <w:rFonts w:ascii="Times New Roman"/>
          <w:sz w:val="24"/>
          <w:szCs w:val="22"/>
        </w:rPr>
        <w:t xml:space="preserve"> </w:t>
      </w:r>
      <w:r>
        <w:rPr>
          <w:rFonts w:hint="eastAsia" w:ascii="Times New Roman"/>
          <w:sz w:val="24"/>
          <w:szCs w:val="22"/>
        </w:rPr>
        <w:t>钻孔全景成像检测法</w:t>
      </w:r>
      <w:r>
        <w:rPr>
          <w:rFonts w:ascii="Times New Roman"/>
          <w:sz w:val="24"/>
          <w:szCs w:val="22"/>
        </w:rPr>
        <w:t>应分析统计裂隙分布及浆材充填情况</w:t>
      </w:r>
      <w:r>
        <w:rPr>
          <w:rFonts w:hint="eastAsia" w:ascii="Times New Roman"/>
          <w:sz w:val="24"/>
          <w:szCs w:val="22"/>
        </w:rPr>
        <w:t>；</w:t>
      </w:r>
    </w:p>
    <w:p w14:paraId="00FD1077">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2"/>
        </w:rPr>
        <w:t>5</w:t>
      </w:r>
      <w:r>
        <w:rPr>
          <w:rFonts w:ascii="Times New Roman"/>
          <w:sz w:val="24"/>
          <w:szCs w:val="22"/>
        </w:rPr>
        <w:t xml:space="preserve"> 对</w:t>
      </w:r>
      <w:r>
        <w:rPr>
          <w:rFonts w:hint="eastAsia" w:ascii="Times New Roman"/>
          <w:sz w:val="24"/>
          <w:szCs w:val="22"/>
        </w:rPr>
        <w:t>地球物理</w:t>
      </w:r>
      <w:r>
        <w:rPr>
          <w:rFonts w:ascii="Times New Roman"/>
          <w:sz w:val="24"/>
          <w:szCs w:val="22"/>
        </w:rPr>
        <w:t>检测出的异常，应将钻探取芯、压水试验等成果进行综合分析。</w:t>
      </w:r>
      <w:bookmarkEnd w:id="197"/>
    </w:p>
    <w:p w14:paraId="5C1BEAE2">
      <w:pPr>
        <w:pStyle w:val="119"/>
        <w:numPr>
          <w:ilvl w:val="0"/>
          <w:numId w:val="0"/>
        </w:numPr>
        <w:spacing w:before="156" w:after="156" w:line="360" w:lineRule="auto"/>
        <w:jc w:val="center"/>
        <w:rPr>
          <w:rFonts w:ascii="Times New Roman" w:eastAsia="宋体"/>
          <w:b/>
          <w:bCs/>
          <w:sz w:val="28"/>
          <w:szCs w:val="24"/>
        </w:rPr>
      </w:pPr>
      <w:bookmarkStart w:id="199" w:name="_Toc193447689"/>
      <w:bookmarkStart w:id="200" w:name="_Toc195717755"/>
      <w:bookmarkStart w:id="201" w:name="_Toc192078867"/>
      <w:bookmarkStart w:id="202" w:name="_Toc193447616"/>
      <w:bookmarkStart w:id="203" w:name="_Toc196124350"/>
      <w:r>
        <w:rPr>
          <w:rFonts w:hint="eastAsia" w:ascii="Times New Roman" w:eastAsia="宋体"/>
          <w:b/>
          <w:bCs/>
          <w:sz w:val="28"/>
          <w:szCs w:val="24"/>
        </w:rPr>
        <w:t>5</w:t>
      </w:r>
      <w:r>
        <w:rPr>
          <w:rFonts w:ascii="Times New Roman" w:eastAsia="宋体"/>
          <w:b/>
          <w:bCs/>
          <w:sz w:val="28"/>
          <w:szCs w:val="24"/>
        </w:rPr>
        <w:t>.3 物理</w:t>
      </w:r>
      <w:r>
        <w:rPr>
          <w:rFonts w:hint="eastAsia" w:ascii="Times New Roman" w:eastAsia="宋体"/>
          <w:b/>
          <w:bCs/>
          <w:sz w:val="28"/>
          <w:szCs w:val="24"/>
        </w:rPr>
        <w:t>性质</w:t>
      </w:r>
      <w:r>
        <w:rPr>
          <w:rFonts w:ascii="Times New Roman" w:eastAsia="宋体"/>
          <w:b/>
          <w:bCs/>
          <w:sz w:val="28"/>
          <w:szCs w:val="24"/>
        </w:rPr>
        <w:t>指标检测</w:t>
      </w:r>
      <w:bookmarkEnd w:id="198"/>
      <w:bookmarkEnd w:id="199"/>
      <w:bookmarkEnd w:id="200"/>
      <w:bookmarkEnd w:id="201"/>
      <w:bookmarkEnd w:id="202"/>
      <w:bookmarkEnd w:id="203"/>
    </w:p>
    <w:p w14:paraId="0EA0846C">
      <w:pPr>
        <w:pStyle w:val="81"/>
        <w:numPr>
          <w:ilvl w:val="0"/>
          <w:numId w:val="0"/>
        </w:numPr>
        <w:spacing w:before="0" w:beforeLines="0" w:after="0" w:afterLines="0" w:line="360" w:lineRule="auto"/>
        <w:outlineLvl w:val="9"/>
        <w:rPr>
          <w:rFonts w:ascii="Times New Roman" w:eastAsia="宋体"/>
          <w:sz w:val="24"/>
          <w:szCs w:val="24"/>
        </w:rPr>
      </w:pPr>
      <w:bookmarkStart w:id="204" w:name="_Toc193447617"/>
      <w:r>
        <w:rPr>
          <w:rFonts w:hint="eastAsia" w:ascii="Times New Roman" w:eastAsia="宋体"/>
          <w:b/>
          <w:bCs/>
          <w:sz w:val="24"/>
          <w:szCs w:val="24"/>
        </w:rPr>
        <w:t>5</w:t>
      </w:r>
      <w:r>
        <w:rPr>
          <w:rFonts w:ascii="Times New Roman" w:eastAsia="宋体"/>
          <w:b/>
          <w:bCs/>
          <w:sz w:val="24"/>
          <w:szCs w:val="24"/>
        </w:rPr>
        <w:t>.3.1</w:t>
      </w:r>
      <w:r>
        <w:rPr>
          <w:rFonts w:ascii="Times New Roman" w:eastAsia="宋体"/>
          <w:sz w:val="24"/>
          <w:szCs w:val="24"/>
        </w:rPr>
        <w:t xml:space="preserve"> </w:t>
      </w:r>
      <w:r>
        <w:rPr>
          <w:rFonts w:hint="eastAsia" w:ascii="Times New Roman" w:eastAsia="宋体"/>
          <w:sz w:val="24"/>
          <w:szCs w:val="24"/>
        </w:rPr>
        <w:t>压、注水</w:t>
      </w:r>
      <w:r>
        <w:rPr>
          <w:rFonts w:ascii="Times New Roman" w:eastAsia="宋体"/>
          <w:sz w:val="24"/>
          <w:szCs w:val="24"/>
        </w:rPr>
        <w:t>试验孔应在分析</w:t>
      </w:r>
      <w:r>
        <w:rPr>
          <w:rFonts w:hint="eastAsia" w:ascii="Times New Roman" w:eastAsia="宋体"/>
          <w:sz w:val="24"/>
          <w:szCs w:val="24"/>
        </w:rPr>
        <w:t>前期</w:t>
      </w:r>
      <w:r>
        <w:rPr>
          <w:rFonts w:ascii="Times New Roman" w:eastAsia="宋体"/>
          <w:sz w:val="24"/>
          <w:szCs w:val="24"/>
        </w:rPr>
        <w:t>资料的基础上，在下述部位布置：</w:t>
      </w:r>
      <w:bookmarkEnd w:id="204"/>
    </w:p>
    <w:p w14:paraId="6EB12A9F">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1</w:t>
      </w:r>
      <w:r>
        <w:rPr>
          <w:rFonts w:ascii="Times New Roman"/>
          <w:sz w:val="24"/>
          <w:szCs w:val="24"/>
        </w:rPr>
        <w:t xml:space="preserve"> 帷幕</w:t>
      </w:r>
      <w:r>
        <w:rPr>
          <w:rFonts w:hint="eastAsia" w:ascii="Times New Roman"/>
          <w:sz w:val="24"/>
          <w:szCs w:val="24"/>
        </w:rPr>
        <w:t>平面中心轴</w:t>
      </w:r>
      <w:r>
        <w:rPr>
          <w:rFonts w:ascii="Times New Roman"/>
          <w:sz w:val="24"/>
          <w:szCs w:val="24"/>
        </w:rPr>
        <w:t>线上；</w:t>
      </w:r>
    </w:p>
    <w:p w14:paraId="53D1572D">
      <w:pPr>
        <w:pStyle w:val="123"/>
        <w:numPr>
          <w:ilvl w:val="0"/>
          <w:numId w:val="0"/>
        </w:numPr>
        <w:spacing w:line="360" w:lineRule="auto"/>
        <w:ind w:firstLine="361" w:firstLineChars="150"/>
        <w:rPr>
          <w:rFonts w:ascii="Times New Roman"/>
          <w:sz w:val="24"/>
          <w:szCs w:val="24"/>
        </w:rPr>
      </w:pPr>
      <w:r>
        <w:rPr>
          <w:rFonts w:hint="eastAsia" w:ascii="Times New Roman"/>
          <w:b/>
          <w:bCs/>
          <w:sz w:val="24"/>
          <w:szCs w:val="24"/>
        </w:rPr>
        <w:t>2</w:t>
      </w:r>
      <w:r>
        <w:rPr>
          <w:rFonts w:ascii="Times New Roman"/>
          <w:sz w:val="24"/>
          <w:szCs w:val="24"/>
        </w:rPr>
        <w:t xml:space="preserve"> 灌浆孔部位和相邻灌浆孔之间；</w:t>
      </w:r>
    </w:p>
    <w:p w14:paraId="4A128E58">
      <w:pPr>
        <w:pStyle w:val="123"/>
        <w:numPr>
          <w:ilvl w:val="0"/>
          <w:numId w:val="0"/>
        </w:numPr>
        <w:spacing w:line="360" w:lineRule="auto"/>
        <w:ind w:firstLine="361" w:firstLineChars="150"/>
        <w:rPr>
          <w:rFonts w:ascii="Times New Roman"/>
          <w:sz w:val="24"/>
          <w:szCs w:val="24"/>
        </w:rPr>
      </w:pPr>
      <w:r>
        <w:rPr>
          <w:rFonts w:ascii="Times New Roman"/>
          <w:b/>
          <w:bCs/>
          <w:sz w:val="24"/>
          <w:szCs w:val="24"/>
        </w:rPr>
        <w:t>3</w:t>
      </w:r>
      <w:r>
        <w:rPr>
          <w:rFonts w:ascii="Times New Roman"/>
          <w:sz w:val="24"/>
          <w:szCs w:val="24"/>
        </w:rPr>
        <w:t xml:space="preserve"> 钻孔偏斜过大、注浆量</w:t>
      </w:r>
      <w:r>
        <w:rPr>
          <w:rFonts w:hint="eastAsia" w:ascii="Times New Roman"/>
          <w:sz w:val="24"/>
          <w:szCs w:val="24"/>
        </w:rPr>
        <w:t>异常等且</w:t>
      </w:r>
      <w:r>
        <w:rPr>
          <w:rFonts w:ascii="Times New Roman"/>
          <w:sz w:val="24"/>
          <w:szCs w:val="24"/>
        </w:rPr>
        <w:t>经分析认为可能对帷幕灌浆质量有影响的部位。</w:t>
      </w:r>
    </w:p>
    <w:p w14:paraId="2EF7E3F4">
      <w:pPr>
        <w:pStyle w:val="81"/>
        <w:numPr>
          <w:ilvl w:val="0"/>
          <w:numId w:val="0"/>
        </w:numPr>
        <w:spacing w:before="0" w:beforeLines="0" w:after="0" w:afterLines="0" w:line="360" w:lineRule="auto"/>
        <w:outlineLvl w:val="9"/>
        <w:rPr>
          <w:rFonts w:ascii="Times New Roman" w:eastAsia="宋体"/>
          <w:sz w:val="24"/>
          <w:szCs w:val="24"/>
        </w:rPr>
      </w:pPr>
      <w:bookmarkStart w:id="205" w:name="_Toc193447618"/>
      <w:r>
        <w:rPr>
          <w:rFonts w:hint="eastAsia" w:ascii="Times New Roman" w:eastAsia="宋体"/>
          <w:b/>
          <w:bCs/>
          <w:sz w:val="24"/>
          <w:szCs w:val="24"/>
        </w:rPr>
        <w:t>5</w:t>
      </w:r>
      <w:r>
        <w:rPr>
          <w:rFonts w:ascii="Times New Roman" w:eastAsia="宋体"/>
          <w:b/>
          <w:bCs/>
          <w:sz w:val="24"/>
          <w:szCs w:val="24"/>
        </w:rPr>
        <w:t>.3.2</w:t>
      </w:r>
      <w:r>
        <w:rPr>
          <w:rFonts w:ascii="Times New Roman" w:eastAsia="宋体"/>
          <w:sz w:val="24"/>
          <w:szCs w:val="24"/>
        </w:rPr>
        <w:t xml:space="preserve"> 压</w:t>
      </w:r>
      <w:r>
        <w:rPr>
          <w:rFonts w:hint="eastAsia" w:ascii="Times New Roman" w:eastAsia="宋体"/>
          <w:sz w:val="24"/>
          <w:szCs w:val="24"/>
        </w:rPr>
        <w:t>、注</w:t>
      </w:r>
      <w:r>
        <w:rPr>
          <w:rFonts w:ascii="Times New Roman" w:eastAsia="宋体"/>
          <w:sz w:val="24"/>
          <w:szCs w:val="24"/>
        </w:rPr>
        <w:t>水试验孔数量可按灌浆孔数的一定比例确定，</w:t>
      </w:r>
      <w:r>
        <w:rPr>
          <w:rFonts w:hint="eastAsia" w:ascii="Times New Roman" w:eastAsia="宋体"/>
          <w:sz w:val="24"/>
          <w:szCs w:val="24"/>
        </w:rPr>
        <w:t>不少于</w:t>
      </w:r>
      <w:r>
        <w:rPr>
          <w:rFonts w:ascii="Times New Roman" w:eastAsia="宋体"/>
          <w:sz w:val="24"/>
          <w:szCs w:val="24"/>
        </w:rPr>
        <w:t>主排孔数的10%。一个检测单元内，至少应布置一个试验孔。</w:t>
      </w:r>
      <w:bookmarkEnd w:id="205"/>
    </w:p>
    <w:p w14:paraId="0D489BCD">
      <w:pPr>
        <w:pStyle w:val="81"/>
        <w:numPr>
          <w:ilvl w:val="0"/>
          <w:numId w:val="0"/>
        </w:numPr>
        <w:spacing w:before="0" w:beforeLines="0" w:after="0" w:afterLines="0" w:line="360" w:lineRule="auto"/>
        <w:outlineLvl w:val="9"/>
        <w:rPr>
          <w:rFonts w:ascii="Times New Roman" w:eastAsia="宋体"/>
          <w:sz w:val="24"/>
          <w:szCs w:val="24"/>
        </w:rPr>
      </w:pPr>
      <w:bookmarkStart w:id="206" w:name="_Toc193447619"/>
      <w:r>
        <w:rPr>
          <w:rFonts w:hint="eastAsia" w:ascii="Times New Roman" w:eastAsia="宋体"/>
          <w:b/>
          <w:bCs/>
          <w:sz w:val="24"/>
          <w:szCs w:val="24"/>
        </w:rPr>
        <w:t>5</w:t>
      </w:r>
      <w:r>
        <w:rPr>
          <w:rFonts w:ascii="Times New Roman" w:eastAsia="宋体"/>
          <w:b/>
          <w:bCs/>
          <w:sz w:val="24"/>
          <w:szCs w:val="24"/>
        </w:rPr>
        <w:t>.3.3</w:t>
      </w:r>
      <w:r>
        <w:rPr>
          <w:rFonts w:ascii="Times New Roman" w:eastAsia="宋体"/>
          <w:sz w:val="24"/>
          <w:szCs w:val="24"/>
        </w:rPr>
        <w:t xml:space="preserve"> 搭接帷幕灌浆的压</w:t>
      </w:r>
      <w:r>
        <w:rPr>
          <w:rFonts w:hint="eastAsia" w:ascii="Times New Roman" w:eastAsia="宋体"/>
          <w:sz w:val="24"/>
          <w:szCs w:val="24"/>
        </w:rPr>
        <w:t>、注</w:t>
      </w:r>
      <w:r>
        <w:rPr>
          <w:rFonts w:ascii="Times New Roman" w:eastAsia="宋体"/>
          <w:sz w:val="24"/>
          <w:szCs w:val="24"/>
        </w:rPr>
        <w:t>水试验可在搭接帷幕</w:t>
      </w:r>
      <w:r>
        <w:rPr>
          <w:rFonts w:hint="eastAsia" w:ascii="Times New Roman" w:eastAsia="宋体"/>
          <w:sz w:val="24"/>
          <w:szCs w:val="24"/>
        </w:rPr>
        <w:t>灌浆结束</w:t>
      </w:r>
      <w:r>
        <w:rPr>
          <w:rFonts w:ascii="Times New Roman" w:eastAsia="宋体"/>
          <w:sz w:val="24"/>
          <w:szCs w:val="24"/>
        </w:rPr>
        <w:t>7d后，或搭接帷幕和主帷幕灌浆全部完成后一并进行，试验孔的数量</w:t>
      </w:r>
      <w:r>
        <w:rPr>
          <w:rFonts w:hint="eastAsia" w:ascii="Times New Roman" w:eastAsia="宋体"/>
          <w:sz w:val="24"/>
          <w:szCs w:val="24"/>
        </w:rPr>
        <w:t>宜为</w:t>
      </w:r>
      <w:r>
        <w:rPr>
          <w:rFonts w:ascii="Times New Roman" w:eastAsia="宋体"/>
          <w:sz w:val="24"/>
          <w:szCs w:val="24"/>
        </w:rPr>
        <w:t>搭接帷幕灌浆总孔数的5%。</w:t>
      </w:r>
      <w:bookmarkEnd w:id="206"/>
    </w:p>
    <w:p w14:paraId="78A2E26F">
      <w:pPr>
        <w:pStyle w:val="81"/>
        <w:numPr>
          <w:ilvl w:val="0"/>
          <w:numId w:val="0"/>
        </w:numPr>
        <w:spacing w:before="0" w:beforeLines="0" w:after="0" w:afterLines="0" w:line="360" w:lineRule="auto"/>
        <w:outlineLvl w:val="9"/>
        <w:rPr>
          <w:rFonts w:ascii="Times New Roman" w:eastAsia="宋体"/>
          <w:sz w:val="24"/>
          <w:szCs w:val="24"/>
        </w:rPr>
      </w:pPr>
      <w:bookmarkStart w:id="207" w:name="_Toc193447620"/>
      <w:bookmarkStart w:id="208" w:name="_Toc181955315"/>
      <w:bookmarkStart w:id="209" w:name="_Toc181955322"/>
      <w:bookmarkStart w:id="210" w:name="_Toc192078868"/>
      <w:r>
        <w:rPr>
          <w:rFonts w:hint="eastAsia" w:ascii="Times New Roman" w:eastAsia="宋体"/>
          <w:b/>
          <w:bCs/>
          <w:sz w:val="24"/>
          <w:szCs w:val="24"/>
        </w:rPr>
        <w:t>5</w:t>
      </w:r>
      <w:r>
        <w:rPr>
          <w:rFonts w:ascii="Times New Roman" w:eastAsia="宋体"/>
          <w:b/>
          <w:bCs/>
          <w:sz w:val="24"/>
          <w:szCs w:val="24"/>
        </w:rPr>
        <w:t>.3.4</w:t>
      </w:r>
      <w:r>
        <w:rPr>
          <w:rFonts w:ascii="Times New Roman" w:eastAsia="宋体"/>
          <w:sz w:val="24"/>
          <w:szCs w:val="24"/>
        </w:rPr>
        <w:t xml:space="preserve"> 每</w:t>
      </w:r>
      <w:r>
        <w:rPr>
          <w:rFonts w:hint="eastAsia" w:ascii="Times New Roman" w:eastAsia="宋体"/>
          <w:sz w:val="24"/>
          <w:szCs w:val="24"/>
        </w:rPr>
        <w:t>5个检测单元</w:t>
      </w:r>
      <w:r>
        <w:rPr>
          <w:rFonts w:ascii="Times New Roman" w:eastAsia="宋体"/>
          <w:sz w:val="24"/>
          <w:szCs w:val="24"/>
        </w:rPr>
        <w:t>进行</w:t>
      </w:r>
      <w:r>
        <w:rPr>
          <w:rFonts w:hint="eastAsia" w:ascii="Times New Roman" w:eastAsia="宋体"/>
          <w:sz w:val="24"/>
          <w:szCs w:val="24"/>
        </w:rPr>
        <w:t>注浆</w:t>
      </w:r>
      <w:r>
        <w:rPr>
          <w:rFonts w:ascii="Times New Roman" w:eastAsia="宋体"/>
          <w:sz w:val="24"/>
          <w:szCs w:val="24"/>
        </w:rPr>
        <w:t>深度检测及孔中全景成像检测</w:t>
      </w:r>
      <w:r>
        <w:rPr>
          <w:rFonts w:hint="eastAsia" w:ascii="Times New Roman" w:eastAsia="宋体"/>
          <w:sz w:val="24"/>
          <w:szCs w:val="24"/>
        </w:rPr>
        <w:t>，宜利用压、注水试验孔进行</w:t>
      </w:r>
      <w:r>
        <w:rPr>
          <w:rFonts w:ascii="Times New Roman" w:eastAsia="宋体"/>
          <w:sz w:val="24"/>
          <w:szCs w:val="24"/>
        </w:rPr>
        <w:t>。</w:t>
      </w:r>
      <w:bookmarkEnd w:id="207"/>
    </w:p>
    <w:bookmarkEnd w:id="208"/>
    <w:p w14:paraId="39EA00B4">
      <w:pPr>
        <w:pStyle w:val="119"/>
        <w:numPr>
          <w:ilvl w:val="0"/>
          <w:numId w:val="0"/>
        </w:numPr>
        <w:spacing w:before="156" w:after="156" w:line="360" w:lineRule="auto"/>
        <w:jc w:val="center"/>
        <w:rPr>
          <w:rFonts w:ascii="Times New Roman" w:eastAsia="宋体"/>
          <w:b/>
          <w:bCs/>
          <w:sz w:val="28"/>
          <w:szCs w:val="24"/>
        </w:rPr>
      </w:pPr>
      <w:bookmarkStart w:id="211" w:name="_Toc193447690"/>
      <w:bookmarkStart w:id="212" w:name="_Toc193447621"/>
      <w:bookmarkStart w:id="213" w:name="_Toc195717756"/>
      <w:bookmarkStart w:id="214" w:name="_Toc196124351"/>
      <w:r>
        <w:rPr>
          <w:rFonts w:ascii="Times New Roman" w:eastAsia="宋体"/>
          <w:b/>
          <w:bCs/>
          <w:sz w:val="28"/>
          <w:szCs w:val="24"/>
        </w:rPr>
        <w:t>5.4 检测</w:t>
      </w:r>
      <w:bookmarkEnd w:id="209"/>
      <w:bookmarkEnd w:id="210"/>
      <w:bookmarkEnd w:id="211"/>
      <w:bookmarkEnd w:id="212"/>
      <w:bookmarkEnd w:id="213"/>
      <w:r>
        <w:rPr>
          <w:rFonts w:hint="eastAsia" w:ascii="Times New Roman" w:eastAsia="宋体"/>
          <w:b/>
          <w:bCs/>
          <w:sz w:val="28"/>
          <w:szCs w:val="24"/>
        </w:rPr>
        <w:t>结论</w:t>
      </w:r>
      <w:bookmarkEnd w:id="214"/>
    </w:p>
    <w:p w14:paraId="0BFD4F15">
      <w:pPr>
        <w:pStyle w:val="81"/>
        <w:numPr>
          <w:ilvl w:val="0"/>
          <w:numId w:val="0"/>
        </w:numPr>
        <w:spacing w:before="0" w:beforeLines="0" w:after="0" w:afterLines="0" w:line="360" w:lineRule="auto"/>
        <w:outlineLvl w:val="9"/>
        <w:rPr>
          <w:rFonts w:ascii="Times New Roman" w:eastAsia="宋体"/>
          <w:sz w:val="24"/>
          <w:szCs w:val="24"/>
        </w:rPr>
      </w:pPr>
      <w:bookmarkStart w:id="215" w:name="OLE_LINK9"/>
      <w:bookmarkStart w:id="216" w:name="_Toc193447622"/>
      <w:r>
        <w:rPr>
          <w:rFonts w:hint="eastAsia" w:ascii="Times New Roman" w:eastAsia="宋体"/>
          <w:b/>
          <w:bCs/>
          <w:sz w:val="24"/>
          <w:szCs w:val="24"/>
        </w:rPr>
        <w:t>5</w:t>
      </w:r>
      <w:r>
        <w:rPr>
          <w:rFonts w:ascii="Times New Roman" w:eastAsia="宋体"/>
          <w:b/>
          <w:bCs/>
          <w:sz w:val="24"/>
          <w:szCs w:val="24"/>
        </w:rPr>
        <w:t>.4.1</w:t>
      </w:r>
      <w:r>
        <w:rPr>
          <w:rFonts w:ascii="Times New Roman" w:eastAsia="宋体"/>
          <w:sz w:val="24"/>
          <w:szCs w:val="24"/>
        </w:rPr>
        <w:t xml:space="preserve"> </w:t>
      </w:r>
      <w:r>
        <w:rPr>
          <w:rFonts w:hint="eastAsia" w:ascii="Times New Roman" w:eastAsia="宋体"/>
          <w:sz w:val="24"/>
          <w:szCs w:val="24"/>
        </w:rPr>
        <w:t>注浆帷幕的渗透系数符合设计及规范要求时，应判为合格。</w:t>
      </w:r>
    </w:p>
    <w:p w14:paraId="43CCDA4B">
      <w:pPr>
        <w:pStyle w:val="81"/>
        <w:numPr>
          <w:ilvl w:val="0"/>
          <w:numId w:val="0"/>
        </w:numPr>
        <w:spacing w:before="0" w:beforeLines="0" w:after="0" w:afterLines="0" w:line="360" w:lineRule="auto"/>
        <w:outlineLvl w:val="9"/>
        <w:rPr>
          <w:rFonts w:ascii="Times New Roman" w:eastAsia="宋体"/>
          <w:sz w:val="24"/>
          <w:szCs w:val="24"/>
        </w:rPr>
      </w:pPr>
      <w:r>
        <w:rPr>
          <w:rFonts w:hint="eastAsia" w:ascii="Times New Roman" w:eastAsia="宋体"/>
          <w:b/>
          <w:bCs/>
          <w:sz w:val="24"/>
          <w:szCs w:val="24"/>
        </w:rPr>
        <w:t>5</w:t>
      </w:r>
      <w:r>
        <w:rPr>
          <w:rFonts w:ascii="Times New Roman" w:eastAsia="宋体"/>
          <w:b/>
          <w:bCs/>
          <w:sz w:val="24"/>
          <w:szCs w:val="24"/>
        </w:rPr>
        <w:t>.4.</w:t>
      </w:r>
      <w:r>
        <w:rPr>
          <w:rFonts w:hint="eastAsia" w:ascii="Times New Roman" w:eastAsia="宋体"/>
          <w:b/>
          <w:bCs/>
          <w:sz w:val="24"/>
          <w:szCs w:val="24"/>
        </w:rPr>
        <w:t>2</w:t>
      </w:r>
      <w:r>
        <w:rPr>
          <w:rFonts w:ascii="Times New Roman" w:eastAsia="宋体"/>
          <w:sz w:val="24"/>
          <w:szCs w:val="24"/>
        </w:rPr>
        <w:t xml:space="preserve"> </w:t>
      </w:r>
      <w:r>
        <w:rPr>
          <w:rFonts w:hint="eastAsia" w:ascii="Times New Roman" w:eastAsia="宋体"/>
          <w:sz w:val="24"/>
          <w:szCs w:val="24"/>
        </w:rPr>
        <w:t>注浆帷幕的注浆深度符合设计规范要求，</w:t>
      </w:r>
      <w:r>
        <w:rPr>
          <w:rFonts w:ascii="Times New Roman" w:eastAsia="宋体"/>
          <w:sz w:val="24"/>
          <w:szCs w:val="24"/>
        </w:rPr>
        <w:t>并符合</w:t>
      </w:r>
      <w:r>
        <w:rPr>
          <w:rFonts w:hint="eastAsia" w:ascii="Times New Roman" w:eastAsia="宋体"/>
          <w:sz w:val="24"/>
          <w:szCs w:val="24"/>
        </w:rPr>
        <w:t>现行行业标准</w:t>
      </w:r>
      <w:r>
        <w:rPr>
          <w:rFonts w:ascii="Times New Roman" w:eastAsia="宋体"/>
          <w:sz w:val="24"/>
          <w:szCs w:val="24"/>
        </w:rPr>
        <w:t>《水工建筑物水泥灌浆施工技术规范》 SL/T 62的相关规定</w:t>
      </w:r>
      <w:r>
        <w:rPr>
          <w:rFonts w:hint="eastAsia" w:ascii="Times New Roman" w:eastAsia="宋体"/>
          <w:sz w:val="24"/>
          <w:szCs w:val="24"/>
        </w:rPr>
        <w:t>，应判为合格。</w:t>
      </w:r>
    </w:p>
    <w:bookmarkEnd w:id="215"/>
    <w:bookmarkEnd w:id="216"/>
    <w:p w14:paraId="61D91B39">
      <w:pPr>
        <w:pStyle w:val="81"/>
        <w:numPr>
          <w:ilvl w:val="0"/>
          <w:numId w:val="0"/>
        </w:numPr>
        <w:spacing w:before="0" w:beforeLines="0" w:after="0" w:afterLines="0" w:line="360" w:lineRule="auto"/>
        <w:outlineLvl w:val="9"/>
        <w:rPr>
          <w:rFonts w:ascii="Times New Roman" w:eastAsia="宋体"/>
          <w:b/>
          <w:bCs/>
          <w:sz w:val="24"/>
          <w:szCs w:val="24"/>
        </w:rPr>
      </w:pPr>
      <w:bookmarkStart w:id="217" w:name="_Toc193447625"/>
      <w:r>
        <w:rPr>
          <w:rFonts w:hint="eastAsia" w:ascii="Times New Roman" w:eastAsia="宋体"/>
          <w:b/>
          <w:bCs/>
          <w:sz w:val="24"/>
          <w:szCs w:val="24"/>
        </w:rPr>
        <w:t>5</w:t>
      </w:r>
      <w:r>
        <w:rPr>
          <w:rFonts w:ascii="Times New Roman" w:eastAsia="宋体"/>
          <w:b/>
          <w:bCs/>
          <w:sz w:val="24"/>
          <w:szCs w:val="24"/>
        </w:rPr>
        <w:t>.4.</w:t>
      </w:r>
      <w:r>
        <w:rPr>
          <w:rFonts w:hint="eastAsia" w:ascii="Times New Roman" w:eastAsia="宋体"/>
          <w:b/>
          <w:bCs/>
          <w:sz w:val="24"/>
          <w:szCs w:val="24"/>
        </w:rPr>
        <w:t>3</w:t>
      </w:r>
      <w:r>
        <w:rPr>
          <w:rFonts w:ascii="Times New Roman" w:eastAsia="宋体"/>
          <w:sz w:val="24"/>
          <w:szCs w:val="24"/>
        </w:rPr>
        <w:t xml:space="preserve"> </w:t>
      </w:r>
      <w:r>
        <w:rPr>
          <w:rFonts w:hint="eastAsia" w:ascii="Times New Roman" w:eastAsia="宋体"/>
          <w:sz w:val="24"/>
          <w:szCs w:val="24"/>
        </w:rPr>
        <w:t>覆盖层灌浆完整性应按附录C进行判定。</w:t>
      </w:r>
    </w:p>
    <w:p w14:paraId="396F6065">
      <w:pPr>
        <w:pStyle w:val="81"/>
        <w:numPr>
          <w:ilvl w:val="0"/>
          <w:numId w:val="0"/>
        </w:numPr>
        <w:spacing w:before="0" w:beforeLines="0" w:after="0" w:afterLines="0" w:line="360" w:lineRule="auto"/>
        <w:outlineLvl w:val="9"/>
        <w:rPr>
          <w:rFonts w:ascii="Times New Roman" w:eastAsia="宋体"/>
          <w:b/>
          <w:bCs/>
          <w:sz w:val="24"/>
          <w:szCs w:val="24"/>
        </w:rPr>
      </w:pPr>
      <w:r>
        <w:rPr>
          <w:rFonts w:ascii="Times New Roman" w:eastAsia="宋体"/>
          <w:b/>
          <w:bCs/>
          <w:sz w:val="24"/>
          <w:szCs w:val="24"/>
        </w:rPr>
        <w:t>5.4.</w:t>
      </w:r>
      <w:r>
        <w:rPr>
          <w:rFonts w:hint="eastAsia" w:ascii="Times New Roman" w:eastAsia="宋体"/>
          <w:b/>
          <w:bCs/>
          <w:sz w:val="24"/>
          <w:szCs w:val="24"/>
        </w:rPr>
        <w:t>4</w:t>
      </w:r>
      <w:r>
        <w:rPr>
          <w:rFonts w:ascii="Times New Roman" w:eastAsia="宋体"/>
          <w:sz w:val="24"/>
          <w:szCs w:val="24"/>
        </w:rPr>
        <w:t xml:space="preserve"> </w:t>
      </w:r>
      <w:r>
        <w:rPr>
          <w:rFonts w:hint="eastAsia" w:ascii="Times New Roman" w:eastAsia="宋体"/>
          <w:sz w:val="24"/>
          <w:szCs w:val="24"/>
        </w:rPr>
        <w:t>基岩帷幕注浆效果质量合格时，宜符合下列规定：</w:t>
      </w:r>
    </w:p>
    <w:p w14:paraId="50CE6754">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1</w:t>
      </w:r>
      <w:r>
        <w:rPr>
          <w:rFonts w:hint="eastAsia" w:ascii="Times New Roman"/>
          <w:sz w:val="24"/>
          <w:szCs w:val="22"/>
        </w:rPr>
        <w:t>对比注浆前、后层析成像法检测结果的差异，垂直防渗墙应呈现波速值显著提升、吸收系数显著降低、视电阻率显著提升，物性指标均匀分布且连续性好；</w:t>
      </w:r>
    </w:p>
    <w:p w14:paraId="140F5CA3">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2</w:t>
      </w:r>
      <w:r>
        <w:rPr>
          <w:rFonts w:hint="eastAsia" w:ascii="Times New Roman"/>
          <w:sz w:val="24"/>
          <w:szCs w:val="22"/>
        </w:rPr>
        <w:t xml:space="preserve"> 基岩帷幕注浆效果质量达标分析时，横波波速值应较注浆前显著提高，注浆后横波波速值不应小于300m/s；</w:t>
      </w:r>
    </w:p>
    <w:p w14:paraId="37ABEC4E">
      <w:pPr>
        <w:pStyle w:val="123"/>
        <w:numPr>
          <w:ilvl w:val="0"/>
          <w:numId w:val="0"/>
        </w:numPr>
        <w:spacing w:line="360" w:lineRule="auto"/>
        <w:ind w:firstLine="361" w:firstLineChars="150"/>
        <w:rPr>
          <w:rFonts w:ascii="Times New Roman"/>
          <w:sz w:val="24"/>
          <w:szCs w:val="22"/>
        </w:rPr>
      </w:pPr>
      <w:r>
        <w:rPr>
          <w:rFonts w:hint="eastAsia" w:ascii="Times New Roman"/>
          <w:b/>
          <w:bCs/>
          <w:sz w:val="24"/>
          <w:szCs w:val="22"/>
        </w:rPr>
        <w:t>3</w:t>
      </w:r>
      <w:r>
        <w:rPr>
          <w:rFonts w:hint="eastAsia" w:ascii="Times New Roman"/>
          <w:sz w:val="24"/>
          <w:szCs w:val="22"/>
        </w:rPr>
        <w:t xml:space="preserve"> 通过钻孔全景成像观察注浆后注浆体的胶结情况，浆液填充率大于90%，裂隙或破碎带应被有效充填。</w:t>
      </w:r>
    </w:p>
    <w:bookmarkEnd w:id="217"/>
    <w:p w14:paraId="5DD98E57">
      <w:pPr>
        <w:pStyle w:val="123"/>
        <w:numPr>
          <w:ilvl w:val="0"/>
          <w:numId w:val="0"/>
        </w:numPr>
        <w:spacing w:line="360" w:lineRule="auto"/>
        <w:ind w:firstLine="315" w:firstLineChars="150"/>
        <w:rPr>
          <w:rFonts w:ascii="Times New Roman"/>
        </w:rPr>
      </w:pPr>
    </w:p>
    <w:p w14:paraId="31F6CBA9">
      <w:pPr>
        <w:pStyle w:val="71"/>
        <w:ind w:firstLine="420"/>
        <w:rPr>
          <w:rFonts w:ascii="Times New Roman"/>
        </w:rPr>
        <w:sectPr>
          <w:headerReference r:id="rId19" w:type="default"/>
          <w:footerReference r:id="rId21" w:type="default"/>
          <w:headerReference r:id="rId20" w:type="even"/>
          <w:footerReference r:id="rId22" w:type="even"/>
          <w:pgSz w:w="11906" w:h="16838"/>
          <w:pgMar w:top="1440" w:right="1797" w:bottom="1440" w:left="1797" w:header="1418" w:footer="1134" w:gutter="0"/>
          <w:cols w:space="425" w:num="1"/>
          <w:formProt w:val="0"/>
          <w:docGrid w:type="lines" w:linePitch="312" w:charSpace="0"/>
        </w:sectPr>
      </w:pPr>
    </w:p>
    <w:p w14:paraId="5D471129">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218" w:name="_Toc192078869"/>
      <w:bookmarkStart w:id="219" w:name="_Toc193447691"/>
      <w:bookmarkStart w:id="220" w:name="_Toc196124352"/>
      <w:bookmarkStart w:id="221" w:name="_Toc181955324"/>
      <w:bookmarkStart w:id="222" w:name="_Toc193447627"/>
      <w:r>
        <w:rPr>
          <w:rFonts w:hint="eastAsia" w:ascii="Times New Roman" w:hAnsi="Times New Roman"/>
          <w:b/>
          <w:sz w:val="36"/>
          <w:szCs w:val="36"/>
        </w:rPr>
        <w:t>6</w:t>
      </w:r>
      <w:r>
        <w:rPr>
          <w:rFonts w:ascii="Times New Roman" w:hAnsi="Times New Roman"/>
          <w:b/>
          <w:sz w:val="36"/>
          <w:szCs w:val="36"/>
        </w:rPr>
        <w:t xml:space="preserve"> 单层垂直防渗墙质量检测</w:t>
      </w:r>
      <w:bookmarkEnd w:id="218"/>
      <w:bookmarkEnd w:id="219"/>
      <w:bookmarkEnd w:id="220"/>
      <w:bookmarkEnd w:id="221"/>
      <w:bookmarkEnd w:id="222"/>
    </w:p>
    <w:p w14:paraId="55A4CB3A">
      <w:pPr>
        <w:pStyle w:val="119"/>
        <w:numPr>
          <w:ilvl w:val="0"/>
          <w:numId w:val="0"/>
        </w:numPr>
        <w:spacing w:before="156" w:after="156" w:line="360" w:lineRule="auto"/>
        <w:jc w:val="center"/>
        <w:rPr>
          <w:rFonts w:ascii="Times New Roman" w:eastAsia="宋体"/>
          <w:b/>
          <w:bCs/>
          <w:sz w:val="28"/>
          <w:szCs w:val="24"/>
        </w:rPr>
      </w:pPr>
      <w:bookmarkStart w:id="223" w:name="_Toc181955325"/>
      <w:bookmarkStart w:id="224" w:name="_Toc196124353"/>
      <w:bookmarkStart w:id="225" w:name="_Toc193447692"/>
      <w:bookmarkStart w:id="226" w:name="_Toc193447628"/>
      <w:bookmarkStart w:id="227" w:name="_Toc195717757"/>
      <w:bookmarkStart w:id="228" w:name="_Toc192078870"/>
      <w:r>
        <w:rPr>
          <w:rFonts w:hint="eastAsia" w:ascii="Times New Roman" w:eastAsia="宋体"/>
          <w:b/>
          <w:bCs/>
          <w:sz w:val="28"/>
          <w:szCs w:val="24"/>
        </w:rPr>
        <w:t>6</w:t>
      </w:r>
      <w:r>
        <w:rPr>
          <w:rFonts w:ascii="Times New Roman" w:eastAsia="宋体"/>
          <w:b/>
          <w:bCs/>
          <w:sz w:val="28"/>
          <w:szCs w:val="24"/>
        </w:rPr>
        <w:t>.1 一般规定</w:t>
      </w:r>
      <w:bookmarkEnd w:id="223"/>
      <w:bookmarkEnd w:id="224"/>
      <w:bookmarkEnd w:id="225"/>
      <w:bookmarkEnd w:id="226"/>
      <w:bookmarkEnd w:id="227"/>
      <w:bookmarkEnd w:id="228"/>
    </w:p>
    <w:p w14:paraId="5CF5D152">
      <w:pPr>
        <w:pStyle w:val="81"/>
        <w:numPr>
          <w:ilvl w:val="0"/>
          <w:numId w:val="0"/>
        </w:numPr>
        <w:spacing w:before="0" w:beforeLines="0" w:after="0" w:afterLines="0" w:line="360" w:lineRule="auto"/>
        <w:outlineLvl w:val="9"/>
        <w:rPr>
          <w:rFonts w:ascii="Times New Roman" w:eastAsia="宋体"/>
          <w:sz w:val="24"/>
          <w:szCs w:val="24"/>
        </w:rPr>
      </w:pPr>
      <w:bookmarkStart w:id="229" w:name="_Toc193447629"/>
      <w:bookmarkStart w:id="230" w:name="_Toc181955326"/>
      <w:r>
        <w:rPr>
          <w:rFonts w:hint="eastAsia" w:ascii="Times New Roman" w:eastAsia="宋体"/>
          <w:b/>
          <w:bCs/>
          <w:sz w:val="24"/>
          <w:szCs w:val="24"/>
        </w:rPr>
        <w:t>6</w:t>
      </w:r>
      <w:r>
        <w:rPr>
          <w:rFonts w:ascii="Times New Roman" w:eastAsia="宋体"/>
          <w:b/>
          <w:bCs/>
          <w:sz w:val="24"/>
          <w:szCs w:val="24"/>
        </w:rPr>
        <w:t>.1.1</w:t>
      </w:r>
      <w:r>
        <w:rPr>
          <w:rFonts w:ascii="Times New Roman" w:eastAsia="宋体"/>
          <w:sz w:val="24"/>
          <w:szCs w:val="24"/>
        </w:rPr>
        <w:t xml:space="preserve"> 检测项目应</w:t>
      </w:r>
      <w:r>
        <w:rPr>
          <w:rFonts w:hint="eastAsia" w:ascii="Times New Roman" w:eastAsia="宋体"/>
          <w:sz w:val="24"/>
          <w:szCs w:val="24"/>
        </w:rPr>
        <w:t>包含</w:t>
      </w:r>
      <w:r>
        <w:rPr>
          <w:rFonts w:ascii="Times New Roman" w:eastAsia="宋体"/>
          <w:sz w:val="24"/>
          <w:szCs w:val="24"/>
        </w:rPr>
        <w:t>渗透系数、抗压强度、墙体完整性、墙体深度、厚度、</w:t>
      </w:r>
      <w:r>
        <w:rPr>
          <w:rFonts w:hint="eastAsia" w:ascii="Times New Roman" w:eastAsia="宋体"/>
          <w:sz w:val="24"/>
          <w:szCs w:val="24"/>
        </w:rPr>
        <w:t>水动力</w:t>
      </w:r>
      <w:r>
        <w:rPr>
          <w:rFonts w:ascii="Times New Roman" w:eastAsia="宋体"/>
          <w:sz w:val="24"/>
          <w:szCs w:val="24"/>
        </w:rPr>
        <w:t>弥散系数</w:t>
      </w:r>
      <w:r>
        <w:rPr>
          <w:rFonts w:hint="eastAsia" w:ascii="Times New Roman" w:eastAsia="宋体"/>
          <w:sz w:val="24"/>
          <w:szCs w:val="24"/>
        </w:rPr>
        <w:t>、阻滞因子等</w:t>
      </w:r>
      <w:r>
        <w:rPr>
          <w:rFonts w:ascii="Times New Roman" w:eastAsia="宋体"/>
          <w:sz w:val="24"/>
          <w:szCs w:val="24"/>
        </w:rPr>
        <w:t>。</w:t>
      </w:r>
      <w:bookmarkEnd w:id="229"/>
      <w:bookmarkEnd w:id="230"/>
    </w:p>
    <w:p w14:paraId="3354655B">
      <w:pPr>
        <w:pStyle w:val="81"/>
        <w:numPr>
          <w:ilvl w:val="0"/>
          <w:numId w:val="0"/>
        </w:numPr>
        <w:spacing w:before="0" w:beforeLines="0" w:after="0" w:afterLines="0" w:line="360" w:lineRule="auto"/>
        <w:outlineLvl w:val="9"/>
        <w:rPr>
          <w:rStyle w:val="42"/>
          <w:rFonts w:ascii="Times New Roman" w:eastAsiaTheme="minorEastAsia"/>
          <w:kern w:val="2"/>
          <w:sz w:val="24"/>
          <w:szCs w:val="24"/>
        </w:rPr>
      </w:pPr>
      <w:bookmarkStart w:id="231" w:name="_Toc193447630"/>
      <w:bookmarkStart w:id="232" w:name="_Toc181955327"/>
      <w:r>
        <w:rPr>
          <w:rFonts w:ascii="Times New Roman" w:eastAsia="宋体"/>
          <w:b/>
          <w:bCs/>
          <w:sz w:val="24"/>
          <w:szCs w:val="24"/>
        </w:rPr>
        <w:t xml:space="preserve">6.1.2 </w:t>
      </w:r>
      <w:r>
        <w:rPr>
          <w:rFonts w:ascii="Times New Roman" w:eastAsia="宋体"/>
          <w:sz w:val="24"/>
          <w:szCs w:val="24"/>
        </w:rPr>
        <w:t>检测单元应根据工程特点和施工情况</w:t>
      </w:r>
      <w:r>
        <w:rPr>
          <w:rFonts w:hint="eastAsia" w:ascii="Times New Roman" w:eastAsia="宋体"/>
          <w:sz w:val="24"/>
          <w:szCs w:val="24"/>
        </w:rPr>
        <w:t>进行划分</w:t>
      </w:r>
      <w:r>
        <w:rPr>
          <w:rFonts w:ascii="Times New Roman" w:eastAsia="宋体"/>
          <w:sz w:val="24"/>
          <w:szCs w:val="24"/>
        </w:rPr>
        <w:t>，每</w:t>
      </w:r>
      <w:r>
        <w:rPr>
          <w:rFonts w:hint="eastAsia" w:ascii="Times New Roman" w:eastAsia="宋体"/>
          <w:sz w:val="24"/>
          <w:szCs w:val="24"/>
        </w:rPr>
        <w:t>个</w:t>
      </w:r>
      <w:r>
        <w:rPr>
          <w:rFonts w:ascii="Times New Roman" w:eastAsia="宋体"/>
          <w:sz w:val="24"/>
          <w:szCs w:val="24"/>
        </w:rPr>
        <w:t>检测单元的墙体长度不宜超过</w:t>
      </w:r>
      <w:r>
        <w:rPr>
          <w:rFonts w:hint="eastAsia" w:ascii="Times New Roman" w:eastAsia="宋体"/>
          <w:sz w:val="24"/>
          <w:szCs w:val="24"/>
        </w:rPr>
        <w:t>2</w:t>
      </w:r>
      <w:r>
        <w:rPr>
          <w:rFonts w:ascii="Times New Roman" w:eastAsia="宋体"/>
          <w:sz w:val="24"/>
          <w:szCs w:val="24"/>
        </w:rPr>
        <w:t>0m；以槽段为基础划分检测单元时，每个单元宜包括2</w:t>
      </w:r>
      <w:r>
        <w:rPr>
          <w:rFonts w:hint="eastAsia" w:ascii="Times New Roman" w:eastAsia="宋体"/>
          <w:sz w:val="24"/>
          <w:szCs w:val="24"/>
        </w:rPr>
        <w:t>个</w:t>
      </w:r>
      <w:r>
        <w:rPr>
          <w:rFonts w:ascii="Times New Roman" w:eastAsia="宋体"/>
          <w:sz w:val="24"/>
          <w:szCs w:val="24"/>
        </w:rPr>
        <w:t>~3个槽段。</w:t>
      </w:r>
      <w:bookmarkEnd w:id="231"/>
    </w:p>
    <w:p w14:paraId="29B9E4E3">
      <w:pPr>
        <w:pStyle w:val="71"/>
        <w:ind w:firstLine="480"/>
        <w:rPr>
          <w:rStyle w:val="42"/>
          <w:rFonts w:ascii="Times New Roman" w:eastAsia="仿宋"/>
          <w:kern w:val="2"/>
          <w:sz w:val="24"/>
          <w:szCs w:val="24"/>
        </w:rPr>
      </w:pPr>
      <w:r>
        <w:rPr>
          <w:rStyle w:val="42"/>
          <w:rFonts w:hint="eastAsia" w:ascii="Times New Roman" w:eastAsia="仿宋"/>
          <w:kern w:val="2"/>
          <w:sz w:val="24"/>
          <w:szCs w:val="24"/>
        </w:rPr>
        <w:t>条文说明：</w:t>
      </w:r>
    </w:p>
    <w:p w14:paraId="1AFA3F29">
      <w:pPr>
        <w:pStyle w:val="71"/>
        <w:ind w:firstLine="480"/>
        <w:rPr>
          <w:rFonts w:ascii="Times New Roman" w:eastAsiaTheme="minorEastAsia"/>
        </w:rPr>
      </w:pPr>
      <w:r>
        <w:rPr>
          <w:rStyle w:val="42"/>
          <w:rFonts w:hint="eastAsia" w:ascii="Times New Roman" w:eastAsia="仿宋"/>
          <w:kern w:val="2"/>
          <w:sz w:val="24"/>
          <w:szCs w:val="24"/>
        </w:rPr>
        <w:t xml:space="preserve">6.1.2  </w:t>
      </w:r>
      <w:r>
        <w:rPr>
          <w:rStyle w:val="42"/>
          <w:rFonts w:ascii="Times New Roman" w:eastAsia="仿宋"/>
          <w:kern w:val="2"/>
          <w:sz w:val="24"/>
          <w:szCs w:val="24"/>
        </w:rPr>
        <w:t>检测单元的墙体长度宜10~</w:t>
      </w:r>
      <w:r>
        <w:rPr>
          <w:rStyle w:val="42"/>
          <w:rFonts w:hint="eastAsia" w:ascii="Times New Roman" w:eastAsia="仿宋"/>
          <w:kern w:val="2"/>
          <w:sz w:val="24"/>
          <w:szCs w:val="24"/>
        </w:rPr>
        <w:t>2</w:t>
      </w:r>
      <w:r>
        <w:rPr>
          <w:rStyle w:val="42"/>
          <w:rFonts w:ascii="Times New Roman" w:eastAsia="仿宋"/>
          <w:kern w:val="2"/>
          <w:sz w:val="24"/>
          <w:szCs w:val="24"/>
        </w:rPr>
        <w:t>0m较为经济可行。</w:t>
      </w:r>
    </w:p>
    <w:bookmarkEnd w:id="232"/>
    <w:p w14:paraId="63A92586">
      <w:pPr>
        <w:pStyle w:val="119"/>
        <w:numPr>
          <w:ilvl w:val="0"/>
          <w:numId w:val="0"/>
        </w:numPr>
        <w:spacing w:before="156" w:after="156" w:line="360" w:lineRule="auto"/>
        <w:jc w:val="center"/>
        <w:rPr>
          <w:rFonts w:ascii="Times New Roman" w:eastAsia="宋体"/>
          <w:b/>
          <w:bCs/>
          <w:sz w:val="28"/>
          <w:szCs w:val="24"/>
        </w:rPr>
      </w:pPr>
      <w:bookmarkStart w:id="233" w:name="_Toc192078871"/>
      <w:bookmarkStart w:id="234" w:name="_Toc193447631"/>
      <w:bookmarkStart w:id="235" w:name="_Toc196124354"/>
      <w:bookmarkStart w:id="236" w:name="_Toc195717758"/>
      <w:bookmarkStart w:id="237" w:name="_Toc181955329"/>
      <w:bookmarkStart w:id="238" w:name="_Toc193447693"/>
      <w:r>
        <w:rPr>
          <w:rFonts w:hint="eastAsia" w:ascii="Times New Roman" w:eastAsia="宋体"/>
          <w:b/>
          <w:bCs/>
          <w:sz w:val="28"/>
          <w:szCs w:val="24"/>
        </w:rPr>
        <w:t>6</w:t>
      </w:r>
      <w:r>
        <w:rPr>
          <w:rFonts w:ascii="Times New Roman" w:eastAsia="宋体"/>
          <w:b/>
          <w:bCs/>
          <w:sz w:val="28"/>
          <w:szCs w:val="24"/>
        </w:rPr>
        <w:t>.2 墙体完整性检测</w:t>
      </w:r>
      <w:bookmarkEnd w:id="233"/>
      <w:bookmarkEnd w:id="234"/>
      <w:bookmarkEnd w:id="235"/>
      <w:bookmarkEnd w:id="236"/>
      <w:bookmarkEnd w:id="237"/>
      <w:bookmarkEnd w:id="238"/>
    </w:p>
    <w:p w14:paraId="691BEC47">
      <w:pPr>
        <w:pStyle w:val="81"/>
        <w:numPr>
          <w:ilvl w:val="0"/>
          <w:numId w:val="0"/>
        </w:numPr>
        <w:spacing w:before="0" w:beforeLines="0" w:after="0" w:afterLines="0" w:line="360" w:lineRule="auto"/>
        <w:outlineLvl w:val="9"/>
        <w:rPr>
          <w:rFonts w:ascii="Times New Roman"/>
          <w:sz w:val="24"/>
          <w:szCs w:val="24"/>
        </w:rPr>
      </w:pPr>
      <w:bookmarkStart w:id="239" w:name="_Toc193447643"/>
      <w:bookmarkStart w:id="240" w:name="_Toc193447632"/>
      <w:bookmarkStart w:id="241" w:name="_Toc181955331"/>
      <w:bookmarkStart w:id="242" w:name="_Toc181955334"/>
      <w:r>
        <w:rPr>
          <w:rFonts w:ascii="Times New Roman" w:eastAsia="宋体"/>
          <w:b/>
          <w:bCs/>
          <w:sz w:val="24"/>
          <w:szCs w:val="24"/>
        </w:rPr>
        <w:t>6.</w:t>
      </w:r>
      <w:r>
        <w:rPr>
          <w:rFonts w:hint="eastAsia" w:ascii="Times New Roman" w:eastAsia="宋体"/>
          <w:b/>
          <w:bCs/>
          <w:sz w:val="24"/>
          <w:szCs w:val="24"/>
        </w:rPr>
        <w:t>2</w:t>
      </w:r>
      <w:r>
        <w:rPr>
          <w:rFonts w:ascii="Times New Roman" w:eastAsia="宋体"/>
          <w:b/>
          <w:bCs/>
          <w:sz w:val="24"/>
          <w:szCs w:val="24"/>
        </w:rPr>
        <w:t>.</w:t>
      </w:r>
      <w:r>
        <w:rPr>
          <w:rFonts w:hint="eastAsia" w:ascii="Times New Roman" w:eastAsia="宋体"/>
          <w:b/>
          <w:bCs/>
          <w:sz w:val="24"/>
          <w:szCs w:val="24"/>
        </w:rPr>
        <w:t>1</w:t>
      </w:r>
      <w:r>
        <w:rPr>
          <w:rFonts w:ascii="Times New Roman" w:eastAsia="宋体"/>
          <w:b/>
          <w:bCs/>
          <w:sz w:val="24"/>
          <w:szCs w:val="24"/>
        </w:rPr>
        <w:t xml:space="preserve"> </w:t>
      </w:r>
      <w:bookmarkEnd w:id="239"/>
      <w:r>
        <w:rPr>
          <w:rFonts w:ascii="Times New Roman" w:eastAsia="宋体"/>
          <w:sz w:val="24"/>
          <w:szCs w:val="22"/>
        </w:rPr>
        <w:t>应根据</w:t>
      </w:r>
      <w:r>
        <w:rPr>
          <w:rFonts w:hint="eastAsia" w:ascii="Times New Roman" w:eastAsia="宋体"/>
          <w:sz w:val="24"/>
          <w:szCs w:val="22"/>
        </w:rPr>
        <w:t>直流电法、电磁法、浅层地震法和孔中检测法的检测结果</w:t>
      </w:r>
      <w:r>
        <w:rPr>
          <w:rFonts w:ascii="Times New Roman" w:eastAsia="宋体"/>
          <w:sz w:val="24"/>
          <w:szCs w:val="22"/>
        </w:rPr>
        <w:t>确定</w:t>
      </w:r>
      <w:r>
        <w:rPr>
          <w:rFonts w:hint="eastAsia" w:ascii="Times New Roman" w:eastAsia="宋体"/>
          <w:sz w:val="24"/>
          <w:szCs w:val="22"/>
        </w:rPr>
        <w:t>垂直防渗</w:t>
      </w:r>
      <w:r>
        <w:rPr>
          <w:rFonts w:ascii="Times New Roman" w:eastAsia="宋体"/>
          <w:sz w:val="24"/>
          <w:szCs w:val="22"/>
        </w:rPr>
        <w:t>墙体</w:t>
      </w:r>
      <w:r>
        <w:rPr>
          <w:rFonts w:hint="eastAsia" w:ascii="Times New Roman" w:eastAsia="宋体"/>
          <w:sz w:val="24"/>
          <w:szCs w:val="22"/>
        </w:rPr>
        <w:t>完整性</w:t>
      </w:r>
      <w:r>
        <w:rPr>
          <w:rFonts w:ascii="Times New Roman" w:eastAsia="宋体"/>
          <w:sz w:val="24"/>
          <w:szCs w:val="22"/>
        </w:rPr>
        <w:t>情况，</w:t>
      </w:r>
      <w:r>
        <w:rPr>
          <w:rFonts w:hint="eastAsia" w:ascii="Times New Roman" w:eastAsia="宋体"/>
          <w:sz w:val="24"/>
          <w:szCs w:val="22"/>
        </w:rPr>
        <w:t>并</w:t>
      </w:r>
      <w:r>
        <w:rPr>
          <w:rFonts w:ascii="Times New Roman" w:eastAsia="宋体"/>
          <w:sz w:val="24"/>
          <w:szCs w:val="22"/>
        </w:rPr>
        <w:t>依据异常位置和范围确定缺陷位置和规模</w:t>
      </w:r>
      <w:r>
        <w:rPr>
          <w:rFonts w:hint="eastAsia" w:ascii="Times New Roman" w:eastAsia="宋体"/>
          <w:sz w:val="24"/>
          <w:szCs w:val="22"/>
        </w:rPr>
        <w:t>。</w:t>
      </w:r>
    </w:p>
    <w:p w14:paraId="3D01DDAB">
      <w:pPr>
        <w:pStyle w:val="123"/>
        <w:numPr>
          <w:ilvl w:val="0"/>
          <w:numId w:val="0"/>
        </w:numPr>
        <w:spacing w:line="360" w:lineRule="auto"/>
        <w:rPr>
          <w:rFonts w:ascii="Times New Roman"/>
          <w:sz w:val="24"/>
          <w:szCs w:val="22"/>
        </w:rPr>
      </w:pPr>
      <w:r>
        <w:rPr>
          <w:rFonts w:hint="eastAsia" w:ascii="Times New Roman"/>
          <w:b/>
          <w:bCs/>
          <w:sz w:val="24"/>
          <w:szCs w:val="22"/>
        </w:rPr>
        <w:t>6</w:t>
      </w:r>
      <w:r>
        <w:rPr>
          <w:rFonts w:ascii="Times New Roman"/>
          <w:b/>
          <w:bCs/>
          <w:sz w:val="24"/>
          <w:szCs w:val="22"/>
        </w:rPr>
        <w:t>.2.</w:t>
      </w:r>
      <w:r>
        <w:rPr>
          <w:rFonts w:hint="eastAsia" w:ascii="Times New Roman"/>
          <w:b/>
          <w:bCs/>
          <w:sz w:val="24"/>
          <w:szCs w:val="22"/>
        </w:rPr>
        <w:t xml:space="preserve">2 </w:t>
      </w:r>
      <w:r>
        <w:rPr>
          <w:rFonts w:hint="eastAsia" w:ascii="Times New Roman"/>
          <w:sz w:val="24"/>
          <w:szCs w:val="22"/>
        </w:rPr>
        <w:t>孔中检测法宜利用取芯钻孔进行；跨孔弹性波CT剖面应反演计算波速断面图；钻孔全景光学成像检测成果</w:t>
      </w:r>
      <w:r>
        <w:rPr>
          <w:rFonts w:ascii="Times New Roman"/>
          <w:sz w:val="24"/>
          <w:szCs w:val="24"/>
        </w:rPr>
        <w:t>应统计渗漏、不密实、裂隙等缺陷的位置分布情况</w:t>
      </w:r>
      <w:r>
        <w:rPr>
          <w:rFonts w:hint="eastAsia" w:ascii="Times New Roman"/>
          <w:sz w:val="24"/>
          <w:szCs w:val="22"/>
        </w:rPr>
        <w:t>。</w:t>
      </w:r>
      <w:bookmarkEnd w:id="240"/>
    </w:p>
    <w:bookmarkEnd w:id="241"/>
    <w:p w14:paraId="68FBAB82">
      <w:pPr>
        <w:pStyle w:val="119"/>
        <w:numPr>
          <w:ilvl w:val="0"/>
          <w:numId w:val="0"/>
        </w:numPr>
        <w:spacing w:before="156" w:after="156" w:line="360" w:lineRule="auto"/>
        <w:jc w:val="center"/>
        <w:rPr>
          <w:rFonts w:ascii="Times New Roman" w:eastAsia="宋体"/>
          <w:b/>
          <w:bCs/>
          <w:sz w:val="28"/>
          <w:szCs w:val="24"/>
        </w:rPr>
      </w:pPr>
      <w:bookmarkStart w:id="243" w:name="_Toc193447694"/>
      <w:bookmarkStart w:id="244" w:name="_Toc195717759"/>
      <w:bookmarkStart w:id="245" w:name="_Toc196124355"/>
      <w:bookmarkStart w:id="246" w:name="_Toc192078872"/>
      <w:bookmarkStart w:id="247" w:name="_Toc193447635"/>
      <w:r>
        <w:rPr>
          <w:rFonts w:hint="eastAsia" w:ascii="Times New Roman" w:eastAsia="宋体"/>
          <w:b/>
          <w:bCs/>
          <w:sz w:val="28"/>
          <w:szCs w:val="24"/>
        </w:rPr>
        <w:t>6</w:t>
      </w:r>
      <w:r>
        <w:rPr>
          <w:rFonts w:ascii="Times New Roman" w:eastAsia="宋体"/>
          <w:b/>
          <w:bCs/>
          <w:sz w:val="28"/>
          <w:szCs w:val="24"/>
        </w:rPr>
        <w:t>.3 物理</w:t>
      </w:r>
      <w:r>
        <w:rPr>
          <w:rFonts w:hint="eastAsia" w:ascii="Times New Roman" w:eastAsia="宋体"/>
          <w:b/>
          <w:bCs/>
          <w:sz w:val="28"/>
          <w:szCs w:val="24"/>
        </w:rPr>
        <w:t>性质</w:t>
      </w:r>
      <w:r>
        <w:rPr>
          <w:rFonts w:ascii="Times New Roman" w:eastAsia="宋体"/>
          <w:b/>
          <w:bCs/>
          <w:sz w:val="28"/>
          <w:szCs w:val="24"/>
        </w:rPr>
        <w:t>指标检测</w:t>
      </w:r>
      <w:bookmarkEnd w:id="242"/>
      <w:bookmarkEnd w:id="243"/>
      <w:bookmarkEnd w:id="244"/>
      <w:bookmarkEnd w:id="245"/>
      <w:bookmarkEnd w:id="246"/>
      <w:bookmarkEnd w:id="247"/>
    </w:p>
    <w:p w14:paraId="5CF15E3D">
      <w:pPr>
        <w:pStyle w:val="81"/>
        <w:numPr>
          <w:ilvl w:val="0"/>
          <w:numId w:val="0"/>
        </w:numPr>
        <w:spacing w:before="0" w:beforeLines="0" w:after="0" w:afterLines="0" w:line="360" w:lineRule="auto"/>
        <w:outlineLvl w:val="9"/>
        <w:rPr>
          <w:rFonts w:ascii="Times New Roman" w:eastAsia="宋体"/>
          <w:sz w:val="24"/>
          <w:szCs w:val="24"/>
        </w:rPr>
      </w:pPr>
      <w:bookmarkStart w:id="248" w:name="_Toc193447636"/>
      <w:r>
        <w:rPr>
          <w:rFonts w:hint="eastAsia" w:ascii="Times New Roman" w:eastAsia="宋体"/>
          <w:b/>
          <w:bCs/>
          <w:sz w:val="24"/>
          <w:szCs w:val="24"/>
        </w:rPr>
        <w:t>6</w:t>
      </w:r>
      <w:r>
        <w:rPr>
          <w:rFonts w:ascii="Times New Roman" w:eastAsia="宋体"/>
          <w:b/>
          <w:bCs/>
          <w:sz w:val="24"/>
          <w:szCs w:val="24"/>
        </w:rPr>
        <w:t>.3.1</w:t>
      </w:r>
      <w:r>
        <w:rPr>
          <w:rFonts w:ascii="Times New Roman" w:eastAsia="宋体"/>
          <w:sz w:val="24"/>
          <w:szCs w:val="24"/>
        </w:rPr>
        <w:t xml:space="preserve"> 渗透系数、无侧限抗压强度</w:t>
      </w:r>
      <w:r>
        <w:rPr>
          <w:rFonts w:hint="eastAsia" w:ascii="Times New Roman" w:eastAsia="宋体"/>
          <w:sz w:val="24"/>
          <w:szCs w:val="24"/>
        </w:rPr>
        <w:t>、墙体深度、厚度</w:t>
      </w:r>
      <w:r>
        <w:rPr>
          <w:rFonts w:ascii="Times New Roman" w:eastAsia="宋体"/>
          <w:sz w:val="24"/>
          <w:szCs w:val="24"/>
        </w:rPr>
        <w:t>每个</w:t>
      </w:r>
      <w:r>
        <w:rPr>
          <w:rFonts w:hint="eastAsia" w:ascii="Times New Roman" w:eastAsia="宋体"/>
          <w:sz w:val="24"/>
          <w:szCs w:val="24"/>
        </w:rPr>
        <w:t>检测</w:t>
      </w:r>
      <w:r>
        <w:rPr>
          <w:rFonts w:ascii="Times New Roman" w:eastAsia="宋体"/>
          <w:sz w:val="24"/>
          <w:szCs w:val="24"/>
        </w:rPr>
        <w:t>单元不</w:t>
      </w:r>
      <w:r>
        <w:rPr>
          <w:rFonts w:hint="eastAsia" w:ascii="Times New Roman" w:eastAsia="宋体"/>
          <w:sz w:val="24"/>
          <w:szCs w:val="24"/>
        </w:rPr>
        <w:t>应</w:t>
      </w:r>
      <w:r>
        <w:rPr>
          <w:rFonts w:ascii="Times New Roman" w:eastAsia="宋体"/>
          <w:sz w:val="24"/>
          <w:szCs w:val="24"/>
        </w:rPr>
        <w:t>少于1个测点；且检测</w:t>
      </w:r>
      <w:r>
        <w:rPr>
          <w:rFonts w:hint="eastAsia" w:ascii="Times New Roman" w:eastAsia="宋体"/>
          <w:sz w:val="24"/>
          <w:szCs w:val="24"/>
        </w:rPr>
        <w:t>点</w:t>
      </w:r>
      <w:r>
        <w:rPr>
          <w:rFonts w:ascii="Times New Roman" w:eastAsia="宋体"/>
          <w:sz w:val="24"/>
          <w:szCs w:val="24"/>
        </w:rPr>
        <w:t>总数不</w:t>
      </w:r>
      <w:r>
        <w:rPr>
          <w:rFonts w:hint="eastAsia" w:ascii="Times New Roman" w:eastAsia="宋体"/>
          <w:sz w:val="24"/>
          <w:szCs w:val="24"/>
        </w:rPr>
        <w:t>应</w:t>
      </w:r>
      <w:r>
        <w:rPr>
          <w:rFonts w:ascii="Times New Roman" w:eastAsia="宋体"/>
          <w:sz w:val="24"/>
          <w:szCs w:val="24"/>
        </w:rPr>
        <w:t>少于3个。</w:t>
      </w:r>
      <w:bookmarkEnd w:id="248"/>
    </w:p>
    <w:p w14:paraId="752C996D">
      <w:pPr>
        <w:pStyle w:val="81"/>
        <w:numPr>
          <w:ilvl w:val="0"/>
          <w:numId w:val="0"/>
        </w:numPr>
        <w:spacing w:before="0" w:beforeLines="0" w:after="0" w:afterLines="0" w:line="360" w:lineRule="auto"/>
        <w:outlineLvl w:val="9"/>
      </w:pPr>
      <w:r>
        <w:rPr>
          <w:rFonts w:hint="eastAsia" w:ascii="Times New Roman" w:eastAsia="宋体"/>
          <w:b/>
          <w:bCs/>
          <w:sz w:val="24"/>
          <w:szCs w:val="24"/>
        </w:rPr>
        <w:t>6</w:t>
      </w:r>
      <w:r>
        <w:rPr>
          <w:rFonts w:ascii="Times New Roman" w:eastAsia="宋体"/>
          <w:b/>
          <w:bCs/>
          <w:sz w:val="24"/>
          <w:szCs w:val="24"/>
        </w:rPr>
        <w:t>.3.2</w:t>
      </w:r>
      <w:r>
        <w:rPr>
          <w:rFonts w:ascii="Times New Roman" w:eastAsia="宋体"/>
          <w:sz w:val="24"/>
          <w:szCs w:val="24"/>
        </w:rPr>
        <w:t xml:space="preserve"> </w:t>
      </w:r>
      <w:r>
        <w:rPr>
          <w:rFonts w:hint="eastAsia" w:ascii="Times New Roman" w:eastAsia="宋体"/>
          <w:sz w:val="24"/>
          <w:szCs w:val="24"/>
        </w:rPr>
        <w:t>水泥系垂直防渗墙宜进行2</w:t>
      </w:r>
      <w:r>
        <w:rPr>
          <w:rFonts w:ascii="Times New Roman" w:eastAsia="宋体"/>
          <w:sz w:val="24"/>
          <w:szCs w:val="24"/>
        </w:rPr>
        <w:t>8d</w:t>
      </w:r>
      <w:r>
        <w:rPr>
          <w:rFonts w:hint="eastAsia" w:ascii="Times New Roman" w:eastAsia="宋体"/>
          <w:sz w:val="24"/>
          <w:szCs w:val="24"/>
        </w:rPr>
        <w:t>龄期无侧限抗压强度试验；塑性混凝土垂直防渗墙宜进行2</w:t>
      </w:r>
      <w:r>
        <w:rPr>
          <w:rFonts w:ascii="Times New Roman" w:eastAsia="宋体"/>
          <w:sz w:val="24"/>
          <w:szCs w:val="24"/>
        </w:rPr>
        <w:t>8d</w:t>
      </w:r>
      <w:r>
        <w:rPr>
          <w:rFonts w:hint="eastAsia" w:ascii="Times New Roman" w:eastAsia="宋体"/>
          <w:sz w:val="24"/>
          <w:szCs w:val="24"/>
        </w:rPr>
        <w:t>龄期抗压强度试验</w:t>
      </w:r>
      <w:r>
        <w:rPr>
          <w:rFonts w:ascii="Times New Roman" w:eastAsia="宋体"/>
          <w:sz w:val="24"/>
          <w:szCs w:val="24"/>
        </w:rPr>
        <w:t>。</w:t>
      </w:r>
    </w:p>
    <w:p w14:paraId="5B1E74A6">
      <w:pPr>
        <w:pStyle w:val="81"/>
        <w:numPr>
          <w:ilvl w:val="0"/>
          <w:numId w:val="0"/>
        </w:numPr>
        <w:spacing w:before="0" w:beforeLines="0" w:after="0" w:afterLines="0" w:line="360" w:lineRule="auto"/>
        <w:outlineLvl w:val="9"/>
        <w:rPr>
          <w:rFonts w:ascii="Times New Roman" w:eastAsia="宋体"/>
          <w:sz w:val="24"/>
          <w:szCs w:val="24"/>
        </w:rPr>
      </w:pPr>
      <w:bookmarkStart w:id="249" w:name="_Toc193447638"/>
      <w:r>
        <w:rPr>
          <w:rFonts w:hint="eastAsia" w:ascii="Times New Roman" w:eastAsia="宋体"/>
          <w:b/>
          <w:bCs/>
          <w:sz w:val="24"/>
          <w:szCs w:val="24"/>
        </w:rPr>
        <w:t>6</w:t>
      </w:r>
      <w:r>
        <w:rPr>
          <w:rFonts w:ascii="Times New Roman" w:eastAsia="宋体"/>
          <w:b/>
          <w:bCs/>
          <w:sz w:val="24"/>
          <w:szCs w:val="24"/>
        </w:rPr>
        <w:t>.3.3</w:t>
      </w:r>
      <w:r>
        <w:rPr>
          <w:rFonts w:ascii="Times New Roman" w:eastAsia="宋体"/>
          <w:sz w:val="24"/>
          <w:szCs w:val="24"/>
        </w:rPr>
        <w:t xml:space="preserve"> 对垂直防渗墙深度及孔中全景成像检测时</w:t>
      </w:r>
      <w:r>
        <w:rPr>
          <w:rFonts w:hint="eastAsia" w:ascii="Times New Roman" w:eastAsia="宋体"/>
          <w:sz w:val="24"/>
          <w:szCs w:val="24"/>
        </w:rPr>
        <w:t>，</w:t>
      </w:r>
      <w:r>
        <w:rPr>
          <w:rFonts w:ascii="Times New Roman" w:eastAsia="宋体"/>
          <w:sz w:val="24"/>
          <w:szCs w:val="24"/>
        </w:rPr>
        <w:t>宜利用压</w:t>
      </w:r>
      <w:r>
        <w:rPr>
          <w:rFonts w:hint="eastAsia" w:ascii="Times New Roman" w:eastAsia="宋体"/>
          <w:sz w:val="24"/>
          <w:szCs w:val="24"/>
        </w:rPr>
        <w:t>、</w:t>
      </w:r>
      <w:r>
        <w:rPr>
          <w:rFonts w:ascii="Times New Roman" w:eastAsia="宋体"/>
          <w:sz w:val="24"/>
          <w:szCs w:val="24"/>
        </w:rPr>
        <w:t>注水试验孔同步开展。</w:t>
      </w:r>
      <w:bookmarkEnd w:id="249"/>
    </w:p>
    <w:p w14:paraId="07952256">
      <w:pPr>
        <w:pStyle w:val="119"/>
        <w:numPr>
          <w:ilvl w:val="0"/>
          <w:numId w:val="0"/>
        </w:numPr>
        <w:spacing w:before="156" w:after="156" w:line="360" w:lineRule="auto"/>
        <w:jc w:val="center"/>
        <w:rPr>
          <w:rFonts w:ascii="Times New Roman" w:eastAsia="宋体"/>
          <w:b/>
          <w:bCs/>
          <w:sz w:val="28"/>
          <w:szCs w:val="24"/>
        </w:rPr>
      </w:pPr>
      <w:bookmarkStart w:id="250" w:name="_Toc193447695"/>
      <w:bookmarkStart w:id="251" w:name="_Toc193447639"/>
      <w:bookmarkStart w:id="252" w:name="_Toc192078873"/>
      <w:bookmarkStart w:id="253" w:name="_Toc195717760"/>
      <w:bookmarkStart w:id="254" w:name="_Toc181955336"/>
      <w:bookmarkStart w:id="255" w:name="_Toc196124356"/>
      <w:r>
        <w:rPr>
          <w:rFonts w:hint="eastAsia" w:ascii="Times New Roman" w:eastAsia="宋体"/>
          <w:b/>
          <w:bCs/>
          <w:sz w:val="28"/>
          <w:szCs w:val="24"/>
        </w:rPr>
        <w:t>6</w:t>
      </w:r>
      <w:r>
        <w:rPr>
          <w:rFonts w:ascii="Times New Roman" w:eastAsia="宋体"/>
          <w:b/>
          <w:bCs/>
          <w:sz w:val="28"/>
          <w:szCs w:val="24"/>
        </w:rPr>
        <w:t xml:space="preserve">.4 </w:t>
      </w:r>
      <w:bookmarkEnd w:id="250"/>
      <w:bookmarkEnd w:id="251"/>
      <w:bookmarkEnd w:id="252"/>
      <w:bookmarkEnd w:id="253"/>
      <w:bookmarkEnd w:id="254"/>
      <w:r>
        <w:rPr>
          <w:rFonts w:ascii="Times New Roman" w:eastAsia="宋体"/>
          <w:b/>
          <w:bCs/>
          <w:sz w:val="28"/>
          <w:szCs w:val="24"/>
        </w:rPr>
        <w:t>检测</w:t>
      </w:r>
      <w:r>
        <w:rPr>
          <w:rFonts w:hint="eastAsia" w:ascii="Times New Roman" w:eastAsia="宋体"/>
          <w:b/>
          <w:bCs/>
          <w:sz w:val="28"/>
          <w:szCs w:val="24"/>
        </w:rPr>
        <w:t>结论</w:t>
      </w:r>
      <w:bookmarkEnd w:id="255"/>
    </w:p>
    <w:p w14:paraId="3BBB4200">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6</w:t>
      </w:r>
      <w:r>
        <w:rPr>
          <w:rFonts w:ascii="Times New Roman" w:eastAsia="宋体"/>
          <w:b/>
          <w:bCs/>
          <w:sz w:val="24"/>
          <w:szCs w:val="22"/>
        </w:rPr>
        <w:t>.4.</w:t>
      </w:r>
      <w:r>
        <w:rPr>
          <w:rFonts w:hint="eastAsia" w:ascii="Times New Roman" w:eastAsia="宋体"/>
          <w:b/>
          <w:bCs/>
          <w:sz w:val="24"/>
          <w:szCs w:val="22"/>
        </w:rPr>
        <w:t>1</w:t>
      </w:r>
      <w:r>
        <w:rPr>
          <w:rFonts w:ascii="Times New Roman" w:eastAsia="宋体"/>
          <w:sz w:val="24"/>
          <w:szCs w:val="22"/>
        </w:rPr>
        <w:t xml:space="preserve"> </w:t>
      </w:r>
      <w:r>
        <w:rPr>
          <w:rFonts w:hint="eastAsia" w:ascii="Times New Roman" w:eastAsia="宋体"/>
          <w:sz w:val="24"/>
          <w:szCs w:val="22"/>
        </w:rPr>
        <w:t>单层垂直防渗墙</w:t>
      </w:r>
      <w:r>
        <w:rPr>
          <w:rFonts w:ascii="Times New Roman" w:eastAsia="宋体"/>
          <w:sz w:val="24"/>
          <w:szCs w:val="22"/>
        </w:rPr>
        <w:t>的渗透系数</w:t>
      </w:r>
      <w:r>
        <w:rPr>
          <w:rFonts w:hint="eastAsia" w:ascii="Times New Roman" w:eastAsia="宋体"/>
          <w:sz w:val="24"/>
          <w:szCs w:val="24"/>
        </w:rPr>
        <w:t>符合设计及规范规定的要求时，应判为合格</w:t>
      </w:r>
      <w:r>
        <w:rPr>
          <w:rFonts w:ascii="Times New Roman" w:eastAsia="宋体"/>
          <w:sz w:val="24"/>
          <w:szCs w:val="22"/>
        </w:rPr>
        <w:t>。</w:t>
      </w:r>
    </w:p>
    <w:p w14:paraId="0F27707D">
      <w:pPr>
        <w:pStyle w:val="81"/>
        <w:numPr>
          <w:ilvl w:val="3"/>
          <w:numId w:val="0"/>
        </w:numPr>
        <w:spacing w:before="0" w:beforeLines="0" w:after="0" w:afterLines="0" w:line="360" w:lineRule="auto"/>
        <w:outlineLvl w:val="9"/>
        <w:rPr>
          <w:rFonts w:ascii="Times New Roman" w:eastAsia="仿宋"/>
          <w:sz w:val="22"/>
          <w:szCs w:val="22"/>
        </w:rPr>
      </w:pPr>
      <w:r>
        <w:rPr>
          <w:rFonts w:ascii="Times New Roman" w:eastAsia="仿宋"/>
          <w:sz w:val="22"/>
          <w:szCs w:val="22"/>
        </w:rPr>
        <w:t>条文说明：</w:t>
      </w:r>
    </w:p>
    <w:p w14:paraId="2375C0CA">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6</w:t>
      </w:r>
      <w:r>
        <w:rPr>
          <w:rFonts w:ascii="Times New Roman" w:eastAsia="宋体"/>
          <w:b/>
          <w:bCs/>
          <w:sz w:val="24"/>
          <w:szCs w:val="22"/>
        </w:rPr>
        <w:t>.4.</w:t>
      </w:r>
      <w:r>
        <w:rPr>
          <w:rFonts w:hint="eastAsia" w:ascii="Times New Roman" w:eastAsia="宋体"/>
          <w:b/>
          <w:bCs/>
          <w:sz w:val="24"/>
          <w:szCs w:val="22"/>
        </w:rPr>
        <w:t>2</w:t>
      </w:r>
      <w:r>
        <w:rPr>
          <w:rFonts w:ascii="Times New Roman" w:eastAsia="宋体"/>
          <w:sz w:val="24"/>
          <w:szCs w:val="22"/>
        </w:rPr>
        <w:t xml:space="preserve"> </w:t>
      </w:r>
      <w:r>
        <w:rPr>
          <w:rFonts w:hint="eastAsia" w:ascii="Times New Roman" w:eastAsia="宋体"/>
          <w:sz w:val="24"/>
          <w:szCs w:val="22"/>
        </w:rPr>
        <w:t>单层垂直防渗墙的抗压或无侧限抗压强度</w:t>
      </w:r>
      <w:r>
        <w:rPr>
          <w:rFonts w:ascii="Times New Roman" w:eastAsia="宋体"/>
          <w:sz w:val="24"/>
          <w:szCs w:val="22"/>
        </w:rPr>
        <w:t>符合设计</w:t>
      </w:r>
      <w:r>
        <w:rPr>
          <w:rFonts w:hint="eastAsia" w:ascii="Times New Roman" w:eastAsia="宋体"/>
          <w:sz w:val="24"/>
          <w:szCs w:val="22"/>
        </w:rPr>
        <w:t>及规范</w:t>
      </w:r>
      <w:r>
        <w:rPr>
          <w:rFonts w:hint="eastAsia" w:ascii="Times New Roman" w:eastAsia="宋体"/>
          <w:sz w:val="24"/>
          <w:szCs w:val="24"/>
        </w:rPr>
        <w:t>规定的</w:t>
      </w:r>
      <w:r>
        <w:rPr>
          <w:rFonts w:ascii="Times New Roman" w:eastAsia="宋体"/>
          <w:sz w:val="24"/>
          <w:szCs w:val="22"/>
        </w:rPr>
        <w:t>要求</w:t>
      </w:r>
      <w:r>
        <w:rPr>
          <w:rFonts w:hint="eastAsia" w:ascii="Times New Roman" w:eastAsia="宋体"/>
          <w:sz w:val="24"/>
          <w:szCs w:val="22"/>
        </w:rPr>
        <w:t>时</w:t>
      </w:r>
      <w:r>
        <w:rPr>
          <w:rFonts w:hint="eastAsia" w:ascii="Times New Roman" w:eastAsia="宋体"/>
          <w:sz w:val="24"/>
          <w:szCs w:val="24"/>
        </w:rPr>
        <w:t>，应判为合格</w:t>
      </w:r>
      <w:r>
        <w:rPr>
          <w:rFonts w:ascii="Times New Roman" w:eastAsia="宋体"/>
          <w:sz w:val="24"/>
          <w:szCs w:val="22"/>
        </w:rPr>
        <w:t>。</w:t>
      </w:r>
    </w:p>
    <w:p w14:paraId="06027B7A">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6</w:t>
      </w:r>
      <w:r>
        <w:rPr>
          <w:rFonts w:ascii="Times New Roman" w:eastAsia="宋体"/>
          <w:b/>
          <w:bCs/>
          <w:sz w:val="24"/>
          <w:szCs w:val="22"/>
        </w:rPr>
        <w:t>.4.</w:t>
      </w:r>
      <w:r>
        <w:rPr>
          <w:rFonts w:hint="eastAsia" w:ascii="Times New Roman" w:eastAsia="宋体"/>
          <w:b/>
          <w:bCs/>
          <w:sz w:val="24"/>
          <w:szCs w:val="22"/>
        </w:rPr>
        <w:t>3</w:t>
      </w:r>
      <w:r>
        <w:rPr>
          <w:rFonts w:ascii="Times New Roman" w:eastAsia="宋体"/>
          <w:sz w:val="24"/>
          <w:szCs w:val="22"/>
        </w:rPr>
        <w:t xml:space="preserve"> </w:t>
      </w:r>
      <w:r>
        <w:rPr>
          <w:rFonts w:hint="eastAsia" w:ascii="Times New Roman" w:eastAsia="宋体"/>
          <w:sz w:val="24"/>
          <w:szCs w:val="22"/>
        </w:rPr>
        <w:t>单层垂直防渗墙的深度</w:t>
      </w:r>
      <w:r>
        <w:rPr>
          <w:rFonts w:ascii="Times New Roman" w:eastAsia="宋体"/>
          <w:sz w:val="24"/>
          <w:szCs w:val="22"/>
        </w:rPr>
        <w:t>符合设计</w:t>
      </w:r>
      <w:r>
        <w:rPr>
          <w:rFonts w:hint="eastAsia" w:ascii="Times New Roman" w:eastAsia="宋体"/>
          <w:sz w:val="24"/>
          <w:szCs w:val="22"/>
        </w:rPr>
        <w:t>及规范</w:t>
      </w:r>
      <w:r>
        <w:rPr>
          <w:rFonts w:ascii="Times New Roman" w:eastAsia="宋体"/>
          <w:sz w:val="24"/>
          <w:szCs w:val="22"/>
        </w:rPr>
        <w:t>规定的要求</w:t>
      </w:r>
      <w:r>
        <w:rPr>
          <w:rFonts w:hint="eastAsia" w:ascii="Times New Roman" w:eastAsia="宋体"/>
          <w:sz w:val="24"/>
          <w:szCs w:val="24"/>
        </w:rPr>
        <w:t>，应判为合格</w:t>
      </w:r>
      <w:r>
        <w:rPr>
          <w:rFonts w:ascii="Times New Roman" w:eastAsia="宋体"/>
          <w:sz w:val="24"/>
          <w:szCs w:val="22"/>
        </w:rPr>
        <w:t>。</w:t>
      </w:r>
    </w:p>
    <w:p w14:paraId="4F1BFD97">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6</w:t>
      </w:r>
      <w:r>
        <w:rPr>
          <w:rFonts w:ascii="Times New Roman" w:eastAsia="宋体"/>
          <w:b/>
          <w:bCs/>
          <w:sz w:val="24"/>
          <w:szCs w:val="22"/>
        </w:rPr>
        <w:t>.4.</w:t>
      </w:r>
      <w:r>
        <w:rPr>
          <w:rFonts w:hint="eastAsia" w:ascii="Times New Roman" w:eastAsia="宋体"/>
          <w:b/>
          <w:bCs/>
          <w:sz w:val="24"/>
          <w:szCs w:val="22"/>
        </w:rPr>
        <w:t>4</w:t>
      </w:r>
      <w:r>
        <w:rPr>
          <w:rFonts w:ascii="Times New Roman" w:eastAsia="宋体"/>
          <w:sz w:val="24"/>
          <w:szCs w:val="22"/>
        </w:rPr>
        <w:t xml:space="preserve"> </w:t>
      </w:r>
      <w:r>
        <w:rPr>
          <w:rFonts w:hint="eastAsia" w:ascii="Times New Roman" w:eastAsia="宋体"/>
          <w:sz w:val="24"/>
          <w:szCs w:val="22"/>
        </w:rPr>
        <w:t>单层垂直防渗墙的厚度</w:t>
      </w:r>
      <w:r>
        <w:rPr>
          <w:rFonts w:ascii="Times New Roman" w:eastAsia="宋体"/>
          <w:sz w:val="24"/>
          <w:szCs w:val="22"/>
        </w:rPr>
        <w:t>符合设计</w:t>
      </w:r>
      <w:r>
        <w:rPr>
          <w:rFonts w:hint="eastAsia" w:ascii="Times New Roman" w:eastAsia="宋体"/>
          <w:sz w:val="24"/>
          <w:szCs w:val="22"/>
        </w:rPr>
        <w:t>及规范</w:t>
      </w:r>
      <w:r>
        <w:rPr>
          <w:rFonts w:ascii="Times New Roman" w:eastAsia="宋体"/>
          <w:sz w:val="24"/>
          <w:szCs w:val="22"/>
        </w:rPr>
        <w:t>规定的要求</w:t>
      </w:r>
      <w:r>
        <w:rPr>
          <w:rFonts w:hint="eastAsia" w:ascii="Times New Roman" w:eastAsia="宋体"/>
          <w:sz w:val="24"/>
          <w:szCs w:val="24"/>
        </w:rPr>
        <w:t>，应判为合格</w:t>
      </w:r>
      <w:r>
        <w:rPr>
          <w:rFonts w:ascii="Times New Roman" w:eastAsia="宋体"/>
          <w:sz w:val="24"/>
          <w:szCs w:val="22"/>
        </w:rPr>
        <w:t>。</w:t>
      </w:r>
    </w:p>
    <w:p w14:paraId="2AC13A85">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6</w:t>
      </w:r>
      <w:r>
        <w:rPr>
          <w:rFonts w:ascii="Times New Roman" w:eastAsia="宋体"/>
          <w:b/>
          <w:bCs/>
          <w:sz w:val="24"/>
          <w:szCs w:val="22"/>
        </w:rPr>
        <w:t>.4.</w:t>
      </w:r>
      <w:r>
        <w:rPr>
          <w:rFonts w:hint="eastAsia" w:ascii="Times New Roman" w:eastAsia="宋体"/>
          <w:b/>
          <w:bCs/>
          <w:sz w:val="24"/>
          <w:szCs w:val="22"/>
        </w:rPr>
        <w:t>5</w:t>
      </w:r>
      <w:r>
        <w:rPr>
          <w:rFonts w:ascii="Times New Roman" w:eastAsia="宋体"/>
          <w:sz w:val="24"/>
          <w:szCs w:val="22"/>
        </w:rPr>
        <w:t xml:space="preserve"> </w:t>
      </w:r>
      <w:r>
        <w:rPr>
          <w:rFonts w:hint="eastAsia" w:ascii="Times New Roman" w:eastAsia="宋体"/>
          <w:sz w:val="24"/>
          <w:szCs w:val="22"/>
        </w:rPr>
        <w:t>单层垂直防渗墙完整性应</w:t>
      </w:r>
      <w:r>
        <w:rPr>
          <w:rFonts w:ascii="Times New Roman" w:eastAsia="宋体"/>
          <w:sz w:val="24"/>
          <w:szCs w:val="22"/>
        </w:rPr>
        <w:t>按</w:t>
      </w:r>
      <w:r>
        <w:rPr>
          <w:rFonts w:hint="eastAsia" w:ascii="Times New Roman" w:eastAsia="宋体"/>
          <w:sz w:val="24"/>
          <w:szCs w:val="22"/>
        </w:rPr>
        <w:t>附录C初步判断，结合钻芯法等验证试验</w:t>
      </w:r>
      <w:r>
        <w:rPr>
          <w:rFonts w:ascii="Times New Roman" w:eastAsia="宋体"/>
          <w:sz w:val="24"/>
          <w:szCs w:val="22"/>
        </w:rPr>
        <w:t>综合判定。</w:t>
      </w:r>
    </w:p>
    <w:p w14:paraId="6F0CC3F9">
      <w:pPr>
        <w:pStyle w:val="123"/>
        <w:numPr>
          <w:ilvl w:val="0"/>
          <w:numId w:val="0"/>
        </w:numPr>
        <w:ind w:left="1276"/>
        <w:rPr>
          <w:rFonts w:ascii="Times New Roman"/>
        </w:rPr>
      </w:pPr>
    </w:p>
    <w:p w14:paraId="0D0B1CCD">
      <w:pPr>
        <w:pStyle w:val="71"/>
        <w:ind w:firstLine="420"/>
        <w:rPr>
          <w:rFonts w:ascii="Times New Roman"/>
        </w:rPr>
        <w:sectPr>
          <w:headerReference r:id="rId23" w:type="default"/>
          <w:footerReference r:id="rId25" w:type="default"/>
          <w:headerReference r:id="rId24" w:type="even"/>
          <w:footerReference r:id="rId26" w:type="even"/>
          <w:pgSz w:w="11906" w:h="16838"/>
          <w:pgMar w:top="1440" w:right="1797" w:bottom="1440" w:left="1797" w:header="1418" w:footer="1134" w:gutter="0"/>
          <w:cols w:space="425" w:num="1"/>
          <w:formProt w:val="0"/>
          <w:docGrid w:type="lines" w:linePitch="312" w:charSpace="0"/>
        </w:sectPr>
      </w:pPr>
    </w:p>
    <w:p w14:paraId="2B614E78">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256" w:name="_Toc193447696"/>
      <w:bookmarkStart w:id="257" w:name="_Toc181955337"/>
      <w:bookmarkStart w:id="258" w:name="_Toc193447644"/>
      <w:bookmarkStart w:id="259" w:name="_Toc192078874"/>
      <w:bookmarkStart w:id="260" w:name="_Toc196124357"/>
      <w:r>
        <w:rPr>
          <w:rFonts w:hint="eastAsia" w:ascii="Times New Roman" w:hAnsi="Times New Roman"/>
          <w:b/>
          <w:sz w:val="36"/>
          <w:szCs w:val="36"/>
        </w:rPr>
        <w:t>7</w:t>
      </w:r>
      <w:r>
        <w:rPr>
          <w:rFonts w:ascii="Times New Roman" w:hAnsi="Times New Roman"/>
          <w:b/>
          <w:sz w:val="36"/>
          <w:szCs w:val="36"/>
        </w:rPr>
        <w:t xml:space="preserve"> 复合垂直防渗墙质量检测</w:t>
      </w:r>
      <w:bookmarkEnd w:id="256"/>
      <w:bookmarkEnd w:id="257"/>
      <w:bookmarkEnd w:id="258"/>
      <w:bookmarkEnd w:id="259"/>
      <w:bookmarkEnd w:id="260"/>
    </w:p>
    <w:p w14:paraId="74D3FADA">
      <w:pPr>
        <w:pStyle w:val="119"/>
        <w:numPr>
          <w:ilvl w:val="0"/>
          <w:numId w:val="0"/>
        </w:numPr>
        <w:spacing w:before="156" w:after="156" w:line="360" w:lineRule="auto"/>
        <w:jc w:val="center"/>
        <w:rPr>
          <w:rFonts w:ascii="Times New Roman" w:eastAsia="宋体"/>
          <w:b/>
          <w:bCs/>
          <w:sz w:val="28"/>
          <w:szCs w:val="24"/>
        </w:rPr>
      </w:pPr>
      <w:bookmarkStart w:id="261" w:name="_Toc181955338"/>
      <w:bookmarkStart w:id="262" w:name="_Toc193447645"/>
      <w:bookmarkStart w:id="263" w:name="_Toc196124358"/>
      <w:bookmarkStart w:id="264" w:name="_Toc193447697"/>
      <w:bookmarkStart w:id="265" w:name="_Toc195717761"/>
      <w:bookmarkStart w:id="266" w:name="_Toc192078875"/>
      <w:r>
        <w:rPr>
          <w:rFonts w:hint="eastAsia" w:ascii="Times New Roman" w:eastAsia="宋体"/>
          <w:b/>
          <w:bCs/>
          <w:sz w:val="28"/>
          <w:szCs w:val="24"/>
        </w:rPr>
        <w:t>7</w:t>
      </w:r>
      <w:r>
        <w:rPr>
          <w:rFonts w:ascii="Times New Roman" w:eastAsia="宋体"/>
          <w:b/>
          <w:bCs/>
          <w:sz w:val="28"/>
          <w:szCs w:val="24"/>
        </w:rPr>
        <w:t>.1 一般规定</w:t>
      </w:r>
      <w:bookmarkEnd w:id="261"/>
      <w:bookmarkEnd w:id="262"/>
      <w:bookmarkEnd w:id="263"/>
      <w:bookmarkEnd w:id="264"/>
      <w:bookmarkEnd w:id="265"/>
      <w:bookmarkEnd w:id="266"/>
    </w:p>
    <w:p w14:paraId="0A1A46FF">
      <w:pPr>
        <w:pStyle w:val="81"/>
        <w:numPr>
          <w:ilvl w:val="0"/>
          <w:numId w:val="0"/>
        </w:numPr>
        <w:spacing w:before="0" w:beforeLines="0" w:after="0" w:afterLines="0" w:line="360" w:lineRule="auto"/>
        <w:outlineLvl w:val="9"/>
        <w:rPr>
          <w:rFonts w:ascii="Times New Roman" w:eastAsia="宋体"/>
          <w:sz w:val="24"/>
          <w:szCs w:val="24"/>
        </w:rPr>
      </w:pPr>
      <w:bookmarkStart w:id="267" w:name="_Toc193447646"/>
      <w:bookmarkStart w:id="268" w:name="_Toc181955339"/>
      <w:r>
        <w:rPr>
          <w:rFonts w:ascii="Times New Roman" w:eastAsia="宋体"/>
          <w:b/>
          <w:bCs/>
          <w:sz w:val="24"/>
          <w:szCs w:val="24"/>
        </w:rPr>
        <w:t>7.1.1</w:t>
      </w:r>
      <w:r>
        <w:rPr>
          <w:rFonts w:ascii="Times New Roman" w:eastAsia="宋体"/>
          <w:sz w:val="24"/>
          <w:szCs w:val="24"/>
        </w:rPr>
        <w:t xml:space="preserve"> 检测</w:t>
      </w:r>
      <w:r>
        <w:rPr>
          <w:rFonts w:hint="eastAsia" w:ascii="Times New Roman" w:eastAsia="宋体"/>
          <w:sz w:val="24"/>
          <w:szCs w:val="24"/>
        </w:rPr>
        <w:t>项目</w:t>
      </w:r>
      <w:r>
        <w:rPr>
          <w:rFonts w:ascii="Times New Roman" w:eastAsia="宋体"/>
          <w:sz w:val="24"/>
          <w:szCs w:val="24"/>
        </w:rPr>
        <w:t>应</w:t>
      </w:r>
      <w:r>
        <w:rPr>
          <w:rFonts w:hint="eastAsia" w:ascii="Times New Roman" w:eastAsia="宋体"/>
          <w:sz w:val="24"/>
          <w:szCs w:val="24"/>
        </w:rPr>
        <w:t>包含</w:t>
      </w:r>
      <w:r>
        <w:rPr>
          <w:rFonts w:ascii="Times New Roman" w:eastAsia="宋体"/>
          <w:sz w:val="24"/>
          <w:szCs w:val="24"/>
        </w:rPr>
        <w:t>渗透系数、抗压强度、墙体完整性、墙体深度、厚度、</w:t>
      </w:r>
      <w:r>
        <w:rPr>
          <w:rFonts w:hint="eastAsia" w:ascii="Times New Roman" w:eastAsia="宋体"/>
          <w:sz w:val="24"/>
          <w:szCs w:val="24"/>
        </w:rPr>
        <w:t>水动力</w:t>
      </w:r>
      <w:r>
        <w:rPr>
          <w:rFonts w:ascii="Times New Roman" w:eastAsia="宋体"/>
          <w:sz w:val="24"/>
          <w:szCs w:val="24"/>
        </w:rPr>
        <w:t>弥散系数</w:t>
      </w:r>
      <w:r>
        <w:rPr>
          <w:rFonts w:hint="eastAsia" w:ascii="Times New Roman" w:eastAsia="宋体"/>
          <w:sz w:val="24"/>
          <w:szCs w:val="24"/>
        </w:rPr>
        <w:t>、阻滞因子、搭接宽度、焊缝强度</w:t>
      </w:r>
      <w:r>
        <w:rPr>
          <w:rFonts w:ascii="Times New Roman" w:eastAsia="宋体"/>
          <w:sz w:val="24"/>
          <w:szCs w:val="24"/>
        </w:rPr>
        <w:t>。</w:t>
      </w:r>
      <w:bookmarkEnd w:id="267"/>
      <w:bookmarkEnd w:id="268"/>
    </w:p>
    <w:p w14:paraId="30104073">
      <w:pPr>
        <w:pStyle w:val="81"/>
        <w:numPr>
          <w:ilvl w:val="0"/>
          <w:numId w:val="0"/>
        </w:numPr>
        <w:spacing w:before="0" w:beforeLines="0" w:after="0" w:afterLines="0" w:line="360" w:lineRule="auto"/>
        <w:outlineLvl w:val="9"/>
        <w:rPr>
          <w:rFonts w:ascii="Times New Roman" w:eastAsia="宋体"/>
          <w:sz w:val="24"/>
          <w:szCs w:val="24"/>
        </w:rPr>
      </w:pPr>
      <w:bookmarkStart w:id="269" w:name="_Toc193447647"/>
      <w:r>
        <w:rPr>
          <w:rFonts w:hint="eastAsia" w:ascii="Times New Roman" w:eastAsia="宋体"/>
          <w:b/>
          <w:bCs/>
          <w:sz w:val="24"/>
          <w:szCs w:val="24"/>
        </w:rPr>
        <w:t>7</w:t>
      </w:r>
      <w:r>
        <w:rPr>
          <w:rFonts w:ascii="Times New Roman" w:eastAsia="宋体"/>
          <w:b/>
          <w:bCs/>
          <w:sz w:val="24"/>
          <w:szCs w:val="24"/>
        </w:rPr>
        <w:t>.1.2</w:t>
      </w:r>
      <w:r>
        <w:rPr>
          <w:rFonts w:ascii="Times New Roman" w:eastAsia="宋体"/>
          <w:sz w:val="24"/>
          <w:szCs w:val="24"/>
        </w:rPr>
        <w:t xml:space="preserve"> 检测单元</w:t>
      </w:r>
      <w:r>
        <w:rPr>
          <w:rFonts w:hint="eastAsia" w:ascii="Times New Roman" w:eastAsia="宋体"/>
          <w:sz w:val="24"/>
          <w:szCs w:val="24"/>
        </w:rPr>
        <w:t>的划分</w:t>
      </w:r>
      <w:r>
        <w:rPr>
          <w:rFonts w:ascii="Times New Roman" w:eastAsia="宋体"/>
          <w:sz w:val="24"/>
          <w:szCs w:val="22"/>
        </w:rPr>
        <w:t>应符合本规程第6.1.2</w:t>
      </w:r>
      <w:r>
        <w:rPr>
          <w:rFonts w:hint="eastAsia" w:ascii="Times New Roman" w:eastAsia="宋体"/>
          <w:sz w:val="24"/>
          <w:szCs w:val="22"/>
        </w:rPr>
        <w:t>条</w:t>
      </w:r>
      <w:r>
        <w:rPr>
          <w:rFonts w:ascii="Times New Roman" w:eastAsia="宋体"/>
          <w:sz w:val="24"/>
          <w:szCs w:val="22"/>
        </w:rPr>
        <w:t>的规定</w:t>
      </w:r>
      <w:r>
        <w:rPr>
          <w:rFonts w:hint="eastAsia" w:ascii="Times New Roman" w:eastAsia="宋体"/>
          <w:sz w:val="24"/>
          <w:szCs w:val="22"/>
        </w:rPr>
        <w:t>。</w:t>
      </w:r>
    </w:p>
    <w:bookmarkEnd w:id="269"/>
    <w:p w14:paraId="03D28059">
      <w:pPr>
        <w:pStyle w:val="81"/>
        <w:numPr>
          <w:ilvl w:val="0"/>
          <w:numId w:val="0"/>
        </w:numPr>
        <w:spacing w:before="0" w:beforeLines="0" w:after="0" w:afterLines="0" w:line="360" w:lineRule="auto"/>
        <w:outlineLvl w:val="9"/>
        <w:rPr>
          <w:rFonts w:ascii="Times New Roman" w:eastAsia="宋体"/>
          <w:sz w:val="24"/>
          <w:szCs w:val="24"/>
        </w:rPr>
      </w:pPr>
      <w:bookmarkStart w:id="270" w:name="_Toc193447648"/>
      <w:bookmarkStart w:id="271" w:name="_Toc181955340"/>
      <w:r>
        <w:rPr>
          <w:rFonts w:hint="eastAsia" w:ascii="Times New Roman" w:eastAsia="宋体"/>
          <w:b/>
          <w:bCs/>
          <w:sz w:val="24"/>
          <w:szCs w:val="24"/>
        </w:rPr>
        <w:t>7</w:t>
      </w:r>
      <w:r>
        <w:rPr>
          <w:rFonts w:ascii="Times New Roman" w:eastAsia="宋体"/>
          <w:b/>
          <w:bCs/>
          <w:sz w:val="24"/>
          <w:szCs w:val="24"/>
        </w:rPr>
        <w:t>.1.3</w:t>
      </w:r>
      <w:r>
        <w:rPr>
          <w:rFonts w:ascii="Times New Roman" w:eastAsia="宋体"/>
          <w:sz w:val="24"/>
          <w:szCs w:val="24"/>
        </w:rPr>
        <w:t xml:space="preserve"> 复合垂直防渗墙中土工</w:t>
      </w:r>
      <w:r>
        <w:rPr>
          <w:rFonts w:hint="eastAsia" w:ascii="Times New Roman" w:eastAsia="宋体"/>
          <w:sz w:val="24"/>
          <w:szCs w:val="24"/>
        </w:rPr>
        <w:t>合成</w:t>
      </w:r>
      <w:r>
        <w:rPr>
          <w:rFonts w:ascii="Times New Roman" w:eastAsia="宋体"/>
          <w:sz w:val="24"/>
          <w:szCs w:val="24"/>
        </w:rPr>
        <w:t>材料的检测除应符合本规程外，尚应符合</w:t>
      </w:r>
      <w:r>
        <w:rPr>
          <w:rFonts w:hint="eastAsia" w:ascii="Times New Roman" w:eastAsia="宋体"/>
          <w:sz w:val="24"/>
          <w:szCs w:val="24"/>
        </w:rPr>
        <w:t>现行国家标准</w:t>
      </w:r>
      <w:r>
        <w:rPr>
          <w:rFonts w:ascii="Times New Roman" w:eastAsia="宋体"/>
          <w:sz w:val="24"/>
          <w:szCs w:val="24"/>
        </w:rPr>
        <w:t>《土工合成材料应用技术规范》GB/T 50290的规定。</w:t>
      </w:r>
      <w:bookmarkEnd w:id="270"/>
      <w:bookmarkEnd w:id="271"/>
    </w:p>
    <w:p w14:paraId="36CCF455">
      <w:pPr>
        <w:pStyle w:val="119"/>
        <w:numPr>
          <w:ilvl w:val="0"/>
          <w:numId w:val="0"/>
        </w:numPr>
        <w:spacing w:before="156" w:after="156" w:line="360" w:lineRule="auto"/>
        <w:jc w:val="center"/>
        <w:rPr>
          <w:rFonts w:ascii="Times New Roman" w:eastAsia="宋体"/>
          <w:b/>
          <w:bCs/>
          <w:sz w:val="28"/>
          <w:szCs w:val="24"/>
        </w:rPr>
      </w:pPr>
      <w:bookmarkStart w:id="272" w:name="_Toc192078876"/>
      <w:bookmarkStart w:id="273" w:name="_Toc195717762"/>
      <w:bookmarkStart w:id="274" w:name="_Toc193447649"/>
      <w:bookmarkStart w:id="275" w:name="_Toc196124359"/>
      <w:bookmarkStart w:id="276" w:name="_Toc193447698"/>
      <w:bookmarkStart w:id="277" w:name="_Toc181955342"/>
      <w:r>
        <w:rPr>
          <w:rFonts w:ascii="Times New Roman" w:eastAsia="宋体"/>
          <w:b/>
          <w:bCs/>
          <w:sz w:val="28"/>
          <w:szCs w:val="24"/>
        </w:rPr>
        <w:t>7.2 墙体完整性检测</w:t>
      </w:r>
      <w:bookmarkEnd w:id="272"/>
      <w:bookmarkEnd w:id="273"/>
      <w:bookmarkEnd w:id="274"/>
      <w:bookmarkEnd w:id="275"/>
      <w:bookmarkEnd w:id="276"/>
      <w:bookmarkEnd w:id="277"/>
    </w:p>
    <w:p w14:paraId="3FB8C410">
      <w:pPr>
        <w:pStyle w:val="81"/>
        <w:numPr>
          <w:ilvl w:val="0"/>
          <w:numId w:val="0"/>
        </w:numPr>
        <w:spacing w:before="0" w:beforeLines="0" w:after="0" w:afterLines="0" w:line="360" w:lineRule="auto"/>
        <w:outlineLvl w:val="9"/>
        <w:rPr>
          <w:rFonts w:ascii="Times New Roman" w:eastAsia="宋体"/>
          <w:sz w:val="24"/>
          <w:szCs w:val="22"/>
        </w:rPr>
      </w:pPr>
      <w:bookmarkStart w:id="278" w:name="_Toc181955344"/>
      <w:bookmarkStart w:id="279" w:name="_Toc193447650"/>
      <w:r>
        <w:rPr>
          <w:rFonts w:hint="eastAsia" w:ascii="Times New Roman" w:eastAsia="宋体"/>
          <w:b/>
          <w:bCs/>
          <w:sz w:val="24"/>
          <w:szCs w:val="22"/>
        </w:rPr>
        <w:t>7</w:t>
      </w:r>
      <w:r>
        <w:rPr>
          <w:rFonts w:ascii="Times New Roman" w:eastAsia="宋体"/>
          <w:b/>
          <w:bCs/>
          <w:sz w:val="24"/>
          <w:szCs w:val="22"/>
        </w:rPr>
        <w:t>.2.1</w:t>
      </w:r>
      <w:r>
        <w:rPr>
          <w:rFonts w:ascii="Times New Roman" w:eastAsia="宋体"/>
          <w:sz w:val="24"/>
          <w:szCs w:val="22"/>
        </w:rPr>
        <w:t xml:space="preserve"> 高密度聚乙烯土工膜复合防渗墙的高密度聚乙烯土工膜完整性检测应采用双电极法</w:t>
      </w:r>
      <w:r>
        <w:rPr>
          <w:rFonts w:hint="eastAsia" w:ascii="Times New Roman" w:eastAsia="宋体"/>
          <w:sz w:val="24"/>
          <w:szCs w:val="22"/>
        </w:rPr>
        <w:t>或电火花法</w:t>
      </w:r>
      <w:r>
        <w:rPr>
          <w:rFonts w:ascii="Times New Roman" w:eastAsia="宋体"/>
          <w:sz w:val="24"/>
          <w:szCs w:val="22"/>
        </w:rPr>
        <w:t>。</w:t>
      </w:r>
      <w:bookmarkEnd w:id="278"/>
      <w:bookmarkEnd w:id="279"/>
    </w:p>
    <w:p w14:paraId="782C356B">
      <w:pPr>
        <w:pStyle w:val="81"/>
        <w:numPr>
          <w:ilvl w:val="0"/>
          <w:numId w:val="0"/>
        </w:numPr>
        <w:spacing w:before="0" w:beforeLines="0" w:after="0" w:afterLines="0" w:line="360" w:lineRule="auto"/>
        <w:outlineLvl w:val="9"/>
        <w:rPr>
          <w:rFonts w:ascii="Times New Roman" w:eastAsia="宋体"/>
          <w:sz w:val="24"/>
          <w:szCs w:val="22"/>
        </w:rPr>
      </w:pPr>
      <w:bookmarkStart w:id="280" w:name="_Toc193447651"/>
      <w:bookmarkStart w:id="281" w:name="_Toc181955345"/>
      <w:r>
        <w:rPr>
          <w:rFonts w:hint="eastAsia" w:ascii="Times New Roman" w:eastAsia="宋体"/>
          <w:b/>
          <w:bCs/>
          <w:sz w:val="24"/>
          <w:szCs w:val="22"/>
        </w:rPr>
        <w:t>7</w:t>
      </w:r>
      <w:r>
        <w:rPr>
          <w:rFonts w:ascii="Times New Roman" w:eastAsia="宋体"/>
          <w:b/>
          <w:bCs/>
          <w:sz w:val="24"/>
          <w:szCs w:val="22"/>
        </w:rPr>
        <w:t>.2.2</w:t>
      </w:r>
      <w:r>
        <w:rPr>
          <w:rFonts w:ascii="Times New Roman" w:eastAsia="宋体"/>
          <w:sz w:val="24"/>
          <w:szCs w:val="22"/>
        </w:rPr>
        <w:t xml:space="preserve"> 钠基膨润土防水毯复合防渗墙</w:t>
      </w:r>
      <w:r>
        <w:rPr>
          <w:rFonts w:hint="eastAsia" w:ascii="Times New Roman" w:eastAsia="宋体"/>
          <w:sz w:val="24"/>
          <w:szCs w:val="22"/>
        </w:rPr>
        <w:t>宜</w:t>
      </w:r>
      <w:r>
        <w:rPr>
          <w:rFonts w:ascii="Times New Roman" w:eastAsia="宋体"/>
          <w:sz w:val="24"/>
          <w:szCs w:val="22"/>
        </w:rPr>
        <w:t>采用探坑开挖的方式进行浅部</w:t>
      </w:r>
      <w:r>
        <w:rPr>
          <w:rFonts w:hint="eastAsia" w:ascii="Times New Roman" w:eastAsia="宋体"/>
          <w:sz w:val="24"/>
          <w:szCs w:val="22"/>
        </w:rPr>
        <w:t>搭接</w:t>
      </w:r>
      <w:r>
        <w:rPr>
          <w:rFonts w:ascii="Times New Roman" w:eastAsia="宋体"/>
          <w:sz w:val="24"/>
          <w:szCs w:val="22"/>
        </w:rPr>
        <w:t>部位检测，抽检数量不少于总</w:t>
      </w:r>
      <w:r>
        <w:rPr>
          <w:rFonts w:hint="eastAsia" w:ascii="Times New Roman" w:eastAsia="宋体"/>
          <w:sz w:val="24"/>
          <w:szCs w:val="22"/>
        </w:rPr>
        <w:t>检测单元数</w:t>
      </w:r>
      <w:r>
        <w:rPr>
          <w:rFonts w:ascii="Times New Roman" w:eastAsia="宋体"/>
          <w:sz w:val="24"/>
          <w:szCs w:val="22"/>
        </w:rPr>
        <w:t>的10%，且符合设计要求。</w:t>
      </w:r>
      <w:bookmarkEnd w:id="280"/>
      <w:bookmarkEnd w:id="281"/>
    </w:p>
    <w:p w14:paraId="3F8953C7">
      <w:pPr>
        <w:pStyle w:val="81"/>
        <w:numPr>
          <w:ilvl w:val="0"/>
          <w:numId w:val="0"/>
        </w:numPr>
        <w:spacing w:before="0" w:beforeLines="0" w:after="0" w:afterLines="0" w:line="360" w:lineRule="auto"/>
        <w:outlineLvl w:val="9"/>
        <w:rPr>
          <w:rFonts w:ascii="Times New Roman" w:eastAsia="宋体"/>
          <w:sz w:val="24"/>
          <w:szCs w:val="22"/>
        </w:rPr>
      </w:pPr>
      <w:bookmarkStart w:id="282" w:name="_Toc181955343"/>
      <w:bookmarkStart w:id="283" w:name="_Toc193447652"/>
      <w:r>
        <w:rPr>
          <w:rFonts w:hint="eastAsia" w:ascii="Times New Roman" w:eastAsia="宋体"/>
          <w:b/>
          <w:bCs/>
          <w:sz w:val="24"/>
          <w:szCs w:val="22"/>
        </w:rPr>
        <w:t>7</w:t>
      </w:r>
      <w:r>
        <w:rPr>
          <w:rFonts w:ascii="Times New Roman" w:eastAsia="宋体"/>
          <w:b/>
          <w:bCs/>
          <w:sz w:val="24"/>
          <w:szCs w:val="22"/>
        </w:rPr>
        <w:t>.2.3</w:t>
      </w:r>
      <w:r>
        <w:rPr>
          <w:rFonts w:ascii="Times New Roman" w:eastAsia="宋体"/>
          <w:sz w:val="24"/>
          <w:szCs w:val="22"/>
        </w:rPr>
        <w:t xml:space="preserve"> 复合防渗墙墙体完整性检测应符合本规程第6章的规定。</w:t>
      </w:r>
      <w:bookmarkEnd w:id="282"/>
      <w:bookmarkEnd w:id="283"/>
    </w:p>
    <w:p w14:paraId="682DD8F5">
      <w:pPr>
        <w:pStyle w:val="119"/>
        <w:numPr>
          <w:ilvl w:val="0"/>
          <w:numId w:val="0"/>
        </w:numPr>
        <w:spacing w:before="156" w:after="156" w:line="360" w:lineRule="auto"/>
        <w:jc w:val="center"/>
        <w:rPr>
          <w:rFonts w:ascii="Times New Roman" w:eastAsia="宋体"/>
          <w:b/>
          <w:bCs/>
          <w:sz w:val="28"/>
          <w:szCs w:val="24"/>
        </w:rPr>
      </w:pPr>
      <w:bookmarkStart w:id="284" w:name="_Toc193447653"/>
      <w:bookmarkStart w:id="285" w:name="_Toc193447699"/>
      <w:bookmarkStart w:id="286" w:name="_Toc195717763"/>
      <w:bookmarkStart w:id="287" w:name="_Toc192078877"/>
      <w:bookmarkStart w:id="288" w:name="_Toc196124360"/>
      <w:bookmarkStart w:id="289" w:name="_Toc181955346"/>
      <w:r>
        <w:rPr>
          <w:rFonts w:hint="eastAsia" w:ascii="Times New Roman" w:eastAsia="宋体"/>
          <w:b/>
          <w:bCs/>
          <w:sz w:val="28"/>
          <w:szCs w:val="24"/>
        </w:rPr>
        <w:t>7</w:t>
      </w:r>
      <w:r>
        <w:rPr>
          <w:rFonts w:ascii="Times New Roman" w:eastAsia="宋体"/>
          <w:b/>
          <w:bCs/>
          <w:sz w:val="28"/>
          <w:szCs w:val="24"/>
        </w:rPr>
        <w:t>.3 物理</w:t>
      </w:r>
      <w:r>
        <w:rPr>
          <w:rFonts w:hint="eastAsia" w:ascii="Times New Roman" w:eastAsia="宋体"/>
          <w:b/>
          <w:bCs/>
          <w:sz w:val="28"/>
          <w:szCs w:val="24"/>
        </w:rPr>
        <w:t>性质</w:t>
      </w:r>
      <w:r>
        <w:rPr>
          <w:rFonts w:ascii="Times New Roman" w:eastAsia="宋体"/>
          <w:b/>
          <w:bCs/>
          <w:sz w:val="28"/>
          <w:szCs w:val="24"/>
        </w:rPr>
        <w:t>指标检测</w:t>
      </w:r>
      <w:bookmarkEnd w:id="284"/>
      <w:bookmarkEnd w:id="285"/>
      <w:bookmarkEnd w:id="286"/>
      <w:bookmarkEnd w:id="287"/>
      <w:bookmarkEnd w:id="288"/>
      <w:bookmarkEnd w:id="289"/>
    </w:p>
    <w:p w14:paraId="3A677D3C">
      <w:pPr>
        <w:pStyle w:val="81"/>
        <w:numPr>
          <w:ilvl w:val="0"/>
          <w:numId w:val="0"/>
        </w:numPr>
        <w:spacing w:before="0" w:beforeLines="0" w:after="0" w:afterLines="0" w:line="360" w:lineRule="auto"/>
        <w:outlineLvl w:val="9"/>
        <w:rPr>
          <w:rFonts w:ascii="Times New Roman" w:eastAsia="宋体"/>
          <w:sz w:val="24"/>
          <w:szCs w:val="22"/>
        </w:rPr>
      </w:pPr>
      <w:bookmarkStart w:id="290" w:name="_Toc193447656"/>
      <w:bookmarkStart w:id="291" w:name="_Toc181955348"/>
      <w:bookmarkStart w:id="292" w:name="_Toc193447654"/>
      <w:r>
        <w:rPr>
          <w:rFonts w:ascii="Times New Roman" w:eastAsia="宋体"/>
          <w:b/>
          <w:bCs/>
          <w:sz w:val="24"/>
          <w:szCs w:val="22"/>
        </w:rPr>
        <w:t>7.3.</w:t>
      </w:r>
      <w:r>
        <w:rPr>
          <w:rFonts w:hint="eastAsia" w:ascii="Times New Roman" w:eastAsia="宋体"/>
          <w:b/>
          <w:bCs/>
          <w:sz w:val="24"/>
          <w:szCs w:val="22"/>
        </w:rPr>
        <w:t>1</w:t>
      </w:r>
      <w:r>
        <w:rPr>
          <w:rFonts w:ascii="Times New Roman" w:eastAsia="宋体"/>
          <w:sz w:val="24"/>
          <w:szCs w:val="22"/>
        </w:rPr>
        <w:t xml:space="preserve"> 高密度聚乙烯土工膜复合垂直防渗墙工艺性试验检测时，</w:t>
      </w:r>
      <w:r>
        <w:rPr>
          <w:rFonts w:hint="eastAsia" w:ascii="Times New Roman" w:eastAsia="宋体"/>
          <w:sz w:val="24"/>
          <w:szCs w:val="22"/>
        </w:rPr>
        <w:t>焊缝强度</w:t>
      </w:r>
      <w:r>
        <w:rPr>
          <w:rFonts w:ascii="Times New Roman" w:eastAsia="宋体"/>
          <w:sz w:val="24"/>
          <w:szCs w:val="22"/>
        </w:rPr>
        <w:t>试验</w:t>
      </w:r>
      <w:r>
        <w:rPr>
          <w:rFonts w:hint="eastAsia" w:ascii="Times New Roman" w:eastAsia="宋体"/>
          <w:sz w:val="24"/>
          <w:szCs w:val="22"/>
        </w:rPr>
        <w:t>检测数量不应少于</w:t>
      </w:r>
      <w:r>
        <w:rPr>
          <w:rFonts w:ascii="Times New Roman" w:eastAsia="宋体"/>
          <w:sz w:val="24"/>
          <w:szCs w:val="22"/>
        </w:rPr>
        <w:t>1处</w:t>
      </w:r>
      <w:r>
        <w:rPr>
          <w:rFonts w:hint="eastAsia" w:ascii="Times New Roman" w:eastAsia="宋体"/>
          <w:sz w:val="24"/>
          <w:szCs w:val="22"/>
        </w:rPr>
        <w:t>搭接</w:t>
      </w:r>
      <w:r>
        <w:rPr>
          <w:rFonts w:ascii="Times New Roman" w:eastAsia="宋体"/>
          <w:sz w:val="24"/>
          <w:szCs w:val="22"/>
        </w:rPr>
        <w:t>部位</w:t>
      </w:r>
      <w:bookmarkStart w:id="293" w:name="_Toc181955349"/>
      <w:r>
        <w:rPr>
          <w:rFonts w:ascii="Times New Roman" w:eastAsia="宋体"/>
          <w:sz w:val="24"/>
          <w:szCs w:val="22"/>
        </w:rPr>
        <w:t>，试验步骤、数据处理等应符合</w:t>
      </w:r>
      <w:r>
        <w:rPr>
          <w:rFonts w:hint="eastAsia" w:ascii="Times New Roman" w:eastAsia="宋体"/>
          <w:sz w:val="24"/>
          <w:szCs w:val="24"/>
        </w:rPr>
        <w:t>现行行业标准</w:t>
      </w:r>
      <w:r>
        <w:rPr>
          <w:rFonts w:ascii="Times New Roman" w:eastAsia="宋体"/>
          <w:sz w:val="24"/>
          <w:szCs w:val="22"/>
        </w:rPr>
        <w:t>《生活垃圾卫生填埋场防渗系统工程技术标准》GB/T 51403的规定。</w:t>
      </w:r>
      <w:bookmarkEnd w:id="290"/>
      <w:bookmarkEnd w:id="293"/>
    </w:p>
    <w:p w14:paraId="24EEB2A6">
      <w:pPr>
        <w:pStyle w:val="81"/>
        <w:numPr>
          <w:ilvl w:val="0"/>
          <w:numId w:val="0"/>
        </w:numPr>
        <w:spacing w:before="0" w:beforeLines="0" w:after="0" w:afterLines="0" w:line="360" w:lineRule="auto"/>
        <w:outlineLvl w:val="9"/>
        <w:rPr>
          <w:rFonts w:ascii="Times New Roman" w:eastAsia="宋体"/>
          <w:sz w:val="24"/>
          <w:szCs w:val="22"/>
        </w:rPr>
      </w:pPr>
      <w:bookmarkStart w:id="294" w:name="_Toc181955350"/>
      <w:bookmarkStart w:id="295" w:name="_Toc193447657"/>
      <w:r>
        <w:rPr>
          <w:rFonts w:hint="eastAsia" w:ascii="Times New Roman" w:eastAsia="宋体"/>
          <w:b/>
          <w:bCs/>
          <w:sz w:val="24"/>
          <w:szCs w:val="22"/>
        </w:rPr>
        <w:t>7</w:t>
      </w:r>
      <w:r>
        <w:rPr>
          <w:rFonts w:ascii="Times New Roman" w:eastAsia="宋体"/>
          <w:b/>
          <w:bCs/>
          <w:sz w:val="24"/>
          <w:szCs w:val="22"/>
        </w:rPr>
        <w:t>.3.2</w:t>
      </w:r>
      <w:r>
        <w:rPr>
          <w:rFonts w:ascii="Times New Roman" w:eastAsia="宋体"/>
          <w:sz w:val="24"/>
          <w:szCs w:val="22"/>
        </w:rPr>
        <w:t xml:space="preserve"> </w:t>
      </w:r>
      <w:r>
        <w:rPr>
          <w:rFonts w:hint="eastAsia" w:ascii="Times New Roman" w:eastAsia="宋体"/>
          <w:sz w:val="24"/>
          <w:szCs w:val="22"/>
        </w:rPr>
        <w:t>用于</w:t>
      </w:r>
      <w:r>
        <w:rPr>
          <w:rFonts w:ascii="Times New Roman" w:eastAsia="宋体"/>
          <w:sz w:val="24"/>
          <w:szCs w:val="22"/>
        </w:rPr>
        <w:t>复合垂直防渗墙中高密度聚乙烯土工膜的</w:t>
      </w:r>
      <w:r>
        <w:rPr>
          <w:rFonts w:hint="eastAsia" w:ascii="Times New Roman" w:eastAsia="宋体"/>
          <w:sz w:val="24"/>
          <w:szCs w:val="22"/>
        </w:rPr>
        <w:t>渗透系数测定应符合</w:t>
      </w:r>
      <w:r>
        <w:rPr>
          <w:rFonts w:ascii="Times New Roman" w:eastAsia="宋体"/>
          <w:sz w:val="24"/>
          <w:szCs w:val="22"/>
        </w:rPr>
        <w:t>现行国家标准《土工合成材料防渗性能 第2部分</w:t>
      </w:r>
      <w:r>
        <w:rPr>
          <w:rFonts w:hint="eastAsia" w:ascii="Times New Roman" w:eastAsia="宋体"/>
          <w:sz w:val="24"/>
          <w:szCs w:val="22"/>
        </w:rPr>
        <w:t>：</w:t>
      </w:r>
      <w:r>
        <w:rPr>
          <w:rFonts w:ascii="Times New Roman" w:eastAsia="宋体"/>
          <w:sz w:val="24"/>
          <w:szCs w:val="22"/>
        </w:rPr>
        <w:t>渗透系数的测定》GB/T 19979.2的规定。</w:t>
      </w:r>
      <w:bookmarkEnd w:id="294"/>
      <w:bookmarkEnd w:id="295"/>
    </w:p>
    <w:p w14:paraId="196B4E77">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.3.3</w:t>
      </w:r>
      <w:r>
        <w:rPr>
          <w:rFonts w:ascii="Times New Roman" w:eastAsia="宋体"/>
          <w:sz w:val="24"/>
          <w:szCs w:val="22"/>
        </w:rPr>
        <w:t xml:space="preserve"> </w:t>
      </w:r>
      <w:r>
        <w:rPr>
          <w:rFonts w:hint="eastAsia" w:ascii="Times New Roman" w:eastAsia="宋体"/>
          <w:sz w:val="24"/>
          <w:szCs w:val="22"/>
        </w:rPr>
        <w:t>用于</w:t>
      </w:r>
      <w:r>
        <w:rPr>
          <w:rFonts w:ascii="Times New Roman" w:eastAsia="宋体"/>
          <w:sz w:val="24"/>
          <w:szCs w:val="22"/>
        </w:rPr>
        <w:t>复合垂直防渗墙中</w:t>
      </w:r>
      <w:r>
        <w:rPr>
          <w:rFonts w:hint="eastAsia" w:ascii="Times New Roman" w:eastAsia="宋体"/>
          <w:sz w:val="24"/>
          <w:szCs w:val="22"/>
        </w:rPr>
        <w:t>的</w:t>
      </w:r>
      <w:r>
        <w:rPr>
          <w:rFonts w:ascii="Times New Roman" w:eastAsia="宋体"/>
          <w:sz w:val="24"/>
          <w:szCs w:val="22"/>
        </w:rPr>
        <w:t>钠基膨润土防水毯</w:t>
      </w:r>
      <w:r>
        <w:rPr>
          <w:rFonts w:hint="eastAsia" w:ascii="Times New Roman" w:eastAsia="宋体"/>
          <w:sz w:val="24"/>
          <w:szCs w:val="22"/>
        </w:rPr>
        <w:t>的渗透系数测定</w:t>
      </w:r>
      <w:r>
        <w:rPr>
          <w:rFonts w:ascii="Times New Roman" w:eastAsia="宋体"/>
          <w:sz w:val="24"/>
          <w:szCs w:val="22"/>
        </w:rPr>
        <w:t>应</w:t>
      </w:r>
      <w:r>
        <w:rPr>
          <w:rFonts w:hint="eastAsia" w:ascii="Times New Roman" w:eastAsia="宋体"/>
          <w:sz w:val="24"/>
          <w:szCs w:val="22"/>
        </w:rPr>
        <w:t>符</w:t>
      </w:r>
      <w:r>
        <w:rPr>
          <w:rFonts w:ascii="Times New Roman" w:eastAsia="宋体"/>
          <w:sz w:val="24"/>
          <w:szCs w:val="22"/>
        </w:rPr>
        <w:t>合现行行业标准《钠基膨润土防水毯》JG/T</w:t>
      </w:r>
      <w:r>
        <w:rPr>
          <w:rFonts w:hint="eastAsia" w:ascii="Times New Roman" w:eastAsia="宋体"/>
          <w:sz w:val="24"/>
          <w:szCs w:val="22"/>
        </w:rPr>
        <w:t xml:space="preserve"> </w:t>
      </w:r>
      <w:r>
        <w:rPr>
          <w:rFonts w:ascii="Times New Roman" w:eastAsia="宋体"/>
          <w:sz w:val="24"/>
          <w:szCs w:val="22"/>
        </w:rPr>
        <w:t>193的规定。</w:t>
      </w:r>
      <w:bookmarkEnd w:id="291"/>
      <w:bookmarkEnd w:id="292"/>
    </w:p>
    <w:p w14:paraId="390A837F">
      <w:pPr>
        <w:pStyle w:val="71"/>
        <w:ind w:firstLine="480"/>
        <w:rPr>
          <w:rFonts w:ascii="仿宋" w:hAnsi="仿宋" w:eastAsia="仿宋" w:cs="仿宋"/>
        </w:rPr>
      </w:pPr>
      <w:r>
        <w:rPr>
          <w:rFonts w:hint="eastAsia" w:ascii="仿宋" w:hAnsi="仿宋" w:eastAsia="仿宋" w:cs="仿宋"/>
          <w:sz w:val="24"/>
          <w:szCs w:val="22"/>
        </w:rPr>
        <w:t>条文说明：7.3.</w:t>
      </w:r>
      <w:r>
        <w:rPr>
          <w:rFonts w:ascii="仿宋" w:hAnsi="仿宋" w:eastAsia="仿宋" w:cs="仿宋"/>
          <w:sz w:val="24"/>
          <w:szCs w:val="22"/>
        </w:rPr>
        <w:t>3</w:t>
      </w:r>
      <w:r>
        <w:rPr>
          <w:rFonts w:hint="eastAsia" w:ascii="仿宋" w:hAnsi="仿宋" w:eastAsia="仿宋" w:cs="仿宋"/>
          <w:sz w:val="24"/>
          <w:szCs w:val="22"/>
        </w:rPr>
        <w:t xml:space="preserve"> 渗透试验应采用原场地污染地下水进行。</w:t>
      </w:r>
    </w:p>
    <w:p w14:paraId="649DABEB">
      <w:pPr>
        <w:pStyle w:val="81"/>
        <w:numPr>
          <w:ilvl w:val="0"/>
          <w:numId w:val="0"/>
        </w:numPr>
        <w:spacing w:before="0" w:beforeLines="0" w:after="0" w:afterLines="0" w:line="360" w:lineRule="auto"/>
        <w:outlineLvl w:val="9"/>
        <w:rPr>
          <w:rFonts w:ascii="Times New Roman" w:eastAsia="宋体"/>
          <w:sz w:val="24"/>
          <w:szCs w:val="22"/>
        </w:rPr>
      </w:pPr>
      <w:bookmarkStart w:id="296" w:name="_Toc193447655"/>
      <w:r>
        <w:rPr>
          <w:rFonts w:ascii="Times New Roman" w:eastAsia="宋体"/>
          <w:b/>
          <w:bCs/>
          <w:sz w:val="24"/>
          <w:szCs w:val="22"/>
        </w:rPr>
        <w:t>7.3.4</w:t>
      </w:r>
      <w:r>
        <w:rPr>
          <w:rFonts w:ascii="Times New Roman" w:eastAsia="宋体"/>
          <w:sz w:val="24"/>
          <w:szCs w:val="22"/>
        </w:rPr>
        <w:t xml:space="preserve"> 每个检测单元在槽段的</w:t>
      </w:r>
      <w:r>
        <w:rPr>
          <w:rFonts w:hint="eastAsia" w:ascii="Times New Roman" w:eastAsia="宋体"/>
          <w:sz w:val="24"/>
          <w:szCs w:val="22"/>
        </w:rPr>
        <w:t>搭接</w:t>
      </w:r>
      <w:r>
        <w:rPr>
          <w:rFonts w:ascii="Times New Roman" w:eastAsia="宋体"/>
          <w:sz w:val="24"/>
          <w:szCs w:val="22"/>
        </w:rPr>
        <w:t>部位</w:t>
      </w:r>
      <w:r>
        <w:rPr>
          <w:rFonts w:hint="eastAsia" w:ascii="Times New Roman" w:eastAsia="宋体"/>
          <w:sz w:val="24"/>
          <w:szCs w:val="22"/>
        </w:rPr>
        <w:t>宜</w:t>
      </w:r>
      <w:r>
        <w:rPr>
          <w:rFonts w:ascii="Times New Roman" w:eastAsia="宋体"/>
          <w:sz w:val="24"/>
          <w:szCs w:val="22"/>
        </w:rPr>
        <w:t>采用探坑法检测土工材料的搭接宽度。</w:t>
      </w:r>
      <w:bookmarkEnd w:id="296"/>
    </w:p>
    <w:p w14:paraId="0CA2CCBC">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w:t>
      </w:r>
      <w:r>
        <w:rPr>
          <w:rFonts w:hint="eastAsia" w:ascii="Times New Roman" w:eastAsia="宋体"/>
          <w:b/>
          <w:bCs/>
          <w:sz w:val="24"/>
          <w:szCs w:val="22"/>
        </w:rPr>
        <w:t>3</w:t>
      </w:r>
      <w:r>
        <w:rPr>
          <w:rFonts w:ascii="Times New Roman" w:eastAsia="宋体"/>
          <w:b/>
          <w:bCs/>
          <w:sz w:val="24"/>
          <w:szCs w:val="22"/>
        </w:rPr>
        <w:t>.</w:t>
      </w:r>
      <w:r>
        <w:rPr>
          <w:rFonts w:hint="eastAsia" w:ascii="Times New Roman" w:eastAsia="宋体"/>
          <w:b/>
          <w:bCs/>
          <w:sz w:val="24"/>
          <w:szCs w:val="22"/>
        </w:rPr>
        <w:t>5</w:t>
      </w:r>
      <w:r>
        <w:rPr>
          <w:rFonts w:ascii="Times New Roman" w:eastAsia="宋体"/>
          <w:sz w:val="24"/>
          <w:szCs w:val="22"/>
        </w:rPr>
        <w:t xml:space="preserve"> 复合防渗墙墙体</w:t>
      </w:r>
      <w:r>
        <w:rPr>
          <w:rFonts w:hint="eastAsia" w:ascii="Times New Roman" w:eastAsia="宋体"/>
          <w:sz w:val="24"/>
          <w:szCs w:val="22"/>
        </w:rPr>
        <w:t>物理性质指标</w:t>
      </w:r>
      <w:r>
        <w:rPr>
          <w:rFonts w:ascii="Times New Roman" w:eastAsia="宋体"/>
          <w:sz w:val="24"/>
          <w:szCs w:val="22"/>
        </w:rPr>
        <w:t>检测应符合本规程第6章的规定。</w:t>
      </w:r>
    </w:p>
    <w:p w14:paraId="641A089D">
      <w:pPr>
        <w:pStyle w:val="119"/>
        <w:numPr>
          <w:ilvl w:val="0"/>
          <w:numId w:val="0"/>
        </w:numPr>
        <w:spacing w:before="156" w:after="156" w:line="360" w:lineRule="auto"/>
        <w:jc w:val="center"/>
        <w:rPr>
          <w:rFonts w:ascii="Times New Roman" w:eastAsia="宋体"/>
          <w:b/>
          <w:bCs/>
          <w:sz w:val="28"/>
          <w:szCs w:val="24"/>
        </w:rPr>
      </w:pPr>
      <w:bookmarkStart w:id="297" w:name="_Toc192078878"/>
      <w:bookmarkStart w:id="298" w:name="_Toc193447700"/>
      <w:bookmarkStart w:id="299" w:name="_Toc193447658"/>
      <w:bookmarkStart w:id="300" w:name="_Toc181955351"/>
      <w:bookmarkStart w:id="301" w:name="_Toc195717764"/>
      <w:bookmarkStart w:id="302" w:name="_Toc196124361"/>
      <w:r>
        <w:rPr>
          <w:rFonts w:hint="eastAsia" w:ascii="Times New Roman" w:eastAsia="宋体"/>
          <w:b/>
          <w:bCs/>
          <w:sz w:val="28"/>
          <w:szCs w:val="24"/>
        </w:rPr>
        <w:t>7</w:t>
      </w:r>
      <w:r>
        <w:rPr>
          <w:rFonts w:ascii="Times New Roman" w:eastAsia="宋体"/>
          <w:b/>
          <w:bCs/>
          <w:sz w:val="28"/>
          <w:szCs w:val="24"/>
        </w:rPr>
        <w:t xml:space="preserve">.4 </w:t>
      </w:r>
      <w:bookmarkEnd w:id="297"/>
      <w:bookmarkEnd w:id="298"/>
      <w:bookmarkEnd w:id="299"/>
      <w:bookmarkEnd w:id="300"/>
      <w:bookmarkEnd w:id="301"/>
      <w:r>
        <w:rPr>
          <w:rFonts w:ascii="Times New Roman" w:eastAsia="宋体"/>
          <w:b/>
          <w:bCs/>
          <w:sz w:val="28"/>
          <w:szCs w:val="24"/>
        </w:rPr>
        <w:t>检测</w:t>
      </w:r>
      <w:r>
        <w:rPr>
          <w:rFonts w:hint="eastAsia" w:ascii="Times New Roman" w:eastAsia="宋体"/>
          <w:b/>
          <w:bCs/>
          <w:sz w:val="28"/>
          <w:szCs w:val="24"/>
        </w:rPr>
        <w:t>结论</w:t>
      </w:r>
      <w:bookmarkEnd w:id="302"/>
    </w:p>
    <w:p w14:paraId="21866E91">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.4.</w:t>
      </w:r>
      <w:r>
        <w:rPr>
          <w:rFonts w:hint="eastAsia" w:ascii="Times New Roman" w:eastAsia="宋体"/>
          <w:b/>
          <w:bCs/>
          <w:sz w:val="24"/>
          <w:szCs w:val="22"/>
        </w:rPr>
        <w:t>1</w:t>
      </w:r>
      <w:r>
        <w:rPr>
          <w:rFonts w:ascii="Times New Roman" w:eastAsia="宋体"/>
          <w:sz w:val="24"/>
          <w:szCs w:val="22"/>
        </w:rPr>
        <w:t xml:space="preserve"> </w:t>
      </w:r>
      <w:r>
        <w:rPr>
          <w:rFonts w:hint="eastAsia" w:ascii="Times New Roman" w:eastAsia="宋体"/>
          <w:sz w:val="24"/>
          <w:szCs w:val="22"/>
        </w:rPr>
        <w:t>复合垂直防渗墙</w:t>
      </w:r>
      <w:r>
        <w:rPr>
          <w:rFonts w:ascii="Times New Roman" w:eastAsia="宋体"/>
          <w:sz w:val="24"/>
          <w:szCs w:val="22"/>
        </w:rPr>
        <w:t>的渗透系数</w:t>
      </w:r>
      <w:r>
        <w:rPr>
          <w:rFonts w:hint="eastAsia" w:ascii="Times New Roman" w:eastAsia="宋体"/>
          <w:sz w:val="24"/>
          <w:szCs w:val="24"/>
        </w:rPr>
        <w:t>符合设计及规范规定的要求时，应判为合格</w:t>
      </w:r>
      <w:r>
        <w:rPr>
          <w:rFonts w:ascii="Times New Roman" w:eastAsia="宋体"/>
          <w:sz w:val="24"/>
          <w:szCs w:val="22"/>
        </w:rPr>
        <w:t>。</w:t>
      </w:r>
    </w:p>
    <w:p w14:paraId="67C9177F">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.4.</w:t>
      </w:r>
      <w:r>
        <w:rPr>
          <w:rFonts w:hint="eastAsia" w:ascii="Times New Roman" w:eastAsia="宋体"/>
          <w:b/>
          <w:bCs/>
          <w:sz w:val="24"/>
          <w:szCs w:val="22"/>
        </w:rPr>
        <w:t>2</w:t>
      </w:r>
      <w:r>
        <w:rPr>
          <w:rFonts w:ascii="Times New Roman" w:eastAsia="宋体"/>
          <w:sz w:val="24"/>
          <w:szCs w:val="22"/>
        </w:rPr>
        <w:t xml:space="preserve"> </w:t>
      </w:r>
      <w:r>
        <w:rPr>
          <w:rFonts w:hint="eastAsia" w:ascii="Times New Roman" w:eastAsia="宋体"/>
          <w:sz w:val="24"/>
          <w:szCs w:val="22"/>
        </w:rPr>
        <w:t>复合垂直防渗墙的抗压强度</w:t>
      </w:r>
      <w:r>
        <w:rPr>
          <w:rFonts w:ascii="Times New Roman" w:eastAsia="宋体"/>
          <w:sz w:val="24"/>
          <w:szCs w:val="22"/>
        </w:rPr>
        <w:t>符合设计</w:t>
      </w:r>
      <w:r>
        <w:rPr>
          <w:rFonts w:hint="eastAsia" w:ascii="Times New Roman" w:eastAsia="宋体"/>
          <w:sz w:val="24"/>
          <w:szCs w:val="22"/>
        </w:rPr>
        <w:t>及规范</w:t>
      </w:r>
      <w:r>
        <w:rPr>
          <w:rFonts w:hint="eastAsia" w:ascii="Times New Roman" w:eastAsia="宋体"/>
          <w:sz w:val="24"/>
          <w:szCs w:val="24"/>
        </w:rPr>
        <w:t>规定的</w:t>
      </w:r>
      <w:r>
        <w:rPr>
          <w:rFonts w:ascii="Times New Roman" w:eastAsia="宋体"/>
          <w:sz w:val="24"/>
          <w:szCs w:val="22"/>
        </w:rPr>
        <w:t>要求</w:t>
      </w:r>
      <w:r>
        <w:rPr>
          <w:rFonts w:hint="eastAsia" w:ascii="Times New Roman" w:eastAsia="宋体"/>
          <w:sz w:val="24"/>
          <w:szCs w:val="22"/>
        </w:rPr>
        <w:t>时</w:t>
      </w:r>
      <w:r>
        <w:rPr>
          <w:rFonts w:hint="eastAsia" w:ascii="Times New Roman" w:eastAsia="宋体"/>
          <w:sz w:val="24"/>
          <w:szCs w:val="24"/>
        </w:rPr>
        <w:t>，应判为合格</w:t>
      </w:r>
      <w:r>
        <w:rPr>
          <w:rFonts w:ascii="Times New Roman" w:eastAsia="宋体"/>
          <w:sz w:val="24"/>
          <w:szCs w:val="22"/>
        </w:rPr>
        <w:t>。</w:t>
      </w:r>
    </w:p>
    <w:p w14:paraId="3166FC1A">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.4.</w:t>
      </w:r>
      <w:r>
        <w:rPr>
          <w:rFonts w:hint="eastAsia" w:ascii="Times New Roman" w:eastAsia="宋体"/>
          <w:b/>
          <w:bCs/>
          <w:sz w:val="24"/>
          <w:szCs w:val="22"/>
        </w:rPr>
        <w:t>3</w:t>
      </w:r>
      <w:r>
        <w:rPr>
          <w:rFonts w:ascii="Times New Roman" w:eastAsia="宋体"/>
          <w:sz w:val="24"/>
          <w:szCs w:val="22"/>
        </w:rPr>
        <w:t xml:space="preserve"> </w:t>
      </w:r>
      <w:r>
        <w:rPr>
          <w:rFonts w:hint="eastAsia" w:ascii="Times New Roman" w:eastAsia="宋体"/>
          <w:sz w:val="24"/>
          <w:szCs w:val="22"/>
        </w:rPr>
        <w:t>复合垂直防渗墙的深度</w:t>
      </w:r>
      <w:r>
        <w:rPr>
          <w:rFonts w:ascii="Times New Roman" w:eastAsia="宋体"/>
          <w:sz w:val="24"/>
          <w:szCs w:val="22"/>
        </w:rPr>
        <w:t>符合设计</w:t>
      </w:r>
      <w:r>
        <w:rPr>
          <w:rFonts w:hint="eastAsia" w:ascii="Times New Roman" w:eastAsia="宋体"/>
          <w:sz w:val="24"/>
          <w:szCs w:val="22"/>
        </w:rPr>
        <w:t>及规范</w:t>
      </w:r>
      <w:r>
        <w:rPr>
          <w:rFonts w:ascii="Times New Roman" w:eastAsia="宋体"/>
          <w:sz w:val="24"/>
          <w:szCs w:val="22"/>
        </w:rPr>
        <w:t>规定的要求</w:t>
      </w:r>
      <w:r>
        <w:rPr>
          <w:rFonts w:hint="eastAsia" w:ascii="Times New Roman" w:eastAsia="宋体"/>
          <w:sz w:val="24"/>
          <w:szCs w:val="24"/>
        </w:rPr>
        <w:t>，应判为合格</w:t>
      </w:r>
      <w:r>
        <w:rPr>
          <w:rFonts w:ascii="Times New Roman" w:eastAsia="宋体"/>
          <w:sz w:val="24"/>
          <w:szCs w:val="22"/>
        </w:rPr>
        <w:t>。</w:t>
      </w:r>
    </w:p>
    <w:p w14:paraId="063932EE">
      <w:pPr>
        <w:pStyle w:val="81"/>
        <w:numPr>
          <w:ilvl w:val="0"/>
          <w:numId w:val="0"/>
        </w:numPr>
        <w:spacing w:before="0" w:beforeLines="0" w:after="0" w:afterLines="0" w:line="360" w:lineRule="auto"/>
        <w:outlineLvl w:val="9"/>
        <w:rPr>
          <w:rFonts w:ascii="Times New Roman" w:eastAsia="宋体"/>
          <w:sz w:val="24"/>
          <w:szCs w:val="22"/>
        </w:rPr>
      </w:pPr>
      <w:r>
        <w:rPr>
          <w:rFonts w:hint="eastAsia" w:ascii="Times New Roman" w:eastAsia="宋体"/>
          <w:b/>
          <w:bCs/>
          <w:sz w:val="24"/>
          <w:szCs w:val="22"/>
        </w:rPr>
        <w:t>7</w:t>
      </w:r>
      <w:r>
        <w:rPr>
          <w:rFonts w:ascii="Times New Roman" w:eastAsia="宋体"/>
          <w:b/>
          <w:bCs/>
          <w:sz w:val="24"/>
          <w:szCs w:val="22"/>
        </w:rPr>
        <w:t>.4.</w:t>
      </w:r>
      <w:r>
        <w:rPr>
          <w:rFonts w:hint="eastAsia" w:ascii="Times New Roman" w:eastAsia="宋体"/>
          <w:b/>
          <w:bCs/>
          <w:sz w:val="24"/>
          <w:szCs w:val="22"/>
        </w:rPr>
        <w:t>4</w:t>
      </w:r>
      <w:r>
        <w:rPr>
          <w:rFonts w:ascii="Times New Roman" w:eastAsia="宋体"/>
          <w:sz w:val="24"/>
          <w:szCs w:val="22"/>
        </w:rPr>
        <w:t xml:space="preserve"> </w:t>
      </w:r>
      <w:r>
        <w:rPr>
          <w:rFonts w:hint="eastAsia" w:ascii="Times New Roman" w:eastAsia="宋体"/>
          <w:sz w:val="24"/>
          <w:szCs w:val="22"/>
        </w:rPr>
        <w:t>复合垂直防渗墙的厚度</w:t>
      </w:r>
      <w:r>
        <w:rPr>
          <w:rFonts w:ascii="Times New Roman" w:eastAsia="宋体"/>
          <w:sz w:val="24"/>
          <w:szCs w:val="22"/>
        </w:rPr>
        <w:t>符合设计</w:t>
      </w:r>
      <w:r>
        <w:rPr>
          <w:rFonts w:hint="eastAsia" w:ascii="Times New Roman" w:eastAsia="宋体"/>
          <w:sz w:val="24"/>
          <w:szCs w:val="22"/>
        </w:rPr>
        <w:t>及规范</w:t>
      </w:r>
      <w:r>
        <w:rPr>
          <w:rFonts w:ascii="Times New Roman" w:eastAsia="宋体"/>
          <w:sz w:val="24"/>
          <w:szCs w:val="22"/>
        </w:rPr>
        <w:t>规定的要求</w:t>
      </w:r>
      <w:r>
        <w:rPr>
          <w:rFonts w:hint="eastAsia" w:ascii="Times New Roman" w:eastAsia="宋体"/>
          <w:sz w:val="24"/>
          <w:szCs w:val="24"/>
        </w:rPr>
        <w:t>，应判为合格</w:t>
      </w:r>
      <w:r>
        <w:rPr>
          <w:rFonts w:ascii="Times New Roman" w:eastAsia="宋体"/>
          <w:sz w:val="24"/>
          <w:szCs w:val="22"/>
        </w:rPr>
        <w:t>。</w:t>
      </w:r>
    </w:p>
    <w:p w14:paraId="45DA7ECB">
      <w:pPr>
        <w:pStyle w:val="81"/>
        <w:numPr>
          <w:ilvl w:val="0"/>
          <w:numId w:val="0"/>
        </w:numPr>
        <w:spacing w:before="0" w:beforeLines="0" w:after="0" w:afterLines="0" w:line="360" w:lineRule="auto"/>
        <w:outlineLvl w:val="9"/>
        <w:rPr>
          <w:rFonts w:ascii="Times New Roman" w:eastAsia="宋体"/>
          <w:sz w:val="24"/>
          <w:szCs w:val="22"/>
        </w:rPr>
      </w:pPr>
      <w:bookmarkStart w:id="303" w:name="_Toc193447662"/>
      <w:r>
        <w:rPr>
          <w:rFonts w:ascii="Times New Roman" w:eastAsia="宋体"/>
          <w:b/>
          <w:bCs/>
          <w:sz w:val="24"/>
          <w:szCs w:val="22"/>
        </w:rPr>
        <w:t>7.4.</w:t>
      </w:r>
      <w:r>
        <w:rPr>
          <w:rFonts w:hint="eastAsia" w:ascii="Times New Roman" w:eastAsia="宋体"/>
          <w:b/>
          <w:bCs/>
          <w:sz w:val="24"/>
          <w:szCs w:val="22"/>
        </w:rPr>
        <w:t>5</w:t>
      </w:r>
      <w:r>
        <w:rPr>
          <w:rFonts w:ascii="Times New Roman" w:eastAsia="宋体"/>
          <w:sz w:val="24"/>
          <w:szCs w:val="22"/>
        </w:rPr>
        <w:t xml:space="preserve"> </w:t>
      </w:r>
      <w:r>
        <w:rPr>
          <w:rFonts w:hint="eastAsia" w:ascii="Times New Roman" w:eastAsia="宋体"/>
          <w:sz w:val="24"/>
          <w:szCs w:val="22"/>
        </w:rPr>
        <w:t>复合垂直防渗墙土工合成材料搭接宽度符合下列要求时，宜判为合格：</w:t>
      </w:r>
    </w:p>
    <w:p w14:paraId="39DFA08F">
      <w:pPr>
        <w:pStyle w:val="71"/>
        <w:ind w:firstLine="361" w:firstLineChars="150"/>
        <w:rPr>
          <w:rFonts w:ascii="Times New Roman"/>
          <w:sz w:val="24"/>
          <w:szCs w:val="22"/>
        </w:rPr>
      </w:pPr>
      <w:r>
        <w:rPr>
          <w:rFonts w:hint="eastAsia" w:ascii="Times New Roman"/>
          <w:b/>
          <w:bCs/>
          <w:sz w:val="24"/>
          <w:szCs w:val="22"/>
        </w:rPr>
        <w:t>1</w:t>
      </w:r>
      <w:r>
        <w:rPr>
          <w:rFonts w:hint="eastAsia" w:ascii="Times New Roman"/>
          <w:sz w:val="24"/>
          <w:szCs w:val="22"/>
        </w:rPr>
        <w:t xml:space="preserve"> </w:t>
      </w:r>
      <w:r>
        <w:rPr>
          <w:rFonts w:ascii="Times New Roman"/>
          <w:sz w:val="24"/>
          <w:szCs w:val="22"/>
        </w:rPr>
        <w:t>钠基膨润土防水毯搭接宽度</w:t>
      </w:r>
      <w:r>
        <w:rPr>
          <w:rFonts w:hint="eastAsia" w:ascii="Times New Roman"/>
          <w:sz w:val="24"/>
          <w:szCs w:val="22"/>
        </w:rPr>
        <w:t>符合设计及规范规定的要求；</w:t>
      </w:r>
    </w:p>
    <w:p w14:paraId="7802A985">
      <w:pPr>
        <w:pStyle w:val="81"/>
        <w:numPr>
          <w:ilvl w:val="0"/>
          <w:numId w:val="0"/>
        </w:numPr>
        <w:spacing w:before="0" w:beforeLines="0" w:after="0" w:afterLines="0" w:line="360" w:lineRule="auto"/>
        <w:ind w:firstLine="361" w:firstLineChars="150"/>
        <w:outlineLvl w:val="9"/>
        <w:rPr>
          <w:rFonts w:ascii="Times New Roman" w:eastAsia="宋体"/>
          <w:sz w:val="24"/>
          <w:szCs w:val="22"/>
        </w:rPr>
      </w:pPr>
      <w:r>
        <w:rPr>
          <w:rFonts w:hint="eastAsia" w:ascii="Times New Roman"/>
          <w:b/>
          <w:bCs/>
          <w:sz w:val="24"/>
          <w:szCs w:val="22"/>
        </w:rPr>
        <w:t>2</w:t>
      </w:r>
      <w:r>
        <w:rPr>
          <w:rFonts w:hint="eastAsia" w:ascii="Times New Roman"/>
          <w:sz w:val="24"/>
          <w:szCs w:val="22"/>
        </w:rPr>
        <w:t xml:space="preserve"> </w:t>
      </w:r>
      <w:r>
        <w:rPr>
          <w:rFonts w:ascii="Times New Roman" w:eastAsia="宋体"/>
          <w:sz w:val="24"/>
          <w:szCs w:val="22"/>
        </w:rPr>
        <w:t>高密度聚乙烯土工膜膜间采用热熔焊接</w:t>
      </w:r>
      <w:r>
        <w:rPr>
          <w:rFonts w:hint="eastAsia" w:ascii="Times New Roman" w:eastAsia="宋体"/>
          <w:sz w:val="24"/>
          <w:szCs w:val="22"/>
        </w:rPr>
        <w:t>或</w:t>
      </w:r>
      <w:r>
        <w:rPr>
          <w:rFonts w:ascii="Times New Roman" w:eastAsia="宋体"/>
          <w:sz w:val="24"/>
          <w:szCs w:val="22"/>
        </w:rPr>
        <w:t>挤出焊接</w:t>
      </w:r>
      <w:r>
        <w:rPr>
          <w:rFonts w:hint="eastAsia" w:ascii="Times New Roman" w:eastAsia="宋体"/>
          <w:sz w:val="24"/>
          <w:szCs w:val="22"/>
        </w:rPr>
        <w:t>时搭接宽度</w:t>
      </w:r>
      <w:r>
        <w:rPr>
          <w:rFonts w:ascii="Times New Roman" w:eastAsia="宋体"/>
          <w:sz w:val="24"/>
          <w:szCs w:val="22"/>
        </w:rPr>
        <w:t>符合设计及规范</w:t>
      </w:r>
      <w:r>
        <w:rPr>
          <w:rFonts w:hint="eastAsia" w:ascii="Times New Roman" w:eastAsia="宋体"/>
          <w:sz w:val="24"/>
          <w:szCs w:val="22"/>
        </w:rPr>
        <w:t>规定</w:t>
      </w:r>
      <w:r>
        <w:rPr>
          <w:rFonts w:ascii="Times New Roman" w:eastAsia="宋体"/>
          <w:sz w:val="24"/>
          <w:szCs w:val="22"/>
        </w:rPr>
        <w:t>的要求。</w:t>
      </w:r>
      <w:bookmarkEnd w:id="303"/>
    </w:p>
    <w:p w14:paraId="4FEA9ECD">
      <w:pPr>
        <w:pStyle w:val="81"/>
        <w:numPr>
          <w:ilvl w:val="0"/>
          <w:numId w:val="0"/>
        </w:numPr>
        <w:spacing w:before="0" w:beforeLines="0" w:after="0" w:afterLines="0" w:line="360" w:lineRule="auto"/>
        <w:outlineLvl w:val="9"/>
        <w:rPr>
          <w:rFonts w:ascii="Times New Roman" w:eastAsia="宋体"/>
          <w:sz w:val="24"/>
          <w:szCs w:val="22"/>
        </w:rPr>
      </w:pPr>
      <w:bookmarkStart w:id="304" w:name="_Toc193447663"/>
      <w:r>
        <w:rPr>
          <w:rFonts w:hint="eastAsia" w:ascii="Times New Roman" w:eastAsia="宋体"/>
          <w:b/>
          <w:bCs/>
          <w:sz w:val="24"/>
          <w:szCs w:val="22"/>
        </w:rPr>
        <w:t>7</w:t>
      </w:r>
      <w:r>
        <w:rPr>
          <w:rFonts w:ascii="Times New Roman" w:eastAsia="宋体"/>
          <w:b/>
          <w:bCs/>
          <w:sz w:val="24"/>
          <w:szCs w:val="22"/>
        </w:rPr>
        <w:t>.4.</w:t>
      </w:r>
      <w:r>
        <w:rPr>
          <w:rFonts w:hint="eastAsia" w:ascii="Times New Roman" w:eastAsia="宋体"/>
          <w:b/>
          <w:bCs/>
          <w:sz w:val="24"/>
          <w:szCs w:val="22"/>
        </w:rPr>
        <w:t>4</w:t>
      </w:r>
      <w:r>
        <w:rPr>
          <w:rFonts w:ascii="Times New Roman" w:eastAsia="宋体"/>
          <w:sz w:val="24"/>
          <w:szCs w:val="22"/>
        </w:rPr>
        <w:t xml:space="preserve"> </w:t>
      </w:r>
      <w:r>
        <w:rPr>
          <w:rFonts w:hint="eastAsia" w:ascii="Times New Roman" w:eastAsia="宋体"/>
          <w:sz w:val="24"/>
          <w:szCs w:val="22"/>
        </w:rPr>
        <w:t>高密度聚乙烯土工膜焊缝强度符合</w:t>
      </w:r>
      <w:r>
        <w:rPr>
          <w:rFonts w:ascii="Times New Roman" w:eastAsia="宋体"/>
          <w:sz w:val="24"/>
          <w:szCs w:val="22"/>
        </w:rPr>
        <w:t>设计</w:t>
      </w:r>
      <w:r>
        <w:rPr>
          <w:rFonts w:hint="eastAsia" w:ascii="Times New Roman" w:eastAsia="宋体"/>
          <w:sz w:val="24"/>
          <w:szCs w:val="22"/>
        </w:rPr>
        <w:t>及规范</w:t>
      </w:r>
      <w:r>
        <w:rPr>
          <w:rFonts w:ascii="Times New Roman" w:eastAsia="宋体"/>
          <w:sz w:val="24"/>
          <w:szCs w:val="22"/>
        </w:rPr>
        <w:t>规定的要求</w:t>
      </w:r>
      <w:r>
        <w:rPr>
          <w:rFonts w:hint="eastAsia" w:ascii="Times New Roman" w:eastAsia="宋体"/>
          <w:sz w:val="24"/>
          <w:szCs w:val="24"/>
        </w:rPr>
        <w:t>，应判为合格</w:t>
      </w:r>
      <w:r>
        <w:rPr>
          <w:rFonts w:ascii="Times New Roman" w:eastAsia="宋体"/>
          <w:sz w:val="24"/>
          <w:szCs w:val="22"/>
        </w:rPr>
        <w:t>。</w:t>
      </w:r>
    </w:p>
    <w:bookmarkEnd w:id="304"/>
    <w:p w14:paraId="3D318596">
      <w:pPr>
        <w:pStyle w:val="123"/>
        <w:numPr>
          <w:ilvl w:val="0"/>
          <w:numId w:val="0"/>
        </w:numPr>
        <w:spacing w:line="360" w:lineRule="auto"/>
        <w:rPr>
          <w:rFonts w:ascii="Times New Roman"/>
          <w:sz w:val="24"/>
          <w:szCs w:val="22"/>
        </w:rPr>
      </w:pPr>
      <w:bookmarkStart w:id="305" w:name="_Toc193447664"/>
      <w:r>
        <w:rPr>
          <w:rFonts w:ascii="Times New Roman"/>
          <w:b/>
          <w:bCs/>
          <w:sz w:val="24"/>
          <w:szCs w:val="22"/>
        </w:rPr>
        <w:t>7.4.</w:t>
      </w:r>
      <w:r>
        <w:rPr>
          <w:rFonts w:hint="eastAsia" w:ascii="Times New Roman"/>
          <w:b/>
          <w:bCs/>
          <w:sz w:val="24"/>
          <w:szCs w:val="22"/>
        </w:rPr>
        <w:t>5</w:t>
      </w:r>
      <w:r>
        <w:rPr>
          <w:rFonts w:ascii="Times New Roman"/>
          <w:sz w:val="24"/>
          <w:szCs w:val="22"/>
        </w:rPr>
        <w:t xml:space="preserve"> 垂直防渗墙</w:t>
      </w:r>
      <w:r>
        <w:rPr>
          <w:rFonts w:hint="eastAsia" w:ascii="Times New Roman"/>
          <w:sz w:val="24"/>
          <w:szCs w:val="22"/>
        </w:rPr>
        <w:t>完整性应</w:t>
      </w:r>
      <w:r>
        <w:rPr>
          <w:rFonts w:ascii="Times New Roman"/>
          <w:sz w:val="24"/>
          <w:szCs w:val="22"/>
        </w:rPr>
        <w:t>按</w:t>
      </w:r>
      <w:r>
        <w:rPr>
          <w:rFonts w:hint="eastAsia" w:ascii="Times New Roman"/>
          <w:sz w:val="24"/>
          <w:szCs w:val="22"/>
        </w:rPr>
        <w:t>第</w:t>
      </w:r>
      <w:r>
        <w:rPr>
          <w:rFonts w:ascii="Times New Roman"/>
          <w:sz w:val="24"/>
          <w:szCs w:val="22"/>
        </w:rPr>
        <w:t>6.4.</w:t>
      </w:r>
      <w:r>
        <w:rPr>
          <w:rFonts w:hint="eastAsia" w:ascii="Times New Roman"/>
          <w:sz w:val="24"/>
          <w:szCs w:val="22"/>
        </w:rPr>
        <w:t>2条的要求进行</w:t>
      </w:r>
      <w:r>
        <w:rPr>
          <w:rFonts w:ascii="Times New Roman"/>
          <w:sz w:val="24"/>
          <w:szCs w:val="22"/>
        </w:rPr>
        <w:t>判定</w:t>
      </w:r>
      <w:bookmarkEnd w:id="305"/>
      <w:r>
        <w:rPr>
          <w:rFonts w:ascii="Times New Roman"/>
          <w:sz w:val="24"/>
          <w:szCs w:val="22"/>
        </w:rPr>
        <w:t>。</w:t>
      </w:r>
    </w:p>
    <w:p w14:paraId="03234134">
      <w:pPr>
        <w:pStyle w:val="123"/>
        <w:numPr>
          <w:ilvl w:val="0"/>
          <w:numId w:val="0"/>
        </w:numPr>
        <w:spacing w:line="360" w:lineRule="auto"/>
        <w:ind w:left="315"/>
        <w:rPr>
          <w:rFonts w:ascii="Times New Roman"/>
        </w:rPr>
      </w:pPr>
    </w:p>
    <w:p w14:paraId="4CBE667F">
      <w:pPr>
        <w:pStyle w:val="123"/>
        <w:numPr>
          <w:ilvl w:val="0"/>
          <w:numId w:val="0"/>
        </w:numPr>
        <w:spacing w:line="360" w:lineRule="auto"/>
        <w:ind w:firstLine="315" w:firstLineChars="150"/>
        <w:rPr>
          <w:rFonts w:ascii="Times New Roman"/>
        </w:rPr>
        <w:sectPr>
          <w:headerReference r:id="rId27" w:type="default"/>
          <w:footerReference r:id="rId29" w:type="default"/>
          <w:headerReference r:id="rId28" w:type="even"/>
          <w:footerReference r:id="rId30" w:type="even"/>
          <w:pgSz w:w="11906" w:h="16838"/>
          <w:pgMar w:top="1440" w:right="1797" w:bottom="1440" w:left="1797" w:header="1418" w:footer="1134" w:gutter="0"/>
          <w:cols w:space="425" w:num="1"/>
          <w:formProt w:val="0"/>
          <w:docGrid w:type="lines" w:linePitch="312" w:charSpace="0"/>
        </w:sectPr>
      </w:pPr>
    </w:p>
    <w:p w14:paraId="1272088A">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306" w:name="_Toc193447703"/>
      <w:bookmarkStart w:id="307" w:name="_Toc193447667"/>
      <w:bookmarkStart w:id="308" w:name="_Toc196124362"/>
      <w:bookmarkStart w:id="309" w:name="_Toc193447665"/>
      <w:bookmarkStart w:id="310" w:name="_Toc193447701"/>
      <w:bookmarkStart w:id="311" w:name="_Toc192078879"/>
      <w:r>
        <w:rPr>
          <w:rFonts w:hint="eastAsia" w:ascii="Times New Roman" w:hAnsi="Times New Roman"/>
          <w:b/>
          <w:sz w:val="36"/>
          <w:szCs w:val="36"/>
        </w:rPr>
        <w:t>附录A</w:t>
      </w:r>
      <w:r>
        <w:rPr>
          <w:rFonts w:ascii="Times New Roman" w:hAnsi="Times New Roman"/>
          <w:b/>
          <w:sz w:val="36"/>
          <w:szCs w:val="36"/>
        </w:rPr>
        <w:t xml:space="preserve"> 垂直防渗墙分类</w:t>
      </w:r>
      <w:bookmarkEnd w:id="306"/>
      <w:bookmarkEnd w:id="307"/>
      <w:r>
        <w:rPr>
          <w:rFonts w:ascii="Times New Roman" w:hAnsi="Times New Roman"/>
          <w:b/>
          <w:sz w:val="36"/>
          <w:szCs w:val="36"/>
        </w:rPr>
        <w:t>表</w:t>
      </w:r>
      <w:bookmarkEnd w:id="308"/>
    </w:p>
    <w:p w14:paraId="11ECB351">
      <w:pPr>
        <w:pStyle w:val="18"/>
        <w:numPr>
          <w:ilvl w:val="0"/>
          <w:numId w:val="2"/>
        </w:numPr>
        <w:spacing w:line="360" w:lineRule="auto"/>
        <w:jc w:val="center"/>
        <w:rPr>
          <w:rFonts w:ascii="Times New Roman" w:hAnsi="Times New Roman"/>
          <w:b/>
          <w:szCs w:val="21"/>
        </w:rPr>
      </w:pPr>
      <w:r>
        <w:rPr>
          <w:rFonts w:hint="eastAsia" w:ascii="Times New Roman" w:hAnsi="Times New Roman"/>
          <w:b/>
          <w:szCs w:val="21"/>
        </w:rPr>
        <w:t>表</w:t>
      </w:r>
      <w:r>
        <w:rPr>
          <w:rFonts w:ascii="Times New Roman" w:hAnsi="Times New Roman"/>
          <w:b/>
          <w:szCs w:val="21"/>
        </w:rPr>
        <w:t xml:space="preserve">A </w:t>
      </w:r>
      <w:r>
        <w:rPr>
          <w:rFonts w:hint="eastAsia" w:ascii="Times New Roman" w:hAnsi="Times New Roman"/>
          <w:b/>
          <w:szCs w:val="21"/>
        </w:rPr>
        <w:t>垂直防渗墙分类表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33"/>
        <w:gridCol w:w="6459"/>
      </w:tblGrid>
      <w:tr w14:paraId="2784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shd w:val="clear" w:color="auto" w:fill="auto"/>
            <w:vAlign w:val="center"/>
          </w:tcPr>
          <w:p w14:paraId="1159EFE7">
            <w:pPr>
              <w:pStyle w:val="192"/>
              <w:spacing w:line="360" w:lineRule="auto"/>
              <w:rPr>
                <w:rFonts w:ascii="Times New Roman"/>
                <w:sz w:val="21"/>
                <w:szCs w:val="21"/>
              </w:rPr>
            </w:pPr>
            <w:r>
              <w:rPr>
                <w:rFonts w:ascii="Times New Roman"/>
                <w:sz w:val="21"/>
                <w:szCs w:val="21"/>
              </w:rPr>
              <w:t>分类</w:t>
            </w:r>
          </w:p>
        </w:tc>
        <w:tc>
          <w:tcPr>
            <w:tcW w:w="6459" w:type="dxa"/>
            <w:shd w:val="clear" w:color="auto" w:fill="auto"/>
            <w:vAlign w:val="center"/>
          </w:tcPr>
          <w:p w14:paraId="0CED8146">
            <w:pPr>
              <w:pStyle w:val="192"/>
              <w:spacing w:line="360" w:lineRule="auto"/>
              <w:rPr>
                <w:rFonts w:ascii="Times New Roman"/>
                <w:sz w:val="21"/>
                <w:szCs w:val="21"/>
              </w:rPr>
            </w:pPr>
            <w:r>
              <w:rPr>
                <w:rFonts w:ascii="Times New Roman"/>
                <w:sz w:val="21"/>
                <w:szCs w:val="21"/>
              </w:rPr>
              <w:t>类型</w:t>
            </w:r>
          </w:p>
        </w:tc>
      </w:tr>
      <w:tr w14:paraId="4023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14:paraId="56A403B5">
            <w:pPr>
              <w:pStyle w:val="192"/>
              <w:spacing w:line="360" w:lineRule="auto"/>
              <w:rPr>
                <w:rFonts w:ascii="Times New Roman"/>
                <w:sz w:val="21"/>
                <w:szCs w:val="21"/>
              </w:rPr>
            </w:pPr>
            <w:r>
              <w:rPr>
                <w:rFonts w:ascii="Times New Roman"/>
                <w:sz w:val="21"/>
                <w:szCs w:val="21"/>
              </w:rPr>
              <w:t>注浆帷幕</w:t>
            </w:r>
          </w:p>
        </w:tc>
        <w:tc>
          <w:tcPr>
            <w:tcW w:w="6459" w:type="dxa"/>
            <w:shd w:val="clear" w:color="auto" w:fill="auto"/>
            <w:vAlign w:val="center"/>
          </w:tcPr>
          <w:p w14:paraId="11D21E6C">
            <w:pPr>
              <w:pStyle w:val="192"/>
              <w:spacing w:line="360" w:lineRule="auto"/>
              <w:rPr>
                <w:rFonts w:ascii="Times New Roman"/>
                <w:sz w:val="21"/>
                <w:szCs w:val="21"/>
              </w:rPr>
            </w:pPr>
            <w:r>
              <w:rPr>
                <w:rFonts w:ascii="Times New Roman"/>
                <w:sz w:val="21"/>
                <w:szCs w:val="21"/>
              </w:rPr>
              <w:t>水泥灌浆、化学灌浆</w:t>
            </w:r>
          </w:p>
        </w:tc>
      </w:tr>
      <w:tr w14:paraId="4CE5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14:paraId="52962595">
            <w:pPr>
              <w:pStyle w:val="192"/>
              <w:spacing w:line="360" w:lineRule="auto"/>
              <w:rPr>
                <w:rFonts w:ascii="Times New Roman"/>
                <w:sz w:val="21"/>
                <w:szCs w:val="21"/>
              </w:rPr>
            </w:pPr>
            <w:r>
              <w:rPr>
                <w:rFonts w:ascii="Times New Roman"/>
                <w:sz w:val="21"/>
                <w:szCs w:val="21"/>
              </w:rPr>
              <w:t>单层垂直防渗墙</w:t>
            </w:r>
          </w:p>
        </w:tc>
        <w:tc>
          <w:tcPr>
            <w:tcW w:w="6459" w:type="dxa"/>
            <w:shd w:val="clear" w:color="auto" w:fill="auto"/>
            <w:vAlign w:val="center"/>
          </w:tcPr>
          <w:p w14:paraId="7B086628">
            <w:pPr>
              <w:pStyle w:val="192"/>
              <w:spacing w:line="360" w:lineRule="auto"/>
              <w:rPr>
                <w:rFonts w:ascii="Times New Roman"/>
                <w:sz w:val="21"/>
                <w:szCs w:val="21"/>
              </w:rPr>
            </w:pPr>
            <w:r>
              <w:rPr>
                <w:rFonts w:ascii="Times New Roman"/>
                <w:sz w:val="21"/>
                <w:szCs w:val="21"/>
              </w:rPr>
              <w:t>水泥-膨润土墙、土-膨润土墙、土-水泥-膨润土墙、</w:t>
            </w:r>
            <w:r>
              <w:rPr>
                <w:rFonts w:hint="eastAsia" w:ascii="Times New Roman"/>
                <w:sz w:val="21"/>
                <w:szCs w:val="21"/>
              </w:rPr>
              <w:t>土-水泥-矿粉-膨润土墙、</w:t>
            </w:r>
            <w:r>
              <w:rPr>
                <w:rFonts w:ascii="Times New Roman"/>
                <w:sz w:val="21"/>
                <w:szCs w:val="21"/>
              </w:rPr>
              <w:t>塑性混凝土墙</w:t>
            </w:r>
          </w:p>
        </w:tc>
      </w:tr>
      <w:tr w14:paraId="3A82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833" w:type="dxa"/>
            <w:shd w:val="clear" w:color="auto" w:fill="auto"/>
            <w:vAlign w:val="center"/>
          </w:tcPr>
          <w:p w14:paraId="6D8C71D8">
            <w:pPr>
              <w:pStyle w:val="192"/>
              <w:spacing w:line="360" w:lineRule="auto"/>
              <w:rPr>
                <w:rFonts w:ascii="Times New Roman"/>
                <w:sz w:val="21"/>
                <w:szCs w:val="21"/>
              </w:rPr>
            </w:pPr>
            <w:r>
              <w:rPr>
                <w:rFonts w:ascii="Times New Roman"/>
                <w:sz w:val="21"/>
                <w:szCs w:val="21"/>
              </w:rPr>
              <w:t>复合垂直防渗墙</w:t>
            </w:r>
          </w:p>
        </w:tc>
        <w:tc>
          <w:tcPr>
            <w:tcW w:w="6459" w:type="dxa"/>
            <w:shd w:val="clear" w:color="auto" w:fill="auto"/>
            <w:vAlign w:val="center"/>
          </w:tcPr>
          <w:p w14:paraId="28F599BA">
            <w:pPr>
              <w:pStyle w:val="192"/>
              <w:spacing w:line="360" w:lineRule="auto"/>
              <w:rPr>
                <w:rFonts w:ascii="Times New Roman"/>
                <w:sz w:val="21"/>
                <w:szCs w:val="21"/>
              </w:rPr>
            </w:pPr>
            <w:r>
              <w:rPr>
                <w:rFonts w:ascii="Times New Roman"/>
                <w:sz w:val="21"/>
                <w:szCs w:val="21"/>
              </w:rPr>
              <w:t>高密度聚乙烯土工膜-膨润土复合墙、钠基膨润土防水毯-膨润土复合墙</w:t>
            </w:r>
          </w:p>
        </w:tc>
      </w:tr>
    </w:tbl>
    <w:p w14:paraId="35F10171">
      <w:pPr>
        <w:pStyle w:val="71"/>
        <w:ind w:firstLine="420"/>
        <w:rPr>
          <w:rFonts w:ascii="Times New Roman"/>
        </w:rPr>
      </w:pPr>
    </w:p>
    <w:p w14:paraId="0EAD5BE7">
      <w:pPr>
        <w:pStyle w:val="71"/>
        <w:ind w:firstLine="420"/>
        <w:rPr>
          <w:rFonts w:ascii="Times New Roman" w:eastAsia="仿宋"/>
        </w:rPr>
      </w:pPr>
      <w:r>
        <w:rPr>
          <w:rFonts w:ascii="Times New Roman" w:eastAsia="仿宋"/>
        </w:rPr>
        <w:t>条文说明：</w:t>
      </w:r>
    </w:p>
    <w:p w14:paraId="43134179">
      <w:pPr>
        <w:pStyle w:val="71"/>
        <w:ind w:firstLine="420"/>
        <w:rPr>
          <w:rFonts w:ascii="Times New Roman" w:eastAsia="仿宋"/>
        </w:rPr>
      </w:pPr>
      <w:r>
        <w:rPr>
          <w:rFonts w:ascii="Times New Roman" w:eastAsia="仿宋"/>
        </w:rPr>
        <w:t xml:space="preserve">附录A </w:t>
      </w:r>
    </w:p>
    <w:p w14:paraId="1A58199B">
      <w:pPr>
        <w:pStyle w:val="71"/>
        <w:ind w:firstLine="420"/>
        <w:rPr>
          <w:rFonts w:ascii="Times New Roman" w:eastAsia="仿宋"/>
        </w:rPr>
        <w:sectPr>
          <w:headerReference r:id="rId31" w:type="default"/>
          <w:footerReference r:id="rId33" w:type="default"/>
          <w:headerReference r:id="rId32" w:type="even"/>
          <w:footerReference r:id="rId34" w:type="even"/>
          <w:pgSz w:w="11906" w:h="16838"/>
          <w:pgMar w:top="1440" w:right="1797" w:bottom="1440" w:left="1797" w:header="1418" w:footer="1134" w:gutter="0"/>
          <w:cols w:space="425" w:num="1"/>
          <w:formProt w:val="0"/>
          <w:docGrid w:type="lines" w:linePitch="312" w:charSpace="0"/>
        </w:sectPr>
      </w:pPr>
      <w:r>
        <w:rPr>
          <w:rFonts w:ascii="Times New Roman" w:eastAsia="仿宋"/>
        </w:rPr>
        <w:t>条文说明3.1.3   本规程防渗墙类型根据《生活垃圾卫生填埋场岩土工程技术规范》（CJJ176-2012）、《生活垃圾填埋场生态修复工程技术导则》（RISN-TG042-2022）进行划分。</w:t>
      </w:r>
    </w:p>
    <w:p w14:paraId="540DE379">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312" w:name="_Toc193447668"/>
      <w:bookmarkStart w:id="313" w:name="_Toc196124363"/>
      <w:bookmarkStart w:id="314" w:name="_Toc193447704"/>
      <w:bookmarkStart w:id="315" w:name="_Toc192078882"/>
      <w:bookmarkStart w:id="316" w:name="_Toc181955352"/>
      <w:r>
        <w:rPr>
          <w:rFonts w:hint="eastAsia" w:ascii="Times New Roman" w:hAnsi="Times New Roman"/>
          <w:b/>
          <w:sz w:val="36"/>
          <w:szCs w:val="36"/>
        </w:rPr>
        <w:t>附录B</w:t>
      </w:r>
      <w:r>
        <w:rPr>
          <w:rFonts w:ascii="Times New Roman" w:hAnsi="Times New Roman"/>
          <w:b/>
          <w:sz w:val="36"/>
          <w:szCs w:val="36"/>
        </w:rPr>
        <w:t xml:space="preserve"> 地球物理检测技术方法表</w:t>
      </w:r>
      <w:bookmarkEnd w:id="312"/>
      <w:bookmarkEnd w:id="313"/>
      <w:bookmarkEnd w:id="314"/>
    </w:p>
    <w:p w14:paraId="5F98B762">
      <w:pPr>
        <w:pStyle w:val="18"/>
        <w:numPr>
          <w:ilvl w:val="0"/>
          <w:numId w:val="2"/>
        </w:numPr>
        <w:spacing w:line="360" w:lineRule="auto"/>
        <w:jc w:val="center"/>
        <w:rPr>
          <w:rFonts w:ascii="Times New Roman" w:hAnsi="Times New Roman"/>
          <w:b/>
          <w:szCs w:val="21"/>
        </w:rPr>
      </w:pPr>
      <w:r>
        <w:rPr>
          <w:rFonts w:hint="eastAsia" w:ascii="Times New Roman" w:hAnsi="Times New Roman"/>
          <w:b/>
          <w:szCs w:val="21"/>
        </w:rPr>
        <w:t>表B</w:t>
      </w:r>
      <w:r>
        <w:rPr>
          <w:rFonts w:ascii="Times New Roman" w:hAnsi="Times New Roman"/>
          <w:b/>
          <w:szCs w:val="21"/>
        </w:rPr>
        <w:t xml:space="preserve"> </w:t>
      </w:r>
      <w:r>
        <w:rPr>
          <w:rFonts w:hint="eastAsia" w:ascii="Times New Roman" w:hAnsi="Times New Roman"/>
          <w:b/>
          <w:szCs w:val="21"/>
        </w:rPr>
        <w:t>地球物理检测技术方法选择表</w:t>
      </w:r>
    </w:p>
    <w:bookmarkEnd w:id="315"/>
    <w:bookmarkEnd w:id="316"/>
    <w:tbl>
      <w:tblPr>
        <w:tblStyle w:val="35"/>
        <w:tblW w:w="50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7"/>
        <w:gridCol w:w="1567"/>
        <w:gridCol w:w="2558"/>
        <w:gridCol w:w="5543"/>
        <w:gridCol w:w="3190"/>
      </w:tblGrid>
      <w:tr w14:paraId="12F6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63" w:type="pct"/>
            <w:gridSpan w:val="2"/>
            <w:shd w:val="clear" w:color="auto" w:fill="auto"/>
          </w:tcPr>
          <w:p w14:paraId="4E5A2A00">
            <w:pPr>
              <w:pStyle w:val="192"/>
              <w:spacing w:line="360" w:lineRule="auto"/>
              <w:rPr>
                <w:rFonts w:ascii="Times New Roman"/>
                <w:sz w:val="21"/>
                <w:szCs w:val="21"/>
              </w:rPr>
            </w:pPr>
            <w:r>
              <w:rPr>
                <w:rFonts w:ascii="Times New Roman"/>
                <w:sz w:val="21"/>
                <w:szCs w:val="21"/>
              </w:rPr>
              <w:t>地球物理检测方法</w:t>
            </w:r>
          </w:p>
        </w:tc>
        <w:tc>
          <w:tcPr>
            <w:tcW w:w="914" w:type="pct"/>
            <w:shd w:val="clear" w:color="auto" w:fill="auto"/>
          </w:tcPr>
          <w:p w14:paraId="146EF31F">
            <w:pPr>
              <w:pStyle w:val="192"/>
              <w:spacing w:line="360" w:lineRule="auto"/>
              <w:rPr>
                <w:rFonts w:ascii="Times New Roman"/>
                <w:sz w:val="21"/>
                <w:szCs w:val="21"/>
              </w:rPr>
            </w:pPr>
            <w:r>
              <w:rPr>
                <w:rFonts w:ascii="Times New Roman"/>
                <w:sz w:val="21"/>
                <w:szCs w:val="21"/>
              </w:rPr>
              <w:t>检测内容</w:t>
            </w:r>
          </w:p>
        </w:tc>
        <w:tc>
          <w:tcPr>
            <w:tcW w:w="1981" w:type="pct"/>
            <w:shd w:val="clear" w:color="auto" w:fill="auto"/>
          </w:tcPr>
          <w:p w14:paraId="25A99F94">
            <w:pPr>
              <w:pStyle w:val="192"/>
              <w:spacing w:line="360" w:lineRule="auto"/>
              <w:rPr>
                <w:rFonts w:ascii="Times New Roman"/>
                <w:sz w:val="21"/>
                <w:szCs w:val="21"/>
              </w:rPr>
            </w:pPr>
            <w:r>
              <w:rPr>
                <w:rFonts w:ascii="Times New Roman"/>
                <w:sz w:val="21"/>
                <w:szCs w:val="21"/>
              </w:rPr>
              <w:t>应用条件</w:t>
            </w:r>
          </w:p>
        </w:tc>
        <w:tc>
          <w:tcPr>
            <w:tcW w:w="1140" w:type="pct"/>
            <w:shd w:val="clear" w:color="auto" w:fill="auto"/>
          </w:tcPr>
          <w:p w14:paraId="58688EF0">
            <w:pPr>
              <w:pStyle w:val="192"/>
              <w:spacing w:line="360" w:lineRule="auto"/>
              <w:rPr>
                <w:rFonts w:ascii="Times New Roman"/>
                <w:sz w:val="21"/>
                <w:szCs w:val="21"/>
              </w:rPr>
            </w:pPr>
            <w:r>
              <w:rPr>
                <w:rFonts w:ascii="Times New Roman"/>
                <w:sz w:val="21"/>
                <w:szCs w:val="21"/>
              </w:rPr>
              <w:t>方法特点</w:t>
            </w:r>
          </w:p>
        </w:tc>
      </w:tr>
      <w:tr w14:paraId="07FD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3" w:type="pct"/>
            <w:shd w:val="clear" w:color="auto" w:fill="auto"/>
            <w:vAlign w:val="center"/>
          </w:tcPr>
          <w:p w14:paraId="7F2E9807">
            <w:pPr>
              <w:pStyle w:val="192"/>
              <w:spacing w:line="360" w:lineRule="auto"/>
              <w:rPr>
                <w:rFonts w:ascii="Times New Roman"/>
                <w:sz w:val="21"/>
                <w:szCs w:val="21"/>
              </w:rPr>
            </w:pPr>
            <w:r>
              <w:rPr>
                <w:rFonts w:ascii="Times New Roman"/>
                <w:sz w:val="21"/>
                <w:szCs w:val="21"/>
              </w:rPr>
              <w:t>直流电法</w:t>
            </w:r>
          </w:p>
        </w:tc>
        <w:tc>
          <w:tcPr>
            <w:tcW w:w="559" w:type="pct"/>
            <w:shd w:val="clear" w:color="auto" w:fill="auto"/>
            <w:vAlign w:val="center"/>
          </w:tcPr>
          <w:p w14:paraId="768F30EB">
            <w:pPr>
              <w:pStyle w:val="192"/>
              <w:spacing w:line="360" w:lineRule="auto"/>
              <w:rPr>
                <w:rFonts w:ascii="Times New Roman"/>
                <w:sz w:val="21"/>
                <w:szCs w:val="21"/>
              </w:rPr>
            </w:pPr>
            <w:r>
              <w:rPr>
                <w:rFonts w:ascii="Times New Roman"/>
                <w:sz w:val="21"/>
                <w:szCs w:val="21"/>
              </w:rPr>
              <w:t>高密度电阻率法</w:t>
            </w:r>
          </w:p>
        </w:tc>
        <w:tc>
          <w:tcPr>
            <w:tcW w:w="914" w:type="pct"/>
            <w:vMerge w:val="restart"/>
            <w:shd w:val="clear" w:color="auto" w:fill="auto"/>
            <w:vAlign w:val="center"/>
          </w:tcPr>
          <w:p w14:paraId="0CFB4A0E">
            <w:pPr>
              <w:pStyle w:val="192"/>
              <w:spacing w:line="360" w:lineRule="auto"/>
              <w:jc w:val="both"/>
              <w:rPr>
                <w:rFonts w:ascii="Times New Roman"/>
                <w:sz w:val="21"/>
                <w:szCs w:val="21"/>
              </w:rPr>
            </w:pPr>
            <w:r>
              <w:rPr>
                <w:rFonts w:ascii="Times New Roman"/>
                <w:sz w:val="21"/>
                <w:szCs w:val="21"/>
              </w:rPr>
              <w:t>1.检测防渗墙的完整性，圈定防渗墙中质量缺陷的位置</w:t>
            </w:r>
            <w:r>
              <w:rPr>
                <w:rFonts w:hint="eastAsia" w:ascii="Times New Roman"/>
                <w:sz w:val="21"/>
                <w:szCs w:val="21"/>
              </w:rPr>
              <w:t>及</w:t>
            </w:r>
            <w:r>
              <w:rPr>
                <w:rFonts w:ascii="Times New Roman"/>
                <w:sz w:val="21"/>
                <w:szCs w:val="21"/>
              </w:rPr>
              <w:t>规模；</w:t>
            </w:r>
          </w:p>
          <w:p w14:paraId="4DC8A0A0">
            <w:pPr>
              <w:pStyle w:val="192"/>
              <w:spacing w:line="360" w:lineRule="auto"/>
              <w:jc w:val="both"/>
              <w:rPr>
                <w:rFonts w:ascii="Times New Roman"/>
                <w:sz w:val="21"/>
                <w:szCs w:val="21"/>
              </w:rPr>
            </w:pPr>
            <w:r>
              <w:rPr>
                <w:rFonts w:ascii="Times New Roman"/>
                <w:sz w:val="21"/>
                <w:szCs w:val="21"/>
              </w:rPr>
              <w:t>2.划分防渗墙与</w:t>
            </w:r>
            <w:r>
              <w:rPr>
                <w:rFonts w:hint="eastAsia" w:ascii="Times New Roman"/>
                <w:sz w:val="21"/>
                <w:szCs w:val="21"/>
              </w:rPr>
              <w:t>岩（土）体</w:t>
            </w:r>
            <w:r>
              <w:rPr>
                <w:rFonts w:ascii="Times New Roman"/>
                <w:sz w:val="21"/>
                <w:szCs w:val="21"/>
              </w:rPr>
              <w:t>的界线，</w:t>
            </w:r>
            <w:r>
              <w:rPr>
                <w:rFonts w:hint="eastAsia" w:ascii="Times New Roman"/>
                <w:sz w:val="21"/>
                <w:szCs w:val="21"/>
              </w:rPr>
              <w:t>基本</w:t>
            </w:r>
            <w:r>
              <w:rPr>
                <w:rFonts w:ascii="Times New Roman"/>
                <w:sz w:val="21"/>
                <w:szCs w:val="21"/>
              </w:rPr>
              <w:t>确定</w:t>
            </w:r>
            <w:r>
              <w:rPr>
                <w:rFonts w:hint="eastAsia" w:ascii="Times New Roman"/>
                <w:sz w:val="21"/>
                <w:szCs w:val="21"/>
              </w:rPr>
              <w:t>防渗墙深度</w:t>
            </w:r>
            <w:r>
              <w:rPr>
                <w:rFonts w:ascii="Times New Roman"/>
                <w:sz w:val="21"/>
                <w:szCs w:val="21"/>
              </w:rPr>
              <w:t>。</w:t>
            </w:r>
          </w:p>
        </w:tc>
        <w:tc>
          <w:tcPr>
            <w:tcW w:w="1981" w:type="pct"/>
            <w:shd w:val="clear" w:color="auto" w:fill="auto"/>
            <w:vAlign w:val="center"/>
          </w:tcPr>
          <w:p w14:paraId="1A3C2CF1">
            <w:pPr>
              <w:pStyle w:val="192"/>
              <w:spacing w:line="360" w:lineRule="auto"/>
              <w:jc w:val="both"/>
              <w:rPr>
                <w:rFonts w:ascii="Times New Roman"/>
                <w:sz w:val="21"/>
                <w:szCs w:val="21"/>
              </w:rPr>
            </w:pPr>
            <w:r>
              <w:rPr>
                <w:rFonts w:ascii="Times New Roman"/>
                <w:sz w:val="21"/>
                <w:szCs w:val="21"/>
              </w:rPr>
              <w:t>1.被检测的目标体与周围介质之间存在较明显的</w:t>
            </w:r>
            <w:r>
              <w:rPr>
                <w:rFonts w:hint="eastAsia" w:ascii="Times New Roman"/>
                <w:sz w:val="21"/>
                <w:szCs w:val="21"/>
              </w:rPr>
              <w:t>电阻率</w:t>
            </w:r>
            <w:r>
              <w:rPr>
                <w:rFonts w:ascii="Times New Roman"/>
                <w:sz w:val="21"/>
                <w:szCs w:val="21"/>
              </w:rPr>
              <w:t>差异；2</w:t>
            </w:r>
            <w:bookmarkStart w:id="317" w:name="OLE_LINK11"/>
            <w:r>
              <w:rPr>
                <w:rFonts w:ascii="Times New Roman"/>
                <w:sz w:val="21"/>
                <w:szCs w:val="21"/>
              </w:rPr>
              <w:t>.</w:t>
            </w:r>
            <w:r>
              <w:rPr>
                <w:rFonts w:hint="eastAsia" w:ascii="Times New Roman"/>
                <w:sz w:val="21"/>
                <w:szCs w:val="21"/>
              </w:rPr>
              <w:t>检测</w:t>
            </w:r>
            <w:bookmarkEnd w:id="317"/>
            <w:r>
              <w:rPr>
                <w:rFonts w:ascii="Times New Roman"/>
                <w:sz w:val="21"/>
                <w:szCs w:val="21"/>
              </w:rPr>
              <w:t>区内接地条件良好或能通过采取措施加以改善；</w:t>
            </w:r>
          </w:p>
          <w:p w14:paraId="5F157426">
            <w:pPr>
              <w:pStyle w:val="192"/>
              <w:spacing w:line="360" w:lineRule="auto"/>
              <w:jc w:val="both"/>
              <w:rPr>
                <w:rFonts w:ascii="Times New Roman"/>
                <w:sz w:val="21"/>
                <w:szCs w:val="21"/>
              </w:rPr>
            </w:pPr>
            <w:r>
              <w:rPr>
                <w:rFonts w:ascii="Times New Roman"/>
                <w:sz w:val="21"/>
                <w:szCs w:val="21"/>
              </w:rPr>
              <w:t>3.</w:t>
            </w:r>
            <w:r>
              <w:rPr>
                <w:rFonts w:hint="eastAsia" w:ascii="Times New Roman"/>
                <w:sz w:val="21"/>
                <w:szCs w:val="21"/>
              </w:rPr>
              <w:t>检测</w:t>
            </w:r>
            <w:r>
              <w:rPr>
                <w:rFonts w:ascii="Times New Roman"/>
                <w:sz w:val="21"/>
                <w:szCs w:val="21"/>
              </w:rPr>
              <w:t>区内没有电阻屏蔽层、高压电缆等强干扰存在；</w:t>
            </w:r>
          </w:p>
          <w:p w14:paraId="51905FAA">
            <w:pPr>
              <w:pStyle w:val="192"/>
              <w:spacing w:line="360" w:lineRule="auto"/>
              <w:jc w:val="both"/>
              <w:rPr>
                <w:rFonts w:ascii="Times New Roman"/>
                <w:sz w:val="21"/>
                <w:szCs w:val="21"/>
              </w:rPr>
            </w:pPr>
            <w:r>
              <w:rPr>
                <w:rFonts w:ascii="Times New Roman"/>
                <w:sz w:val="21"/>
                <w:szCs w:val="21"/>
              </w:rPr>
              <w:t>4.地形无剧烈变化，要求有一定场地条件。</w:t>
            </w:r>
          </w:p>
        </w:tc>
        <w:tc>
          <w:tcPr>
            <w:tcW w:w="1140" w:type="pct"/>
            <w:shd w:val="clear" w:color="auto" w:fill="auto"/>
            <w:vAlign w:val="center"/>
          </w:tcPr>
          <w:p w14:paraId="7BC31079">
            <w:pPr>
              <w:pStyle w:val="192"/>
              <w:spacing w:line="360" w:lineRule="auto"/>
              <w:jc w:val="both"/>
              <w:rPr>
                <w:rFonts w:ascii="Times New Roman"/>
                <w:sz w:val="21"/>
                <w:szCs w:val="21"/>
              </w:rPr>
            </w:pPr>
            <w:r>
              <w:rPr>
                <w:rFonts w:ascii="Times New Roman"/>
                <w:sz w:val="21"/>
                <w:szCs w:val="21"/>
              </w:rPr>
              <w:t>1.兼具剖面、测深功能，装置形式多样；</w:t>
            </w:r>
          </w:p>
          <w:p w14:paraId="2FFB8D01">
            <w:pPr>
              <w:pStyle w:val="192"/>
              <w:spacing w:line="360" w:lineRule="auto"/>
              <w:jc w:val="both"/>
              <w:rPr>
                <w:rFonts w:ascii="Times New Roman"/>
                <w:sz w:val="21"/>
                <w:szCs w:val="21"/>
              </w:rPr>
            </w:pPr>
            <w:r>
              <w:rPr>
                <w:rFonts w:ascii="Times New Roman"/>
                <w:sz w:val="21"/>
                <w:szCs w:val="21"/>
              </w:rPr>
              <w:t>2.分辨率相对较高，质量可靠，信息丰富、直观，便于整体分析；</w:t>
            </w:r>
          </w:p>
          <w:p w14:paraId="6FAA12A2">
            <w:pPr>
              <w:pStyle w:val="192"/>
              <w:spacing w:line="360" w:lineRule="auto"/>
              <w:jc w:val="both"/>
              <w:rPr>
                <w:rFonts w:ascii="Times New Roman"/>
                <w:sz w:val="21"/>
                <w:szCs w:val="21"/>
              </w:rPr>
            </w:pPr>
            <w:r>
              <w:rPr>
                <w:rFonts w:ascii="Times New Roman"/>
                <w:sz w:val="21"/>
                <w:szCs w:val="21"/>
              </w:rPr>
              <w:t>3.工作效率</w:t>
            </w:r>
            <w:r>
              <w:rPr>
                <w:rFonts w:hint="eastAsia" w:ascii="Times New Roman"/>
                <w:sz w:val="21"/>
                <w:szCs w:val="21"/>
              </w:rPr>
              <w:t>中等</w:t>
            </w:r>
            <w:r>
              <w:rPr>
                <w:rFonts w:ascii="Times New Roman"/>
                <w:sz w:val="21"/>
                <w:szCs w:val="21"/>
              </w:rPr>
              <w:t>，成本</w:t>
            </w:r>
            <w:r>
              <w:rPr>
                <w:rFonts w:hint="eastAsia" w:ascii="Times New Roman"/>
                <w:sz w:val="21"/>
                <w:szCs w:val="21"/>
              </w:rPr>
              <w:t>较高</w:t>
            </w:r>
            <w:r>
              <w:rPr>
                <w:rFonts w:ascii="Times New Roman"/>
                <w:sz w:val="21"/>
                <w:szCs w:val="21"/>
              </w:rPr>
              <w:t>。</w:t>
            </w:r>
          </w:p>
        </w:tc>
      </w:tr>
      <w:tr w14:paraId="57D4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3" w:type="pct"/>
            <w:shd w:val="clear" w:color="auto" w:fill="auto"/>
            <w:vAlign w:val="center"/>
          </w:tcPr>
          <w:p w14:paraId="3155A41F">
            <w:pPr>
              <w:pStyle w:val="192"/>
              <w:spacing w:line="360" w:lineRule="auto"/>
              <w:rPr>
                <w:rFonts w:ascii="Times New Roman"/>
                <w:sz w:val="21"/>
                <w:szCs w:val="21"/>
              </w:rPr>
            </w:pPr>
            <w:r>
              <w:rPr>
                <w:rFonts w:ascii="Times New Roman"/>
                <w:sz w:val="21"/>
                <w:szCs w:val="21"/>
              </w:rPr>
              <w:t>电磁法</w:t>
            </w:r>
          </w:p>
        </w:tc>
        <w:tc>
          <w:tcPr>
            <w:tcW w:w="559" w:type="pct"/>
            <w:shd w:val="clear" w:color="auto" w:fill="auto"/>
            <w:vAlign w:val="center"/>
          </w:tcPr>
          <w:p w14:paraId="66548D02">
            <w:pPr>
              <w:pStyle w:val="192"/>
              <w:spacing w:line="360" w:lineRule="auto"/>
              <w:rPr>
                <w:rFonts w:ascii="Times New Roman"/>
                <w:sz w:val="21"/>
                <w:szCs w:val="21"/>
              </w:rPr>
            </w:pPr>
            <w:r>
              <w:rPr>
                <w:rFonts w:ascii="Times New Roman"/>
                <w:sz w:val="21"/>
                <w:szCs w:val="21"/>
              </w:rPr>
              <w:t>探地雷达法</w:t>
            </w:r>
          </w:p>
        </w:tc>
        <w:tc>
          <w:tcPr>
            <w:tcW w:w="914" w:type="pct"/>
            <w:vMerge w:val="continue"/>
            <w:shd w:val="clear" w:color="auto" w:fill="auto"/>
            <w:vAlign w:val="center"/>
          </w:tcPr>
          <w:p w14:paraId="76695F50">
            <w:pPr>
              <w:pStyle w:val="192"/>
              <w:spacing w:line="360" w:lineRule="auto"/>
              <w:jc w:val="both"/>
              <w:rPr>
                <w:rFonts w:ascii="Times New Roman"/>
                <w:sz w:val="21"/>
                <w:szCs w:val="21"/>
              </w:rPr>
            </w:pPr>
          </w:p>
        </w:tc>
        <w:tc>
          <w:tcPr>
            <w:tcW w:w="1981" w:type="pct"/>
            <w:shd w:val="clear" w:color="auto" w:fill="auto"/>
            <w:vAlign w:val="center"/>
          </w:tcPr>
          <w:p w14:paraId="4FD1D83C">
            <w:pPr>
              <w:pStyle w:val="34"/>
              <w:spacing w:after="0" w:line="360" w:lineRule="auto"/>
              <w:ind w:left="0" w:leftChars="0" w:firstLine="0" w:firstLineChars="0"/>
              <w:rPr>
                <w:rFonts w:ascii="Times New Roman" w:hAnsi="Times New Roman"/>
                <w:kern w:val="0"/>
              </w:rPr>
            </w:pPr>
            <w:r>
              <w:rPr>
                <w:rFonts w:ascii="Times New Roman" w:hAnsi="Times New Roman"/>
                <w:kern w:val="0"/>
              </w:rPr>
              <w:t>1.被检测的目标体与周边介质之间存在明显的介电性质差异；2.</w:t>
            </w:r>
            <w:r>
              <w:rPr>
                <w:rFonts w:hint="eastAsia" w:ascii="Times New Roman"/>
              </w:rPr>
              <w:t xml:space="preserve"> 检测</w:t>
            </w:r>
            <w:r>
              <w:rPr>
                <w:rFonts w:ascii="Times New Roman" w:hAnsi="Times New Roman"/>
                <w:kern w:val="0"/>
              </w:rPr>
              <w:t>区内浅表层没有强干扰源（层）存在；</w:t>
            </w:r>
          </w:p>
          <w:p w14:paraId="0E37E79A">
            <w:pPr>
              <w:pStyle w:val="34"/>
              <w:spacing w:after="0" w:line="360" w:lineRule="auto"/>
              <w:ind w:left="0" w:leftChars="0" w:firstLine="0" w:firstLineChars="0"/>
              <w:rPr>
                <w:rFonts w:ascii="Times New Roman" w:hAnsi="Times New Roman"/>
                <w:kern w:val="0"/>
              </w:rPr>
            </w:pPr>
            <w:r>
              <w:rPr>
                <w:rFonts w:ascii="Times New Roman" w:hAnsi="Times New Roman"/>
                <w:kern w:val="0"/>
              </w:rPr>
              <w:t>3.</w:t>
            </w:r>
            <w:r>
              <w:rPr>
                <w:rFonts w:hint="eastAsia" w:ascii="Times New Roman"/>
              </w:rPr>
              <w:t xml:space="preserve"> 检测</w:t>
            </w:r>
            <w:r>
              <w:rPr>
                <w:rFonts w:ascii="Times New Roman"/>
              </w:rPr>
              <w:t>区</w:t>
            </w:r>
            <w:r>
              <w:rPr>
                <w:rFonts w:ascii="Times New Roman" w:hAnsi="Times New Roman"/>
                <w:kern w:val="0"/>
              </w:rPr>
              <w:t>内地表相对平坦；</w:t>
            </w:r>
          </w:p>
          <w:p w14:paraId="397F126A">
            <w:pPr>
              <w:pStyle w:val="34"/>
              <w:spacing w:after="0" w:line="360" w:lineRule="auto"/>
              <w:ind w:left="0" w:leftChars="0" w:firstLine="0" w:firstLineChars="0"/>
              <w:rPr>
                <w:rFonts w:ascii="Times New Roman"/>
              </w:rPr>
            </w:pPr>
            <w:r>
              <w:rPr>
                <w:rFonts w:ascii="Times New Roman"/>
              </w:rPr>
              <w:t>4.</w:t>
            </w:r>
            <w:r>
              <w:rPr>
                <w:rFonts w:hint="eastAsia" w:ascii="Times New Roman"/>
              </w:rPr>
              <w:t>检测</w:t>
            </w:r>
            <w:r>
              <w:rPr>
                <w:rFonts w:ascii="Times New Roman"/>
              </w:rPr>
              <w:t>深度较小，最大深度</w:t>
            </w:r>
            <w:r>
              <w:rPr>
                <w:rFonts w:hint="eastAsia" w:ascii="Times New Roman"/>
              </w:rPr>
              <w:t>不高于2</w:t>
            </w:r>
            <w:r>
              <w:rPr>
                <w:rFonts w:ascii="Times New Roman"/>
              </w:rPr>
              <w:t>0m。</w:t>
            </w:r>
          </w:p>
        </w:tc>
        <w:tc>
          <w:tcPr>
            <w:tcW w:w="1140" w:type="pct"/>
            <w:shd w:val="clear" w:color="auto" w:fill="auto"/>
            <w:vAlign w:val="center"/>
          </w:tcPr>
          <w:p w14:paraId="5E54D2D7">
            <w:pPr>
              <w:pStyle w:val="192"/>
              <w:spacing w:line="360" w:lineRule="auto"/>
              <w:jc w:val="both"/>
              <w:rPr>
                <w:rFonts w:ascii="Times New Roman"/>
                <w:sz w:val="21"/>
                <w:szCs w:val="21"/>
              </w:rPr>
            </w:pPr>
            <w:r>
              <w:rPr>
                <w:rFonts w:ascii="Times New Roman"/>
                <w:sz w:val="21"/>
                <w:szCs w:val="21"/>
              </w:rPr>
              <w:t>1.具有较高的分辨率，适用范围广； 2.受地形、场地限制较小；</w:t>
            </w:r>
          </w:p>
          <w:p w14:paraId="3EC9C5C0">
            <w:pPr>
              <w:pStyle w:val="192"/>
              <w:spacing w:line="360" w:lineRule="auto"/>
              <w:jc w:val="both"/>
              <w:rPr>
                <w:rFonts w:ascii="Times New Roman"/>
                <w:sz w:val="21"/>
                <w:szCs w:val="21"/>
              </w:rPr>
            </w:pPr>
            <w:r>
              <w:rPr>
                <w:rFonts w:ascii="Times New Roman"/>
                <w:sz w:val="21"/>
                <w:szCs w:val="21"/>
              </w:rPr>
              <w:t>3.工作效率高，成本低。</w:t>
            </w:r>
          </w:p>
        </w:tc>
      </w:tr>
    </w:tbl>
    <w:p w14:paraId="03D330D5">
      <w:pPr>
        <w:sectPr>
          <w:headerReference r:id="rId35" w:type="default"/>
          <w:footerReference r:id="rId37" w:type="default"/>
          <w:headerReference r:id="rId36" w:type="even"/>
          <w:footerReference r:id="rId38" w:type="even"/>
          <w:pgSz w:w="16838" w:h="11906" w:orient="landscape"/>
          <w:pgMar w:top="1797" w:right="1440" w:bottom="1797" w:left="1440" w:header="1418" w:footer="1134" w:gutter="0"/>
          <w:cols w:space="425" w:num="1"/>
          <w:formProt w:val="0"/>
          <w:docGrid w:type="lines" w:linePitch="312" w:charSpace="0"/>
        </w:sectPr>
      </w:pPr>
    </w:p>
    <w:p w14:paraId="7A5C20B7">
      <w:pPr>
        <w:pStyle w:val="18"/>
        <w:numPr>
          <w:ilvl w:val="0"/>
          <w:numId w:val="2"/>
        </w:numPr>
        <w:spacing w:line="360" w:lineRule="auto"/>
        <w:jc w:val="center"/>
        <w:rPr>
          <w:rFonts w:ascii="Times New Roman" w:hAnsi="Times New Roman"/>
          <w:b/>
          <w:szCs w:val="21"/>
        </w:rPr>
      </w:pPr>
      <w:r>
        <w:rPr>
          <w:rFonts w:hint="eastAsia" w:ascii="Times New Roman" w:hAnsi="Times New Roman"/>
          <w:b/>
          <w:szCs w:val="21"/>
        </w:rPr>
        <w:t>续表B</w:t>
      </w:r>
      <w:r>
        <w:rPr>
          <w:rFonts w:ascii="Times New Roman" w:hAnsi="Times New Roman"/>
          <w:b/>
          <w:szCs w:val="21"/>
        </w:rPr>
        <w:t xml:space="preserve"> </w:t>
      </w:r>
    </w:p>
    <w:tbl>
      <w:tblPr>
        <w:tblStyle w:val="35"/>
        <w:tblW w:w="500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33"/>
        <w:gridCol w:w="1418"/>
        <w:gridCol w:w="3549"/>
        <w:gridCol w:w="4692"/>
        <w:gridCol w:w="3182"/>
        <w:gridCol w:w="8"/>
      </w:tblGrid>
      <w:tr w14:paraId="7A60E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After w:val="1"/>
          <w:wAfter w:w="3" w:type="pct"/>
          <w:tblHeader/>
          <w:jc w:val="center"/>
        </w:trPr>
        <w:tc>
          <w:tcPr>
            <w:tcW w:w="912" w:type="pct"/>
            <w:gridSpan w:val="2"/>
            <w:tcBorders>
              <w:top w:val="single" w:color="auto" w:sz="4" w:space="0"/>
              <w:left w:val="single" w:color="auto" w:sz="4" w:space="0"/>
              <w:bottom w:val="single" w:color="auto" w:sz="4" w:space="0"/>
            </w:tcBorders>
            <w:shd w:val="clear" w:color="auto" w:fill="auto"/>
          </w:tcPr>
          <w:p w14:paraId="67035EEE">
            <w:pPr>
              <w:pStyle w:val="192"/>
              <w:spacing w:line="360" w:lineRule="auto"/>
              <w:rPr>
                <w:rFonts w:ascii="Times New Roman"/>
                <w:sz w:val="21"/>
                <w:szCs w:val="21"/>
              </w:rPr>
            </w:pPr>
            <w:r>
              <w:rPr>
                <w:rFonts w:ascii="Times New Roman"/>
                <w:sz w:val="21"/>
                <w:szCs w:val="21"/>
              </w:rPr>
              <w:t>地球物理检测方法</w:t>
            </w:r>
          </w:p>
        </w:tc>
        <w:tc>
          <w:tcPr>
            <w:tcW w:w="1269" w:type="pct"/>
            <w:tcBorders>
              <w:top w:val="single" w:color="auto" w:sz="4" w:space="0"/>
              <w:bottom w:val="single" w:color="auto" w:sz="4" w:space="0"/>
            </w:tcBorders>
            <w:shd w:val="clear" w:color="auto" w:fill="auto"/>
          </w:tcPr>
          <w:p w14:paraId="4B6FE914">
            <w:pPr>
              <w:pStyle w:val="192"/>
              <w:spacing w:line="360" w:lineRule="auto"/>
              <w:rPr>
                <w:rFonts w:ascii="Times New Roman"/>
                <w:sz w:val="21"/>
                <w:szCs w:val="21"/>
              </w:rPr>
            </w:pPr>
            <w:r>
              <w:rPr>
                <w:rFonts w:ascii="Times New Roman"/>
                <w:sz w:val="21"/>
                <w:szCs w:val="21"/>
              </w:rPr>
              <w:t>检测内容</w:t>
            </w:r>
          </w:p>
        </w:tc>
        <w:tc>
          <w:tcPr>
            <w:tcW w:w="1678" w:type="pct"/>
            <w:tcBorders>
              <w:top w:val="single" w:color="auto" w:sz="4" w:space="0"/>
              <w:bottom w:val="single" w:color="auto" w:sz="4" w:space="0"/>
            </w:tcBorders>
            <w:shd w:val="clear" w:color="auto" w:fill="auto"/>
          </w:tcPr>
          <w:p w14:paraId="60F6601F">
            <w:pPr>
              <w:pStyle w:val="192"/>
              <w:spacing w:line="360" w:lineRule="auto"/>
              <w:rPr>
                <w:rFonts w:ascii="Times New Roman"/>
                <w:sz w:val="21"/>
                <w:szCs w:val="21"/>
              </w:rPr>
            </w:pPr>
            <w:r>
              <w:rPr>
                <w:rFonts w:ascii="Times New Roman"/>
                <w:sz w:val="21"/>
                <w:szCs w:val="21"/>
              </w:rPr>
              <w:t>应用条件</w:t>
            </w:r>
          </w:p>
        </w:tc>
        <w:tc>
          <w:tcPr>
            <w:tcW w:w="1138" w:type="pct"/>
            <w:tcBorders>
              <w:top w:val="single" w:color="auto" w:sz="4" w:space="0"/>
              <w:bottom w:val="single" w:color="auto" w:sz="4" w:space="0"/>
              <w:right w:val="single" w:color="auto" w:sz="4" w:space="0"/>
            </w:tcBorders>
            <w:shd w:val="clear" w:color="auto" w:fill="auto"/>
          </w:tcPr>
          <w:p w14:paraId="1CE4E717">
            <w:pPr>
              <w:pStyle w:val="192"/>
              <w:spacing w:line="360" w:lineRule="auto"/>
              <w:rPr>
                <w:rFonts w:ascii="Times New Roman"/>
                <w:sz w:val="21"/>
                <w:szCs w:val="21"/>
              </w:rPr>
            </w:pPr>
            <w:r>
              <w:rPr>
                <w:rFonts w:ascii="Times New Roman"/>
                <w:sz w:val="21"/>
                <w:szCs w:val="21"/>
              </w:rPr>
              <w:t>方法特点</w:t>
            </w:r>
          </w:p>
        </w:tc>
      </w:tr>
      <w:tr w14:paraId="70EC7B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shd w:val="clear" w:color="auto" w:fill="auto"/>
            <w:vAlign w:val="center"/>
          </w:tcPr>
          <w:p w14:paraId="4504BDCB">
            <w:pPr>
              <w:pStyle w:val="192"/>
              <w:spacing w:line="360" w:lineRule="auto"/>
              <w:rPr>
                <w:rFonts w:ascii="Times New Roman"/>
                <w:sz w:val="21"/>
                <w:szCs w:val="21"/>
              </w:rPr>
            </w:pPr>
            <w:r>
              <w:rPr>
                <w:rFonts w:ascii="Times New Roman"/>
                <w:sz w:val="21"/>
                <w:szCs w:val="21"/>
              </w:rPr>
              <w:t>电磁法</w:t>
            </w:r>
          </w:p>
        </w:tc>
        <w:tc>
          <w:tcPr>
            <w:tcW w:w="507" w:type="pct"/>
            <w:tcBorders>
              <w:top w:val="single" w:color="auto" w:sz="4" w:space="0"/>
              <w:bottom w:val="single" w:color="auto" w:sz="4" w:space="0"/>
            </w:tcBorders>
            <w:shd w:val="clear" w:color="auto" w:fill="auto"/>
            <w:vAlign w:val="center"/>
          </w:tcPr>
          <w:p w14:paraId="51892795">
            <w:pPr>
              <w:pStyle w:val="192"/>
              <w:spacing w:line="360" w:lineRule="auto"/>
              <w:rPr>
                <w:rFonts w:ascii="Times New Roman"/>
                <w:sz w:val="21"/>
                <w:szCs w:val="21"/>
              </w:rPr>
            </w:pPr>
            <w:r>
              <w:rPr>
                <w:rFonts w:ascii="Times New Roman"/>
                <w:sz w:val="21"/>
                <w:szCs w:val="21"/>
              </w:rPr>
              <w:t>瞬变</w:t>
            </w:r>
            <w:r>
              <w:rPr>
                <w:rFonts w:hint="eastAsia" w:ascii="Times New Roman"/>
                <w:sz w:val="21"/>
                <w:szCs w:val="21"/>
              </w:rPr>
              <w:t>电磁</w:t>
            </w:r>
            <w:r>
              <w:rPr>
                <w:rFonts w:ascii="Times New Roman"/>
                <w:sz w:val="21"/>
                <w:szCs w:val="21"/>
              </w:rPr>
              <w:t>法</w:t>
            </w:r>
          </w:p>
        </w:tc>
        <w:tc>
          <w:tcPr>
            <w:tcW w:w="1269" w:type="pct"/>
            <w:tcBorders>
              <w:top w:val="single" w:color="auto" w:sz="4" w:space="0"/>
              <w:bottom w:val="single" w:color="auto" w:sz="4" w:space="0"/>
            </w:tcBorders>
            <w:shd w:val="clear" w:color="auto" w:fill="auto"/>
            <w:vAlign w:val="center"/>
          </w:tcPr>
          <w:p w14:paraId="120A2B6D">
            <w:pPr>
              <w:pStyle w:val="192"/>
              <w:spacing w:line="360" w:lineRule="auto"/>
              <w:jc w:val="both"/>
              <w:rPr>
                <w:rFonts w:ascii="Times New Roman"/>
                <w:sz w:val="21"/>
                <w:szCs w:val="21"/>
              </w:rPr>
            </w:pPr>
            <w:r>
              <w:rPr>
                <w:rFonts w:ascii="Times New Roman"/>
                <w:sz w:val="21"/>
                <w:szCs w:val="21"/>
              </w:rPr>
              <w:t>1.检测防渗墙的完整性、连续性，圈定防渗墙中质量缺陷的位置、规模、产状；2.划分防渗墙与</w:t>
            </w:r>
            <w:r>
              <w:rPr>
                <w:rFonts w:hint="eastAsia" w:ascii="Times New Roman"/>
                <w:sz w:val="21"/>
                <w:szCs w:val="21"/>
              </w:rPr>
              <w:t>岩（土）体</w:t>
            </w:r>
            <w:r>
              <w:rPr>
                <w:rFonts w:ascii="Times New Roman"/>
                <w:sz w:val="21"/>
                <w:szCs w:val="21"/>
              </w:rPr>
              <w:t>的界线，</w:t>
            </w:r>
            <w:r>
              <w:rPr>
                <w:rFonts w:hint="eastAsia" w:ascii="Times New Roman"/>
                <w:sz w:val="21"/>
                <w:szCs w:val="21"/>
              </w:rPr>
              <w:t>基本</w:t>
            </w:r>
            <w:r>
              <w:rPr>
                <w:rFonts w:ascii="Times New Roman"/>
                <w:sz w:val="21"/>
                <w:szCs w:val="21"/>
              </w:rPr>
              <w:t>确定</w:t>
            </w:r>
            <w:r>
              <w:rPr>
                <w:rFonts w:hint="eastAsia" w:ascii="Times New Roman"/>
                <w:sz w:val="21"/>
                <w:szCs w:val="21"/>
              </w:rPr>
              <w:t>防渗墙深度</w:t>
            </w:r>
            <w:r>
              <w:rPr>
                <w:rFonts w:ascii="Times New Roman"/>
                <w:sz w:val="21"/>
                <w:szCs w:val="21"/>
              </w:rPr>
              <w:t>。</w:t>
            </w:r>
          </w:p>
        </w:tc>
        <w:tc>
          <w:tcPr>
            <w:tcW w:w="1678" w:type="pct"/>
            <w:tcBorders>
              <w:top w:val="single" w:color="auto" w:sz="4" w:space="0"/>
              <w:bottom w:val="single" w:color="auto" w:sz="4" w:space="0"/>
            </w:tcBorders>
            <w:shd w:val="clear" w:color="auto" w:fill="auto"/>
            <w:vAlign w:val="center"/>
          </w:tcPr>
          <w:p w14:paraId="00B12E65">
            <w:pPr>
              <w:pStyle w:val="192"/>
              <w:spacing w:line="360" w:lineRule="auto"/>
              <w:jc w:val="both"/>
              <w:rPr>
                <w:rFonts w:ascii="Times New Roman"/>
                <w:sz w:val="21"/>
                <w:szCs w:val="21"/>
              </w:rPr>
            </w:pPr>
            <w:r>
              <w:rPr>
                <w:rFonts w:ascii="Times New Roman"/>
                <w:sz w:val="21"/>
                <w:szCs w:val="21"/>
              </w:rPr>
              <w:t>1.被检测的目标体与周边介质之间存在电性差异；</w:t>
            </w:r>
          </w:p>
          <w:p w14:paraId="3F87941D">
            <w:pPr>
              <w:pStyle w:val="192"/>
              <w:spacing w:line="360" w:lineRule="auto"/>
              <w:jc w:val="both"/>
              <w:rPr>
                <w:rFonts w:ascii="Times New Roman"/>
                <w:sz w:val="21"/>
                <w:szCs w:val="21"/>
              </w:rPr>
            </w:pPr>
            <w:r>
              <w:rPr>
                <w:rFonts w:ascii="Times New Roman"/>
                <w:sz w:val="21"/>
                <w:szCs w:val="21"/>
              </w:rPr>
              <w:t>2.测区内没有强电磁干扰。</w:t>
            </w:r>
          </w:p>
        </w:tc>
        <w:tc>
          <w:tcPr>
            <w:tcW w:w="1141" w:type="pct"/>
            <w:gridSpan w:val="2"/>
            <w:tcBorders>
              <w:top w:val="single" w:color="auto" w:sz="4" w:space="0"/>
              <w:bottom w:val="single" w:color="auto" w:sz="4" w:space="0"/>
              <w:right w:val="single" w:color="auto" w:sz="4" w:space="0"/>
            </w:tcBorders>
            <w:shd w:val="clear" w:color="auto" w:fill="auto"/>
            <w:vAlign w:val="center"/>
          </w:tcPr>
          <w:p w14:paraId="1155496B">
            <w:pPr>
              <w:pStyle w:val="192"/>
              <w:spacing w:line="360" w:lineRule="auto"/>
              <w:jc w:val="both"/>
              <w:rPr>
                <w:rFonts w:ascii="Times New Roman"/>
                <w:sz w:val="21"/>
                <w:szCs w:val="21"/>
              </w:rPr>
            </w:pPr>
            <w:r>
              <w:rPr>
                <w:rFonts w:ascii="Times New Roman"/>
                <w:sz w:val="21"/>
                <w:szCs w:val="21"/>
              </w:rPr>
              <w:t>1.静态影响和地形影响较小，对低阻体反映灵敏；</w:t>
            </w:r>
          </w:p>
          <w:p w14:paraId="21667D26">
            <w:pPr>
              <w:pStyle w:val="192"/>
              <w:spacing w:line="360" w:lineRule="auto"/>
              <w:jc w:val="both"/>
              <w:rPr>
                <w:rFonts w:ascii="Times New Roman"/>
                <w:sz w:val="21"/>
                <w:szCs w:val="21"/>
              </w:rPr>
            </w:pPr>
            <w:r>
              <w:rPr>
                <w:rFonts w:ascii="Times New Roman"/>
                <w:sz w:val="21"/>
                <w:szCs w:val="21"/>
              </w:rPr>
              <w:t>2.工作方式灵活多样，受地形、接地影响小；</w:t>
            </w:r>
          </w:p>
          <w:p w14:paraId="5B5F57E9">
            <w:pPr>
              <w:pStyle w:val="192"/>
              <w:spacing w:line="360" w:lineRule="auto"/>
              <w:jc w:val="both"/>
              <w:rPr>
                <w:rFonts w:ascii="Times New Roman"/>
                <w:sz w:val="21"/>
                <w:szCs w:val="21"/>
              </w:rPr>
            </w:pPr>
            <w:r>
              <w:rPr>
                <w:rFonts w:ascii="Times New Roman"/>
                <w:sz w:val="21"/>
                <w:szCs w:val="21"/>
              </w:rPr>
              <w:t>3.工作效率高，成本适中。</w:t>
            </w:r>
          </w:p>
        </w:tc>
      </w:tr>
      <w:tr w14:paraId="77BE72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vMerge w:val="restart"/>
            <w:shd w:val="clear" w:color="auto" w:fill="auto"/>
            <w:vAlign w:val="center"/>
          </w:tcPr>
          <w:p w14:paraId="6914FF5F">
            <w:pPr>
              <w:pStyle w:val="192"/>
              <w:spacing w:line="360" w:lineRule="auto"/>
              <w:rPr>
                <w:rFonts w:ascii="Times New Roman"/>
                <w:sz w:val="21"/>
                <w:szCs w:val="21"/>
              </w:rPr>
            </w:pPr>
            <w:r>
              <w:rPr>
                <w:rFonts w:hint="eastAsia" w:ascii="Times New Roman"/>
                <w:sz w:val="21"/>
                <w:szCs w:val="21"/>
              </w:rPr>
              <w:t>浅层地震法</w:t>
            </w:r>
          </w:p>
        </w:tc>
        <w:tc>
          <w:tcPr>
            <w:tcW w:w="507" w:type="pct"/>
            <w:tcBorders>
              <w:top w:val="single" w:color="auto" w:sz="4" w:space="0"/>
              <w:bottom w:val="single" w:color="auto" w:sz="4" w:space="0"/>
            </w:tcBorders>
            <w:shd w:val="clear" w:color="auto" w:fill="auto"/>
            <w:vAlign w:val="center"/>
          </w:tcPr>
          <w:p w14:paraId="33D39923">
            <w:pPr>
              <w:pStyle w:val="192"/>
              <w:spacing w:line="360" w:lineRule="auto"/>
              <w:rPr>
                <w:rFonts w:ascii="Times New Roman"/>
                <w:sz w:val="21"/>
                <w:szCs w:val="21"/>
              </w:rPr>
            </w:pPr>
            <w:r>
              <w:rPr>
                <w:rFonts w:ascii="Times New Roman"/>
                <w:sz w:val="21"/>
                <w:szCs w:val="21"/>
              </w:rPr>
              <w:t>瞬态面波法</w:t>
            </w:r>
          </w:p>
        </w:tc>
        <w:tc>
          <w:tcPr>
            <w:tcW w:w="1269" w:type="pct"/>
            <w:tcBorders>
              <w:top w:val="single" w:color="auto" w:sz="4" w:space="0"/>
              <w:bottom w:val="single" w:color="auto" w:sz="4" w:space="0"/>
            </w:tcBorders>
            <w:shd w:val="clear" w:color="auto" w:fill="auto"/>
            <w:vAlign w:val="center"/>
          </w:tcPr>
          <w:p w14:paraId="1A477FCE">
            <w:pPr>
              <w:pStyle w:val="34"/>
              <w:spacing w:after="0" w:line="360" w:lineRule="auto"/>
              <w:ind w:left="0" w:leftChars="0" w:firstLine="0" w:firstLineChars="0"/>
              <w:rPr>
                <w:rFonts w:ascii="Times New Roman" w:hAnsi="Times New Roman"/>
                <w:kern w:val="0"/>
              </w:rPr>
            </w:pPr>
            <w:r>
              <w:rPr>
                <w:rFonts w:ascii="Times New Roman" w:hAnsi="Times New Roman"/>
                <w:kern w:val="0"/>
              </w:rPr>
              <w:t>1.检测防渗墙的完整性、连续性，圈定防渗墙中质量缺陷的位置、规模、产状；</w:t>
            </w:r>
            <w:r>
              <w:rPr>
                <w:rFonts w:ascii="Times New Roman"/>
              </w:rPr>
              <w:t>2.划分防渗墙与岩（土）</w:t>
            </w:r>
            <w:r>
              <w:rPr>
                <w:rFonts w:hint="eastAsia" w:ascii="Times New Roman"/>
              </w:rPr>
              <w:t>体</w:t>
            </w:r>
            <w:r>
              <w:rPr>
                <w:rFonts w:ascii="Times New Roman"/>
              </w:rPr>
              <w:t>的界线，</w:t>
            </w:r>
            <w:r>
              <w:rPr>
                <w:rFonts w:hint="eastAsia" w:ascii="Times New Roman"/>
              </w:rPr>
              <w:t>基本</w:t>
            </w:r>
            <w:r>
              <w:rPr>
                <w:rFonts w:ascii="Times New Roman"/>
              </w:rPr>
              <w:t>确定</w:t>
            </w:r>
            <w:r>
              <w:rPr>
                <w:rFonts w:hint="eastAsia" w:ascii="Times New Roman"/>
              </w:rPr>
              <w:t>防渗墙深度</w:t>
            </w:r>
            <w:r>
              <w:rPr>
                <w:rFonts w:ascii="Times New Roman"/>
              </w:rPr>
              <w:t>。</w:t>
            </w:r>
          </w:p>
        </w:tc>
        <w:tc>
          <w:tcPr>
            <w:tcW w:w="1678" w:type="pct"/>
            <w:tcBorders>
              <w:top w:val="single" w:color="auto" w:sz="4" w:space="0"/>
              <w:bottom w:val="single" w:color="auto" w:sz="4" w:space="0"/>
            </w:tcBorders>
            <w:shd w:val="clear" w:color="auto" w:fill="auto"/>
            <w:vAlign w:val="center"/>
          </w:tcPr>
          <w:p w14:paraId="2F64E1B9">
            <w:pPr>
              <w:pStyle w:val="34"/>
              <w:spacing w:after="0" w:line="360" w:lineRule="auto"/>
              <w:ind w:left="0" w:leftChars="0" w:firstLine="0" w:firstLineChars="0"/>
              <w:rPr>
                <w:rFonts w:ascii="Times New Roman" w:hAnsi="Times New Roman"/>
                <w:kern w:val="0"/>
              </w:rPr>
            </w:pPr>
            <w:r>
              <w:rPr>
                <w:rFonts w:ascii="Times New Roman" w:hAnsi="Times New Roman"/>
                <w:kern w:val="0"/>
              </w:rPr>
              <w:t>1.被检测的目标体与其周边介质之间存在速度或波阻抗差异；</w:t>
            </w:r>
          </w:p>
          <w:p w14:paraId="6F6DF992">
            <w:pPr>
              <w:pStyle w:val="34"/>
              <w:spacing w:after="0" w:line="360" w:lineRule="auto"/>
              <w:ind w:left="0" w:leftChars="0" w:firstLine="0" w:firstLineChars="0"/>
              <w:rPr>
                <w:rFonts w:ascii="Times New Roman" w:hAnsi="Times New Roman"/>
                <w:kern w:val="0"/>
              </w:rPr>
            </w:pPr>
            <w:r>
              <w:rPr>
                <w:rFonts w:ascii="Times New Roman" w:hAnsi="Times New Roman"/>
                <w:kern w:val="0"/>
              </w:rPr>
              <w:t>2.测区内地表相对平坦，无临空面、陡立面；</w:t>
            </w:r>
          </w:p>
          <w:p w14:paraId="1D481F9E">
            <w:pPr>
              <w:pStyle w:val="34"/>
              <w:spacing w:after="0" w:line="360" w:lineRule="auto"/>
              <w:ind w:left="0" w:leftChars="0" w:firstLine="0" w:firstLineChars="0"/>
              <w:rPr>
                <w:rFonts w:ascii="Times New Roman" w:hAnsi="Times New Roman"/>
                <w:kern w:val="0"/>
              </w:rPr>
            </w:pPr>
            <w:r>
              <w:rPr>
                <w:rFonts w:ascii="Times New Roman" w:hAnsi="Times New Roman"/>
                <w:kern w:val="0"/>
              </w:rPr>
              <w:t>3.人工噪音大的地区不宜开展；</w:t>
            </w:r>
          </w:p>
          <w:p w14:paraId="065BCE51">
            <w:pPr>
              <w:pStyle w:val="34"/>
              <w:spacing w:after="0" w:line="360" w:lineRule="auto"/>
              <w:ind w:left="0" w:leftChars="0" w:firstLine="0" w:firstLineChars="0"/>
              <w:rPr>
                <w:rFonts w:ascii="Times New Roman" w:hAnsi="Times New Roman"/>
                <w:kern w:val="0"/>
              </w:rPr>
            </w:pPr>
            <w:r>
              <w:rPr>
                <w:rFonts w:ascii="Times New Roman" w:hAnsi="Times New Roman"/>
                <w:kern w:val="0"/>
              </w:rPr>
              <w:t>4.地表硬化区域不宜开展。</w:t>
            </w:r>
          </w:p>
        </w:tc>
        <w:tc>
          <w:tcPr>
            <w:tcW w:w="1141" w:type="pct"/>
            <w:gridSpan w:val="2"/>
            <w:tcBorders>
              <w:top w:val="single" w:color="auto" w:sz="4" w:space="0"/>
              <w:bottom w:val="single" w:color="auto" w:sz="4" w:space="0"/>
              <w:right w:val="single" w:color="auto" w:sz="4" w:space="0"/>
            </w:tcBorders>
            <w:shd w:val="clear" w:color="auto" w:fill="auto"/>
            <w:vAlign w:val="center"/>
          </w:tcPr>
          <w:p w14:paraId="10835645">
            <w:pPr>
              <w:pStyle w:val="34"/>
              <w:spacing w:after="0" w:line="360" w:lineRule="auto"/>
              <w:ind w:left="0" w:leftChars="0" w:firstLine="0" w:firstLineChars="0"/>
              <w:rPr>
                <w:rFonts w:ascii="Times New Roman" w:hAnsi="Times New Roman"/>
                <w:kern w:val="0"/>
              </w:rPr>
            </w:pPr>
            <w:r>
              <w:rPr>
                <w:rFonts w:ascii="Times New Roman" w:hAnsi="Times New Roman"/>
                <w:kern w:val="0"/>
              </w:rPr>
              <w:t>1.对浅部精细结构反映清晰，分辨率高，</w:t>
            </w:r>
            <w:r>
              <w:rPr>
                <w:rFonts w:hint="eastAsia" w:ascii="Times New Roman" w:hAnsi="Times New Roman"/>
                <w:kern w:val="0"/>
              </w:rPr>
              <w:t>检测结果</w:t>
            </w:r>
            <w:r>
              <w:rPr>
                <w:rFonts w:ascii="Times New Roman" w:hAnsi="Times New Roman"/>
                <w:kern w:val="0"/>
              </w:rPr>
              <w:t>直观；</w:t>
            </w:r>
          </w:p>
          <w:p w14:paraId="29EBEEF2">
            <w:pPr>
              <w:pStyle w:val="34"/>
              <w:spacing w:after="0" w:line="360" w:lineRule="auto"/>
              <w:ind w:left="0" w:leftChars="0" w:firstLine="0" w:firstLineChars="0"/>
              <w:rPr>
                <w:rFonts w:ascii="Times New Roman" w:hAnsi="Times New Roman"/>
                <w:kern w:val="0"/>
              </w:rPr>
            </w:pPr>
            <w:r>
              <w:rPr>
                <w:rFonts w:ascii="Times New Roman" w:hAnsi="Times New Roman"/>
                <w:kern w:val="0"/>
              </w:rPr>
              <w:t>2.工作效率适中，成本高。</w:t>
            </w:r>
          </w:p>
        </w:tc>
      </w:tr>
      <w:tr w14:paraId="094D6D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vMerge w:val="continue"/>
            <w:shd w:val="clear" w:color="auto" w:fill="auto"/>
            <w:vAlign w:val="center"/>
          </w:tcPr>
          <w:p w14:paraId="59CC0BB5">
            <w:pPr>
              <w:pStyle w:val="192"/>
              <w:spacing w:line="360" w:lineRule="auto"/>
              <w:rPr>
                <w:rFonts w:ascii="Times New Roman"/>
                <w:sz w:val="21"/>
                <w:szCs w:val="21"/>
              </w:rPr>
            </w:pPr>
          </w:p>
        </w:tc>
        <w:tc>
          <w:tcPr>
            <w:tcW w:w="507" w:type="pct"/>
            <w:tcBorders>
              <w:top w:val="single" w:color="auto" w:sz="4" w:space="0"/>
              <w:bottom w:val="single" w:color="auto" w:sz="4" w:space="0"/>
            </w:tcBorders>
            <w:shd w:val="clear" w:color="auto" w:fill="auto"/>
            <w:vAlign w:val="center"/>
          </w:tcPr>
          <w:p w14:paraId="2C93391E">
            <w:pPr>
              <w:pStyle w:val="192"/>
              <w:spacing w:line="360" w:lineRule="auto"/>
              <w:rPr>
                <w:rFonts w:ascii="Times New Roman"/>
                <w:sz w:val="21"/>
                <w:szCs w:val="21"/>
              </w:rPr>
            </w:pPr>
            <w:r>
              <w:rPr>
                <w:rFonts w:ascii="Times New Roman"/>
                <w:sz w:val="21"/>
                <w:szCs w:val="21"/>
              </w:rPr>
              <w:t>地震映像法</w:t>
            </w:r>
          </w:p>
        </w:tc>
        <w:tc>
          <w:tcPr>
            <w:tcW w:w="1269" w:type="pct"/>
            <w:tcBorders>
              <w:top w:val="single" w:color="auto" w:sz="4" w:space="0"/>
              <w:bottom w:val="single" w:color="auto" w:sz="4" w:space="0"/>
            </w:tcBorders>
            <w:shd w:val="clear" w:color="auto" w:fill="auto"/>
            <w:vAlign w:val="center"/>
          </w:tcPr>
          <w:p w14:paraId="77B6BEA3">
            <w:pPr>
              <w:pStyle w:val="192"/>
              <w:spacing w:line="360" w:lineRule="auto"/>
              <w:jc w:val="both"/>
              <w:rPr>
                <w:rFonts w:ascii="Times New Roman"/>
                <w:sz w:val="21"/>
                <w:szCs w:val="21"/>
              </w:rPr>
            </w:pPr>
            <w:r>
              <w:rPr>
                <w:rFonts w:ascii="Times New Roman"/>
                <w:sz w:val="21"/>
                <w:szCs w:val="21"/>
              </w:rPr>
              <w:t>1.检测防渗墙的完整性、连续性，圈定防渗墙中质量缺陷的位置、产状；</w:t>
            </w:r>
          </w:p>
          <w:p w14:paraId="5AA7C8DB">
            <w:pPr>
              <w:pStyle w:val="192"/>
              <w:spacing w:line="360" w:lineRule="auto"/>
              <w:jc w:val="both"/>
              <w:rPr>
                <w:rFonts w:ascii="Times New Roman"/>
                <w:sz w:val="21"/>
                <w:szCs w:val="21"/>
              </w:rPr>
            </w:pPr>
            <w:r>
              <w:rPr>
                <w:rFonts w:ascii="Times New Roman"/>
                <w:sz w:val="21"/>
                <w:szCs w:val="21"/>
              </w:rPr>
              <w:t>2.划分防渗墙与岩（土）</w:t>
            </w:r>
            <w:r>
              <w:rPr>
                <w:rFonts w:hint="eastAsia" w:ascii="Times New Roman"/>
                <w:sz w:val="21"/>
                <w:szCs w:val="22"/>
              </w:rPr>
              <w:t>体</w:t>
            </w:r>
            <w:r>
              <w:rPr>
                <w:rFonts w:ascii="Times New Roman"/>
                <w:sz w:val="21"/>
                <w:szCs w:val="21"/>
              </w:rPr>
              <w:t>的界线，</w:t>
            </w:r>
            <w:r>
              <w:rPr>
                <w:rFonts w:hint="eastAsia" w:ascii="Times New Roman"/>
                <w:sz w:val="21"/>
                <w:szCs w:val="21"/>
              </w:rPr>
              <w:t>基本</w:t>
            </w:r>
            <w:r>
              <w:rPr>
                <w:rFonts w:ascii="Times New Roman"/>
                <w:sz w:val="21"/>
                <w:szCs w:val="21"/>
              </w:rPr>
              <w:t>确定</w:t>
            </w:r>
            <w:r>
              <w:rPr>
                <w:rFonts w:hint="eastAsia" w:ascii="Times New Roman"/>
                <w:sz w:val="21"/>
                <w:szCs w:val="21"/>
              </w:rPr>
              <w:t>防渗墙深度</w:t>
            </w:r>
            <w:r>
              <w:rPr>
                <w:rFonts w:ascii="Times New Roman"/>
                <w:sz w:val="21"/>
                <w:szCs w:val="21"/>
              </w:rPr>
              <w:t>。</w:t>
            </w:r>
          </w:p>
        </w:tc>
        <w:tc>
          <w:tcPr>
            <w:tcW w:w="1678" w:type="pct"/>
            <w:tcBorders>
              <w:top w:val="single" w:color="auto" w:sz="4" w:space="0"/>
              <w:bottom w:val="single" w:color="auto" w:sz="4" w:space="0"/>
            </w:tcBorders>
            <w:shd w:val="clear" w:color="auto" w:fill="auto"/>
            <w:vAlign w:val="center"/>
          </w:tcPr>
          <w:p w14:paraId="57EDC0D2">
            <w:pPr>
              <w:pStyle w:val="192"/>
              <w:spacing w:line="360" w:lineRule="auto"/>
              <w:jc w:val="both"/>
              <w:rPr>
                <w:rFonts w:ascii="Times New Roman"/>
                <w:sz w:val="21"/>
                <w:szCs w:val="21"/>
              </w:rPr>
            </w:pPr>
            <w:r>
              <w:rPr>
                <w:rFonts w:ascii="Times New Roman"/>
                <w:sz w:val="21"/>
                <w:szCs w:val="21"/>
              </w:rPr>
              <w:t>1.被检测的目标体与周围介质之间存在明显的波阻抗差异；</w:t>
            </w:r>
          </w:p>
          <w:p w14:paraId="317112E1">
            <w:pPr>
              <w:pStyle w:val="192"/>
              <w:spacing w:line="360" w:lineRule="auto"/>
              <w:jc w:val="both"/>
              <w:rPr>
                <w:rFonts w:ascii="Times New Roman"/>
                <w:sz w:val="21"/>
                <w:szCs w:val="21"/>
              </w:rPr>
            </w:pPr>
            <w:r>
              <w:rPr>
                <w:rFonts w:ascii="Times New Roman"/>
                <w:sz w:val="21"/>
                <w:szCs w:val="21"/>
              </w:rPr>
              <w:t>2.人工噪音大的地区不宜开展；</w:t>
            </w:r>
          </w:p>
          <w:p w14:paraId="687738C2">
            <w:pPr>
              <w:pStyle w:val="192"/>
              <w:spacing w:line="360" w:lineRule="auto"/>
              <w:jc w:val="both"/>
              <w:rPr>
                <w:rFonts w:ascii="Times New Roman"/>
                <w:sz w:val="21"/>
                <w:szCs w:val="21"/>
              </w:rPr>
            </w:pPr>
            <w:r>
              <w:rPr>
                <w:rFonts w:ascii="Times New Roman"/>
                <w:sz w:val="21"/>
                <w:szCs w:val="21"/>
              </w:rPr>
              <w:t>3.测区内地表相对平坦，无陡立面；</w:t>
            </w:r>
          </w:p>
          <w:p w14:paraId="7E07AA39">
            <w:pPr>
              <w:pStyle w:val="192"/>
              <w:spacing w:line="360" w:lineRule="auto"/>
              <w:jc w:val="both"/>
              <w:rPr>
                <w:rFonts w:ascii="Times New Roman"/>
                <w:sz w:val="21"/>
                <w:szCs w:val="21"/>
              </w:rPr>
            </w:pPr>
            <w:r>
              <w:rPr>
                <w:rFonts w:ascii="Times New Roman"/>
                <w:sz w:val="21"/>
                <w:szCs w:val="21"/>
              </w:rPr>
              <w:t>4.地表硬化区域不宜开展。</w:t>
            </w:r>
          </w:p>
        </w:tc>
        <w:tc>
          <w:tcPr>
            <w:tcW w:w="1141" w:type="pct"/>
            <w:gridSpan w:val="2"/>
            <w:tcBorders>
              <w:top w:val="single" w:color="auto" w:sz="4" w:space="0"/>
              <w:bottom w:val="single" w:color="auto" w:sz="4" w:space="0"/>
              <w:right w:val="single" w:color="auto" w:sz="4" w:space="0"/>
            </w:tcBorders>
            <w:shd w:val="clear" w:color="auto" w:fill="auto"/>
            <w:vAlign w:val="center"/>
          </w:tcPr>
          <w:p w14:paraId="7A98DB37">
            <w:pPr>
              <w:pStyle w:val="192"/>
              <w:spacing w:line="360" w:lineRule="auto"/>
              <w:jc w:val="both"/>
              <w:rPr>
                <w:rFonts w:ascii="Times New Roman"/>
                <w:sz w:val="21"/>
                <w:szCs w:val="21"/>
              </w:rPr>
            </w:pPr>
            <w:r>
              <w:rPr>
                <w:rFonts w:ascii="Times New Roman"/>
                <w:sz w:val="21"/>
                <w:szCs w:val="21"/>
              </w:rPr>
              <w:t>1.对防渗墙中质量缺陷的位置反映清晰，分辨率高，精度高</w:t>
            </w:r>
            <w:r>
              <w:rPr>
                <w:rFonts w:hint="eastAsia" w:ascii="Times New Roman"/>
                <w:sz w:val="21"/>
                <w:szCs w:val="21"/>
              </w:rPr>
              <w:t>；</w:t>
            </w:r>
          </w:p>
          <w:p w14:paraId="0F166676">
            <w:pPr>
              <w:pStyle w:val="192"/>
              <w:spacing w:line="360" w:lineRule="auto"/>
              <w:jc w:val="both"/>
              <w:rPr>
                <w:rFonts w:ascii="Times New Roman"/>
                <w:sz w:val="21"/>
                <w:szCs w:val="21"/>
              </w:rPr>
            </w:pPr>
            <w:r>
              <w:rPr>
                <w:rFonts w:ascii="Times New Roman"/>
                <w:sz w:val="21"/>
                <w:szCs w:val="21"/>
              </w:rPr>
              <w:t>2.受地形、场地条件影响大；</w:t>
            </w:r>
          </w:p>
          <w:p w14:paraId="4A7EF36A">
            <w:pPr>
              <w:pStyle w:val="192"/>
              <w:spacing w:line="360" w:lineRule="auto"/>
              <w:jc w:val="both"/>
              <w:rPr>
                <w:rFonts w:ascii="Times New Roman"/>
                <w:sz w:val="21"/>
                <w:szCs w:val="21"/>
              </w:rPr>
            </w:pPr>
            <w:r>
              <w:rPr>
                <w:rFonts w:ascii="Times New Roman"/>
                <w:sz w:val="21"/>
                <w:szCs w:val="21"/>
              </w:rPr>
              <w:t>3.成本适中。</w:t>
            </w:r>
          </w:p>
        </w:tc>
      </w:tr>
    </w:tbl>
    <w:p w14:paraId="1974A4EE">
      <w:pPr>
        <w:pStyle w:val="18"/>
        <w:numPr>
          <w:ilvl w:val="0"/>
          <w:numId w:val="2"/>
        </w:numPr>
        <w:spacing w:line="360" w:lineRule="auto"/>
        <w:jc w:val="center"/>
        <w:rPr>
          <w:rFonts w:ascii="Times New Roman" w:hAnsi="Times New Roman"/>
          <w:b/>
          <w:szCs w:val="21"/>
        </w:rPr>
      </w:pPr>
      <w:r>
        <w:rPr>
          <w:rFonts w:hint="eastAsia" w:ascii="Times New Roman" w:hAnsi="Times New Roman"/>
          <w:b/>
          <w:szCs w:val="21"/>
        </w:rPr>
        <w:t>续表B</w:t>
      </w:r>
      <w:r>
        <w:rPr>
          <w:rFonts w:ascii="Times New Roman" w:hAnsi="Times New Roman"/>
          <w:b/>
          <w:szCs w:val="21"/>
        </w:rPr>
        <w:t xml:space="preserve"> </w:t>
      </w:r>
    </w:p>
    <w:tbl>
      <w:tblPr>
        <w:tblStyle w:val="35"/>
        <w:tblW w:w="500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32"/>
        <w:gridCol w:w="1566"/>
        <w:gridCol w:w="3266"/>
        <w:gridCol w:w="4827"/>
        <w:gridCol w:w="3188"/>
      </w:tblGrid>
      <w:tr w14:paraId="3510A1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65" w:type="pct"/>
            <w:gridSpan w:val="2"/>
            <w:tcBorders>
              <w:top w:val="single" w:color="auto" w:sz="4" w:space="0"/>
              <w:left w:val="single" w:color="auto" w:sz="4" w:space="0"/>
              <w:bottom w:val="single" w:color="auto" w:sz="4" w:space="0"/>
            </w:tcBorders>
            <w:shd w:val="clear" w:color="auto" w:fill="auto"/>
          </w:tcPr>
          <w:p w14:paraId="7840D95C">
            <w:pPr>
              <w:pStyle w:val="192"/>
              <w:spacing w:line="360" w:lineRule="auto"/>
              <w:rPr>
                <w:rFonts w:ascii="Times New Roman"/>
                <w:sz w:val="21"/>
                <w:szCs w:val="21"/>
              </w:rPr>
            </w:pPr>
            <w:r>
              <w:rPr>
                <w:rFonts w:ascii="Times New Roman"/>
                <w:sz w:val="21"/>
                <w:szCs w:val="21"/>
              </w:rPr>
              <w:t>地球物理检测方法</w:t>
            </w:r>
          </w:p>
        </w:tc>
        <w:tc>
          <w:tcPr>
            <w:tcW w:w="1168" w:type="pct"/>
            <w:tcBorders>
              <w:top w:val="single" w:color="auto" w:sz="4" w:space="0"/>
              <w:bottom w:val="single" w:color="auto" w:sz="4" w:space="0"/>
            </w:tcBorders>
            <w:shd w:val="clear" w:color="auto" w:fill="auto"/>
          </w:tcPr>
          <w:p w14:paraId="3347B80D">
            <w:pPr>
              <w:pStyle w:val="192"/>
              <w:spacing w:line="360" w:lineRule="auto"/>
              <w:rPr>
                <w:rFonts w:ascii="Times New Roman"/>
                <w:sz w:val="21"/>
                <w:szCs w:val="21"/>
              </w:rPr>
            </w:pPr>
            <w:r>
              <w:rPr>
                <w:rFonts w:ascii="Times New Roman"/>
                <w:sz w:val="21"/>
                <w:szCs w:val="21"/>
              </w:rPr>
              <w:t>检测内容</w:t>
            </w:r>
          </w:p>
        </w:tc>
        <w:tc>
          <w:tcPr>
            <w:tcW w:w="1726" w:type="pct"/>
            <w:tcBorders>
              <w:top w:val="single" w:color="auto" w:sz="4" w:space="0"/>
              <w:bottom w:val="single" w:color="auto" w:sz="4" w:space="0"/>
            </w:tcBorders>
            <w:shd w:val="clear" w:color="auto" w:fill="auto"/>
          </w:tcPr>
          <w:p w14:paraId="6156559E">
            <w:pPr>
              <w:pStyle w:val="192"/>
              <w:spacing w:line="360" w:lineRule="auto"/>
              <w:rPr>
                <w:rFonts w:ascii="Times New Roman"/>
                <w:sz w:val="21"/>
                <w:szCs w:val="21"/>
              </w:rPr>
            </w:pPr>
            <w:r>
              <w:rPr>
                <w:rFonts w:ascii="Times New Roman"/>
                <w:sz w:val="21"/>
                <w:szCs w:val="21"/>
              </w:rPr>
              <w:t>应用条件</w:t>
            </w:r>
          </w:p>
        </w:tc>
        <w:tc>
          <w:tcPr>
            <w:tcW w:w="1139" w:type="pct"/>
            <w:tcBorders>
              <w:top w:val="single" w:color="auto" w:sz="4" w:space="0"/>
              <w:bottom w:val="single" w:color="auto" w:sz="4" w:space="0"/>
              <w:right w:val="single" w:color="auto" w:sz="4" w:space="0"/>
            </w:tcBorders>
            <w:shd w:val="clear" w:color="auto" w:fill="auto"/>
          </w:tcPr>
          <w:p w14:paraId="2236F1B5">
            <w:pPr>
              <w:pStyle w:val="192"/>
              <w:spacing w:line="360" w:lineRule="auto"/>
              <w:rPr>
                <w:rFonts w:ascii="Times New Roman"/>
                <w:sz w:val="21"/>
                <w:szCs w:val="21"/>
              </w:rPr>
            </w:pPr>
            <w:r>
              <w:rPr>
                <w:rFonts w:ascii="Times New Roman"/>
                <w:sz w:val="21"/>
                <w:szCs w:val="21"/>
              </w:rPr>
              <w:t>方法特点</w:t>
            </w:r>
          </w:p>
        </w:tc>
      </w:tr>
      <w:tr w14:paraId="2507C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shd w:val="clear" w:color="auto" w:fill="auto"/>
            <w:vAlign w:val="center"/>
          </w:tcPr>
          <w:p w14:paraId="2314BB6A">
            <w:pPr>
              <w:pStyle w:val="192"/>
              <w:spacing w:line="360" w:lineRule="auto"/>
              <w:rPr>
                <w:rFonts w:ascii="Times New Roman"/>
                <w:sz w:val="21"/>
                <w:szCs w:val="21"/>
              </w:rPr>
            </w:pPr>
            <w:r>
              <w:rPr>
                <w:rFonts w:hint="eastAsia" w:ascii="Times New Roman"/>
                <w:sz w:val="21"/>
                <w:szCs w:val="21"/>
              </w:rPr>
              <w:t>浅层地震法</w:t>
            </w:r>
          </w:p>
        </w:tc>
        <w:tc>
          <w:tcPr>
            <w:tcW w:w="560" w:type="pct"/>
            <w:tcBorders>
              <w:top w:val="single" w:color="auto" w:sz="4" w:space="0"/>
              <w:bottom w:val="single" w:color="auto" w:sz="4" w:space="0"/>
            </w:tcBorders>
            <w:shd w:val="clear" w:color="auto" w:fill="auto"/>
            <w:vAlign w:val="center"/>
          </w:tcPr>
          <w:p w14:paraId="1E770920">
            <w:pPr>
              <w:pStyle w:val="192"/>
              <w:spacing w:line="360" w:lineRule="auto"/>
              <w:rPr>
                <w:rFonts w:ascii="Times New Roman"/>
                <w:sz w:val="21"/>
                <w:szCs w:val="21"/>
              </w:rPr>
            </w:pPr>
            <w:r>
              <w:rPr>
                <w:rFonts w:ascii="Times New Roman"/>
                <w:sz w:val="21"/>
                <w:szCs w:val="21"/>
              </w:rPr>
              <w:t>微动法</w:t>
            </w:r>
          </w:p>
        </w:tc>
        <w:tc>
          <w:tcPr>
            <w:tcW w:w="1168" w:type="pct"/>
            <w:tcBorders>
              <w:top w:val="single" w:color="auto" w:sz="4" w:space="0"/>
              <w:bottom w:val="single" w:color="auto" w:sz="4" w:space="0"/>
            </w:tcBorders>
            <w:shd w:val="clear" w:color="auto" w:fill="auto"/>
            <w:vAlign w:val="center"/>
          </w:tcPr>
          <w:p w14:paraId="060C74BD">
            <w:pPr>
              <w:pStyle w:val="192"/>
              <w:spacing w:line="360" w:lineRule="auto"/>
              <w:jc w:val="both"/>
              <w:rPr>
                <w:rFonts w:ascii="Times New Roman"/>
                <w:sz w:val="21"/>
                <w:szCs w:val="21"/>
              </w:rPr>
            </w:pPr>
            <w:r>
              <w:rPr>
                <w:rFonts w:ascii="Times New Roman"/>
                <w:sz w:val="21"/>
                <w:szCs w:val="21"/>
              </w:rPr>
              <w:t>1.检测防渗墙的完整性、连续性，圈定防渗墙中质量缺陷的位置、规模、产状；</w:t>
            </w:r>
          </w:p>
          <w:p w14:paraId="44BCD428">
            <w:pPr>
              <w:pStyle w:val="192"/>
              <w:spacing w:line="360" w:lineRule="auto"/>
              <w:jc w:val="both"/>
              <w:rPr>
                <w:rFonts w:ascii="Times New Roman"/>
                <w:sz w:val="21"/>
                <w:szCs w:val="21"/>
              </w:rPr>
            </w:pPr>
            <w:r>
              <w:rPr>
                <w:rFonts w:hint="eastAsia" w:ascii="Times New Roman"/>
                <w:sz w:val="21"/>
                <w:szCs w:val="21"/>
              </w:rPr>
              <w:t>2.划分防渗墙与岩（土）体的界线，基本确定防渗墙深度。</w:t>
            </w:r>
          </w:p>
        </w:tc>
        <w:tc>
          <w:tcPr>
            <w:tcW w:w="1725" w:type="pct"/>
            <w:tcBorders>
              <w:top w:val="single" w:color="auto" w:sz="4" w:space="0"/>
              <w:bottom w:val="single" w:color="auto" w:sz="4" w:space="0"/>
            </w:tcBorders>
            <w:shd w:val="clear" w:color="auto" w:fill="auto"/>
            <w:vAlign w:val="center"/>
          </w:tcPr>
          <w:p w14:paraId="46FA0A2D">
            <w:pPr>
              <w:pStyle w:val="192"/>
              <w:spacing w:line="360" w:lineRule="auto"/>
              <w:jc w:val="both"/>
              <w:rPr>
                <w:rFonts w:ascii="Times New Roman"/>
                <w:sz w:val="21"/>
                <w:szCs w:val="21"/>
              </w:rPr>
            </w:pPr>
            <w:r>
              <w:rPr>
                <w:rFonts w:ascii="Times New Roman"/>
                <w:sz w:val="21"/>
                <w:szCs w:val="21"/>
              </w:rPr>
              <w:t>1.被检测的目标体与其周边介质之间存在速度或波阻抗差异；</w:t>
            </w:r>
          </w:p>
          <w:p w14:paraId="44A9A526">
            <w:pPr>
              <w:pStyle w:val="192"/>
              <w:spacing w:line="360" w:lineRule="auto"/>
              <w:jc w:val="both"/>
              <w:rPr>
                <w:rFonts w:ascii="Times New Roman"/>
                <w:sz w:val="21"/>
                <w:szCs w:val="21"/>
              </w:rPr>
            </w:pPr>
            <w:r>
              <w:rPr>
                <w:rFonts w:ascii="Times New Roman"/>
                <w:sz w:val="21"/>
                <w:szCs w:val="21"/>
              </w:rPr>
              <w:t>2.测区内地表相对平坦，无临空面、陡立面；</w:t>
            </w:r>
          </w:p>
          <w:p w14:paraId="08FEEE05">
            <w:pPr>
              <w:pStyle w:val="192"/>
              <w:spacing w:line="360" w:lineRule="auto"/>
              <w:jc w:val="both"/>
              <w:rPr>
                <w:rFonts w:ascii="Times New Roman"/>
                <w:sz w:val="21"/>
                <w:szCs w:val="21"/>
              </w:rPr>
            </w:pPr>
            <w:r>
              <w:rPr>
                <w:rFonts w:ascii="Times New Roman"/>
                <w:sz w:val="21"/>
                <w:szCs w:val="21"/>
              </w:rPr>
              <w:t>3.人工噪音大的地区不宜开展。</w:t>
            </w:r>
          </w:p>
        </w:tc>
        <w:tc>
          <w:tcPr>
            <w:tcW w:w="1140" w:type="pct"/>
            <w:tcBorders>
              <w:top w:val="single" w:color="auto" w:sz="4" w:space="0"/>
              <w:bottom w:val="single" w:color="auto" w:sz="4" w:space="0"/>
              <w:right w:val="single" w:color="auto" w:sz="4" w:space="0"/>
            </w:tcBorders>
            <w:shd w:val="clear" w:color="auto" w:fill="auto"/>
            <w:vAlign w:val="center"/>
          </w:tcPr>
          <w:p w14:paraId="072652DF">
            <w:pPr>
              <w:pStyle w:val="192"/>
              <w:spacing w:line="360" w:lineRule="auto"/>
              <w:jc w:val="both"/>
              <w:rPr>
                <w:rFonts w:ascii="Times New Roman"/>
                <w:sz w:val="21"/>
                <w:szCs w:val="21"/>
              </w:rPr>
            </w:pPr>
            <w:r>
              <w:rPr>
                <w:rFonts w:ascii="Times New Roman"/>
                <w:sz w:val="21"/>
                <w:szCs w:val="21"/>
              </w:rPr>
              <w:t>1.分辨率高，</w:t>
            </w:r>
            <w:r>
              <w:rPr>
                <w:rFonts w:hint="eastAsia" w:ascii="Times New Roman"/>
                <w:sz w:val="21"/>
                <w:szCs w:val="21"/>
              </w:rPr>
              <w:t>检测结果</w:t>
            </w:r>
            <w:r>
              <w:rPr>
                <w:rFonts w:ascii="Times New Roman"/>
                <w:sz w:val="21"/>
                <w:szCs w:val="21"/>
              </w:rPr>
              <w:t>直观；</w:t>
            </w:r>
          </w:p>
          <w:p w14:paraId="6CDCBF18">
            <w:pPr>
              <w:pStyle w:val="192"/>
              <w:spacing w:line="360" w:lineRule="auto"/>
              <w:jc w:val="both"/>
              <w:rPr>
                <w:rFonts w:ascii="Times New Roman"/>
                <w:sz w:val="21"/>
                <w:szCs w:val="21"/>
              </w:rPr>
            </w:pPr>
            <w:r>
              <w:rPr>
                <w:rFonts w:ascii="Times New Roman"/>
                <w:sz w:val="21"/>
                <w:szCs w:val="21"/>
              </w:rPr>
              <w:t>2.工作方式灵活多样，受场地条件影响小；</w:t>
            </w:r>
          </w:p>
          <w:p w14:paraId="3CEDE676">
            <w:pPr>
              <w:pStyle w:val="192"/>
              <w:spacing w:line="360" w:lineRule="auto"/>
              <w:jc w:val="both"/>
              <w:rPr>
                <w:rFonts w:ascii="Times New Roman"/>
                <w:sz w:val="21"/>
                <w:szCs w:val="21"/>
              </w:rPr>
            </w:pPr>
            <w:r>
              <w:rPr>
                <w:rFonts w:ascii="Times New Roman"/>
                <w:sz w:val="21"/>
                <w:szCs w:val="21"/>
              </w:rPr>
              <w:t>3.工作效率低，成本高。</w:t>
            </w:r>
          </w:p>
        </w:tc>
      </w:tr>
      <w:tr w14:paraId="6B9540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vMerge w:val="restart"/>
            <w:shd w:val="clear" w:color="auto" w:fill="auto"/>
            <w:vAlign w:val="center"/>
          </w:tcPr>
          <w:p w14:paraId="16F35BDD">
            <w:pPr>
              <w:pStyle w:val="192"/>
              <w:spacing w:line="360" w:lineRule="auto"/>
              <w:rPr>
                <w:rFonts w:ascii="Times New Roman"/>
                <w:sz w:val="21"/>
                <w:szCs w:val="21"/>
              </w:rPr>
            </w:pPr>
            <w:r>
              <w:rPr>
                <w:rFonts w:ascii="Times New Roman"/>
                <w:sz w:val="21"/>
                <w:szCs w:val="21"/>
              </w:rPr>
              <w:t>孔中检测法</w:t>
            </w:r>
          </w:p>
        </w:tc>
        <w:tc>
          <w:tcPr>
            <w:tcW w:w="560" w:type="pct"/>
            <w:tcBorders>
              <w:top w:val="single" w:color="auto" w:sz="4" w:space="0"/>
              <w:bottom w:val="single" w:color="auto" w:sz="4" w:space="0"/>
            </w:tcBorders>
            <w:shd w:val="clear" w:color="auto" w:fill="auto"/>
            <w:vAlign w:val="center"/>
          </w:tcPr>
          <w:p w14:paraId="39E4E9EC">
            <w:pPr>
              <w:pStyle w:val="34"/>
              <w:spacing w:after="0" w:line="360" w:lineRule="auto"/>
              <w:ind w:left="0" w:leftChars="0" w:firstLine="0" w:firstLineChars="0"/>
              <w:jc w:val="center"/>
              <w:rPr>
                <w:rFonts w:ascii="Times New Roman" w:hAnsi="Times New Roman"/>
                <w:kern w:val="0"/>
              </w:rPr>
            </w:pPr>
            <w:r>
              <w:rPr>
                <w:rFonts w:ascii="Times New Roman" w:hAnsi="Times New Roman"/>
                <w:kern w:val="0"/>
              </w:rPr>
              <w:t>井间层析成像</w:t>
            </w:r>
            <w:r>
              <w:rPr>
                <w:rFonts w:hint="eastAsia" w:ascii="Times New Roman" w:hAnsi="Times New Roman"/>
                <w:kern w:val="0"/>
              </w:rPr>
              <w:t>法</w:t>
            </w:r>
          </w:p>
        </w:tc>
        <w:tc>
          <w:tcPr>
            <w:tcW w:w="1168" w:type="pct"/>
            <w:tcBorders>
              <w:top w:val="single" w:color="auto" w:sz="4" w:space="0"/>
              <w:bottom w:val="single" w:color="auto" w:sz="4" w:space="0"/>
            </w:tcBorders>
            <w:shd w:val="clear" w:color="auto" w:fill="auto"/>
            <w:vAlign w:val="center"/>
          </w:tcPr>
          <w:p w14:paraId="15F5A876">
            <w:pPr>
              <w:pStyle w:val="34"/>
              <w:spacing w:after="0" w:line="360" w:lineRule="auto"/>
              <w:ind w:left="0" w:leftChars="0" w:firstLine="0" w:firstLineChars="0"/>
              <w:rPr>
                <w:rFonts w:ascii="Times New Roman" w:hAnsi="Times New Roman"/>
                <w:kern w:val="0"/>
              </w:rPr>
            </w:pPr>
            <w:r>
              <w:rPr>
                <w:rFonts w:ascii="Times New Roman" w:hAnsi="Times New Roman"/>
                <w:kern w:val="0"/>
              </w:rPr>
              <w:t>1.检测防渗墙的完整性、连续性，圈定防渗墙中质量缺陷的位置、规模、空间形态；</w:t>
            </w:r>
          </w:p>
          <w:p w14:paraId="2194ED0C">
            <w:pPr>
              <w:pStyle w:val="34"/>
              <w:spacing w:after="0" w:line="360" w:lineRule="auto"/>
              <w:ind w:left="0" w:leftChars="0" w:firstLine="0" w:firstLineChars="0"/>
              <w:rPr>
                <w:rFonts w:ascii="Times New Roman" w:hAnsi="Times New Roman"/>
                <w:kern w:val="0"/>
              </w:rPr>
            </w:pPr>
            <w:r>
              <w:rPr>
                <w:rFonts w:ascii="Times New Roman"/>
              </w:rPr>
              <w:t>2.划分防渗墙与岩（土）</w:t>
            </w:r>
            <w:r>
              <w:rPr>
                <w:rFonts w:hint="eastAsia" w:ascii="Times New Roman"/>
              </w:rPr>
              <w:t>体</w:t>
            </w:r>
            <w:r>
              <w:rPr>
                <w:rFonts w:ascii="Times New Roman"/>
              </w:rPr>
              <w:t>的界线，</w:t>
            </w:r>
            <w:r>
              <w:rPr>
                <w:rFonts w:hint="eastAsia" w:ascii="Times New Roman"/>
              </w:rPr>
              <w:t>基本</w:t>
            </w:r>
            <w:r>
              <w:rPr>
                <w:rFonts w:ascii="Times New Roman"/>
              </w:rPr>
              <w:t>确定</w:t>
            </w:r>
            <w:r>
              <w:rPr>
                <w:rFonts w:hint="eastAsia" w:ascii="Times New Roman"/>
              </w:rPr>
              <w:t>防渗墙深度</w:t>
            </w:r>
            <w:r>
              <w:rPr>
                <w:rFonts w:ascii="Times New Roman"/>
              </w:rPr>
              <w:t>。</w:t>
            </w:r>
          </w:p>
        </w:tc>
        <w:tc>
          <w:tcPr>
            <w:tcW w:w="1725" w:type="pct"/>
            <w:tcBorders>
              <w:top w:val="single" w:color="auto" w:sz="4" w:space="0"/>
              <w:bottom w:val="single" w:color="auto" w:sz="4" w:space="0"/>
            </w:tcBorders>
            <w:shd w:val="clear" w:color="auto" w:fill="auto"/>
            <w:vAlign w:val="center"/>
          </w:tcPr>
          <w:p w14:paraId="1E9CEE50">
            <w:pPr>
              <w:pStyle w:val="34"/>
              <w:spacing w:after="0" w:line="360" w:lineRule="auto"/>
              <w:ind w:left="0" w:leftChars="0" w:firstLine="0" w:firstLineChars="0"/>
              <w:rPr>
                <w:rFonts w:ascii="Times New Roman" w:hAnsi="Times New Roman"/>
                <w:kern w:val="0"/>
              </w:rPr>
            </w:pPr>
            <w:r>
              <w:rPr>
                <w:rFonts w:ascii="Times New Roman" w:hAnsi="Times New Roman"/>
                <w:kern w:val="0"/>
              </w:rPr>
              <w:t>1.被检测的目标体与周围介质间应存在弹性、电性、电磁性差异；</w:t>
            </w:r>
          </w:p>
          <w:p w14:paraId="04D5B9BA">
            <w:pPr>
              <w:pStyle w:val="34"/>
              <w:spacing w:after="0" w:line="360" w:lineRule="auto"/>
              <w:ind w:left="0" w:leftChars="0" w:firstLine="0" w:firstLineChars="0"/>
              <w:rPr>
                <w:rFonts w:ascii="Times New Roman" w:hAnsi="Times New Roman"/>
                <w:kern w:val="0"/>
              </w:rPr>
            </w:pPr>
            <w:r>
              <w:rPr>
                <w:rFonts w:ascii="Times New Roman" w:hAnsi="Times New Roman"/>
                <w:kern w:val="0"/>
              </w:rPr>
              <w:t>2.被检测的目标体应位于</w:t>
            </w:r>
            <w:r>
              <w:rPr>
                <w:rFonts w:hint="eastAsia" w:ascii="Times New Roman" w:hAnsi="Times New Roman"/>
                <w:kern w:val="0"/>
              </w:rPr>
              <w:t>检测</w:t>
            </w:r>
            <w:r>
              <w:rPr>
                <w:rFonts w:ascii="Times New Roman" w:hAnsi="Times New Roman"/>
                <w:kern w:val="0"/>
              </w:rPr>
              <w:t>钻孔之间，其规模大小与成像单元具有可比性；</w:t>
            </w:r>
          </w:p>
          <w:p w14:paraId="634A1F67">
            <w:pPr>
              <w:pStyle w:val="34"/>
              <w:spacing w:after="0" w:line="360" w:lineRule="auto"/>
              <w:ind w:left="0" w:leftChars="0" w:firstLine="0" w:firstLineChars="0"/>
              <w:rPr>
                <w:rFonts w:ascii="Times New Roman" w:hAnsi="Times New Roman"/>
                <w:kern w:val="0"/>
              </w:rPr>
            </w:pPr>
            <w:r>
              <w:rPr>
                <w:rFonts w:ascii="Times New Roman" w:hAnsi="Times New Roman"/>
                <w:kern w:val="0"/>
              </w:rPr>
              <w:t>3.跨孔距离一般小于120m；</w:t>
            </w:r>
          </w:p>
          <w:p w14:paraId="275787C4">
            <w:pPr>
              <w:pStyle w:val="34"/>
              <w:spacing w:after="0" w:line="360" w:lineRule="auto"/>
              <w:ind w:left="0" w:leftChars="0" w:firstLine="0" w:firstLineChars="0"/>
              <w:rPr>
                <w:rFonts w:ascii="Times New Roman" w:hAnsi="Times New Roman"/>
                <w:kern w:val="0"/>
              </w:rPr>
            </w:pPr>
            <w:r>
              <w:rPr>
                <w:rFonts w:ascii="Times New Roman" w:hAnsi="Times New Roman"/>
                <w:kern w:val="0"/>
              </w:rPr>
              <w:t>4.剖面与孔深比一般小于1。</w:t>
            </w:r>
          </w:p>
        </w:tc>
        <w:tc>
          <w:tcPr>
            <w:tcW w:w="1140" w:type="pct"/>
            <w:tcBorders>
              <w:top w:val="single" w:color="auto" w:sz="4" w:space="0"/>
              <w:bottom w:val="single" w:color="auto" w:sz="4" w:space="0"/>
              <w:right w:val="single" w:color="auto" w:sz="4" w:space="0"/>
            </w:tcBorders>
            <w:shd w:val="clear" w:color="auto" w:fill="auto"/>
            <w:vAlign w:val="center"/>
          </w:tcPr>
          <w:p w14:paraId="2225E85C">
            <w:pPr>
              <w:pStyle w:val="34"/>
              <w:spacing w:after="0" w:line="360" w:lineRule="auto"/>
              <w:ind w:left="0" w:leftChars="0" w:firstLine="0" w:firstLineChars="0"/>
              <w:rPr>
                <w:rFonts w:ascii="Times New Roman" w:hAnsi="Times New Roman"/>
                <w:kern w:val="0"/>
              </w:rPr>
            </w:pPr>
            <w:r>
              <w:rPr>
                <w:rFonts w:ascii="Times New Roman" w:hAnsi="Times New Roman"/>
                <w:kern w:val="0"/>
              </w:rPr>
              <w:t>1.属近源</w:t>
            </w:r>
            <w:r>
              <w:rPr>
                <w:rFonts w:hint="eastAsia" w:ascii="Times New Roman" w:hAnsi="Times New Roman"/>
                <w:kern w:val="0"/>
              </w:rPr>
              <w:t>检测</w:t>
            </w:r>
            <w:r>
              <w:rPr>
                <w:rFonts w:ascii="Times New Roman" w:hAnsi="Times New Roman"/>
                <w:kern w:val="0"/>
              </w:rPr>
              <w:t>，分辨率较高，</w:t>
            </w:r>
            <w:r>
              <w:rPr>
                <w:rFonts w:hint="eastAsia" w:ascii="Times New Roman" w:hAnsi="Times New Roman"/>
                <w:kern w:val="0"/>
              </w:rPr>
              <w:t>检测</w:t>
            </w:r>
            <w:r>
              <w:rPr>
                <w:rFonts w:ascii="Times New Roman" w:hAnsi="Times New Roman"/>
                <w:kern w:val="0"/>
              </w:rPr>
              <w:t>结果比较直观、精确；</w:t>
            </w:r>
          </w:p>
          <w:p w14:paraId="7F129F8F">
            <w:pPr>
              <w:pStyle w:val="34"/>
              <w:spacing w:after="0" w:line="360" w:lineRule="auto"/>
              <w:ind w:left="0" w:leftChars="0" w:firstLine="0" w:firstLineChars="0"/>
              <w:rPr>
                <w:rFonts w:ascii="Times New Roman" w:hAnsi="Times New Roman"/>
                <w:kern w:val="0"/>
              </w:rPr>
            </w:pPr>
            <w:r>
              <w:rPr>
                <w:rFonts w:ascii="Times New Roman" w:hAnsi="Times New Roman"/>
                <w:kern w:val="0"/>
              </w:rPr>
              <w:t>2.应选用合适的成像方法；</w:t>
            </w:r>
          </w:p>
          <w:p w14:paraId="4D389519">
            <w:pPr>
              <w:pStyle w:val="34"/>
              <w:spacing w:after="0" w:line="360" w:lineRule="auto"/>
              <w:ind w:left="0" w:leftChars="0" w:firstLine="0" w:firstLineChars="0"/>
              <w:rPr>
                <w:rFonts w:ascii="Times New Roman" w:hAnsi="Times New Roman"/>
                <w:kern w:val="0"/>
              </w:rPr>
            </w:pPr>
            <w:r>
              <w:rPr>
                <w:rFonts w:ascii="Times New Roman" w:hAnsi="Times New Roman"/>
                <w:kern w:val="0"/>
              </w:rPr>
              <w:t>3.成本较高。</w:t>
            </w:r>
          </w:p>
        </w:tc>
      </w:tr>
      <w:tr w14:paraId="47DB2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5" w:type="pct"/>
            <w:vMerge w:val="continue"/>
            <w:shd w:val="clear" w:color="auto" w:fill="auto"/>
            <w:vAlign w:val="center"/>
          </w:tcPr>
          <w:p w14:paraId="17684C89">
            <w:pPr>
              <w:pStyle w:val="192"/>
              <w:spacing w:line="360" w:lineRule="auto"/>
              <w:jc w:val="both"/>
              <w:rPr>
                <w:rFonts w:ascii="Times New Roman"/>
                <w:sz w:val="21"/>
                <w:szCs w:val="21"/>
              </w:rPr>
            </w:pPr>
          </w:p>
        </w:tc>
        <w:tc>
          <w:tcPr>
            <w:tcW w:w="560" w:type="pct"/>
            <w:tcBorders>
              <w:top w:val="single" w:color="auto" w:sz="4" w:space="0"/>
              <w:bottom w:val="single" w:color="auto" w:sz="4" w:space="0"/>
            </w:tcBorders>
            <w:shd w:val="clear" w:color="auto" w:fill="auto"/>
            <w:vAlign w:val="center"/>
          </w:tcPr>
          <w:p w14:paraId="105B1782">
            <w:pPr>
              <w:pStyle w:val="192"/>
              <w:spacing w:line="360" w:lineRule="auto"/>
              <w:rPr>
                <w:rFonts w:ascii="Times New Roman"/>
                <w:sz w:val="21"/>
                <w:szCs w:val="21"/>
              </w:rPr>
            </w:pPr>
            <w:r>
              <w:rPr>
                <w:rFonts w:ascii="Times New Roman"/>
                <w:sz w:val="21"/>
                <w:szCs w:val="21"/>
              </w:rPr>
              <w:t>钻孔全景光学成像</w:t>
            </w:r>
            <w:r>
              <w:rPr>
                <w:rFonts w:hint="eastAsia" w:ascii="Times New Roman"/>
                <w:sz w:val="21"/>
                <w:szCs w:val="21"/>
              </w:rPr>
              <w:t>法</w:t>
            </w:r>
          </w:p>
        </w:tc>
        <w:tc>
          <w:tcPr>
            <w:tcW w:w="1168" w:type="pct"/>
            <w:tcBorders>
              <w:top w:val="single" w:color="auto" w:sz="4" w:space="0"/>
              <w:bottom w:val="single" w:color="auto" w:sz="4" w:space="0"/>
            </w:tcBorders>
            <w:shd w:val="clear" w:color="auto" w:fill="auto"/>
            <w:vAlign w:val="center"/>
          </w:tcPr>
          <w:p w14:paraId="3F9F8D1B">
            <w:pPr>
              <w:pStyle w:val="192"/>
              <w:spacing w:line="360" w:lineRule="auto"/>
              <w:jc w:val="both"/>
              <w:rPr>
                <w:rFonts w:ascii="Times New Roman"/>
                <w:sz w:val="21"/>
                <w:szCs w:val="21"/>
              </w:rPr>
            </w:pPr>
            <w:r>
              <w:rPr>
                <w:rFonts w:ascii="Times New Roman"/>
                <w:sz w:val="21"/>
                <w:szCs w:val="21"/>
              </w:rPr>
              <w:t>了解钻孔内防渗墙的完整性、连续性，圈定防渗墙中质量缺陷的位置、发育特征。</w:t>
            </w:r>
          </w:p>
        </w:tc>
        <w:tc>
          <w:tcPr>
            <w:tcW w:w="1725" w:type="pct"/>
            <w:tcBorders>
              <w:top w:val="single" w:color="auto" w:sz="4" w:space="0"/>
              <w:bottom w:val="single" w:color="auto" w:sz="4" w:space="0"/>
            </w:tcBorders>
            <w:shd w:val="clear" w:color="auto" w:fill="auto"/>
            <w:vAlign w:val="center"/>
          </w:tcPr>
          <w:p w14:paraId="72C03AA6">
            <w:pPr>
              <w:pStyle w:val="192"/>
              <w:spacing w:line="360" w:lineRule="auto"/>
              <w:jc w:val="both"/>
              <w:rPr>
                <w:rFonts w:ascii="Times New Roman"/>
                <w:sz w:val="21"/>
                <w:szCs w:val="21"/>
              </w:rPr>
            </w:pPr>
            <w:r>
              <w:rPr>
                <w:rFonts w:ascii="Times New Roman"/>
                <w:sz w:val="21"/>
                <w:szCs w:val="21"/>
              </w:rPr>
              <w:t>1.</w:t>
            </w:r>
            <w:r>
              <w:rPr>
                <w:rFonts w:hint="eastAsia" w:ascii="Times New Roman"/>
                <w:sz w:val="21"/>
                <w:szCs w:val="21"/>
              </w:rPr>
              <w:t>孔内干燥或水质清澈</w:t>
            </w:r>
            <w:r>
              <w:rPr>
                <w:rFonts w:ascii="Times New Roman"/>
                <w:sz w:val="21"/>
                <w:szCs w:val="21"/>
              </w:rPr>
              <w:t>；</w:t>
            </w:r>
          </w:p>
          <w:p w14:paraId="7A29A8E6">
            <w:pPr>
              <w:pStyle w:val="192"/>
              <w:spacing w:line="360" w:lineRule="auto"/>
              <w:jc w:val="both"/>
              <w:rPr>
                <w:rFonts w:ascii="Times New Roman"/>
                <w:sz w:val="21"/>
                <w:szCs w:val="21"/>
              </w:rPr>
            </w:pPr>
            <w:r>
              <w:rPr>
                <w:rFonts w:ascii="Times New Roman"/>
                <w:sz w:val="21"/>
                <w:szCs w:val="21"/>
              </w:rPr>
              <w:t>2.孔内无套管。</w:t>
            </w:r>
          </w:p>
        </w:tc>
        <w:tc>
          <w:tcPr>
            <w:tcW w:w="1140" w:type="pct"/>
            <w:tcBorders>
              <w:top w:val="single" w:color="auto" w:sz="4" w:space="0"/>
              <w:bottom w:val="single" w:color="auto" w:sz="4" w:space="0"/>
              <w:right w:val="single" w:color="auto" w:sz="4" w:space="0"/>
            </w:tcBorders>
            <w:shd w:val="clear" w:color="auto" w:fill="auto"/>
            <w:vAlign w:val="center"/>
          </w:tcPr>
          <w:p w14:paraId="578D9D3E">
            <w:pPr>
              <w:pStyle w:val="192"/>
              <w:spacing w:line="360" w:lineRule="auto"/>
              <w:jc w:val="both"/>
              <w:rPr>
                <w:rFonts w:ascii="Times New Roman"/>
                <w:sz w:val="21"/>
                <w:szCs w:val="21"/>
              </w:rPr>
            </w:pPr>
            <w:r>
              <w:rPr>
                <w:rFonts w:ascii="Times New Roman"/>
                <w:sz w:val="21"/>
                <w:szCs w:val="21"/>
              </w:rPr>
              <w:t>1.信息量大、直观，能提供彩色井壁图像，利于分析</w:t>
            </w:r>
            <w:r>
              <w:rPr>
                <w:rFonts w:hint="eastAsia" w:ascii="Times New Roman"/>
                <w:sz w:val="21"/>
                <w:szCs w:val="21"/>
              </w:rPr>
              <w:t>；</w:t>
            </w:r>
          </w:p>
          <w:p w14:paraId="3586263A">
            <w:pPr>
              <w:pStyle w:val="192"/>
              <w:spacing w:line="360" w:lineRule="auto"/>
              <w:jc w:val="both"/>
              <w:rPr>
                <w:rFonts w:ascii="Times New Roman"/>
                <w:sz w:val="21"/>
                <w:szCs w:val="21"/>
              </w:rPr>
            </w:pPr>
            <w:r>
              <w:rPr>
                <w:rFonts w:ascii="Times New Roman"/>
                <w:sz w:val="21"/>
                <w:szCs w:val="21"/>
              </w:rPr>
              <w:t>2.成本适中。</w:t>
            </w:r>
          </w:p>
        </w:tc>
      </w:tr>
    </w:tbl>
    <w:p w14:paraId="1064BC36">
      <w:pPr>
        <w:pStyle w:val="71"/>
        <w:ind w:firstLine="420"/>
        <w:rPr>
          <w:rFonts w:ascii="Times New Roman"/>
        </w:rPr>
      </w:pPr>
    </w:p>
    <w:p w14:paraId="4B2A0DF5">
      <w:pPr>
        <w:pStyle w:val="71"/>
        <w:ind w:firstLine="420"/>
        <w:rPr>
          <w:rFonts w:ascii="Times New Roman"/>
        </w:rPr>
        <w:sectPr>
          <w:pgSz w:w="16838" w:h="11906" w:orient="landscape"/>
          <w:pgMar w:top="1797" w:right="1440" w:bottom="1797" w:left="1440" w:header="1418" w:footer="1134" w:gutter="0"/>
          <w:cols w:space="425" w:num="1"/>
          <w:formProt w:val="0"/>
          <w:docGrid w:type="lines" w:linePitch="312" w:charSpace="0"/>
        </w:sectPr>
      </w:pPr>
    </w:p>
    <w:p w14:paraId="5456C249">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hint="eastAsia" w:ascii="Times New Roman" w:hAnsi="Times New Roman"/>
          <w:b/>
          <w:sz w:val="36"/>
          <w:szCs w:val="36"/>
        </w:rPr>
        <w:t>附录C</w:t>
      </w:r>
      <w:r>
        <w:rPr>
          <w:rFonts w:ascii="Times New Roman" w:hAnsi="Times New Roman"/>
          <w:b/>
          <w:sz w:val="36"/>
          <w:szCs w:val="36"/>
        </w:rPr>
        <w:t xml:space="preserve"> </w:t>
      </w:r>
      <w:r>
        <w:rPr>
          <w:rFonts w:hint="eastAsia" w:ascii="Times New Roman" w:hAnsi="Times New Roman"/>
          <w:b/>
          <w:sz w:val="36"/>
          <w:szCs w:val="36"/>
        </w:rPr>
        <w:t>垂直防渗墙完整性地球物理检测判定方法</w:t>
      </w:r>
    </w:p>
    <w:p w14:paraId="22CFDDF8">
      <w:pPr>
        <w:pStyle w:val="126"/>
        <w:numPr>
          <w:ilvl w:val="0"/>
          <w:numId w:val="0"/>
        </w:numPr>
        <w:spacing w:before="156" w:after="156"/>
        <w:rPr>
          <w:rFonts w:ascii="Times New Roman" w:eastAsia="宋体"/>
          <w:b/>
          <w:bCs/>
        </w:rPr>
      </w:pPr>
      <w:r>
        <w:rPr>
          <w:rFonts w:hint="eastAsia" w:ascii="Times New Roman" w:eastAsia="宋体"/>
          <w:b/>
          <w:bCs/>
        </w:rPr>
        <w:t>表C</w:t>
      </w:r>
      <w:r>
        <w:rPr>
          <w:rFonts w:ascii="Times New Roman" w:eastAsia="宋体"/>
          <w:b/>
          <w:bCs/>
        </w:rPr>
        <w:t xml:space="preserve"> </w:t>
      </w:r>
      <w:r>
        <w:rPr>
          <w:rFonts w:hint="eastAsia" w:ascii="Times New Roman" w:eastAsia="宋体"/>
          <w:b/>
          <w:bCs/>
        </w:rPr>
        <w:t>垂直防渗墙完整性地球物理检测判定方法</w:t>
      </w:r>
    </w:p>
    <w:tbl>
      <w:tblPr>
        <w:tblStyle w:val="35"/>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3969"/>
      </w:tblGrid>
      <w:tr w14:paraId="0B04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38" w:type="dxa"/>
            <w:vMerge w:val="restart"/>
            <w:shd w:val="clear" w:color="auto" w:fill="auto"/>
            <w:vAlign w:val="center"/>
          </w:tcPr>
          <w:p w14:paraId="4CB68564">
            <w:pPr>
              <w:jc w:val="center"/>
              <w:rPr>
                <w:rFonts w:ascii="Times New Roman" w:hAnsi="Times New Roman"/>
              </w:rPr>
            </w:pPr>
            <w:r>
              <w:rPr>
                <w:rFonts w:ascii="Times New Roman" w:hAnsi="Times New Roman"/>
              </w:rPr>
              <w:t>地球物理</w:t>
            </w:r>
          </w:p>
          <w:p w14:paraId="73CEAE96">
            <w:pPr>
              <w:jc w:val="center"/>
              <w:rPr>
                <w:rFonts w:ascii="Times New Roman" w:hAnsi="Times New Roman"/>
              </w:rPr>
            </w:pPr>
            <w:r>
              <w:rPr>
                <w:rFonts w:ascii="Times New Roman" w:hAnsi="Times New Roman"/>
              </w:rPr>
              <w:t>检测方法</w:t>
            </w:r>
          </w:p>
        </w:tc>
        <w:tc>
          <w:tcPr>
            <w:tcW w:w="6237" w:type="dxa"/>
            <w:gridSpan w:val="2"/>
            <w:shd w:val="clear" w:color="auto" w:fill="auto"/>
            <w:vAlign w:val="center"/>
          </w:tcPr>
          <w:p w14:paraId="2F8CA144">
            <w:pPr>
              <w:jc w:val="center"/>
              <w:rPr>
                <w:rFonts w:ascii="Times New Roman" w:hAnsi="Times New Roman"/>
              </w:rPr>
            </w:pPr>
            <w:r>
              <w:rPr>
                <w:rFonts w:hint="eastAsia" w:ascii="Times New Roman" w:hAnsi="Times New Roman"/>
              </w:rPr>
              <w:t>垂直防渗墙检测特征</w:t>
            </w:r>
          </w:p>
        </w:tc>
      </w:tr>
      <w:tr w14:paraId="7B73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1838" w:type="dxa"/>
            <w:vMerge w:val="continue"/>
            <w:shd w:val="clear" w:color="auto" w:fill="auto"/>
            <w:vAlign w:val="center"/>
          </w:tcPr>
          <w:p w14:paraId="52C3D39B">
            <w:pPr>
              <w:jc w:val="center"/>
              <w:rPr>
                <w:rFonts w:ascii="Times New Roman" w:hAnsi="Times New Roman"/>
              </w:rPr>
            </w:pPr>
          </w:p>
        </w:tc>
        <w:tc>
          <w:tcPr>
            <w:tcW w:w="2268" w:type="dxa"/>
            <w:shd w:val="clear" w:color="auto" w:fill="auto"/>
            <w:vAlign w:val="center"/>
          </w:tcPr>
          <w:p w14:paraId="080C6CCF">
            <w:pPr>
              <w:jc w:val="center"/>
              <w:rPr>
                <w:rFonts w:ascii="Times New Roman" w:hAnsi="Times New Roman"/>
              </w:rPr>
            </w:pPr>
            <w:r>
              <w:rPr>
                <w:rFonts w:ascii="Times New Roman" w:hAnsi="Times New Roman"/>
              </w:rPr>
              <w:t>完整</w:t>
            </w:r>
          </w:p>
        </w:tc>
        <w:tc>
          <w:tcPr>
            <w:tcW w:w="3969" w:type="dxa"/>
            <w:shd w:val="clear" w:color="auto" w:fill="auto"/>
            <w:vAlign w:val="center"/>
          </w:tcPr>
          <w:p w14:paraId="4EAAC6BD">
            <w:pPr>
              <w:jc w:val="center"/>
              <w:rPr>
                <w:rFonts w:ascii="Times New Roman" w:hAnsi="Times New Roman"/>
              </w:rPr>
            </w:pPr>
            <w:r>
              <w:rPr>
                <w:rFonts w:ascii="Times New Roman" w:hAnsi="Times New Roman"/>
              </w:rPr>
              <w:t>质量缺陷</w:t>
            </w:r>
          </w:p>
        </w:tc>
      </w:tr>
      <w:tr w14:paraId="6830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exact"/>
          <w:jc w:val="center"/>
        </w:trPr>
        <w:tc>
          <w:tcPr>
            <w:tcW w:w="1838" w:type="dxa"/>
            <w:shd w:val="clear" w:color="auto" w:fill="auto"/>
            <w:vAlign w:val="center"/>
          </w:tcPr>
          <w:p w14:paraId="084CA1B9">
            <w:pPr>
              <w:jc w:val="center"/>
              <w:rPr>
                <w:rFonts w:ascii="Times New Roman" w:hAnsi="Times New Roman"/>
              </w:rPr>
            </w:pPr>
            <w:r>
              <w:rPr>
                <w:rFonts w:ascii="Times New Roman" w:hAnsi="Times New Roman"/>
              </w:rPr>
              <w:t>高密度电阻率法</w:t>
            </w:r>
          </w:p>
        </w:tc>
        <w:tc>
          <w:tcPr>
            <w:tcW w:w="2268" w:type="dxa"/>
            <w:shd w:val="clear" w:color="auto" w:fill="auto"/>
            <w:vAlign w:val="center"/>
          </w:tcPr>
          <w:p w14:paraId="1EB8485B">
            <w:pPr>
              <w:rPr>
                <w:rFonts w:ascii="Times New Roman" w:hAnsi="Times New Roman"/>
              </w:rPr>
            </w:pPr>
            <w:r>
              <w:rPr>
                <w:rFonts w:ascii="Times New Roman" w:hAnsi="Times New Roman"/>
              </w:rPr>
              <w:t>视电阻率值均匀层状分布且连续性好，等值线无断开等特征。</w:t>
            </w:r>
          </w:p>
        </w:tc>
        <w:tc>
          <w:tcPr>
            <w:tcW w:w="3969" w:type="dxa"/>
            <w:shd w:val="clear" w:color="auto" w:fill="auto"/>
            <w:vAlign w:val="center"/>
          </w:tcPr>
          <w:p w14:paraId="160726D4">
            <w:pPr>
              <w:rPr>
                <w:rFonts w:ascii="Times New Roman" w:hAnsi="Times New Roman"/>
              </w:rPr>
            </w:pPr>
            <w:r>
              <w:rPr>
                <w:rFonts w:hint="eastAsia" w:ascii="Times New Roman" w:hAnsi="Times New Roman"/>
              </w:rPr>
              <w:t>1 当缺陷处有水充填时，其视电阻率特征表现为相对低值异常；</w:t>
            </w:r>
          </w:p>
          <w:p w14:paraId="61E2BF0E">
            <w:pPr>
              <w:rPr>
                <w:rFonts w:ascii="Times New Roman" w:hAnsi="Times New Roman"/>
              </w:rPr>
            </w:pPr>
            <w:r>
              <w:rPr>
                <w:rFonts w:hint="eastAsia" w:ascii="Times New Roman" w:hAnsi="Times New Roman"/>
              </w:rPr>
              <w:t>2 当缺陷处无水充填时，其视电阻率特征表现为相对高值异常。</w:t>
            </w:r>
          </w:p>
        </w:tc>
      </w:tr>
      <w:tr w14:paraId="72F4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exact"/>
          <w:jc w:val="center"/>
        </w:trPr>
        <w:tc>
          <w:tcPr>
            <w:tcW w:w="1838" w:type="dxa"/>
            <w:shd w:val="clear" w:color="auto" w:fill="auto"/>
            <w:vAlign w:val="center"/>
          </w:tcPr>
          <w:p w14:paraId="4CEDF91E">
            <w:pPr>
              <w:jc w:val="center"/>
              <w:rPr>
                <w:rFonts w:ascii="Times New Roman" w:hAnsi="Times New Roman"/>
              </w:rPr>
            </w:pPr>
            <w:r>
              <w:rPr>
                <w:rFonts w:ascii="Times New Roman" w:hAnsi="Times New Roman"/>
              </w:rPr>
              <w:t>探地雷达法</w:t>
            </w:r>
          </w:p>
        </w:tc>
        <w:tc>
          <w:tcPr>
            <w:tcW w:w="2268" w:type="dxa"/>
            <w:shd w:val="clear" w:color="auto" w:fill="auto"/>
            <w:vAlign w:val="center"/>
          </w:tcPr>
          <w:p w14:paraId="17B098FB">
            <w:pPr>
              <w:rPr>
                <w:rFonts w:ascii="Times New Roman" w:hAnsi="Times New Roman"/>
              </w:rPr>
            </w:pPr>
            <w:r>
              <w:rPr>
                <w:rFonts w:ascii="Times New Roman" w:hAnsi="Times New Roman"/>
              </w:rPr>
              <w:t>信号幅值较弱，波形均匀，信号连续性好，</w:t>
            </w:r>
            <w:r>
              <w:rPr>
                <w:rFonts w:hint="eastAsia" w:ascii="Times New Roman" w:hAnsi="Times New Roman"/>
              </w:rPr>
              <w:t>无</w:t>
            </w:r>
            <w:r>
              <w:rPr>
                <w:rFonts w:ascii="Times New Roman" w:hAnsi="Times New Roman"/>
              </w:rPr>
              <w:t>界面反射信号。</w:t>
            </w:r>
          </w:p>
        </w:tc>
        <w:tc>
          <w:tcPr>
            <w:tcW w:w="3969" w:type="dxa"/>
            <w:shd w:val="clear" w:color="auto" w:fill="auto"/>
            <w:vAlign w:val="center"/>
          </w:tcPr>
          <w:p w14:paraId="1E832E67">
            <w:pPr>
              <w:rPr>
                <w:rFonts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整体振幅较强；</w:t>
            </w:r>
          </w:p>
          <w:p w14:paraId="1E45B297">
            <w:pPr>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顶部形成连续的同向性反射波组；</w:t>
            </w:r>
          </w:p>
          <w:p w14:paraId="5A8165A1">
            <w:pPr>
              <w:rPr>
                <w:rFonts w:ascii="Times New Roman" w:hAnsi="Times New Roman"/>
              </w:rPr>
            </w:pPr>
            <w:r>
              <w:rPr>
                <w:rFonts w:ascii="Times New Roman" w:hAnsi="Times New Roman"/>
              </w:rPr>
              <w:t>3</w:t>
            </w:r>
            <w:r>
              <w:rPr>
                <w:rFonts w:hint="eastAsia" w:ascii="Times New Roman" w:hAnsi="Times New Roman"/>
              </w:rPr>
              <w:t xml:space="preserve"> </w:t>
            </w:r>
            <w:r>
              <w:rPr>
                <w:rFonts w:ascii="Times New Roman" w:hAnsi="Times New Roman"/>
              </w:rPr>
              <w:t>多次波、绕射波明显；</w:t>
            </w:r>
          </w:p>
          <w:p w14:paraId="2F60EA13">
            <w:pPr>
              <w:rPr>
                <w:rFonts w:ascii="Times New Roman" w:hAnsi="Times New Roman"/>
              </w:rPr>
            </w:pPr>
            <w:r>
              <w:rPr>
                <w:rFonts w:ascii="Times New Roman" w:hAnsi="Times New Roman"/>
              </w:rPr>
              <w:t>4</w:t>
            </w:r>
            <w:r>
              <w:rPr>
                <w:rFonts w:hint="eastAsia" w:ascii="Times New Roman" w:hAnsi="Times New Roman"/>
              </w:rPr>
              <w:t xml:space="preserve"> </w:t>
            </w:r>
            <w:r>
              <w:rPr>
                <w:rFonts w:ascii="Times New Roman" w:hAnsi="Times New Roman"/>
              </w:rPr>
              <w:t>内部波形结构杂乱。</w:t>
            </w:r>
          </w:p>
        </w:tc>
      </w:tr>
      <w:tr w14:paraId="6D05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exact"/>
          <w:jc w:val="center"/>
        </w:trPr>
        <w:tc>
          <w:tcPr>
            <w:tcW w:w="1838" w:type="dxa"/>
            <w:shd w:val="clear" w:color="auto" w:fill="auto"/>
            <w:vAlign w:val="center"/>
          </w:tcPr>
          <w:p w14:paraId="5CE3CFB1">
            <w:pPr>
              <w:jc w:val="center"/>
              <w:rPr>
                <w:rFonts w:ascii="Times New Roman" w:hAnsi="Times New Roman"/>
              </w:rPr>
            </w:pPr>
            <w:r>
              <w:rPr>
                <w:rFonts w:ascii="Times New Roman" w:hAnsi="Times New Roman"/>
              </w:rPr>
              <w:t>瞬变电磁法</w:t>
            </w:r>
          </w:p>
        </w:tc>
        <w:tc>
          <w:tcPr>
            <w:tcW w:w="2268" w:type="dxa"/>
            <w:shd w:val="clear" w:color="auto" w:fill="auto"/>
            <w:vAlign w:val="center"/>
          </w:tcPr>
          <w:p w14:paraId="00A5FAFF">
            <w:pPr>
              <w:rPr>
                <w:rFonts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二次场衰减正常；</w:t>
            </w:r>
          </w:p>
          <w:p w14:paraId="1E5293B4">
            <w:pPr>
              <w:rPr>
                <w:rFonts w:ascii="Times New Roman" w:hAnsi="Times New Roman"/>
              </w:rPr>
            </w:pPr>
            <w:r>
              <w:rPr>
                <w:rFonts w:ascii="Times New Roman" w:hAnsi="Times New Roman"/>
              </w:rPr>
              <w:t>2 视电阻率值均匀层状分布且连续性好，等值线无断开等特征。</w:t>
            </w:r>
          </w:p>
        </w:tc>
        <w:tc>
          <w:tcPr>
            <w:tcW w:w="3969" w:type="dxa"/>
            <w:shd w:val="clear" w:color="auto" w:fill="auto"/>
            <w:vAlign w:val="center"/>
          </w:tcPr>
          <w:p w14:paraId="7676F4E6">
            <w:pPr>
              <w:rPr>
                <w:rFonts w:ascii="Times New Roman" w:hAnsi="Times New Roman"/>
              </w:rPr>
            </w:pPr>
            <w:r>
              <w:rPr>
                <w:rFonts w:hint="eastAsia" w:ascii="Times New Roman" w:hAnsi="Times New Roman"/>
              </w:rPr>
              <w:t>1 当缺陷处有水充填时，其视电阻率特征表现为相对低值异常；</w:t>
            </w:r>
          </w:p>
          <w:p w14:paraId="0EBBF665">
            <w:pPr>
              <w:rPr>
                <w:rFonts w:ascii="Times New Roman" w:hAnsi="Times New Roman"/>
              </w:rPr>
            </w:pPr>
            <w:r>
              <w:rPr>
                <w:rFonts w:hint="eastAsia" w:ascii="Times New Roman" w:hAnsi="Times New Roman"/>
              </w:rPr>
              <w:t>2 当缺陷处无水充填时，其视电阻率特征表现为相对高值异常。</w:t>
            </w:r>
          </w:p>
        </w:tc>
      </w:tr>
      <w:tr w14:paraId="5E9D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exact"/>
          <w:jc w:val="center"/>
        </w:trPr>
        <w:tc>
          <w:tcPr>
            <w:tcW w:w="1838" w:type="dxa"/>
            <w:shd w:val="clear" w:color="auto" w:fill="auto"/>
            <w:vAlign w:val="center"/>
          </w:tcPr>
          <w:p w14:paraId="1DAC0C6F">
            <w:pPr>
              <w:jc w:val="center"/>
              <w:rPr>
                <w:rFonts w:ascii="Times New Roman" w:hAnsi="Times New Roman"/>
              </w:rPr>
            </w:pPr>
            <w:r>
              <w:rPr>
                <w:rFonts w:hint="eastAsia" w:ascii="Times New Roman" w:hAnsi="Times New Roman"/>
              </w:rPr>
              <w:t>瞬态面波法或微动法</w:t>
            </w:r>
          </w:p>
        </w:tc>
        <w:tc>
          <w:tcPr>
            <w:tcW w:w="2268" w:type="dxa"/>
            <w:shd w:val="clear" w:color="auto" w:fill="auto"/>
            <w:vAlign w:val="center"/>
          </w:tcPr>
          <w:p w14:paraId="244F46B6">
            <w:pPr>
              <w:rPr>
                <w:rFonts w:ascii="Times New Roman" w:hAnsi="Times New Roman"/>
              </w:rPr>
            </w:pPr>
            <w:r>
              <w:rPr>
                <w:rFonts w:ascii="Times New Roman" w:hAnsi="Times New Roman"/>
              </w:rPr>
              <w:t>面波</w:t>
            </w:r>
            <w:r>
              <w:rPr>
                <w:rFonts w:hint="eastAsia" w:ascii="Times New Roman" w:hAnsi="Times New Roman"/>
              </w:rPr>
              <w:t>相速度</w:t>
            </w:r>
            <w:r>
              <w:rPr>
                <w:rFonts w:ascii="Times New Roman" w:hAnsi="Times New Roman"/>
              </w:rPr>
              <w:t>或视</w:t>
            </w:r>
            <w:r>
              <w:rPr>
                <w:rFonts w:hint="eastAsia" w:ascii="Times New Roman" w:hAnsi="Times New Roman"/>
              </w:rPr>
              <w:t>横波速度</w:t>
            </w:r>
            <w:r>
              <w:rPr>
                <w:rFonts w:ascii="Times New Roman" w:hAnsi="Times New Roman"/>
              </w:rPr>
              <w:t>均匀分布且连续性好。</w:t>
            </w:r>
          </w:p>
        </w:tc>
        <w:tc>
          <w:tcPr>
            <w:tcW w:w="3969" w:type="dxa"/>
            <w:shd w:val="clear" w:color="auto" w:fill="auto"/>
            <w:vAlign w:val="center"/>
          </w:tcPr>
          <w:p w14:paraId="5DA3CE56">
            <w:pPr>
              <w:rPr>
                <w:rFonts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与周边地层相比，表现为明显的低速异常，圈闭特征明显；</w:t>
            </w:r>
          </w:p>
          <w:p w14:paraId="62C08C5C">
            <w:pPr>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频散曲线变化剧烈，之字形拐点明显；</w:t>
            </w:r>
          </w:p>
          <w:p w14:paraId="232CB98E">
            <w:pPr>
              <w:rPr>
                <w:rFonts w:ascii="Times New Roman" w:hAnsi="Times New Roman"/>
              </w:rPr>
            </w:pPr>
            <w:r>
              <w:rPr>
                <w:rFonts w:ascii="Times New Roman" w:hAnsi="Times New Roman"/>
              </w:rPr>
              <w:t>3</w:t>
            </w:r>
            <w:r>
              <w:rPr>
                <w:rFonts w:hint="eastAsia" w:ascii="Times New Roman" w:hAnsi="Times New Roman"/>
              </w:rPr>
              <w:t xml:space="preserve"> </w:t>
            </w:r>
            <w:r>
              <w:rPr>
                <w:rFonts w:ascii="Times New Roman" w:hAnsi="Times New Roman"/>
              </w:rPr>
              <w:t>能量团较分散，不易提取完整的频散曲线。</w:t>
            </w:r>
          </w:p>
        </w:tc>
      </w:tr>
      <w:tr w14:paraId="2877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exact"/>
          <w:jc w:val="center"/>
        </w:trPr>
        <w:tc>
          <w:tcPr>
            <w:tcW w:w="1838" w:type="dxa"/>
            <w:shd w:val="clear" w:color="auto" w:fill="auto"/>
            <w:vAlign w:val="center"/>
          </w:tcPr>
          <w:p w14:paraId="60C1ED3F">
            <w:pPr>
              <w:jc w:val="center"/>
              <w:rPr>
                <w:rFonts w:ascii="Times New Roman" w:hAnsi="Times New Roman"/>
              </w:rPr>
            </w:pPr>
            <w:r>
              <w:rPr>
                <w:rFonts w:ascii="Times New Roman" w:hAnsi="Times New Roman"/>
              </w:rPr>
              <w:t>地震映像法</w:t>
            </w:r>
          </w:p>
        </w:tc>
        <w:tc>
          <w:tcPr>
            <w:tcW w:w="2268" w:type="dxa"/>
            <w:shd w:val="clear" w:color="auto" w:fill="auto"/>
            <w:vAlign w:val="center"/>
          </w:tcPr>
          <w:p w14:paraId="3BB671E7">
            <w:pPr>
              <w:rPr>
                <w:rFonts w:ascii="Times New Roman" w:hAnsi="Times New Roman"/>
              </w:rPr>
            </w:pPr>
            <w:r>
              <w:rPr>
                <w:rFonts w:ascii="Times New Roman" w:hAnsi="Times New Roman"/>
              </w:rPr>
              <w:t>信号幅值较弱，波形均匀，信号连续性好</w:t>
            </w:r>
            <w:r>
              <w:rPr>
                <w:rFonts w:hint="eastAsia" w:ascii="Times New Roman" w:hAnsi="Times New Roman"/>
              </w:rPr>
              <w:t>。</w:t>
            </w:r>
          </w:p>
        </w:tc>
        <w:tc>
          <w:tcPr>
            <w:tcW w:w="3969" w:type="dxa"/>
            <w:shd w:val="clear" w:color="auto" w:fill="auto"/>
            <w:vAlign w:val="center"/>
          </w:tcPr>
          <w:p w14:paraId="3D714B6F">
            <w:pPr>
              <w:rPr>
                <w:rFonts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频率低于背景场；</w:t>
            </w:r>
          </w:p>
          <w:p w14:paraId="6FCCAEE0">
            <w:pPr>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同相轴消失或分叉；</w:t>
            </w:r>
          </w:p>
          <w:p w14:paraId="3AF236F2">
            <w:pPr>
              <w:rPr>
                <w:rFonts w:ascii="Times New Roman" w:hAnsi="Times New Roman"/>
              </w:rPr>
            </w:pPr>
            <w:r>
              <w:rPr>
                <w:rFonts w:ascii="Times New Roman" w:hAnsi="Times New Roman"/>
              </w:rPr>
              <w:t>3</w:t>
            </w:r>
            <w:r>
              <w:rPr>
                <w:rFonts w:hint="eastAsia" w:ascii="Times New Roman" w:hAnsi="Times New Roman"/>
              </w:rPr>
              <w:t xml:space="preserve"> </w:t>
            </w:r>
            <w:r>
              <w:rPr>
                <w:rFonts w:ascii="Times New Roman" w:hAnsi="Times New Roman"/>
              </w:rPr>
              <w:t>同相轴上凸或下凹现象明显，边界处同相轴明显错断，局部有散射现象</w:t>
            </w:r>
            <w:r>
              <w:rPr>
                <w:rFonts w:hint="eastAsia" w:ascii="Times New Roman" w:hAnsi="Times New Roman"/>
              </w:rPr>
              <w:t>。</w:t>
            </w:r>
          </w:p>
        </w:tc>
      </w:tr>
      <w:tr w14:paraId="7B5A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jc w:val="center"/>
        </w:trPr>
        <w:tc>
          <w:tcPr>
            <w:tcW w:w="1838" w:type="dxa"/>
            <w:shd w:val="clear" w:color="auto" w:fill="auto"/>
            <w:vAlign w:val="center"/>
          </w:tcPr>
          <w:p w14:paraId="7626F326">
            <w:pPr>
              <w:jc w:val="center"/>
              <w:rPr>
                <w:rFonts w:ascii="Times New Roman" w:hAnsi="Times New Roman"/>
              </w:rPr>
            </w:pPr>
            <w:r>
              <w:rPr>
                <w:rFonts w:hint="eastAsia" w:ascii="Times New Roman" w:hAnsi="Times New Roman"/>
              </w:rPr>
              <w:t>钻孔全景光学成像法</w:t>
            </w:r>
          </w:p>
        </w:tc>
        <w:tc>
          <w:tcPr>
            <w:tcW w:w="2268" w:type="dxa"/>
            <w:shd w:val="clear" w:color="auto" w:fill="auto"/>
            <w:vAlign w:val="center"/>
          </w:tcPr>
          <w:p w14:paraId="2AE64D9E">
            <w:pPr>
              <w:rPr>
                <w:rFonts w:ascii="Times New Roman" w:hAnsi="Times New Roman"/>
              </w:rPr>
            </w:pPr>
            <w:r>
              <w:rPr>
                <w:rFonts w:hint="eastAsia" w:ascii="Times New Roman" w:hAnsi="Times New Roman"/>
              </w:rPr>
              <w:t>岩性影像均匀、连续，无中断。</w:t>
            </w:r>
          </w:p>
        </w:tc>
        <w:tc>
          <w:tcPr>
            <w:tcW w:w="3969" w:type="dxa"/>
            <w:shd w:val="clear" w:color="auto" w:fill="auto"/>
            <w:vAlign w:val="center"/>
          </w:tcPr>
          <w:p w14:paraId="4DC6F9E0">
            <w:pPr>
              <w:rPr>
                <w:rFonts w:ascii="Times New Roman" w:hAnsi="Times New Roman"/>
              </w:rPr>
            </w:pPr>
            <w:r>
              <w:rPr>
                <w:rFonts w:hint="eastAsia" w:ascii="Times New Roman" w:hAnsi="Times New Roman"/>
              </w:rPr>
              <w:t>岩性影像出现中断、不连续、明显破碎段。</w:t>
            </w:r>
          </w:p>
        </w:tc>
      </w:tr>
      <w:tr w14:paraId="3898E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exact"/>
          <w:jc w:val="center"/>
        </w:trPr>
        <w:tc>
          <w:tcPr>
            <w:tcW w:w="1838" w:type="dxa"/>
            <w:shd w:val="clear" w:color="auto" w:fill="auto"/>
            <w:vAlign w:val="center"/>
          </w:tcPr>
          <w:p w14:paraId="15A039E6">
            <w:pPr>
              <w:jc w:val="center"/>
              <w:rPr>
                <w:rFonts w:ascii="Times New Roman" w:hAnsi="Times New Roman"/>
              </w:rPr>
            </w:pPr>
            <w:r>
              <w:rPr>
                <w:rFonts w:hint="eastAsia" w:ascii="Times New Roman" w:hAnsi="Times New Roman"/>
              </w:rPr>
              <w:t>井间层析成像法</w:t>
            </w:r>
          </w:p>
        </w:tc>
        <w:tc>
          <w:tcPr>
            <w:tcW w:w="2268" w:type="dxa"/>
            <w:shd w:val="clear" w:color="auto" w:fill="auto"/>
            <w:vAlign w:val="center"/>
          </w:tcPr>
          <w:p w14:paraId="0B75E335">
            <w:pPr>
              <w:rPr>
                <w:rFonts w:ascii="Times New Roman" w:hAnsi="Times New Roman"/>
              </w:rPr>
            </w:pPr>
            <w:r>
              <w:rPr>
                <w:rFonts w:hint="eastAsia" w:ascii="Times New Roman" w:hAnsi="Times New Roman"/>
              </w:rPr>
              <w:t>跨孔之间视电阻率值、吸收系数、波速值均匀分布且连续性好。</w:t>
            </w:r>
          </w:p>
        </w:tc>
        <w:tc>
          <w:tcPr>
            <w:tcW w:w="3969" w:type="dxa"/>
            <w:shd w:val="clear" w:color="auto" w:fill="auto"/>
            <w:vAlign w:val="center"/>
          </w:tcPr>
          <w:p w14:paraId="153CF605">
            <w:pPr>
              <w:rPr>
                <w:rFonts w:ascii="Times New Roman" w:hAnsi="Times New Roman"/>
              </w:rPr>
            </w:pPr>
            <w:r>
              <w:rPr>
                <w:rFonts w:hint="eastAsia" w:ascii="Times New Roman" w:hAnsi="Times New Roman"/>
              </w:rPr>
              <w:t>1 视电阻率值特征表现为相对低值异常；</w:t>
            </w:r>
          </w:p>
          <w:p w14:paraId="5AC02F7D">
            <w:pPr>
              <w:rPr>
                <w:rFonts w:ascii="Times New Roman" w:hAnsi="Times New Roman"/>
              </w:rPr>
            </w:pPr>
            <w:r>
              <w:rPr>
                <w:rFonts w:hint="eastAsia" w:ascii="Times New Roman" w:hAnsi="Times New Roman"/>
              </w:rPr>
              <w:t>2 电磁波吸收系数表现为高吸收系数；</w:t>
            </w:r>
          </w:p>
          <w:p w14:paraId="1E3756EB">
            <w:pPr>
              <w:rPr>
                <w:rFonts w:ascii="Times New Roman" w:hAnsi="Times New Roman"/>
              </w:rPr>
            </w:pPr>
            <w:r>
              <w:rPr>
                <w:rFonts w:hint="eastAsia" w:ascii="Times New Roman" w:hAnsi="Times New Roman"/>
              </w:rPr>
              <w:t>3 地震波波速值表现为低速特征。</w:t>
            </w:r>
          </w:p>
        </w:tc>
      </w:tr>
    </w:tbl>
    <w:p w14:paraId="0B74C1F3">
      <w:pPr>
        <w:numPr>
          <w:ilvl w:val="0"/>
          <w:numId w:val="2"/>
        </w:numPr>
      </w:pPr>
    </w:p>
    <w:p w14:paraId="13784681">
      <w:pPr>
        <w:pStyle w:val="211"/>
        <w:rPr>
          <w:rFonts w:ascii="Times New Roman" w:hAnsi="Times New Roman"/>
        </w:rPr>
      </w:pPr>
    </w:p>
    <w:p w14:paraId="10A01910">
      <w:pPr>
        <w:pStyle w:val="212"/>
        <w:rPr>
          <w:rFonts w:ascii="Times New Roman"/>
        </w:rPr>
      </w:pPr>
    </w:p>
    <w:p w14:paraId="250C6F22">
      <w:pPr>
        <w:pStyle w:val="18"/>
        <w:numPr>
          <w:ilvl w:val="0"/>
          <w:numId w:val="2"/>
        </w:numPr>
        <w:spacing w:before="312" w:beforeLines="100" w:after="312" w:afterLines="100" w:line="360" w:lineRule="auto"/>
        <w:jc w:val="center"/>
        <w:outlineLvl w:val="0"/>
        <w:rPr>
          <w:rFonts w:ascii="Times New Roman" w:hAnsi="Times New Roman"/>
          <w:b/>
          <w:sz w:val="36"/>
          <w:szCs w:val="36"/>
        </w:rPr>
        <w:sectPr>
          <w:headerReference r:id="rId39" w:type="default"/>
          <w:footerReference r:id="rId41" w:type="default"/>
          <w:headerReference r:id="rId40" w:type="even"/>
          <w:footerReference r:id="rId42" w:type="even"/>
          <w:pgSz w:w="11906" w:h="16838"/>
          <w:pgMar w:top="1440" w:right="1797" w:bottom="1440" w:left="1797" w:header="1418" w:footer="1134" w:gutter="0"/>
          <w:cols w:space="425" w:num="1"/>
          <w:formProt w:val="0"/>
          <w:docGrid w:type="lines" w:linePitch="312" w:charSpace="0"/>
        </w:sectPr>
      </w:pPr>
      <w:bookmarkStart w:id="318" w:name="_Toc196124364"/>
    </w:p>
    <w:p w14:paraId="0C3D5A38">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ascii="Times New Roman" w:hAnsi="Times New Roman"/>
          <w:b/>
          <w:sz w:val="36"/>
          <w:szCs w:val="36"/>
        </w:rPr>
        <w:t>本</w:t>
      </w:r>
      <w:r>
        <w:rPr>
          <w:rFonts w:hint="eastAsia" w:ascii="Times New Roman" w:hAnsi="Times New Roman"/>
          <w:b/>
          <w:sz w:val="36"/>
          <w:szCs w:val="36"/>
        </w:rPr>
        <w:t>标准</w:t>
      </w:r>
      <w:r>
        <w:rPr>
          <w:rFonts w:ascii="Times New Roman" w:hAnsi="Times New Roman"/>
          <w:b/>
          <w:sz w:val="36"/>
          <w:szCs w:val="36"/>
        </w:rPr>
        <w:t>用词说明</w:t>
      </w:r>
      <w:bookmarkEnd w:id="309"/>
      <w:bookmarkEnd w:id="310"/>
      <w:bookmarkEnd w:id="311"/>
      <w:bookmarkEnd w:id="318"/>
    </w:p>
    <w:p w14:paraId="3541EB13">
      <w:pPr>
        <w:spacing w:line="360" w:lineRule="auto"/>
        <w:ind w:firstLine="480" w:firstLineChars="200"/>
        <w:rPr>
          <w:rFonts w:ascii="Times New Roman" w:hAnsi="Times New Roman"/>
          <w:sz w:val="24"/>
          <w:szCs w:val="24"/>
        </w:rPr>
      </w:pPr>
      <w:bookmarkStart w:id="319" w:name="_Toc193447702"/>
      <w:bookmarkStart w:id="320" w:name="_Toc192078880"/>
      <w:bookmarkStart w:id="321" w:name="_Toc193447666"/>
      <w:r>
        <w:rPr>
          <w:rFonts w:ascii="Times New Roman" w:hAnsi="Times New Roman"/>
          <w:sz w:val="24"/>
          <w:szCs w:val="24"/>
        </w:rPr>
        <w:t xml:space="preserve">1  为便于在执行本标准条文时区别对待，对要求严格程度不同的用词，说明如下： </w:t>
      </w:r>
    </w:p>
    <w:p w14:paraId="1F6EC358">
      <w:pPr>
        <w:adjustRightInd/>
        <w:spacing w:line="360" w:lineRule="auto"/>
        <w:ind w:left="838"/>
        <w:rPr>
          <w:rFonts w:ascii="Times New Roman" w:hAnsi="Times New Roman"/>
          <w:sz w:val="24"/>
          <w:szCs w:val="24"/>
        </w:rPr>
      </w:pPr>
      <w:bookmarkStart w:id="322" w:name="_Hlk195717227"/>
      <w:r>
        <w:rPr>
          <w:rFonts w:hint="eastAsia" w:ascii="Times New Roman" w:hAnsi="Times New Roman"/>
          <w:sz w:val="24"/>
          <w:szCs w:val="24"/>
        </w:rPr>
        <w:t>1）</w:t>
      </w:r>
      <w:r>
        <w:rPr>
          <w:rFonts w:ascii="Times New Roman" w:hAnsi="Times New Roman"/>
          <w:sz w:val="24"/>
          <w:szCs w:val="24"/>
        </w:rPr>
        <w:t xml:space="preserve">表示很严格，非这样不可的： </w:t>
      </w:r>
    </w:p>
    <w:p w14:paraId="43FC3700">
      <w:pPr>
        <w:spacing w:line="360" w:lineRule="auto"/>
        <w:ind w:firstLine="1080" w:firstLineChars="450"/>
        <w:rPr>
          <w:rFonts w:ascii="Times New Roman" w:hAnsi="Times New Roman"/>
          <w:sz w:val="24"/>
          <w:szCs w:val="24"/>
        </w:rPr>
      </w:pPr>
      <w:r>
        <w:rPr>
          <w:rFonts w:ascii="Times New Roman" w:hAnsi="Times New Roman"/>
          <w:sz w:val="24"/>
          <w:szCs w:val="24"/>
        </w:rPr>
        <w:t xml:space="preserve">正面词采用“必须”； </w:t>
      </w:r>
    </w:p>
    <w:p w14:paraId="28DBD3DE">
      <w:pPr>
        <w:spacing w:line="360" w:lineRule="auto"/>
        <w:ind w:firstLine="1080" w:firstLineChars="450"/>
        <w:rPr>
          <w:rFonts w:ascii="Times New Roman" w:hAnsi="Times New Roman"/>
          <w:sz w:val="24"/>
          <w:szCs w:val="24"/>
        </w:rPr>
      </w:pPr>
      <w:r>
        <w:rPr>
          <w:rFonts w:ascii="Times New Roman" w:hAnsi="Times New Roman"/>
          <w:sz w:val="24"/>
          <w:szCs w:val="24"/>
        </w:rPr>
        <w:t xml:space="preserve">反面词采用“严禁”。 </w:t>
      </w:r>
    </w:p>
    <w:p w14:paraId="160680D3">
      <w:pPr>
        <w:adjustRightInd/>
        <w:spacing w:line="360" w:lineRule="auto"/>
        <w:ind w:left="720"/>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 xml:space="preserve">表示严格，在正常情况下均应这样做的： </w:t>
      </w:r>
    </w:p>
    <w:p w14:paraId="50DDC221">
      <w:pPr>
        <w:spacing w:line="360" w:lineRule="auto"/>
        <w:ind w:firstLine="1080" w:firstLineChars="450"/>
        <w:rPr>
          <w:rFonts w:ascii="Times New Roman" w:hAnsi="Times New Roman"/>
          <w:sz w:val="24"/>
          <w:szCs w:val="24"/>
        </w:rPr>
      </w:pPr>
      <w:r>
        <w:rPr>
          <w:rFonts w:ascii="Times New Roman" w:hAnsi="Times New Roman"/>
          <w:sz w:val="24"/>
          <w:szCs w:val="24"/>
        </w:rPr>
        <w:t xml:space="preserve">正面词采用“应”； </w:t>
      </w:r>
    </w:p>
    <w:p w14:paraId="614C05E1">
      <w:pPr>
        <w:spacing w:line="360" w:lineRule="auto"/>
        <w:ind w:firstLine="1080" w:firstLineChars="450"/>
        <w:rPr>
          <w:rFonts w:ascii="Times New Roman" w:hAnsi="Times New Roman"/>
          <w:sz w:val="24"/>
          <w:szCs w:val="24"/>
        </w:rPr>
      </w:pPr>
      <w:r>
        <w:rPr>
          <w:rFonts w:ascii="Times New Roman" w:hAnsi="Times New Roman"/>
          <w:sz w:val="24"/>
          <w:szCs w:val="24"/>
        </w:rPr>
        <w:t xml:space="preserve">反面词采用“不应”或“不得”。 </w:t>
      </w:r>
    </w:p>
    <w:p w14:paraId="1538464F">
      <w:pPr>
        <w:adjustRightInd/>
        <w:spacing w:line="360" w:lineRule="auto"/>
        <w:ind w:left="72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表示允许稍有选择，在条件许可时首先应这样做的： </w:t>
      </w:r>
    </w:p>
    <w:p w14:paraId="761C6826">
      <w:pPr>
        <w:spacing w:line="360" w:lineRule="auto"/>
        <w:ind w:firstLine="1080" w:firstLineChars="450"/>
        <w:rPr>
          <w:rFonts w:ascii="Times New Roman" w:hAnsi="Times New Roman"/>
          <w:sz w:val="24"/>
          <w:szCs w:val="24"/>
        </w:rPr>
      </w:pPr>
      <w:r>
        <w:rPr>
          <w:rFonts w:ascii="Times New Roman" w:hAnsi="Times New Roman"/>
          <w:sz w:val="24"/>
          <w:szCs w:val="24"/>
        </w:rPr>
        <w:t xml:space="preserve">正面词采用“宜”； </w:t>
      </w:r>
    </w:p>
    <w:p w14:paraId="1A1B66F9">
      <w:pPr>
        <w:spacing w:line="360" w:lineRule="auto"/>
        <w:ind w:firstLine="1080" w:firstLineChars="450"/>
        <w:rPr>
          <w:rFonts w:ascii="Times New Roman" w:hAnsi="Times New Roman"/>
          <w:sz w:val="24"/>
          <w:szCs w:val="24"/>
        </w:rPr>
      </w:pPr>
      <w:r>
        <w:rPr>
          <w:rFonts w:ascii="Times New Roman" w:hAnsi="Times New Roman"/>
          <w:sz w:val="24"/>
          <w:szCs w:val="24"/>
        </w:rPr>
        <w:t xml:space="preserve">反面词采用“不宜”。 </w:t>
      </w:r>
    </w:p>
    <w:p w14:paraId="734BF661">
      <w:pPr>
        <w:spacing w:line="360" w:lineRule="auto"/>
        <w:ind w:firstLine="720" w:firstLineChars="3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w:t>
      </w:r>
      <w:r>
        <w:rPr>
          <w:rFonts w:ascii="Times New Roman" w:hAnsi="Times New Roman"/>
          <w:sz w:val="24"/>
          <w:szCs w:val="24"/>
        </w:rPr>
        <w:t>表示有选择，在一定条件下可以这样做的用词，采用“可”。</w:t>
      </w:r>
    </w:p>
    <w:bookmarkEnd w:id="322"/>
    <w:p w14:paraId="3B870D34">
      <w:pPr>
        <w:spacing w:line="360" w:lineRule="auto"/>
        <w:ind w:firstLine="480" w:firstLineChars="200"/>
        <w:rPr>
          <w:rFonts w:ascii="Times New Roman" w:hAnsi="Times New Roman"/>
          <w:sz w:val="24"/>
          <w:szCs w:val="24"/>
        </w:rPr>
      </w:pPr>
      <w:r>
        <w:rPr>
          <w:rFonts w:ascii="Times New Roman" w:hAnsi="Times New Roman"/>
          <w:sz w:val="24"/>
          <w:szCs w:val="24"/>
        </w:rPr>
        <w:t>2  条文中指定应按其他有关标准、规范执行时的写法为“应按……执行”或“应符合……的要求（规定）”。非应按所指定的标准执行时，写法为“可参照……执行”。</w:t>
      </w:r>
    </w:p>
    <w:p w14:paraId="0E45C47B">
      <w:pPr>
        <w:spacing w:line="360" w:lineRule="auto"/>
        <w:ind w:firstLine="480" w:firstLineChars="200"/>
        <w:rPr>
          <w:rFonts w:ascii="Times New Roman" w:hAnsi="Times New Roman"/>
          <w:sz w:val="24"/>
          <w:szCs w:val="24"/>
        </w:rPr>
        <w:sectPr>
          <w:pgSz w:w="11906" w:h="16838"/>
          <w:pgMar w:top="1440" w:right="1797" w:bottom="1440" w:left="1797" w:header="1418" w:footer="1134" w:gutter="0"/>
          <w:cols w:space="425" w:num="1"/>
          <w:formProt w:val="0"/>
          <w:docGrid w:type="lines" w:linePitch="312" w:charSpace="0"/>
        </w:sectPr>
      </w:pPr>
    </w:p>
    <w:p w14:paraId="557CACE5">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323" w:name="_Toc196124365"/>
      <w:r>
        <w:rPr>
          <w:rFonts w:hint="eastAsia" w:ascii="Times New Roman" w:hAnsi="Times New Roman"/>
          <w:b/>
          <w:sz w:val="36"/>
          <w:szCs w:val="36"/>
        </w:rPr>
        <w:t>引用标准名录</w:t>
      </w:r>
      <w:bookmarkEnd w:id="323"/>
    </w:p>
    <w:p w14:paraId="2494245F">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1.《生活垃圾卫生填埋处理技术规范》GB 50869</w:t>
      </w:r>
    </w:p>
    <w:p w14:paraId="2A23C0E9">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2.</w:t>
      </w:r>
      <w:r>
        <w:rPr>
          <w:rFonts w:hint="eastAsia" w:ascii="Times New Roman"/>
          <w:sz w:val="24"/>
          <w:szCs w:val="24"/>
        </w:rPr>
        <w:t>《生活垃圾卫生填埋场防渗系统工程技术标准》</w:t>
      </w:r>
      <w:r>
        <w:rPr>
          <w:rFonts w:ascii="Times New Roman"/>
          <w:sz w:val="24"/>
          <w:szCs w:val="24"/>
        </w:rPr>
        <w:t>GB/T 51403</w:t>
      </w:r>
    </w:p>
    <w:p w14:paraId="49925B74">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3.</w:t>
      </w:r>
      <w:r>
        <w:rPr>
          <w:rFonts w:ascii="Times New Roman"/>
          <w:sz w:val="24"/>
        </w:rPr>
        <w:t>《土工合成材料防渗性能 第2部分</w:t>
      </w:r>
      <w:r>
        <w:rPr>
          <w:rFonts w:hint="eastAsia" w:ascii="Times New Roman"/>
          <w:sz w:val="24"/>
        </w:rPr>
        <w:t>：</w:t>
      </w:r>
      <w:r>
        <w:rPr>
          <w:rFonts w:ascii="Times New Roman"/>
          <w:sz w:val="24"/>
        </w:rPr>
        <w:t>渗透系数的测定》GB/T 19979.2</w:t>
      </w:r>
    </w:p>
    <w:p w14:paraId="0F721763">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4</w:t>
      </w:r>
      <w:r>
        <w:rPr>
          <w:rFonts w:ascii="Times New Roman" w:hAnsi="Times New Roman"/>
          <w:bCs/>
          <w:sz w:val="24"/>
          <w:szCs w:val="24"/>
        </w:rPr>
        <w:t>.</w:t>
      </w:r>
      <w:r>
        <w:rPr>
          <w:rFonts w:ascii="Times New Roman"/>
          <w:sz w:val="24"/>
          <w:szCs w:val="24"/>
        </w:rPr>
        <w:t>《土工合成材料应用技术规范》GB/T 50290</w:t>
      </w:r>
    </w:p>
    <w:p w14:paraId="74EFB45F">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5.《生活垃圾卫生填埋场岩土工程技术规范》CJJ</w:t>
      </w:r>
      <w:r>
        <w:rPr>
          <w:rFonts w:ascii="Times New Roman" w:hAnsi="Times New Roman"/>
          <w:bCs/>
          <w:sz w:val="24"/>
          <w:szCs w:val="24"/>
        </w:rPr>
        <w:t xml:space="preserve"> </w:t>
      </w:r>
      <w:r>
        <w:rPr>
          <w:rFonts w:hint="eastAsia" w:ascii="Times New Roman" w:hAnsi="Times New Roman"/>
          <w:bCs/>
          <w:sz w:val="24"/>
          <w:szCs w:val="24"/>
        </w:rPr>
        <w:t>176</w:t>
      </w:r>
    </w:p>
    <w:p w14:paraId="0817753C">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6</w:t>
      </w:r>
      <w:r>
        <w:rPr>
          <w:rFonts w:ascii="Times New Roman" w:hAnsi="Times New Roman"/>
          <w:bCs/>
          <w:sz w:val="24"/>
          <w:szCs w:val="24"/>
        </w:rPr>
        <w:t>.</w:t>
      </w:r>
      <w:r>
        <w:rPr>
          <w:rFonts w:hint="eastAsia" w:ascii="Times New Roman" w:hAnsi="Times New Roman"/>
          <w:bCs/>
          <w:sz w:val="24"/>
          <w:szCs w:val="24"/>
        </w:rPr>
        <w:t>《工业污染场地竖向阻隔技术规范》</w:t>
      </w:r>
      <w:r>
        <w:rPr>
          <w:rFonts w:ascii="Times New Roman" w:hAnsi="Times New Roman"/>
          <w:bCs/>
          <w:sz w:val="24"/>
          <w:szCs w:val="24"/>
        </w:rPr>
        <w:t>HG/T 20715</w:t>
      </w:r>
    </w:p>
    <w:p w14:paraId="73D286AA">
      <w:pPr>
        <w:pStyle w:val="249"/>
        <w:numPr>
          <w:ilvl w:val="0"/>
          <w:numId w:val="2"/>
        </w:numPr>
        <w:spacing w:line="360" w:lineRule="auto"/>
        <w:ind w:firstLineChars="0"/>
        <w:jc w:val="left"/>
        <w:rPr>
          <w:rFonts w:ascii="Times New Roman" w:hAnsi="Times New Roman"/>
          <w:bCs/>
          <w:sz w:val="24"/>
          <w:szCs w:val="24"/>
        </w:rPr>
      </w:pPr>
      <w:r>
        <w:rPr>
          <w:rFonts w:hint="eastAsia" w:ascii="Times New Roman"/>
          <w:sz w:val="24"/>
        </w:rPr>
        <w:t>7.</w:t>
      </w:r>
      <w:r>
        <w:rPr>
          <w:rFonts w:ascii="Times New Roman"/>
          <w:sz w:val="24"/>
        </w:rPr>
        <w:t>《生活垃圾填埋场防渗土工膜渗漏破损探测技术规程》CJJ/T 214</w:t>
      </w:r>
    </w:p>
    <w:p w14:paraId="11E0DEE0">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8.《水利工程质量检测技术规程》SL</w:t>
      </w:r>
      <w:r>
        <w:rPr>
          <w:rFonts w:ascii="Times New Roman" w:hAnsi="Times New Roman"/>
          <w:bCs/>
          <w:sz w:val="24"/>
          <w:szCs w:val="24"/>
        </w:rPr>
        <w:t xml:space="preserve"> </w:t>
      </w:r>
      <w:r>
        <w:rPr>
          <w:rFonts w:hint="eastAsia" w:ascii="Times New Roman" w:hAnsi="Times New Roman"/>
          <w:bCs/>
          <w:sz w:val="24"/>
          <w:szCs w:val="24"/>
        </w:rPr>
        <w:t>734</w:t>
      </w:r>
    </w:p>
    <w:p w14:paraId="3C49061F">
      <w:pPr>
        <w:pStyle w:val="249"/>
        <w:numPr>
          <w:ilvl w:val="0"/>
          <w:numId w:val="2"/>
        </w:numPr>
        <w:spacing w:line="360" w:lineRule="auto"/>
        <w:ind w:firstLineChars="0"/>
        <w:jc w:val="left"/>
        <w:rPr>
          <w:rFonts w:ascii="Times New Roman" w:hAnsi="Times New Roman"/>
          <w:bCs/>
          <w:sz w:val="24"/>
          <w:szCs w:val="24"/>
        </w:rPr>
      </w:pPr>
      <w:r>
        <w:rPr>
          <w:rFonts w:hint="eastAsia" w:ascii="Times New Roman"/>
          <w:sz w:val="24"/>
          <w:szCs w:val="24"/>
        </w:rPr>
        <w:t>9.</w:t>
      </w:r>
      <w:r>
        <w:rPr>
          <w:rFonts w:ascii="Times New Roman"/>
          <w:sz w:val="24"/>
          <w:szCs w:val="24"/>
        </w:rPr>
        <w:t>《水电水利工程高压喷射灌浆技术规范》DL/T 5200</w:t>
      </w:r>
    </w:p>
    <w:p w14:paraId="37EF182A">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10.《水工建筑物水泥灌浆施工技术规范》SL</w:t>
      </w:r>
      <w:r>
        <w:rPr>
          <w:rFonts w:ascii="Times New Roman" w:hAnsi="Times New Roman"/>
          <w:bCs/>
          <w:sz w:val="24"/>
          <w:szCs w:val="24"/>
        </w:rPr>
        <w:t>/</w:t>
      </w:r>
      <w:r>
        <w:rPr>
          <w:rFonts w:hint="eastAsia" w:ascii="Times New Roman" w:hAnsi="Times New Roman"/>
          <w:bCs/>
          <w:sz w:val="24"/>
          <w:szCs w:val="24"/>
        </w:rPr>
        <w:t>T</w:t>
      </w:r>
      <w:r>
        <w:rPr>
          <w:rFonts w:ascii="Times New Roman" w:hAnsi="Times New Roman"/>
          <w:bCs/>
          <w:sz w:val="24"/>
          <w:szCs w:val="24"/>
        </w:rPr>
        <w:t xml:space="preserve"> </w:t>
      </w:r>
      <w:r>
        <w:rPr>
          <w:rFonts w:hint="eastAsia" w:ascii="Times New Roman" w:hAnsi="Times New Roman"/>
          <w:bCs/>
          <w:sz w:val="24"/>
          <w:szCs w:val="24"/>
        </w:rPr>
        <w:t>62</w:t>
      </w:r>
    </w:p>
    <w:p w14:paraId="0E42CDA1">
      <w:pPr>
        <w:pStyle w:val="249"/>
        <w:numPr>
          <w:ilvl w:val="0"/>
          <w:numId w:val="2"/>
        </w:numPr>
        <w:spacing w:line="360" w:lineRule="auto"/>
        <w:ind w:firstLineChars="0"/>
        <w:jc w:val="left"/>
        <w:rPr>
          <w:rFonts w:ascii="Times New Roman" w:hAnsi="Times New Roman"/>
          <w:bCs/>
          <w:sz w:val="24"/>
          <w:szCs w:val="24"/>
        </w:rPr>
      </w:pPr>
      <w:r>
        <w:rPr>
          <w:rFonts w:hint="eastAsia" w:ascii="Times New Roman" w:hAnsi="Times New Roman"/>
          <w:bCs/>
          <w:sz w:val="24"/>
          <w:szCs w:val="24"/>
        </w:rPr>
        <w:t>11.《水利水电工程钻孔压水试验规程》</w:t>
      </w:r>
      <w:r>
        <w:rPr>
          <w:rFonts w:ascii="Times New Roman" w:hAnsi="Times New Roman"/>
          <w:bCs/>
          <w:sz w:val="24"/>
          <w:szCs w:val="24"/>
        </w:rPr>
        <w:t>SL</w:t>
      </w:r>
      <w:r>
        <w:rPr>
          <w:rFonts w:hint="eastAsia" w:ascii="Times New Roman" w:hAnsi="Times New Roman"/>
          <w:bCs/>
          <w:sz w:val="24"/>
          <w:szCs w:val="24"/>
        </w:rPr>
        <w:t xml:space="preserve"> </w:t>
      </w:r>
      <w:r>
        <w:rPr>
          <w:rFonts w:ascii="Times New Roman" w:hAnsi="Times New Roman"/>
          <w:bCs/>
          <w:sz w:val="24"/>
          <w:szCs w:val="24"/>
        </w:rPr>
        <w:t>31</w:t>
      </w:r>
    </w:p>
    <w:p w14:paraId="623E79DB">
      <w:pPr>
        <w:pStyle w:val="249"/>
        <w:numPr>
          <w:ilvl w:val="0"/>
          <w:numId w:val="2"/>
        </w:numPr>
        <w:spacing w:line="360" w:lineRule="auto"/>
        <w:ind w:firstLineChars="0"/>
        <w:jc w:val="left"/>
        <w:rPr>
          <w:rFonts w:ascii="Times New Roman" w:hAnsi="Times New Roman"/>
          <w:bCs/>
          <w:sz w:val="24"/>
          <w:szCs w:val="24"/>
        </w:rPr>
      </w:pPr>
      <w:r>
        <w:rPr>
          <w:rFonts w:hint="eastAsia" w:ascii="Times New Roman"/>
          <w:sz w:val="24"/>
          <w:szCs w:val="24"/>
        </w:rPr>
        <w:t>12.</w:t>
      </w:r>
      <w:r>
        <w:rPr>
          <w:rFonts w:ascii="Times New Roman"/>
          <w:sz w:val="24"/>
          <w:szCs w:val="24"/>
        </w:rPr>
        <w:t>《水利水电工程注水试验规程》SL 345</w:t>
      </w:r>
    </w:p>
    <w:p w14:paraId="620375B2">
      <w:pPr>
        <w:pStyle w:val="249"/>
        <w:numPr>
          <w:ilvl w:val="0"/>
          <w:numId w:val="2"/>
        </w:numPr>
        <w:spacing w:line="360" w:lineRule="auto"/>
        <w:ind w:firstLineChars="0"/>
        <w:jc w:val="left"/>
        <w:rPr>
          <w:rFonts w:ascii="Times New Roman" w:hAnsi="Times New Roman"/>
          <w:bCs/>
          <w:sz w:val="24"/>
          <w:szCs w:val="24"/>
        </w:rPr>
      </w:pPr>
      <w:r>
        <w:rPr>
          <w:rFonts w:hint="eastAsia" w:ascii="Times New Roman"/>
          <w:sz w:val="24"/>
          <w:szCs w:val="24"/>
        </w:rPr>
        <w:t>13.《水利水电工程坑探规程》S</w:t>
      </w:r>
      <w:r>
        <w:rPr>
          <w:rFonts w:ascii="Times New Roman"/>
          <w:sz w:val="24"/>
          <w:szCs w:val="24"/>
        </w:rPr>
        <w:t>L 166</w:t>
      </w:r>
    </w:p>
    <w:p w14:paraId="76024C81">
      <w:pPr>
        <w:spacing w:line="360" w:lineRule="auto"/>
        <w:rPr>
          <w:rFonts w:ascii="Times New Roman" w:hAnsi="Times New Roman"/>
          <w:sz w:val="24"/>
          <w:szCs w:val="24"/>
        </w:rPr>
      </w:pPr>
      <w:r>
        <w:rPr>
          <w:rFonts w:hint="eastAsia" w:ascii="Times New Roman"/>
          <w:sz w:val="24"/>
          <w:szCs w:val="24"/>
        </w:rPr>
        <w:t>14.</w:t>
      </w:r>
      <w:r>
        <w:rPr>
          <w:rFonts w:ascii="Times New Roman"/>
          <w:sz w:val="24"/>
          <w:szCs w:val="24"/>
        </w:rPr>
        <w:t>《电阻率剖面法技术规程》DZ/T 0073</w:t>
      </w:r>
    </w:p>
    <w:p w14:paraId="7B75847A">
      <w:pPr>
        <w:spacing w:line="360" w:lineRule="auto"/>
        <w:rPr>
          <w:rFonts w:ascii="Times New Roman"/>
          <w:sz w:val="24"/>
          <w:szCs w:val="24"/>
        </w:rPr>
      </w:pPr>
      <w:r>
        <w:rPr>
          <w:rFonts w:hint="eastAsia" w:ascii="Times New Roman"/>
          <w:sz w:val="24"/>
          <w:szCs w:val="24"/>
        </w:rPr>
        <w:t>15.</w:t>
      </w:r>
      <w:r>
        <w:rPr>
          <w:rFonts w:ascii="Times New Roman"/>
          <w:sz w:val="24"/>
          <w:szCs w:val="24"/>
        </w:rPr>
        <w:t>《城市工程地球物理探测标准》CJJ/T 7</w:t>
      </w:r>
    </w:p>
    <w:p w14:paraId="60A78AF2">
      <w:pPr>
        <w:spacing w:line="360" w:lineRule="auto"/>
        <w:rPr>
          <w:rFonts w:ascii="Times New Roman"/>
          <w:sz w:val="24"/>
          <w:szCs w:val="24"/>
        </w:rPr>
      </w:pPr>
      <w:r>
        <w:rPr>
          <w:rFonts w:hint="eastAsia" w:ascii="Times New Roman"/>
          <w:sz w:val="24"/>
          <w:szCs w:val="24"/>
        </w:rPr>
        <w:t>16.</w:t>
      </w:r>
      <w:r>
        <w:rPr>
          <w:rFonts w:ascii="Times New Roman"/>
          <w:sz w:val="24"/>
          <w:szCs w:val="24"/>
        </w:rPr>
        <w:t>《浅层地震勘查技术规程》DZ/T 0170</w:t>
      </w:r>
    </w:p>
    <w:p w14:paraId="412354B5">
      <w:pPr>
        <w:spacing w:line="360" w:lineRule="auto"/>
        <w:rPr>
          <w:rFonts w:ascii="Times New Roman"/>
          <w:sz w:val="24"/>
          <w:szCs w:val="24"/>
        </w:rPr>
      </w:pPr>
      <w:r>
        <w:rPr>
          <w:rFonts w:hint="eastAsia" w:ascii="Times New Roman"/>
          <w:sz w:val="24"/>
          <w:szCs w:val="24"/>
        </w:rPr>
        <w:t>17.</w:t>
      </w:r>
      <w:r>
        <w:rPr>
          <w:rFonts w:ascii="Times New Roman"/>
          <w:sz w:val="24"/>
          <w:szCs w:val="24"/>
        </w:rPr>
        <w:t>《微动探测技术规程》DZ/T 0485</w:t>
      </w:r>
    </w:p>
    <w:p w14:paraId="1D8B16AD">
      <w:pPr>
        <w:spacing w:line="360" w:lineRule="auto"/>
        <w:rPr>
          <w:rFonts w:ascii="Times New Roman"/>
          <w:sz w:val="24"/>
          <w:szCs w:val="24"/>
        </w:rPr>
      </w:pPr>
    </w:p>
    <w:p w14:paraId="565BB402">
      <w:pPr>
        <w:spacing w:line="360" w:lineRule="auto"/>
        <w:rPr>
          <w:rFonts w:ascii="Times New Roman" w:hAnsi="Times New Roman"/>
          <w:sz w:val="24"/>
          <w:szCs w:val="24"/>
        </w:rPr>
        <w:sectPr>
          <w:pgSz w:w="11906" w:h="16838"/>
          <w:pgMar w:top="1440" w:right="1797" w:bottom="1440" w:left="1797" w:header="1418" w:footer="1134" w:gutter="0"/>
          <w:cols w:space="425" w:num="1"/>
          <w:formProt w:val="0"/>
          <w:docGrid w:type="lines" w:linePitch="312" w:charSpace="0"/>
        </w:sectPr>
      </w:pPr>
    </w:p>
    <w:p w14:paraId="4281D0C1">
      <w:pPr>
        <w:pStyle w:val="18"/>
        <w:numPr>
          <w:ilvl w:val="0"/>
          <w:numId w:val="2"/>
        </w:numPr>
        <w:spacing w:before="312" w:beforeLines="100" w:after="312" w:afterLines="100" w:line="360" w:lineRule="auto"/>
        <w:jc w:val="center"/>
        <w:outlineLvl w:val="0"/>
        <w:rPr>
          <w:rFonts w:ascii="Times New Roman" w:hAnsi="Times New Roman"/>
          <w:b/>
          <w:sz w:val="36"/>
          <w:szCs w:val="36"/>
        </w:rPr>
      </w:pPr>
      <w:bookmarkStart w:id="324" w:name="_Toc196124366"/>
      <w:r>
        <w:rPr>
          <w:rFonts w:ascii="Times New Roman" w:hAnsi="Times New Roman"/>
          <w:b/>
          <w:sz w:val="36"/>
          <w:szCs w:val="36"/>
        </w:rPr>
        <w:t>条文说明</w:t>
      </w:r>
      <w:bookmarkEnd w:id="319"/>
      <w:bookmarkEnd w:id="320"/>
      <w:bookmarkEnd w:id="321"/>
      <w:bookmarkEnd w:id="324"/>
    </w:p>
    <w:p w14:paraId="7421CA51">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ascii="Times New Roman" w:hAnsi="Times New Roman"/>
          <w:b/>
          <w:sz w:val="36"/>
          <w:szCs w:val="36"/>
        </w:rPr>
        <w:t>1总 则</w:t>
      </w:r>
    </w:p>
    <w:p w14:paraId="0451347C">
      <w:pPr>
        <w:pStyle w:val="166"/>
        <w:spacing w:before="0" w:after="0" w:line="360" w:lineRule="auto"/>
        <w:jc w:val="both"/>
        <w:outlineLvl w:val="9"/>
        <w:rPr>
          <w:rFonts w:ascii="Times New Roman" w:eastAsia="宋体"/>
          <w:sz w:val="24"/>
          <w:szCs w:val="24"/>
        </w:rPr>
      </w:pPr>
      <w:r>
        <w:rPr>
          <w:rFonts w:hint="eastAsia" w:ascii="Times New Roman" w:eastAsia="宋体"/>
          <w:b/>
          <w:bCs/>
          <w:sz w:val="24"/>
          <w:szCs w:val="24"/>
        </w:rPr>
        <w:t xml:space="preserve">1.0.2 </w:t>
      </w:r>
      <w:r>
        <w:rPr>
          <w:rFonts w:ascii="Times New Roman" w:eastAsia="宋体"/>
          <w:sz w:val="24"/>
          <w:szCs w:val="24"/>
        </w:rPr>
        <w:t>生活垃圾焚烧飞灰固化物填埋场、建筑垃圾填埋场、非正规垃圾堆放点垂直防渗墙</w:t>
      </w:r>
      <w:r>
        <w:rPr>
          <w:rFonts w:hint="eastAsia" w:ascii="Times New Roman" w:eastAsia="宋体"/>
          <w:sz w:val="24"/>
          <w:szCs w:val="24"/>
        </w:rPr>
        <w:t>采用本规程垂直防渗墙类型的检测工作可参照本规程</w:t>
      </w:r>
      <w:r>
        <w:rPr>
          <w:rFonts w:ascii="Times New Roman" w:eastAsia="宋体"/>
          <w:sz w:val="24"/>
          <w:szCs w:val="24"/>
        </w:rPr>
        <w:t>执行</w:t>
      </w:r>
      <w:r>
        <w:rPr>
          <w:rFonts w:hint="eastAsia" w:ascii="Times New Roman" w:eastAsia="宋体"/>
          <w:sz w:val="24"/>
          <w:szCs w:val="24"/>
        </w:rPr>
        <w:t>。</w:t>
      </w:r>
    </w:p>
    <w:p w14:paraId="267AF4D9"/>
    <w:p w14:paraId="6C19AB00">
      <w:pPr>
        <w:pStyle w:val="18"/>
        <w:numPr>
          <w:ilvl w:val="0"/>
          <w:numId w:val="2"/>
        </w:numPr>
        <w:spacing w:before="312" w:beforeLines="100" w:after="312" w:afterLines="100" w:line="360" w:lineRule="auto"/>
        <w:jc w:val="center"/>
        <w:outlineLvl w:val="0"/>
        <w:rPr>
          <w:rFonts w:ascii="Times New Roman" w:hAnsi="Times New Roman"/>
          <w:b/>
          <w:sz w:val="36"/>
          <w:szCs w:val="36"/>
        </w:rPr>
        <w:sectPr>
          <w:headerReference r:id="rId43" w:type="default"/>
          <w:footerReference r:id="rId45" w:type="default"/>
          <w:headerReference r:id="rId44" w:type="even"/>
          <w:footerReference r:id="rId46" w:type="even"/>
          <w:pgSz w:w="11906" w:h="16838"/>
          <w:pgMar w:top="1440" w:right="1797" w:bottom="1440" w:left="1797" w:header="1418" w:footer="1134" w:gutter="0"/>
          <w:cols w:space="425" w:num="1"/>
          <w:formProt w:val="0"/>
          <w:docGrid w:type="lines" w:linePitch="312" w:charSpace="0"/>
        </w:sectPr>
      </w:pPr>
    </w:p>
    <w:p w14:paraId="3E8328B4">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ascii="Times New Roman" w:hAnsi="Times New Roman"/>
          <w:b/>
          <w:sz w:val="36"/>
          <w:szCs w:val="36"/>
        </w:rPr>
        <w:t>3基本规定</w:t>
      </w:r>
    </w:p>
    <w:p w14:paraId="4A6E0ACC">
      <w:pPr>
        <w:pStyle w:val="119"/>
        <w:numPr>
          <w:ilvl w:val="0"/>
          <w:numId w:val="0"/>
        </w:numPr>
        <w:spacing w:before="156" w:after="156"/>
        <w:jc w:val="center"/>
        <w:rPr>
          <w:rFonts w:ascii="Times New Roman" w:eastAsia="宋体"/>
          <w:b/>
          <w:bCs/>
          <w:sz w:val="28"/>
          <w:szCs w:val="24"/>
        </w:rPr>
      </w:pPr>
      <w:r>
        <w:rPr>
          <w:rFonts w:ascii="Times New Roman" w:eastAsia="宋体"/>
          <w:b/>
          <w:bCs/>
          <w:sz w:val="28"/>
          <w:szCs w:val="24"/>
        </w:rPr>
        <w:t>3.1 一般规定</w:t>
      </w:r>
    </w:p>
    <w:p w14:paraId="62A24595">
      <w:pPr>
        <w:pStyle w:val="81"/>
        <w:numPr>
          <w:ilvl w:val="0"/>
          <w:numId w:val="0"/>
        </w:numPr>
        <w:spacing w:before="0" w:beforeLines="0" w:after="0" w:afterLines="0" w:line="360" w:lineRule="auto"/>
        <w:outlineLvl w:val="9"/>
        <w:rPr>
          <w:rFonts w:ascii="Times New Roman"/>
        </w:rPr>
      </w:pPr>
      <w:bookmarkStart w:id="325" w:name="_Toc193447524"/>
      <w:r>
        <w:rPr>
          <w:rFonts w:ascii="Times New Roman"/>
          <w:b/>
          <w:bCs/>
        </w:rPr>
        <w:t>3.1.1</w:t>
      </w:r>
      <w:r>
        <w:rPr>
          <w:rFonts w:ascii="Times New Roman"/>
        </w:rPr>
        <w:t xml:space="preserve"> </w:t>
      </w:r>
      <w:r>
        <w:rPr>
          <w:rFonts w:ascii="Times New Roman" w:eastAsia="宋体"/>
          <w:sz w:val="24"/>
          <w:szCs w:val="24"/>
        </w:rPr>
        <w:t>垂直防渗墙在质量验收前应按本规程进行验收检测；为设计提供参数的工艺性试验检测宜按设计要求和本规程规定进行检测；施工过程中的质量控制应符合国家现行有关标准的规定</w:t>
      </w:r>
      <w:bookmarkEnd w:id="325"/>
      <w:r>
        <w:rPr>
          <w:rFonts w:ascii="Times New Roman" w:eastAsia="宋体"/>
          <w:sz w:val="24"/>
          <w:szCs w:val="24"/>
        </w:rPr>
        <w:t>；垂直防渗墙竣工后的监测系统设置，应符合国家现行有关标准的规定。</w:t>
      </w:r>
    </w:p>
    <w:p w14:paraId="2BBC1F19">
      <w:pPr>
        <w:pStyle w:val="81"/>
        <w:numPr>
          <w:ilvl w:val="0"/>
          <w:numId w:val="0"/>
        </w:numPr>
        <w:spacing w:before="0" w:beforeLines="0" w:after="0" w:afterLines="0" w:line="360" w:lineRule="auto"/>
        <w:outlineLvl w:val="9"/>
        <w:rPr>
          <w:rFonts w:ascii="Times New Roman"/>
        </w:rPr>
      </w:pPr>
      <w:bookmarkStart w:id="326" w:name="_Toc193447526"/>
      <w:r>
        <w:rPr>
          <w:rFonts w:ascii="Times New Roman"/>
          <w:b/>
          <w:bCs/>
        </w:rPr>
        <w:t>3.1.2</w:t>
      </w:r>
      <w:r>
        <w:rPr>
          <w:rFonts w:ascii="Times New Roman"/>
        </w:rPr>
        <w:t xml:space="preserve"> </w:t>
      </w:r>
      <w:r>
        <w:rPr>
          <w:rFonts w:ascii="Times New Roman" w:eastAsia="宋体"/>
          <w:sz w:val="24"/>
          <w:szCs w:val="24"/>
        </w:rPr>
        <w:t>本条主要考虑到随着新建项目减少，大量存量项目也将面临检测的迫切需求，因此提出已实施垂直防渗墙需做检测的应用条件。第3款主要是指当垂直防渗墙在受到自然灾害（如地震）、环境侵蚀、变形过大等影响垂直防渗墙使用的状况。</w:t>
      </w:r>
      <w:bookmarkEnd w:id="326"/>
    </w:p>
    <w:p w14:paraId="3B2FDF90">
      <w:pPr>
        <w:pStyle w:val="81"/>
        <w:numPr>
          <w:ilvl w:val="0"/>
          <w:numId w:val="0"/>
        </w:numPr>
        <w:spacing w:before="0" w:beforeLines="0" w:after="0" w:afterLines="0" w:line="360" w:lineRule="auto"/>
        <w:outlineLvl w:val="9"/>
        <w:rPr>
          <w:rFonts w:ascii="Times New Roman"/>
        </w:rPr>
      </w:pPr>
      <w:bookmarkStart w:id="327" w:name="_Toc193447528"/>
      <w:r>
        <w:rPr>
          <w:rFonts w:ascii="Times New Roman"/>
          <w:b/>
          <w:bCs/>
        </w:rPr>
        <w:t>3.1.3</w:t>
      </w:r>
      <w:r>
        <w:rPr>
          <w:rFonts w:ascii="Times New Roman"/>
        </w:rPr>
        <w:t xml:space="preserve"> </w:t>
      </w:r>
      <w:r>
        <w:rPr>
          <w:rFonts w:ascii="Times New Roman" w:eastAsia="宋体"/>
          <w:sz w:val="24"/>
          <w:szCs w:val="24"/>
        </w:rPr>
        <w:t>本规程防渗墙类型根据《生活垃圾卫生填埋场岩土工程技术规范》（CJJ176-2012）、《生活垃圾填埋场生态修复工程技术导则》（RISN-TG042-2022）进行划分。</w:t>
      </w:r>
      <w:bookmarkEnd w:id="327"/>
      <w:bookmarkStart w:id="328" w:name="_Toc193447534"/>
    </w:p>
    <w:p w14:paraId="22F98754">
      <w:pPr>
        <w:pStyle w:val="119"/>
        <w:numPr>
          <w:ilvl w:val="0"/>
          <w:numId w:val="0"/>
        </w:numPr>
        <w:spacing w:before="156" w:after="156"/>
        <w:jc w:val="center"/>
        <w:rPr>
          <w:rFonts w:ascii="Times New Roman" w:eastAsia="宋体"/>
          <w:b/>
          <w:bCs/>
          <w:sz w:val="28"/>
          <w:szCs w:val="24"/>
        </w:rPr>
      </w:pPr>
      <w:r>
        <w:rPr>
          <w:rFonts w:ascii="Times New Roman" w:eastAsia="宋体"/>
          <w:b/>
          <w:bCs/>
          <w:sz w:val="28"/>
          <w:szCs w:val="24"/>
        </w:rPr>
        <w:t>3.2 检测工作程序和内容</w:t>
      </w:r>
    </w:p>
    <w:p w14:paraId="20811E0B">
      <w:pPr>
        <w:pStyle w:val="81"/>
        <w:numPr>
          <w:ilvl w:val="0"/>
          <w:numId w:val="0"/>
        </w:numPr>
        <w:spacing w:before="0" w:beforeLines="0" w:after="0" w:afterLines="0" w:line="360" w:lineRule="auto"/>
        <w:outlineLvl w:val="9"/>
        <w:rPr>
          <w:rFonts w:ascii="Times New Roman" w:eastAsia="宋体"/>
          <w:sz w:val="24"/>
          <w:szCs w:val="24"/>
        </w:rPr>
      </w:pPr>
      <w:r>
        <w:rPr>
          <w:rFonts w:ascii="Times New Roman"/>
          <w:b/>
          <w:bCs/>
          <w:sz w:val="24"/>
          <w:szCs w:val="24"/>
        </w:rPr>
        <w:t>3.2.2</w:t>
      </w:r>
      <w:r>
        <w:rPr>
          <w:sz w:val="24"/>
          <w:szCs w:val="24"/>
        </w:rPr>
        <w:t xml:space="preserve"> </w:t>
      </w:r>
      <w:r>
        <w:rPr>
          <w:rFonts w:ascii="Times New Roman" w:eastAsia="宋体"/>
          <w:sz w:val="24"/>
          <w:szCs w:val="24"/>
        </w:rPr>
        <w:t>对垂直防渗墙开展检测前，应排查填埋场地表径流导排系统、填埋气导排系统和水平防渗系统与垂直防渗墙衔接情况，关注填埋场相关设施穿墙部位的防渗性能影响；以做到对垂直防渗墙检测前的初步识别和判断。</w:t>
      </w:r>
      <w:bookmarkEnd w:id="328"/>
    </w:p>
    <w:p w14:paraId="344186AE">
      <w:pPr>
        <w:pStyle w:val="81"/>
        <w:numPr>
          <w:ilvl w:val="3"/>
          <w:numId w:val="0"/>
        </w:numPr>
        <w:spacing w:before="0" w:beforeLines="0" w:after="0" w:afterLines="0" w:line="360" w:lineRule="auto"/>
        <w:outlineLvl w:val="9"/>
        <w:rPr>
          <w:rFonts w:ascii="Times New Roman" w:eastAsia="宋体"/>
          <w:sz w:val="24"/>
          <w:szCs w:val="24"/>
        </w:rPr>
      </w:pPr>
      <w:r>
        <w:rPr>
          <w:rFonts w:ascii="Times New Roman" w:eastAsia="宋体"/>
          <w:b/>
          <w:bCs/>
          <w:sz w:val="24"/>
          <w:szCs w:val="24"/>
        </w:rPr>
        <w:t xml:space="preserve">3.2.4 </w:t>
      </w:r>
      <w:r>
        <w:rPr>
          <w:rFonts w:ascii="Times New Roman" w:eastAsia="宋体"/>
          <w:sz w:val="24"/>
          <w:szCs w:val="24"/>
        </w:rPr>
        <w:t>压水试验的适用范围适用于3MPa以上的塑性混凝土防渗墙，膨润土系垂直防渗墙采用压水试验检测时，易导致防渗墙破坏，因此应避免使用。</w:t>
      </w:r>
    </w:p>
    <w:p w14:paraId="488B234E">
      <w:pPr>
        <w:pStyle w:val="81"/>
        <w:numPr>
          <w:ilvl w:val="3"/>
          <w:numId w:val="0"/>
        </w:numPr>
        <w:spacing w:before="0" w:beforeLines="0" w:after="0" w:afterLines="0" w:line="360" w:lineRule="auto"/>
        <w:ind w:firstLine="480" w:firstLineChars="200"/>
        <w:outlineLvl w:val="9"/>
        <w:rPr>
          <w:rFonts w:ascii="Times New Roman" w:eastAsia="宋体"/>
          <w:sz w:val="24"/>
          <w:szCs w:val="24"/>
        </w:rPr>
      </w:pPr>
      <w:r>
        <w:rPr>
          <w:rFonts w:ascii="Times New Roman" w:eastAsia="宋体"/>
          <w:sz w:val="24"/>
          <w:szCs w:val="24"/>
        </w:rPr>
        <w:t>微水试验在相关应用领域已开展了相应的工作，考虑到安徽地区暂无该类型试验的案例，本次仅在条文中补充该类型试验要求，供参考使用。</w:t>
      </w:r>
    </w:p>
    <w:p w14:paraId="725AF592">
      <w:pPr>
        <w:pStyle w:val="81"/>
        <w:numPr>
          <w:ilvl w:val="3"/>
          <w:numId w:val="0"/>
        </w:numPr>
        <w:spacing w:before="0" w:beforeLines="0" w:after="0" w:afterLines="0" w:line="360" w:lineRule="auto"/>
        <w:ind w:firstLine="480" w:firstLineChars="200"/>
        <w:outlineLvl w:val="9"/>
        <w:rPr>
          <w:rFonts w:ascii="Times New Roman" w:eastAsia="宋体"/>
          <w:sz w:val="24"/>
          <w:szCs w:val="24"/>
        </w:rPr>
      </w:pPr>
      <w:r>
        <w:rPr>
          <w:rFonts w:ascii="Times New Roman" w:eastAsia="宋体"/>
          <w:sz w:val="24"/>
          <w:szCs w:val="24"/>
        </w:rPr>
        <w:t>微水试验是指通过向钻孔投放重锤、注水、压入空气或提水等水头激发方式，瞬间改变试验孔段地下水水位，观测并记录的水位随时间变化，求解中低渗透性场地水文地质参数的试验方法。</w:t>
      </w:r>
    </w:p>
    <w:p w14:paraId="0E54F580">
      <w:pPr>
        <w:pStyle w:val="81"/>
        <w:numPr>
          <w:ilvl w:val="3"/>
          <w:numId w:val="0"/>
        </w:numPr>
        <w:spacing w:before="0" w:beforeLines="0" w:after="0" w:afterLines="0" w:line="360" w:lineRule="auto"/>
        <w:ind w:firstLine="480" w:firstLineChars="200"/>
        <w:outlineLvl w:val="9"/>
        <w:rPr>
          <w:rFonts w:ascii="Times New Roman" w:eastAsia="宋体"/>
          <w:sz w:val="24"/>
          <w:szCs w:val="24"/>
        </w:rPr>
      </w:pPr>
      <w:r>
        <w:rPr>
          <w:rFonts w:ascii="Times New Roman" w:eastAsia="宋体"/>
          <w:sz w:val="24"/>
          <w:szCs w:val="24"/>
        </w:rPr>
        <w:t>微水试验仅适用于确定钻孔附近小范围含水层的水文地质性质，特别适用于均质、各向同性的含水层，此试验可参考《水电工程钻孔振荡式渗透试验规程》NB/T 35117-2018的有关规定进行。</w:t>
      </w:r>
    </w:p>
    <w:p w14:paraId="03A34625">
      <w:pPr>
        <w:pStyle w:val="81"/>
        <w:numPr>
          <w:ilvl w:val="3"/>
          <w:numId w:val="0"/>
        </w:numPr>
        <w:spacing w:before="0" w:beforeLines="0" w:after="0" w:afterLines="0" w:line="360" w:lineRule="auto"/>
        <w:ind w:firstLine="480" w:firstLineChars="200"/>
        <w:outlineLvl w:val="9"/>
        <w:rPr>
          <w:rFonts w:ascii="Times New Roman" w:eastAsia="宋体"/>
          <w:sz w:val="24"/>
          <w:szCs w:val="24"/>
        </w:rPr>
      </w:pPr>
      <w:r>
        <w:rPr>
          <w:rFonts w:ascii="Times New Roman" w:eastAsia="宋体"/>
          <w:sz w:val="24"/>
          <w:szCs w:val="24"/>
        </w:rPr>
        <w:t xml:space="preserve">地面地球物理检测法属于无损检测，效率高，成本相对可控，应用垂直防渗墙检测时，应优先采用地球物理检测法对全墙段实施检测，初步判断墙体的完整性。垂直防渗墙检测时，由于其背景环境的复杂性，各类地球物理方法均存在优势与不足，检测精度也不尽相同，采用地球物理检测法对全墙段实施检测时，尤其是复杂地段，应采用多种地球物理检测方法进行相互验证，降低单一地球物理检测方法的局限性及多解性，从不同角度对异常进行综合分析，使检测结果的准确性得到大大提高。 </w:t>
      </w:r>
    </w:p>
    <w:p w14:paraId="04282345">
      <w:pPr>
        <w:pStyle w:val="81"/>
        <w:numPr>
          <w:ilvl w:val="3"/>
          <w:numId w:val="0"/>
        </w:numPr>
        <w:spacing w:before="0" w:beforeLines="0" w:after="0" w:afterLines="0" w:line="360" w:lineRule="auto"/>
        <w:ind w:firstLine="480" w:firstLineChars="200"/>
        <w:outlineLvl w:val="9"/>
        <w:rPr>
          <w:rFonts w:ascii="Times New Roman" w:eastAsia="宋体"/>
          <w:sz w:val="24"/>
          <w:szCs w:val="24"/>
        </w:rPr>
      </w:pPr>
      <w:r>
        <w:rPr>
          <w:rFonts w:ascii="Times New Roman" w:eastAsia="宋体"/>
          <w:sz w:val="24"/>
          <w:szCs w:val="24"/>
        </w:rPr>
        <w:t>因为目前土柱试验检测周期可能较长，如材料渗透性较高（k＞10</w:t>
      </w:r>
      <w:r>
        <w:rPr>
          <w:rFonts w:ascii="Times New Roman" w:eastAsia="宋体"/>
          <w:sz w:val="24"/>
          <w:szCs w:val="24"/>
          <w:vertAlign w:val="superscript"/>
        </w:rPr>
        <w:t>-5</w:t>
      </w:r>
      <w:r>
        <w:rPr>
          <w:rFonts w:ascii="Times New Roman" w:eastAsia="宋体"/>
          <w:sz w:val="24"/>
          <w:szCs w:val="24"/>
        </w:rPr>
        <w:t>cm/s）且污染物吸附快，试验周期约28-42d；多数防渗材料（k=10</w:t>
      </w:r>
      <w:r>
        <w:rPr>
          <w:rFonts w:ascii="Times New Roman" w:eastAsia="宋体"/>
          <w:sz w:val="24"/>
          <w:szCs w:val="24"/>
          <w:vertAlign w:val="superscript"/>
        </w:rPr>
        <w:t>-6</w:t>
      </w:r>
      <w:r>
        <w:rPr>
          <w:rFonts w:ascii="Times New Roman" w:eastAsia="宋体"/>
          <w:sz w:val="24"/>
          <w:szCs w:val="24"/>
        </w:rPr>
        <w:t>~10</w:t>
      </w:r>
      <w:r>
        <w:rPr>
          <w:rFonts w:ascii="Times New Roman" w:eastAsia="宋体"/>
          <w:sz w:val="24"/>
          <w:szCs w:val="24"/>
          <w:vertAlign w:val="superscript"/>
        </w:rPr>
        <w:t>-7</w:t>
      </w:r>
      <w:r>
        <w:rPr>
          <w:rFonts w:ascii="Times New Roman" w:eastAsia="宋体"/>
          <w:sz w:val="24"/>
          <w:szCs w:val="24"/>
        </w:rPr>
        <w:t>cm/s），试验周期约为56-84天；极低渗透材料（k＜10</w:t>
      </w:r>
      <w:r>
        <w:rPr>
          <w:rFonts w:ascii="Times New Roman" w:eastAsia="宋体"/>
          <w:sz w:val="24"/>
          <w:szCs w:val="24"/>
          <w:vertAlign w:val="superscript"/>
        </w:rPr>
        <w:t>-8</w:t>
      </w:r>
      <w:r>
        <w:rPr>
          <w:rFonts w:ascii="Times New Roman" w:eastAsia="宋体"/>
          <w:sz w:val="24"/>
          <w:szCs w:val="24"/>
        </w:rPr>
        <w:t>cm/s）或慢吸附污染物，可能需要3-6个月。同时GB/T 50082-2009、GB 42272-2022中对氯离子扩撒系数检测的相关试验规定，下一步可考虑通过类似试验方法加快并完善土柱试验检测相关内容。</w:t>
      </w:r>
    </w:p>
    <w:p w14:paraId="2DB84181">
      <w:pPr>
        <w:pStyle w:val="119"/>
        <w:numPr>
          <w:ilvl w:val="0"/>
          <w:numId w:val="0"/>
        </w:numPr>
        <w:spacing w:before="156" w:after="156"/>
        <w:jc w:val="center"/>
        <w:rPr>
          <w:rFonts w:ascii="Times New Roman" w:eastAsia="宋体"/>
          <w:b/>
          <w:bCs/>
          <w:sz w:val="28"/>
          <w:szCs w:val="24"/>
        </w:rPr>
      </w:pPr>
      <w:r>
        <w:rPr>
          <w:rFonts w:ascii="Times New Roman" w:eastAsia="宋体"/>
          <w:b/>
          <w:bCs/>
          <w:sz w:val="28"/>
          <w:szCs w:val="24"/>
        </w:rPr>
        <w:t>3.3 验证及扩大检测</w:t>
      </w:r>
    </w:p>
    <w:p w14:paraId="0E725138">
      <w:pPr>
        <w:pStyle w:val="81"/>
        <w:numPr>
          <w:ilvl w:val="0"/>
          <w:numId w:val="0"/>
        </w:numPr>
        <w:spacing w:before="0" w:beforeLines="0" w:after="0" w:afterLines="0" w:line="360" w:lineRule="auto"/>
        <w:outlineLvl w:val="9"/>
        <w:rPr>
          <w:rFonts w:ascii="Times New Roman" w:eastAsia="宋体"/>
          <w:sz w:val="24"/>
          <w:szCs w:val="24"/>
        </w:rPr>
      </w:pPr>
      <w:r>
        <w:rPr>
          <w:rFonts w:ascii="Times New Roman" w:eastAsia="宋体"/>
          <w:b/>
          <w:bCs/>
          <w:sz w:val="24"/>
          <w:szCs w:val="24"/>
        </w:rPr>
        <w:t>3.3.1</w:t>
      </w:r>
      <w:r>
        <w:rPr>
          <w:rFonts w:ascii="Times New Roman" w:eastAsia="宋体"/>
          <w:sz w:val="24"/>
          <w:szCs w:val="24"/>
        </w:rPr>
        <w:t xml:space="preserve"> 地面地球物理检测法虽能快速筛查异常，但检测结果存在</w:t>
      </w:r>
      <w:bookmarkStart w:id="330" w:name="_GoBack"/>
      <w:r>
        <w:rPr>
          <w:rFonts w:ascii="Times New Roman" w:eastAsia="宋体"/>
          <w:sz w:val="24"/>
          <w:szCs w:val="24"/>
        </w:rPr>
        <w:t>多解性</w:t>
      </w:r>
      <w:bookmarkEnd w:id="330"/>
      <w:r>
        <w:rPr>
          <w:rFonts w:ascii="Times New Roman" w:eastAsia="宋体"/>
          <w:sz w:val="24"/>
          <w:szCs w:val="24"/>
        </w:rPr>
        <w:t>，需通过直接手段验证质量缺陷的类型。钻芯法、探坑法（浅部3m范围内质量缺陷），可直接获取芯样，判别质量缺陷类型。孔中检测法相对地面物探检测法具有更高的分辨率，在实施钻芯法验证的同时，利用钻孔进一步开展孔中检测可提高检测的精确度。</w:t>
      </w:r>
    </w:p>
    <w:p w14:paraId="00CAED20">
      <w:pPr>
        <w:pStyle w:val="18"/>
        <w:numPr>
          <w:ilvl w:val="0"/>
          <w:numId w:val="2"/>
        </w:numPr>
        <w:spacing w:before="312" w:beforeLines="100" w:after="312" w:afterLines="100" w:line="360" w:lineRule="auto"/>
        <w:jc w:val="center"/>
        <w:outlineLvl w:val="0"/>
        <w:rPr>
          <w:rFonts w:ascii="Times New Roman" w:hAnsi="Times New Roman"/>
          <w:b/>
          <w:sz w:val="36"/>
          <w:szCs w:val="36"/>
        </w:rPr>
        <w:sectPr>
          <w:pgSz w:w="11906" w:h="16838"/>
          <w:pgMar w:top="1440" w:right="1797" w:bottom="1440" w:left="1797" w:header="1418" w:footer="1134" w:gutter="0"/>
          <w:cols w:space="425" w:num="1"/>
          <w:formProt w:val="0"/>
          <w:docGrid w:type="lines" w:linePitch="312" w:charSpace="0"/>
        </w:sectPr>
      </w:pPr>
    </w:p>
    <w:p w14:paraId="12CC0A08">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hint="eastAsia" w:ascii="Times New Roman" w:hAnsi="Times New Roman"/>
          <w:b/>
          <w:sz w:val="36"/>
          <w:szCs w:val="36"/>
        </w:rPr>
        <w:t>4</w:t>
      </w:r>
      <w:r>
        <w:rPr>
          <w:rFonts w:ascii="Times New Roman" w:hAnsi="Times New Roman"/>
          <w:b/>
          <w:sz w:val="36"/>
          <w:szCs w:val="36"/>
        </w:rPr>
        <w:t>检测方法</w:t>
      </w:r>
    </w:p>
    <w:p w14:paraId="2CEC57AE">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4</w:t>
      </w:r>
      <w:r>
        <w:rPr>
          <w:rFonts w:ascii="Times New Roman" w:eastAsia="宋体"/>
          <w:b/>
          <w:bCs/>
          <w:sz w:val="28"/>
          <w:szCs w:val="24"/>
        </w:rPr>
        <w:t xml:space="preserve">.3 </w:t>
      </w:r>
      <w:r>
        <w:rPr>
          <w:rFonts w:hint="eastAsia" w:ascii="Times New Roman" w:eastAsia="宋体"/>
          <w:b/>
          <w:bCs/>
          <w:sz w:val="28"/>
          <w:szCs w:val="24"/>
        </w:rPr>
        <w:t>注水试验</w:t>
      </w:r>
    </w:p>
    <w:p w14:paraId="16BFD5B7">
      <w:pPr>
        <w:pStyle w:val="166"/>
        <w:spacing w:before="0" w:after="0" w:line="360" w:lineRule="auto"/>
        <w:jc w:val="both"/>
        <w:outlineLvl w:val="9"/>
        <w:rPr>
          <w:rFonts w:ascii="Times New Roman" w:eastAsia="宋体"/>
          <w:sz w:val="24"/>
          <w:szCs w:val="24"/>
        </w:rPr>
      </w:pPr>
      <w:r>
        <w:rPr>
          <w:rFonts w:ascii="Times New Roman" w:eastAsia="宋体"/>
          <w:b/>
          <w:bCs/>
          <w:sz w:val="24"/>
          <w:szCs w:val="24"/>
        </w:rPr>
        <w:t>4.3.1</w:t>
      </w:r>
      <w:r>
        <w:rPr>
          <w:rFonts w:ascii="Times New Roman" w:eastAsia="宋体"/>
          <w:sz w:val="24"/>
          <w:szCs w:val="24"/>
        </w:rPr>
        <w:t xml:space="preserve"> 钻孔不应使用泥浆钻进是因为泥浆会在孔壁形成泥皮，影响墙体的渗透性，因此进行注水试验的钻孔应采用清水钻进。</w:t>
      </w:r>
    </w:p>
    <w:p w14:paraId="1772DA24">
      <w:pPr>
        <w:pStyle w:val="18"/>
        <w:numPr>
          <w:ilvl w:val="0"/>
          <w:numId w:val="2"/>
        </w:numPr>
        <w:spacing w:before="312" w:beforeLines="100" w:after="312" w:afterLines="100" w:line="360" w:lineRule="auto"/>
        <w:jc w:val="center"/>
        <w:outlineLvl w:val="0"/>
        <w:rPr>
          <w:rFonts w:ascii="Times New Roman" w:hAnsi="Times New Roman"/>
          <w:b/>
          <w:sz w:val="36"/>
          <w:szCs w:val="36"/>
        </w:rPr>
        <w:sectPr>
          <w:pgSz w:w="11906" w:h="16838"/>
          <w:pgMar w:top="1440" w:right="1797" w:bottom="1440" w:left="1797" w:header="1418" w:footer="1134" w:gutter="0"/>
          <w:cols w:space="425" w:num="1"/>
          <w:formProt w:val="0"/>
          <w:docGrid w:type="lines" w:linePitch="312" w:charSpace="0"/>
        </w:sectPr>
      </w:pPr>
    </w:p>
    <w:p w14:paraId="70E5C5F1">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hint="eastAsia" w:ascii="Times New Roman" w:hAnsi="Times New Roman"/>
          <w:b/>
          <w:sz w:val="36"/>
          <w:szCs w:val="36"/>
        </w:rPr>
        <w:t>5</w:t>
      </w:r>
      <w:r>
        <w:rPr>
          <w:rFonts w:ascii="Times New Roman" w:hAnsi="Times New Roman"/>
          <w:b/>
          <w:sz w:val="36"/>
          <w:szCs w:val="36"/>
        </w:rPr>
        <w:t>注浆帷幕质量检测</w:t>
      </w:r>
    </w:p>
    <w:p w14:paraId="78C91B58">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5</w:t>
      </w:r>
      <w:r>
        <w:rPr>
          <w:rFonts w:ascii="Times New Roman" w:eastAsia="宋体"/>
          <w:b/>
          <w:bCs/>
          <w:sz w:val="28"/>
          <w:szCs w:val="24"/>
        </w:rPr>
        <w:t>.1 一般规定</w:t>
      </w:r>
    </w:p>
    <w:p w14:paraId="190CF533">
      <w:pPr>
        <w:pStyle w:val="71"/>
        <w:spacing w:line="360" w:lineRule="auto"/>
        <w:ind w:firstLine="0" w:firstLineChars="0"/>
        <w:rPr>
          <w:rFonts w:ascii="Times New Roman"/>
          <w:sz w:val="24"/>
          <w:szCs w:val="24"/>
        </w:rPr>
      </w:pPr>
      <w:r>
        <w:rPr>
          <w:rFonts w:ascii="Times New Roman"/>
          <w:b/>
          <w:bCs/>
          <w:sz w:val="24"/>
          <w:szCs w:val="24"/>
        </w:rPr>
        <w:t>5.1.2</w:t>
      </w:r>
      <w:r>
        <w:rPr>
          <w:rFonts w:ascii="Times New Roman"/>
          <w:sz w:val="24"/>
          <w:szCs w:val="24"/>
        </w:rPr>
        <w:t xml:space="preserve"> 本条参考《水利水电工程单元工程施工质量验收评定标准：地基处理与基础工程》SL 633的单元划分规定，结合注浆帷幕工程的实际情况，一般每12m为一个完整的注浆工序，此时沿上、下游排注浆孔的轴线即帷幕线进行单元划分。</w:t>
      </w:r>
    </w:p>
    <w:p w14:paraId="305C77F2">
      <w:pPr>
        <w:pStyle w:val="119"/>
        <w:numPr>
          <w:ilvl w:val="0"/>
          <w:numId w:val="0"/>
        </w:numPr>
        <w:spacing w:before="156" w:after="156" w:line="360" w:lineRule="auto"/>
        <w:jc w:val="center"/>
        <w:rPr>
          <w:rFonts w:ascii="Times New Roman" w:eastAsia="宋体"/>
          <w:b/>
          <w:bCs/>
          <w:sz w:val="28"/>
          <w:szCs w:val="24"/>
        </w:rPr>
      </w:pPr>
      <w:r>
        <w:rPr>
          <w:rFonts w:ascii="Times New Roman" w:eastAsia="宋体"/>
          <w:b/>
          <w:bCs/>
          <w:sz w:val="28"/>
          <w:szCs w:val="24"/>
        </w:rPr>
        <w:t>5.4 检测</w:t>
      </w:r>
      <w:r>
        <w:rPr>
          <w:rFonts w:hint="eastAsia" w:ascii="Times New Roman" w:eastAsia="宋体"/>
          <w:b/>
          <w:bCs/>
          <w:sz w:val="28"/>
          <w:szCs w:val="24"/>
        </w:rPr>
        <w:t>结论</w:t>
      </w:r>
    </w:p>
    <w:p w14:paraId="2098D4C9">
      <w:pPr>
        <w:pStyle w:val="81"/>
        <w:numPr>
          <w:ilvl w:val="0"/>
          <w:numId w:val="0"/>
        </w:numPr>
        <w:spacing w:before="0" w:beforeLines="0" w:after="0" w:afterLines="0" w:line="360" w:lineRule="auto"/>
        <w:outlineLvl w:val="9"/>
        <w:rPr>
          <w:rFonts w:ascii="Times New Roman" w:eastAsia="宋体"/>
          <w:sz w:val="24"/>
          <w:szCs w:val="24"/>
        </w:rPr>
      </w:pPr>
      <w:r>
        <w:rPr>
          <w:rFonts w:ascii="Times New Roman" w:eastAsia="宋体"/>
          <w:b/>
          <w:bCs/>
          <w:sz w:val="24"/>
          <w:szCs w:val="24"/>
        </w:rPr>
        <w:t>5.4</w:t>
      </w:r>
      <w:r>
        <w:rPr>
          <w:rFonts w:ascii="Times New Roman" w:eastAsia="宋体"/>
          <w:sz w:val="24"/>
          <w:szCs w:val="24"/>
        </w:rPr>
        <w:t xml:space="preserve"> 注浆帷幕质量检测应通过多维度数据交叉验证与动态评估，实际工程中需结合地质条件灵活调整判定阈值。</w:t>
      </w:r>
    </w:p>
    <w:p w14:paraId="5F813CAF">
      <w:pPr>
        <w:pStyle w:val="18"/>
        <w:numPr>
          <w:ilvl w:val="0"/>
          <w:numId w:val="2"/>
        </w:numPr>
        <w:spacing w:before="312" w:beforeLines="100" w:after="312" w:afterLines="100" w:line="360" w:lineRule="auto"/>
        <w:jc w:val="center"/>
        <w:outlineLvl w:val="0"/>
        <w:rPr>
          <w:rFonts w:ascii="Times New Roman" w:hAnsi="Times New Roman"/>
          <w:b/>
          <w:sz w:val="36"/>
          <w:szCs w:val="36"/>
        </w:rPr>
        <w:sectPr>
          <w:pgSz w:w="11906" w:h="16838"/>
          <w:pgMar w:top="1440" w:right="1797" w:bottom="1440" w:left="1797" w:header="1418" w:footer="1134" w:gutter="0"/>
          <w:cols w:space="425" w:num="1"/>
          <w:formProt w:val="0"/>
          <w:docGrid w:type="lines" w:linePitch="312" w:charSpace="0"/>
        </w:sectPr>
      </w:pPr>
    </w:p>
    <w:p w14:paraId="534005FD">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hint="eastAsia" w:ascii="Times New Roman" w:hAnsi="Times New Roman"/>
          <w:b/>
          <w:sz w:val="36"/>
          <w:szCs w:val="36"/>
        </w:rPr>
        <w:t>6</w:t>
      </w:r>
      <w:r>
        <w:rPr>
          <w:rFonts w:ascii="Times New Roman" w:hAnsi="Times New Roman"/>
          <w:b/>
          <w:sz w:val="36"/>
          <w:szCs w:val="36"/>
        </w:rPr>
        <w:t xml:space="preserve"> 单层垂直防渗墙质量检测</w:t>
      </w:r>
    </w:p>
    <w:p w14:paraId="020CC67C">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6</w:t>
      </w:r>
      <w:r>
        <w:rPr>
          <w:rFonts w:ascii="Times New Roman" w:eastAsia="宋体"/>
          <w:b/>
          <w:bCs/>
          <w:sz w:val="28"/>
          <w:szCs w:val="24"/>
        </w:rPr>
        <w:t>.1 一般规定</w:t>
      </w:r>
    </w:p>
    <w:p w14:paraId="223DBA54">
      <w:pPr>
        <w:pStyle w:val="71"/>
        <w:spacing w:line="360" w:lineRule="auto"/>
        <w:ind w:firstLine="0" w:firstLineChars="0"/>
        <w:rPr>
          <w:rFonts w:ascii="Times New Roman"/>
          <w:sz w:val="24"/>
          <w:szCs w:val="24"/>
        </w:rPr>
      </w:pPr>
      <w:r>
        <w:rPr>
          <w:rFonts w:ascii="Times New Roman"/>
          <w:b/>
          <w:bCs/>
          <w:sz w:val="24"/>
          <w:szCs w:val="24"/>
        </w:rPr>
        <w:t>6.1.2</w:t>
      </w:r>
      <w:r>
        <w:rPr>
          <w:rFonts w:ascii="Times New Roman"/>
          <w:sz w:val="24"/>
          <w:szCs w:val="24"/>
        </w:rPr>
        <w:t xml:space="preserve"> 检测单元的墙体长度宜10~20m较为经济可行。</w:t>
      </w:r>
    </w:p>
    <w:p w14:paraId="64D95C82">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6</w:t>
      </w:r>
      <w:r>
        <w:rPr>
          <w:rFonts w:ascii="Times New Roman" w:eastAsia="宋体"/>
          <w:b/>
          <w:bCs/>
          <w:sz w:val="28"/>
          <w:szCs w:val="24"/>
        </w:rPr>
        <w:t>.4 检测</w:t>
      </w:r>
      <w:r>
        <w:rPr>
          <w:rFonts w:hint="eastAsia" w:ascii="Times New Roman" w:eastAsia="宋体"/>
          <w:b/>
          <w:bCs/>
          <w:sz w:val="28"/>
          <w:szCs w:val="24"/>
        </w:rPr>
        <w:t>结论</w:t>
      </w:r>
    </w:p>
    <w:p w14:paraId="2F395027">
      <w:pPr>
        <w:pStyle w:val="81"/>
        <w:numPr>
          <w:ilvl w:val="0"/>
          <w:numId w:val="0"/>
        </w:numPr>
        <w:spacing w:before="0" w:beforeLines="0" w:after="0" w:afterLines="0" w:line="360" w:lineRule="auto"/>
        <w:outlineLvl w:val="9"/>
        <w:rPr>
          <w:rFonts w:ascii="Times New Roman" w:eastAsia="宋体"/>
          <w:sz w:val="24"/>
          <w:szCs w:val="24"/>
        </w:rPr>
        <w:sectPr>
          <w:pgSz w:w="11906" w:h="16838"/>
          <w:pgMar w:top="1440" w:right="1797" w:bottom="1440" w:left="1797" w:header="1418" w:footer="1134" w:gutter="0"/>
          <w:cols w:space="425" w:num="1"/>
          <w:formProt w:val="0"/>
          <w:docGrid w:type="lines" w:linePitch="312" w:charSpace="0"/>
        </w:sectPr>
      </w:pPr>
      <w:r>
        <w:rPr>
          <w:rFonts w:ascii="Times New Roman"/>
          <w:b/>
          <w:bCs/>
          <w:sz w:val="24"/>
          <w:szCs w:val="24"/>
        </w:rPr>
        <w:t>6.4.1</w:t>
      </w:r>
      <w:r>
        <w:rPr>
          <w:sz w:val="24"/>
          <w:szCs w:val="24"/>
        </w:rPr>
        <w:t xml:space="preserve"> </w:t>
      </w:r>
      <w:r>
        <w:rPr>
          <w:rFonts w:ascii="Times New Roman" w:eastAsia="宋体"/>
          <w:sz w:val="24"/>
          <w:szCs w:val="24"/>
        </w:rPr>
        <w:t>透水率和渗透系数都是衡量材料透水性的指标，但它们之间存在一些差异。透水率是指在特定条件下，单位时间内通过单位面积的水量，通常以</w:t>
      </w:r>
      <w:r>
        <w:rPr>
          <w:rFonts w:hint="eastAsia" w:ascii="Times New Roman" w:eastAsia="宋体"/>
          <w:sz w:val="24"/>
          <w:szCs w:val="24"/>
        </w:rPr>
        <w:t>吕</w:t>
      </w:r>
      <w:r>
        <w:rPr>
          <w:rFonts w:ascii="Times New Roman" w:eastAsia="宋体"/>
          <w:sz w:val="24"/>
          <w:szCs w:val="24"/>
        </w:rPr>
        <w:t>荣（Lu）为单位。而渗透系数则是指在单位水力梯度下，单位时间内通过单位面积的水量，反映了流体通过孔隙骨架的难易程度，其单位通常是</w:t>
      </w:r>
      <w:r>
        <w:rPr>
          <w:rFonts w:hint="eastAsia" w:ascii="Times New Roman" w:eastAsia="宋体"/>
          <w:sz w:val="24"/>
          <w:szCs w:val="24"/>
        </w:rPr>
        <w:t>cm</w:t>
      </w:r>
      <w:r>
        <w:rPr>
          <w:rFonts w:ascii="Times New Roman" w:eastAsia="宋体"/>
          <w:sz w:val="24"/>
          <w:szCs w:val="24"/>
        </w:rPr>
        <w:t>/</w:t>
      </w:r>
      <w:r>
        <w:rPr>
          <w:rFonts w:hint="eastAsia" w:ascii="Times New Roman" w:eastAsia="宋体"/>
          <w:sz w:val="24"/>
          <w:szCs w:val="24"/>
        </w:rPr>
        <w:t>s</w:t>
      </w:r>
      <w:r>
        <w:rPr>
          <w:rFonts w:ascii="Times New Roman" w:eastAsia="宋体"/>
          <w:sz w:val="24"/>
          <w:szCs w:val="24"/>
        </w:rPr>
        <w:t>。采用压水试验检测得到的透水率、渗透系数可参考《水利水电工程钻孔压水试验规程》SL31-2003第6.0.5和附录C进行换算。</w:t>
      </w:r>
    </w:p>
    <w:p w14:paraId="18A2231A">
      <w:pPr>
        <w:pStyle w:val="18"/>
        <w:numPr>
          <w:ilvl w:val="0"/>
          <w:numId w:val="2"/>
        </w:numPr>
        <w:spacing w:before="312" w:beforeLines="100" w:after="312" w:afterLines="100" w:line="360" w:lineRule="auto"/>
        <w:jc w:val="center"/>
        <w:outlineLvl w:val="0"/>
        <w:rPr>
          <w:rFonts w:ascii="Times New Roman" w:hAnsi="Times New Roman"/>
          <w:b/>
          <w:sz w:val="36"/>
          <w:szCs w:val="36"/>
        </w:rPr>
      </w:pPr>
      <w:r>
        <w:rPr>
          <w:rFonts w:hint="eastAsia" w:ascii="Times New Roman" w:hAnsi="Times New Roman"/>
          <w:b/>
          <w:sz w:val="36"/>
          <w:szCs w:val="36"/>
        </w:rPr>
        <w:t>7</w:t>
      </w:r>
      <w:r>
        <w:rPr>
          <w:rFonts w:ascii="Times New Roman" w:hAnsi="Times New Roman"/>
          <w:b/>
          <w:sz w:val="36"/>
          <w:szCs w:val="36"/>
        </w:rPr>
        <w:t xml:space="preserve"> 复合垂直防渗墙质量检测</w:t>
      </w:r>
    </w:p>
    <w:p w14:paraId="4B3FB0C0">
      <w:pPr>
        <w:pStyle w:val="119"/>
        <w:numPr>
          <w:ilvl w:val="0"/>
          <w:numId w:val="0"/>
        </w:numPr>
        <w:spacing w:before="156" w:after="156" w:line="360" w:lineRule="auto"/>
        <w:jc w:val="center"/>
        <w:rPr>
          <w:rFonts w:ascii="Times New Roman" w:eastAsia="宋体"/>
          <w:b/>
          <w:bCs/>
          <w:sz w:val="28"/>
          <w:szCs w:val="24"/>
        </w:rPr>
      </w:pPr>
      <w:r>
        <w:rPr>
          <w:rFonts w:hint="eastAsia" w:ascii="Times New Roman" w:eastAsia="宋体"/>
          <w:b/>
          <w:bCs/>
          <w:sz w:val="28"/>
          <w:szCs w:val="24"/>
        </w:rPr>
        <w:t>7</w:t>
      </w:r>
      <w:r>
        <w:rPr>
          <w:rFonts w:ascii="Times New Roman" w:eastAsia="宋体"/>
          <w:b/>
          <w:bCs/>
          <w:sz w:val="28"/>
          <w:szCs w:val="24"/>
        </w:rPr>
        <w:t>.3 物理</w:t>
      </w:r>
      <w:r>
        <w:rPr>
          <w:rFonts w:hint="eastAsia" w:ascii="Times New Roman" w:eastAsia="宋体"/>
          <w:b/>
          <w:bCs/>
          <w:sz w:val="28"/>
          <w:szCs w:val="24"/>
        </w:rPr>
        <w:t>性质</w:t>
      </w:r>
      <w:r>
        <w:rPr>
          <w:rFonts w:ascii="Times New Roman" w:eastAsia="宋体"/>
          <w:b/>
          <w:bCs/>
          <w:sz w:val="28"/>
          <w:szCs w:val="24"/>
        </w:rPr>
        <w:t>指标检测</w:t>
      </w:r>
    </w:p>
    <w:p w14:paraId="077FD01C">
      <w:pPr>
        <w:pStyle w:val="71"/>
        <w:spacing w:line="360" w:lineRule="auto"/>
        <w:ind w:firstLine="0" w:firstLineChars="0"/>
        <w:rPr>
          <w:rFonts w:ascii="Times New Roman"/>
          <w:b/>
          <w:bCs/>
          <w:sz w:val="24"/>
          <w:szCs w:val="24"/>
        </w:rPr>
      </w:pPr>
      <w:r>
        <w:rPr>
          <w:rFonts w:hint="eastAsia" w:ascii="Times New Roman"/>
          <w:b/>
          <w:bCs/>
          <w:sz w:val="24"/>
          <w:szCs w:val="24"/>
        </w:rPr>
        <w:t>7.3.</w:t>
      </w:r>
      <w:r>
        <w:rPr>
          <w:rFonts w:ascii="Times New Roman"/>
          <w:b/>
          <w:bCs/>
          <w:sz w:val="24"/>
          <w:szCs w:val="24"/>
        </w:rPr>
        <w:t>3</w:t>
      </w:r>
      <w:r>
        <w:rPr>
          <w:rFonts w:hint="eastAsia" w:ascii="Times New Roman"/>
          <w:b/>
          <w:bCs/>
          <w:sz w:val="24"/>
          <w:szCs w:val="24"/>
        </w:rPr>
        <w:t xml:space="preserve"> </w:t>
      </w:r>
      <w:r>
        <w:rPr>
          <w:rFonts w:hint="eastAsia" w:ascii="Times New Roman"/>
          <w:sz w:val="24"/>
          <w:szCs w:val="24"/>
        </w:rPr>
        <w:t>钠基膨润土防水毯渗透系数测定过程所采用的水应采用原场地污染地下水进行。</w:t>
      </w:r>
    </w:p>
    <w:p w14:paraId="3B8EBB10">
      <w:pPr>
        <w:pStyle w:val="81"/>
        <w:numPr>
          <w:ilvl w:val="0"/>
          <w:numId w:val="0"/>
        </w:numPr>
        <w:spacing w:before="0" w:beforeLines="0" w:after="0" w:afterLines="0" w:line="360" w:lineRule="auto"/>
        <w:outlineLvl w:val="9"/>
        <w:rPr>
          <w:sz w:val="24"/>
          <w:szCs w:val="24"/>
        </w:rPr>
      </w:pPr>
    </w:p>
    <w:p w14:paraId="59A5CA0F">
      <w:pPr>
        <w:pStyle w:val="18"/>
        <w:numPr>
          <w:ilvl w:val="0"/>
          <w:numId w:val="2"/>
        </w:numPr>
        <w:spacing w:before="312" w:beforeLines="100" w:after="312" w:afterLines="100" w:line="360" w:lineRule="auto"/>
        <w:jc w:val="center"/>
        <w:outlineLvl w:val="0"/>
        <w:rPr>
          <w:rFonts w:ascii="Times New Roman" w:hAnsi="Times New Roman"/>
          <w:b/>
          <w:sz w:val="36"/>
          <w:szCs w:val="36"/>
        </w:rPr>
      </w:pPr>
    </w:p>
    <w:bookmarkEnd w:id="18"/>
    <w:p w14:paraId="202F0DC6">
      <w:pPr>
        <w:pStyle w:val="211"/>
        <w:rPr>
          <w:rFonts w:ascii="Times New Roman" w:hAnsi="Times New Roman"/>
        </w:rPr>
      </w:pPr>
      <w:bookmarkStart w:id="329" w:name="BookMark5"/>
    </w:p>
    <w:bookmarkEnd w:id="329"/>
    <w:p w14:paraId="0A896731">
      <w:pPr>
        <w:pStyle w:val="212"/>
        <w:rPr>
          <w:rFonts w:ascii="Times New Roman"/>
        </w:rPr>
      </w:pPr>
    </w:p>
    <w:sectPr>
      <w:pgSz w:w="11906" w:h="16838"/>
      <w:pgMar w:top="1440" w:right="1797" w:bottom="1440" w:left="1797" w:header="1418" w:footer="1134" w:gutter="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仿宋_GB2312"/>
    <w:panose1 w:val="03000509000000000000"/>
    <w:charset w:val="86"/>
    <w:family w:val="auto"/>
    <w:pitch w:val="default"/>
    <w:sig w:usb0="00000000" w:usb1="0000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7473A">
    <w:pPr>
      <w:pStyle w:val="66"/>
    </w:pPr>
    <w:r>
      <w:fldChar w:fldCharType="begin"/>
    </w:r>
    <w:r>
      <w:instrText xml:space="preserve"> PAGE   \* MERGEFORMAT \* MERGEFORMAT </w:instrText>
    </w:r>
    <w:r>
      <w:fldChar w:fldCharType="separate"/>
    </w:r>
    <w: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D638A">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16</w:t>
    </w:r>
    <w:r>
      <w:rPr>
        <w:rFonts w:ascii="Times New Roma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F2427">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25</w:t>
    </w:r>
    <w:r>
      <w:rPr>
        <w:rFonts w:ascii="Times New Roma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FDE7">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18</w:t>
    </w:r>
    <w:r>
      <w:rPr>
        <w:rFonts w:ascii="Times New Roman"/>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35EA2">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27</w:t>
    </w:r>
    <w:r>
      <w:rPr>
        <w:rFonts w:ascii="Times New Roman"/>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8CBE3">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20</w:t>
    </w:r>
    <w:r>
      <w:rPr>
        <w:rFonts w:ascii="Times New Roman"/>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13F71">
    <w:pPr>
      <w:pStyle w:val="67"/>
    </w:pPr>
    <w:r>
      <w:fldChar w:fldCharType="begin"/>
    </w:r>
    <w:r>
      <w:instrText xml:space="preserve">PAGE   \* MERGEFORMAT</w:instrText>
    </w:r>
    <w:r>
      <w:fldChar w:fldCharType="separate"/>
    </w:r>
    <w:r>
      <w:rPr>
        <w:lang w:val="zh-CN"/>
      </w:rPr>
      <w:t>31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5D70D">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24</w:t>
    </w:r>
    <w:r>
      <w:rPr>
        <w:rFonts w:ascii="Times New Roman"/>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19F3D">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27</w:t>
    </w:r>
    <w:r>
      <w:rPr>
        <w:rFonts w:ascii="Times New Roman"/>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78726">
    <w:pPr>
      <w:pStyle w:val="66"/>
    </w:pPr>
    <w:r>
      <w:fldChar w:fldCharType="begin"/>
    </w:r>
    <w:r>
      <w:instrText xml:space="preserve"> PAGE   \* MERGEFORMAT \* MERGEFORMAT </w:instrText>
    </w:r>
    <w:r>
      <w:fldChar w:fldCharType="separate"/>
    </w:r>
    <w:r>
      <w:t>22</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F03E2">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880D5">
    <w:pPr>
      <w:pStyle w:val="67"/>
    </w:pPr>
    <w:r>
      <w:fldChar w:fldCharType="begin"/>
    </w:r>
    <w:r>
      <w:instrText xml:space="preserve">PAGE   \* MERGEFORMAT</w:instrText>
    </w:r>
    <w:r>
      <w:fldChar w:fldCharType="separate"/>
    </w:r>
    <w:r>
      <w:rPr>
        <w:lang w:val="zh-CN"/>
      </w:rPr>
      <w:t>1</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91F74">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26</w:t>
    </w:r>
    <w:r>
      <w:rPr>
        <w:rFonts w:ascii="Times New Roman"/>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2DDA0">
    <w:pPr>
      <w:pStyle w:val="67"/>
    </w:pPr>
    <w:r>
      <w:fldChar w:fldCharType="begin"/>
    </w:r>
    <w:r>
      <w:instrText xml:space="preserve">PAGE   \* MERGEFORMAT</w:instrText>
    </w:r>
    <w:r>
      <w:fldChar w:fldCharType="separate"/>
    </w:r>
    <w:r>
      <w:rPr>
        <w:lang w:val="zh-CN"/>
      </w:rPr>
      <w:t>31</w:t>
    </w:r>
    <w: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E1939">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26</w:t>
    </w:r>
    <w:r>
      <w:rPr>
        <w:rFonts w:asci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D4BDE">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1</w:t>
    </w:r>
    <w:r>
      <w:rPr>
        <w:rFonts w:ascii="Times New Roma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24179">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II</w:t>
    </w:r>
    <w:r>
      <w:rPr>
        <w:rFonts w:asci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71597">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21</w:t>
    </w:r>
    <w:r>
      <w:rPr>
        <w:rFonts w:asci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2973B">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10</w:t>
    </w:r>
    <w:r>
      <w:rPr>
        <w:rFonts w:asci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9FEC0">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21</w:t>
    </w:r>
    <w:r>
      <w:rPr>
        <w:rFonts w:ascii="Times New Roma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4C2F8">
    <w:pPr>
      <w:pStyle w:val="66"/>
      <w:rPr>
        <w:rFonts w:ascii="Times New Roman"/>
      </w:rPr>
    </w:pPr>
    <w:r>
      <w:rPr>
        <w:rFonts w:ascii="Times New Roman"/>
      </w:rPr>
      <w:fldChar w:fldCharType="begin"/>
    </w:r>
    <w:r>
      <w:rPr>
        <w:rFonts w:ascii="Times New Roman"/>
      </w:rPr>
      <w:instrText xml:space="preserve"> PAGE   \* MERGEFORMAT \* MERGEFORMAT </w:instrText>
    </w:r>
    <w:r>
      <w:rPr>
        <w:rFonts w:ascii="Times New Roman"/>
      </w:rPr>
      <w:fldChar w:fldCharType="separate"/>
    </w:r>
    <w:r>
      <w:rPr>
        <w:rFonts w:ascii="Times New Roman"/>
      </w:rPr>
      <w:t>14</w:t>
    </w:r>
    <w:r>
      <w:rPr>
        <w:rFonts w:ascii="Times New Roma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C34B1">
    <w:pPr>
      <w:pStyle w:val="67"/>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23</w:t>
    </w:r>
    <w:r>
      <w:rPr>
        <w:rFonts w:asci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CDC0B">
    <w:pPr>
      <w:pStyle w:val="2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0B944">
    <w:pPr>
      <w:pStyle w:val="2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BBAD3">
    <w:pPr>
      <w:pStyle w:val="2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25744">
    <w:pPr>
      <w:pStyle w:val="2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71705">
    <w:pPr>
      <w:pStyle w:val="2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A6069">
    <w:pPr>
      <w:pStyle w:val="2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4F2E0">
    <w:pPr>
      <w:pStyle w:val="24"/>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269EE">
    <w:pPr>
      <w:pStyle w:val="24"/>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5AF3A">
    <w:pPr>
      <w:pStyle w:val="77"/>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5AD02">
    <w:pPr>
      <w:pStyle w:val="24"/>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C5FC4">
    <w:pPr>
      <w:pStyle w:val="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0DA69">
    <w:pPr>
      <w:pStyle w:val="24"/>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452D9">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A8F01">
    <w:pPr>
      <w:pStyle w:val="7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E8C92">
    <w:pPr>
      <w:pStyle w:val="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E4ED">
    <w:pPr>
      <w:pStyle w:val="7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3025B">
    <w:pPr>
      <w:pStyle w:val="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578FE">
    <w:pPr>
      <w:pStyle w:val="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D22A">
    <w:pPr>
      <w:pStyle w:val="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8C169">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suff w:val="nothing"/>
      <w:lvlText w:val="%1%2.%3　"/>
      <w:lvlJc w:val="left"/>
      <w:pPr>
        <w:ind w:left="0" w:firstLine="0"/>
      </w:pPr>
    </w:lvl>
    <w:lvl w:ilvl="3" w:tentative="0">
      <w:start w:val="1"/>
      <w:numFmt w:val="decimal"/>
      <w:pStyle w:val="132"/>
      <w:suff w:val="nothing"/>
      <w:lvlText w:val="%1%2.%3.%4　"/>
      <w:lvlJc w:val="left"/>
      <w:pPr>
        <w:ind w:left="0" w:firstLine="0"/>
      </w:pPr>
    </w:lvl>
    <w:lvl w:ilvl="4" w:tentative="0">
      <w:start w:val="1"/>
      <w:numFmt w:val="decimal"/>
      <w:pStyle w:val="167"/>
      <w:suff w:val="nothing"/>
      <w:lvlText w:val="%1%2.%3.%4.%5　"/>
      <w:lvlJc w:val="left"/>
      <w:pPr>
        <w:ind w:left="0" w:firstLine="0"/>
      </w:pPr>
    </w:lvl>
    <w:lvl w:ilvl="5" w:tentative="0">
      <w:start w:val="1"/>
      <w:numFmt w:val="decimal"/>
      <w:pStyle w:val="169"/>
      <w:suff w:val="nothing"/>
      <w:lvlText w:val="%1%2.%3.%4.%5.%6　"/>
      <w:lvlJc w:val="left"/>
      <w:pPr>
        <w:ind w:left="0" w:firstLine="0"/>
      </w:pPr>
    </w:lvl>
    <w:lvl w:ilvl="6" w:tentative="0">
      <w:start w:val="1"/>
      <w:numFmt w:val="decimal"/>
      <w:pStyle w:val="17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9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4"/>
      <w:lvlText w:val="%1"/>
      <w:lvlJc w:val="left"/>
      <w:pPr>
        <w:ind w:left="425" w:hanging="425"/>
      </w:pPr>
      <w:rPr>
        <w:rFonts w:hint="eastAsia"/>
      </w:rPr>
    </w:lvl>
    <w:lvl w:ilvl="1" w:tentative="0">
      <w:start w:val="1"/>
      <w:numFmt w:val="decimal"/>
      <w:pStyle w:val="213"/>
      <w:suff w:val="nothing"/>
      <w:lvlText w:val="%10.%2 "/>
      <w:lvlJc w:val="left"/>
      <w:pPr>
        <w:ind w:left="0" w:firstLine="0"/>
      </w:pPr>
      <w:rPr>
        <w:rFonts w:hint="eastAsia" w:ascii="黑体" w:eastAsia="黑体" w:hAnsiTheme="minorHAnsi"/>
        <w:b w:val="0"/>
        <w:i w:val="0"/>
        <w:sz w:val="21"/>
      </w:rPr>
    </w:lvl>
    <w:lvl w:ilvl="2" w:tentative="0">
      <w:start w:val="1"/>
      <w:numFmt w:val="decimal"/>
      <w:pStyle w:val="214"/>
      <w:suff w:val="nothing"/>
      <w:lvlText w:val="%10.%2.%3 "/>
      <w:lvlJc w:val="left"/>
      <w:pPr>
        <w:ind w:left="0" w:firstLine="0"/>
      </w:pPr>
      <w:rPr>
        <w:rFonts w:hint="eastAsia" w:ascii="黑体" w:eastAsia="黑体" w:hAnsiTheme="minorHAnsi"/>
        <w:b w:val="0"/>
        <w:i w:val="0"/>
        <w:sz w:val="21"/>
      </w:rPr>
    </w:lvl>
    <w:lvl w:ilvl="3" w:tentative="0">
      <w:start w:val="1"/>
      <w:numFmt w:val="decimal"/>
      <w:pStyle w:val="215"/>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9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8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2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4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0"/>
      <w:lvlText w:val=""/>
      <w:lvlJc w:val="left"/>
      <w:pPr>
        <w:ind w:left="851" w:hanging="431"/>
      </w:pPr>
      <w:rPr>
        <w:rFonts w:hint="default" w:ascii="Symbol" w:hAnsi="Symbol"/>
        <w:sz w:val="21"/>
      </w:rPr>
    </w:lvl>
    <w:lvl w:ilvl="2" w:tentative="0">
      <w:start w:val="1"/>
      <w:numFmt w:val="bullet"/>
      <w:pStyle w:val="18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1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88"/>
      <w:lvlText w:val="%1)"/>
      <w:lvlJc w:val="left"/>
      <w:pPr>
        <w:tabs>
          <w:tab w:val="left" w:pos="851"/>
        </w:tabs>
        <w:ind w:left="851" w:hanging="426"/>
      </w:pPr>
      <w:rPr>
        <w:rFonts w:hint="eastAsia" w:ascii="宋体" w:hAnsi="Times New Roman" w:eastAsia="宋体"/>
        <w:sz w:val="21"/>
      </w:rPr>
    </w:lvl>
    <w:lvl w:ilvl="1" w:tentative="0">
      <w:start w:val="1"/>
      <w:numFmt w:val="decimal"/>
      <w:pStyle w:val="123"/>
      <w:lvlText w:val="%2."/>
      <w:lvlJc w:val="left"/>
      <w:pPr>
        <w:tabs>
          <w:tab w:val="left" w:pos="1276"/>
        </w:tabs>
        <w:ind w:left="1276" w:hanging="425"/>
      </w:pPr>
      <w:rPr>
        <w:rFonts w:hint="eastAsia"/>
        <w:sz w:val="21"/>
      </w:rPr>
    </w:lvl>
    <w:lvl w:ilvl="2" w:tentative="0">
      <w:start w:val="1"/>
      <w:numFmt w:val="decimal"/>
      <w:pStyle w:val="13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11"/>
      <w:lvlText w:val="%1"/>
      <w:lvlJc w:val="left"/>
      <w:pPr>
        <w:ind w:left="420" w:hanging="420"/>
      </w:pPr>
      <w:rPr>
        <w:rFonts w:hint="eastAsia"/>
      </w:rPr>
    </w:lvl>
    <w:lvl w:ilvl="1" w:tentative="0">
      <w:start w:val="1"/>
      <w:numFmt w:val="decimal"/>
      <w:pStyle w:val="9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9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3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12"/>
      <w:suff w:val="space"/>
      <w:lvlText w:val="%1"/>
      <w:lvlJc w:val="left"/>
      <w:pPr>
        <w:ind w:left="425" w:hanging="425"/>
      </w:pPr>
      <w:rPr>
        <w:rFonts w:hint="eastAsia"/>
      </w:rPr>
    </w:lvl>
    <w:lvl w:ilvl="1" w:tentative="0">
      <w:start w:val="1"/>
      <w:numFmt w:val="decimal"/>
      <w:pStyle w:val="9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2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8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6"/>
      <w:suff w:val="nothing"/>
      <w:lvlText w:val="表%1　"/>
      <w:lvlJc w:val="left"/>
      <w:pPr>
        <w:ind w:left="0" w:firstLine="0"/>
      </w:pPr>
      <w:rPr>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20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92"/>
      <w:suff w:val="nothing"/>
      <w:lvlText w:val="附录%1"/>
      <w:lvlJc w:val="left"/>
      <w:pPr>
        <w:ind w:left="0" w:firstLine="0"/>
      </w:pPr>
      <w:rPr>
        <w:rFonts w:hint="eastAsia"/>
        <w:spacing w:val="100"/>
      </w:rPr>
    </w:lvl>
    <w:lvl w:ilvl="1" w:tentative="0">
      <w:start w:val="1"/>
      <w:numFmt w:val="decimal"/>
      <w:pStyle w:val="94"/>
      <w:suff w:val="nothing"/>
      <w:lvlText w:val="%1.%2　"/>
      <w:lvlJc w:val="left"/>
      <w:pPr>
        <w:ind w:left="0" w:firstLine="0"/>
      </w:pPr>
      <w:rPr>
        <w:rFonts w:hint="eastAsia" w:ascii="黑体" w:eastAsia="黑体"/>
        <w:b w:val="0"/>
        <w:i w:val="0"/>
        <w:sz w:val="21"/>
      </w:rPr>
    </w:lvl>
    <w:lvl w:ilvl="2" w:tentative="0">
      <w:start w:val="1"/>
      <w:numFmt w:val="decimal"/>
      <w:pStyle w:val="95"/>
      <w:suff w:val="nothing"/>
      <w:lvlText w:val="%1.%2.%3　"/>
      <w:lvlJc w:val="left"/>
      <w:pPr>
        <w:ind w:left="0" w:firstLine="0"/>
      </w:pPr>
      <w:rPr>
        <w:rFonts w:hint="eastAsia" w:ascii="黑体" w:eastAsia="黑体"/>
        <w:b w:val="0"/>
        <w:i w:val="0"/>
        <w:sz w:val="21"/>
      </w:rPr>
    </w:lvl>
    <w:lvl w:ilvl="3" w:tentative="0">
      <w:start w:val="1"/>
      <w:numFmt w:val="decimal"/>
      <w:pStyle w:val="9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20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1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66"/>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bCs w:val="0"/>
        <w:i w:val="0"/>
        <w:sz w:val="21"/>
      </w:rPr>
    </w:lvl>
    <w:lvl w:ilvl="2" w:tentative="0">
      <w:start w:val="1"/>
      <w:numFmt w:val="decimal"/>
      <w:pStyle w:val="119"/>
      <w:suff w:val="nothing"/>
      <w:lvlText w:val="%1%2.%3　"/>
      <w:lvlJc w:val="left"/>
      <w:pPr>
        <w:ind w:left="453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1"/>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109"/>
      <w:suff w:val="nothing"/>
      <w:lvlText w:val="%1%2.%3.%4.%5　"/>
      <w:lvlJc w:val="left"/>
      <w:pPr>
        <w:ind w:left="0" w:firstLine="0"/>
      </w:pPr>
      <w:rPr>
        <w:rFonts w:hint="eastAsia" w:ascii="黑体" w:eastAsia="黑体"/>
        <w:b w:val="0"/>
        <w:i w:val="0"/>
        <w:sz w:val="21"/>
      </w:rPr>
    </w:lvl>
    <w:lvl w:ilvl="5" w:tentative="0">
      <w:start w:val="1"/>
      <w:numFmt w:val="decimal"/>
      <w:pStyle w:val="11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9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5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ZlMzE2ZWQyNzgzNTliOGM5MzJhM2U2NTA4MTI0ZWYifQ=="/>
    <w:docVar w:name="KSO_WPS_MARK_KEY" w:val="7ff75f86-a166-4a8d-8ada-f0264f7cca07"/>
  </w:docVars>
  <w:rsids>
    <w:rsidRoot w:val="000505BB"/>
    <w:rsid w:val="0000040A"/>
    <w:rsid w:val="00000A94"/>
    <w:rsid w:val="00001637"/>
    <w:rsid w:val="00001972"/>
    <w:rsid w:val="00001D9A"/>
    <w:rsid w:val="0000200A"/>
    <w:rsid w:val="000036CB"/>
    <w:rsid w:val="000038FC"/>
    <w:rsid w:val="00004EB3"/>
    <w:rsid w:val="00007B3A"/>
    <w:rsid w:val="00010281"/>
    <w:rsid w:val="000107E0"/>
    <w:rsid w:val="00011C39"/>
    <w:rsid w:val="00011FDE"/>
    <w:rsid w:val="00012FFD"/>
    <w:rsid w:val="000130B5"/>
    <w:rsid w:val="00014162"/>
    <w:rsid w:val="00014340"/>
    <w:rsid w:val="0001481C"/>
    <w:rsid w:val="00014BA9"/>
    <w:rsid w:val="00015042"/>
    <w:rsid w:val="00015139"/>
    <w:rsid w:val="0001656E"/>
    <w:rsid w:val="00016A9C"/>
    <w:rsid w:val="00017C57"/>
    <w:rsid w:val="00021A49"/>
    <w:rsid w:val="00022184"/>
    <w:rsid w:val="00022762"/>
    <w:rsid w:val="000238D6"/>
    <w:rsid w:val="000238E0"/>
    <w:rsid w:val="0002400F"/>
    <w:rsid w:val="000249DB"/>
    <w:rsid w:val="00024BC3"/>
    <w:rsid w:val="0002595E"/>
    <w:rsid w:val="00026D5C"/>
    <w:rsid w:val="000303C3"/>
    <w:rsid w:val="00030FE7"/>
    <w:rsid w:val="000331D3"/>
    <w:rsid w:val="000346A5"/>
    <w:rsid w:val="000359C3"/>
    <w:rsid w:val="00035A7D"/>
    <w:rsid w:val="00036030"/>
    <w:rsid w:val="000362BD"/>
    <w:rsid w:val="00036588"/>
    <w:rsid w:val="000365ED"/>
    <w:rsid w:val="00036706"/>
    <w:rsid w:val="00040FBF"/>
    <w:rsid w:val="0004249A"/>
    <w:rsid w:val="00043282"/>
    <w:rsid w:val="00044286"/>
    <w:rsid w:val="00047F28"/>
    <w:rsid w:val="000503AA"/>
    <w:rsid w:val="000505BB"/>
    <w:rsid w:val="000506A1"/>
    <w:rsid w:val="000515DD"/>
    <w:rsid w:val="0005265A"/>
    <w:rsid w:val="000539DD"/>
    <w:rsid w:val="00053BD3"/>
    <w:rsid w:val="000556ED"/>
    <w:rsid w:val="00055FE2"/>
    <w:rsid w:val="0005616F"/>
    <w:rsid w:val="00056974"/>
    <w:rsid w:val="00060C2E"/>
    <w:rsid w:val="00060EE1"/>
    <w:rsid w:val="00061033"/>
    <w:rsid w:val="000619E9"/>
    <w:rsid w:val="000622D4"/>
    <w:rsid w:val="000631EB"/>
    <w:rsid w:val="0006357D"/>
    <w:rsid w:val="00063B43"/>
    <w:rsid w:val="00063E97"/>
    <w:rsid w:val="00065519"/>
    <w:rsid w:val="00065BB9"/>
    <w:rsid w:val="00067BA8"/>
    <w:rsid w:val="00067F1E"/>
    <w:rsid w:val="00071CC0"/>
    <w:rsid w:val="00073C8C"/>
    <w:rsid w:val="00073D4A"/>
    <w:rsid w:val="0007413D"/>
    <w:rsid w:val="00074399"/>
    <w:rsid w:val="00074C59"/>
    <w:rsid w:val="000767F6"/>
    <w:rsid w:val="00077B64"/>
    <w:rsid w:val="00077CF1"/>
    <w:rsid w:val="00080A1C"/>
    <w:rsid w:val="00082317"/>
    <w:rsid w:val="00083CD1"/>
    <w:rsid w:val="00083D2C"/>
    <w:rsid w:val="0008598D"/>
    <w:rsid w:val="00086AA1"/>
    <w:rsid w:val="00087256"/>
    <w:rsid w:val="00087A77"/>
    <w:rsid w:val="000906B0"/>
    <w:rsid w:val="00090CA6"/>
    <w:rsid w:val="00090F8C"/>
    <w:rsid w:val="00092525"/>
    <w:rsid w:val="00092B8A"/>
    <w:rsid w:val="00092FB0"/>
    <w:rsid w:val="00093006"/>
    <w:rsid w:val="000931B0"/>
    <w:rsid w:val="000934C5"/>
    <w:rsid w:val="00093D25"/>
    <w:rsid w:val="00093DAB"/>
    <w:rsid w:val="00094D73"/>
    <w:rsid w:val="000964D6"/>
    <w:rsid w:val="00096D63"/>
    <w:rsid w:val="000A0B60"/>
    <w:rsid w:val="000A0EB8"/>
    <w:rsid w:val="000A19FC"/>
    <w:rsid w:val="000A296B"/>
    <w:rsid w:val="000A2A1C"/>
    <w:rsid w:val="000A2EA4"/>
    <w:rsid w:val="000A7311"/>
    <w:rsid w:val="000B060F"/>
    <w:rsid w:val="000B1458"/>
    <w:rsid w:val="000B1592"/>
    <w:rsid w:val="000B1FF2"/>
    <w:rsid w:val="000B3CDA"/>
    <w:rsid w:val="000B5F84"/>
    <w:rsid w:val="000B6354"/>
    <w:rsid w:val="000B6923"/>
    <w:rsid w:val="000B6A0B"/>
    <w:rsid w:val="000B6F3D"/>
    <w:rsid w:val="000C0F6C"/>
    <w:rsid w:val="000C11DB"/>
    <w:rsid w:val="000C1492"/>
    <w:rsid w:val="000C2658"/>
    <w:rsid w:val="000C2F2C"/>
    <w:rsid w:val="000C2FBD"/>
    <w:rsid w:val="000C44D4"/>
    <w:rsid w:val="000C4B41"/>
    <w:rsid w:val="000C57D6"/>
    <w:rsid w:val="000C6362"/>
    <w:rsid w:val="000C7195"/>
    <w:rsid w:val="000C7666"/>
    <w:rsid w:val="000D0A9C"/>
    <w:rsid w:val="000D1795"/>
    <w:rsid w:val="000D329A"/>
    <w:rsid w:val="000D4B9C"/>
    <w:rsid w:val="000D4EB6"/>
    <w:rsid w:val="000D753B"/>
    <w:rsid w:val="000D7647"/>
    <w:rsid w:val="000E2BD4"/>
    <w:rsid w:val="000E457B"/>
    <w:rsid w:val="000E4C9E"/>
    <w:rsid w:val="000E54C8"/>
    <w:rsid w:val="000E6422"/>
    <w:rsid w:val="000E6FD7"/>
    <w:rsid w:val="000F06E1"/>
    <w:rsid w:val="000F0E3C"/>
    <w:rsid w:val="000F19D5"/>
    <w:rsid w:val="000F4AEA"/>
    <w:rsid w:val="000F5E25"/>
    <w:rsid w:val="000F633F"/>
    <w:rsid w:val="000F67AB"/>
    <w:rsid w:val="000F67E9"/>
    <w:rsid w:val="000F737E"/>
    <w:rsid w:val="00100F0E"/>
    <w:rsid w:val="00104926"/>
    <w:rsid w:val="0011103C"/>
    <w:rsid w:val="00111C97"/>
    <w:rsid w:val="0011207A"/>
    <w:rsid w:val="001137E2"/>
    <w:rsid w:val="00113B1E"/>
    <w:rsid w:val="0011711C"/>
    <w:rsid w:val="0012059C"/>
    <w:rsid w:val="00123E71"/>
    <w:rsid w:val="00123F21"/>
    <w:rsid w:val="00124E4F"/>
    <w:rsid w:val="001250E5"/>
    <w:rsid w:val="001260B7"/>
    <w:rsid w:val="001265CB"/>
    <w:rsid w:val="00127BA9"/>
    <w:rsid w:val="00131AFD"/>
    <w:rsid w:val="001321C6"/>
    <w:rsid w:val="001325C4"/>
    <w:rsid w:val="00133010"/>
    <w:rsid w:val="001336D8"/>
    <w:rsid w:val="001338EE"/>
    <w:rsid w:val="00133AAE"/>
    <w:rsid w:val="00135323"/>
    <w:rsid w:val="001356C4"/>
    <w:rsid w:val="00141114"/>
    <w:rsid w:val="00142969"/>
    <w:rsid w:val="00142A0E"/>
    <w:rsid w:val="001446C2"/>
    <w:rsid w:val="001457E7"/>
    <w:rsid w:val="00145D9D"/>
    <w:rsid w:val="00146388"/>
    <w:rsid w:val="001476F7"/>
    <w:rsid w:val="001529E5"/>
    <w:rsid w:val="00153249"/>
    <w:rsid w:val="00153C7E"/>
    <w:rsid w:val="00153E22"/>
    <w:rsid w:val="001543C8"/>
    <w:rsid w:val="00154D15"/>
    <w:rsid w:val="00154E5E"/>
    <w:rsid w:val="00156B25"/>
    <w:rsid w:val="00156E1A"/>
    <w:rsid w:val="00157894"/>
    <w:rsid w:val="00157B55"/>
    <w:rsid w:val="00162628"/>
    <w:rsid w:val="00162C17"/>
    <w:rsid w:val="0016396D"/>
    <w:rsid w:val="001642FA"/>
    <w:rsid w:val="001649EB"/>
    <w:rsid w:val="00164BAF"/>
    <w:rsid w:val="00164D51"/>
    <w:rsid w:val="00164FA8"/>
    <w:rsid w:val="00165037"/>
    <w:rsid w:val="00165065"/>
    <w:rsid w:val="001651FB"/>
    <w:rsid w:val="00165434"/>
    <w:rsid w:val="0016580B"/>
    <w:rsid w:val="00165F49"/>
    <w:rsid w:val="00166B88"/>
    <w:rsid w:val="001673D3"/>
    <w:rsid w:val="0016770A"/>
    <w:rsid w:val="00170804"/>
    <w:rsid w:val="001708E9"/>
    <w:rsid w:val="0017340B"/>
    <w:rsid w:val="00173CD9"/>
    <w:rsid w:val="00173FB1"/>
    <w:rsid w:val="00175894"/>
    <w:rsid w:val="00175ABE"/>
    <w:rsid w:val="0017649F"/>
    <w:rsid w:val="00176DFD"/>
    <w:rsid w:val="0017714A"/>
    <w:rsid w:val="00183F4B"/>
    <w:rsid w:val="001850A1"/>
    <w:rsid w:val="001852C9"/>
    <w:rsid w:val="00185886"/>
    <w:rsid w:val="00190087"/>
    <w:rsid w:val="001913C4"/>
    <w:rsid w:val="00191AF6"/>
    <w:rsid w:val="00192735"/>
    <w:rsid w:val="00193199"/>
    <w:rsid w:val="0019348F"/>
    <w:rsid w:val="00193A07"/>
    <w:rsid w:val="001946A7"/>
    <w:rsid w:val="00194C95"/>
    <w:rsid w:val="00195C34"/>
    <w:rsid w:val="00196EF5"/>
    <w:rsid w:val="00197FF3"/>
    <w:rsid w:val="001A1A53"/>
    <w:rsid w:val="001A234A"/>
    <w:rsid w:val="001A4CF3"/>
    <w:rsid w:val="001A66A4"/>
    <w:rsid w:val="001B06E8"/>
    <w:rsid w:val="001B0CD3"/>
    <w:rsid w:val="001B50D1"/>
    <w:rsid w:val="001B71D0"/>
    <w:rsid w:val="001B71EE"/>
    <w:rsid w:val="001C04A8"/>
    <w:rsid w:val="001C2A70"/>
    <w:rsid w:val="001C2C03"/>
    <w:rsid w:val="001C42F7"/>
    <w:rsid w:val="001C49E5"/>
    <w:rsid w:val="001C680C"/>
    <w:rsid w:val="001C688B"/>
    <w:rsid w:val="001C7FEA"/>
    <w:rsid w:val="001D0499"/>
    <w:rsid w:val="001D0BBE"/>
    <w:rsid w:val="001D0ED4"/>
    <w:rsid w:val="001D212F"/>
    <w:rsid w:val="001D29D7"/>
    <w:rsid w:val="001D2DE7"/>
    <w:rsid w:val="001D3955"/>
    <w:rsid w:val="001D3A6D"/>
    <w:rsid w:val="001D411C"/>
    <w:rsid w:val="001E0235"/>
    <w:rsid w:val="001E1290"/>
    <w:rsid w:val="001E13AC"/>
    <w:rsid w:val="001E1B6A"/>
    <w:rsid w:val="001E20F6"/>
    <w:rsid w:val="001E2484"/>
    <w:rsid w:val="001E3CC4"/>
    <w:rsid w:val="001E3D2C"/>
    <w:rsid w:val="001E414E"/>
    <w:rsid w:val="001E4882"/>
    <w:rsid w:val="001E6483"/>
    <w:rsid w:val="001E73AB"/>
    <w:rsid w:val="001F05AA"/>
    <w:rsid w:val="001F092D"/>
    <w:rsid w:val="001F0F4C"/>
    <w:rsid w:val="001F143A"/>
    <w:rsid w:val="001F1605"/>
    <w:rsid w:val="001F2508"/>
    <w:rsid w:val="001F4816"/>
    <w:rsid w:val="001F4EE9"/>
    <w:rsid w:val="001F69B4"/>
    <w:rsid w:val="001F77C7"/>
    <w:rsid w:val="001F785A"/>
    <w:rsid w:val="00200183"/>
    <w:rsid w:val="00200333"/>
    <w:rsid w:val="002009A3"/>
    <w:rsid w:val="0020107D"/>
    <w:rsid w:val="00202AA4"/>
    <w:rsid w:val="002031F7"/>
    <w:rsid w:val="002040E6"/>
    <w:rsid w:val="002046F3"/>
    <w:rsid w:val="0020527B"/>
    <w:rsid w:val="00205F2C"/>
    <w:rsid w:val="00210B15"/>
    <w:rsid w:val="00210BBE"/>
    <w:rsid w:val="002122DB"/>
    <w:rsid w:val="002142EA"/>
    <w:rsid w:val="0021799D"/>
    <w:rsid w:val="00220223"/>
    <w:rsid w:val="002204BB"/>
    <w:rsid w:val="00221B79"/>
    <w:rsid w:val="00221C6B"/>
    <w:rsid w:val="00223CB2"/>
    <w:rsid w:val="002253A1"/>
    <w:rsid w:val="00225CF8"/>
    <w:rsid w:val="0022794E"/>
    <w:rsid w:val="00231087"/>
    <w:rsid w:val="0023155E"/>
    <w:rsid w:val="00231BB0"/>
    <w:rsid w:val="00233D64"/>
    <w:rsid w:val="0023482A"/>
    <w:rsid w:val="00235471"/>
    <w:rsid w:val="00235990"/>
    <w:rsid w:val="002359CB"/>
    <w:rsid w:val="00236E29"/>
    <w:rsid w:val="002374A6"/>
    <w:rsid w:val="002375B2"/>
    <w:rsid w:val="00242DBD"/>
    <w:rsid w:val="002434AD"/>
    <w:rsid w:val="00243540"/>
    <w:rsid w:val="00244189"/>
    <w:rsid w:val="0024497B"/>
    <w:rsid w:val="0024515B"/>
    <w:rsid w:val="00246021"/>
    <w:rsid w:val="00246240"/>
    <w:rsid w:val="0024666E"/>
    <w:rsid w:val="00247838"/>
    <w:rsid w:val="00247F52"/>
    <w:rsid w:val="002500FC"/>
    <w:rsid w:val="00250B25"/>
    <w:rsid w:val="00250BBE"/>
    <w:rsid w:val="002515C2"/>
    <w:rsid w:val="0025194F"/>
    <w:rsid w:val="0025291D"/>
    <w:rsid w:val="00253BE0"/>
    <w:rsid w:val="00254E06"/>
    <w:rsid w:val="0026148A"/>
    <w:rsid w:val="00262696"/>
    <w:rsid w:val="00262AF1"/>
    <w:rsid w:val="00263D25"/>
    <w:rsid w:val="002643C3"/>
    <w:rsid w:val="00264A0C"/>
    <w:rsid w:val="00264EEF"/>
    <w:rsid w:val="00266EEB"/>
    <w:rsid w:val="00267EF4"/>
    <w:rsid w:val="00270CB8"/>
    <w:rsid w:val="002717FF"/>
    <w:rsid w:val="00272B08"/>
    <w:rsid w:val="002735C4"/>
    <w:rsid w:val="002758EB"/>
    <w:rsid w:val="00275BEA"/>
    <w:rsid w:val="002771AC"/>
    <w:rsid w:val="0027728B"/>
    <w:rsid w:val="0028082B"/>
    <w:rsid w:val="0028141D"/>
    <w:rsid w:val="00281BB8"/>
    <w:rsid w:val="00281E9E"/>
    <w:rsid w:val="0028217F"/>
    <w:rsid w:val="00282405"/>
    <w:rsid w:val="002837C4"/>
    <w:rsid w:val="00284652"/>
    <w:rsid w:val="00285170"/>
    <w:rsid w:val="00285361"/>
    <w:rsid w:val="00290866"/>
    <w:rsid w:val="00290B5C"/>
    <w:rsid w:val="00291D15"/>
    <w:rsid w:val="00292C29"/>
    <w:rsid w:val="00292D60"/>
    <w:rsid w:val="002933E5"/>
    <w:rsid w:val="00293B30"/>
    <w:rsid w:val="00294D34"/>
    <w:rsid w:val="00294E3B"/>
    <w:rsid w:val="00296193"/>
    <w:rsid w:val="002963E3"/>
    <w:rsid w:val="00296C66"/>
    <w:rsid w:val="00296EBE"/>
    <w:rsid w:val="002974E3"/>
    <w:rsid w:val="002A084B"/>
    <w:rsid w:val="002A1260"/>
    <w:rsid w:val="002A1589"/>
    <w:rsid w:val="002A1608"/>
    <w:rsid w:val="002A25DC"/>
    <w:rsid w:val="002A2DCD"/>
    <w:rsid w:val="002A3AAB"/>
    <w:rsid w:val="002A4CEA"/>
    <w:rsid w:val="002A4EB7"/>
    <w:rsid w:val="002A5977"/>
    <w:rsid w:val="002A5A13"/>
    <w:rsid w:val="002A74ED"/>
    <w:rsid w:val="002A757F"/>
    <w:rsid w:val="002A79A8"/>
    <w:rsid w:val="002A7F44"/>
    <w:rsid w:val="002B070E"/>
    <w:rsid w:val="002B0C40"/>
    <w:rsid w:val="002B11D9"/>
    <w:rsid w:val="002B1966"/>
    <w:rsid w:val="002B4508"/>
    <w:rsid w:val="002B5779"/>
    <w:rsid w:val="002B7332"/>
    <w:rsid w:val="002B7F51"/>
    <w:rsid w:val="002C09E7"/>
    <w:rsid w:val="002C1E06"/>
    <w:rsid w:val="002C1E1C"/>
    <w:rsid w:val="002C23DC"/>
    <w:rsid w:val="002C3F07"/>
    <w:rsid w:val="002C5278"/>
    <w:rsid w:val="002C7EBB"/>
    <w:rsid w:val="002D06C1"/>
    <w:rsid w:val="002D08CB"/>
    <w:rsid w:val="002D095B"/>
    <w:rsid w:val="002D42B5"/>
    <w:rsid w:val="002D432F"/>
    <w:rsid w:val="002D4F1A"/>
    <w:rsid w:val="002D6EC6"/>
    <w:rsid w:val="002D79AC"/>
    <w:rsid w:val="002D7A2A"/>
    <w:rsid w:val="002E039D"/>
    <w:rsid w:val="002E1202"/>
    <w:rsid w:val="002E2308"/>
    <w:rsid w:val="002E3921"/>
    <w:rsid w:val="002E4D5A"/>
    <w:rsid w:val="002E6326"/>
    <w:rsid w:val="002E65B5"/>
    <w:rsid w:val="002E7621"/>
    <w:rsid w:val="002F1EB9"/>
    <w:rsid w:val="002F30E0"/>
    <w:rsid w:val="002F35E4"/>
    <w:rsid w:val="002F3730"/>
    <w:rsid w:val="002F38E1"/>
    <w:rsid w:val="002F4377"/>
    <w:rsid w:val="002F6688"/>
    <w:rsid w:val="002F6C68"/>
    <w:rsid w:val="002F7AF6"/>
    <w:rsid w:val="002F7E83"/>
    <w:rsid w:val="00300E63"/>
    <w:rsid w:val="00302F5F"/>
    <w:rsid w:val="0030441D"/>
    <w:rsid w:val="0030557C"/>
    <w:rsid w:val="00306063"/>
    <w:rsid w:val="0030637C"/>
    <w:rsid w:val="00311F81"/>
    <w:rsid w:val="0031315D"/>
    <w:rsid w:val="00313B85"/>
    <w:rsid w:val="00315D82"/>
    <w:rsid w:val="00317988"/>
    <w:rsid w:val="003207AE"/>
    <w:rsid w:val="003220DE"/>
    <w:rsid w:val="003221B4"/>
    <w:rsid w:val="0032258D"/>
    <w:rsid w:val="00322E62"/>
    <w:rsid w:val="003239F4"/>
    <w:rsid w:val="00324D13"/>
    <w:rsid w:val="00324D2A"/>
    <w:rsid w:val="00324EDD"/>
    <w:rsid w:val="00325775"/>
    <w:rsid w:val="00330136"/>
    <w:rsid w:val="00330234"/>
    <w:rsid w:val="003331E4"/>
    <w:rsid w:val="00334368"/>
    <w:rsid w:val="00336C64"/>
    <w:rsid w:val="00337162"/>
    <w:rsid w:val="0034194F"/>
    <w:rsid w:val="00344605"/>
    <w:rsid w:val="00345F75"/>
    <w:rsid w:val="003474AA"/>
    <w:rsid w:val="00350D1D"/>
    <w:rsid w:val="00352C83"/>
    <w:rsid w:val="00354858"/>
    <w:rsid w:val="00360208"/>
    <w:rsid w:val="00360D6F"/>
    <w:rsid w:val="003611A3"/>
    <w:rsid w:val="003615D2"/>
    <w:rsid w:val="0036167B"/>
    <w:rsid w:val="003624F3"/>
    <w:rsid w:val="00362CC7"/>
    <w:rsid w:val="0036429C"/>
    <w:rsid w:val="00364A53"/>
    <w:rsid w:val="00364ECA"/>
    <w:rsid w:val="003654CB"/>
    <w:rsid w:val="003659D8"/>
    <w:rsid w:val="00365AA9"/>
    <w:rsid w:val="00365F86"/>
    <w:rsid w:val="00365F87"/>
    <w:rsid w:val="0036651D"/>
    <w:rsid w:val="00366E89"/>
    <w:rsid w:val="0036725A"/>
    <w:rsid w:val="00367ABB"/>
    <w:rsid w:val="003705F4"/>
    <w:rsid w:val="00370D58"/>
    <w:rsid w:val="00371316"/>
    <w:rsid w:val="00375AB1"/>
    <w:rsid w:val="00376713"/>
    <w:rsid w:val="00377080"/>
    <w:rsid w:val="003774CD"/>
    <w:rsid w:val="00381815"/>
    <w:rsid w:val="003819AF"/>
    <w:rsid w:val="00381A56"/>
    <w:rsid w:val="003820E9"/>
    <w:rsid w:val="00382DE7"/>
    <w:rsid w:val="00383590"/>
    <w:rsid w:val="0038400B"/>
    <w:rsid w:val="00384FFC"/>
    <w:rsid w:val="003869FF"/>
    <w:rsid w:val="003872FC"/>
    <w:rsid w:val="00387ADC"/>
    <w:rsid w:val="00390020"/>
    <w:rsid w:val="003903D6"/>
    <w:rsid w:val="00390EE6"/>
    <w:rsid w:val="0039118F"/>
    <w:rsid w:val="003918A5"/>
    <w:rsid w:val="00392AD7"/>
    <w:rsid w:val="00392C06"/>
    <w:rsid w:val="003938D9"/>
    <w:rsid w:val="00394376"/>
    <w:rsid w:val="003943FF"/>
    <w:rsid w:val="00394558"/>
    <w:rsid w:val="00394591"/>
    <w:rsid w:val="00395700"/>
    <w:rsid w:val="00396DF6"/>
    <w:rsid w:val="003974EB"/>
    <w:rsid w:val="00397CC5"/>
    <w:rsid w:val="003A012D"/>
    <w:rsid w:val="003A1582"/>
    <w:rsid w:val="003A244A"/>
    <w:rsid w:val="003A2B34"/>
    <w:rsid w:val="003A32BA"/>
    <w:rsid w:val="003A4077"/>
    <w:rsid w:val="003A4163"/>
    <w:rsid w:val="003A4C4A"/>
    <w:rsid w:val="003A541B"/>
    <w:rsid w:val="003B09AD"/>
    <w:rsid w:val="003B0ACD"/>
    <w:rsid w:val="003B136A"/>
    <w:rsid w:val="003B1F18"/>
    <w:rsid w:val="003B5BF0"/>
    <w:rsid w:val="003B5FE2"/>
    <w:rsid w:val="003B60BF"/>
    <w:rsid w:val="003B6BE3"/>
    <w:rsid w:val="003C010C"/>
    <w:rsid w:val="003C0A6C"/>
    <w:rsid w:val="003C1278"/>
    <w:rsid w:val="003C14F8"/>
    <w:rsid w:val="003C46D4"/>
    <w:rsid w:val="003C5A43"/>
    <w:rsid w:val="003C5AF1"/>
    <w:rsid w:val="003D0519"/>
    <w:rsid w:val="003D05EF"/>
    <w:rsid w:val="003D0FF6"/>
    <w:rsid w:val="003D23E9"/>
    <w:rsid w:val="003D262C"/>
    <w:rsid w:val="003D6698"/>
    <w:rsid w:val="003D6D61"/>
    <w:rsid w:val="003D79C6"/>
    <w:rsid w:val="003E091D"/>
    <w:rsid w:val="003E1C53"/>
    <w:rsid w:val="003E286E"/>
    <w:rsid w:val="003E2A69"/>
    <w:rsid w:val="003E2AF6"/>
    <w:rsid w:val="003E2D49"/>
    <w:rsid w:val="003E2FD4"/>
    <w:rsid w:val="003E4441"/>
    <w:rsid w:val="003E48F7"/>
    <w:rsid w:val="003E49F6"/>
    <w:rsid w:val="003E4D1B"/>
    <w:rsid w:val="003E660F"/>
    <w:rsid w:val="003E6698"/>
    <w:rsid w:val="003E79E7"/>
    <w:rsid w:val="003E7EEE"/>
    <w:rsid w:val="003F0841"/>
    <w:rsid w:val="003F22A0"/>
    <w:rsid w:val="003F23D3"/>
    <w:rsid w:val="003F2876"/>
    <w:rsid w:val="003F2E91"/>
    <w:rsid w:val="003F35AE"/>
    <w:rsid w:val="003F3F08"/>
    <w:rsid w:val="003F49F1"/>
    <w:rsid w:val="003F6272"/>
    <w:rsid w:val="00400E72"/>
    <w:rsid w:val="00401400"/>
    <w:rsid w:val="00403223"/>
    <w:rsid w:val="00403983"/>
    <w:rsid w:val="00404869"/>
    <w:rsid w:val="00405884"/>
    <w:rsid w:val="00406C04"/>
    <w:rsid w:val="00406C70"/>
    <w:rsid w:val="00407D39"/>
    <w:rsid w:val="0041477A"/>
    <w:rsid w:val="004167A3"/>
    <w:rsid w:val="0041708F"/>
    <w:rsid w:val="0041755B"/>
    <w:rsid w:val="004222B9"/>
    <w:rsid w:val="004227DB"/>
    <w:rsid w:val="00424171"/>
    <w:rsid w:val="004244AB"/>
    <w:rsid w:val="00430ABF"/>
    <w:rsid w:val="00431C7C"/>
    <w:rsid w:val="00432DAA"/>
    <w:rsid w:val="00434305"/>
    <w:rsid w:val="00434752"/>
    <w:rsid w:val="00435DF7"/>
    <w:rsid w:val="004365B3"/>
    <w:rsid w:val="00436BF7"/>
    <w:rsid w:val="0044083F"/>
    <w:rsid w:val="00441AE7"/>
    <w:rsid w:val="004452D6"/>
    <w:rsid w:val="00445574"/>
    <w:rsid w:val="00446798"/>
    <w:rsid w:val="004467FB"/>
    <w:rsid w:val="004468ED"/>
    <w:rsid w:val="00447F22"/>
    <w:rsid w:val="00452B0E"/>
    <w:rsid w:val="00452D6B"/>
    <w:rsid w:val="0045379B"/>
    <w:rsid w:val="00454484"/>
    <w:rsid w:val="00454903"/>
    <w:rsid w:val="00454BD6"/>
    <w:rsid w:val="0045517B"/>
    <w:rsid w:val="0045573B"/>
    <w:rsid w:val="0045677A"/>
    <w:rsid w:val="00456B5A"/>
    <w:rsid w:val="00461ABE"/>
    <w:rsid w:val="00462434"/>
    <w:rsid w:val="00463B77"/>
    <w:rsid w:val="00463C7B"/>
    <w:rsid w:val="004644A6"/>
    <w:rsid w:val="004659BD"/>
    <w:rsid w:val="00466D7C"/>
    <w:rsid w:val="00467FB3"/>
    <w:rsid w:val="00470662"/>
    <w:rsid w:val="00470775"/>
    <w:rsid w:val="004714A1"/>
    <w:rsid w:val="004746B1"/>
    <w:rsid w:val="0047583F"/>
    <w:rsid w:val="00475DE8"/>
    <w:rsid w:val="00477447"/>
    <w:rsid w:val="00477884"/>
    <w:rsid w:val="0048149F"/>
    <w:rsid w:val="00481C44"/>
    <w:rsid w:val="00482178"/>
    <w:rsid w:val="00484936"/>
    <w:rsid w:val="00485C89"/>
    <w:rsid w:val="00486BE3"/>
    <w:rsid w:val="00487943"/>
    <w:rsid w:val="0049035F"/>
    <w:rsid w:val="004905E4"/>
    <w:rsid w:val="00490A89"/>
    <w:rsid w:val="00490AB4"/>
    <w:rsid w:val="00490EE0"/>
    <w:rsid w:val="00492234"/>
    <w:rsid w:val="004922B3"/>
    <w:rsid w:val="00492F02"/>
    <w:rsid w:val="00493050"/>
    <w:rsid w:val="004930C3"/>
    <w:rsid w:val="004939AE"/>
    <w:rsid w:val="00494060"/>
    <w:rsid w:val="00495840"/>
    <w:rsid w:val="00496B2E"/>
    <w:rsid w:val="004A0502"/>
    <w:rsid w:val="004A12DF"/>
    <w:rsid w:val="004A17A8"/>
    <w:rsid w:val="004A17E6"/>
    <w:rsid w:val="004A1BA8"/>
    <w:rsid w:val="004A4B57"/>
    <w:rsid w:val="004A63FA"/>
    <w:rsid w:val="004B017A"/>
    <w:rsid w:val="004B0272"/>
    <w:rsid w:val="004B21FB"/>
    <w:rsid w:val="004B2701"/>
    <w:rsid w:val="004B2E1B"/>
    <w:rsid w:val="004B3AA8"/>
    <w:rsid w:val="004B3E93"/>
    <w:rsid w:val="004B4DE0"/>
    <w:rsid w:val="004B5B96"/>
    <w:rsid w:val="004B5F95"/>
    <w:rsid w:val="004B631B"/>
    <w:rsid w:val="004B6BA1"/>
    <w:rsid w:val="004C1FBC"/>
    <w:rsid w:val="004C3F1D"/>
    <w:rsid w:val="004C455B"/>
    <w:rsid w:val="004C458D"/>
    <w:rsid w:val="004C5943"/>
    <w:rsid w:val="004C7556"/>
    <w:rsid w:val="004C7E8B"/>
    <w:rsid w:val="004C7E9D"/>
    <w:rsid w:val="004C7F67"/>
    <w:rsid w:val="004D076D"/>
    <w:rsid w:val="004D0EF1"/>
    <w:rsid w:val="004D2222"/>
    <w:rsid w:val="004D2253"/>
    <w:rsid w:val="004D2D49"/>
    <w:rsid w:val="004D4406"/>
    <w:rsid w:val="004D4AAA"/>
    <w:rsid w:val="004D7C42"/>
    <w:rsid w:val="004E0465"/>
    <w:rsid w:val="004E127B"/>
    <w:rsid w:val="004E1C0A"/>
    <w:rsid w:val="004E280C"/>
    <w:rsid w:val="004E2B06"/>
    <w:rsid w:val="004E2FD0"/>
    <w:rsid w:val="004E30C5"/>
    <w:rsid w:val="004E3CA9"/>
    <w:rsid w:val="004E4AA5"/>
    <w:rsid w:val="004E4AEE"/>
    <w:rsid w:val="004E590A"/>
    <w:rsid w:val="004E59E3"/>
    <w:rsid w:val="004E67C0"/>
    <w:rsid w:val="004E7731"/>
    <w:rsid w:val="004F0209"/>
    <w:rsid w:val="004F0E50"/>
    <w:rsid w:val="004F1491"/>
    <w:rsid w:val="004F2051"/>
    <w:rsid w:val="004F391A"/>
    <w:rsid w:val="004F3CFB"/>
    <w:rsid w:val="004F40A3"/>
    <w:rsid w:val="004F4D4C"/>
    <w:rsid w:val="004F6456"/>
    <w:rsid w:val="004F696E"/>
    <w:rsid w:val="004F6C71"/>
    <w:rsid w:val="00501139"/>
    <w:rsid w:val="005023CC"/>
    <w:rsid w:val="00502E1F"/>
    <w:rsid w:val="0050363E"/>
    <w:rsid w:val="005039BC"/>
    <w:rsid w:val="005043BB"/>
    <w:rsid w:val="00504A3D"/>
    <w:rsid w:val="00505709"/>
    <w:rsid w:val="00505767"/>
    <w:rsid w:val="00505BFB"/>
    <w:rsid w:val="005073F0"/>
    <w:rsid w:val="00510A7B"/>
    <w:rsid w:val="00512F6E"/>
    <w:rsid w:val="00513038"/>
    <w:rsid w:val="00514086"/>
    <w:rsid w:val="00514174"/>
    <w:rsid w:val="00515D9E"/>
    <w:rsid w:val="00516088"/>
    <w:rsid w:val="00516B0B"/>
    <w:rsid w:val="00520EB2"/>
    <w:rsid w:val="005220EC"/>
    <w:rsid w:val="00522DE0"/>
    <w:rsid w:val="00523C0B"/>
    <w:rsid w:val="00523F95"/>
    <w:rsid w:val="00524D65"/>
    <w:rsid w:val="00525B16"/>
    <w:rsid w:val="005323CB"/>
    <w:rsid w:val="00533827"/>
    <w:rsid w:val="00533D04"/>
    <w:rsid w:val="00534804"/>
    <w:rsid w:val="00534BDF"/>
    <w:rsid w:val="005354EA"/>
    <w:rsid w:val="0053585F"/>
    <w:rsid w:val="00535ADD"/>
    <w:rsid w:val="00535EC4"/>
    <w:rsid w:val="00535ED9"/>
    <w:rsid w:val="0053692B"/>
    <w:rsid w:val="00536D21"/>
    <w:rsid w:val="00540035"/>
    <w:rsid w:val="00541853"/>
    <w:rsid w:val="00541C35"/>
    <w:rsid w:val="00543BDA"/>
    <w:rsid w:val="005441CC"/>
    <w:rsid w:val="005479DA"/>
    <w:rsid w:val="00547BCC"/>
    <w:rsid w:val="0055013B"/>
    <w:rsid w:val="005511F7"/>
    <w:rsid w:val="00551F6F"/>
    <w:rsid w:val="0055214B"/>
    <w:rsid w:val="00552AC6"/>
    <w:rsid w:val="00555044"/>
    <w:rsid w:val="00557768"/>
    <w:rsid w:val="00557D95"/>
    <w:rsid w:val="00560BC3"/>
    <w:rsid w:val="00561475"/>
    <w:rsid w:val="00562889"/>
    <w:rsid w:val="0056480F"/>
    <w:rsid w:val="0056487B"/>
    <w:rsid w:val="00564FB9"/>
    <w:rsid w:val="00565791"/>
    <w:rsid w:val="005670E2"/>
    <w:rsid w:val="00567F74"/>
    <w:rsid w:val="00570750"/>
    <w:rsid w:val="00572794"/>
    <w:rsid w:val="00572D89"/>
    <w:rsid w:val="0057307B"/>
    <w:rsid w:val="00573D9E"/>
    <w:rsid w:val="005742A0"/>
    <w:rsid w:val="00575733"/>
    <w:rsid w:val="00576209"/>
    <w:rsid w:val="005763C2"/>
    <w:rsid w:val="0057722E"/>
    <w:rsid w:val="00577BD0"/>
    <w:rsid w:val="005801E3"/>
    <w:rsid w:val="00581802"/>
    <w:rsid w:val="00582E01"/>
    <w:rsid w:val="005836A8"/>
    <w:rsid w:val="0058409C"/>
    <w:rsid w:val="00584262"/>
    <w:rsid w:val="00584897"/>
    <w:rsid w:val="00584CFF"/>
    <w:rsid w:val="00586630"/>
    <w:rsid w:val="00587ADD"/>
    <w:rsid w:val="005909B5"/>
    <w:rsid w:val="0059170D"/>
    <w:rsid w:val="00591C0C"/>
    <w:rsid w:val="00591E27"/>
    <w:rsid w:val="00596160"/>
    <w:rsid w:val="005966E2"/>
    <w:rsid w:val="00597007"/>
    <w:rsid w:val="005A0966"/>
    <w:rsid w:val="005A11B7"/>
    <w:rsid w:val="005A2281"/>
    <w:rsid w:val="005A260B"/>
    <w:rsid w:val="005A4A1B"/>
    <w:rsid w:val="005A57AB"/>
    <w:rsid w:val="005A6906"/>
    <w:rsid w:val="005A7830"/>
    <w:rsid w:val="005A7FCE"/>
    <w:rsid w:val="005B0F3F"/>
    <w:rsid w:val="005B191F"/>
    <w:rsid w:val="005B2050"/>
    <w:rsid w:val="005B2914"/>
    <w:rsid w:val="005B4903"/>
    <w:rsid w:val="005B51CE"/>
    <w:rsid w:val="005B5885"/>
    <w:rsid w:val="005B5957"/>
    <w:rsid w:val="005B5CD7"/>
    <w:rsid w:val="005B6CF6"/>
    <w:rsid w:val="005B7422"/>
    <w:rsid w:val="005B78BB"/>
    <w:rsid w:val="005C29B8"/>
    <w:rsid w:val="005C5903"/>
    <w:rsid w:val="005C5F21"/>
    <w:rsid w:val="005C694D"/>
    <w:rsid w:val="005C7156"/>
    <w:rsid w:val="005C7774"/>
    <w:rsid w:val="005D0C75"/>
    <w:rsid w:val="005D102A"/>
    <w:rsid w:val="005D32BE"/>
    <w:rsid w:val="005D4171"/>
    <w:rsid w:val="005D6A95"/>
    <w:rsid w:val="005D6B2C"/>
    <w:rsid w:val="005D6D9C"/>
    <w:rsid w:val="005D7F0F"/>
    <w:rsid w:val="005E0DC5"/>
    <w:rsid w:val="005E2335"/>
    <w:rsid w:val="005E2DF8"/>
    <w:rsid w:val="005E2E8A"/>
    <w:rsid w:val="005E34CA"/>
    <w:rsid w:val="005E3C18"/>
    <w:rsid w:val="005E518F"/>
    <w:rsid w:val="005E6812"/>
    <w:rsid w:val="005E7881"/>
    <w:rsid w:val="005E78E0"/>
    <w:rsid w:val="005F0D9C"/>
    <w:rsid w:val="005F284E"/>
    <w:rsid w:val="005F4706"/>
    <w:rsid w:val="005F4712"/>
    <w:rsid w:val="005F4D62"/>
    <w:rsid w:val="005F4EF1"/>
    <w:rsid w:val="005F525E"/>
    <w:rsid w:val="005F74BA"/>
    <w:rsid w:val="0060048E"/>
    <w:rsid w:val="006015CE"/>
    <w:rsid w:val="00603587"/>
    <w:rsid w:val="00603F35"/>
    <w:rsid w:val="006043F2"/>
    <w:rsid w:val="00604784"/>
    <w:rsid w:val="00606419"/>
    <w:rsid w:val="00607D29"/>
    <w:rsid w:val="006111E1"/>
    <w:rsid w:val="00612952"/>
    <w:rsid w:val="00614CC1"/>
    <w:rsid w:val="0061578A"/>
    <w:rsid w:val="00615A9D"/>
    <w:rsid w:val="00617387"/>
    <w:rsid w:val="0062047B"/>
    <w:rsid w:val="006205D6"/>
    <w:rsid w:val="00620DF2"/>
    <w:rsid w:val="0062336A"/>
    <w:rsid w:val="006249A4"/>
    <w:rsid w:val="006252D8"/>
    <w:rsid w:val="006255B2"/>
    <w:rsid w:val="006259BC"/>
    <w:rsid w:val="0062636B"/>
    <w:rsid w:val="00632182"/>
    <w:rsid w:val="00632AE0"/>
    <w:rsid w:val="00633C17"/>
    <w:rsid w:val="00634021"/>
    <w:rsid w:val="00634D9E"/>
    <w:rsid w:val="006358F8"/>
    <w:rsid w:val="006363BB"/>
    <w:rsid w:val="00636E3E"/>
    <w:rsid w:val="006379F7"/>
    <w:rsid w:val="00637E4D"/>
    <w:rsid w:val="00640271"/>
    <w:rsid w:val="00640620"/>
    <w:rsid w:val="00641A1F"/>
    <w:rsid w:val="0064346A"/>
    <w:rsid w:val="00645904"/>
    <w:rsid w:val="00645CD7"/>
    <w:rsid w:val="0064614D"/>
    <w:rsid w:val="00651ACB"/>
    <w:rsid w:val="00651C47"/>
    <w:rsid w:val="006529C6"/>
    <w:rsid w:val="00652AB2"/>
    <w:rsid w:val="00653FED"/>
    <w:rsid w:val="00654EC0"/>
    <w:rsid w:val="0065525B"/>
    <w:rsid w:val="00655517"/>
    <w:rsid w:val="00655D4F"/>
    <w:rsid w:val="00656B91"/>
    <w:rsid w:val="00656D29"/>
    <w:rsid w:val="006610D2"/>
    <w:rsid w:val="006640E5"/>
    <w:rsid w:val="006646F1"/>
    <w:rsid w:val="00664929"/>
    <w:rsid w:val="00664F62"/>
    <w:rsid w:val="006655E1"/>
    <w:rsid w:val="006661E7"/>
    <w:rsid w:val="006664DE"/>
    <w:rsid w:val="00666FAC"/>
    <w:rsid w:val="00670001"/>
    <w:rsid w:val="00671975"/>
    <w:rsid w:val="00671D74"/>
    <w:rsid w:val="00672060"/>
    <w:rsid w:val="00672BFD"/>
    <w:rsid w:val="00673ED7"/>
    <w:rsid w:val="0067557E"/>
    <w:rsid w:val="006770F4"/>
    <w:rsid w:val="00677A84"/>
    <w:rsid w:val="0068026D"/>
    <w:rsid w:val="00680A27"/>
    <w:rsid w:val="006816A4"/>
    <w:rsid w:val="006819B8"/>
    <w:rsid w:val="0068262B"/>
    <w:rsid w:val="006839F1"/>
    <w:rsid w:val="00683CD1"/>
    <w:rsid w:val="006840A6"/>
    <w:rsid w:val="006850CD"/>
    <w:rsid w:val="00685628"/>
    <w:rsid w:val="00685AAB"/>
    <w:rsid w:val="00685F9C"/>
    <w:rsid w:val="00687421"/>
    <w:rsid w:val="00690382"/>
    <w:rsid w:val="0069068B"/>
    <w:rsid w:val="006922D5"/>
    <w:rsid w:val="00692D6D"/>
    <w:rsid w:val="00695D22"/>
    <w:rsid w:val="006962B3"/>
    <w:rsid w:val="00696D25"/>
    <w:rsid w:val="006A07AA"/>
    <w:rsid w:val="006A0829"/>
    <w:rsid w:val="006A1030"/>
    <w:rsid w:val="006A20CD"/>
    <w:rsid w:val="006A25E5"/>
    <w:rsid w:val="006A2AE8"/>
    <w:rsid w:val="006A2B46"/>
    <w:rsid w:val="006A336D"/>
    <w:rsid w:val="006A37B9"/>
    <w:rsid w:val="006A4873"/>
    <w:rsid w:val="006B08EC"/>
    <w:rsid w:val="006B2672"/>
    <w:rsid w:val="006B3B75"/>
    <w:rsid w:val="006B54BF"/>
    <w:rsid w:val="006B5F44"/>
    <w:rsid w:val="006B5F90"/>
    <w:rsid w:val="006B62E4"/>
    <w:rsid w:val="006B70DD"/>
    <w:rsid w:val="006B71CB"/>
    <w:rsid w:val="006B7B19"/>
    <w:rsid w:val="006C0093"/>
    <w:rsid w:val="006C04A3"/>
    <w:rsid w:val="006C1BBA"/>
    <w:rsid w:val="006C2079"/>
    <w:rsid w:val="006C326A"/>
    <w:rsid w:val="006C4729"/>
    <w:rsid w:val="006C5A62"/>
    <w:rsid w:val="006C5D68"/>
    <w:rsid w:val="006C5F86"/>
    <w:rsid w:val="006C66CE"/>
    <w:rsid w:val="006C6976"/>
    <w:rsid w:val="006C6DD0"/>
    <w:rsid w:val="006C71E1"/>
    <w:rsid w:val="006D03E2"/>
    <w:rsid w:val="006D04EA"/>
    <w:rsid w:val="006D0AB7"/>
    <w:rsid w:val="006D0E35"/>
    <w:rsid w:val="006D16C4"/>
    <w:rsid w:val="006D19DC"/>
    <w:rsid w:val="006D1A2F"/>
    <w:rsid w:val="006D2320"/>
    <w:rsid w:val="006D3B4F"/>
    <w:rsid w:val="006D3E96"/>
    <w:rsid w:val="006D4515"/>
    <w:rsid w:val="006D4BB1"/>
    <w:rsid w:val="006D4E00"/>
    <w:rsid w:val="006D6593"/>
    <w:rsid w:val="006D666A"/>
    <w:rsid w:val="006D6C39"/>
    <w:rsid w:val="006E08AB"/>
    <w:rsid w:val="006E0CB3"/>
    <w:rsid w:val="006E1035"/>
    <w:rsid w:val="006E23EA"/>
    <w:rsid w:val="006E5941"/>
    <w:rsid w:val="006E6839"/>
    <w:rsid w:val="006E69B8"/>
    <w:rsid w:val="006F03A8"/>
    <w:rsid w:val="006F14F9"/>
    <w:rsid w:val="006F2842"/>
    <w:rsid w:val="006F2ACA"/>
    <w:rsid w:val="006F2ADC"/>
    <w:rsid w:val="006F2BFE"/>
    <w:rsid w:val="006F31E9"/>
    <w:rsid w:val="006F6284"/>
    <w:rsid w:val="006F667B"/>
    <w:rsid w:val="006F7FA9"/>
    <w:rsid w:val="007002C5"/>
    <w:rsid w:val="00702497"/>
    <w:rsid w:val="00703F10"/>
    <w:rsid w:val="007041D9"/>
    <w:rsid w:val="00704387"/>
    <w:rsid w:val="00707669"/>
    <w:rsid w:val="00711CBA"/>
    <w:rsid w:val="00711FB5"/>
    <w:rsid w:val="007123AF"/>
    <w:rsid w:val="00712A01"/>
    <w:rsid w:val="00714F58"/>
    <w:rsid w:val="00716949"/>
    <w:rsid w:val="007215F8"/>
    <w:rsid w:val="00722FBF"/>
    <w:rsid w:val="00722FC2"/>
    <w:rsid w:val="007231B7"/>
    <w:rsid w:val="007232B1"/>
    <w:rsid w:val="0072342B"/>
    <w:rsid w:val="00723439"/>
    <w:rsid w:val="00724879"/>
    <w:rsid w:val="00724E1B"/>
    <w:rsid w:val="00725949"/>
    <w:rsid w:val="007261B9"/>
    <w:rsid w:val="00727FA2"/>
    <w:rsid w:val="007318E7"/>
    <w:rsid w:val="007320CF"/>
    <w:rsid w:val="007322D9"/>
    <w:rsid w:val="00732BC0"/>
    <w:rsid w:val="00734776"/>
    <w:rsid w:val="0073625D"/>
    <w:rsid w:val="0073720F"/>
    <w:rsid w:val="00737796"/>
    <w:rsid w:val="0074165C"/>
    <w:rsid w:val="00742502"/>
    <w:rsid w:val="00742C35"/>
    <w:rsid w:val="00742E94"/>
    <w:rsid w:val="007432CA"/>
    <w:rsid w:val="007439EB"/>
    <w:rsid w:val="00743CB4"/>
    <w:rsid w:val="00743F0A"/>
    <w:rsid w:val="007444E8"/>
    <w:rsid w:val="00744FBD"/>
    <w:rsid w:val="0074548E"/>
    <w:rsid w:val="00745773"/>
    <w:rsid w:val="00746800"/>
    <w:rsid w:val="007469A9"/>
    <w:rsid w:val="007471F7"/>
    <w:rsid w:val="007501A8"/>
    <w:rsid w:val="00750D61"/>
    <w:rsid w:val="00750EE1"/>
    <w:rsid w:val="00752B4D"/>
    <w:rsid w:val="0075379B"/>
    <w:rsid w:val="00753A69"/>
    <w:rsid w:val="00755402"/>
    <w:rsid w:val="00756B26"/>
    <w:rsid w:val="00756EDF"/>
    <w:rsid w:val="007600E3"/>
    <w:rsid w:val="0076072C"/>
    <w:rsid w:val="007627EF"/>
    <w:rsid w:val="0076599C"/>
    <w:rsid w:val="00765C43"/>
    <w:rsid w:val="00765EFB"/>
    <w:rsid w:val="007671CA"/>
    <w:rsid w:val="00767C61"/>
    <w:rsid w:val="0077008A"/>
    <w:rsid w:val="007706E3"/>
    <w:rsid w:val="0077097D"/>
    <w:rsid w:val="00773C1F"/>
    <w:rsid w:val="00774DA4"/>
    <w:rsid w:val="007753E3"/>
    <w:rsid w:val="00775B44"/>
    <w:rsid w:val="007764A6"/>
    <w:rsid w:val="00776599"/>
    <w:rsid w:val="0078114B"/>
    <w:rsid w:val="00781DD2"/>
    <w:rsid w:val="00783ECF"/>
    <w:rsid w:val="0078413A"/>
    <w:rsid w:val="00786F7F"/>
    <w:rsid w:val="00790274"/>
    <w:rsid w:val="007904A3"/>
    <w:rsid w:val="007906F6"/>
    <w:rsid w:val="007907AB"/>
    <w:rsid w:val="00792A9B"/>
    <w:rsid w:val="00792DBE"/>
    <w:rsid w:val="0079449D"/>
    <w:rsid w:val="007959C1"/>
    <w:rsid w:val="007959E8"/>
    <w:rsid w:val="00795E9C"/>
    <w:rsid w:val="007977E0"/>
    <w:rsid w:val="007A03B5"/>
    <w:rsid w:val="007A0521"/>
    <w:rsid w:val="007A055D"/>
    <w:rsid w:val="007A2E12"/>
    <w:rsid w:val="007A3178"/>
    <w:rsid w:val="007A3475"/>
    <w:rsid w:val="007A41C8"/>
    <w:rsid w:val="007A54CE"/>
    <w:rsid w:val="007A6DFA"/>
    <w:rsid w:val="007A6FD9"/>
    <w:rsid w:val="007A79E1"/>
    <w:rsid w:val="007A7FFA"/>
    <w:rsid w:val="007B0202"/>
    <w:rsid w:val="007B04EB"/>
    <w:rsid w:val="007B0D4F"/>
    <w:rsid w:val="007B4237"/>
    <w:rsid w:val="007B5A3D"/>
    <w:rsid w:val="007B5B95"/>
    <w:rsid w:val="007B67F8"/>
    <w:rsid w:val="007B68EA"/>
    <w:rsid w:val="007B7453"/>
    <w:rsid w:val="007C1022"/>
    <w:rsid w:val="007C1E8B"/>
    <w:rsid w:val="007C2D89"/>
    <w:rsid w:val="007C3A67"/>
    <w:rsid w:val="007C4593"/>
    <w:rsid w:val="007C5309"/>
    <w:rsid w:val="007C6069"/>
    <w:rsid w:val="007C754A"/>
    <w:rsid w:val="007C7FE7"/>
    <w:rsid w:val="007D06C4"/>
    <w:rsid w:val="007D12E9"/>
    <w:rsid w:val="007D1352"/>
    <w:rsid w:val="007D145A"/>
    <w:rsid w:val="007D2508"/>
    <w:rsid w:val="007D2873"/>
    <w:rsid w:val="007D346A"/>
    <w:rsid w:val="007D407E"/>
    <w:rsid w:val="007D533D"/>
    <w:rsid w:val="007D6518"/>
    <w:rsid w:val="007D6ED0"/>
    <w:rsid w:val="007D76BD"/>
    <w:rsid w:val="007D77A3"/>
    <w:rsid w:val="007E0BF1"/>
    <w:rsid w:val="007E1915"/>
    <w:rsid w:val="007E313E"/>
    <w:rsid w:val="007E4622"/>
    <w:rsid w:val="007E49FC"/>
    <w:rsid w:val="007E669B"/>
    <w:rsid w:val="007E6893"/>
    <w:rsid w:val="007F0ED8"/>
    <w:rsid w:val="007F0F63"/>
    <w:rsid w:val="007F75CE"/>
    <w:rsid w:val="008013A4"/>
    <w:rsid w:val="008027CE"/>
    <w:rsid w:val="00802F42"/>
    <w:rsid w:val="00804383"/>
    <w:rsid w:val="00804BB7"/>
    <w:rsid w:val="00804D41"/>
    <w:rsid w:val="00805A9A"/>
    <w:rsid w:val="00806DD8"/>
    <w:rsid w:val="00810257"/>
    <w:rsid w:val="008104F5"/>
    <w:rsid w:val="00811072"/>
    <w:rsid w:val="00811369"/>
    <w:rsid w:val="00815419"/>
    <w:rsid w:val="0081602C"/>
    <w:rsid w:val="008163C8"/>
    <w:rsid w:val="008164A1"/>
    <w:rsid w:val="0081670B"/>
    <w:rsid w:val="00817325"/>
    <w:rsid w:val="00817D20"/>
    <w:rsid w:val="00817DE9"/>
    <w:rsid w:val="00817F04"/>
    <w:rsid w:val="00820203"/>
    <w:rsid w:val="008209E6"/>
    <w:rsid w:val="00821718"/>
    <w:rsid w:val="00823303"/>
    <w:rsid w:val="008233B2"/>
    <w:rsid w:val="00823A9F"/>
    <w:rsid w:val="00823C85"/>
    <w:rsid w:val="00825138"/>
    <w:rsid w:val="008269DD"/>
    <w:rsid w:val="00830621"/>
    <w:rsid w:val="00831513"/>
    <w:rsid w:val="0083348C"/>
    <w:rsid w:val="00833D71"/>
    <w:rsid w:val="00835058"/>
    <w:rsid w:val="0083670D"/>
    <w:rsid w:val="00836FA5"/>
    <w:rsid w:val="00837328"/>
    <w:rsid w:val="008373D3"/>
    <w:rsid w:val="00840617"/>
    <w:rsid w:val="00840D40"/>
    <w:rsid w:val="00840F84"/>
    <w:rsid w:val="0084114F"/>
    <w:rsid w:val="00841568"/>
    <w:rsid w:val="00842A47"/>
    <w:rsid w:val="00842FDD"/>
    <w:rsid w:val="00843C13"/>
    <w:rsid w:val="008454F8"/>
    <w:rsid w:val="0085173A"/>
    <w:rsid w:val="008524D3"/>
    <w:rsid w:val="00852B02"/>
    <w:rsid w:val="00853A45"/>
    <w:rsid w:val="008549CD"/>
    <w:rsid w:val="00855B55"/>
    <w:rsid w:val="00855C74"/>
    <w:rsid w:val="00856316"/>
    <w:rsid w:val="00856B0D"/>
    <w:rsid w:val="008603CE"/>
    <w:rsid w:val="00860B5D"/>
    <w:rsid w:val="008620FC"/>
    <w:rsid w:val="008627A5"/>
    <w:rsid w:val="0086296C"/>
    <w:rsid w:val="00862F70"/>
    <w:rsid w:val="00863E05"/>
    <w:rsid w:val="008649D1"/>
    <w:rsid w:val="00865ACA"/>
    <w:rsid w:val="00865D28"/>
    <w:rsid w:val="00865F85"/>
    <w:rsid w:val="00867C10"/>
    <w:rsid w:val="00867F49"/>
    <w:rsid w:val="00870439"/>
    <w:rsid w:val="00870DA1"/>
    <w:rsid w:val="00870F76"/>
    <w:rsid w:val="00872DC6"/>
    <w:rsid w:val="00873780"/>
    <w:rsid w:val="00875050"/>
    <w:rsid w:val="00877CD2"/>
    <w:rsid w:val="00880068"/>
    <w:rsid w:val="008803BB"/>
    <w:rsid w:val="00881911"/>
    <w:rsid w:val="0088357F"/>
    <w:rsid w:val="00883D9C"/>
    <w:rsid w:val="00883F93"/>
    <w:rsid w:val="00884DB3"/>
    <w:rsid w:val="008852ED"/>
    <w:rsid w:val="008853FD"/>
    <w:rsid w:val="00885A9D"/>
    <w:rsid w:val="008864F6"/>
    <w:rsid w:val="0089049D"/>
    <w:rsid w:val="008928C9"/>
    <w:rsid w:val="008930CB"/>
    <w:rsid w:val="008938DC"/>
    <w:rsid w:val="00893FD1"/>
    <w:rsid w:val="00894836"/>
    <w:rsid w:val="00895172"/>
    <w:rsid w:val="008955B9"/>
    <w:rsid w:val="00895680"/>
    <w:rsid w:val="00896DFF"/>
    <w:rsid w:val="0089762C"/>
    <w:rsid w:val="008A1893"/>
    <w:rsid w:val="008A29DD"/>
    <w:rsid w:val="008A3215"/>
    <w:rsid w:val="008A4BAA"/>
    <w:rsid w:val="008A57E6"/>
    <w:rsid w:val="008A6F81"/>
    <w:rsid w:val="008A769A"/>
    <w:rsid w:val="008B0C9C"/>
    <w:rsid w:val="008B166D"/>
    <w:rsid w:val="008B17F4"/>
    <w:rsid w:val="008B223A"/>
    <w:rsid w:val="008B3615"/>
    <w:rsid w:val="008B4AC4"/>
    <w:rsid w:val="008B50C8"/>
    <w:rsid w:val="008B5281"/>
    <w:rsid w:val="008B6CE3"/>
    <w:rsid w:val="008B7E05"/>
    <w:rsid w:val="008C1797"/>
    <w:rsid w:val="008C1A98"/>
    <w:rsid w:val="008C219C"/>
    <w:rsid w:val="008C37CF"/>
    <w:rsid w:val="008C3AAE"/>
    <w:rsid w:val="008C475E"/>
    <w:rsid w:val="008C4B14"/>
    <w:rsid w:val="008C619A"/>
    <w:rsid w:val="008D0CE8"/>
    <w:rsid w:val="008D1F72"/>
    <w:rsid w:val="008D2D1D"/>
    <w:rsid w:val="008D453D"/>
    <w:rsid w:val="008D53AD"/>
    <w:rsid w:val="008D562B"/>
    <w:rsid w:val="008D5733"/>
    <w:rsid w:val="008D622B"/>
    <w:rsid w:val="008D666C"/>
    <w:rsid w:val="008D7770"/>
    <w:rsid w:val="008D7B54"/>
    <w:rsid w:val="008E0447"/>
    <w:rsid w:val="008E0C56"/>
    <w:rsid w:val="008E0C9D"/>
    <w:rsid w:val="008E1648"/>
    <w:rsid w:val="008E1B3E"/>
    <w:rsid w:val="008E1D29"/>
    <w:rsid w:val="008E2319"/>
    <w:rsid w:val="008E2906"/>
    <w:rsid w:val="008E42F9"/>
    <w:rsid w:val="008E4BB6"/>
    <w:rsid w:val="008E5518"/>
    <w:rsid w:val="008E6A84"/>
    <w:rsid w:val="008E7C15"/>
    <w:rsid w:val="008F0903"/>
    <w:rsid w:val="008F0AA1"/>
    <w:rsid w:val="008F0CDC"/>
    <w:rsid w:val="008F1795"/>
    <w:rsid w:val="008F17A3"/>
    <w:rsid w:val="008F1ED3"/>
    <w:rsid w:val="008F23A5"/>
    <w:rsid w:val="008F4C29"/>
    <w:rsid w:val="008F698C"/>
    <w:rsid w:val="008F70BD"/>
    <w:rsid w:val="008F77DF"/>
    <w:rsid w:val="008F788F"/>
    <w:rsid w:val="008F7EA2"/>
    <w:rsid w:val="009007E9"/>
    <w:rsid w:val="009026C8"/>
    <w:rsid w:val="00902722"/>
    <w:rsid w:val="009027BC"/>
    <w:rsid w:val="00903D80"/>
    <w:rsid w:val="009053E5"/>
    <w:rsid w:val="00905C0A"/>
    <w:rsid w:val="009062E6"/>
    <w:rsid w:val="009105F9"/>
    <w:rsid w:val="00910687"/>
    <w:rsid w:val="00911BE5"/>
    <w:rsid w:val="00912C83"/>
    <w:rsid w:val="009132F0"/>
    <w:rsid w:val="00913CA9"/>
    <w:rsid w:val="009145AE"/>
    <w:rsid w:val="009146CE"/>
    <w:rsid w:val="009149AC"/>
    <w:rsid w:val="00914CA7"/>
    <w:rsid w:val="00915C3E"/>
    <w:rsid w:val="009161A8"/>
    <w:rsid w:val="009166CA"/>
    <w:rsid w:val="009245F5"/>
    <w:rsid w:val="009249EC"/>
    <w:rsid w:val="00924AEB"/>
    <w:rsid w:val="00925D85"/>
    <w:rsid w:val="00925EAF"/>
    <w:rsid w:val="009273B3"/>
    <w:rsid w:val="00930241"/>
    <w:rsid w:val="009305B5"/>
    <w:rsid w:val="00933153"/>
    <w:rsid w:val="00934525"/>
    <w:rsid w:val="00935B01"/>
    <w:rsid w:val="0093706C"/>
    <w:rsid w:val="00937CE0"/>
    <w:rsid w:val="0094061A"/>
    <w:rsid w:val="009429D5"/>
    <w:rsid w:val="00942BF1"/>
    <w:rsid w:val="00943939"/>
    <w:rsid w:val="00944944"/>
    <w:rsid w:val="00944A1E"/>
    <w:rsid w:val="00945180"/>
    <w:rsid w:val="00945428"/>
    <w:rsid w:val="00945A56"/>
    <w:rsid w:val="00945B10"/>
    <w:rsid w:val="0094607B"/>
    <w:rsid w:val="00950DD0"/>
    <w:rsid w:val="00951838"/>
    <w:rsid w:val="00953604"/>
    <w:rsid w:val="0095496B"/>
    <w:rsid w:val="00955BC0"/>
    <w:rsid w:val="009560E6"/>
    <w:rsid w:val="00956C0F"/>
    <w:rsid w:val="009610DC"/>
    <w:rsid w:val="00961490"/>
    <w:rsid w:val="00962C43"/>
    <w:rsid w:val="0096381A"/>
    <w:rsid w:val="00965E04"/>
    <w:rsid w:val="0096628A"/>
    <w:rsid w:val="0096660C"/>
    <w:rsid w:val="00966885"/>
    <w:rsid w:val="009674AD"/>
    <w:rsid w:val="00970CDC"/>
    <w:rsid w:val="0097352D"/>
    <w:rsid w:val="00973CE1"/>
    <w:rsid w:val="009749EC"/>
    <w:rsid w:val="00977010"/>
    <w:rsid w:val="00977D02"/>
    <w:rsid w:val="009809BB"/>
    <w:rsid w:val="0098364B"/>
    <w:rsid w:val="009911AF"/>
    <w:rsid w:val="00991875"/>
    <w:rsid w:val="00991F92"/>
    <w:rsid w:val="00992985"/>
    <w:rsid w:val="00993889"/>
    <w:rsid w:val="00994AD3"/>
    <w:rsid w:val="0099551B"/>
    <w:rsid w:val="00997BF1"/>
    <w:rsid w:val="009A05CC"/>
    <w:rsid w:val="009A089C"/>
    <w:rsid w:val="009A0E07"/>
    <w:rsid w:val="009A118E"/>
    <w:rsid w:val="009A1CD3"/>
    <w:rsid w:val="009A21CD"/>
    <w:rsid w:val="009A278C"/>
    <w:rsid w:val="009A296B"/>
    <w:rsid w:val="009A2BC2"/>
    <w:rsid w:val="009A42C1"/>
    <w:rsid w:val="009A5429"/>
    <w:rsid w:val="009A72AD"/>
    <w:rsid w:val="009B0321"/>
    <w:rsid w:val="009B0450"/>
    <w:rsid w:val="009B0816"/>
    <w:rsid w:val="009B09E0"/>
    <w:rsid w:val="009B0BC5"/>
    <w:rsid w:val="009B1247"/>
    <w:rsid w:val="009B1410"/>
    <w:rsid w:val="009B1A1D"/>
    <w:rsid w:val="009B46F9"/>
    <w:rsid w:val="009B48A7"/>
    <w:rsid w:val="009B57B9"/>
    <w:rsid w:val="009B6029"/>
    <w:rsid w:val="009B651F"/>
    <w:rsid w:val="009B6971"/>
    <w:rsid w:val="009B7B92"/>
    <w:rsid w:val="009C27F1"/>
    <w:rsid w:val="009C3152"/>
    <w:rsid w:val="009C32D7"/>
    <w:rsid w:val="009C4CFA"/>
    <w:rsid w:val="009C5070"/>
    <w:rsid w:val="009C5592"/>
    <w:rsid w:val="009D112C"/>
    <w:rsid w:val="009D4151"/>
    <w:rsid w:val="009D47FA"/>
    <w:rsid w:val="009D4C5B"/>
    <w:rsid w:val="009D50D2"/>
    <w:rsid w:val="009D57F9"/>
    <w:rsid w:val="009D6BCA"/>
    <w:rsid w:val="009E0F62"/>
    <w:rsid w:val="009E2345"/>
    <w:rsid w:val="009E401A"/>
    <w:rsid w:val="009E4A58"/>
    <w:rsid w:val="009E59B7"/>
    <w:rsid w:val="009E5A2D"/>
    <w:rsid w:val="009E5AB2"/>
    <w:rsid w:val="009E6219"/>
    <w:rsid w:val="009E7D10"/>
    <w:rsid w:val="009F03B3"/>
    <w:rsid w:val="009F0EE5"/>
    <w:rsid w:val="009F49C1"/>
    <w:rsid w:val="009F6A7D"/>
    <w:rsid w:val="009F700A"/>
    <w:rsid w:val="00A0096C"/>
    <w:rsid w:val="00A01757"/>
    <w:rsid w:val="00A01FA8"/>
    <w:rsid w:val="00A028C0"/>
    <w:rsid w:val="00A02BAE"/>
    <w:rsid w:val="00A06154"/>
    <w:rsid w:val="00A0616D"/>
    <w:rsid w:val="00A06A6B"/>
    <w:rsid w:val="00A06E70"/>
    <w:rsid w:val="00A07096"/>
    <w:rsid w:val="00A07E47"/>
    <w:rsid w:val="00A100D7"/>
    <w:rsid w:val="00A10B9A"/>
    <w:rsid w:val="00A129D0"/>
    <w:rsid w:val="00A12C33"/>
    <w:rsid w:val="00A138BA"/>
    <w:rsid w:val="00A13D56"/>
    <w:rsid w:val="00A13DDD"/>
    <w:rsid w:val="00A13EEC"/>
    <w:rsid w:val="00A146CF"/>
    <w:rsid w:val="00A14C8E"/>
    <w:rsid w:val="00A153D9"/>
    <w:rsid w:val="00A15F09"/>
    <w:rsid w:val="00A15F9D"/>
    <w:rsid w:val="00A169B6"/>
    <w:rsid w:val="00A16F11"/>
    <w:rsid w:val="00A2271D"/>
    <w:rsid w:val="00A230AB"/>
    <w:rsid w:val="00A237D5"/>
    <w:rsid w:val="00A24990"/>
    <w:rsid w:val="00A27148"/>
    <w:rsid w:val="00A30EFC"/>
    <w:rsid w:val="00A3110B"/>
    <w:rsid w:val="00A31984"/>
    <w:rsid w:val="00A32D73"/>
    <w:rsid w:val="00A3367B"/>
    <w:rsid w:val="00A33DDA"/>
    <w:rsid w:val="00A33FCC"/>
    <w:rsid w:val="00A3597D"/>
    <w:rsid w:val="00A36DD1"/>
    <w:rsid w:val="00A37844"/>
    <w:rsid w:val="00A4006C"/>
    <w:rsid w:val="00A40091"/>
    <w:rsid w:val="00A4030F"/>
    <w:rsid w:val="00A41C79"/>
    <w:rsid w:val="00A41CB5"/>
    <w:rsid w:val="00A41D23"/>
    <w:rsid w:val="00A42CDF"/>
    <w:rsid w:val="00A44022"/>
    <w:rsid w:val="00A4452E"/>
    <w:rsid w:val="00A4472C"/>
    <w:rsid w:val="00A44E69"/>
    <w:rsid w:val="00A44F21"/>
    <w:rsid w:val="00A4661E"/>
    <w:rsid w:val="00A47067"/>
    <w:rsid w:val="00A47E48"/>
    <w:rsid w:val="00A51598"/>
    <w:rsid w:val="00A55A66"/>
    <w:rsid w:val="00A55BD6"/>
    <w:rsid w:val="00A55D50"/>
    <w:rsid w:val="00A57142"/>
    <w:rsid w:val="00A57FD4"/>
    <w:rsid w:val="00A6179C"/>
    <w:rsid w:val="00A61BF7"/>
    <w:rsid w:val="00A648CD"/>
    <w:rsid w:val="00A6537A"/>
    <w:rsid w:val="00A67866"/>
    <w:rsid w:val="00A67A8D"/>
    <w:rsid w:val="00A67C6F"/>
    <w:rsid w:val="00A67EEB"/>
    <w:rsid w:val="00A70B07"/>
    <w:rsid w:val="00A723F8"/>
    <w:rsid w:val="00A729C7"/>
    <w:rsid w:val="00A7391E"/>
    <w:rsid w:val="00A74B8C"/>
    <w:rsid w:val="00A74FC9"/>
    <w:rsid w:val="00A76B55"/>
    <w:rsid w:val="00A77CCB"/>
    <w:rsid w:val="00A8040E"/>
    <w:rsid w:val="00A824A6"/>
    <w:rsid w:val="00A83D8D"/>
    <w:rsid w:val="00A8446B"/>
    <w:rsid w:val="00A8473F"/>
    <w:rsid w:val="00A85FB9"/>
    <w:rsid w:val="00A861E0"/>
    <w:rsid w:val="00A862D6"/>
    <w:rsid w:val="00A86D5A"/>
    <w:rsid w:val="00A8715E"/>
    <w:rsid w:val="00A9295B"/>
    <w:rsid w:val="00A92A83"/>
    <w:rsid w:val="00A93B09"/>
    <w:rsid w:val="00A94247"/>
    <w:rsid w:val="00A949AC"/>
    <w:rsid w:val="00A952D7"/>
    <w:rsid w:val="00A963F7"/>
    <w:rsid w:val="00A96AD8"/>
    <w:rsid w:val="00AA052C"/>
    <w:rsid w:val="00AA13E0"/>
    <w:rsid w:val="00AA1E45"/>
    <w:rsid w:val="00AA222F"/>
    <w:rsid w:val="00AA35F9"/>
    <w:rsid w:val="00AA4286"/>
    <w:rsid w:val="00AA456B"/>
    <w:rsid w:val="00AA4D63"/>
    <w:rsid w:val="00AA532A"/>
    <w:rsid w:val="00AA57F5"/>
    <w:rsid w:val="00AA672E"/>
    <w:rsid w:val="00AA6EC9"/>
    <w:rsid w:val="00AB015F"/>
    <w:rsid w:val="00AB0A93"/>
    <w:rsid w:val="00AB2617"/>
    <w:rsid w:val="00AB2ADE"/>
    <w:rsid w:val="00AB3626"/>
    <w:rsid w:val="00AB41D5"/>
    <w:rsid w:val="00AB6309"/>
    <w:rsid w:val="00AB6C5F"/>
    <w:rsid w:val="00AB6EE2"/>
    <w:rsid w:val="00AB7129"/>
    <w:rsid w:val="00AB7641"/>
    <w:rsid w:val="00AC27A6"/>
    <w:rsid w:val="00AC30F7"/>
    <w:rsid w:val="00AC3A5A"/>
    <w:rsid w:val="00AC3AE4"/>
    <w:rsid w:val="00AC4D95"/>
    <w:rsid w:val="00AC5DF4"/>
    <w:rsid w:val="00AC7049"/>
    <w:rsid w:val="00AC7170"/>
    <w:rsid w:val="00AD0AEF"/>
    <w:rsid w:val="00AD11B7"/>
    <w:rsid w:val="00AD1825"/>
    <w:rsid w:val="00AD1A94"/>
    <w:rsid w:val="00AD1C05"/>
    <w:rsid w:val="00AD4126"/>
    <w:rsid w:val="00AD421C"/>
    <w:rsid w:val="00AD44FA"/>
    <w:rsid w:val="00AD5045"/>
    <w:rsid w:val="00AD6066"/>
    <w:rsid w:val="00AE070A"/>
    <w:rsid w:val="00AE101C"/>
    <w:rsid w:val="00AE1530"/>
    <w:rsid w:val="00AE1612"/>
    <w:rsid w:val="00AE2CEB"/>
    <w:rsid w:val="00AE3195"/>
    <w:rsid w:val="00AE37E5"/>
    <w:rsid w:val="00AE38AD"/>
    <w:rsid w:val="00AE4559"/>
    <w:rsid w:val="00AE5EB4"/>
    <w:rsid w:val="00AE7D4E"/>
    <w:rsid w:val="00AF0C18"/>
    <w:rsid w:val="00AF1597"/>
    <w:rsid w:val="00AF2755"/>
    <w:rsid w:val="00AF2E6D"/>
    <w:rsid w:val="00AF47C5"/>
    <w:rsid w:val="00AF47D0"/>
    <w:rsid w:val="00AF5398"/>
    <w:rsid w:val="00AF5643"/>
    <w:rsid w:val="00AF5BF3"/>
    <w:rsid w:val="00AF690E"/>
    <w:rsid w:val="00AF6C18"/>
    <w:rsid w:val="00B01245"/>
    <w:rsid w:val="00B01EB0"/>
    <w:rsid w:val="00B01FA4"/>
    <w:rsid w:val="00B026B0"/>
    <w:rsid w:val="00B02A10"/>
    <w:rsid w:val="00B049AF"/>
    <w:rsid w:val="00B068A9"/>
    <w:rsid w:val="00B07242"/>
    <w:rsid w:val="00B10465"/>
    <w:rsid w:val="00B10534"/>
    <w:rsid w:val="00B113DB"/>
    <w:rsid w:val="00B11D8A"/>
    <w:rsid w:val="00B12981"/>
    <w:rsid w:val="00B12DEF"/>
    <w:rsid w:val="00B13690"/>
    <w:rsid w:val="00B1449D"/>
    <w:rsid w:val="00B147DD"/>
    <w:rsid w:val="00B156FD"/>
    <w:rsid w:val="00B173AB"/>
    <w:rsid w:val="00B17CB3"/>
    <w:rsid w:val="00B20D24"/>
    <w:rsid w:val="00B216CF"/>
    <w:rsid w:val="00B21F61"/>
    <w:rsid w:val="00B261F1"/>
    <w:rsid w:val="00B265BC"/>
    <w:rsid w:val="00B26D75"/>
    <w:rsid w:val="00B27299"/>
    <w:rsid w:val="00B27902"/>
    <w:rsid w:val="00B27BC5"/>
    <w:rsid w:val="00B304BF"/>
    <w:rsid w:val="00B30906"/>
    <w:rsid w:val="00B30B52"/>
    <w:rsid w:val="00B31FB1"/>
    <w:rsid w:val="00B332F8"/>
    <w:rsid w:val="00B33952"/>
    <w:rsid w:val="00B33C5E"/>
    <w:rsid w:val="00B342F4"/>
    <w:rsid w:val="00B34369"/>
    <w:rsid w:val="00B34DC2"/>
    <w:rsid w:val="00B367C4"/>
    <w:rsid w:val="00B378E5"/>
    <w:rsid w:val="00B37904"/>
    <w:rsid w:val="00B40BBB"/>
    <w:rsid w:val="00B41ABD"/>
    <w:rsid w:val="00B4346D"/>
    <w:rsid w:val="00B440F4"/>
    <w:rsid w:val="00B447A5"/>
    <w:rsid w:val="00B45EA4"/>
    <w:rsid w:val="00B4654C"/>
    <w:rsid w:val="00B46AF0"/>
    <w:rsid w:val="00B47293"/>
    <w:rsid w:val="00B50E50"/>
    <w:rsid w:val="00B5189B"/>
    <w:rsid w:val="00B52120"/>
    <w:rsid w:val="00B52235"/>
    <w:rsid w:val="00B54ABC"/>
    <w:rsid w:val="00B54DDE"/>
    <w:rsid w:val="00B55AE7"/>
    <w:rsid w:val="00B55BE4"/>
    <w:rsid w:val="00B56F7D"/>
    <w:rsid w:val="00B56FBE"/>
    <w:rsid w:val="00B57B76"/>
    <w:rsid w:val="00B60ACF"/>
    <w:rsid w:val="00B62B58"/>
    <w:rsid w:val="00B63703"/>
    <w:rsid w:val="00B65149"/>
    <w:rsid w:val="00B66567"/>
    <w:rsid w:val="00B66F52"/>
    <w:rsid w:val="00B66FE5"/>
    <w:rsid w:val="00B67345"/>
    <w:rsid w:val="00B707D1"/>
    <w:rsid w:val="00B70AA8"/>
    <w:rsid w:val="00B72880"/>
    <w:rsid w:val="00B735AB"/>
    <w:rsid w:val="00B740C8"/>
    <w:rsid w:val="00B756F4"/>
    <w:rsid w:val="00B758BF"/>
    <w:rsid w:val="00B77EC8"/>
    <w:rsid w:val="00B827A6"/>
    <w:rsid w:val="00B831CE"/>
    <w:rsid w:val="00B853F0"/>
    <w:rsid w:val="00B86677"/>
    <w:rsid w:val="00B87131"/>
    <w:rsid w:val="00B91763"/>
    <w:rsid w:val="00B939B1"/>
    <w:rsid w:val="00B93CB0"/>
    <w:rsid w:val="00B94C20"/>
    <w:rsid w:val="00B96315"/>
    <w:rsid w:val="00B96435"/>
    <w:rsid w:val="00B96D40"/>
    <w:rsid w:val="00B97386"/>
    <w:rsid w:val="00BA039A"/>
    <w:rsid w:val="00BA263B"/>
    <w:rsid w:val="00BA35A8"/>
    <w:rsid w:val="00BA42B2"/>
    <w:rsid w:val="00BA4BF0"/>
    <w:rsid w:val="00BA537B"/>
    <w:rsid w:val="00BA58D4"/>
    <w:rsid w:val="00BA5B9E"/>
    <w:rsid w:val="00BA7C9A"/>
    <w:rsid w:val="00BB203B"/>
    <w:rsid w:val="00BB22B5"/>
    <w:rsid w:val="00BB25E7"/>
    <w:rsid w:val="00BB54E3"/>
    <w:rsid w:val="00BB5F8F"/>
    <w:rsid w:val="00BB657A"/>
    <w:rsid w:val="00BB6EDB"/>
    <w:rsid w:val="00BC0271"/>
    <w:rsid w:val="00BC1A4E"/>
    <w:rsid w:val="00BC26F9"/>
    <w:rsid w:val="00BC2B9A"/>
    <w:rsid w:val="00BC3481"/>
    <w:rsid w:val="00BC4790"/>
    <w:rsid w:val="00BC4D6C"/>
    <w:rsid w:val="00BC54BD"/>
    <w:rsid w:val="00BC5DC7"/>
    <w:rsid w:val="00BC5EA5"/>
    <w:rsid w:val="00BC6124"/>
    <w:rsid w:val="00BC6B8B"/>
    <w:rsid w:val="00BC73D8"/>
    <w:rsid w:val="00BD268C"/>
    <w:rsid w:val="00BD3734"/>
    <w:rsid w:val="00BD44BD"/>
    <w:rsid w:val="00BD52D7"/>
    <w:rsid w:val="00BD5AD2"/>
    <w:rsid w:val="00BD5DD7"/>
    <w:rsid w:val="00BE014B"/>
    <w:rsid w:val="00BE04DF"/>
    <w:rsid w:val="00BE2018"/>
    <w:rsid w:val="00BE22F3"/>
    <w:rsid w:val="00BE59C7"/>
    <w:rsid w:val="00BE5B52"/>
    <w:rsid w:val="00BE7242"/>
    <w:rsid w:val="00BE7B8D"/>
    <w:rsid w:val="00BF0993"/>
    <w:rsid w:val="00BF10A9"/>
    <w:rsid w:val="00BF1703"/>
    <w:rsid w:val="00BF1A1F"/>
    <w:rsid w:val="00BF231C"/>
    <w:rsid w:val="00BF468B"/>
    <w:rsid w:val="00BF502D"/>
    <w:rsid w:val="00BF51E5"/>
    <w:rsid w:val="00BF59A8"/>
    <w:rsid w:val="00BF6C21"/>
    <w:rsid w:val="00BF74A6"/>
    <w:rsid w:val="00C013AD"/>
    <w:rsid w:val="00C03103"/>
    <w:rsid w:val="00C04904"/>
    <w:rsid w:val="00C056B3"/>
    <w:rsid w:val="00C05C15"/>
    <w:rsid w:val="00C07122"/>
    <w:rsid w:val="00C07ADA"/>
    <w:rsid w:val="00C103E5"/>
    <w:rsid w:val="00C12776"/>
    <w:rsid w:val="00C13319"/>
    <w:rsid w:val="00C13EE9"/>
    <w:rsid w:val="00C17A87"/>
    <w:rsid w:val="00C21540"/>
    <w:rsid w:val="00C21906"/>
    <w:rsid w:val="00C21BFA"/>
    <w:rsid w:val="00C22148"/>
    <w:rsid w:val="00C22C96"/>
    <w:rsid w:val="00C22DB7"/>
    <w:rsid w:val="00C23ED3"/>
    <w:rsid w:val="00C24C8D"/>
    <w:rsid w:val="00C25FE2"/>
    <w:rsid w:val="00C26B53"/>
    <w:rsid w:val="00C270E6"/>
    <w:rsid w:val="00C271DA"/>
    <w:rsid w:val="00C279B2"/>
    <w:rsid w:val="00C27C3F"/>
    <w:rsid w:val="00C301DD"/>
    <w:rsid w:val="00C33CD0"/>
    <w:rsid w:val="00C33E50"/>
    <w:rsid w:val="00C34C20"/>
    <w:rsid w:val="00C35A3E"/>
    <w:rsid w:val="00C37687"/>
    <w:rsid w:val="00C42130"/>
    <w:rsid w:val="00C423A4"/>
    <w:rsid w:val="00C4356B"/>
    <w:rsid w:val="00C44610"/>
    <w:rsid w:val="00C44AE5"/>
    <w:rsid w:val="00C44BF5"/>
    <w:rsid w:val="00C458DA"/>
    <w:rsid w:val="00C46F52"/>
    <w:rsid w:val="00C47590"/>
    <w:rsid w:val="00C51284"/>
    <w:rsid w:val="00C521D6"/>
    <w:rsid w:val="00C546E5"/>
    <w:rsid w:val="00C55005"/>
    <w:rsid w:val="00C55232"/>
    <w:rsid w:val="00C553A4"/>
    <w:rsid w:val="00C55A06"/>
    <w:rsid w:val="00C55D03"/>
    <w:rsid w:val="00C560EE"/>
    <w:rsid w:val="00C560F5"/>
    <w:rsid w:val="00C601BC"/>
    <w:rsid w:val="00C62EE4"/>
    <w:rsid w:val="00C6329F"/>
    <w:rsid w:val="00C63340"/>
    <w:rsid w:val="00C633F3"/>
    <w:rsid w:val="00C643F9"/>
    <w:rsid w:val="00C64B0D"/>
    <w:rsid w:val="00C64E95"/>
    <w:rsid w:val="00C671EB"/>
    <w:rsid w:val="00C71372"/>
    <w:rsid w:val="00C7169E"/>
    <w:rsid w:val="00C72410"/>
    <w:rsid w:val="00C7287F"/>
    <w:rsid w:val="00C73CB2"/>
    <w:rsid w:val="00C74F30"/>
    <w:rsid w:val="00C80982"/>
    <w:rsid w:val="00C80CB8"/>
    <w:rsid w:val="00C81473"/>
    <w:rsid w:val="00C819F8"/>
    <w:rsid w:val="00C8248C"/>
    <w:rsid w:val="00C8449D"/>
    <w:rsid w:val="00C84E33"/>
    <w:rsid w:val="00C85CCC"/>
    <w:rsid w:val="00C8689D"/>
    <w:rsid w:val="00C86D6F"/>
    <w:rsid w:val="00C87CCE"/>
    <w:rsid w:val="00C905FC"/>
    <w:rsid w:val="00C91487"/>
    <w:rsid w:val="00C92D03"/>
    <w:rsid w:val="00C930C9"/>
    <w:rsid w:val="00C9319C"/>
    <w:rsid w:val="00C9435D"/>
    <w:rsid w:val="00C94DF2"/>
    <w:rsid w:val="00C9531E"/>
    <w:rsid w:val="00C96741"/>
    <w:rsid w:val="00CA0AFC"/>
    <w:rsid w:val="00CA2D1B"/>
    <w:rsid w:val="00CA375D"/>
    <w:rsid w:val="00CA4939"/>
    <w:rsid w:val="00CA4C4A"/>
    <w:rsid w:val="00CA662A"/>
    <w:rsid w:val="00CA7AFD"/>
    <w:rsid w:val="00CA7C3C"/>
    <w:rsid w:val="00CB0189"/>
    <w:rsid w:val="00CB0BA2"/>
    <w:rsid w:val="00CB0E63"/>
    <w:rsid w:val="00CB1A42"/>
    <w:rsid w:val="00CB1B0C"/>
    <w:rsid w:val="00CB2C0B"/>
    <w:rsid w:val="00CB517D"/>
    <w:rsid w:val="00CB76D4"/>
    <w:rsid w:val="00CB7D2E"/>
    <w:rsid w:val="00CC038D"/>
    <w:rsid w:val="00CC08DB"/>
    <w:rsid w:val="00CC39FF"/>
    <w:rsid w:val="00CC3C2F"/>
    <w:rsid w:val="00CC4AC8"/>
    <w:rsid w:val="00CC4D52"/>
    <w:rsid w:val="00CC5233"/>
    <w:rsid w:val="00CC5DE6"/>
    <w:rsid w:val="00CC6E4E"/>
    <w:rsid w:val="00CC6FE8"/>
    <w:rsid w:val="00CC7202"/>
    <w:rsid w:val="00CD2279"/>
    <w:rsid w:val="00CD2808"/>
    <w:rsid w:val="00CD28BF"/>
    <w:rsid w:val="00CD2B7D"/>
    <w:rsid w:val="00CD4092"/>
    <w:rsid w:val="00CD4A20"/>
    <w:rsid w:val="00CD50A1"/>
    <w:rsid w:val="00CD519E"/>
    <w:rsid w:val="00CD561D"/>
    <w:rsid w:val="00CD5FAE"/>
    <w:rsid w:val="00CD771E"/>
    <w:rsid w:val="00CE0C4F"/>
    <w:rsid w:val="00CE0DE3"/>
    <w:rsid w:val="00CE177E"/>
    <w:rsid w:val="00CE1FCF"/>
    <w:rsid w:val="00CE2820"/>
    <w:rsid w:val="00CE2BE9"/>
    <w:rsid w:val="00CE30EA"/>
    <w:rsid w:val="00CE481A"/>
    <w:rsid w:val="00CE52B7"/>
    <w:rsid w:val="00CE6E34"/>
    <w:rsid w:val="00CF048A"/>
    <w:rsid w:val="00CF155A"/>
    <w:rsid w:val="00CF2947"/>
    <w:rsid w:val="00CF2F1B"/>
    <w:rsid w:val="00CF3BC3"/>
    <w:rsid w:val="00CF3DD6"/>
    <w:rsid w:val="00CF686F"/>
    <w:rsid w:val="00CF6E60"/>
    <w:rsid w:val="00CF7BCA"/>
    <w:rsid w:val="00D008FD"/>
    <w:rsid w:val="00D00FD5"/>
    <w:rsid w:val="00D010B6"/>
    <w:rsid w:val="00D012DD"/>
    <w:rsid w:val="00D0321C"/>
    <w:rsid w:val="00D035EC"/>
    <w:rsid w:val="00D05184"/>
    <w:rsid w:val="00D05F93"/>
    <w:rsid w:val="00D06AB1"/>
    <w:rsid w:val="00D072ED"/>
    <w:rsid w:val="00D07A16"/>
    <w:rsid w:val="00D1067E"/>
    <w:rsid w:val="00D10F50"/>
    <w:rsid w:val="00D11272"/>
    <w:rsid w:val="00D115C2"/>
    <w:rsid w:val="00D123A5"/>
    <w:rsid w:val="00D126F5"/>
    <w:rsid w:val="00D1489E"/>
    <w:rsid w:val="00D16794"/>
    <w:rsid w:val="00D17418"/>
    <w:rsid w:val="00D20737"/>
    <w:rsid w:val="00D21E81"/>
    <w:rsid w:val="00D223DE"/>
    <w:rsid w:val="00D24170"/>
    <w:rsid w:val="00D25E37"/>
    <w:rsid w:val="00D2661A"/>
    <w:rsid w:val="00D27582"/>
    <w:rsid w:val="00D27A8F"/>
    <w:rsid w:val="00D27EC4"/>
    <w:rsid w:val="00D32719"/>
    <w:rsid w:val="00D33333"/>
    <w:rsid w:val="00D33457"/>
    <w:rsid w:val="00D34236"/>
    <w:rsid w:val="00D352A2"/>
    <w:rsid w:val="00D3660F"/>
    <w:rsid w:val="00D36E5F"/>
    <w:rsid w:val="00D4162B"/>
    <w:rsid w:val="00D43429"/>
    <w:rsid w:val="00D434D0"/>
    <w:rsid w:val="00D4514F"/>
    <w:rsid w:val="00D451E2"/>
    <w:rsid w:val="00D45E89"/>
    <w:rsid w:val="00D45E8D"/>
    <w:rsid w:val="00D466AE"/>
    <w:rsid w:val="00D4734F"/>
    <w:rsid w:val="00D47863"/>
    <w:rsid w:val="00D50E6F"/>
    <w:rsid w:val="00D51454"/>
    <w:rsid w:val="00D51BF3"/>
    <w:rsid w:val="00D536E9"/>
    <w:rsid w:val="00D60734"/>
    <w:rsid w:val="00D62DC0"/>
    <w:rsid w:val="00D63957"/>
    <w:rsid w:val="00D6479F"/>
    <w:rsid w:val="00D64873"/>
    <w:rsid w:val="00D66846"/>
    <w:rsid w:val="00D66C10"/>
    <w:rsid w:val="00D675FB"/>
    <w:rsid w:val="00D70B35"/>
    <w:rsid w:val="00D71F25"/>
    <w:rsid w:val="00D72A9C"/>
    <w:rsid w:val="00D72C5B"/>
    <w:rsid w:val="00D77031"/>
    <w:rsid w:val="00D77F90"/>
    <w:rsid w:val="00D8120F"/>
    <w:rsid w:val="00D843A4"/>
    <w:rsid w:val="00D84941"/>
    <w:rsid w:val="00D84FA1"/>
    <w:rsid w:val="00D851F0"/>
    <w:rsid w:val="00D8684D"/>
    <w:rsid w:val="00D86DB7"/>
    <w:rsid w:val="00D912D4"/>
    <w:rsid w:val="00D9195B"/>
    <w:rsid w:val="00D926D0"/>
    <w:rsid w:val="00D92ECF"/>
    <w:rsid w:val="00D92FFE"/>
    <w:rsid w:val="00D93030"/>
    <w:rsid w:val="00D93A8E"/>
    <w:rsid w:val="00D950E1"/>
    <w:rsid w:val="00D952A6"/>
    <w:rsid w:val="00D95E78"/>
    <w:rsid w:val="00D96A83"/>
    <w:rsid w:val="00D97F99"/>
    <w:rsid w:val="00DA0294"/>
    <w:rsid w:val="00DA1E08"/>
    <w:rsid w:val="00DA24F8"/>
    <w:rsid w:val="00DA26AF"/>
    <w:rsid w:val="00DA28E8"/>
    <w:rsid w:val="00DA38D3"/>
    <w:rsid w:val="00DA3932"/>
    <w:rsid w:val="00DA3AFC"/>
    <w:rsid w:val="00DA5191"/>
    <w:rsid w:val="00DA6007"/>
    <w:rsid w:val="00DA64F8"/>
    <w:rsid w:val="00DA6C15"/>
    <w:rsid w:val="00DB0258"/>
    <w:rsid w:val="00DB19BB"/>
    <w:rsid w:val="00DB1FD2"/>
    <w:rsid w:val="00DB38EE"/>
    <w:rsid w:val="00DB3F99"/>
    <w:rsid w:val="00DB498B"/>
    <w:rsid w:val="00DB4AFA"/>
    <w:rsid w:val="00DB66CA"/>
    <w:rsid w:val="00DB6BCA"/>
    <w:rsid w:val="00DB6D49"/>
    <w:rsid w:val="00DB73F7"/>
    <w:rsid w:val="00DC0321"/>
    <w:rsid w:val="00DC0A9D"/>
    <w:rsid w:val="00DC3067"/>
    <w:rsid w:val="00DC370B"/>
    <w:rsid w:val="00DC3B7C"/>
    <w:rsid w:val="00DC5B90"/>
    <w:rsid w:val="00DD00FF"/>
    <w:rsid w:val="00DD02F4"/>
    <w:rsid w:val="00DD0619"/>
    <w:rsid w:val="00DD07FB"/>
    <w:rsid w:val="00DD25C6"/>
    <w:rsid w:val="00DD31DF"/>
    <w:rsid w:val="00DD4FE5"/>
    <w:rsid w:val="00DD5343"/>
    <w:rsid w:val="00DD54B0"/>
    <w:rsid w:val="00DD56D4"/>
    <w:rsid w:val="00DD57EE"/>
    <w:rsid w:val="00DD5D75"/>
    <w:rsid w:val="00DD6BCC"/>
    <w:rsid w:val="00DE0A4B"/>
    <w:rsid w:val="00DE0E0E"/>
    <w:rsid w:val="00DE1C84"/>
    <w:rsid w:val="00DE1FF5"/>
    <w:rsid w:val="00DE2410"/>
    <w:rsid w:val="00DE2881"/>
    <w:rsid w:val="00DE2939"/>
    <w:rsid w:val="00DE39D1"/>
    <w:rsid w:val="00DE4851"/>
    <w:rsid w:val="00DE6E81"/>
    <w:rsid w:val="00DE703F"/>
    <w:rsid w:val="00DE7595"/>
    <w:rsid w:val="00DF1961"/>
    <w:rsid w:val="00DF3C62"/>
    <w:rsid w:val="00DF44DE"/>
    <w:rsid w:val="00DF5463"/>
    <w:rsid w:val="00DF5F11"/>
    <w:rsid w:val="00DF5FDE"/>
    <w:rsid w:val="00E00111"/>
    <w:rsid w:val="00E00A37"/>
    <w:rsid w:val="00E01138"/>
    <w:rsid w:val="00E02665"/>
    <w:rsid w:val="00E02DFB"/>
    <w:rsid w:val="00E030F9"/>
    <w:rsid w:val="00E0311A"/>
    <w:rsid w:val="00E03138"/>
    <w:rsid w:val="00E03A0C"/>
    <w:rsid w:val="00E05A4B"/>
    <w:rsid w:val="00E06404"/>
    <w:rsid w:val="00E065D2"/>
    <w:rsid w:val="00E103B0"/>
    <w:rsid w:val="00E11A85"/>
    <w:rsid w:val="00E12495"/>
    <w:rsid w:val="00E12DC8"/>
    <w:rsid w:val="00E131C9"/>
    <w:rsid w:val="00E1361D"/>
    <w:rsid w:val="00E13EA2"/>
    <w:rsid w:val="00E15CCD"/>
    <w:rsid w:val="00E162F2"/>
    <w:rsid w:val="00E202EF"/>
    <w:rsid w:val="00E20367"/>
    <w:rsid w:val="00E210B5"/>
    <w:rsid w:val="00E22BA2"/>
    <w:rsid w:val="00E23D99"/>
    <w:rsid w:val="00E244DF"/>
    <w:rsid w:val="00E25075"/>
    <w:rsid w:val="00E2552F"/>
    <w:rsid w:val="00E26309"/>
    <w:rsid w:val="00E3137A"/>
    <w:rsid w:val="00E31BD7"/>
    <w:rsid w:val="00E32CCF"/>
    <w:rsid w:val="00E34A98"/>
    <w:rsid w:val="00E35D1E"/>
    <w:rsid w:val="00E364F9"/>
    <w:rsid w:val="00E365FA"/>
    <w:rsid w:val="00E36789"/>
    <w:rsid w:val="00E41E46"/>
    <w:rsid w:val="00E41FD5"/>
    <w:rsid w:val="00E43A7E"/>
    <w:rsid w:val="00E44A83"/>
    <w:rsid w:val="00E502C1"/>
    <w:rsid w:val="00E502DD"/>
    <w:rsid w:val="00E50D3A"/>
    <w:rsid w:val="00E50F33"/>
    <w:rsid w:val="00E51387"/>
    <w:rsid w:val="00E51E68"/>
    <w:rsid w:val="00E526D2"/>
    <w:rsid w:val="00E52EFD"/>
    <w:rsid w:val="00E54088"/>
    <w:rsid w:val="00E5408A"/>
    <w:rsid w:val="00E550B3"/>
    <w:rsid w:val="00E56800"/>
    <w:rsid w:val="00E60C63"/>
    <w:rsid w:val="00E62FF9"/>
    <w:rsid w:val="00E635D6"/>
    <w:rsid w:val="00E639BC"/>
    <w:rsid w:val="00E664CC"/>
    <w:rsid w:val="00E66934"/>
    <w:rsid w:val="00E67B87"/>
    <w:rsid w:val="00E70388"/>
    <w:rsid w:val="00E70F92"/>
    <w:rsid w:val="00E71BAB"/>
    <w:rsid w:val="00E722FC"/>
    <w:rsid w:val="00E74C54"/>
    <w:rsid w:val="00E77A03"/>
    <w:rsid w:val="00E821D7"/>
    <w:rsid w:val="00E822E8"/>
    <w:rsid w:val="00E82554"/>
    <w:rsid w:val="00E82606"/>
    <w:rsid w:val="00E82F6F"/>
    <w:rsid w:val="00E846C8"/>
    <w:rsid w:val="00E84957"/>
    <w:rsid w:val="00E84A55"/>
    <w:rsid w:val="00E85BFF"/>
    <w:rsid w:val="00E900AA"/>
    <w:rsid w:val="00E90391"/>
    <w:rsid w:val="00E906C2"/>
    <w:rsid w:val="00E91981"/>
    <w:rsid w:val="00E91C64"/>
    <w:rsid w:val="00E9245D"/>
    <w:rsid w:val="00E9311F"/>
    <w:rsid w:val="00E932A5"/>
    <w:rsid w:val="00E934D1"/>
    <w:rsid w:val="00E94AF0"/>
    <w:rsid w:val="00E95D13"/>
    <w:rsid w:val="00E95DD3"/>
    <w:rsid w:val="00E969D5"/>
    <w:rsid w:val="00EA0DEB"/>
    <w:rsid w:val="00EA186D"/>
    <w:rsid w:val="00EA26D2"/>
    <w:rsid w:val="00EA36B9"/>
    <w:rsid w:val="00EA373E"/>
    <w:rsid w:val="00EA50B1"/>
    <w:rsid w:val="00EA5752"/>
    <w:rsid w:val="00EA58D1"/>
    <w:rsid w:val="00EA61BC"/>
    <w:rsid w:val="00EA681A"/>
    <w:rsid w:val="00EA6BA5"/>
    <w:rsid w:val="00EA735B"/>
    <w:rsid w:val="00EA788E"/>
    <w:rsid w:val="00EA79B6"/>
    <w:rsid w:val="00EA7A0F"/>
    <w:rsid w:val="00EB17DE"/>
    <w:rsid w:val="00EB1E69"/>
    <w:rsid w:val="00EB1F89"/>
    <w:rsid w:val="00EB2086"/>
    <w:rsid w:val="00EB52CC"/>
    <w:rsid w:val="00EB5EDF"/>
    <w:rsid w:val="00EB60FE"/>
    <w:rsid w:val="00EB6581"/>
    <w:rsid w:val="00EB74DB"/>
    <w:rsid w:val="00EC0455"/>
    <w:rsid w:val="00EC5359"/>
    <w:rsid w:val="00EC562A"/>
    <w:rsid w:val="00EC707F"/>
    <w:rsid w:val="00ED0231"/>
    <w:rsid w:val="00ED067A"/>
    <w:rsid w:val="00ED1252"/>
    <w:rsid w:val="00ED1BC6"/>
    <w:rsid w:val="00ED2B50"/>
    <w:rsid w:val="00ED4DED"/>
    <w:rsid w:val="00EE0350"/>
    <w:rsid w:val="00EE0719"/>
    <w:rsid w:val="00EE0E80"/>
    <w:rsid w:val="00EE3BC7"/>
    <w:rsid w:val="00EE54A6"/>
    <w:rsid w:val="00EE5AC8"/>
    <w:rsid w:val="00EE5E52"/>
    <w:rsid w:val="00EE613F"/>
    <w:rsid w:val="00EE6558"/>
    <w:rsid w:val="00EE6DB2"/>
    <w:rsid w:val="00EE7295"/>
    <w:rsid w:val="00EE7869"/>
    <w:rsid w:val="00EF00AE"/>
    <w:rsid w:val="00EF054A"/>
    <w:rsid w:val="00EF3235"/>
    <w:rsid w:val="00EF3A8E"/>
    <w:rsid w:val="00EF50B8"/>
    <w:rsid w:val="00EF5735"/>
    <w:rsid w:val="00EF605A"/>
    <w:rsid w:val="00EF7E72"/>
    <w:rsid w:val="00F03F4C"/>
    <w:rsid w:val="00F040F3"/>
    <w:rsid w:val="00F055B5"/>
    <w:rsid w:val="00F06D37"/>
    <w:rsid w:val="00F07B9D"/>
    <w:rsid w:val="00F11586"/>
    <w:rsid w:val="00F1183B"/>
    <w:rsid w:val="00F11C9F"/>
    <w:rsid w:val="00F12263"/>
    <w:rsid w:val="00F12B0B"/>
    <w:rsid w:val="00F12F2E"/>
    <w:rsid w:val="00F1409D"/>
    <w:rsid w:val="00F14214"/>
    <w:rsid w:val="00F14FD0"/>
    <w:rsid w:val="00F157A9"/>
    <w:rsid w:val="00F16054"/>
    <w:rsid w:val="00F16950"/>
    <w:rsid w:val="00F203CA"/>
    <w:rsid w:val="00F21BD8"/>
    <w:rsid w:val="00F2284F"/>
    <w:rsid w:val="00F22DCF"/>
    <w:rsid w:val="00F2347A"/>
    <w:rsid w:val="00F24287"/>
    <w:rsid w:val="00F24445"/>
    <w:rsid w:val="00F25BB6"/>
    <w:rsid w:val="00F26B7E"/>
    <w:rsid w:val="00F26CD5"/>
    <w:rsid w:val="00F27A3B"/>
    <w:rsid w:val="00F3087E"/>
    <w:rsid w:val="00F32F56"/>
    <w:rsid w:val="00F33817"/>
    <w:rsid w:val="00F33DE2"/>
    <w:rsid w:val="00F3589A"/>
    <w:rsid w:val="00F369BC"/>
    <w:rsid w:val="00F36A35"/>
    <w:rsid w:val="00F420D5"/>
    <w:rsid w:val="00F4222E"/>
    <w:rsid w:val="00F427F3"/>
    <w:rsid w:val="00F451EA"/>
    <w:rsid w:val="00F45447"/>
    <w:rsid w:val="00F456C6"/>
    <w:rsid w:val="00F4577B"/>
    <w:rsid w:val="00F46496"/>
    <w:rsid w:val="00F474D0"/>
    <w:rsid w:val="00F50179"/>
    <w:rsid w:val="00F515EE"/>
    <w:rsid w:val="00F56511"/>
    <w:rsid w:val="00F6194E"/>
    <w:rsid w:val="00F623AC"/>
    <w:rsid w:val="00F62CF5"/>
    <w:rsid w:val="00F6412A"/>
    <w:rsid w:val="00F65893"/>
    <w:rsid w:val="00F65DEE"/>
    <w:rsid w:val="00F66A4A"/>
    <w:rsid w:val="00F67351"/>
    <w:rsid w:val="00F71BAF"/>
    <w:rsid w:val="00F71E22"/>
    <w:rsid w:val="00F72142"/>
    <w:rsid w:val="00F72AE7"/>
    <w:rsid w:val="00F740DC"/>
    <w:rsid w:val="00F75AC1"/>
    <w:rsid w:val="00F76E59"/>
    <w:rsid w:val="00F80BBC"/>
    <w:rsid w:val="00F81141"/>
    <w:rsid w:val="00F81634"/>
    <w:rsid w:val="00F833BA"/>
    <w:rsid w:val="00F837B4"/>
    <w:rsid w:val="00F849D8"/>
    <w:rsid w:val="00F84FD0"/>
    <w:rsid w:val="00F859A8"/>
    <w:rsid w:val="00F8621B"/>
    <w:rsid w:val="00F86D87"/>
    <w:rsid w:val="00F878D0"/>
    <w:rsid w:val="00F87D48"/>
    <w:rsid w:val="00F87D9E"/>
    <w:rsid w:val="00F9108B"/>
    <w:rsid w:val="00F91145"/>
    <w:rsid w:val="00F91349"/>
    <w:rsid w:val="00F93A8A"/>
    <w:rsid w:val="00F95248"/>
    <w:rsid w:val="00F956A9"/>
    <w:rsid w:val="00F963ED"/>
    <w:rsid w:val="00F966CF"/>
    <w:rsid w:val="00F96CAE"/>
    <w:rsid w:val="00F97C99"/>
    <w:rsid w:val="00FA1165"/>
    <w:rsid w:val="00FA17EB"/>
    <w:rsid w:val="00FA2BC8"/>
    <w:rsid w:val="00FA3CA4"/>
    <w:rsid w:val="00FA45E0"/>
    <w:rsid w:val="00FA4DAC"/>
    <w:rsid w:val="00FA52DB"/>
    <w:rsid w:val="00FA5B28"/>
    <w:rsid w:val="00FA662D"/>
    <w:rsid w:val="00FA6C5E"/>
    <w:rsid w:val="00FA7249"/>
    <w:rsid w:val="00FA73B1"/>
    <w:rsid w:val="00FA7D6D"/>
    <w:rsid w:val="00FB0CB9"/>
    <w:rsid w:val="00FB14CC"/>
    <w:rsid w:val="00FB17EB"/>
    <w:rsid w:val="00FB1A50"/>
    <w:rsid w:val="00FB231D"/>
    <w:rsid w:val="00FB3DE1"/>
    <w:rsid w:val="00FB45A4"/>
    <w:rsid w:val="00FB45F1"/>
    <w:rsid w:val="00FB4A72"/>
    <w:rsid w:val="00FB5448"/>
    <w:rsid w:val="00FB54E8"/>
    <w:rsid w:val="00FB7054"/>
    <w:rsid w:val="00FB7211"/>
    <w:rsid w:val="00FC0895"/>
    <w:rsid w:val="00FC17B7"/>
    <w:rsid w:val="00FC2CB7"/>
    <w:rsid w:val="00FC2ED2"/>
    <w:rsid w:val="00FC4090"/>
    <w:rsid w:val="00FC4A2E"/>
    <w:rsid w:val="00FC55B4"/>
    <w:rsid w:val="00FC75D0"/>
    <w:rsid w:val="00FD00E6"/>
    <w:rsid w:val="00FD05F0"/>
    <w:rsid w:val="00FD09A1"/>
    <w:rsid w:val="00FD242F"/>
    <w:rsid w:val="00FD2A7C"/>
    <w:rsid w:val="00FD59EB"/>
    <w:rsid w:val="00FD5A8B"/>
    <w:rsid w:val="00FD7299"/>
    <w:rsid w:val="00FE1FBE"/>
    <w:rsid w:val="00FE23FA"/>
    <w:rsid w:val="00FE2B97"/>
    <w:rsid w:val="00FE356A"/>
    <w:rsid w:val="00FE3901"/>
    <w:rsid w:val="00FE39D3"/>
    <w:rsid w:val="00FE42DD"/>
    <w:rsid w:val="00FE4BCE"/>
    <w:rsid w:val="00FE54AE"/>
    <w:rsid w:val="00FE576A"/>
    <w:rsid w:val="00FE79CA"/>
    <w:rsid w:val="00FE7E79"/>
    <w:rsid w:val="00FF1044"/>
    <w:rsid w:val="00FF3E7D"/>
    <w:rsid w:val="00FF5B45"/>
    <w:rsid w:val="00FF5B99"/>
    <w:rsid w:val="00FF7032"/>
    <w:rsid w:val="00FF71F0"/>
    <w:rsid w:val="00FF730C"/>
    <w:rsid w:val="00FF73F4"/>
    <w:rsid w:val="00FF7CE4"/>
    <w:rsid w:val="00FF7E39"/>
    <w:rsid w:val="01474DD9"/>
    <w:rsid w:val="01984230"/>
    <w:rsid w:val="01AF75BA"/>
    <w:rsid w:val="01C26E13"/>
    <w:rsid w:val="01F304E5"/>
    <w:rsid w:val="02386D4C"/>
    <w:rsid w:val="024C2B81"/>
    <w:rsid w:val="02881B88"/>
    <w:rsid w:val="028D5A71"/>
    <w:rsid w:val="02B503C4"/>
    <w:rsid w:val="03047F67"/>
    <w:rsid w:val="03766107"/>
    <w:rsid w:val="04060B37"/>
    <w:rsid w:val="04987760"/>
    <w:rsid w:val="04B44B49"/>
    <w:rsid w:val="04BF1E06"/>
    <w:rsid w:val="05955590"/>
    <w:rsid w:val="05FF5E1B"/>
    <w:rsid w:val="062366B9"/>
    <w:rsid w:val="0659504A"/>
    <w:rsid w:val="06657B63"/>
    <w:rsid w:val="0680729D"/>
    <w:rsid w:val="06B65283"/>
    <w:rsid w:val="06D35A11"/>
    <w:rsid w:val="070655D4"/>
    <w:rsid w:val="076A01CF"/>
    <w:rsid w:val="07A264C8"/>
    <w:rsid w:val="08004249"/>
    <w:rsid w:val="08616874"/>
    <w:rsid w:val="08860F10"/>
    <w:rsid w:val="0934252A"/>
    <w:rsid w:val="097B79DE"/>
    <w:rsid w:val="09886B94"/>
    <w:rsid w:val="09AA1703"/>
    <w:rsid w:val="09E4354F"/>
    <w:rsid w:val="0AC97F14"/>
    <w:rsid w:val="0B16011C"/>
    <w:rsid w:val="0B8542E8"/>
    <w:rsid w:val="0BB0715B"/>
    <w:rsid w:val="0BE20FFD"/>
    <w:rsid w:val="0BEF05AE"/>
    <w:rsid w:val="0C2B236B"/>
    <w:rsid w:val="0C7B49BA"/>
    <w:rsid w:val="0DA624A1"/>
    <w:rsid w:val="0FB3423F"/>
    <w:rsid w:val="10075607"/>
    <w:rsid w:val="107E5532"/>
    <w:rsid w:val="10A416C6"/>
    <w:rsid w:val="110C2B8B"/>
    <w:rsid w:val="11152A74"/>
    <w:rsid w:val="11244F11"/>
    <w:rsid w:val="114006A7"/>
    <w:rsid w:val="11570513"/>
    <w:rsid w:val="126161D4"/>
    <w:rsid w:val="127431D3"/>
    <w:rsid w:val="1299771C"/>
    <w:rsid w:val="12AE2B18"/>
    <w:rsid w:val="13083CAC"/>
    <w:rsid w:val="13130D57"/>
    <w:rsid w:val="13B94658"/>
    <w:rsid w:val="13BB1E34"/>
    <w:rsid w:val="14602C66"/>
    <w:rsid w:val="14624003"/>
    <w:rsid w:val="146B333A"/>
    <w:rsid w:val="14933FC5"/>
    <w:rsid w:val="14CA62B3"/>
    <w:rsid w:val="15082CF2"/>
    <w:rsid w:val="158A239C"/>
    <w:rsid w:val="15966244"/>
    <w:rsid w:val="15AD356D"/>
    <w:rsid w:val="16011410"/>
    <w:rsid w:val="163602D0"/>
    <w:rsid w:val="164C1D1F"/>
    <w:rsid w:val="168B3804"/>
    <w:rsid w:val="16C57ED2"/>
    <w:rsid w:val="16D267F8"/>
    <w:rsid w:val="179F4CFE"/>
    <w:rsid w:val="17AE7407"/>
    <w:rsid w:val="18145549"/>
    <w:rsid w:val="18236A9F"/>
    <w:rsid w:val="182643EE"/>
    <w:rsid w:val="185C577D"/>
    <w:rsid w:val="189E3CDE"/>
    <w:rsid w:val="18F2470E"/>
    <w:rsid w:val="18F51DE0"/>
    <w:rsid w:val="197902A7"/>
    <w:rsid w:val="19A023E1"/>
    <w:rsid w:val="1A122C11"/>
    <w:rsid w:val="1A7B4095"/>
    <w:rsid w:val="1AEF67D5"/>
    <w:rsid w:val="1B043B73"/>
    <w:rsid w:val="1C1551D8"/>
    <w:rsid w:val="1C22105F"/>
    <w:rsid w:val="1C4F151C"/>
    <w:rsid w:val="1C5E3001"/>
    <w:rsid w:val="1C946EDD"/>
    <w:rsid w:val="1D324F63"/>
    <w:rsid w:val="1DA559B7"/>
    <w:rsid w:val="1DEA2587"/>
    <w:rsid w:val="1E0B5246"/>
    <w:rsid w:val="1E0E5BAF"/>
    <w:rsid w:val="1E7B583E"/>
    <w:rsid w:val="1ED02718"/>
    <w:rsid w:val="1F103A0D"/>
    <w:rsid w:val="1F23724E"/>
    <w:rsid w:val="1FDB4A2A"/>
    <w:rsid w:val="1FE16729"/>
    <w:rsid w:val="20000DDB"/>
    <w:rsid w:val="20252929"/>
    <w:rsid w:val="202E6173"/>
    <w:rsid w:val="20383D9C"/>
    <w:rsid w:val="206A4112"/>
    <w:rsid w:val="206E17E4"/>
    <w:rsid w:val="20BC2ADB"/>
    <w:rsid w:val="20CE712B"/>
    <w:rsid w:val="210D0CE7"/>
    <w:rsid w:val="21AF693A"/>
    <w:rsid w:val="21B84BEB"/>
    <w:rsid w:val="22361439"/>
    <w:rsid w:val="226118D9"/>
    <w:rsid w:val="22B41B6C"/>
    <w:rsid w:val="22E42C35"/>
    <w:rsid w:val="22F34C27"/>
    <w:rsid w:val="234125D4"/>
    <w:rsid w:val="235651B5"/>
    <w:rsid w:val="23A27A93"/>
    <w:rsid w:val="23A758EB"/>
    <w:rsid w:val="23C33C34"/>
    <w:rsid w:val="23CA22BC"/>
    <w:rsid w:val="23D7106F"/>
    <w:rsid w:val="248A2C53"/>
    <w:rsid w:val="24EF58C2"/>
    <w:rsid w:val="26024B6B"/>
    <w:rsid w:val="264C11B0"/>
    <w:rsid w:val="26C0649C"/>
    <w:rsid w:val="2710621E"/>
    <w:rsid w:val="27B4439C"/>
    <w:rsid w:val="2815142E"/>
    <w:rsid w:val="28C87E31"/>
    <w:rsid w:val="28ED2A91"/>
    <w:rsid w:val="28F2518C"/>
    <w:rsid w:val="293F7969"/>
    <w:rsid w:val="295C5A3A"/>
    <w:rsid w:val="296B5579"/>
    <w:rsid w:val="297D0680"/>
    <w:rsid w:val="299954DC"/>
    <w:rsid w:val="29F40BD6"/>
    <w:rsid w:val="29FB34D2"/>
    <w:rsid w:val="2A6337ED"/>
    <w:rsid w:val="2A6F54DA"/>
    <w:rsid w:val="2A7478F1"/>
    <w:rsid w:val="2B261043"/>
    <w:rsid w:val="2B2E450B"/>
    <w:rsid w:val="2B34796D"/>
    <w:rsid w:val="2B5605BF"/>
    <w:rsid w:val="2B6568DD"/>
    <w:rsid w:val="2B8F21F0"/>
    <w:rsid w:val="2BF10135"/>
    <w:rsid w:val="2BFB0BD7"/>
    <w:rsid w:val="2BFC66FE"/>
    <w:rsid w:val="2C730032"/>
    <w:rsid w:val="2C7E567A"/>
    <w:rsid w:val="2CB05F79"/>
    <w:rsid w:val="2D220ED0"/>
    <w:rsid w:val="2D2E3D7B"/>
    <w:rsid w:val="2D375A51"/>
    <w:rsid w:val="2D555AB8"/>
    <w:rsid w:val="2DB95B2F"/>
    <w:rsid w:val="2DCD0A11"/>
    <w:rsid w:val="2E2D79C3"/>
    <w:rsid w:val="2E3A4BBE"/>
    <w:rsid w:val="2E693FEF"/>
    <w:rsid w:val="2E8452CD"/>
    <w:rsid w:val="2E990AD5"/>
    <w:rsid w:val="2F1C2542"/>
    <w:rsid w:val="2F4D0C2D"/>
    <w:rsid w:val="2F6F3DDB"/>
    <w:rsid w:val="2F7A4813"/>
    <w:rsid w:val="2FC00B7A"/>
    <w:rsid w:val="303352DE"/>
    <w:rsid w:val="3095760D"/>
    <w:rsid w:val="30BF349C"/>
    <w:rsid w:val="30C11713"/>
    <w:rsid w:val="31344D88"/>
    <w:rsid w:val="31750D06"/>
    <w:rsid w:val="32107CD5"/>
    <w:rsid w:val="321D4DDE"/>
    <w:rsid w:val="322F66CE"/>
    <w:rsid w:val="324061F9"/>
    <w:rsid w:val="327B327A"/>
    <w:rsid w:val="32A005BA"/>
    <w:rsid w:val="33444B07"/>
    <w:rsid w:val="33497DE1"/>
    <w:rsid w:val="33A016F1"/>
    <w:rsid w:val="34884599"/>
    <w:rsid w:val="34951FE2"/>
    <w:rsid w:val="35226463"/>
    <w:rsid w:val="353B2170"/>
    <w:rsid w:val="35A8463E"/>
    <w:rsid w:val="35B54FC1"/>
    <w:rsid w:val="35CF507F"/>
    <w:rsid w:val="360F5D67"/>
    <w:rsid w:val="363B7326"/>
    <w:rsid w:val="36C77B9B"/>
    <w:rsid w:val="36F24CFF"/>
    <w:rsid w:val="36F8293C"/>
    <w:rsid w:val="371F53FD"/>
    <w:rsid w:val="37305834"/>
    <w:rsid w:val="37471F6D"/>
    <w:rsid w:val="37512418"/>
    <w:rsid w:val="37E50CC5"/>
    <w:rsid w:val="37EE2C12"/>
    <w:rsid w:val="3828316D"/>
    <w:rsid w:val="386C1EA3"/>
    <w:rsid w:val="38D247F0"/>
    <w:rsid w:val="39085899"/>
    <w:rsid w:val="392449A2"/>
    <w:rsid w:val="393736CB"/>
    <w:rsid w:val="3999034E"/>
    <w:rsid w:val="39AC380B"/>
    <w:rsid w:val="39F047D5"/>
    <w:rsid w:val="3A1C0979"/>
    <w:rsid w:val="3A207883"/>
    <w:rsid w:val="3A7B5F3D"/>
    <w:rsid w:val="3AF45588"/>
    <w:rsid w:val="3B2671D4"/>
    <w:rsid w:val="3BEE033D"/>
    <w:rsid w:val="3C4B742A"/>
    <w:rsid w:val="3CA01076"/>
    <w:rsid w:val="3CFC7EAD"/>
    <w:rsid w:val="3D4029C7"/>
    <w:rsid w:val="3DE74CCB"/>
    <w:rsid w:val="3E146B88"/>
    <w:rsid w:val="3E5F71BC"/>
    <w:rsid w:val="3E637128"/>
    <w:rsid w:val="3E842F82"/>
    <w:rsid w:val="3EB95FB9"/>
    <w:rsid w:val="3EEC2938"/>
    <w:rsid w:val="3F0006E1"/>
    <w:rsid w:val="3F5C7130"/>
    <w:rsid w:val="3F5C743C"/>
    <w:rsid w:val="3FAC0D87"/>
    <w:rsid w:val="3FB9064F"/>
    <w:rsid w:val="3FE56885"/>
    <w:rsid w:val="3FF300FE"/>
    <w:rsid w:val="3FFA4BE2"/>
    <w:rsid w:val="401A2AF5"/>
    <w:rsid w:val="40AC3C03"/>
    <w:rsid w:val="41165D8A"/>
    <w:rsid w:val="4168415E"/>
    <w:rsid w:val="41A63A30"/>
    <w:rsid w:val="41CD0B42"/>
    <w:rsid w:val="422363B0"/>
    <w:rsid w:val="423B0441"/>
    <w:rsid w:val="42452C5B"/>
    <w:rsid w:val="42640756"/>
    <w:rsid w:val="42784676"/>
    <w:rsid w:val="428831B7"/>
    <w:rsid w:val="42994B0E"/>
    <w:rsid w:val="429C09DF"/>
    <w:rsid w:val="432809D4"/>
    <w:rsid w:val="4352109E"/>
    <w:rsid w:val="43721740"/>
    <w:rsid w:val="439F3B87"/>
    <w:rsid w:val="43B91D0A"/>
    <w:rsid w:val="444C3D3F"/>
    <w:rsid w:val="44CB609F"/>
    <w:rsid w:val="44CF59B2"/>
    <w:rsid w:val="45750623"/>
    <w:rsid w:val="45AD5710"/>
    <w:rsid w:val="45FC0381"/>
    <w:rsid w:val="46291A81"/>
    <w:rsid w:val="463B2A38"/>
    <w:rsid w:val="47181048"/>
    <w:rsid w:val="47324191"/>
    <w:rsid w:val="47431429"/>
    <w:rsid w:val="4790322A"/>
    <w:rsid w:val="47AF0A12"/>
    <w:rsid w:val="48163690"/>
    <w:rsid w:val="4836121E"/>
    <w:rsid w:val="48504709"/>
    <w:rsid w:val="48A94193"/>
    <w:rsid w:val="48D37A4C"/>
    <w:rsid w:val="48D730D2"/>
    <w:rsid w:val="49265B50"/>
    <w:rsid w:val="494D15AE"/>
    <w:rsid w:val="498977B2"/>
    <w:rsid w:val="4A0F099D"/>
    <w:rsid w:val="4A8076E0"/>
    <w:rsid w:val="4A8A55C1"/>
    <w:rsid w:val="4AAD234B"/>
    <w:rsid w:val="4AD82DB2"/>
    <w:rsid w:val="4AF015A2"/>
    <w:rsid w:val="4B1C66BD"/>
    <w:rsid w:val="4B7F1A7A"/>
    <w:rsid w:val="4C2D65D4"/>
    <w:rsid w:val="4C7B09D4"/>
    <w:rsid w:val="4C9F560F"/>
    <w:rsid w:val="4CFB27A6"/>
    <w:rsid w:val="4D07739D"/>
    <w:rsid w:val="4D733F64"/>
    <w:rsid w:val="4DBC549B"/>
    <w:rsid w:val="4DF003CD"/>
    <w:rsid w:val="4E174816"/>
    <w:rsid w:val="4E3D078D"/>
    <w:rsid w:val="4E7D1A3E"/>
    <w:rsid w:val="4E8B4648"/>
    <w:rsid w:val="4E995ED8"/>
    <w:rsid w:val="4FAD5711"/>
    <w:rsid w:val="4FF963FF"/>
    <w:rsid w:val="4FFD6EE7"/>
    <w:rsid w:val="504666EC"/>
    <w:rsid w:val="50974594"/>
    <w:rsid w:val="50975780"/>
    <w:rsid w:val="50C81576"/>
    <w:rsid w:val="511E390E"/>
    <w:rsid w:val="51733053"/>
    <w:rsid w:val="51883531"/>
    <w:rsid w:val="518B234A"/>
    <w:rsid w:val="52495D62"/>
    <w:rsid w:val="53016AFF"/>
    <w:rsid w:val="53514236"/>
    <w:rsid w:val="53C71AFC"/>
    <w:rsid w:val="53F62D6E"/>
    <w:rsid w:val="53FF492A"/>
    <w:rsid w:val="540957A8"/>
    <w:rsid w:val="545E036D"/>
    <w:rsid w:val="54983866"/>
    <w:rsid w:val="54B325A3"/>
    <w:rsid w:val="55203267"/>
    <w:rsid w:val="55520CB7"/>
    <w:rsid w:val="5568770C"/>
    <w:rsid w:val="55AC32D9"/>
    <w:rsid w:val="55CA0297"/>
    <w:rsid w:val="55E65C7F"/>
    <w:rsid w:val="55F76A1D"/>
    <w:rsid w:val="56192937"/>
    <w:rsid w:val="5628508A"/>
    <w:rsid w:val="5654356E"/>
    <w:rsid w:val="568E34F8"/>
    <w:rsid w:val="5727027F"/>
    <w:rsid w:val="57381315"/>
    <w:rsid w:val="574216FD"/>
    <w:rsid w:val="57444737"/>
    <w:rsid w:val="577E05B4"/>
    <w:rsid w:val="57830C8A"/>
    <w:rsid w:val="579B1993"/>
    <w:rsid w:val="57B632FF"/>
    <w:rsid w:val="57C27CEB"/>
    <w:rsid w:val="57C80BDD"/>
    <w:rsid w:val="583B1EF5"/>
    <w:rsid w:val="5849729B"/>
    <w:rsid w:val="588210B0"/>
    <w:rsid w:val="588C4D06"/>
    <w:rsid w:val="58AB6984"/>
    <w:rsid w:val="58C66FC3"/>
    <w:rsid w:val="58D468D5"/>
    <w:rsid w:val="58F5454D"/>
    <w:rsid w:val="58FC3B82"/>
    <w:rsid w:val="5952374E"/>
    <w:rsid w:val="5A44535C"/>
    <w:rsid w:val="5B062A42"/>
    <w:rsid w:val="5B49770A"/>
    <w:rsid w:val="5D1B6376"/>
    <w:rsid w:val="5D321951"/>
    <w:rsid w:val="5D347254"/>
    <w:rsid w:val="5D9E6F62"/>
    <w:rsid w:val="5DA50E56"/>
    <w:rsid w:val="5DD67BDE"/>
    <w:rsid w:val="5DDA1CBA"/>
    <w:rsid w:val="5E7F211A"/>
    <w:rsid w:val="5E9860A7"/>
    <w:rsid w:val="5F0B2FEB"/>
    <w:rsid w:val="5FAB5073"/>
    <w:rsid w:val="5FE751EB"/>
    <w:rsid w:val="60673F83"/>
    <w:rsid w:val="608A3D9A"/>
    <w:rsid w:val="609C10D0"/>
    <w:rsid w:val="60DD7E88"/>
    <w:rsid w:val="61096DE8"/>
    <w:rsid w:val="61834D5D"/>
    <w:rsid w:val="61976D3D"/>
    <w:rsid w:val="61A508A1"/>
    <w:rsid w:val="61DA285B"/>
    <w:rsid w:val="61FB0E26"/>
    <w:rsid w:val="622F26B9"/>
    <w:rsid w:val="62C01B2A"/>
    <w:rsid w:val="63893799"/>
    <w:rsid w:val="63B30F2E"/>
    <w:rsid w:val="63C445C8"/>
    <w:rsid w:val="64120AF4"/>
    <w:rsid w:val="64250155"/>
    <w:rsid w:val="643E6222"/>
    <w:rsid w:val="646113B0"/>
    <w:rsid w:val="64653B42"/>
    <w:rsid w:val="647C4628"/>
    <w:rsid w:val="649D3433"/>
    <w:rsid w:val="64D92102"/>
    <w:rsid w:val="650F5205"/>
    <w:rsid w:val="6516599A"/>
    <w:rsid w:val="65377156"/>
    <w:rsid w:val="656B6C3D"/>
    <w:rsid w:val="65910ABC"/>
    <w:rsid w:val="65CD6833"/>
    <w:rsid w:val="65DC3DCC"/>
    <w:rsid w:val="65DD1E20"/>
    <w:rsid w:val="65E00B5E"/>
    <w:rsid w:val="66331E32"/>
    <w:rsid w:val="67044C28"/>
    <w:rsid w:val="670A35D7"/>
    <w:rsid w:val="673B7F17"/>
    <w:rsid w:val="67967430"/>
    <w:rsid w:val="67B31157"/>
    <w:rsid w:val="67F3753B"/>
    <w:rsid w:val="680D0FB2"/>
    <w:rsid w:val="685E710B"/>
    <w:rsid w:val="68DC3034"/>
    <w:rsid w:val="68EC27F9"/>
    <w:rsid w:val="696F15A9"/>
    <w:rsid w:val="69747666"/>
    <w:rsid w:val="69A3665D"/>
    <w:rsid w:val="69E7620D"/>
    <w:rsid w:val="6B040620"/>
    <w:rsid w:val="6B184E9E"/>
    <w:rsid w:val="6B2B448F"/>
    <w:rsid w:val="6B3B1A2E"/>
    <w:rsid w:val="6B603C5F"/>
    <w:rsid w:val="6B6537B4"/>
    <w:rsid w:val="6BD554F2"/>
    <w:rsid w:val="6C94077E"/>
    <w:rsid w:val="6CCD4BDE"/>
    <w:rsid w:val="6CE76CD4"/>
    <w:rsid w:val="6CF76050"/>
    <w:rsid w:val="6D0111D7"/>
    <w:rsid w:val="6D5A0320"/>
    <w:rsid w:val="6D5B34FD"/>
    <w:rsid w:val="6E1F42EF"/>
    <w:rsid w:val="6E2C7D6A"/>
    <w:rsid w:val="6E947F9F"/>
    <w:rsid w:val="6EA33875"/>
    <w:rsid w:val="6EB02F99"/>
    <w:rsid w:val="6ED72B2B"/>
    <w:rsid w:val="6F041661"/>
    <w:rsid w:val="6F1C542D"/>
    <w:rsid w:val="6F6126B0"/>
    <w:rsid w:val="6F6E535B"/>
    <w:rsid w:val="6FF72F4D"/>
    <w:rsid w:val="70365851"/>
    <w:rsid w:val="705F07D2"/>
    <w:rsid w:val="70891CF3"/>
    <w:rsid w:val="70B812BD"/>
    <w:rsid w:val="7100164B"/>
    <w:rsid w:val="7205184D"/>
    <w:rsid w:val="723716D1"/>
    <w:rsid w:val="7237349C"/>
    <w:rsid w:val="728A1A2B"/>
    <w:rsid w:val="728A58AF"/>
    <w:rsid w:val="72E62EE4"/>
    <w:rsid w:val="72F65D5E"/>
    <w:rsid w:val="73A1293D"/>
    <w:rsid w:val="73A51FED"/>
    <w:rsid w:val="73C5163E"/>
    <w:rsid w:val="740B127C"/>
    <w:rsid w:val="7419513C"/>
    <w:rsid w:val="7495132E"/>
    <w:rsid w:val="751807A0"/>
    <w:rsid w:val="752F0E95"/>
    <w:rsid w:val="75570E74"/>
    <w:rsid w:val="757B67EB"/>
    <w:rsid w:val="75AF3188"/>
    <w:rsid w:val="75DE78B9"/>
    <w:rsid w:val="75E82BE7"/>
    <w:rsid w:val="760C1E99"/>
    <w:rsid w:val="76195B9E"/>
    <w:rsid w:val="76563F03"/>
    <w:rsid w:val="765A74E0"/>
    <w:rsid w:val="766E5C13"/>
    <w:rsid w:val="768A7A2B"/>
    <w:rsid w:val="77241061"/>
    <w:rsid w:val="773706AE"/>
    <w:rsid w:val="7756434C"/>
    <w:rsid w:val="77671331"/>
    <w:rsid w:val="7780446E"/>
    <w:rsid w:val="77860A5E"/>
    <w:rsid w:val="77AC79C8"/>
    <w:rsid w:val="77B458E6"/>
    <w:rsid w:val="77EA300E"/>
    <w:rsid w:val="78366F76"/>
    <w:rsid w:val="78506E4C"/>
    <w:rsid w:val="785832C3"/>
    <w:rsid w:val="788500C9"/>
    <w:rsid w:val="788B412F"/>
    <w:rsid w:val="78982F32"/>
    <w:rsid w:val="78B61DE7"/>
    <w:rsid w:val="79A5447E"/>
    <w:rsid w:val="79D7762B"/>
    <w:rsid w:val="79FB2643"/>
    <w:rsid w:val="7A560C6E"/>
    <w:rsid w:val="7A7B6444"/>
    <w:rsid w:val="7AAB626C"/>
    <w:rsid w:val="7B60458E"/>
    <w:rsid w:val="7B6F139A"/>
    <w:rsid w:val="7B7E405B"/>
    <w:rsid w:val="7BA32DC7"/>
    <w:rsid w:val="7C27395F"/>
    <w:rsid w:val="7C8A3487"/>
    <w:rsid w:val="7CA06E18"/>
    <w:rsid w:val="7CD567E1"/>
    <w:rsid w:val="7CD85187"/>
    <w:rsid w:val="7D1312C2"/>
    <w:rsid w:val="7D1A30F4"/>
    <w:rsid w:val="7D5A23B4"/>
    <w:rsid w:val="7DAB285F"/>
    <w:rsid w:val="7DEE7D58"/>
    <w:rsid w:val="7E0A3D11"/>
    <w:rsid w:val="7E2B43EA"/>
    <w:rsid w:val="7EA5419C"/>
    <w:rsid w:val="7F8566D3"/>
    <w:rsid w:val="7FF904DE"/>
    <w:rsid w:val="7FFF5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qFormat="1" w:unhideWhenUsed="0" w:uiPriority="0" w:semiHidden="0"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paragraph" w:styleId="5">
    <w:name w:val="heading 4"/>
    <w:basedOn w:val="1"/>
    <w:next w:val="1"/>
    <w:link w:val="4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2"/>
    <w:qFormat/>
    <w:uiPriority w:val="0"/>
    <w:pPr>
      <w:keepNext/>
      <w:keepLines/>
      <w:adjustRightInd/>
      <w:spacing w:before="240" w:after="64" w:line="320" w:lineRule="auto"/>
      <w:outlineLvl w:val="8"/>
    </w:pPr>
    <w:rPr>
      <w:rFonts w:ascii="Arial" w:hAnsi="Arial" w:eastAsia="黑体"/>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53"/>
    <w:unhideWhenUsed/>
    <w:qFormat/>
    <w:uiPriority w:val="99"/>
    <w:pPr>
      <w:adjustRightInd/>
      <w:spacing w:line="240" w:lineRule="auto"/>
      <w:jc w:val="left"/>
    </w:pPr>
    <w:rPr>
      <w:rFonts w:asciiTheme="minorHAnsi" w:hAnsiTheme="minorHAnsi" w:eastAsiaTheme="minorEastAsia" w:cstheme="minorBidi"/>
      <w:szCs w:val="22"/>
    </w:rPr>
  </w:style>
  <w:style w:type="paragraph" w:styleId="14">
    <w:name w:val="Body Text"/>
    <w:basedOn w:val="1"/>
    <w:link w:val="54"/>
    <w:qFormat/>
    <w:uiPriority w:val="0"/>
    <w:pPr>
      <w:spacing w:after="120"/>
    </w:pPr>
  </w:style>
  <w:style w:type="paragraph" w:styleId="15">
    <w:name w:val="Body Text Indent"/>
    <w:basedOn w:val="1"/>
    <w:link w:val="55"/>
    <w:semiHidden/>
    <w:unhideWhenUsed/>
    <w:qFormat/>
    <w:uiPriority w:val="99"/>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Plain Text"/>
    <w:basedOn w:val="1"/>
    <w:link w:val="248"/>
    <w:qFormat/>
    <w:uiPriority w:val="99"/>
    <w:pPr>
      <w:spacing w:line="312" w:lineRule="atLeast"/>
      <w:textAlignment w:val="baseline"/>
    </w:pPr>
    <w:rPr>
      <w:rFonts w:ascii="宋体" w:hAnsi="Courier New"/>
      <w:kern w:val="0"/>
      <w:szCs w:val="20"/>
    </w:rPr>
  </w:style>
  <w:style w:type="paragraph" w:styleId="19">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20">
    <w:name w:val="Date"/>
    <w:basedOn w:val="1"/>
    <w:next w:val="1"/>
    <w:link w:val="247"/>
    <w:semiHidden/>
    <w:unhideWhenUsed/>
    <w:qFormat/>
    <w:uiPriority w:val="99"/>
    <w:pPr>
      <w:ind w:left="100" w:leftChars="2500"/>
    </w:pPr>
  </w:style>
  <w:style w:type="paragraph" w:styleId="21">
    <w:name w:val="Balloon Text"/>
    <w:basedOn w:val="1"/>
    <w:link w:val="56"/>
    <w:semiHidden/>
    <w:unhideWhenUsed/>
    <w:qFormat/>
    <w:uiPriority w:val="99"/>
    <w:rPr>
      <w:sz w:val="18"/>
      <w:szCs w:val="18"/>
    </w:rPr>
  </w:style>
  <w:style w:type="paragraph" w:styleId="22">
    <w:name w:val="footer"/>
    <w:basedOn w:val="1"/>
    <w:link w:val="57"/>
    <w:qFormat/>
    <w:uiPriority w:val="99"/>
    <w:pPr>
      <w:tabs>
        <w:tab w:val="center" w:pos="4153"/>
        <w:tab w:val="right" w:pos="8306"/>
      </w:tabs>
      <w:adjustRightInd/>
      <w:snapToGrid w:val="0"/>
      <w:spacing w:line="240" w:lineRule="auto"/>
      <w:jc w:val="right"/>
    </w:pPr>
    <w:rPr>
      <w:rFonts w:ascii="宋体"/>
      <w:sz w:val="18"/>
      <w:szCs w:val="18"/>
    </w:rPr>
  </w:style>
  <w:style w:type="paragraph" w:styleId="23">
    <w:name w:val="envelope return"/>
    <w:basedOn w:val="1"/>
    <w:next w:val="1"/>
    <w:qFormat/>
    <w:uiPriority w:val="0"/>
    <w:pPr>
      <w:adjustRightInd/>
      <w:snapToGrid w:val="0"/>
      <w:spacing w:line="360" w:lineRule="auto"/>
    </w:pPr>
    <w:rPr>
      <w:rFonts w:ascii="Times New Roman" w:hAnsi="Times New Roman" w:eastAsia="仿宋" w:cstheme="minorBidi"/>
      <w:sz w:val="24"/>
      <w:szCs w:val="22"/>
    </w:rPr>
  </w:style>
  <w:style w:type="paragraph" w:styleId="24">
    <w:name w:val="header"/>
    <w:basedOn w:val="1"/>
    <w:link w:val="58"/>
    <w:qFormat/>
    <w:uiPriority w:val="99"/>
    <w:pPr>
      <w:tabs>
        <w:tab w:val="center" w:pos="4153"/>
        <w:tab w:val="right" w:pos="8306"/>
      </w:tabs>
      <w:adjustRightInd/>
      <w:snapToGrid w:val="0"/>
      <w:jc w:val="center"/>
    </w:pPr>
    <w:rPr>
      <w:sz w:val="18"/>
      <w:szCs w:val="18"/>
    </w:rPr>
  </w:style>
  <w:style w:type="paragraph" w:styleId="25">
    <w:name w:val="toc 1"/>
    <w:basedOn w:val="1"/>
    <w:next w:val="1"/>
    <w:unhideWhenUsed/>
    <w:qFormat/>
    <w:uiPriority w:val="39"/>
    <w:pPr>
      <w:tabs>
        <w:tab w:val="right" w:leader="dot" w:pos="9344"/>
      </w:tabs>
      <w:spacing w:line="360" w:lineRule="auto"/>
    </w:pPr>
    <w:rPr>
      <w:rFonts w:ascii="Times New Roman" w:hAnsi="Times New Roman"/>
      <w:bCs/>
      <w:sz w:val="24"/>
    </w:rPr>
  </w:style>
  <w:style w:type="paragraph" w:styleId="26">
    <w:name w:val="toc 4"/>
    <w:basedOn w:val="1"/>
    <w:next w:val="1"/>
    <w:unhideWhenUsed/>
    <w:qFormat/>
    <w:uiPriority w:val="39"/>
    <w:pPr>
      <w:tabs>
        <w:tab w:val="right" w:leader="dot" w:pos="9344"/>
      </w:tabs>
      <w:spacing w:line="300" w:lineRule="exact"/>
      <w:ind w:left="629"/>
    </w:pPr>
    <w:rPr>
      <w:rFonts w:ascii="宋体"/>
    </w:rPr>
  </w:style>
  <w:style w:type="paragraph" w:styleId="27">
    <w:name w:val="footnote text"/>
    <w:basedOn w:val="1"/>
    <w:next w:val="1"/>
    <w:link w:val="5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8">
    <w:name w:val="toc 6"/>
    <w:basedOn w:val="1"/>
    <w:next w:val="1"/>
    <w:unhideWhenUsed/>
    <w:qFormat/>
    <w:uiPriority w:val="39"/>
    <w:pPr>
      <w:spacing w:line="300" w:lineRule="exact"/>
      <w:ind w:left="1049"/>
    </w:pPr>
    <w:rPr>
      <w:rFonts w:ascii="宋体"/>
    </w:rPr>
  </w:style>
  <w:style w:type="paragraph" w:styleId="29">
    <w:name w:val="table of figures"/>
    <w:basedOn w:val="1"/>
    <w:next w:val="1"/>
    <w:semiHidden/>
    <w:qFormat/>
    <w:uiPriority w:val="0"/>
    <w:pPr>
      <w:adjustRightInd/>
      <w:spacing w:line="240" w:lineRule="auto"/>
      <w:jc w:val="left"/>
    </w:pPr>
    <w:rPr>
      <w:szCs w:val="24"/>
    </w:rPr>
  </w:style>
  <w:style w:type="paragraph" w:styleId="30">
    <w:name w:val="toc 2"/>
    <w:basedOn w:val="1"/>
    <w:next w:val="1"/>
    <w:unhideWhenUsed/>
    <w:qFormat/>
    <w:uiPriority w:val="39"/>
    <w:pPr>
      <w:tabs>
        <w:tab w:val="right" w:leader="dot" w:pos="9344"/>
      </w:tabs>
      <w:spacing w:line="360" w:lineRule="auto"/>
      <w:ind w:firstLine="200" w:firstLineChars="200"/>
    </w:pPr>
    <w:rPr>
      <w:rFonts w:ascii="Times New Roman" w:hAnsi="Times New Roman"/>
      <w:sz w:val="24"/>
      <w14:scene3d>
        <w14:lightRig w14:rig="threePt" w14:dir="t">
          <w14:rot w14:lat="0" w14:lon="0" w14:rev="0"/>
        </w14:lightRig>
      </w14:scene3d>
    </w:rPr>
  </w:style>
  <w:style w:type="paragraph" w:styleId="31">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32">
    <w:name w:val="Title"/>
    <w:basedOn w:val="1"/>
    <w:link w:val="60"/>
    <w:qFormat/>
    <w:uiPriority w:val="0"/>
    <w:pPr>
      <w:spacing w:before="240" w:after="60"/>
      <w:jc w:val="center"/>
      <w:outlineLvl w:val="0"/>
    </w:pPr>
    <w:rPr>
      <w:rFonts w:ascii="Arial" w:hAnsi="Arial" w:cs="Arial"/>
      <w:b/>
      <w:bCs/>
      <w:sz w:val="32"/>
      <w:szCs w:val="32"/>
    </w:rPr>
  </w:style>
  <w:style w:type="paragraph" w:styleId="33">
    <w:name w:val="annotation subject"/>
    <w:basedOn w:val="13"/>
    <w:next w:val="13"/>
    <w:link w:val="245"/>
    <w:semiHidden/>
    <w:unhideWhenUsed/>
    <w:qFormat/>
    <w:uiPriority w:val="99"/>
    <w:pPr>
      <w:adjustRightInd w:val="0"/>
      <w:spacing w:line="400" w:lineRule="exact"/>
    </w:pPr>
    <w:rPr>
      <w:rFonts w:ascii="Calibri" w:hAnsi="Calibri" w:eastAsia="宋体" w:cs="Times New Roman"/>
      <w:b/>
      <w:bCs/>
      <w:szCs w:val="21"/>
    </w:rPr>
  </w:style>
  <w:style w:type="paragraph" w:styleId="34">
    <w:name w:val="Body Text First Indent 2"/>
    <w:basedOn w:val="15"/>
    <w:link w:val="61"/>
    <w:unhideWhenUsed/>
    <w:qFormat/>
    <w:uiPriority w:val="0"/>
    <w:pPr>
      <w:ind w:firstLine="420" w:firstLineChars="200"/>
    </w:p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page number"/>
    <w:qFormat/>
    <w:uiPriority w:val="0"/>
    <w:rPr>
      <w:rFonts w:ascii="宋体" w:hAnsi="Times New Roman" w:eastAsia="宋体"/>
      <w:sz w:val="18"/>
    </w:rPr>
  </w:style>
  <w:style w:type="character" w:styleId="40">
    <w:name w:val="Emphasis"/>
    <w:qFormat/>
    <w:uiPriority w:val="20"/>
    <w:rPr>
      <w:i/>
      <w:iCs/>
    </w:rPr>
  </w:style>
  <w:style w:type="character" w:styleId="41">
    <w:name w:val="Hyperlink"/>
    <w:qFormat/>
    <w:uiPriority w:val="99"/>
    <w:rPr>
      <w:rFonts w:ascii="宋体" w:hAnsi="Times New Roman" w:eastAsia="宋体"/>
      <w:color w:val="auto"/>
      <w:spacing w:val="0"/>
      <w:w w:val="100"/>
      <w:position w:val="0"/>
      <w:sz w:val="21"/>
      <w:u w:val="none"/>
      <w:vertAlign w:val="baseline"/>
    </w:rPr>
  </w:style>
  <w:style w:type="character" w:styleId="42">
    <w:name w:val="annotation reference"/>
    <w:basedOn w:val="37"/>
    <w:semiHidden/>
    <w:unhideWhenUsed/>
    <w:qFormat/>
    <w:uiPriority w:val="99"/>
    <w:rPr>
      <w:sz w:val="21"/>
      <w:szCs w:val="21"/>
    </w:rPr>
  </w:style>
  <w:style w:type="character" w:styleId="43">
    <w:name w:val="footnote reference"/>
    <w:semiHidden/>
    <w:qFormat/>
    <w:uiPriority w:val="0"/>
    <w:rPr>
      <w:rFonts w:ascii="宋体" w:hAnsi="宋体" w:eastAsia="宋体" w:cs="Times New Roman"/>
      <w:spacing w:val="0"/>
      <w:sz w:val="18"/>
      <w:vertAlign w:val="superscript"/>
    </w:rPr>
  </w:style>
  <w:style w:type="character" w:customStyle="1" w:styleId="44">
    <w:name w:val="标题 1 字符"/>
    <w:link w:val="2"/>
    <w:qFormat/>
    <w:uiPriority w:val="0"/>
    <w:rPr>
      <w:b/>
      <w:bCs/>
      <w:kern w:val="44"/>
      <w:sz w:val="44"/>
      <w:szCs w:val="44"/>
    </w:rPr>
  </w:style>
  <w:style w:type="character" w:customStyle="1" w:styleId="45">
    <w:name w:val="标题 2 字符"/>
    <w:link w:val="3"/>
    <w:qFormat/>
    <w:uiPriority w:val="0"/>
    <w:rPr>
      <w:rFonts w:ascii="Arial" w:hAnsi="Arial" w:eastAsia="黑体"/>
      <w:b/>
      <w:bCs/>
      <w:kern w:val="2"/>
      <w:sz w:val="32"/>
      <w:szCs w:val="32"/>
    </w:rPr>
  </w:style>
  <w:style w:type="character" w:customStyle="1" w:styleId="46">
    <w:name w:val="标题 3 字符"/>
    <w:link w:val="4"/>
    <w:qFormat/>
    <w:uiPriority w:val="0"/>
    <w:rPr>
      <w:b/>
      <w:bCs/>
      <w:kern w:val="2"/>
      <w:sz w:val="32"/>
      <w:szCs w:val="32"/>
    </w:rPr>
  </w:style>
  <w:style w:type="character" w:customStyle="1" w:styleId="47">
    <w:name w:val="标题 4 字符"/>
    <w:link w:val="5"/>
    <w:qFormat/>
    <w:uiPriority w:val="0"/>
    <w:rPr>
      <w:rFonts w:ascii="Arial" w:hAnsi="Arial" w:eastAsia="黑体"/>
      <w:b/>
      <w:bCs/>
      <w:kern w:val="2"/>
      <w:sz w:val="28"/>
      <w:szCs w:val="28"/>
    </w:rPr>
  </w:style>
  <w:style w:type="character" w:customStyle="1" w:styleId="48">
    <w:name w:val="标题 5 字符"/>
    <w:link w:val="6"/>
    <w:qFormat/>
    <w:uiPriority w:val="0"/>
    <w:rPr>
      <w:b/>
      <w:bCs/>
      <w:kern w:val="2"/>
      <w:sz w:val="28"/>
      <w:szCs w:val="28"/>
    </w:rPr>
  </w:style>
  <w:style w:type="character" w:customStyle="1" w:styleId="49">
    <w:name w:val="标题 6 字符"/>
    <w:link w:val="7"/>
    <w:qFormat/>
    <w:uiPriority w:val="0"/>
    <w:rPr>
      <w:rFonts w:ascii="Arial" w:hAnsi="Arial" w:eastAsia="黑体"/>
      <w:b/>
      <w:bCs/>
      <w:kern w:val="2"/>
      <w:sz w:val="24"/>
      <w:szCs w:val="24"/>
    </w:rPr>
  </w:style>
  <w:style w:type="character" w:customStyle="1" w:styleId="50">
    <w:name w:val="标题 7 字符"/>
    <w:link w:val="8"/>
    <w:qFormat/>
    <w:uiPriority w:val="0"/>
    <w:rPr>
      <w:b/>
      <w:bCs/>
      <w:kern w:val="2"/>
      <w:sz w:val="24"/>
      <w:szCs w:val="24"/>
    </w:rPr>
  </w:style>
  <w:style w:type="character" w:customStyle="1" w:styleId="51">
    <w:name w:val="标题 8 字符"/>
    <w:link w:val="9"/>
    <w:qFormat/>
    <w:uiPriority w:val="0"/>
    <w:rPr>
      <w:rFonts w:ascii="Arial" w:hAnsi="Arial" w:eastAsia="黑体"/>
      <w:kern w:val="2"/>
      <w:sz w:val="24"/>
      <w:szCs w:val="24"/>
    </w:rPr>
  </w:style>
  <w:style w:type="character" w:customStyle="1" w:styleId="52">
    <w:name w:val="标题 9 字符"/>
    <w:link w:val="10"/>
    <w:qFormat/>
    <w:uiPriority w:val="0"/>
    <w:rPr>
      <w:rFonts w:ascii="Arial" w:hAnsi="Arial" w:eastAsia="黑体"/>
      <w:kern w:val="2"/>
      <w:sz w:val="21"/>
      <w:szCs w:val="21"/>
    </w:rPr>
  </w:style>
  <w:style w:type="character" w:customStyle="1" w:styleId="53">
    <w:name w:val="批注文字 字符"/>
    <w:basedOn w:val="37"/>
    <w:link w:val="13"/>
    <w:qFormat/>
    <w:uiPriority w:val="99"/>
    <w:rPr>
      <w:rFonts w:asciiTheme="minorHAnsi" w:hAnsiTheme="minorHAnsi" w:eastAsiaTheme="minorEastAsia" w:cstheme="minorBidi"/>
      <w:kern w:val="2"/>
      <w:sz w:val="21"/>
      <w:szCs w:val="22"/>
    </w:rPr>
  </w:style>
  <w:style w:type="character" w:customStyle="1" w:styleId="54">
    <w:name w:val="正文文本 字符"/>
    <w:link w:val="14"/>
    <w:qFormat/>
    <w:uiPriority w:val="0"/>
    <w:rPr>
      <w:kern w:val="2"/>
      <w:sz w:val="21"/>
      <w:szCs w:val="21"/>
    </w:rPr>
  </w:style>
  <w:style w:type="character" w:customStyle="1" w:styleId="55">
    <w:name w:val="正文文本缩进 字符"/>
    <w:basedOn w:val="37"/>
    <w:link w:val="15"/>
    <w:semiHidden/>
    <w:qFormat/>
    <w:uiPriority w:val="99"/>
    <w:rPr>
      <w:kern w:val="2"/>
      <w:sz w:val="21"/>
      <w:szCs w:val="21"/>
    </w:rPr>
  </w:style>
  <w:style w:type="character" w:customStyle="1" w:styleId="56">
    <w:name w:val="批注框文本 字符"/>
    <w:link w:val="21"/>
    <w:semiHidden/>
    <w:qFormat/>
    <w:uiPriority w:val="99"/>
    <w:rPr>
      <w:kern w:val="2"/>
      <w:sz w:val="18"/>
      <w:szCs w:val="18"/>
    </w:rPr>
  </w:style>
  <w:style w:type="character" w:customStyle="1" w:styleId="57">
    <w:name w:val="页脚 字符"/>
    <w:link w:val="22"/>
    <w:qFormat/>
    <w:uiPriority w:val="99"/>
    <w:rPr>
      <w:rFonts w:ascii="宋体"/>
      <w:kern w:val="2"/>
      <w:sz w:val="18"/>
      <w:szCs w:val="18"/>
    </w:rPr>
  </w:style>
  <w:style w:type="character" w:customStyle="1" w:styleId="58">
    <w:name w:val="页眉 字符"/>
    <w:link w:val="24"/>
    <w:qFormat/>
    <w:uiPriority w:val="99"/>
    <w:rPr>
      <w:kern w:val="2"/>
      <w:sz w:val="18"/>
      <w:szCs w:val="18"/>
    </w:rPr>
  </w:style>
  <w:style w:type="character" w:customStyle="1" w:styleId="59">
    <w:name w:val="脚注文本 字符"/>
    <w:link w:val="27"/>
    <w:semiHidden/>
    <w:qFormat/>
    <w:uiPriority w:val="0"/>
    <w:rPr>
      <w:rFonts w:ascii="宋体"/>
      <w:kern w:val="2"/>
      <w:sz w:val="18"/>
      <w:szCs w:val="18"/>
    </w:rPr>
  </w:style>
  <w:style w:type="character" w:customStyle="1" w:styleId="60">
    <w:name w:val="标题 字符"/>
    <w:link w:val="32"/>
    <w:qFormat/>
    <w:uiPriority w:val="0"/>
    <w:rPr>
      <w:rFonts w:ascii="Arial" w:hAnsi="Arial" w:cs="Arial"/>
      <w:b/>
      <w:bCs/>
      <w:kern w:val="2"/>
      <w:sz w:val="32"/>
      <w:szCs w:val="32"/>
    </w:rPr>
  </w:style>
  <w:style w:type="character" w:customStyle="1" w:styleId="61">
    <w:name w:val="正文文本首行缩进 2 字符"/>
    <w:basedOn w:val="55"/>
    <w:link w:val="34"/>
    <w:qFormat/>
    <w:uiPriority w:val="0"/>
    <w:rPr>
      <w:kern w:val="2"/>
      <w:sz w:val="21"/>
      <w:szCs w:val="21"/>
    </w:rPr>
  </w:style>
  <w:style w:type="paragraph" w:styleId="62">
    <w:name w:val="Quote"/>
    <w:basedOn w:val="1"/>
    <w:next w:val="1"/>
    <w:link w:val="63"/>
    <w:qFormat/>
    <w:uiPriority w:val="29"/>
    <w:rPr>
      <w:i/>
      <w:iCs/>
      <w:color w:val="000000"/>
    </w:rPr>
  </w:style>
  <w:style w:type="character" w:customStyle="1" w:styleId="63">
    <w:name w:val="引用 字符"/>
    <w:link w:val="62"/>
    <w:qFormat/>
    <w:uiPriority w:val="29"/>
    <w:rPr>
      <w:i/>
      <w:iCs/>
      <w:color w:val="000000"/>
      <w:kern w:val="2"/>
      <w:sz w:val="21"/>
      <w:szCs w:val="21"/>
    </w:rPr>
  </w:style>
  <w:style w:type="paragraph" w:customStyle="1" w:styleId="6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标准文件_ICS"/>
    <w:basedOn w:val="1"/>
    <w:qFormat/>
    <w:uiPriority w:val="0"/>
    <w:pPr>
      <w:spacing w:line="0" w:lineRule="atLeast"/>
    </w:pPr>
    <w:rPr>
      <w:rFonts w:ascii="黑体" w:hAnsi="宋体" w:eastAsia="黑体"/>
    </w:rPr>
  </w:style>
  <w:style w:type="paragraph" w:customStyle="1" w:styleId="70">
    <w:name w:val="标准文件_标准正文"/>
    <w:basedOn w:val="1"/>
    <w:next w:val="71"/>
    <w:qFormat/>
    <w:uiPriority w:val="0"/>
    <w:pPr>
      <w:snapToGrid w:val="0"/>
      <w:ind w:firstLine="200" w:firstLineChars="200"/>
    </w:pPr>
    <w:rPr>
      <w:kern w:val="0"/>
    </w:rPr>
  </w:style>
  <w:style w:type="paragraph" w:customStyle="1" w:styleId="71">
    <w:name w:val="标准文件_段"/>
    <w:link w:val="7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72">
    <w:name w:val="标准文件_段 Char"/>
    <w:link w:val="71"/>
    <w:qFormat/>
    <w:uiPriority w:val="0"/>
    <w:rPr>
      <w:rFonts w:ascii="宋体" w:hAnsi="Times New Roman"/>
      <w:sz w:val="21"/>
    </w:rPr>
  </w:style>
  <w:style w:type="paragraph" w:customStyle="1" w:styleId="73">
    <w:name w:val="标准文件_版本"/>
    <w:basedOn w:val="70"/>
    <w:qFormat/>
    <w:uiPriority w:val="0"/>
    <w:pPr>
      <w:adjustRightInd/>
      <w:snapToGrid/>
      <w:ind w:firstLine="0" w:firstLineChars="0"/>
    </w:pPr>
    <w:rPr>
      <w:rFonts w:ascii="宋体" w:hAnsi="宋体"/>
      <w:kern w:val="2"/>
    </w:rPr>
  </w:style>
  <w:style w:type="paragraph" w:customStyle="1" w:styleId="74">
    <w:name w:val="标准文件_标准部门"/>
    <w:basedOn w:val="1"/>
    <w:qFormat/>
    <w:uiPriority w:val="0"/>
    <w:pPr>
      <w:jc w:val="center"/>
    </w:pPr>
    <w:rPr>
      <w:rFonts w:ascii="黑体" w:eastAsia="黑体"/>
      <w:kern w:val="0"/>
      <w:sz w:val="44"/>
    </w:rPr>
  </w:style>
  <w:style w:type="paragraph" w:customStyle="1" w:styleId="75">
    <w:name w:val="标准文件_标准代替"/>
    <w:basedOn w:val="1"/>
    <w:next w:val="1"/>
    <w:qFormat/>
    <w:uiPriority w:val="0"/>
    <w:pPr>
      <w:spacing w:line="310" w:lineRule="exact"/>
      <w:jc w:val="right"/>
    </w:pPr>
    <w:rPr>
      <w:rFonts w:ascii="宋体" w:hAnsi="宋体"/>
      <w:kern w:val="0"/>
    </w:rPr>
  </w:style>
  <w:style w:type="paragraph" w:customStyle="1" w:styleId="7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7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8">
    <w:name w:val="标准文件_页眉偶数页"/>
    <w:basedOn w:val="77"/>
    <w:next w:val="1"/>
    <w:qFormat/>
    <w:uiPriority w:val="0"/>
    <w:pPr>
      <w:jc w:val="left"/>
    </w:pPr>
  </w:style>
  <w:style w:type="paragraph" w:customStyle="1" w:styleId="7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8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1">
    <w:name w:val="标准文件_二级条标题"/>
    <w:next w:val="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82">
    <w:name w:val="标准文件_发布"/>
    <w:qFormat/>
    <w:uiPriority w:val="0"/>
    <w:rPr>
      <w:rFonts w:ascii="黑体" w:eastAsia="黑体"/>
      <w:spacing w:val="0"/>
      <w:w w:val="100"/>
      <w:position w:val="3"/>
      <w:sz w:val="28"/>
    </w:rPr>
  </w:style>
  <w:style w:type="paragraph" w:customStyle="1" w:styleId="83">
    <w:name w:val="标准文件_方框数字列项"/>
    <w:basedOn w:val="71"/>
    <w:qFormat/>
    <w:uiPriority w:val="0"/>
    <w:pPr>
      <w:numPr>
        <w:ilvl w:val="0"/>
        <w:numId w:val="3"/>
      </w:numPr>
      <w:ind w:firstLine="0" w:firstLineChars="0"/>
    </w:pPr>
  </w:style>
  <w:style w:type="paragraph" w:customStyle="1" w:styleId="84">
    <w:name w:val="标准文件_封面标准编号"/>
    <w:basedOn w:val="1"/>
    <w:next w:val="75"/>
    <w:qFormat/>
    <w:uiPriority w:val="0"/>
    <w:pPr>
      <w:spacing w:line="310" w:lineRule="exact"/>
      <w:jc w:val="right"/>
    </w:pPr>
    <w:rPr>
      <w:rFonts w:ascii="黑体" w:eastAsia="黑体"/>
      <w:kern w:val="0"/>
      <w:sz w:val="28"/>
    </w:rPr>
  </w:style>
  <w:style w:type="paragraph" w:customStyle="1" w:styleId="85">
    <w:name w:val="标准文件_封面标准分类号"/>
    <w:basedOn w:val="1"/>
    <w:qFormat/>
    <w:uiPriority w:val="0"/>
    <w:rPr>
      <w:rFonts w:ascii="黑体" w:eastAsia="黑体"/>
      <w:b/>
      <w:kern w:val="0"/>
      <w:sz w:val="28"/>
    </w:rPr>
  </w:style>
  <w:style w:type="paragraph" w:customStyle="1" w:styleId="86">
    <w:name w:val="标准文件_封面标准名称"/>
    <w:basedOn w:val="1"/>
    <w:qFormat/>
    <w:uiPriority w:val="0"/>
    <w:pPr>
      <w:spacing w:line="240" w:lineRule="auto"/>
      <w:jc w:val="center"/>
    </w:pPr>
    <w:rPr>
      <w:rFonts w:ascii="黑体" w:eastAsia="黑体"/>
      <w:kern w:val="0"/>
      <w:sz w:val="52"/>
    </w:rPr>
  </w:style>
  <w:style w:type="paragraph" w:customStyle="1" w:styleId="87">
    <w:name w:val="标准文件_封面标准英文名称"/>
    <w:basedOn w:val="1"/>
    <w:qFormat/>
    <w:uiPriority w:val="0"/>
    <w:pPr>
      <w:spacing w:line="240" w:lineRule="auto"/>
      <w:jc w:val="center"/>
    </w:pPr>
    <w:rPr>
      <w:rFonts w:ascii="黑体" w:eastAsia="黑体"/>
      <w:b/>
      <w:sz w:val="28"/>
    </w:rPr>
  </w:style>
  <w:style w:type="paragraph" w:customStyle="1" w:styleId="88">
    <w:name w:val="标准文件_封面发布日期"/>
    <w:basedOn w:val="1"/>
    <w:qFormat/>
    <w:uiPriority w:val="0"/>
    <w:pPr>
      <w:spacing w:line="310" w:lineRule="exact"/>
    </w:pPr>
    <w:rPr>
      <w:rFonts w:ascii="黑体" w:eastAsia="黑体"/>
      <w:kern w:val="0"/>
      <w:sz w:val="28"/>
    </w:rPr>
  </w:style>
  <w:style w:type="paragraph" w:customStyle="1" w:styleId="89">
    <w:name w:val="标准文件_封面密级"/>
    <w:basedOn w:val="1"/>
    <w:qFormat/>
    <w:uiPriority w:val="0"/>
    <w:rPr>
      <w:rFonts w:eastAsia="黑体"/>
      <w:sz w:val="32"/>
    </w:rPr>
  </w:style>
  <w:style w:type="paragraph" w:customStyle="1" w:styleId="90">
    <w:name w:val="标准文件_封面实施日期"/>
    <w:basedOn w:val="1"/>
    <w:qFormat/>
    <w:uiPriority w:val="0"/>
    <w:pPr>
      <w:spacing w:line="310" w:lineRule="exact"/>
      <w:jc w:val="right"/>
    </w:pPr>
    <w:rPr>
      <w:rFonts w:ascii="黑体" w:eastAsia="黑体"/>
      <w:sz w:val="28"/>
    </w:rPr>
  </w:style>
  <w:style w:type="paragraph" w:customStyle="1" w:styleId="91">
    <w:name w:val="标准文件_封面抬头"/>
    <w:basedOn w:val="71"/>
    <w:qFormat/>
    <w:uiPriority w:val="0"/>
    <w:pPr>
      <w:adjustRightInd w:val="0"/>
      <w:spacing w:line="800" w:lineRule="exact"/>
      <w:ind w:firstLine="0" w:firstLineChars="0"/>
      <w:jc w:val="distribute"/>
    </w:pPr>
    <w:rPr>
      <w:rFonts w:ascii="黑体" w:eastAsia="黑体"/>
      <w:b/>
      <w:sz w:val="64"/>
    </w:rPr>
  </w:style>
  <w:style w:type="paragraph" w:customStyle="1" w:styleId="92">
    <w:name w:val="标准文件_附录标识"/>
    <w:next w:val="7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93">
    <w:name w:val="标准文件_附录表标题"/>
    <w:next w:val="7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94">
    <w:name w:val="标准文件_附录一级条标题"/>
    <w:next w:val="7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5">
    <w:name w:val="标准文件_附录二级条标题"/>
    <w:basedOn w:val="94"/>
    <w:next w:val="71"/>
    <w:qFormat/>
    <w:uiPriority w:val="0"/>
    <w:pPr>
      <w:widowControl/>
      <w:numPr>
        <w:ilvl w:val="2"/>
      </w:numPr>
      <w:wordWrap w:val="0"/>
      <w:overflowPunct w:val="0"/>
      <w:autoSpaceDE w:val="0"/>
      <w:autoSpaceDN w:val="0"/>
      <w:textAlignment w:val="baseline"/>
      <w:outlineLvl w:val="3"/>
    </w:pPr>
  </w:style>
  <w:style w:type="paragraph" w:customStyle="1" w:styleId="96">
    <w:name w:val="标准文件_附录公式"/>
    <w:basedOn w:val="70"/>
    <w:next w:val="7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7">
    <w:name w:val="标准文件_附录三级条标题"/>
    <w:next w:val="7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8">
    <w:name w:val="标准文件_附录四级条标题"/>
    <w:next w:val="71"/>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9">
    <w:name w:val="标准文件_附录图标题"/>
    <w:next w:val="7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00">
    <w:name w:val="标准文件_附录五级条标题"/>
    <w:next w:val="71"/>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1">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02">
    <w:name w:val="标准文件_附录章标题"/>
    <w:next w:val="7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标准文件_公式后的破折号"/>
    <w:basedOn w:val="71"/>
    <w:next w:val="71"/>
    <w:qFormat/>
    <w:uiPriority w:val="0"/>
    <w:pPr>
      <w:ind w:left="488" w:leftChars="200" w:hanging="289" w:hangingChars="290"/>
    </w:pPr>
  </w:style>
  <w:style w:type="paragraph" w:customStyle="1" w:styleId="10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5">
    <w:name w:val="标准文件_目次、标准名称标题"/>
    <w:basedOn w:val="104"/>
    <w:next w:val="71"/>
    <w:qFormat/>
    <w:uiPriority w:val="0"/>
    <w:pPr>
      <w:spacing w:line="460" w:lineRule="exact"/>
      <w:ind w:left="0" w:firstLine="0"/>
    </w:pPr>
  </w:style>
  <w:style w:type="paragraph" w:customStyle="1" w:styleId="10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0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8">
    <w:name w:val="标准文件_破折号列项（二级）"/>
    <w:basedOn w:val="107"/>
    <w:qFormat/>
    <w:uiPriority w:val="0"/>
    <w:pPr>
      <w:numPr>
        <w:numId w:val="10"/>
      </w:numPr>
    </w:pPr>
  </w:style>
  <w:style w:type="paragraph" w:customStyle="1" w:styleId="109">
    <w:name w:val="标准文件_三级条标题"/>
    <w:basedOn w:val="81"/>
    <w:next w:val="71"/>
    <w:qFormat/>
    <w:uiPriority w:val="0"/>
    <w:pPr>
      <w:widowControl/>
      <w:numPr>
        <w:ilvl w:val="4"/>
      </w:numPr>
      <w:outlineLvl w:val="3"/>
    </w:pPr>
  </w:style>
  <w:style w:type="character" w:customStyle="1" w:styleId="110">
    <w:name w:val="不明显参考1"/>
    <w:qFormat/>
    <w:uiPriority w:val="31"/>
    <w:rPr>
      <w:smallCaps/>
      <w:color w:val="C0504D"/>
      <w:u w:val="single"/>
    </w:rPr>
  </w:style>
  <w:style w:type="paragraph" w:customStyle="1" w:styleId="111">
    <w:name w:val="标准文件_示例后续"/>
    <w:basedOn w:val="1"/>
    <w:qFormat/>
    <w:uiPriority w:val="0"/>
    <w:pPr>
      <w:adjustRightInd/>
      <w:spacing w:line="240" w:lineRule="auto"/>
      <w:ind w:firstLine="200" w:firstLineChars="200"/>
    </w:pPr>
    <w:rPr>
      <w:sz w:val="18"/>
      <w:szCs w:val="24"/>
    </w:rPr>
  </w:style>
  <w:style w:type="paragraph" w:customStyle="1" w:styleId="11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3">
    <w:name w:val="标准文件_四级条标题"/>
    <w:next w:val="7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4">
    <w:name w:val="标准文件_条文脚注"/>
    <w:basedOn w:val="27"/>
    <w:qFormat/>
    <w:uiPriority w:val="0"/>
    <w:pPr>
      <w:adjustRightInd w:val="0"/>
      <w:spacing w:line="240" w:lineRule="auto"/>
      <w:ind w:left="0" w:leftChars="0" w:firstLine="200" w:firstLineChars="200"/>
      <w:jc w:val="both"/>
    </w:pPr>
    <w:rPr>
      <w:rFonts w:hAnsi="宋体"/>
    </w:rPr>
  </w:style>
  <w:style w:type="paragraph" w:customStyle="1" w:styleId="115">
    <w:name w:val="标准文件_图表脚注"/>
    <w:basedOn w:val="1"/>
    <w:next w:val="71"/>
    <w:qFormat/>
    <w:uiPriority w:val="0"/>
    <w:pPr>
      <w:numPr>
        <w:ilvl w:val="0"/>
        <w:numId w:val="12"/>
      </w:numPr>
      <w:spacing w:line="240" w:lineRule="auto"/>
      <w:jc w:val="left"/>
    </w:pPr>
    <w:rPr>
      <w:rFonts w:ascii="宋体" w:hAnsi="宋体"/>
      <w:sz w:val="18"/>
    </w:rPr>
  </w:style>
  <w:style w:type="character" w:customStyle="1" w:styleId="116">
    <w:name w:val="标准文件_图表脚注内容"/>
    <w:qFormat/>
    <w:uiPriority w:val="0"/>
    <w:rPr>
      <w:rFonts w:ascii="宋体" w:hAnsi="宋体" w:eastAsia="宋体" w:cs="Times New Roman"/>
      <w:spacing w:val="0"/>
      <w:sz w:val="18"/>
      <w:vertAlign w:val="superscript"/>
    </w:rPr>
  </w:style>
  <w:style w:type="paragraph" w:customStyle="1" w:styleId="117">
    <w:name w:val="标准文件_五级条标题"/>
    <w:next w:val="71"/>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8">
    <w:name w:val="标准文件_章标题"/>
    <w:next w:val="7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一级条标题"/>
    <w:basedOn w:val="118"/>
    <w:next w:val="71"/>
    <w:qFormat/>
    <w:uiPriority w:val="0"/>
    <w:pPr>
      <w:numPr>
        <w:ilvl w:val="2"/>
      </w:numPr>
      <w:spacing w:before="50" w:beforeLines="50" w:after="50" w:afterLines="50"/>
      <w:outlineLvl w:val="1"/>
    </w:pPr>
  </w:style>
  <w:style w:type="paragraph" w:customStyle="1" w:styleId="120">
    <w:name w:val="标准文件_一致程度"/>
    <w:basedOn w:val="1"/>
    <w:qFormat/>
    <w:uiPriority w:val="0"/>
    <w:pPr>
      <w:spacing w:line="440" w:lineRule="exact"/>
      <w:jc w:val="center"/>
    </w:pPr>
    <w:rPr>
      <w:sz w:val="28"/>
    </w:rPr>
  </w:style>
  <w:style w:type="paragraph" w:customStyle="1" w:styleId="12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2">
    <w:name w:val="标准文件_英文图表脚注"/>
    <w:basedOn w:val="70"/>
    <w:qFormat/>
    <w:uiPriority w:val="0"/>
    <w:pPr>
      <w:widowControl/>
      <w:adjustRightInd/>
      <w:snapToGrid/>
      <w:spacing w:line="240" w:lineRule="auto"/>
      <w:ind w:left="79" w:hanging="79" w:hangingChars="80"/>
    </w:pPr>
    <w:rPr>
      <w:rFonts w:ascii="宋体" w:hAnsi="宋体"/>
    </w:rPr>
  </w:style>
  <w:style w:type="paragraph" w:customStyle="1" w:styleId="12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24">
    <w:name w:val="标准文件_英文注："/>
    <w:basedOn w:val="1"/>
    <w:next w:val="7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2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26">
    <w:name w:val="标准文件_正文表标题"/>
    <w:next w:val="7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7">
    <w:name w:val="标准文件_正文公式"/>
    <w:basedOn w:val="1"/>
    <w:next w:val="70"/>
    <w:qFormat/>
    <w:uiPriority w:val="0"/>
    <w:pPr>
      <w:tabs>
        <w:tab w:val="center" w:pos="4678"/>
        <w:tab w:val="right" w:leader="middleDot" w:pos="9356"/>
      </w:tabs>
      <w:spacing w:line="240" w:lineRule="auto"/>
    </w:pPr>
    <w:rPr>
      <w:rFonts w:ascii="宋体" w:hAnsi="宋体"/>
    </w:rPr>
  </w:style>
  <w:style w:type="paragraph" w:customStyle="1" w:styleId="128">
    <w:name w:val="标准文件_正文图标题"/>
    <w:next w:val="7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9">
    <w:name w:val="标准文件_正文英文表标题"/>
    <w:next w:val="7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30">
    <w:name w:val="标准文件_正文英文图标题"/>
    <w:next w:val="7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3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3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33">
    <w:name w:val="发布部门"/>
    <w:next w:val="7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3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41">
    <w:name w:val="封面正文"/>
    <w:qFormat/>
    <w:uiPriority w:val="0"/>
    <w:pPr>
      <w:jc w:val="both"/>
    </w:pPr>
    <w:rPr>
      <w:rFonts w:ascii="Times New Roman" w:hAnsi="Times New Roman" w:eastAsia="宋体" w:cs="Times New Roman"/>
      <w:lang w:val="en-US" w:eastAsia="zh-CN" w:bidi="ar-SA"/>
    </w:rPr>
  </w:style>
  <w:style w:type="paragraph" w:customStyle="1" w:styleId="142">
    <w:name w:val="附录二级无标题条"/>
    <w:basedOn w:val="1"/>
    <w:next w:val="7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43">
    <w:name w:val="附录三级无标题条"/>
    <w:basedOn w:val="142"/>
    <w:next w:val="71"/>
    <w:qFormat/>
    <w:uiPriority w:val="0"/>
    <w:pPr>
      <w:outlineLvl w:val="4"/>
    </w:pPr>
  </w:style>
  <w:style w:type="paragraph" w:customStyle="1" w:styleId="144">
    <w:name w:val="附录四级无标题条"/>
    <w:basedOn w:val="143"/>
    <w:next w:val="71"/>
    <w:qFormat/>
    <w:uiPriority w:val="0"/>
    <w:pPr>
      <w:outlineLvl w:val="5"/>
    </w:pPr>
  </w:style>
  <w:style w:type="paragraph" w:customStyle="1" w:styleId="145">
    <w:name w:val="附录图"/>
    <w:next w:val="7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7">
    <w:name w:val="附录五级无标题条"/>
    <w:basedOn w:val="144"/>
    <w:next w:val="71"/>
    <w:qFormat/>
    <w:uiPriority w:val="0"/>
    <w:pPr>
      <w:outlineLvl w:val="6"/>
    </w:pPr>
  </w:style>
  <w:style w:type="paragraph" w:customStyle="1" w:styleId="148">
    <w:name w:val="附录性质"/>
    <w:basedOn w:val="1"/>
    <w:qFormat/>
    <w:uiPriority w:val="0"/>
    <w:pPr>
      <w:widowControl/>
      <w:adjustRightInd/>
      <w:jc w:val="center"/>
    </w:pPr>
    <w:rPr>
      <w:rFonts w:ascii="黑体" w:eastAsia="黑体"/>
    </w:rPr>
  </w:style>
  <w:style w:type="paragraph" w:customStyle="1" w:styleId="149">
    <w:name w:val="附录一级无标题条"/>
    <w:basedOn w:val="102"/>
    <w:next w:val="71"/>
    <w:qFormat/>
    <w:uiPriority w:val="0"/>
    <w:pPr>
      <w:autoSpaceDN w:val="0"/>
      <w:outlineLvl w:val="2"/>
    </w:pPr>
    <w:rPr>
      <w:rFonts w:ascii="宋体" w:hAnsi="宋体" w:eastAsia="宋体"/>
    </w:rPr>
  </w:style>
  <w:style w:type="character" w:customStyle="1" w:styleId="150">
    <w:name w:val="个人答复风格"/>
    <w:qFormat/>
    <w:uiPriority w:val="0"/>
    <w:rPr>
      <w:rFonts w:ascii="Arial" w:hAnsi="Arial" w:eastAsia="宋体" w:cs="Arial"/>
      <w:color w:val="auto"/>
      <w:spacing w:val="0"/>
      <w:sz w:val="20"/>
    </w:rPr>
  </w:style>
  <w:style w:type="character" w:customStyle="1" w:styleId="151">
    <w:name w:val="个人撰写风格"/>
    <w:qFormat/>
    <w:uiPriority w:val="0"/>
    <w:rPr>
      <w:rFonts w:ascii="Arial" w:hAnsi="Arial" w:eastAsia="宋体" w:cs="Arial"/>
      <w:color w:val="auto"/>
      <w:spacing w:val="0"/>
      <w:sz w:val="20"/>
    </w:rPr>
  </w:style>
  <w:style w:type="paragraph" w:customStyle="1" w:styleId="15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54">
    <w:name w:val="列项·"/>
    <w:basedOn w:val="71"/>
    <w:qFormat/>
    <w:uiPriority w:val="0"/>
    <w:pPr>
      <w:tabs>
        <w:tab w:val="left" w:pos="840"/>
      </w:tabs>
    </w:pPr>
  </w:style>
  <w:style w:type="paragraph" w:customStyle="1" w:styleId="15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6">
    <w:name w:val="目录 21"/>
    <w:basedOn w:val="1"/>
    <w:next w:val="1"/>
    <w:semiHidden/>
    <w:qFormat/>
    <w:uiPriority w:val="0"/>
    <w:pPr>
      <w:adjustRightInd/>
      <w:spacing w:line="240" w:lineRule="auto"/>
      <w:jc w:val="left"/>
    </w:pPr>
    <w:rPr>
      <w:bCs/>
      <w:iCs/>
    </w:rPr>
  </w:style>
  <w:style w:type="paragraph" w:customStyle="1" w:styleId="157">
    <w:name w:val="目录 31"/>
    <w:basedOn w:val="1"/>
    <w:next w:val="1"/>
    <w:semiHidden/>
    <w:qFormat/>
    <w:uiPriority w:val="0"/>
    <w:pPr>
      <w:spacing w:line="240" w:lineRule="auto"/>
    </w:pPr>
    <w:rPr>
      <w:rFonts w:ascii="宋体" w:hAnsi="宋体"/>
      <w:iCs/>
    </w:rPr>
  </w:style>
  <w:style w:type="paragraph" w:customStyle="1" w:styleId="158">
    <w:name w:val="目录 41"/>
    <w:basedOn w:val="1"/>
    <w:next w:val="1"/>
    <w:semiHidden/>
    <w:qFormat/>
    <w:uiPriority w:val="0"/>
    <w:pPr>
      <w:adjustRightInd/>
      <w:spacing w:line="240" w:lineRule="auto"/>
      <w:jc w:val="left"/>
    </w:pPr>
  </w:style>
  <w:style w:type="paragraph" w:customStyle="1" w:styleId="159">
    <w:name w:val="目录 51"/>
    <w:basedOn w:val="1"/>
    <w:next w:val="1"/>
    <w:semiHidden/>
    <w:qFormat/>
    <w:uiPriority w:val="0"/>
    <w:pPr>
      <w:spacing w:line="240" w:lineRule="auto"/>
    </w:pPr>
    <w:rPr>
      <w:rFonts w:ascii="宋体" w:hAnsi="宋体"/>
    </w:rPr>
  </w:style>
  <w:style w:type="paragraph" w:customStyle="1" w:styleId="160">
    <w:name w:val="目录 61"/>
    <w:basedOn w:val="1"/>
    <w:next w:val="1"/>
    <w:semiHidden/>
    <w:qFormat/>
    <w:uiPriority w:val="0"/>
    <w:pPr>
      <w:adjustRightInd/>
      <w:spacing w:line="240" w:lineRule="auto"/>
      <w:jc w:val="left"/>
    </w:pPr>
  </w:style>
  <w:style w:type="paragraph" w:customStyle="1" w:styleId="161">
    <w:name w:val="目录 71"/>
    <w:basedOn w:val="160"/>
    <w:semiHidden/>
    <w:qFormat/>
    <w:uiPriority w:val="0"/>
    <w:pPr>
      <w:ind w:left="1260"/>
    </w:pPr>
  </w:style>
  <w:style w:type="paragraph" w:customStyle="1" w:styleId="162">
    <w:name w:val="目录 81"/>
    <w:basedOn w:val="161"/>
    <w:semiHidden/>
    <w:qFormat/>
    <w:uiPriority w:val="0"/>
    <w:pPr>
      <w:ind w:left="1470"/>
    </w:pPr>
  </w:style>
  <w:style w:type="paragraph" w:customStyle="1" w:styleId="163">
    <w:name w:val="目录 91"/>
    <w:basedOn w:val="162"/>
    <w:semiHidden/>
    <w:qFormat/>
    <w:uiPriority w:val="0"/>
    <w:pPr>
      <w:ind w:left="1680"/>
    </w:pPr>
  </w:style>
  <w:style w:type="paragraph" w:customStyle="1" w:styleId="16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5">
    <w:name w:val="其他发布部门"/>
    <w:basedOn w:val="133"/>
    <w:qFormat/>
    <w:uiPriority w:val="0"/>
    <w:pPr>
      <w:framePr w:wrap="around"/>
      <w:spacing w:line="0" w:lineRule="atLeast"/>
    </w:pPr>
    <w:rPr>
      <w:rFonts w:ascii="黑体" w:eastAsia="黑体"/>
      <w:b w:val="0"/>
    </w:rPr>
  </w:style>
  <w:style w:type="paragraph" w:customStyle="1" w:styleId="16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8">
    <w:name w:val="实施日期"/>
    <w:basedOn w:val="134"/>
    <w:qFormat/>
    <w:uiPriority w:val="0"/>
    <w:pPr>
      <w:framePr w:hSpace="0" w:wrap="around" w:xAlign="right"/>
      <w:jc w:val="right"/>
    </w:pPr>
  </w:style>
  <w:style w:type="paragraph" w:customStyle="1" w:styleId="16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1">
    <w:name w:val="无标题条"/>
    <w:next w:val="71"/>
    <w:qFormat/>
    <w:uiPriority w:val="0"/>
    <w:pPr>
      <w:jc w:val="both"/>
    </w:pPr>
    <w:rPr>
      <w:rFonts w:ascii="宋体" w:hAnsi="宋体" w:eastAsia="宋体" w:cs="Times New Roman"/>
      <w:sz w:val="21"/>
      <w:lang w:val="en-US" w:eastAsia="zh-CN" w:bidi="ar-SA"/>
    </w:rPr>
  </w:style>
  <w:style w:type="paragraph" w:customStyle="1" w:styleId="172">
    <w:name w:val="五级无标题条"/>
    <w:basedOn w:val="1"/>
    <w:qFormat/>
    <w:uiPriority w:val="0"/>
    <w:pPr>
      <w:numPr>
        <w:ilvl w:val="6"/>
        <w:numId w:val="20"/>
      </w:numPr>
      <w:adjustRightInd/>
    </w:pPr>
    <w:rPr>
      <w:szCs w:val="24"/>
    </w:rPr>
  </w:style>
  <w:style w:type="paragraph" w:customStyle="1" w:styleId="173">
    <w:name w:val="一级无标题条"/>
    <w:basedOn w:val="1"/>
    <w:qFormat/>
    <w:uiPriority w:val="0"/>
    <w:pPr>
      <w:adjustRightInd/>
      <w:spacing w:before="10" w:after="10" w:line="240" w:lineRule="auto"/>
    </w:pPr>
    <w:rPr>
      <w:rFonts w:ascii="宋体" w:hAnsi="宋体"/>
      <w:szCs w:val="24"/>
    </w:rPr>
  </w:style>
  <w:style w:type="paragraph" w:customStyle="1" w:styleId="17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75">
    <w:name w:val="注×:后续"/>
    <w:basedOn w:val="174"/>
    <w:qFormat/>
    <w:uiPriority w:val="0"/>
    <w:pPr>
      <w:ind w:left="1406" w:leftChars="0" w:hanging="499" w:firstLineChars="0"/>
    </w:pPr>
  </w:style>
  <w:style w:type="paragraph" w:customStyle="1" w:styleId="176">
    <w:name w:val="标准文件_一级无标题"/>
    <w:basedOn w:val="119"/>
    <w:qFormat/>
    <w:uiPriority w:val="0"/>
    <w:pPr>
      <w:spacing w:before="0" w:beforeLines="0" w:after="0" w:afterLines="0"/>
      <w:outlineLvl w:val="9"/>
    </w:pPr>
    <w:rPr>
      <w:rFonts w:ascii="宋体" w:eastAsia="宋体"/>
    </w:rPr>
  </w:style>
  <w:style w:type="paragraph" w:customStyle="1" w:styleId="177">
    <w:name w:val="标准文件_五级无标题"/>
    <w:basedOn w:val="117"/>
    <w:qFormat/>
    <w:uiPriority w:val="0"/>
    <w:pPr>
      <w:spacing w:before="0" w:beforeLines="0" w:after="0" w:afterLines="0"/>
      <w:outlineLvl w:val="9"/>
    </w:pPr>
    <w:rPr>
      <w:rFonts w:ascii="宋体" w:eastAsia="宋体"/>
    </w:rPr>
  </w:style>
  <w:style w:type="paragraph" w:customStyle="1" w:styleId="178">
    <w:name w:val="标准文件_三级无标题"/>
    <w:basedOn w:val="109"/>
    <w:qFormat/>
    <w:uiPriority w:val="0"/>
    <w:pPr>
      <w:spacing w:before="0" w:beforeLines="0" w:after="0" w:afterLines="0"/>
      <w:outlineLvl w:val="9"/>
    </w:pPr>
    <w:rPr>
      <w:rFonts w:ascii="宋体" w:eastAsia="宋体"/>
    </w:rPr>
  </w:style>
  <w:style w:type="paragraph" w:customStyle="1" w:styleId="179">
    <w:name w:val="标准文件_二级无标题"/>
    <w:basedOn w:val="81"/>
    <w:qFormat/>
    <w:uiPriority w:val="0"/>
    <w:pPr>
      <w:spacing w:before="0" w:beforeLines="0" w:after="0" w:afterLines="0"/>
      <w:outlineLvl w:val="9"/>
    </w:pPr>
    <w:rPr>
      <w:rFonts w:ascii="宋体" w:eastAsia="宋体"/>
    </w:rPr>
  </w:style>
  <w:style w:type="paragraph" w:customStyle="1" w:styleId="180">
    <w:name w:val="标准_四级无标题"/>
    <w:basedOn w:val="113"/>
    <w:next w:val="71"/>
    <w:qFormat/>
    <w:uiPriority w:val="0"/>
    <w:rPr>
      <w:rFonts w:eastAsia="宋体"/>
    </w:rPr>
  </w:style>
  <w:style w:type="paragraph" w:customStyle="1" w:styleId="181">
    <w:name w:val="标准文件_四级无标题"/>
    <w:basedOn w:val="113"/>
    <w:qFormat/>
    <w:uiPriority w:val="0"/>
    <w:pPr>
      <w:spacing w:before="0" w:beforeLines="0" w:after="0" w:afterLines="0"/>
      <w:outlineLvl w:val="9"/>
    </w:pPr>
    <w:rPr>
      <w:rFonts w:ascii="宋体" w:hAnsi="黑体" w:eastAsia="宋体"/>
      <w:szCs w:val="52"/>
    </w:rPr>
  </w:style>
  <w:style w:type="paragraph" w:customStyle="1" w:styleId="182">
    <w:name w:val="标准文件_大写罗马数字编号列项"/>
    <w:basedOn w:val="71"/>
    <w:qFormat/>
    <w:uiPriority w:val="0"/>
    <w:pPr>
      <w:numPr>
        <w:ilvl w:val="0"/>
        <w:numId w:val="23"/>
      </w:numPr>
      <w:ind w:firstLine="0" w:firstLineChars="0"/>
    </w:pPr>
    <w:rPr>
      <w:rFonts w:ascii="Times New Roman" w:cs="Arial"/>
      <w:szCs w:val="28"/>
    </w:rPr>
  </w:style>
  <w:style w:type="paragraph" w:customStyle="1" w:styleId="183">
    <w:name w:val="标准文件_小写罗马数字编号列项"/>
    <w:basedOn w:val="71"/>
    <w:qFormat/>
    <w:uiPriority w:val="0"/>
    <w:pPr>
      <w:numPr>
        <w:ilvl w:val="0"/>
        <w:numId w:val="24"/>
      </w:numPr>
      <w:ind w:firstLine="0" w:firstLineChars="0"/>
    </w:pPr>
    <w:rPr>
      <w:rFonts w:cs="Arial"/>
      <w:szCs w:val="28"/>
    </w:rPr>
  </w:style>
  <w:style w:type="paragraph" w:customStyle="1" w:styleId="184">
    <w:name w:val="标准文件_附录标题"/>
    <w:basedOn w:val="92"/>
    <w:qFormat/>
    <w:uiPriority w:val="0"/>
    <w:pPr>
      <w:numPr>
        <w:numId w:val="0"/>
      </w:numPr>
      <w:spacing w:after="280"/>
      <w:outlineLvl w:val="9"/>
    </w:pPr>
  </w:style>
  <w:style w:type="paragraph" w:customStyle="1" w:styleId="185">
    <w:name w:val="标准文件_二级项"/>
    <w:qFormat/>
    <w:uiPriority w:val="0"/>
    <w:rPr>
      <w:rFonts w:ascii="宋体" w:hAnsi="Times New Roman" w:eastAsia="宋体" w:cs="Times New Roman"/>
      <w:sz w:val="21"/>
      <w:lang w:val="en-US" w:eastAsia="zh-CN" w:bidi="ar-SA"/>
    </w:rPr>
  </w:style>
  <w:style w:type="paragraph" w:customStyle="1" w:styleId="186">
    <w:name w:val="标准文件_三级项"/>
    <w:basedOn w:val="1"/>
    <w:qFormat/>
    <w:uiPriority w:val="0"/>
    <w:pPr>
      <w:numPr>
        <w:ilvl w:val="2"/>
        <w:numId w:val="21"/>
      </w:numPr>
      <w:spacing w:line="536870612" w:lineRule="auto"/>
    </w:pPr>
    <w:rPr>
      <w:rFonts w:ascii="Times New Roman" w:hAnsi="Times New Roman"/>
    </w:rPr>
  </w:style>
  <w:style w:type="paragraph" w:customStyle="1" w:styleId="187">
    <w:name w:val="图表脚注说明"/>
    <w:basedOn w:val="1"/>
    <w:next w:val="71"/>
    <w:qFormat/>
    <w:uiPriority w:val="0"/>
    <w:pPr>
      <w:numPr>
        <w:ilvl w:val="0"/>
        <w:numId w:val="25"/>
      </w:numPr>
      <w:adjustRightInd/>
      <w:spacing w:line="240" w:lineRule="auto"/>
    </w:pPr>
    <w:rPr>
      <w:rFonts w:ascii="宋体" w:hAnsi="Times New Roman"/>
      <w:sz w:val="18"/>
      <w:szCs w:val="18"/>
    </w:rPr>
  </w:style>
  <w:style w:type="paragraph" w:customStyle="1" w:styleId="18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9">
    <w:name w:val="标准文件_索引字母"/>
    <w:next w:val="71"/>
    <w:qFormat/>
    <w:uiPriority w:val="0"/>
    <w:pPr>
      <w:jc w:val="center"/>
    </w:pPr>
    <w:rPr>
      <w:rFonts w:ascii="宋体" w:hAnsi="宋体" w:eastAsia="Times New Roman" w:cs="Times New Roman"/>
      <w:b/>
      <w:kern w:val="2"/>
      <w:sz w:val="21"/>
      <w:lang w:val="en-US" w:eastAsia="zh-CN" w:bidi="ar-SA"/>
    </w:rPr>
  </w:style>
  <w:style w:type="paragraph" w:customStyle="1" w:styleId="190">
    <w:name w:val="标准文件_附录前"/>
    <w:next w:val="7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9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92">
    <w:name w:val="标准文件_表格"/>
    <w:basedOn w:val="71"/>
    <w:qFormat/>
    <w:uiPriority w:val="0"/>
    <w:pPr>
      <w:ind w:firstLine="0" w:firstLineChars="0"/>
      <w:jc w:val="center"/>
    </w:pPr>
    <w:rPr>
      <w:sz w:val="18"/>
    </w:rPr>
  </w:style>
  <w:style w:type="paragraph" w:customStyle="1" w:styleId="193">
    <w:name w:val="标准文件_注："/>
    <w:next w:val="7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9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95">
    <w:name w:val="标准文件_示例："/>
    <w:next w:val="19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6">
    <w:name w:val="标准文件_示例内容"/>
    <w:basedOn w:val="71"/>
    <w:qFormat/>
    <w:uiPriority w:val="0"/>
    <w:pPr>
      <w:ind w:firstLine="420"/>
    </w:pPr>
    <w:rPr>
      <w:sz w:val="18"/>
    </w:rPr>
  </w:style>
  <w:style w:type="paragraph" w:customStyle="1" w:styleId="197">
    <w:name w:val="标准文件_示例×："/>
    <w:basedOn w:val="1"/>
    <w:next w:val="196"/>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98">
    <w:name w:val="标准文件_表格续"/>
    <w:basedOn w:val="71"/>
    <w:next w:val="71"/>
    <w:qFormat/>
    <w:uiPriority w:val="0"/>
    <w:pPr>
      <w:jc w:val="center"/>
    </w:pPr>
    <w:rPr>
      <w:rFonts w:ascii="黑体" w:hAnsi="黑体" w:eastAsia="黑体"/>
    </w:rPr>
  </w:style>
  <w:style w:type="character" w:styleId="199">
    <w:name w:val="Placeholder Text"/>
    <w:basedOn w:val="37"/>
    <w:semiHidden/>
    <w:qFormat/>
    <w:uiPriority w:val="99"/>
    <w:rPr>
      <w:color w:val="808080"/>
    </w:rPr>
  </w:style>
  <w:style w:type="paragraph" w:customStyle="1" w:styleId="200">
    <w:name w:val="标准文件_二级项2"/>
    <w:basedOn w:val="71"/>
    <w:qFormat/>
    <w:uiPriority w:val="0"/>
    <w:pPr>
      <w:numPr>
        <w:ilvl w:val="1"/>
        <w:numId w:val="21"/>
      </w:numPr>
      <w:ind w:firstLine="0" w:firstLineChars="0"/>
    </w:pPr>
  </w:style>
  <w:style w:type="paragraph" w:customStyle="1" w:styleId="201">
    <w:name w:val="标准文件_三级项2"/>
    <w:basedOn w:val="71"/>
    <w:qFormat/>
    <w:uiPriority w:val="0"/>
    <w:pPr>
      <w:numPr>
        <w:ilvl w:val="0"/>
        <w:numId w:val="30"/>
      </w:numPr>
      <w:spacing w:line="300" w:lineRule="exact"/>
      <w:ind w:firstLineChars="0"/>
    </w:pPr>
    <w:rPr>
      <w:rFonts w:ascii="Times New Roman"/>
    </w:rPr>
  </w:style>
  <w:style w:type="paragraph" w:customStyle="1" w:styleId="202">
    <w:name w:val="标准文件_一级项2"/>
    <w:basedOn w:val="71"/>
    <w:qFormat/>
    <w:uiPriority w:val="0"/>
    <w:pPr>
      <w:numPr>
        <w:ilvl w:val="0"/>
        <w:numId w:val="31"/>
      </w:numPr>
      <w:spacing w:line="300" w:lineRule="exact"/>
      <w:ind w:firstLineChars="0"/>
    </w:pPr>
    <w:rPr>
      <w:rFonts w:ascii="Times New Roman"/>
    </w:rPr>
  </w:style>
  <w:style w:type="paragraph" w:customStyle="1" w:styleId="203">
    <w:name w:val="标准文件_提示"/>
    <w:basedOn w:val="71"/>
    <w:next w:val="71"/>
    <w:qFormat/>
    <w:uiPriority w:val="0"/>
    <w:pPr>
      <w:ind w:firstLine="420"/>
    </w:pPr>
    <w:rPr>
      <w:rFonts w:ascii="黑体" w:eastAsia="黑体"/>
    </w:rPr>
  </w:style>
  <w:style w:type="character" w:customStyle="1" w:styleId="204">
    <w:name w:val="标准文件_来源"/>
    <w:basedOn w:val="37"/>
    <w:qFormat/>
    <w:uiPriority w:val="1"/>
    <w:rPr>
      <w:rFonts w:eastAsia="宋体"/>
      <w:sz w:val="21"/>
    </w:rPr>
  </w:style>
  <w:style w:type="paragraph" w:customStyle="1" w:styleId="20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6">
    <w:name w:val="其他发布日期"/>
    <w:basedOn w:val="134"/>
    <w:qFormat/>
    <w:uiPriority w:val="0"/>
    <w:pPr>
      <w:framePr w:w="3997" w:h="471" w:hRule="exact" w:hSpace="0" w:vSpace="181" w:wrap="around" w:vAnchor="page" w:hAnchor="page" w:x="1419" w:y="14097"/>
    </w:pPr>
  </w:style>
  <w:style w:type="paragraph" w:customStyle="1" w:styleId="207">
    <w:name w:val="其他实施日期"/>
    <w:basedOn w:val="168"/>
    <w:qFormat/>
    <w:uiPriority w:val="0"/>
    <w:pPr>
      <w:framePr w:w="3997" w:h="471" w:hRule="exact" w:vSpace="181" w:wrap="around" w:vAnchor="page" w:hAnchor="page" w:x="7089" w:y="14097"/>
    </w:pPr>
  </w:style>
  <w:style w:type="paragraph" w:customStyle="1" w:styleId="208">
    <w:name w:val="标准文件_文件编号"/>
    <w:basedOn w:val="7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9">
    <w:name w:val="标准文件_替换文件编号"/>
    <w:basedOn w:val="208"/>
    <w:qFormat/>
    <w:uiPriority w:val="0"/>
    <w:pPr>
      <w:spacing w:before="57"/>
    </w:pPr>
    <w:rPr>
      <w:sz w:val="21"/>
    </w:rPr>
  </w:style>
  <w:style w:type="paragraph" w:customStyle="1" w:styleId="210">
    <w:name w:val="标准文件_文件名称"/>
    <w:basedOn w:val="71"/>
    <w:next w:val="7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11">
    <w:name w:val="标准文件_附录图标号"/>
    <w:basedOn w:val="71"/>
    <w:next w:val="7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12">
    <w:name w:val="标准文件_附录表标号"/>
    <w:basedOn w:val="71"/>
    <w:next w:val="71"/>
    <w:qFormat/>
    <w:uiPriority w:val="0"/>
    <w:pPr>
      <w:numPr>
        <w:ilvl w:val="0"/>
        <w:numId w:val="5"/>
      </w:numPr>
      <w:spacing w:line="14" w:lineRule="exact"/>
      <w:ind w:firstLine="0" w:firstLineChars="0"/>
      <w:jc w:val="center"/>
    </w:pPr>
    <w:rPr>
      <w:rFonts w:eastAsia="黑体"/>
      <w:vanish/>
      <w:sz w:val="2"/>
    </w:rPr>
  </w:style>
  <w:style w:type="paragraph" w:customStyle="1" w:styleId="213">
    <w:name w:val="标准文件_引言一级条标题"/>
    <w:basedOn w:val="71"/>
    <w:next w:val="71"/>
    <w:qFormat/>
    <w:uiPriority w:val="0"/>
    <w:pPr>
      <w:numPr>
        <w:ilvl w:val="1"/>
        <w:numId w:val="8"/>
      </w:numPr>
      <w:spacing w:before="50" w:beforeLines="50" w:after="50" w:afterLines="50"/>
      <w:ind w:firstLineChars="0"/>
    </w:pPr>
    <w:rPr>
      <w:rFonts w:ascii="黑体" w:eastAsia="黑体"/>
    </w:rPr>
  </w:style>
  <w:style w:type="paragraph" w:customStyle="1" w:styleId="214">
    <w:name w:val="标准文件_引言二级条标题"/>
    <w:basedOn w:val="71"/>
    <w:next w:val="71"/>
    <w:qFormat/>
    <w:uiPriority w:val="0"/>
    <w:pPr>
      <w:numPr>
        <w:ilvl w:val="2"/>
        <w:numId w:val="8"/>
      </w:numPr>
      <w:spacing w:before="50" w:beforeLines="50" w:after="50" w:afterLines="50"/>
      <w:ind w:firstLineChars="0"/>
    </w:pPr>
    <w:rPr>
      <w:rFonts w:ascii="黑体" w:eastAsia="黑体"/>
    </w:rPr>
  </w:style>
  <w:style w:type="paragraph" w:customStyle="1" w:styleId="215">
    <w:name w:val="标准文件_引言三级条标题"/>
    <w:basedOn w:val="71"/>
    <w:next w:val="71"/>
    <w:qFormat/>
    <w:uiPriority w:val="0"/>
    <w:pPr>
      <w:numPr>
        <w:ilvl w:val="3"/>
        <w:numId w:val="8"/>
      </w:numPr>
      <w:spacing w:before="50" w:beforeLines="50" w:after="50" w:afterLines="50"/>
      <w:ind w:firstLineChars="0"/>
    </w:pPr>
    <w:rPr>
      <w:rFonts w:ascii="黑体" w:eastAsia="黑体"/>
    </w:rPr>
  </w:style>
  <w:style w:type="paragraph" w:customStyle="1" w:styleId="216">
    <w:name w:val="标准文件_引言四级条标题"/>
    <w:basedOn w:val="71"/>
    <w:next w:val="71"/>
    <w:qFormat/>
    <w:uiPriority w:val="0"/>
    <w:pPr>
      <w:spacing w:before="50" w:beforeLines="50" w:after="50" w:afterLines="50"/>
      <w:ind w:firstLine="0" w:firstLineChars="0"/>
    </w:pPr>
    <w:rPr>
      <w:rFonts w:ascii="黑体" w:eastAsia="黑体"/>
    </w:rPr>
  </w:style>
  <w:style w:type="paragraph" w:customStyle="1" w:styleId="217">
    <w:name w:val="标准文件_引言五级条标题"/>
    <w:basedOn w:val="71"/>
    <w:next w:val="71"/>
    <w:qFormat/>
    <w:uiPriority w:val="0"/>
    <w:pPr>
      <w:spacing w:before="50" w:beforeLines="50" w:after="50" w:afterLines="50"/>
      <w:ind w:firstLine="0" w:firstLineChars="0"/>
    </w:pPr>
    <w:rPr>
      <w:rFonts w:ascii="黑体" w:eastAsia="黑体"/>
    </w:rPr>
  </w:style>
  <w:style w:type="paragraph" w:customStyle="1" w:styleId="218">
    <w:name w:val="标准文件_注后"/>
    <w:basedOn w:val="71"/>
    <w:qFormat/>
    <w:uiPriority w:val="0"/>
    <w:pPr>
      <w:ind w:left="811" w:firstLine="0" w:firstLineChars="0"/>
    </w:pPr>
    <w:rPr>
      <w:sz w:val="18"/>
    </w:rPr>
  </w:style>
  <w:style w:type="paragraph" w:customStyle="1" w:styleId="219">
    <w:name w:val="标准文件_注X后"/>
    <w:basedOn w:val="71"/>
    <w:qFormat/>
    <w:uiPriority w:val="0"/>
    <w:pPr>
      <w:ind w:left="811" w:firstLine="0" w:firstLineChars="0"/>
    </w:pPr>
    <w:rPr>
      <w:sz w:val="18"/>
    </w:rPr>
  </w:style>
  <w:style w:type="paragraph" w:customStyle="1" w:styleId="220">
    <w:name w:val="标准文件_示例后"/>
    <w:basedOn w:val="71"/>
    <w:qFormat/>
    <w:uiPriority w:val="0"/>
    <w:pPr>
      <w:ind w:left="964" w:firstLine="0" w:firstLineChars="0"/>
    </w:pPr>
    <w:rPr>
      <w:sz w:val="18"/>
    </w:rPr>
  </w:style>
  <w:style w:type="paragraph" w:customStyle="1" w:styleId="221">
    <w:name w:val="标准文件_示例X后"/>
    <w:basedOn w:val="71"/>
    <w:link w:val="222"/>
    <w:qFormat/>
    <w:uiPriority w:val="0"/>
    <w:pPr>
      <w:ind w:left="1049" w:firstLine="0" w:firstLineChars="0"/>
    </w:pPr>
    <w:rPr>
      <w:sz w:val="18"/>
    </w:rPr>
  </w:style>
  <w:style w:type="character" w:customStyle="1" w:styleId="222">
    <w:name w:val="标准文件_示例X后 字符"/>
    <w:basedOn w:val="72"/>
    <w:link w:val="221"/>
    <w:qFormat/>
    <w:uiPriority w:val="0"/>
    <w:rPr>
      <w:rFonts w:ascii="宋体" w:hAnsi="Times New Roman"/>
      <w:sz w:val="18"/>
    </w:rPr>
  </w:style>
  <w:style w:type="paragraph" w:customStyle="1" w:styleId="223">
    <w:name w:val="标准文件_索引项"/>
    <w:basedOn w:val="71"/>
    <w:next w:val="71"/>
    <w:qFormat/>
    <w:uiPriority w:val="0"/>
    <w:pPr>
      <w:tabs>
        <w:tab w:val="right" w:leader="dot" w:pos="9356"/>
      </w:tabs>
      <w:ind w:left="210" w:hanging="210" w:firstLineChars="0"/>
      <w:jc w:val="left"/>
    </w:pPr>
  </w:style>
  <w:style w:type="paragraph" w:customStyle="1" w:styleId="224">
    <w:name w:val="标准文件_附录一级无标题"/>
    <w:basedOn w:val="94"/>
    <w:qFormat/>
    <w:uiPriority w:val="0"/>
    <w:pPr>
      <w:spacing w:before="0" w:beforeLines="0" w:after="0" w:afterLines="0" w:line="276" w:lineRule="auto"/>
      <w:outlineLvl w:val="9"/>
    </w:pPr>
    <w:rPr>
      <w:rFonts w:ascii="宋体" w:eastAsia="宋体"/>
    </w:rPr>
  </w:style>
  <w:style w:type="paragraph" w:customStyle="1" w:styleId="225">
    <w:name w:val="标准文件_附录二级无标题"/>
    <w:basedOn w:val="95"/>
    <w:qFormat/>
    <w:uiPriority w:val="0"/>
    <w:pPr>
      <w:spacing w:before="0" w:beforeLines="0" w:after="0" w:afterLines="0" w:line="276" w:lineRule="auto"/>
      <w:outlineLvl w:val="9"/>
    </w:pPr>
    <w:rPr>
      <w:rFonts w:ascii="宋体" w:eastAsia="宋体"/>
    </w:rPr>
  </w:style>
  <w:style w:type="paragraph" w:customStyle="1" w:styleId="226">
    <w:name w:val="标准文件_附录三级无标题"/>
    <w:basedOn w:val="97"/>
    <w:qFormat/>
    <w:uiPriority w:val="0"/>
    <w:pPr>
      <w:spacing w:before="0" w:beforeLines="0" w:after="0" w:afterLines="0" w:line="276" w:lineRule="auto"/>
      <w:outlineLvl w:val="9"/>
    </w:pPr>
    <w:rPr>
      <w:rFonts w:ascii="宋体" w:eastAsia="宋体"/>
    </w:rPr>
  </w:style>
  <w:style w:type="paragraph" w:customStyle="1" w:styleId="227">
    <w:name w:val="标准文件_附录四级无标题"/>
    <w:basedOn w:val="98"/>
    <w:qFormat/>
    <w:uiPriority w:val="0"/>
    <w:pPr>
      <w:spacing w:before="0" w:beforeLines="0" w:after="0" w:afterLines="0" w:line="276" w:lineRule="auto"/>
      <w:outlineLvl w:val="9"/>
    </w:pPr>
    <w:rPr>
      <w:rFonts w:ascii="宋体" w:eastAsia="宋体"/>
    </w:rPr>
  </w:style>
  <w:style w:type="paragraph" w:customStyle="1" w:styleId="228">
    <w:name w:val="标准文件_附录五级无标题"/>
    <w:basedOn w:val="100"/>
    <w:qFormat/>
    <w:uiPriority w:val="0"/>
    <w:pPr>
      <w:spacing w:before="0" w:beforeLines="0" w:after="0" w:afterLines="0" w:line="276" w:lineRule="auto"/>
      <w:outlineLvl w:val="9"/>
    </w:pPr>
    <w:rPr>
      <w:rFonts w:ascii="宋体" w:eastAsia="宋体"/>
    </w:rPr>
  </w:style>
  <w:style w:type="paragraph" w:customStyle="1" w:styleId="229">
    <w:name w:val="标准文件_引言一级无标题"/>
    <w:basedOn w:val="213"/>
    <w:next w:val="71"/>
    <w:qFormat/>
    <w:uiPriority w:val="0"/>
    <w:pPr>
      <w:spacing w:before="0" w:beforeLines="0" w:after="0" w:afterLines="0" w:line="276" w:lineRule="auto"/>
    </w:pPr>
    <w:rPr>
      <w:rFonts w:ascii="宋体" w:eastAsia="宋体"/>
    </w:rPr>
  </w:style>
  <w:style w:type="paragraph" w:customStyle="1" w:styleId="230">
    <w:name w:val="标准文件_引言二级无标题"/>
    <w:basedOn w:val="214"/>
    <w:next w:val="71"/>
    <w:qFormat/>
    <w:uiPriority w:val="0"/>
    <w:pPr>
      <w:spacing w:before="0" w:beforeLines="0" w:after="0" w:afterLines="0" w:line="276" w:lineRule="auto"/>
    </w:pPr>
    <w:rPr>
      <w:rFonts w:ascii="宋体" w:eastAsia="宋体"/>
    </w:rPr>
  </w:style>
  <w:style w:type="paragraph" w:customStyle="1" w:styleId="231">
    <w:name w:val="标准文件_引言三级无标题"/>
    <w:basedOn w:val="215"/>
    <w:qFormat/>
    <w:uiPriority w:val="0"/>
    <w:pPr>
      <w:spacing w:before="0" w:beforeLines="0" w:after="0" w:afterLines="0" w:line="276" w:lineRule="auto"/>
    </w:pPr>
    <w:rPr>
      <w:rFonts w:ascii="宋体" w:eastAsia="宋体"/>
    </w:rPr>
  </w:style>
  <w:style w:type="paragraph" w:customStyle="1" w:styleId="232">
    <w:name w:val="标准文件_引言四级无标题"/>
    <w:basedOn w:val="216"/>
    <w:next w:val="71"/>
    <w:qFormat/>
    <w:uiPriority w:val="0"/>
    <w:pPr>
      <w:spacing w:before="0" w:beforeLines="0" w:after="0" w:afterLines="0" w:line="276" w:lineRule="auto"/>
    </w:pPr>
    <w:rPr>
      <w:rFonts w:ascii="宋体" w:eastAsia="宋体"/>
    </w:rPr>
  </w:style>
  <w:style w:type="paragraph" w:customStyle="1" w:styleId="233">
    <w:name w:val="标准文件_引言五级无标题"/>
    <w:basedOn w:val="217"/>
    <w:next w:val="71"/>
    <w:qFormat/>
    <w:uiPriority w:val="0"/>
    <w:pPr>
      <w:spacing w:before="0" w:beforeLines="0" w:after="0" w:afterLines="0" w:line="276" w:lineRule="auto"/>
    </w:pPr>
    <w:rPr>
      <w:rFonts w:ascii="宋体" w:eastAsia="宋体"/>
    </w:rPr>
  </w:style>
  <w:style w:type="paragraph" w:customStyle="1" w:styleId="234">
    <w:name w:val="标准文件_索引标题"/>
    <w:basedOn w:val="79"/>
    <w:next w:val="71"/>
    <w:qFormat/>
    <w:uiPriority w:val="0"/>
    <w:rPr>
      <w:rFonts w:hAnsi="黑体"/>
    </w:rPr>
  </w:style>
  <w:style w:type="paragraph" w:customStyle="1" w:styleId="235">
    <w:name w:val="标准文件_脚注内容"/>
    <w:basedOn w:val="71"/>
    <w:qFormat/>
    <w:uiPriority w:val="0"/>
    <w:pPr>
      <w:ind w:left="400" w:leftChars="200" w:hanging="200" w:hangingChars="200"/>
    </w:pPr>
    <w:rPr>
      <w:sz w:val="15"/>
    </w:rPr>
  </w:style>
  <w:style w:type="paragraph" w:customStyle="1" w:styleId="236">
    <w:name w:val="标准文件_术语条一"/>
    <w:basedOn w:val="176"/>
    <w:next w:val="71"/>
    <w:qFormat/>
    <w:uiPriority w:val="0"/>
  </w:style>
  <w:style w:type="paragraph" w:customStyle="1" w:styleId="237">
    <w:name w:val="标准文件_术语条二"/>
    <w:basedOn w:val="179"/>
    <w:next w:val="71"/>
    <w:qFormat/>
    <w:uiPriority w:val="0"/>
  </w:style>
  <w:style w:type="paragraph" w:customStyle="1" w:styleId="238">
    <w:name w:val="标准文件_术语条三"/>
    <w:basedOn w:val="178"/>
    <w:next w:val="71"/>
    <w:qFormat/>
    <w:uiPriority w:val="0"/>
  </w:style>
  <w:style w:type="paragraph" w:customStyle="1" w:styleId="239">
    <w:name w:val="标准文件_术语条四"/>
    <w:basedOn w:val="181"/>
    <w:next w:val="71"/>
    <w:qFormat/>
    <w:uiPriority w:val="0"/>
  </w:style>
  <w:style w:type="paragraph" w:customStyle="1" w:styleId="240">
    <w:name w:val="标准文件_术语条五"/>
    <w:basedOn w:val="177"/>
    <w:next w:val="71"/>
    <w:qFormat/>
    <w:uiPriority w:val="0"/>
  </w:style>
  <w:style w:type="paragraph" w:customStyle="1" w:styleId="24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2">
    <w:name w:val="发布"/>
    <w:basedOn w:val="37"/>
    <w:qFormat/>
    <w:uiPriority w:val="0"/>
    <w:rPr>
      <w:rFonts w:ascii="黑体" w:eastAsia="黑体"/>
      <w:spacing w:val="85"/>
      <w:w w:val="100"/>
      <w:position w:val="3"/>
      <w:sz w:val="28"/>
      <w:szCs w:val="28"/>
    </w:rPr>
  </w:style>
  <w:style w:type="character" w:customStyle="1" w:styleId="243">
    <w:name w:val="未处理的提及1"/>
    <w:basedOn w:val="37"/>
    <w:semiHidden/>
    <w:unhideWhenUsed/>
    <w:qFormat/>
    <w:uiPriority w:val="99"/>
    <w:rPr>
      <w:color w:val="605E5C"/>
      <w:shd w:val="clear" w:color="auto" w:fill="E1DFDD"/>
    </w:rPr>
  </w:style>
  <w:style w:type="paragraph" w:styleId="244">
    <w:name w:val="List Paragraph"/>
    <w:basedOn w:val="1"/>
    <w:qFormat/>
    <w:uiPriority w:val="99"/>
    <w:pPr>
      <w:adjustRightInd/>
      <w:spacing w:line="360" w:lineRule="auto"/>
      <w:ind w:firstLine="420" w:firstLineChars="200"/>
    </w:pPr>
    <w:rPr>
      <w:rFonts w:ascii="Times New Roman" w:hAnsi="Times New Roman" w:eastAsia="仿宋" w:cs="仿宋"/>
      <w:sz w:val="32"/>
      <w:szCs w:val="32"/>
    </w:rPr>
  </w:style>
  <w:style w:type="character" w:customStyle="1" w:styleId="245">
    <w:name w:val="批注主题 字符"/>
    <w:basedOn w:val="53"/>
    <w:link w:val="33"/>
    <w:semiHidden/>
    <w:qFormat/>
    <w:uiPriority w:val="99"/>
    <w:rPr>
      <w:rFonts w:ascii="Calibri" w:hAnsi="Calibri" w:eastAsiaTheme="minorEastAsia" w:cstheme="minorBidi"/>
      <w:b/>
      <w:bCs/>
      <w:kern w:val="2"/>
      <w:sz w:val="21"/>
      <w:szCs w:val="21"/>
    </w:rPr>
  </w:style>
  <w:style w:type="paragraph" w:customStyle="1" w:styleId="246">
    <w:name w:val="修订1"/>
    <w:hidden/>
    <w:semiHidden/>
    <w:qFormat/>
    <w:uiPriority w:val="99"/>
    <w:rPr>
      <w:rFonts w:ascii="Calibri" w:hAnsi="Calibri" w:eastAsia="宋体" w:cs="Times New Roman"/>
      <w:kern w:val="2"/>
      <w:sz w:val="21"/>
      <w:szCs w:val="21"/>
      <w:lang w:val="en-US" w:eastAsia="zh-CN" w:bidi="ar-SA"/>
    </w:rPr>
  </w:style>
  <w:style w:type="character" w:customStyle="1" w:styleId="247">
    <w:name w:val="日期 字符"/>
    <w:basedOn w:val="37"/>
    <w:link w:val="20"/>
    <w:semiHidden/>
    <w:qFormat/>
    <w:uiPriority w:val="99"/>
    <w:rPr>
      <w:rFonts w:ascii="Calibri" w:hAnsi="Calibri"/>
      <w:kern w:val="2"/>
      <w:sz w:val="21"/>
      <w:szCs w:val="21"/>
    </w:rPr>
  </w:style>
  <w:style w:type="character" w:customStyle="1" w:styleId="248">
    <w:name w:val="纯文本 字符"/>
    <w:basedOn w:val="37"/>
    <w:link w:val="18"/>
    <w:qFormat/>
    <w:uiPriority w:val="99"/>
    <w:rPr>
      <w:rFonts w:ascii="宋体" w:hAnsi="Courier New"/>
      <w:sz w:val="21"/>
    </w:rPr>
  </w:style>
  <w:style w:type="paragraph" w:customStyle="1" w:styleId="249">
    <w:name w:val="列表段落1"/>
    <w:basedOn w:val="1"/>
    <w:qFormat/>
    <w:uiPriority w:val="99"/>
    <w:pPr>
      <w:adjustRightInd/>
      <w:spacing w:line="240" w:lineRule="auto"/>
      <w:ind w:firstLine="420" w:firstLineChars="200"/>
    </w:pPr>
    <w:rPr>
      <w:szCs w:val="22"/>
    </w:rPr>
  </w:style>
  <w:style w:type="paragraph" w:customStyle="1" w:styleId="250">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image" Target="media/image1.emf"/><Relationship Id="rId47" Type="http://schemas.openxmlformats.org/officeDocument/2006/relationships/theme" Target="theme/theme1.xml"/><Relationship Id="rId46" Type="http://schemas.openxmlformats.org/officeDocument/2006/relationships/footer" Target="footer22.xml"/><Relationship Id="rId45" Type="http://schemas.openxmlformats.org/officeDocument/2006/relationships/footer" Target="footer21.xml"/><Relationship Id="rId44" Type="http://schemas.openxmlformats.org/officeDocument/2006/relationships/header" Target="header20.xml"/><Relationship Id="rId43" Type="http://schemas.openxmlformats.org/officeDocument/2006/relationships/header" Target="header19.xml"/><Relationship Id="rId42" Type="http://schemas.openxmlformats.org/officeDocument/2006/relationships/footer" Target="footer20.xml"/><Relationship Id="rId41" Type="http://schemas.openxmlformats.org/officeDocument/2006/relationships/footer" Target="footer19.xml"/><Relationship Id="rId40" Type="http://schemas.openxmlformats.org/officeDocument/2006/relationships/header" Target="header18.xml"/><Relationship Id="rId4" Type="http://schemas.openxmlformats.org/officeDocument/2006/relationships/endnotes" Target="endnotes.xml"/><Relationship Id="rId39" Type="http://schemas.openxmlformats.org/officeDocument/2006/relationships/header" Target="header17.xml"/><Relationship Id="rId38" Type="http://schemas.openxmlformats.org/officeDocument/2006/relationships/footer" Target="footer18.xml"/><Relationship Id="rId37" Type="http://schemas.openxmlformats.org/officeDocument/2006/relationships/footer" Target="footer17.xml"/><Relationship Id="rId36" Type="http://schemas.openxmlformats.org/officeDocument/2006/relationships/header" Target="header16.xml"/><Relationship Id="rId35" Type="http://schemas.openxmlformats.org/officeDocument/2006/relationships/header" Target="header15.xml"/><Relationship Id="rId34" Type="http://schemas.openxmlformats.org/officeDocument/2006/relationships/footer" Target="footer16.xml"/><Relationship Id="rId33" Type="http://schemas.openxmlformats.org/officeDocument/2006/relationships/footer" Target="footer15.xml"/><Relationship Id="rId32" Type="http://schemas.openxmlformats.org/officeDocument/2006/relationships/header" Target="header14.xml"/><Relationship Id="rId31" Type="http://schemas.openxmlformats.org/officeDocument/2006/relationships/header" Target="header13.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header" Target="header11.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0.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08B41-EC56-4849-A971-D629CCD64783}">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39</Pages>
  <Words>2077</Words>
  <Characters>2409</Characters>
  <Lines>130</Lines>
  <Paragraphs>36</Paragraphs>
  <TotalTime>100</TotalTime>
  <ScaleCrop>false</ScaleCrop>
  <LinksUpToDate>false</LinksUpToDate>
  <CharactersWithSpaces>2655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徐建锋</dc:creator>
  <dc:description>&lt;config cover="true" show_menu="true" version="1.0.0" doctype="SDKXY"&gt;_x000d_
&lt;/config&gt;</dc:description>
  <cp:lastModifiedBy>忐忑</cp:lastModifiedBy>
  <cp:lastPrinted>2025-04-10T12:10:00Z</cp:lastPrinted>
  <dcterms:modified xsi:type="dcterms:W3CDTF">2025-05-13T07:37:05Z</dcterms:modified>
  <dc:title>地方标准</dc:title>
  <cp:revision>439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eyJoZGlkIjoiMjE1MGZmOTRhZjllMGExZDlkZTMzYmYzNTljMTkwODUiLCJ1c2VySWQiOiI0MzYwMTU0NjQifQ==</vt:lpwstr>
  </property>
  <property fmtid="{D5CDD505-2E9C-101B-9397-08002B2CF9AE}" pid="16" name="KSOProductBuildVer">
    <vt:lpwstr>2052-12.1.0.20784</vt:lpwstr>
  </property>
  <property fmtid="{D5CDD505-2E9C-101B-9397-08002B2CF9AE}" pid="17" name="ICV">
    <vt:lpwstr>1A3017A055A845E08AB36B8D6BC9A5BC</vt:lpwstr>
  </property>
  <property fmtid="{D5CDD505-2E9C-101B-9397-08002B2CF9AE}" pid="18" name="MTWinEqns">
    <vt:bool>true</vt:bool>
  </property>
</Properties>
</file>