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2B2638">
      <w:pPr>
        <w:pStyle w:val="145"/>
        <w:keepLines w:val="0"/>
        <w:widowControl/>
        <w:kinsoku/>
        <w:wordWrap/>
        <w:overflowPunct/>
        <w:topLinePunct w:val="0"/>
        <w:bidi w:val="0"/>
        <w:adjustRightInd/>
        <w:snapToGrid/>
        <w:spacing w:before="0" w:after="0" w:line="240" w:lineRule="auto"/>
        <w:ind w:firstLine="0" w:firstLineChars="0"/>
        <w:jc w:val="center"/>
        <w:textAlignment w:val="auto"/>
        <w:rPr>
          <w:rFonts w:hint="default" w:ascii="Times New Roman" w:hAnsi="Times New Roman" w:cs="Times New Roman"/>
          <w:color w:val="auto"/>
          <w:sz w:val="48"/>
          <w:szCs w:val="48"/>
          <w:highlight w:val="none"/>
        </w:rPr>
      </w:pPr>
      <w:bookmarkStart w:id="0" w:name="_Toc55591728"/>
      <w:bookmarkStart w:id="1" w:name="_Toc40730876"/>
      <w:bookmarkStart w:id="2" w:name="_Toc464905538"/>
      <w:bookmarkStart w:id="3" w:name="_Toc464902837"/>
      <w:bookmarkStart w:id="4" w:name="_Toc6986"/>
      <w:bookmarkStart w:id="5" w:name="_Toc31997"/>
      <w:bookmarkStart w:id="6" w:name="_Toc465074243"/>
      <w:bookmarkStart w:id="7" w:name="_Toc464905790"/>
      <w:bookmarkStart w:id="8" w:name="_Toc464905594"/>
      <w:bookmarkStart w:id="9" w:name="_Toc486614340"/>
      <w:r>
        <w:rPr>
          <w:rFonts w:hint="default" w:ascii="Times New Roman" w:hAnsi="Times New Roman" w:cs="Times New Roman"/>
          <w:color w:val="auto"/>
          <w:sz w:val="48"/>
          <w:szCs w:val="48"/>
          <w:highlight w:val="none"/>
        </w:rPr>
        <w:t>市政装配式混凝土桥梁连接技术规程</w:t>
      </w:r>
    </w:p>
    <w:p w14:paraId="30BDEAA0">
      <w:pPr>
        <w:pStyle w:val="30"/>
        <w:keepLines w:val="0"/>
        <w:widowControl/>
        <w:kinsoku/>
        <w:wordWrap/>
        <w:overflowPunct/>
        <w:topLinePunct w:val="0"/>
        <w:bidi w:val="0"/>
        <w:adjustRightInd/>
        <w:snapToGrid/>
        <w:spacing w:line="240" w:lineRule="auto"/>
        <w:ind w:firstLine="0" w:firstLineChars="0"/>
        <w:textAlignment w:val="auto"/>
        <w:rPr>
          <w:rFonts w:hint="default" w:ascii="Times New Roman" w:hAnsi="Times New Roman" w:cs="Times New Roman"/>
          <w:color w:val="auto"/>
          <w:szCs w:val="32"/>
          <w:highlight w:val="none"/>
        </w:rPr>
      </w:pPr>
    </w:p>
    <w:p w14:paraId="0DA01B0D">
      <w:pPr>
        <w:pStyle w:val="30"/>
        <w:keepLines w:val="0"/>
        <w:widowControl/>
        <w:kinsoku/>
        <w:wordWrap/>
        <w:overflowPunct/>
        <w:topLinePunct w:val="0"/>
        <w:bidi w:val="0"/>
        <w:adjustRightInd/>
        <w:snapToGrid/>
        <w:spacing w:line="240" w:lineRule="auto"/>
        <w:ind w:firstLine="0" w:firstLineChars="0"/>
        <w:jc w:val="center"/>
        <w:textAlignment w:val="auto"/>
        <w:rPr>
          <w:rFonts w:hint="default" w:ascii="Times New Roman"/>
          <w:color w:val="auto"/>
          <w:highlight w:val="none"/>
        </w:rPr>
      </w:pPr>
    </w:p>
    <w:p w14:paraId="17E94FE9">
      <w:pPr>
        <w:pStyle w:val="30"/>
        <w:keepLines w:val="0"/>
        <w:widowControl/>
        <w:kinsoku/>
        <w:wordWrap/>
        <w:overflowPunct/>
        <w:topLinePunct w:val="0"/>
        <w:bidi w:val="0"/>
        <w:adjustRightInd/>
        <w:snapToGrid/>
        <w:spacing w:line="240" w:lineRule="auto"/>
        <w:ind w:firstLine="0" w:firstLineChars="0"/>
        <w:jc w:val="center"/>
        <w:textAlignment w:val="auto"/>
        <w:rPr>
          <w:rFonts w:hint="default" w:ascii="Times New Roman"/>
          <w:color w:val="auto"/>
          <w:highlight w:val="none"/>
        </w:rPr>
      </w:pPr>
      <w:r>
        <w:rPr>
          <w:rFonts w:hint="default" w:ascii="Times New Roman"/>
          <w:color w:val="auto"/>
          <w:highlight w:val="none"/>
        </w:rPr>
        <w:t>（</w:t>
      </w:r>
      <w:r>
        <w:rPr>
          <w:rFonts w:hint="eastAsia" w:ascii="Times New Roman" w:hAnsi="Times New Roman"/>
          <w:b/>
          <w:bCs/>
          <w:sz w:val="32"/>
          <w:szCs w:val="32"/>
        </w:rPr>
        <w:t>征求意见稿</w:t>
      </w:r>
      <w:r>
        <w:rPr>
          <w:rFonts w:hint="default" w:ascii="Times New Roman"/>
          <w:color w:val="auto"/>
          <w:highlight w:val="none"/>
        </w:rPr>
        <w:t>）</w:t>
      </w:r>
    </w:p>
    <w:p w14:paraId="2647286A">
      <w:pPr>
        <w:pStyle w:val="30"/>
        <w:keepLines w:val="0"/>
        <w:widowControl/>
        <w:kinsoku/>
        <w:wordWrap/>
        <w:overflowPunct/>
        <w:topLinePunct w:val="0"/>
        <w:bidi w:val="0"/>
        <w:adjustRightInd/>
        <w:snapToGrid/>
        <w:spacing w:line="620" w:lineRule="exact"/>
        <w:jc w:val="center"/>
        <w:textAlignment w:val="auto"/>
        <w:rPr>
          <w:rFonts w:hint="default" w:ascii="Times New Roman"/>
          <w:color w:val="auto"/>
          <w:highlight w:val="none"/>
        </w:rPr>
      </w:pPr>
    </w:p>
    <w:p w14:paraId="01DCB86A">
      <w:pPr>
        <w:pStyle w:val="30"/>
        <w:keepLines w:val="0"/>
        <w:widowControl/>
        <w:kinsoku/>
        <w:wordWrap/>
        <w:overflowPunct/>
        <w:topLinePunct w:val="0"/>
        <w:bidi w:val="0"/>
        <w:adjustRightInd/>
        <w:snapToGrid/>
        <w:spacing w:line="620" w:lineRule="exact"/>
        <w:jc w:val="center"/>
        <w:textAlignment w:val="auto"/>
        <w:rPr>
          <w:rFonts w:hint="default" w:ascii="Times New Roman"/>
          <w:color w:val="auto"/>
          <w:highlight w:val="none"/>
        </w:rPr>
      </w:pPr>
    </w:p>
    <w:p w14:paraId="59435CFA">
      <w:pPr>
        <w:pStyle w:val="30"/>
        <w:keepLines w:val="0"/>
        <w:widowControl/>
        <w:kinsoku/>
        <w:wordWrap/>
        <w:overflowPunct/>
        <w:topLinePunct w:val="0"/>
        <w:bidi w:val="0"/>
        <w:adjustRightInd/>
        <w:snapToGrid/>
        <w:spacing w:line="620" w:lineRule="exact"/>
        <w:jc w:val="center"/>
        <w:textAlignment w:val="auto"/>
        <w:rPr>
          <w:rFonts w:hint="default" w:ascii="Times New Roman"/>
          <w:color w:val="auto"/>
          <w:highlight w:val="none"/>
        </w:rPr>
      </w:pPr>
    </w:p>
    <w:p w14:paraId="4208A25E">
      <w:pPr>
        <w:pStyle w:val="30"/>
        <w:keepLines w:val="0"/>
        <w:widowControl/>
        <w:kinsoku/>
        <w:wordWrap/>
        <w:overflowPunct/>
        <w:topLinePunct w:val="0"/>
        <w:bidi w:val="0"/>
        <w:adjustRightInd/>
        <w:snapToGrid/>
        <w:spacing w:line="620" w:lineRule="exact"/>
        <w:jc w:val="center"/>
        <w:textAlignment w:val="auto"/>
        <w:rPr>
          <w:rFonts w:hint="default" w:ascii="Times New Roman"/>
          <w:color w:val="auto"/>
          <w:highlight w:val="none"/>
        </w:rPr>
      </w:pPr>
    </w:p>
    <w:p w14:paraId="3179DDEC">
      <w:pPr>
        <w:pStyle w:val="30"/>
        <w:keepLines w:val="0"/>
        <w:widowControl/>
        <w:kinsoku/>
        <w:wordWrap/>
        <w:overflowPunct/>
        <w:topLinePunct w:val="0"/>
        <w:bidi w:val="0"/>
        <w:adjustRightInd/>
        <w:snapToGrid/>
        <w:spacing w:line="620" w:lineRule="exact"/>
        <w:jc w:val="center"/>
        <w:textAlignment w:val="auto"/>
        <w:rPr>
          <w:rFonts w:hint="default" w:ascii="Times New Roman"/>
          <w:color w:val="auto"/>
          <w:highlight w:val="none"/>
        </w:rPr>
      </w:pPr>
    </w:p>
    <w:p w14:paraId="33ABC8F1">
      <w:pPr>
        <w:pStyle w:val="30"/>
        <w:keepLines w:val="0"/>
        <w:widowControl/>
        <w:kinsoku/>
        <w:wordWrap/>
        <w:overflowPunct/>
        <w:topLinePunct w:val="0"/>
        <w:bidi w:val="0"/>
        <w:adjustRightInd/>
        <w:snapToGrid/>
        <w:spacing w:line="620" w:lineRule="exact"/>
        <w:jc w:val="center"/>
        <w:textAlignment w:val="auto"/>
        <w:rPr>
          <w:rFonts w:hint="default" w:ascii="Times New Roman"/>
          <w:color w:val="auto"/>
          <w:highlight w:val="none"/>
        </w:rPr>
      </w:pPr>
    </w:p>
    <w:p w14:paraId="7ED091BB">
      <w:pPr>
        <w:pStyle w:val="30"/>
        <w:keepLines w:val="0"/>
        <w:widowControl/>
        <w:kinsoku/>
        <w:wordWrap/>
        <w:overflowPunct/>
        <w:topLinePunct w:val="0"/>
        <w:bidi w:val="0"/>
        <w:adjustRightInd/>
        <w:snapToGrid/>
        <w:spacing w:line="620" w:lineRule="exact"/>
        <w:jc w:val="center"/>
        <w:textAlignment w:val="auto"/>
        <w:rPr>
          <w:rFonts w:hint="default" w:ascii="Times New Roman"/>
          <w:color w:val="auto"/>
          <w:highlight w:val="none"/>
        </w:rPr>
      </w:pPr>
    </w:p>
    <w:p w14:paraId="2E118DD6">
      <w:pPr>
        <w:pStyle w:val="145"/>
        <w:rPr>
          <w:rFonts w:ascii="Times New Roman" w:hAnsi="Times New Roman" w:cs="Times New Roman"/>
          <w:color w:val="auto"/>
          <w:szCs w:val="32"/>
          <w:highlight w:val="none"/>
        </w:rPr>
      </w:pPr>
      <w:r>
        <w:rPr>
          <w:rFonts w:hint="default" w:ascii="Times New Roman" w:hAnsi="Times New Roman" w:cs="Times New Roman"/>
          <w:color w:val="auto"/>
          <w:szCs w:val="32"/>
          <w:highlight w:val="none"/>
        </w:rPr>
        <w:t>前</w:t>
      </w:r>
      <w:bookmarkStart w:id="10" w:name="BKQY"/>
      <w:r>
        <w:rPr>
          <w:rFonts w:hint="default" w:ascii="Times New Roman" w:hAnsi="Times New Roman" w:cs="Times New Roman"/>
          <w:color w:val="auto"/>
          <w:szCs w:val="32"/>
          <w:highlight w:val="none"/>
        </w:rPr>
        <w:t xml:space="preserve"> 言</w:t>
      </w:r>
      <w:bookmarkEnd w:id="0"/>
      <w:bookmarkEnd w:id="1"/>
      <w:bookmarkEnd w:id="2"/>
      <w:bookmarkEnd w:id="3"/>
      <w:bookmarkEnd w:id="4"/>
      <w:bookmarkEnd w:id="5"/>
      <w:bookmarkEnd w:id="6"/>
      <w:bookmarkEnd w:id="7"/>
      <w:bookmarkEnd w:id="8"/>
      <w:bookmarkEnd w:id="9"/>
      <w:bookmarkEnd w:id="10"/>
    </w:p>
    <w:p w14:paraId="66060792">
      <w:pPr>
        <w:autoSpaceDE w:val="0"/>
        <w:autoSpaceDN w:val="0"/>
        <w:ind w:firstLine="420" w:firstLineChars="200"/>
        <w:rPr>
          <w:color w:val="auto"/>
          <w:highlight w:val="none"/>
        </w:rPr>
      </w:pPr>
      <w:r>
        <w:rPr>
          <w:color w:val="auto"/>
          <w:highlight w:val="none"/>
        </w:rPr>
        <w:t>根据</w:t>
      </w:r>
      <w:r>
        <w:rPr>
          <w:rFonts w:hint="eastAsia"/>
          <w:color w:val="auto"/>
          <w:highlight w:val="none"/>
        </w:rPr>
        <w:t>安徽省市场监督管理局</w:t>
      </w:r>
      <w:r>
        <w:rPr>
          <w:color w:val="auto"/>
          <w:highlight w:val="none"/>
        </w:rPr>
        <w:t>发布的《</w:t>
      </w:r>
      <w:r>
        <w:rPr>
          <w:rFonts w:hint="eastAsia"/>
          <w:color w:val="auto"/>
          <w:highlight w:val="none"/>
        </w:rPr>
        <w:t>安徽省市场监督管理局关于下达2023年第三批安徽省地方标准制修订计划的通知</w:t>
      </w:r>
      <w:r>
        <w:rPr>
          <w:color w:val="auto"/>
          <w:highlight w:val="none"/>
        </w:rPr>
        <w:t>》（</w:t>
      </w:r>
      <w:r>
        <w:rPr>
          <w:rFonts w:hint="eastAsia"/>
          <w:color w:val="auto"/>
          <w:highlight w:val="none"/>
        </w:rPr>
        <w:t>皖市监</w:t>
      </w:r>
      <w:r>
        <w:rPr>
          <w:color w:val="auto"/>
          <w:highlight w:val="none"/>
        </w:rPr>
        <w:t>函〔20</w:t>
      </w:r>
      <w:r>
        <w:rPr>
          <w:rFonts w:hint="eastAsia"/>
          <w:color w:val="auto"/>
          <w:highlight w:val="none"/>
        </w:rPr>
        <w:t>23</w:t>
      </w:r>
      <w:r>
        <w:rPr>
          <w:color w:val="auto"/>
          <w:highlight w:val="none"/>
        </w:rPr>
        <w:t>〕</w:t>
      </w:r>
      <w:r>
        <w:rPr>
          <w:rFonts w:hint="eastAsia"/>
          <w:color w:val="auto"/>
          <w:highlight w:val="none"/>
        </w:rPr>
        <w:t>622</w:t>
      </w:r>
      <w:r>
        <w:rPr>
          <w:color w:val="auto"/>
          <w:highlight w:val="none"/>
        </w:rPr>
        <w:t>号）的要求，标准编制组经广泛调查研究，开展专题研讨，认真总结实践经验，针对安徽省</w:t>
      </w:r>
      <w:r>
        <w:rPr>
          <w:rFonts w:hint="eastAsia"/>
          <w:color w:val="auto"/>
          <w:highlight w:val="none"/>
        </w:rPr>
        <w:t>市政装配式混凝土桥梁连接</w:t>
      </w:r>
      <w:r>
        <w:rPr>
          <w:color w:val="auto"/>
          <w:highlight w:val="none"/>
        </w:rPr>
        <w:t>工作的需要，参考国家及行业相关规程和规范，在广泛征求意见的基础上，制定了本</w:t>
      </w:r>
      <w:r>
        <w:rPr>
          <w:rFonts w:hint="eastAsia"/>
          <w:color w:val="auto"/>
          <w:highlight w:val="none"/>
        </w:rPr>
        <w:t>规程</w:t>
      </w:r>
      <w:r>
        <w:rPr>
          <w:color w:val="auto"/>
          <w:highlight w:val="none"/>
        </w:rPr>
        <w:t>。</w:t>
      </w:r>
    </w:p>
    <w:p w14:paraId="3784B383">
      <w:pPr>
        <w:autoSpaceDE w:val="0"/>
        <w:autoSpaceDN w:val="0"/>
        <w:ind w:firstLine="420" w:firstLineChars="200"/>
        <w:rPr>
          <w:color w:val="auto"/>
          <w:highlight w:val="none"/>
        </w:rPr>
      </w:pPr>
      <w:r>
        <w:rPr>
          <w:color w:val="auto"/>
          <w:highlight w:val="none"/>
        </w:rPr>
        <w:t xml:space="preserve">本规程的主要内容是：1 总则；2 术语和符号；3 基本规定；4 </w:t>
      </w:r>
      <w:r>
        <w:rPr>
          <w:rFonts w:hint="eastAsia"/>
          <w:color w:val="auto"/>
          <w:highlight w:val="none"/>
        </w:rPr>
        <w:t>材料</w:t>
      </w:r>
      <w:r>
        <w:rPr>
          <w:color w:val="auto"/>
          <w:highlight w:val="none"/>
        </w:rPr>
        <w:t xml:space="preserve">；5 </w:t>
      </w:r>
      <w:r>
        <w:rPr>
          <w:rFonts w:hint="eastAsia"/>
          <w:color w:val="auto"/>
          <w:highlight w:val="none"/>
        </w:rPr>
        <w:t>结构计算</w:t>
      </w:r>
      <w:r>
        <w:rPr>
          <w:color w:val="auto"/>
          <w:highlight w:val="none"/>
        </w:rPr>
        <w:t xml:space="preserve">；6 </w:t>
      </w:r>
      <w:r>
        <w:rPr>
          <w:rFonts w:hint="eastAsia"/>
          <w:color w:val="auto"/>
          <w:highlight w:val="none"/>
        </w:rPr>
        <w:t>构造设计</w:t>
      </w:r>
      <w:r>
        <w:rPr>
          <w:color w:val="auto"/>
          <w:highlight w:val="none"/>
        </w:rPr>
        <w:t xml:space="preserve">；7 </w:t>
      </w:r>
      <w:r>
        <w:rPr>
          <w:rFonts w:hint="eastAsia"/>
          <w:color w:val="auto"/>
          <w:highlight w:val="none"/>
        </w:rPr>
        <w:t>施工；</w:t>
      </w:r>
      <w:r>
        <w:rPr>
          <w:rFonts w:hint="default" w:ascii="Times New Roman" w:hAnsi="Times New Roman" w:cs="Times New Roman"/>
          <w:color w:val="auto"/>
          <w:szCs w:val="21"/>
          <w:highlight w:val="none"/>
        </w:rPr>
        <w:t>8 质量检验</w:t>
      </w:r>
      <w:r>
        <w:rPr>
          <w:color w:val="auto"/>
          <w:highlight w:val="none"/>
        </w:rPr>
        <w:t>。</w:t>
      </w:r>
    </w:p>
    <w:p w14:paraId="7E574EF2">
      <w:pPr>
        <w:autoSpaceDE w:val="0"/>
        <w:autoSpaceDN w:val="0"/>
        <w:ind w:firstLine="420" w:firstLineChars="200"/>
        <w:rPr>
          <w:color w:val="auto"/>
          <w:highlight w:val="none"/>
        </w:rPr>
      </w:pPr>
      <w:r>
        <w:rPr>
          <w:color w:val="auto"/>
          <w:highlight w:val="none"/>
        </w:rPr>
        <w:t>本规程由安徽省住房和城乡建设厅负责</w:t>
      </w:r>
      <w:r>
        <w:rPr>
          <w:rFonts w:hint="eastAsia"/>
          <w:color w:val="auto"/>
          <w:highlight w:val="none"/>
        </w:rPr>
        <w:t>归口</w:t>
      </w:r>
      <w:r>
        <w:rPr>
          <w:color w:val="auto"/>
          <w:highlight w:val="none"/>
        </w:rPr>
        <w:t>管理，由安徽省交通规划设计研究总院股份有限公司负责具体技术内容的解释。执行过程中如有意见或建议，请寄送至安徽省交通规划设计研究总院股份有限公司（地址：合肥市高新区</w:t>
      </w:r>
      <w:r>
        <w:rPr>
          <w:rFonts w:hint="eastAsia"/>
          <w:color w:val="auto"/>
          <w:highlight w:val="none"/>
        </w:rPr>
        <w:t>彩虹路1008</w:t>
      </w:r>
      <w:r>
        <w:rPr>
          <w:color w:val="auto"/>
          <w:highlight w:val="none"/>
        </w:rPr>
        <w:t>号，邮政编码：230088）。</w:t>
      </w:r>
    </w:p>
    <w:p w14:paraId="36C2B75B">
      <w:pPr>
        <w:autoSpaceDE w:val="0"/>
        <w:autoSpaceDN w:val="0"/>
        <w:ind w:firstLine="420" w:firstLineChars="200"/>
        <w:rPr>
          <w:color w:val="auto"/>
          <w:highlight w:val="none"/>
        </w:rPr>
      </w:pPr>
      <w:r>
        <w:rPr>
          <w:color w:val="auto"/>
          <w:highlight w:val="none"/>
        </w:rPr>
        <w:t>主编单位：安徽省交通规划设计研究总院股份有限公司</w:t>
      </w:r>
    </w:p>
    <w:p w14:paraId="357AE174">
      <w:pPr>
        <w:autoSpaceDE w:val="0"/>
        <w:autoSpaceDN w:val="0"/>
        <w:ind w:firstLine="420" w:firstLineChars="200"/>
        <w:rPr>
          <w:color w:val="auto"/>
          <w:highlight w:val="none"/>
        </w:rPr>
      </w:pPr>
      <w:r>
        <w:rPr>
          <w:color w:val="auto"/>
          <w:highlight w:val="none"/>
        </w:rPr>
        <w:t>参编单位：</w:t>
      </w:r>
      <w:r>
        <w:rPr>
          <w:rFonts w:hint="eastAsia"/>
          <w:color w:val="auto"/>
          <w:highlight w:val="none"/>
        </w:rPr>
        <w:t>合肥工业大学</w:t>
      </w:r>
    </w:p>
    <w:p w14:paraId="71DEB3BF">
      <w:pPr>
        <w:autoSpaceDE w:val="0"/>
        <w:autoSpaceDN w:val="0"/>
        <w:ind w:firstLine="1470" w:firstLineChars="700"/>
        <w:rPr>
          <w:color w:val="auto"/>
          <w:highlight w:val="none"/>
        </w:rPr>
      </w:pPr>
      <w:r>
        <w:rPr>
          <w:rFonts w:hint="eastAsia"/>
          <w:color w:val="auto"/>
          <w:highlight w:val="none"/>
        </w:rPr>
        <w:t>安徽省交控工业化建造有限公司</w:t>
      </w:r>
    </w:p>
    <w:p w14:paraId="0951CE32">
      <w:pPr>
        <w:pStyle w:val="2"/>
        <w:autoSpaceDE w:val="0"/>
        <w:autoSpaceDN w:val="0"/>
        <w:ind w:firstLine="1470" w:firstLineChars="700"/>
        <w:rPr>
          <w:rFonts w:eastAsia="宋体"/>
          <w:color w:val="auto"/>
          <w:sz w:val="21"/>
          <w:highlight w:val="none"/>
        </w:rPr>
      </w:pPr>
      <w:r>
        <w:rPr>
          <w:rFonts w:hint="eastAsia" w:eastAsia="宋体"/>
          <w:color w:val="auto"/>
          <w:sz w:val="21"/>
          <w:highlight w:val="none"/>
        </w:rPr>
        <w:t>合肥市重点工程建设管理局</w:t>
      </w:r>
    </w:p>
    <w:p w14:paraId="02CE8DAE">
      <w:pPr>
        <w:autoSpaceDE w:val="0"/>
        <w:autoSpaceDN w:val="0"/>
        <w:ind w:firstLine="1470" w:firstLineChars="700"/>
        <w:rPr>
          <w:color w:val="auto"/>
          <w:highlight w:val="none"/>
        </w:rPr>
      </w:pPr>
      <w:r>
        <w:rPr>
          <w:rFonts w:hint="eastAsia"/>
          <w:color w:val="auto"/>
          <w:highlight w:val="none"/>
        </w:rPr>
        <w:t>安徽省公路桥梁工程有限公司</w:t>
      </w:r>
    </w:p>
    <w:p w14:paraId="76D7DA29">
      <w:pPr>
        <w:autoSpaceDE w:val="0"/>
        <w:autoSpaceDN w:val="0"/>
        <w:ind w:firstLine="1470" w:firstLineChars="700"/>
        <w:rPr>
          <w:rFonts w:hint="eastAsia" w:ascii="Times New Roman" w:hAnsi="Times New Roman" w:cs="Times New Roman"/>
          <w:color w:val="auto"/>
          <w:highlight w:val="none"/>
        </w:rPr>
      </w:pPr>
      <w:r>
        <w:rPr>
          <w:rFonts w:hint="eastAsia" w:ascii="Times New Roman" w:hAnsi="Times New Roman" w:cs="Times New Roman"/>
          <w:color w:val="auto"/>
          <w:highlight w:val="none"/>
        </w:rPr>
        <w:t>安徽建工路港建设集团有限公司</w:t>
      </w:r>
    </w:p>
    <w:p w14:paraId="5D860031">
      <w:pPr>
        <w:autoSpaceDE w:val="0"/>
        <w:autoSpaceDN w:val="0"/>
        <w:ind w:firstLine="1470" w:firstLineChars="700"/>
        <w:rPr>
          <w:rFonts w:hint="eastAsia"/>
          <w:color w:val="auto"/>
          <w:highlight w:val="none"/>
        </w:rPr>
      </w:pPr>
      <w:r>
        <w:rPr>
          <w:rFonts w:hint="eastAsia"/>
          <w:color w:val="auto"/>
          <w:highlight w:val="none"/>
        </w:rPr>
        <w:t>安徽建工建设投资集团有限公司</w:t>
      </w:r>
    </w:p>
    <w:p w14:paraId="3144152F">
      <w:pPr>
        <w:autoSpaceDE w:val="0"/>
        <w:autoSpaceDN w:val="0"/>
        <w:ind w:firstLine="1470" w:firstLineChars="700"/>
      </w:pPr>
      <w:r>
        <w:rPr>
          <w:rFonts w:hint="eastAsia"/>
          <w:color w:val="auto"/>
          <w:highlight w:val="none"/>
        </w:rPr>
        <w:t>安徽省交规院工程智慧养护科技有限公司</w:t>
      </w:r>
    </w:p>
    <w:p w14:paraId="6FA526D9">
      <w:pPr>
        <w:autoSpaceDE w:val="0"/>
        <w:autoSpaceDN w:val="0"/>
        <w:ind w:left="1680" w:leftChars="200" w:hanging="1260" w:hangingChars="600"/>
        <w:rPr>
          <w:rFonts w:hint="eastAsia" w:eastAsia="仿宋_GB2312"/>
          <w:color w:val="auto"/>
          <w:highlight w:val="none"/>
          <w:lang w:eastAsia="zh-CN"/>
        </w:rPr>
      </w:pPr>
      <w:r>
        <w:rPr>
          <w:color w:val="auto"/>
          <w:highlight w:val="none"/>
        </w:rPr>
        <w:t>主要起草人：</w:t>
      </w:r>
    </w:p>
    <w:p w14:paraId="14CED450">
      <w:pPr>
        <w:autoSpaceDE w:val="0"/>
        <w:autoSpaceDN w:val="0"/>
        <w:ind w:left="1470" w:leftChars="200" w:hanging="1050" w:hangingChars="500"/>
        <w:rPr>
          <w:color w:val="auto"/>
          <w:highlight w:val="none"/>
        </w:rPr>
      </w:pPr>
      <w:r>
        <w:rPr>
          <w:color w:val="auto"/>
          <w:highlight w:val="none"/>
        </w:rPr>
        <w:t>主要审查人：</w:t>
      </w:r>
    </w:p>
    <w:p w14:paraId="6C79C8DE">
      <w:pPr>
        <w:pStyle w:val="30"/>
        <w:rPr>
          <w:rFonts w:ascii="Times New Roman"/>
          <w:color w:val="auto"/>
          <w:highlight w:val="none"/>
        </w:rPr>
      </w:pPr>
    </w:p>
    <w:p w14:paraId="687295B5">
      <w:pPr>
        <w:pStyle w:val="30"/>
        <w:rPr>
          <w:rFonts w:ascii="Times New Roman"/>
          <w:color w:val="auto"/>
          <w:highlight w:val="none"/>
        </w:rPr>
      </w:pPr>
    </w:p>
    <w:p w14:paraId="621015F9">
      <w:pPr>
        <w:pStyle w:val="30"/>
        <w:rPr>
          <w:rFonts w:ascii="Times New Roman"/>
          <w:color w:val="auto"/>
          <w:highlight w:val="none"/>
        </w:rPr>
      </w:pPr>
    </w:p>
    <w:p w14:paraId="339D2868">
      <w:pPr>
        <w:pStyle w:val="30"/>
        <w:rPr>
          <w:rFonts w:ascii="Times New Roman"/>
          <w:color w:val="auto"/>
          <w:highlight w:val="none"/>
        </w:rPr>
        <w:sectPr>
          <w:headerReference r:id="rId3" w:type="default"/>
          <w:footerReference r:id="rId5" w:type="default"/>
          <w:headerReference r:id="rId4" w:type="even"/>
          <w:footerReference r:id="rId6" w:type="even"/>
          <w:pgSz w:w="11906" w:h="16838"/>
          <w:pgMar w:top="1440" w:right="1474" w:bottom="1440" w:left="1474" w:header="1418" w:footer="1134" w:gutter="0"/>
          <w:pgNumType w:fmt="upperRoman" w:start="1"/>
          <w:cols w:space="720" w:num="1"/>
          <w:formProt w:val="0"/>
          <w:docGrid w:type="lines" w:linePitch="312" w:charSpace="0"/>
        </w:sectPr>
      </w:pPr>
    </w:p>
    <w:p w14:paraId="489554DA">
      <w:pPr>
        <w:pStyle w:val="26"/>
        <w:spacing w:before="78" w:after="78"/>
        <w:jc w:val="center"/>
        <w:rPr>
          <w:rFonts w:ascii="Times New Roman" w:hAnsi="Times New Roman" w:eastAsia="黑体"/>
          <w:color w:val="auto"/>
          <w:sz w:val="32"/>
          <w:szCs w:val="32"/>
          <w:highlight w:val="none"/>
        </w:rPr>
      </w:pPr>
      <w:r>
        <w:rPr>
          <w:rFonts w:hint="default" w:ascii="Times New Roman" w:hAnsi="Times New Roman" w:eastAsia="黑体"/>
          <w:color w:val="auto"/>
          <w:sz w:val="32"/>
          <w:szCs w:val="32"/>
          <w:highlight w:val="none"/>
        </w:rPr>
        <w:t>目   次</w:t>
      </w:r>
    </w:p>
    <w:p w14:paraId="46BAA2CD">
      <w:pPr>
        <w:rPr>
          <w:color w:val="auto"/>
          <w:highlight w:val="none"/>
        </w:rPr>
      </w:pPr>
    </w:p>
    <w:p w14:paraId="20A78377">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color w:val="auto"/>
          <w:sz w:val="24"/>
          <w:szCs w:val="24"/>
          <w:highlight w:val="none"/>
        </w:rPr>
        <w:instrText xml:space="preserve"> TOC \o "1-2" \h \z \u </w:instrText>
      </w:r>
      <w:r>
        <w:rPr>
          <w:rFonts w:ascii="Times New Roman"/>
          <w:color w:val="auto"/>
          <w:sz w:val="24"/>
          <w:szCs w:val="24"/>
          <w:highlight w:val="none"/>
        </w:rPr>
        <w:fldChar w:fldCharType="separate"/>
      </w:r>
      <w:r>
        <w:rPr>
          <w:rFonts w:ascii="Times New Roman"/>
          <w:color w:val="auto"/>
          <w:sz w:val="24"/>
          <w:szCs w:val="24"/>
          <w:highlight w:val="none"/>
        </w:rPr>
        <w:fldChar w:fldCharType="begin"/>
      </w:r>
      <w:r>
        <w:rPr>
          <w:rFonts w:ascii="Times New Roman"/>
          <w:sz w:val="24"/>
          <w:szCs w:val="24"/>
          <w:highlight w:val="none"/>
        </w:rPr>
        <w:instrText xml:space="preserve"> HYPERLINK \l _Toc31997 </w:instrText>
      </w:r>
      <w:r>
        <w:rPr>
          <w:rFonts w:ascii="Times New Roman"/>
          <w:sz w:val="24"/>
          <w:szCs w:val="24"/>
          <w:highlight w:val="none"/>
        </w:rPr>
        <w:fldChar w:fldCharType="separate"/>
      </w:r>
      <w:r>
        <w:rPr>
          <w:rFonts w:hint="default" w:ascii="Times New Roman" w:hAnsi="Times New Roman" w:cs="Times New Roman"/>
          <w:sz w:val="24"/>
          <w:szCs w:val="24"/>
          <w:highlight w:val="none"/>
        </w:rPr>
        <w:t>前 言</w:t>
      </w:r>
      <w:r>
        <w:rPr>
          <w:sz w:val="24"/>
          <w:szCs w:val="24"/>
        </w:rPr>
        <w:tab/>
      </w:r>
      <w:r>
        <w:rPr>
          <w:sz w:val="24"/>
          <w:szCs w:val="24"/>
        </w:rPr>
        <w:fldChar w:fldCharType="begin"/>
      </w:r>
      <w:r>
        <w:rPr>
          <w:sz w:val="24"/>
          <w:szCs w:val="24"/>
        </w:rPr>
        <w:instrText xml:space="preserve"> PAGEREF _Toc31997 \h </w:instrText>
      </w:r>
      <w:r>
        <w:rPr>
          <w:sz w:val="24"/>
          <w:szCs w:val="24"/>
        </w:rPr>
        <w:fldChar w:fldCharType="separate"/>
      </w:r>
      <w:r>
        <w:rPr>
          <w:sz w:val="24"/>
          <w:szCs w:val="24"/>
        </w:rPr>
        <w:t>I</w:t>
      </w:r>
      <w:r>
        <w:rPr>
          <w:sz w:val="24"/>
          <w:szCs w:val="24"/>
        </w:rPr>
        <w:fldChar w:fldCharType="end"/>
      </w:r>
      <w:r>
        <w:rPr>
          <w:rFonts w:ascii="Times New Roman"/>
          <w:color w:val="auto"/>
          <w:sz w:val="24"/>
          <w:szCs w:val="24"/>
          <w:highlight w:val="none"/>
        </w:rPr>
        <w:fldChar w:fldCharType="end"/>
      </w:r>
    </w:p>
    <w:p w14:paraId="4DDB63EC">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_Toc13564 </w:instrText>
      </w:r>
      <w:r>
        <w:rPr>
          <w:rFonts w:ascii="Times New Roman"/>
          <w:sz w:val="24"/>
          <w:szCs w:val="24"/>
          <w:highlight w:val="none"/>
        </w:rPr>
        <w:fldChar w:fldCharType="separate"/>
      </w:r>
      <w:r>
        <w:rPr>
          <w:rFonts w:hint="default" w:ascii="Times New Roman" w:hAnsi="Times New Roman" w:cs="Times New Roman"/>
          <w:sz w:val="24"/>
          <w:szCs w:val="24"/>
        </w:rPr>
        <w:t>1 总  则</w:t>
      </w:r>
      <w:r>
        <w:rPr>
          <w:sz w:val="24"/>
          <w:szCs w:val="24"/>
        </w:rPr>
        <w:tab/>
      </w:r>
      <w:r>
        <w:rPr>
          <w:sz w:val="24"/>
          <w:szCs w:val="24"/>
        </w:rPr>
        <w:fldChar w:fldCharType="begin"/>
      </w:r>
      <w:r>
        <w:rPr>
          <w:sz w:val="24"/>
          <w:szCs w:val="24"/>
        </w:rPr>
        <w:instrText xml:space="preserve"> PAGEREF _Toc13564 \h </w:instrText>
      </w:r>
      <w:r>
        <w:rPr>
          <w:sz w:val="24"/>
          <w:szCs w:val="24"/>
        </w:rPr>
        <w:fldChar w:fldCharType="separate"/>
      </w:r>
      <w:r>
        <w:rPr>
          <w:sz w:val="24"/>
          <w:szCs w:val="24"/>
        </w:rPr>
        <w:t>1</w:t>
      </w:r>
      <w:r>
        <w:rPr>
          <w:sz w:val="24"/>
          <w:szCs w:val="24"/>
        </w:rPr>
        <w:fldChar w:fldCharType="end"/>
      </w:r>
      <w:r>
        <w:rPr>
          <w:rFonts w:ascii="Times New Roman"/>
          <w:color w:val="auto"/>
          <w:sz w:val="24"/>
          <w:szCs w:val="24"/>
          <w:highlight w:val="none"/>
        </w:rPr>
        <w:fldChar w:fldCharType="end"/>
      </w:r>
    </w:p>
    <w:p w14:paraId="4C20BB78">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_Toc20059 </w:instrText>
      </w:r>
      <w:r>
        <w:rPr>
          <w:rFonts w:ascii="Times New Roman"/>
          <w:sz w:val="24"/>
          <w:szCs w:val="24"/>
          <w:highlight w:val="none"/>
        </w:rPr>
        <w:fldChar w:fldCharType="separate"/>
      </w:r>
      <w:r>
        <w:rPr>
          <w:rFonts w:hint="default" w:ascii="Times New Roman" w:hAnsi="Times New Roman" w:cs="Times New Roman"/>
          <w:sz w:val="24"/>
          <w:szCs w:val="24"/>
        </w:rPr>
        <w:t>2 术语和符号</w:t>
      </w:r>
      <w:r>
        <w:rPr>
          <w:sz w:val="24"/>
          <w:szCs w:val="24"/>
        </w:rPr>
        <w:tab/>
      </w:r>
      <w:r>
        <w:rPr>
          <w:sz w:val="24"/>
          <w:szCs w:val="24"/>
        </w:rPr>
        <w:fldChar w:fldCharType="begin"/>
      </w:r>
      <w:r>
        <w:rPr>
          <w:sz w:val="24"/>
          <w:szCs w:val="24"/>
        </w:rPr>
        <w:instrText xml:space="preserve"> PAGEREF _Toc20059 \h </w:instrText>
      </w:r>
      <w:r>
        <w:rPr>
          <w:sz w:val="24"/>
          <w:szCs w:val="24"/>
        </w:rPr>
        <w:fldChar w:fldCharType="separate"/>
      </w:r>
      <w:r>
        <w:rPr>
          <w:sz w:val="24"/>
          <w:szCs w:val="24"/>
        </w:rPr>
        <w:t>2</w:t>
      </w:r>
      <w:r>
        <w:rPr>
          <w:sz w:val="24"/>
          <w:szCs w:val="24"/>
        </w:rPr>
        <w:fldChar w:fldCharType="end"/>
      </w:r>
      <w:r>
        <w:rPr>
          <w:rFonts w:ascii="Times New Roman"/>
          <w:color w:val="auto"/>
          <w:sz w:val="24"/>
          <w:szCs w:val="24"/>
          <w:highlight w:val="none"/>
        </w:rPr>
        <w:fldChar w:fldCharType="end"/>
      </w:r>
    </w:p>
    <w:p w14:paraId="4A9C0152">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_Toc24538 </w:instrText>
      </w:r>
      <w:r>
        <w:rPr>
          <w:rFonts w:ascii="Times New Roman"/>
          <w:sz w:val="24"/>
          <w:szCs w:val="24"/>
          <w:highlight w:val="none"/>
        </w:rPr>
        <w:fldChar w:fldCharType="separate"/>
      </w:r>
      <w:r>
        <w:rPr>
          <w:rFonts w:hint="eastAsia" w:ascii="Times New Roman" w:hAnsi="Times New Roman" w:cs="Times New Roman"/>
          <w:kern w:val="0"/>
          <w:sz w:val="24"/>
          <w:szCs w:val="24"/>
        </w:rPr>
        <w:t>2.1 术语</w:t>
      </w:r>
      <w:r>
        <w:rPr>
          <w:sz w:val="24"/>
          <w:szCs w:val="24"/>
        </w:rPr>
        <w:tab/>
      </w:r>
      <w:r>
        <w:rPr>
          <w:sz w:val="24"/>
          <w:szCs w:val="24"/>
        </w:rPr>
        <w:fldChar w:fldCharType="begin"/>
      </w:r>
      <w:r>
        <w:rPr>
          <w:sz w:val="24"/>
          <w:szCs w:val="24"/>
        </w:rPr>
        <w:instrText xml:space="preserve"> PAGEREF _Toc24538 \h </w:instrText>
      </w:r>
      <w:r>
        <w:rPr>
          <w:sz w:val="24"/>
          <w:szCs w:val="24"/>
        </w:rPr>
        <w:fldChar w:fldCharType="separate"/>
      </w:r>
      <w:r>
        <w:rPr>
          <w:sz w:val="24"/>
          <w:szCs w:val="24"/>
        </w:rPr>
        <w:t>2</w:t>
      </w:r>
      <w:r>
        <w:rPr>
          <w:sz w:val="24"/>
          <w:szCs w:val="24"/>
        </w:rPr>
        <w:fldChar w:fldCharType="end"/>
      </w:r>
      <w:r>
        <w:rPr>
          <w:rFonts w:ascii="Times New Roman"/>
          <w:color w:val="auto"/>
          <w:sz w:val="24"/>
          <w:szCs w:val="24"/>
          <w:highlight w:val="none"/>
        </w:rPr>
        <w:fldChar w:fldCharType="end"/>
      </w:r>
    </w:p>
    <w:p w14:paraId="24FB7201">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_Toc28030 </w:instrText>
      </w:r>
      <w:r>
        <w:rPr>
          <w:rFonts w:ascii="Times New Roman"/>
          <w:sz w:val="24"/>
          <w:szCs w:val="24"/>
          <w:highlight w:val="none"/>
        </w:rPr>
        <w:fldChar w:fldCharType="separate"/>
      </w:r>
      <w:r>
        <w:rPr>
          <w:rFonts w:hint="eastAsia" w:ascii="Times New Roman" w:hAnsi="Times New Roman" w:cs="Times New Roman"/>
          <w:kern w:val="0"/>
          <w:sz w:val="24"/>
          <w:szCs w:val="24"/>
        </w:rPr>
        <w:t>2.2 符号</w:t>
      </w:r>
      <w:r>
        <w:rPr>
          <w:sz w:val="24"/>
          <w:szCs w:val="24"/>
        </w:rPr>
        <w:tab/>
      </w:r>
      <w:r>
        <w:rPr>
          <w:sz w:val="24"/>
          <w:szCs w:val="24"/>
        </w:rPr>
        <w:fldChar w:fldCharType="begin"/>
      </w:r>
      <w:r>
        <w:rPr>
          <w:sz w:val="24"/>
          <w:szCs w:val="24"/>
        </w:rPr>
        <w:instrText xml:space="preserve"> PAGEREF _Toc28030 \h </w:instrText>
      </w:r>
      <w:r>
        <w:rPr>
          <w:sz w:val="24"/>
          <w:szCs w:val="24"/>
        </w:rPr>
        <w:fldChar w:fldCharType="separate"/>
      </w:r>
      <w:r>
        <w:rPr>
          <w:sz w:val="24"/>
          <w:szCs w:val="24"/>
        </w:rPr>
        <w:t>2</w:t>
      </w:r>
      <w:r>
        <w:rPr>
          <w:sz w:val="24"/>
          <w:szCs w:val="24"/>
        </w:rPr>
        <w:fldChar w:fldCharType="end"/>
      </w:r>
      <w:r>
        <w:rPr>
          <w:rFonts w:ascii="Times New Roman"/>
          <w:color w:val="auto"/>
          <w:sz w:val="24"/>
          <w:szCs w:val="24"/>
          <w:highlight w:val="none"/>
        </w:rPr>
        <w:fldChar w:fldCharType="end"/>
      </w:r>
    </w:p>
    <w:p w14:paraId="04F26353">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_Toc11610 </w:instrText>
      </w:r>
      <w:r>
        <w:rPr>
          <w:rFonts w:ascii="Times New Roman"/>
          <w:sz w:val="24"/>
          <w:szCs w:val="24"/>
          <w:highlight w:val="none"/>
        </w:rPr>
        <w:fldChar w:fldCharType="separate"/>
      </w:r>
      <w:r>
        <w:rPr>
          <w:rFonts w:hint="default" w:ascii="Times New Roman" w:hAnsi="Times New Roman" w:cs="Times New Roman"/>
          <w:sz w:val="24"/>
          <w:szCs w:val="24"/>
        </w:rPr>
        <w:t>3 基本规定</w:t>
      </w:r>
      <w:r>
        <w:rPr>
          <w:sz w:val="24"/>
          <w:szCs w:val="24"/>
        </w:rPr>
        <w:tab/>
      </w:r>
      <w:r>
        <w:rPr>
          <w:sz w:val="24"/>
          <w:szCs w:val="24"/>
        </w:rPr>
        <w:fldChar w:fldCharType="begin"/>
      </w:r>
      <w:r>
        <w:rPr>
          <w:sz w:val="24"/>
          <w:szCs w:val="24"/>
        </w:rPr>
        <w:instrText xml:space="preserve"> PAGEREF _Toc11610 \h </w:instrText>
      </w:r>
      <w:r>
        <w:rPr>
          <w:sz w:val="24"/>
          <w:szCs w:val="24"/>
        </w:rPr>
        <w:fldChar w:fldCharType="separate"/>
      </w:r>
      <w:r>
        <w:rPr>
          <w:sz w:val="24"/>
          <w:szCs w:val="24"/>
        </w:rPr>
        <w:t>4</w:t>
      </w:r>
      <w:r>
        <w:rPr>
          <w:sz w:val="24"/>
          <w:szCs w:val="24"/>
        </w:rPr>
        <w:fldChar w:fldCharType="end"/>
      </w:r>
      <w:r>
        <w:rPr>
          <w:rFonts w:ascii="Times New Roman"/>
          <w:color w:val="auto"/>
          <w:sz w:val="24"/>
          <w:szCs w:val="24"/>
          <w:highlight w:val="none"/>
        </w:rPr>
        <w:fldChar w:fldCharType="end"/>
      </w:r>
    </w:p>
    <w:p w14:paraId="0090E2BC">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_Toc26072 </w:instrText>
      </w:r>
      <w:r>
        <w:rPr>
          <w:rFonts w:ascii="Times New Roman"/>
          <w:sz w:val="24"/>
          <w:szCs w:val="24"/>
          <w:highlight w:val="none"/>
        </w:rPr>
        <w:fldChar w:fldCharType="separate"/>
      </w:r>
      <w:r>
        <w:rPr>
          <w:rFonts w:hint="default" w:ascii="Times New Roman" w:hAnsi="Times New Roman" w:cs="Times New Roman"/>
          <w:sz w:val="24"/>
          <w:szCs w:val="24"/>
        </w:rPr>
        <w:t>4 材料</w:t>
      </w:r>
      <w:r>
        <w:rPr>
          <w:sz w:val="24"/>
          <w:szCs w:val="24"/>
        </w:rPr>
        <w:tab/>
      </w:r>
      <w:r>
        <w:rPr>
          <w:sz w:val="24"/>
          <w:szCs w:val="24"/>
        </w:rPr>
        <w:fldChar w:fldCharType="begin"/>
      </w:r>
      <w:r>
        <w:rPr>
          <w:sz w:val="24"/>
          <w:szCs w:val="24"/>
        </w:rPr>
        <w:instrText xml:space="preserve"> PAGEREF _Toc26072 \h </w:instrText>
      </w:r>
      <w:r>
        <w:rPr>
          <w:sz w:val="24"/>
          <w:szCs w:val="24"/>
        </w:rPr>
        <w:fldChar w:fldCharType="separate"/>
      </w:r>
      <w:r>
        <w:rPr>
          <w:sz w:val="24"/>
          <w:szCs w:val="24"/>
        </w:rPr>
        <w:t>5</w:t>
      </w:r>
      <w:r>
        <w:rPr>
          <w:sz w:val="24"/>
          <w:szCs w:val="24"/>
        </w:rPr>
        <w:fldChar w:fldCharType="end"/>
      </w:r>
      <w:r>
        <w:rPr>
          <w:rFonts w:ascii="Times New Roman"/>
          <w:color w:val="auto"/>
          <w:sz w:val="24"/>
          <w:szCs w:val="24"/>
          <w:highlight w:val="none"/>
        </w:rPr>
        <w:fldChar w:fldCharType="end"/>
      </w:r>
    </w:p>
    <w:p w14:paraId="3EFA5FE2">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_Toc31959 </w:instrText>
      </w:r>
      <w:r>
        <w:rPr>
          <w:rFonts w:ascii="Times New Roman"/>
          <w:sz w:val="24"/>
          <w:szCs w:val="24"/>
          <w:highlight w:val="none"/>
        </w:rPr>
        <w:fldChar w:fldCharType="separate"/>
      </w:r>
      <w:r>
        <w:rPr>
          <w:rFonts w:hint="eastAsia" w:ascii="Times New Roman" w:hAnsi="Times New Roman" w:cs="Times New Roman"/>
          <w:kern w:val="0"/>
          <w:sz w:val="24"/>
          <w:szCs w:val="24"/>
        </w:rPr>
        <w:t>4.1 混凝土、钢筋和钢材</w:t>
      </w:r>
      <w:r>
        <w:rPr>
          <w:sz w:val="24"/>
          <w:szCs w:val="24"/>
        </w:rPr>
        <w:tab/>
      </w:r>
      <w:r>
        <w:rPr>
          <w:sz w:val="24"/>
          <w:szCs w:val="24"/>
        </w:rPr>
        <w:fldChar w:fldCharType="begin"/>
      </w:r>
      <w:r>
        <w:rPr>
          <w:sz w:val="24"/>
          <w:szCs w:val="24"/>
        </w:rPr>
        <w:instrText xml:space="preserve"> PAGEREF _Toc31959 \h </w:instrText>
      </w:r>
      <w:r>
        <w:rPr>
          <w:sz w:val="24"/>
          <w:szCs w:val="24"/>
        </w:rPr>
        <w:fldChar w:fldCharType="separate"/>
      </w:r>
      <w:r>
        <w:rPr>
          <w:sz w:val="24"/>
          <w:szCs w:val="24"/>
        </w:rPr>
        <w:t>5</w:t>
      </w:r>
      <w:r>
        <w:rPr>
          <w:sz w:val="24"/>
          <w:szCs w:val="24"/>
        </w:rPr>
        <w:fldChar w:fldCharType="end"/>
      </w:r>
      <w:r>
        <w:rPr>
          <w:rFonts w:ascii="Times New Roman"/>
          <w:color w:val="auto"/>
          <w:sz w:val="24"/>
          <w:szCs w:val="24"/>
          <w:highlight w:val="none"/>
        </w:rPr>
        <w:fldChar w:fldCharType="end"/>
      </w:r>
    </w:p>
    <w:p w14:paraId="6E7D6051">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_Toc15456 </w:instrText>
      </w:r>
      <w:r>
        <w:rPr>
          <w:rFonts w:ascii="Times New Roman"/>
          <w:sz w:val="24"/>
          <w:szCs w:val="24"/>
          <w:highlight w:val="none"/>
        </w:rPr>
        <w:fldChar w:fldCharType="separate"/>
      </w:r>
      <w:r>
        <w:rPr>
          <w:rFonts w:hint="eastAsia" w:ascii="Times New Roman" w:hAnsi="Times New Roman" w:cs="Times New Roman"/>
          <w:kern w:val="0"/>
          <w:sz w:val="24"/>
          <w:szCs w:val="24"/>
        </w:rPr>
        <w:t>4.2 灌浆套筒</w:t>
      </w:r>
      <w:r>
        <w:rPr>
          <w:sz w:val="24"/>
          <w:szCs w:val="24"/>
        </w:rPr>
        <w:tab/>
      </w:r>
      <w:r>
        <w:rPr>
          <w:sz w:val="24"/>
          <w:szCs w:val="24"/>
        </w:rPr>
        <w:fldChar w:fldCharType="begin"/>
      </w:r>
      <w:r>
        <w:rPr>
          <w:sz w:val="24"/>
          <w:szCs w:val="24"/>
        </w:rPr>
        <w:instrText xml:space="preserve"> PAGEREF _Toc15456 \h </w:instrText>
      </w:r>
      <w:r>
        <w:rPr>
          <w:sz w:val="24"/>
          <w:szCs w:val="24"/>
        </w:rPr>
        <w:fldChar w:fldCharType="separate"/>
      </w:r>
      <w:r>
        <w:rPr>
          <w:sz w:val="24"/>
          <w:szCs w:val="24"/>
        </w:rPr>
        <w:t>5</w:t>
      </w:r>
      <w:r>
        <w:rPr>
          <w:sz w:val="24"/>
          <w:szCs w:val="24"/>
        </w:rPr>
        <w:fldChar w:fldCharType="end"/>
      </w:r>
      <w:r>
        <w:rPr>
          <w:rFonts w:ascii="Times New Roman"/>
          <w:color w:val="auto"/>
          <w:sz w:val="24"/>
          <w:szCs w:val="24"/>
          <w:highlight w:val="none"/>
        </w:rPr>
        <w:fldChar w:fldCharType="end"/>
      </w:r>
    </w:p>
    <w:p w14:paraId="7224BDC9">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_Toc24164 </w:instrText>
      </w:r>
      <w:r>
        <w:rPr>
          <w:rFonts w:ascii="Times New Roman"/>
          <w:sz w:val="24"/>
          <w:szCs w:val="24"/>
          <w:highlight w:val="none"/>
        </w:rPr>
        <w:fldChar w:fldCharType="separate"/>
      </w:r>
      <w:r>
        <w:rPr>
          <w:rFonts w:hint="eastAsia" w:ascii="Times New Roman" w:hAnsi="Times New Roman" w:cs="Times New Roman"/>
          <w:kern w:val="0"/>
          <w:sz w:val="24"/>
          <w:szCs w:val="24"/>
        </w:rPr>
        <w:t>4.3 灌浆波纹钢管</w:t>
      </w:r>
      <w:r>
        <w:rPr>
          <w:sz w:val="24"/>
          <w:szCs w:val="24"/>
        </w:rPr>
        <w:tab/>
      </w:r>
      <w:r>
        <w:rPr>
          <w:sz w:val="24"/>
          <w:szCs w:val="24"/>
        </w:rPr>
        <w:fldChar w:fldCharType="begin"/>
      </w:r>
      <w:r>
        <w:rPr>
          <w:sz w:val="24"/>
          <w:szCs w:val="24"/>
        </w:rPr>
        <w:instrText xml:space="preserve"> PAGEREF _Toc24164 \h </w:instrText>
      </w:r>
      <w:r>
        <w:rPr>
          <w:sz w:val="24"/>
          <w:szCs w:val="24"/>
        </w:rPr>
        <w:fldChar w:fldCharType="separate"/>
      </w:r>
      <w:r>
        <w:rPr>
          <w:sz w:val="24"/>
          <w:szCs w:val="24"/>
        </w:rPr>
        <w:t>6</w:t>
      </w:r>
      <w:r>
        <w:rPr>
          <w:sz w:val="24"/>
          <w:szCs w:val="24"/>
        </w:rPr>
        <w:fldChar w:fldCharType="end"/>
      </w:r>
      <w:r>
        <w:rPr>
          <w:rFonts w:ascii="Times New Roman"/>
          <w:color w:val="auto"/>
          <w:sz w:val="24"/>
          <w:szCs w:val="24"/>
          <w:highlight w:val="none"/>
        </w:rPr>
        <w:fldChar w:fldCharType="end"/>
      </w:r>
    </w:p>
    <w:p w14:paraId="7EB68519">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_Toc19437 </w:instrText>
      </w:r>
      <w:r>
        <w:rPr>
          <w:rFonts w:ascii="Times New Roman"/>
          <w:sz w:val="24"/>
          <w:szCs w:val="24"/>
          <w:highlight w:val="none"/>
        </w:rPr>
        <w:fldChar w:fldCharType="separate"/>
      </w:r>
      <w:r>
        <w:rPr>
          <w:rFonts w:hint="eastAsia" w:ascii="Times New Roman" w:hAnsi="Times New Roman" w:cs="Times New Roman"/>
          <w:kern w:val="0"/>
          <w:sz w:val="24"/>
          <w:szCs w:val="24"/>
        </w:rPr>
        <w:t>4.4 预应力筋和锚具</w:t>
      </w:r>
      <w:r>
        <w:rPr>
          <w:sz w:val="24"/>
          <w:szCs w:val="24"/>
        </w:rPr>
        <w:tab/>
      </w:r>
      <w:r>
        <w:rPr>
          <w:sz w:val="24"/>
          <w:szCs w:val="24"/>
        </w:rPr>
        <w:fldChar w:fldCharType="begin"/>
      </w:r>
      <w:r>
        <w:rPr>
          <w:sz w:val="24"/>
          <w:szCs w:val="24"/>
        </w:rPr>
        <w:instrText xml:space="preserve"> PAGEREF _Toc19437 \h </w:instrText>
      </w:r>
      <w:r>
        <w:rPr>
          <w:sz w:val="24"/>
          <w:szCs w:val="24"/>
        </w:rPr>
        <w:fldChar w:fldCharType="separate"/>
      </w:r>
      <w:r>
        <w:rPr>
          <w:sz w:val="24"/>
          <w:szCs w:val="24"/>
        </w:rPr>
        <w:t>6</w:t>
      </w:r>
      <w:r>
        <w:rPr>
          <w:sz w:val="24"/>
          <w:szCs w:val="24"/>
        </w:rPr>
        <w:fldChar w:fldCharType="end"/>
      </w:r>
      <w:r>
        <w:rPr>
          <w:rFonts w:ascii="Times New Roman"/>
          <w:color w:val="auto"/>
          <w:sz w:val="24"/>
          <w:szCs w:val="24"/>
          <w:highlight w:val="none"/>
        </w:rPr>
        <w:fldChar w:fldCharType="end"/>
      </w:r>
    </w:p>
    <w:p w14:paraId="6DEE9BFF">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_Toc26693 </w:instrText>
      </w:r>
      <w:r>
        <w:rPr>
          <w:rFonts w:ascii="Times New Roman"/>
          <w:sz w:val="24"/>
          <w:szCs w:val="24"/>
          <w:highlight w:val="none"/>
        </w:rPr>
        <w:fldChar w:fldCharType="separate"/>
      </w:r>
      <w:r>
        <w:rPr>
          <w:rFonts w:hint="eastAsia" w:ascii="Times New Roman" w:hAnsi="Times New Roman" w:cs="Times New Roman"/>
          <w:kern w:val="0"/>
          <w:sz w:val="24"/>
          <w:szCs w:val="24"/>
        </w:rPr>
        <w:t xml:space="preserve">4.5 </w:t>
      </w:r>
      <w:r>
        <w:rPr>
          <w:rFonts w:hint="default" w:ascii="Times New Roman" w:hAnsi="Times New Roman" w:cs="Times New Roman"/>
          <w:kern w:val="0"/>
          <w:sz w:val="24"/>
          <w:szCs w:val="24"/>
        </w:rPr>
        <w:t>灌浆料与接缝材料</w:t>
      </w:r>
      <w:r>
        <w:rPr>
          <w:sz w:val="24"/>
          <w:szCs w:val="24"/>
        </w:rPr>
        <w:tab/>
      </w:r>
      <w:r>
        <w:rPr>
          <w:sz w:val="24"/>
          <w:szCs w:val="24"/>
        </w:rPr>
        <w:fldChar w:fldCharType="begin"/>
      </w:r>
      <w:r>
        <w:rPr>
          <w:sz w:val="24"/>
          <w:szCs w:val="24"/>
        </w:rPr>
        <w:instrText xml:space="preserve"> PAGEREF _Toc26693 \h </w:instrText>
      </w:r>
      <w:r>
        <w:rPr>
          <w:sz w:val="24"/>
          <w:szCs w:val="24"/>
        </w:rPr>
        <w:fldChar w:fldCharType="separate"/>
      </w:r>
      <w:r>
        <w:rPr>
          <w:sz w:val="24"/>
          <w:szCs w:val="24"/>
        </w:rPr>
        <w:t>7</w:t>
      </w:r>
      <w:r>
        <w:rPr>
          <w:sz w:val="24"/>
          <w:szCs w:val="24"/>
        </w:rPr>
        <w:fldChar w:fldCharType="end"/>
      </w:r>
      <w:r>
        <w:rPr>
          <w:rFonts w:ascii="Times New Roman"/>
          <w:color w:val="auto"/>
          <w:sz w:val="24"/>
          <w:szCs w:val="24"/>
          <w:highlight w:val="none"/>
        </w:rPr>
        <w:fldChar w:fldCharType="end"/>
      </w:r>
    </w:p>
    <w:p w14:paraId="2150B32F">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_Toc1364 </w:instrText>
      </w:r>
      <w:r>
        <w:rPr>
          <w:rFonts w:ascii="Times New Roman"/>
          <w:sz w:val="24"/>
          <w:szCs w:val="24"/>
          <w:highlight w:val="none"/>
        </w:rPr>
        <w:fldChar w:fldCharType="separate"/>
      </w:r>
      <w:r>
        <w:rPr>
          <w:rFonts w:hint="default" w:ascii="Times New Roman" w:hAnsi="Times New Roman" w:cs="Times New Roman"/>
          <w:sz w:val="24"/>
          <w:szCs w:val="24"/>
        </w:rPr>
        <w:t>5 结构计算</w:t>
      </w:r>
      <w:r>
        <w:rPr>
          <w:sz w:val="24"/>
          <w:szCs w:val="24"/>
        </w:rPr>
        <w:tab/>
      </w:r>
      <w:r>
        <w:rPr>
          <w:sz w:val="24"/>
          <w:szCs w:val="24"/>
        </w:rPr>
        <w:fldChar w:fldCharType="begin"/>
      </w:r>
      <w:r>
        <w:rPr>
          <w:sz w:val="24"/>
          <w:szCs w:val="24"/>
        </w:rPr>
        <w:instrText xml:space="preserve"> PAGEREF _Toc1364 \h </w:instrText>
      </w:r>
      <w:r>
        <w:rPr>
          <w:sz w:val="24"/>
          <w:szCs w:val="24"/>
        </w:rPr>
        <w:fldChar w:fldCharType="separate"/>
      </w:r>
      <w:r>
        <w:rPr>
          <w:sz w:val="24"/>
          <w:szCs w:val="24"/>
        </w:rPr>
        <w:t>9</w:t>
      </w:r>
      <w:r>
        <w:rPr>
          <w:sz w:val="24"/>
          <w:szCs w:val="24"/>
        </w:rPr>
        <w:fldChar w:fldCharType="end"/>
      </w:r>
      <w:r>
        <w:rPr>
          <w:rFonts w:ascii="Times New Roman"/>
          <w:color w:val="auto"/>
          <w:sz w:val="24"/>
          <w:szCs w:val="24"/>
          <w:highlight w:val="none"/>
        </w:rPr>
        <w:fldChar w:fldCharType="end"/>
      </w:r>
    </w:p>
    <w:p w14:paraId="73EC3092">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_Toc13590 </w:instrText>
      </w:r>
      <w:r>
        <w:rPr>
          <w:rFonts w:ascii="Times New Roman"/>
          <w:sz w:val="24"/>
          <w:szCs w:val="24"/>
          <w:highlight w:val="none"/>
        </w:rPr>
        <w:fldChar w:fldCharType="separate"/>
      </w:r>
      <w:r>
        <w:rPr>
          <w:rFonts w:hint="eastAsia" w:ascii="Times New Roman" w:hAnsi="Times New Roman" w:cs="Times New Roman"/>
          <w:kern w:val="0"/>
          <w:sz w:val="24"/>
          <w:szCs w:val="24"/>
        </w:rPr>
        <w:t>5.1</w:t>
      </w:r>
      <w:r>
        <w:rPr>
          <w:rFonts w:ascii="Times New Roman" w:hAnsi="Times New Roman" w:cs="Times New Roman"/>
          <w:kern w:val="0"/>
          <w:sz w:val="24"/>
          <w:szCs w:val="24"/>
        </w:rPr>
        <w:t xml:space="preserve"> </w:t>
      </w:r>
      <w:r>
        <w:rPr>
          <w:rFonts w:hint="eastAsia" w:ascii="Times New Roman" w:hAnsi="Times New Roman" w:cs="Times New Roman"/>
          <w:kern w:val="0"/>
          <w:sz w:val="24"/>
          <w:szCs w:val="24"/>
        </w:rPr>
        <w:t>一般规定</w:t>
      </w:r>
      <w:r>
        <w:rPr>
          <w:sz w:val="24"/>
          <w:szCs w:val="24"/>
        </w:rPr>
        <w:tab/>
      </w:r>
      <w:r>
        <w:rPr>
          <w:sz w:val="24"/>
          <w:szCs w:val="24"/>
        </w:rPr>
        <w:fldChar w:fldCharType="begin"/>
      </w:r>
      <w:r>
        <w:rPr>
          <w:sz w:val="24"/>
          <w:szCs w:val="24"/>
        </w:rPr>
        <w:instrText xml:space="preserve"> PAGEREF _Toc13590 \h </w:instrText>
      </w:r>
      <w:r>
        <w:rPr>
          <w:sz w:val="24"/>
          <w:szCs w:val="24"/>
        </w:rPr>
        <w:fldChar w:fldCharType="separate"/>
      </w:r>
      <w:r>
        <w:rPr>
          <w:sz w:val="24"/>
          <w:szCs w:val="24"/>
        </w:rPr>
        <w:t>9</w:t>
      </w:r>
      <w:r>
        <w:rPr>
          <w:sz w:val="24"/>
          <w:szCs w:val="24"/>
        </w:rPr>
        <w:fldChar w:fldCharType="end"/>
      </w:r>
      <w:r>
        <w:rPr>
          <w:rFonts w:ascii="Times New Roman"/>
          <w:color w:val="auto"/>
          <w:sz w:val="24"/>
          <w:szCs w:val="24"/>
          <w:highlight w:val="none"/>
        </w:rPr>
        <w:fldChar w:fldCharType="end"/>
      </w:r>
    </w:p>
    <w:p w14:paraId="34B921A2">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_Toc14704 </w:instrText>
      </w:r>
      <w:r>
        <w:rPr>
          <w:rFonts w:ascii="Times New Roman"/>
          <w:sz w:val="24"/>
          <w:szCs w:val="24"/>
          <w:highlight w:val="none"/>
        </w:rPr>
        <w:fldChar w:fldCharType="separate"/>
      </w:r>
      <w:r>
        <w:rPr>
          <w:rFonts w:hint="eastAsia" w:ascii="Times New Roman" w:hAnsi="Times New Roman" w:cs="Times New Roman"/>
          <w:kern w:val="0"/>
          <w:sz w:val="24"/>
          <w:szCs w:val="24"/>
        </w:rPr>
        <w:t>5.2 持久状况承载能力极限状态计算</w:t>
      </w:r>
      <w:r>
        <w:rPr>
          <w:sz w:val="24"/>
          <w:szCs w:val="24"/>
        </w:rPr>
        <w:tab/>
      </w:r>
      <w:r>
        <w:rPr>
          <w:sz w:val="24"/>
          <w:szCs w:val="24"/>
        </w:rPr>
        <w:fldChar w:fldCharType="begin"/>
      </w:r>
      <w:r>
        <w:rPr>
          <w:sz w:val="24"/>
          <w:szCs w:val="24"/>
        </w:rPr>
        <w:instrText xml:space="preserve"> PAGEREF _Toc14704 \h </w:instrText>
      </w:r>
      <w:r>
        <w:rPr>
          <w:sz w:val="24"/>
          <w:szCs w:val="24"/>
        </w:rPr>
        <w:fldChar w:fldCharType="separate"/>
      </w:r>
      <w:r>
        <w:rPr>
          <w:sz w:val="24"/>
          <w:szCs w:val="24"/>
        </w:rPr>
        <w:t>9</w:t>
      </w:r>
      <w:r>
        <w:rPr>
          <w:sz w:val="24"/>
          <w:szCs w:val="24"/>
        </w:rPr>
        <w:fldChar w:fldCharType="end"/>
      </w:r>
      <w:r>
        <w:rPr>
          <w:rFonts w:ascii="Times New Roman"/>
          <w:color w:val="auto"/>
          <w:sz w:val="24"/>
          <w:szCs w:val="24"/>
          <w:highlight w:val="none"/>
        </w:rPr>
        <w:fldChar w:fldCharType="end"/>
      </w:r>
    </w:p>
    <w:p w14:paraId="6C3E0A87">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_Toc14381 </w:instrText>
      </w:r>
      <w:r>
        <w:rPr>
          <w:rFonts w:ascii="Times New Roman"/>
          <w:sz w:val="24"/>
          <w:szCs w:val="24"/>
          <w:highlight w:val="none"/>
        </w:rPr>
        <w:fldChar w:fldCharType="separate"/>
      </w:r>
      <w:r>
        <w:rPr>
          <w:rFonts w:hint="eastAsia" w:ascii="Times New Roman" w:hAnsi="Times New Roman" w:cs="Times New Roman"/>
          <w:kern w:val="0"/>
          <w:sz w:val="24"/>
          <w:szCs w:val="24"/>
        </w:rPr>
        <w:t>5.3 持久状况正常使用极限状态计算</w:t>
      </w:r>
      <w:r>
        <w:rPr>
          <w:sz w:val="24"/>
          <w:szCs w:val="24"/>
        </w:rPr>
        <w:tab/>
      </w:r>
      <w:r>
        <w:rPr>
          <w:sz w:val="24"/>
          <w:szCs w:val="24"/>
        </w:rPr>
        <w:fldChar w:fldCharType="begin"/>
      </w:r>
      <w:r>
        <w:rPr>
          <w:sz w:val="24"/>
          <w:szCs w:val="24"/>
        </w:rPr>
        <w:instrText xml:space="preserve"> PAGEREF _Toc14381 \h </w:instrText>
      </w:r>
      <w:r>
        <w:rPr>
          <w:sz w:val="24"/>
          <w:szCs w:val="24"/>
        </w:rPr>
        <w:fldChar w:fldCharType="separate"/>
      </w:r>
      <w:r>
        <w:rPr>
          <w:sz w:val="24"/>
          <w:szCs w:val="24"/>
        </w:rPr>
        <w:t>9</w:t>
      </w:r>
      <w:r>
        <w:rPr>
          <w:sz w:val="24"/>
          <w:szCs w:val="24"/>
        </w:rPr>
        <w:fldChar w:fldCharType="end"/>
      </w:r>
      <w:r>
        <w:rPr>
          <w:rFonts w:ascii="Times New Roman"/>
          <w:color w:val="auto"/>
          <w:sz w:val="24"/>
          <w:szCs w:val="24"/>
          <w:highlight w:val="none"/>
        </w:rPr>
        <w:fldChar w:fldCharType="end"/>
      </w:r>
    </w:p>
    <w:p w14:paraId="3B2E0C63">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_Toc1158 </w:instrText>
      </w:r>
      <w:r>
        <w:rPr>
          <w:rFonts w:ascii="Times New Roman"/>
          <w:sz w:val="24"/>
          <w:szCs w:val="24"/>
          <w:highlight w:val="none"/>
        </w:rPr>
        <w:fldChar w:fldCharType="separate"/>
      </w:r>
      <w:r>
        <w:rPr>
          <w:rFonts w:hint="eastAsia" w:ascii="Times New Roman" w:hAnsi="Times New Roman" w:cs="Times New Roman"/>
          <w:kern w:val="0"/>
          <w:sz w:val="24"/>
          <w:szCs w:val="24"/>
        </w:rPr>
        <w:t>5.4 持久状况和短暂状况应力计算</w:t>
      </w:r>
      <w:r>
        <w:rPr>
          <w:sz w:val="24"/>
          <w:szCs w:val="24"/>
        </w:rPr>
        <w:tab/>
      </w:r>
      <w:r>
        <w:rPr>
          <w:sz w:val="24"/>
          <w:szCs w:val="24"/>
        </w:rPr>
        <w:fldChar w:fldCharType="begin"/>
      </w:r>
      <w:r>
        <w:rPr>
          <w:sz w:val="24"/>
          <w:szCs w:val="24"/>
        </w:rPr>
        <w:instrText xml:space="preserve"> PAGEREF _Toc1158 \h </w:instrText>
      </w:r>
      <w:r>
        <w:rPr>
          <w:sz w:val="24"/>
          <w:szCs w:val="24"/>
        </w:rPr>
        <w:fldChar w:fldCharType="separate"/>
      </w:r>
      <w:r>
        <w:rPr>
          <w:sz w:val="24"/>
          <w:szCs w:val="24"/>
        </w:rPr>
        <w:t>10</w:t>
      </w:r>
      <w:r>
        <w:rPr>
          <w:sz w:val="24"/>
          <w:szCs w:val="24"/>
        </w:rPr>
        <w:fldChar w:fldCharType="end"/>
      </w:r>
      <w:r>
        <w:rPr>
          <w:rFonts w:ascii="Times New Roman"/>
          <w:color w:val="auto"/>
          <w:sz w:val="24"/>
          <w:szCs w:val="24"/>
          <w:highlight w:val="none"/>
        </w:rPr>
        <w:fldChar w:fldCharType="end"/>
      </w:r>
    </w:p>
    <w:p w14:paraId="31312495">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_Toc16888 </w:instrText>
      </w:r>
      <w:r>
        <w:rPr>
          <w:rFonts w:ascii="Times New Roman"/>
          <w:sz w:val="24"/>
          <w:szCs w:val="24"/>
          <w:highlight w:val="none"/>
        </w:rPr>
        <w:fldChar w:fldCharType="separate"/>
      </w:r>
      <w:r>
        <w:rPr>
          <w:rFonts w:hint="eastAsia" w:ascii="Times New Roman" w:hAnsi="Times New Roman" w:cs="Times New Roman"/>
          <w:kern w:val="0"/>
          <w:sz w:val="24"/>
          <w:szCs w:val="24"/>
        </w:rPr>
        <w:t>5.5 地震状况计算</w:t>
      </w:r>
      <w:r>
        <w:rPr>
          <w:sz w:val="24"/>
          <w:szCs w:val="24"/>
        </w:rPr>
        <w:tab/>
      </w:r>
      <w:r>
        <w:rPr>
          <w:sz w:val="24"/>
          <w:szCs w:val="24"/>
        </w:rPr>
        <w:fldChar w:fldCharType="begin"/>
      </w:r>
      <w:r>
        <w:rPr>
          <w:sz w:val="24"/>
          <w:szCs w:val="24"/>
        </w:rPr>
        <w:instrText xml:space="preserve"> PAGEREF _Toc16888 \h </w:instrText>
      </w:r>
      <w:r>
        <w:rPr>
          <w:sz w:val="24"/>
          <w:szCs w:val="24"/>
        </w:rPr>
        <w:fldChar w:fldCharType="separate"/>
      </w:r>
      <w:r>
        <w:rPr>
          <w:sz w:val="24"/>
          <w:szCs w:val="24"/>
        </w:rPr>
        <w:t>10</w:t>
      </w:r>
      <w:r>
        <w:rPr>
          <w:sz w:val="24"/>
          <w:szCs w:val="24"/>
        </w:rPr>
        <w:fldChar w:fldCharType="end"/>
      </w:r>
      <w:r>
        <w:rPr>
          <w:rFonts w:ascii="Times New Roman"/>
          <w:color w:val="auto"/>
          <w:sz w:val="24"/>
          <w:szCs w:val="24"/>
          <w:highlight w:val="none"/>
        </w:rPr>
        <w:fldChar w:fldCharType="end"/>
      </w:r>
    </w:p>
    <w:p w14:paraId="6A0E31F0">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_Toc28063 </w:instrText>
      </w:r>
      <w:r>
        <w:rPr>
          <w:rFonts w:ascii="Times New Roman"/>
          <w:sz w:val="24"/>
          <w:szCs w:val="24"/>
          <w:highlight w:val="none"/>
        </w:rPr>
        <w:fldChar w:fldCharType="separate"/>
      </w:r>
      <w:r>
        <w:rPr>
          <w:rFonts w:hint="default" w:ascii="Times New Roman" w:hAnsi="Times New Roman" w:cs="Times New Roman"/>
          <w:sz w:val="24"/>
          <w:szCs w:val="24"/>
        </w:rPr>
        <w:t>6 构造设计</w:t>
      </w:r>
      <w:r>
        <w:rPr>
          <w:sz w:val="24"/>
          <w:szCs w:val="24"/>
        </w:rPr>
        <w:tab/>
      </w:r>
      <w:r>
        <w:rPr>
          <w:sz w:val="24"/>
          <w:szCs w:val="24"/>
        </w:rPr>
        <w:fldChar w:fldCharType="begin"/>
      </w:r>
      <w:r>
        <w:rPr>
          <w:sz w:val="24"/>
          <w:szCs w:val="24"/>
        </w:rPr>
        <w:instrText xml:space="preserve"> PAGEREF _Toc28063 \h </w:instrText>
      </w:r>
      <w:r>
        <w:rPr>
          <w:sz w:val="24"/>
          <w:szCs w:val="24"/>
        </w:rPr>
        <w:fldChar w:fldCharType="separate"/>
      </w:r>
      <w:r>
        <w:rPr>
          <w:sz w:val="24"/>
          <w:szCs w:val="24"/>
        </w:rPr>
        <w:t>12</w:t>
      </w:r>
      <w:r>
        <w:rPr>
          <w:sz w:val="24"/>
          <w:szCs w:val="24"/>
        </w:rPr>
        <w:fldChar w:fldCharType="end"/>
      </w:r>
      <w:r>
        <w:rPr>
          <w:rFonts w:ascii="Times New Roman"/>
          <w:color w:val="auto"/>
          <w:sz w:val="24"/>
          <w:szCs w:val="24"/>
          <w:highlight w:val="none"/>
        </w:rPr>
        <w:fldChar w:fldCharType="end"/>
      </w:r>
    </w:p>
    <w:p w14:paraId="598B0849">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_Toc7271 </w:instrText>
      </w:r>
      <w:r>
        <w:rPr>
          <w:rFonts w:ascii="Times New Roman"/>
          <w:sz w:val="24"/>
          <w:szCs w:val="24"/>
          <w:highlight w:val="none"/>
        </w:rPr>
        <w:fldChar w:fldCharType="separate"/>
      </w:r>
      <w:r>
        <w:rPr>
          <w:rFonts w:hint="eastAsia" w:ascii="Times New Roman" w:hAnsi="Times New Roman" w:cs="Times New Roman"/>
          <w:kern w:val="0"/>
          <w:sz w:val="24"/>
          <w:szCs w:val="24"/>
        </w:rPr>
        <w:t>6.1 一般规定</w:t>
      </w:r>
      <w:r>
        <w:rPr>
          <w:sz w:val="24"/>
          <w:szCs w:val="24"/>
        </w:rPr>
        <w:tab/>
      </w:r>
      <w:r>
        <w:rPr>
          <w:sz w:val="24"/>
          <w:szCs w:val="24"/>
        </w:rPr>
        <w:fldChar w:fldCharType="begin"/>
      </w:r>
      <w:r>
        <w:rPr>
          <w:sz w:val="24"/>
          <w:szCs w:val="24"/>
        </w:rPr>
        <w:instrText xml:space="preserve"> PAGEREF _Toc7271 \h </w:instrText>
      </w:r>
      <w:r>
        <w:rPr>
          <w:sz w:val="24"/>
          <w:szCs w:val="24"/>
        </w:rPr>
        <w:fldChar w:fldCharType="separate"/>
      </w:r>
      <w:r>
        <w:rPr>
          <w:sz w:val="24"/>
          <w:szCs w:val="24"/>
        </w:rPr>
        <w:t>12</w:t>
      </w:r>
      <w:r>
        <w:rPr>
          <w:sz w:val="24"/>
          <w:szCs w:val="24"/>
        </w:rPr>
        <w:fldChar w:fldCharType="end"/>
      </w:r>
      <w:r>
        <w:rPr>
          <w:rFonts w:ascii="Times New Roman"/>
          <w:color w:val="auto"/>
          <w:sz w:val="24"/>
          <w:szCs w:val="24"/>
          <w:highlight w:val="none"/>
        </w:rPr>
        <w:fldChar w:fldCharType="end"/>
      </w:r>
    </w:p>
    <w:p w14:paraId="18686B0B">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_Toc8648 </w:instrText>
      </w:r>
      <w:r>
        <w:rPr>
          <w:rFonts w:ascii="Times New Roman"/>
          <w:sz w:val="24"/>
          <w:szCs w:val="24"/>
          <w:highlight w:val="none"/>
        </w:rPr>
        <w:fldChar w:fldCharType="separate"/>
      </w:r>
      <w:r>
        <w:rPr>
          <w:rFonts w:hint="eastAsia" w:ascii="Times New Roman" w:hAnsi="Times New Roman" w:cs="Times New Roman"/>
          <w:kern w:val="0"/>
          <w:sz w:val="24"/>
          <w:szCs w:val="24"/>
        </w:rPr>
        <w:t>6.2 灌浆套筒连接</w:t>
      </w:r>
      <w:r>
        <w:rPr>
          <w:sz w:val="24"/>
          <w:szCs w:val="24"/>
        </w:rPr>
        <w:tab/>
      </w:r>
      <w:r>
        <w:rPr>
          <w:sz w:val="24"/>
          <w:szCs w:val="24"/>
        </w:rPr>
        <w:fldChar w:fldCharType="begin"/>
      </w:r>
      <w:r>
        <w:rPr>
          <w:sz w:val="24"/>
          <w:szCs w:val="24"/>
        </w:rPr>
        <w:instrText xml:space="preserve"> PAGEREF _Toc8648 \h </w:instrText>
      </w:r>
      <w:r>
        <w:rPr>
          <w:sz w:val="24"/>
          <w:szCs w:val="24"/>
        </w:rPr>
        <w:fldChar w:fldCharType="separate"/>
      </w:r>
      <w:r>
        <w:rPr>
          <w:sz w:val="24"/>
          <w:szCs w:val="24"/>
        </w:rPr>
        <w:t>12</w:t>
      </w:r>
      <w:r>
        <w:rPr>
          <w:sz w:val="24"/>
          <w:szCs w:val="24"/>
        </w:rPr>
        <w:fldChar w:fldCharType="end"/>
      </w:r>
      <w:r>
        <w:rPr>
          <w:rFonts w:ascii="Times New Roman"/>
          <w:color w:val="auto"/>
          <w:sz w:val="24"/>
          <w:szCs w:val="24"/>
          <w:highlight w:val="none"/>
        </w:rPr>
        <w:fldChar w:fldCharType="end"/>
      </w:r>
    </w:p>
    <w:p w14:paraId="10BA79AD">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_Toc10155 </w:instrText>
      </w:r>
      <w:r>
        <w:rPr>
          <w:rFonts w:ascii="Times New Roman"/>
          <w:sz w:val="24"/>
          <w:szCs w:val="24"/>
          <w:highlight w:val="none"/>
        </w:rPr>
        <w:fldChar w:fldCharType="separate"/>
      </w:r>
      <w:r>
        <w:rPr>
          <w:rFonts w:hint="eastAsia" w:ascii="Times New Roman" w:hAnsi="Times New Roman" w:cs="Times New Roman"/>
          <w:kern w:val="0"/>
          <w:sz w:val="24"/>
          <w:szCs w:val="24"/>
        </w:rPr>
        <w:t xml:space="preserve">6.3 </w:t>
      </w:r>
      <w:r>
        <w:rPr>
          <w:rFonts w:hint="default" w:ascii="Times New Roman" w:hAnsi="Times New Roman" w:cs="Times New Roman"/>
          <w:kern w:val="0"/>
          <w:sz w:val="24"/>
          <w:szCs w:val="24"/>
        </w:rPr>
        <w:t>灌浆波纹钢管</w:t>
      </w:r>
      <w:r>
        <w:rPr>
          <w:rFonts w:hint="eastAsia" w:ascii="Times New Roman" w:hAnsi="Times New Roman" w:cs="Times New Roman"/>
          <w:kern w:val="0"/>
          <w:sz w:val="24"/>
          <w:szCs w:val="24"/>
        </w:rPr>
        <w:t>连接</w:t>
      </w:r>
      <w:r>
        <w:rPr>
          <w:sz w:val="24"/>
          <w:szCs w:val="24"/>
        </w:rPr>
        <w:tab/>
      </w:r>
      <w:r>
        <w:rPr>
          <w:sz w:val="24"/>
          <w:szCs w:val="24"/>
        </w:rPr>
        <w:fldChar w:fldCharType="begin"/>
      </w:r>
      <w:r>
        <w:rPr>
          <w:sz w:val="24"/>
          <w:szCs w:val="24"/>
        </w:rPr>
        <w:instrText xml:space="preserve"> PAGEREF _Toc10155 \h </w:instrText>
      </w:r>
      <w:r>
        <w:rPr>
          <w:sz w:val="24"/>
          <w:szCs w:val="24"/>
        </w:rPr>
        <w:fldChar w:fldCharType="separate"/>
      </w:r>
      <w:r>
        <w:rPr>
          <w:sz w:val="24"/>
          <w:szCs w:val="24"/>
        </w:rPr>
        <w:t>14</w:t>
      </w:r>
      <w:r>
        <w:rPr>
          <w:sz w:val="24"/>
          <w:szCs w:val="24"/>
        </w:rPr>
        <w:fldChar w:fldCharType="end"/>
      </w:r>
      <w:r>
        <w:rPr>
          <w:rFonts w:ascii="Times New Roman"/>
          <w:color w:val="auto"/>
          <w:sz w:val="24"/>
          <w:szCs w:val="24"/>
          <w:highlight w:val="none"/>
        </w:rPr>
        <w:fldChar w:fldCharType="end"/>
      </w:r>
    </w:p>
    <w:p w14:paraId="07F7229E">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_Toc12899 </w:instrText>
      </w:r>
      <w:r>
        <w:rPr>
          <w:rFonts w:ascii="Times New Roman"/>
          <w:sz w:val="24"/>
          <w:szCs w:val="24"/>
          <w:highlight w:val="none"/>
        </w:rPr>
        <w:fldChar w:fldCharType="separate"/>
      </w:r>
      <w:r>
        <w:rPr>
          <w:rFonts w:hint="eastAsia" w:ascii="Times New Roman" w:hAnsi="Times New Roman" w:cs="Times New Roman"/>
          <w:kern w:val="0"/>
          <w:sz w:val="24"/>
          <w:szCs w:val="24"/>
        </w:rPr>
        <w:t>6.4 承插式连接</w:t>
      </w:r>
      <w:r>
        <w:rPr>
          <w:sz w:val="24"/>
          <w:szCs w:val="24"/>
        </w:rPr>
        <w:tab/>
      </w:r>
      <w:r>
        <w:rPr>
          <w:sz w:val="24"/>
          <w:szCs w:val="24"/>
        </w:rPr>
        <w:fldChar w:fldCharType="begin"/>
      </w:r>
      <w:r>
        <w:rPr>
          <w:sz w:val="24"/>
          <w:szCs w:val="24"/>
        </w:rPr>
        <w:instrText xml:space="preserve"> PAGEREF _Toc12899 \h </w:instrText>
      </w:r>
      <w:r>
        <w:rPr>
          <w:sz w:val="24"/>
          <w:szCs w:val="24"/>
        </w:rPr>
        <w:fldChar w:fldCharType="separate"/>
      </w:r>
      <w:r>
        <w:rPr>
          <w:sz w:val="24"/>
          <w:szCs w:val="24"/>
        </w:rPr>
        <w:t>15</w:t>
      </w:r>
      <w:r>
        <w:rPr>
          <w:sz w:val="24"/>
          <w:szCs w:val="24"/>
        </w:rPr>
        <w:fldChar w:fldCharType="end"/>
      </w:r>
      <w:r>
        <w:rPr>
          <w:rFonts w:ascii="Times New Roman"/>
          <w:color w:val="auto"/>
          <w:sz w:val="24"/>
          <w:szCs w:val="24"/>
          <w:highlight w:val="none"/>
        </w:rPr>
        <w:fldChar w:fldCharType="end"/>
      </w:r>
    </w:p>
    <w:p w14:paraId="2BBDDB34">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_Toc25029 </w:instrText>
      </w:r>
      <w:r>
        <w:rPr>
          <w:rFonts w:ascii="Times New Roman"/>
          <w:sz w:val="24"/>
          <w:szCs w:val="24"/>
          <w:highlight w:val="none"/>
        </w:rPr>
        <w:fldChar w:fldCharType="separate"/>
      </w:r>
      <w:r>
        <w:rPr>
          <w:rFonts w:hint="eastAsia" w:ascii="Times New Roman" w:hAnsi="Times New Roman" w:cs="Times New Roman"/>
          <w:kern w:val="0"/>
          <w:sz w:val="24"/>
          <w:szCs w:val="24"/>
        </w:rPr>
        <w:t>6.5 插槽式连接</w:t>
      </w:r>
      <w:r>
        <w:rPr>
          <w:sz w:val="24"/>
          <w:szCs w:val="24"/>
        </w:rPr>
        <w:tab/>
      </w:r>
      <w:r>
        <w:rPr>
          <w:sz w:val="24"/>
          <w:szCs w:val="24"/>
        </w:rPr>
        <w:fldChar w:fldCharType="begin"/>
      </w:r>
      <w:r>
        <w:rPr>
          <w:sz w:val="24"/>
          <w:szCs w:val="24"/>
        </w:rPr>
        <w:instrText xml:space="preserve"> PAGEREF _Toc25029 \h </w:instrText>
      </w:r>
      <w:r>
        <w:rPr>
          <w:sz w:val="24"/>
          <w:szCs w:val="24"/>
        </w:rPr>
        <w:fldChar w:fldCharType="separate"/>
      </w:r>
      <w:r>
        <w:rPr>
          <w:sz w:val="24"/>
          <w:szCs w:val="24"/>
        </w:rPr>
        <w:t>17</w:t>
      </w:r>
      <w:r>
        <w:rPr>
          <w:sz w:val="24"/>
          <w:szCs w:val="24"/>
        </w:rPr>
        <w:fldChar w:fldCharType="end"/>
      </w:r>
      <w:r>
        <w:rPr>
          <w:rFonts w:ascii="Times New Roman"/>
          <w:color w:val="auto"/>
          <w:sz w:val="24"/>
          <w:szCs w:val="24"/>
          <w:highlight w:val="none"/>
        </w:rPr>
        <w:fldChar w:fldCharType="end"/>
      </w:r>
    </w:p>
    <w:p w14:paraId="33571864">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_Toc14060 </w:instrText>
      </w:r>
      <w:r>
        <w:rPr>
          <w:rFonts w:ascii="Times New Roman"/>
          <w:sz w:val="24"/>
          <w:szCs w:val="24"/>
          <w:highlight w:val="none"/>
        </w:rPr>
        <w:fldChar w:fldCharType="separate"/>
      </w:r>
      <w:r>
        <w:rPr>
          <w:rFonts w:hint="eastAsia" w:ascii="Times New Roman" w:hAnsi="Times New Roman" w:cs="Times New Roman"/>
          <w:kern w:val="0"/>
          <w:sz w:val="24"/>
          <w:szCs w:val="24"/>
        </w:rPr>
        <w:t>6.6 壳式连接</w:t>
      </w:r>
      <w:r>
        <w:rPr>
          <w:sz w:val="24"/>
          <w:szCs w:val="24"/>
        </w:rPr>
        <w:tab/>
      </w:r>
      <w:r>
        <w:rPr>
          <w:sz w:val="24"/>
          <w:szCs w:val="24"/>
        </w:rPr>
        <w:fldChar w:fldCharType="begin"/>
      </w:r>
      <w:r>
        <w:rPr>
          <w:sz w:val="24"/>
          <w:szCs w:val="24"/>
        </w:rPr>
        <w:instrText xml:space="preserve"> PAGEREF _Toc14060 \h </w:instrText>
      </w:r>
      <w:r>
        <w:rPr>
          <w:sz w:val="24"/>
          <w:szCs w:val="24"/>
        </w:rPr>
        <w:fldChar w:fldCharType="separate"/>
      </w:r>
      <w:r>
        <w:rPr>
          <w:sz w:val="24"/>
          <w:szCs w:val="24"/>
        </w:rPr>
        <w:t>17</w:t>
      </w:r>
      <w:r>
        <w:rPr>
          <w:sz w:val="24"/>
          <w:szCs w:val="24"/>
        </w:rPr>
        <w:fldChar w:fldCharType="end"/>
      </w:r>
      <w:r>
        <w:rPr>
          <w:rFonts w:ascii="Times New Roman"/>
          <w:color w:val="auto"/>
          <w:sz w:val="24"/>
          <w:szCs w:val="24"/>
          <w:highlight w:val="none"/>
        </w:rPr>
        <w:fldChar w:fldCharType="end"/>
      </w:r>
    </w:p>
    <w:p w14:paraId="4E3505A9">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_Toc22465 </w:instrText>
      </w:r>
      <w:r>
        <w:rPr>
          <w:rFonts w:ascii="Times New Roman"/>
          <w:sz w:val="24"/>
          <w:szCs w:val="24"/>
          <w:highlight w:val="none"/>
        </w:rPr>
        <w:fldChar w:fldCharType="separate"/>
      </w:r>
      <w:r>
        <w:rPr>
          <w:rFonts w:hint="eastAsia" w:ascii="Times New Roman" w:hAnsi="Times New Roman" w:cs="Times New Roman"/>
          <w:kern w:val="0"/>
          <w:sz w:val="24"/>
          <w:szCs w:val="24"/>
        </w:rPr>
        <w:t>6.7 湿接缝连接</w:t>
      </w:r>
      <w:r>
        <w:rPr>
          <w:sz w:val="24"/>
          <w:szCs w:val="24"/>
        </w:rPr>
        <w:tab/>
      </w:r>
      <w:r>
        <w:rPr>
          <w:sz w:val="24"/>
          <w:szCs w:val="24"/>
        </w:rPr>
        <w:fldChar w:fldCharType="begin"/>
      </w:r>
      <w:r>
        <w:rPr>
          <w:sz w:val="24"/>
          <w:szCs w:val="24"/>
        </w:rPr>
        <w:instrText xml:space="preserve"> PAGEREF _Toc22465 \h </w:instrText>
      </w:r>
      <w:r>
        <w:rPr>
          <w:sz w:val="24"/>
          <w:szCs w:val="24"/>
        </w:rPr>
        <w:fldChar w:fldCharType="separate"/>
      </w:r>
      <w:r>
        <w:rPr>
          <w:sz w:val="24"/>
          <w:szCs w:val="24"/>
        </w:rPr>
        <w:t>19</w:t>
      </w:r>
      <w:r>
        <w:rPr>
          <w:sz w:val="24"/>
          <w:szCs w:val="24"/>
        </w:rPr>
        <w:fldChar w:fldCharType="end"/>
      </w:r>
      <w:r>
        <w:rPr>
          <w:rFonts w:ascii="Times New Roman"/>
          <w:color w:val="auto"/>
          <w:sz w:val="24"/>
          <w:szCs w:val="24"/>
          <w:highlight w:val="none"/>
        </w:rPr>
        <w:fldChar w:fldCharType="end"/>
      </w:r>
    </w:p>
    <w:p w14:paraId="441B2530">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_Toc30166 </w:instrText>
      </w:r>
      <w:r>
        <w:rPr>
          <w:rFonts w:ascii="Times New Roman"/>
          <w:sz w:val="24"/>
          <w:szCs w:val="24"/>
          <w:highlight w:val="none"/>
        </w:rPr>
        <w:fldChar w:fldCharType="separate"/>
      </w:r>
      <w:r>
        <w:rPr>
          <w:rFonts w:hint="eastAsia" w:ascii="Times New Roman" w:hAnsi="Times New Roman" w:cs="Times New Roman"/>
          <w:kern w:val="0"/>
          <w:sz w:val="24"/>
          <w:szCs w:val="24"/>
        </w:rPr>
        <w:t xml:space="preserve">6.8 </w:t>
      </w:r>
      <w:r>
        <w:rPr>
          <w:rFonts w:hint="default" w:ascii="Times New Roman" w:hAnsi="Times New Roman" w:cs="Times New Roman"/>
          <w:kern w:val="0"/>
          <w:sz w:val="24"/>
          <w:szCs w:val="24"/>
        </w:rPr>
        <w:t>预应力筋连接</w:t>
      </w:r>
      <w:r>
        <w:rPr>
          <w:sz w:val="24"/>
          <w:szCs w:val="24"/>
        </w:rPr>
        <w:tab/>
      </w:r>
      <w:r>
        <w:rPr>
          <w:sz w:val="24"/>
          <w:szCs w:val="24"/>
        </w:rPr>
        <w:fldChar w:fldCharType="begin"/>
      </w:r>
      <w:r>
        <w:rPr>
          <w:sz w:val="24"/>
          <w:szCs w:val="24"/>
        </w:rPr>
        <w:instrText xml:space="preserve"> PAGEREF _Toc30166 \h </w:instrText>
      </w:r>
      <w:r>
        <w:rPr>
          <w:sz w:val="24"/>
          <w:szCs w:val="24"/>
        </w:rPr>
        <w:fldChar w:fldCharType="separate"/>
      </w:r>
      <w:r>
        <w:rPr>
          <w:sz w:val="24"/>
          <w:szCs w:val="24"/>
        </w:rPr>
        <w:t>20</w:t>
      </w:r>
      <w:r>
        <w:rPr>
          <w:sz w:val="24"/>
          <w:szCs w:val="24"/>
        </w:rPr>
        <w:fldChar w:fldCharType="end"/>
      </w:r>
      <w:r>
        <w:rPr>
          <w:rFonts w:ascii="Times New Roman"/>
          <w:color w:val="auto"/>
          <w:sz w:val="24"/>
          <w:szCs w:val="24"/>
          <w:highlight w:val="none"/>
        </w:rPr>
        <w:fldChar w:fldCharType="end"/>
      </w:r>
    </w:p>
    <w:p w14:paraId="4E538608">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_Toc13710 </w:instrText>
      </w:r>
      <w:r>
        <w:rPr>
          <w:rFonts w:ascii="Times New Roman"/>
          <w:sz w:val="24"/>
          <w:szCs w:val="24"/>
          <w:highlight w:val="none"/>
        </w:rPr>
        <w:fldChar w:fldCharType="separate"/>
      </w:r>
      <w:r>
        <w:rPr>
          <w:rFonts w:hint="default" w:ascii="Times New Roman" w:hAnsi="Times New Roman" w:cs="Times New Roman"/>
          <w:sz w:val="24"/>
          <w:szCs w:val="24"/>
        </w:rPr>
        <w:t xml:space="preserve">7 </w:t>
      </w:r>
      <w:r>
        <w:rPr>
          <w:rFonts w:hint="default" w:ascii="Times New Roman" w:hAnsi="Times New Roman" w:cs="Times New Roman"/>
          <w:sz w:val="24"/>
          <w:szCs w:val="24"/>
          <w:lang w:val="zh-CN"/>
        </w:rPr>
        <w:t>施工</w:t>
      </w:r>
      <w:r>
        <w:rPr>
          <w:sz w:val="24"/>
          <w:szCs w:val="24"/>
        </w:rPr>
        <w:tab/>
      </w:r>
      <w:r>
        <w:rPr>
          <w:sz w:val="24"/>
          <w:szCs w:val="24"/>
        </w:rPr>
        <w:fldChar w:fldCharType="begin"/>
      </w:r>
      <w:r>
        <w:rPr>
          <w:sz w:val="24"/>
          <w:szCs w:val="24"/>
        </w:rPr>
        <w:instrText xml:space="preserve"> PAGEREF _Toc13710 \h </w:instrText>
      </w:r>
      <w:r>
        <w:rPr>
          <w:sz w:val="24"/>
          <w:szCs w:val="24"/>
        </w:rPr>
        <w:fldChar w:fldCharType="separate"/>
      </w:r>
      <w:r>
        <w:rPr>
          <w:sz w:val="24"/>
          <w:szCs w:val="24"/>
        </w:rPr>
        <w:t>23</w:t>
      </w:r>
      <w:r>
        <w:rPr>
          <w:sz w:val="24"/>
          <w:szCs w:val="24"/>
        </w:rPr>
        <w:fldChar w:fldCharType="end"/>
      </w:r>
      <w:r>
        <w:rPr>
          <w:rFonts w:ascii="Times New Roman"/>
          <w:color w:val="auto"/>
          <w:sz w:val="24"/>
          <w:szCs w:val="24"/>
          <w:highlight w:val="none"/>
        </w:rPr>
        <w:fldChar w:fldCharType="end"/>
      </w:r>
    </w:p>
    <w:p w14:paraId="017DF879">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_Toc5489 </w:instrText>
      </w:r>
      <w:r>
        <w:rPr>
          <w:rFonts w:ascii="Times New Roman"/>
          <w:sz w:val="24"/>
          <w:szCs w:val="24"/>
          <w:highlight w:val="none"/>
        </w:rPr>
        <w:fldChar w:fldCharType="separate"/>
      </w:r>
      <w:r>
        <w:rPr>
          <w:rFonts w:hint="eastAsia" w:ascii="Times New Roman" w:hAnsi="Times New Roman" w:cs="Times New Roman"/>
          <w:kern w:val="0"/>
          <w:sz w:val="24"/>
          <w:szCs w:val="24"/>
        </w:rPr>
        <w:t>7.1 一般规定</w:t>
      </w:r>
      <w:r>
        <w:rPr>
          <w:sz w:val="24"/>
          <w:szCs w:val="24"/>
        </w:rPr>
        <w:tab/>
      </w:r>
      <w:r>
        <w:rPr>
          <w:sz w:val="24"/>
          <w:szCs w:val="24"/>
        </w:rPr>
        <w:fldChar w:fldCharType="begin"/>
      </w:r>
      <w:r>
        <w:rPr>
          <w:sz w:val="24"/>
          <w:szCs w:val="24"/>
        </w:rPr>
        <w:instrText xml:space="preserve"> PAGEREF _Toc5489 \h </w:instrText>
      </w:r>
      <w:r>
        <w:rPr>
          <w:sz w:val="24"/>
          <w:szCs w:val="24"/>
        </w:rPr>
        <w:fldChar w:fldCharType="separate"/>
      </w:r>
      <w:r>
        <w:rPr>
          <w:sz w:val="24"/>
          <w:szCs w:val="24"/>
        </w:rPr>
        <w:t>23</w:t>
      </w:r>
      <w:r>
        <w:rPr>
          <w:sz w:val="24"/>
          <w:szCs w:val="24"/>
        </w:rPr>
        <w:fldChar w:fldCharType="end"/>
      </w:r>
      <w:r>
        <w:rPr>
          <w:rFonts w:ascii="Times New Roman"/>
          <w:color w:val="auto"/>
          <w:sz w:val="24"/>
          <w:szCs w:val="24"/>
          <w:highlight w:val="none"/>
        </w:rPr>
        <w:fldChar w:fldCharType="end"/>
      </w:r>
    </w:p>
    <w:p w14:paraId="48952DD3">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_Toc4562 </w:instrText>
      </w:r>
      <w:r>
        <w:rPr>
          <w:rFonts w:ascii="Times New Roman"/>
          <w:sz w:val="24"/>
          <w:szCs w:val="24"/>
          <w:highlight w:val="none"/>
        </w:rPr>
        <w:fldChar w:fldCharType="separate"/>
      </w:r>
      <w:r>
        <w:rPr>
          <w:rFonts w:hint="eastAsia" w:ascii="Times New Roman" w:hAnsi="Times New Roman" w:cs="Times New Roman"/>
          <w:kern w:val="0"/>
          <w:sz w:val="24"/>
          <w:szCs w:val="24"/>
        </w:rPr>
        <w:t>7.2 工厂预制</w:t>
      </w:r>
      <w:r>
        <w:rPr>
          <w:sz w:val="24"/>
          <w:szCs w:val="24"/>
        </w:rPr>
        <w:tab/>
      </w:r>
      <w:r>
        <w:rPr>
          <w:sz w:val="24"/>
          <w:szCs w:val="24"/>
        </w:rPr>
        <w:fldChar w:fldCharType="begin"/>
      </w:r>
      <w:r>
        <w:rPr>
          <w:sz w:val="24"/>
          <w:szCs w:val="24"/>
        </w:rPr>
        <w:instrText xml:space="preserve"> PAGEREF _Toc4562 \h </w:instrText>
      </w:r>
      <w:r>
        <w:rPr>
          <w:sz w:val="24"/>
          <w:szCs w:val="24"/>
        </w:rPr>
        <w:fldChar w:fldCharType="separate"/>
      </w:r>
      <w:r>
        <w:rPr>
          <w:sz w:val="24"/>
          <w:szCs w:val="24"/>
        </w:rPr>
        <w:t>23</w:t>
      </w:r>
      <w:r>
        <w:rPr>
          <w:sz w:val="24"/>
          <w:szCs w:val="24"/>
        </w:rPr>
        <w:fldChar w:fldCharType="end"/>
      </w:r>
      <w:r>
        <w:rPr>
          <w:rFonts w:ascii="Times New Roman"/>
          <w:color w:val="auto"/>
          <w:sz w:val="24"/>
          <w:szCs w:val="24"/>
          <w:highlight w:val="none"/>
        </w:rPr>
        <w:fldChar w:fldCharType="end"/>
      </w:r>
    </w:p>
    <w:p w14:paraId="03FC5850">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_Toc7426 </w:instrText>
      </w:r>
      <w:r>
        <w:rPr>
          <w:rFonts w:ascii="Times New Roman"/>
          <w:sz w:val="24"/>
          <w:szCs w:val="24"/>
          <w:highlight w:val="none"/>
        </w:rPr>
        <w:fldChar w:fldCharType="separate"/>
      </w:r>
      <w:r>
        <w:rPr>
          <w:rFonts w:hint="eastAsia" w:ascii="Times New Roman" w:hAnsi="Times New Roman" w:cs="Times New Roman"/>
          <w:kern w:val="0"/>
          <w:sz w:val="24"/>
          <w:szCs w:val="24"/>
        </w:rPr>
        <w:t>7.3 构件存放与场外运输</w:t>
      </w:r>
      <w:r>
        <w:rPr>
          <w:sz w:val="24"/>
          <w:szCs w:val="24"/>
        </w:rPr>
        <w:tab/>
      </w:r>
      <w:r>
        <w:rPr>
          <w:sz w:val="24"/>
          <w:szCs w:val="24"/>
        </w:rPr>
        <w:fldChar w:fldCharType="begin"/>
      </w:r>
      <w:r>
        <w:rPr>
          <w:sz w:val="24"/>
          <w:szCs w:val="24"/>
        </w:rPr>
        <w:instrText xml:space="preserve"> PAGEREF _Toc7426 \h </w:instrText>
      </w:r>
      <w:r>
        <w:rPr>
          <w:sz w:val="24"/>
          <w:szCs w:val="24"/>
        </w:rPr>
        <w:fldChar w:fldCharType="separate"/>
      </w:r>
      <w:r>
        <w:rPr>
          <w:sz w:val="24"/>
          <w:szCs w:val="24"/>
        </w:rPr>
        <w:t>24</w:t>
      </w:r>
      <w:r>
        <w:rPr>
          <w:sz w:val="24"/>
          <w:szCs w:val="24"/>
        </w:rPr>
        <w:fldChar w:fldCharType="end"/>
      </w:r>
      <w:r>
        <w:rPr>
          <w:rFonts w:ascii="Times New Roman"/>
          <w:color w:val="auto"/>
          <w:sz w:val="24"/>
          <w:szCs w:val="24"/>
          <w:highlight w:val="none"/>
        </w:rPr>
        <w:fldChar w:fldCharType="end"/>
      </w:r>
    </w:p>
    <w:p w14:paraId="40EE4CE7">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_Toc15662 </w:instrText>
      </w:r>
      <w:r>
        <w:rPr>
          <w:rFonts w:ascii="Times New Roman"/>
          <w:sz w:val="24"/>
          <w:szCs w:val="24"/>
          <w:highlight w:val="none"/>
        </w:rPr>
        <w:fldChar w:fldCharType="separate"/>
      </w:r>
      <w:r>
        <w:rPr>
          <w:rFonts w:hint="eastAsia" w:ascii="Times New Roman" w:hAnsi="Times New Roman" w:cs="Times New Roman"/>
          <w:kern w:val="0"/>
          <w:sz w:val="24"/>
          <w:szCs w:val="24"/>
        </w:rPr>
        <w:t>7.4 现场施工</w:t>
      </w:r>
      <w:r>
        <w:rPr>
          <w:sz w:val="24"/>
          <w:szCs w:val="24"/>
        </w:rPr>
        <w:tab/>
      </w:r>
      <w:r>
        <w:rPr>
          <w:sz w:val="24"/>
          <w:szCs w:val="24"/>
        </w:rPr>
        <w:fldChar w:fldCharType="begin"/>
      </w:r>
      <w:r>
        <w:rPr>
          <w:sz w:val="24"/>
          <w:szCs w:val="24"/>
        </w:rPr>
        <w:instrText xml:space="preserve"> PAGEREF _Toc15662 \h </w:instrText>
      </w:r>
      <w:r>
        <w:rPr>
          <w:sz w:val="24"/>
          <w:szCs w:val="24"/>
        </w:rPr>
        <w:fldChar w:fldCharType="separate"/>
      </w:r>
      <w:r>
        <w:rPr>
          <w:sz w:val="24"/>
          <w:szCs w:val="24"/>
        </w:rPr>
        <w:t>25</w:t>
      </w:r>
      <w:r>
        <w:rPr>
          <w:sz w:val="24"/>
          <w:szCs w:val="24"/>
        </w:rPr>
        <w:fldChar w:fldCharType="end"/>
      </w:r>
      <w:r>
        <w:rPr>
          <w:rFonts w:ascii="Times New Roman"/>
          <w:color w:val="auto"/>
          <w:sz w:val="24"/>
          <w:szCs w:val="24"/>
          <w:highlight w:val="none"/>
        </w:rPr>
        <w:fldChar w:fldCharType="end"/>
      </w:r>
    </w:p>
    <w:p w14:paraId="2DA25071">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_Toc3939 </w:instrText>
      </w:r>
      <w:r>
        <w:rPr>
          <w:rFonts w:ascii="Times New Roman"/>
          <w:sz w:val="24"/>
          <w:szCs w:val="24"/>
          <w:highlight w:val="none"/>
        </w:rPr>
        <w:fldChar w:fldCharType="separate"/>
      </w:r>
      <w:r>
        <w:rPr>
          <w:rFonts w:hint="default" w:ascii="Times New Roman" w:hAnsi="Times New Roman" w:cs="Times New Roman"/>
          <w:sz w:val="24"/>
          <w:szCs w:val="24"/>
        </w:rPr>
        <w:t>8 质量检验</w:t>
      </w:r>
      <w:r>
        <w:rPr>
          <w:sz w:val="24"/>
          <w:szCs w:val="24"/>
        </w:rPr>
        <w:tab/>
      </w:r>
      <w:r>
        <w:rPr>
          <w:sz w:val="24"/>
          <w:szCs w:val="24"/>
        </w:rPr>
        <w:fldChar w:fldCharType="begin"/>
      </w:r>
      <w:r>
        <w:rPr>
          <w:sz w:val="24"/>
          <w:szCs w:val="24"/>
        </w:rPr>
        <w:instrText xml:space="preserve"> PAGEREF _Toc3939 \h </w:instrText>
      </w:r>
      <w:r>
        <w:rPr>
          <w:sz w:val="24"/>
          <w:szCs w:val="24"/>
        </w:rPr>
        <w:fldChar w:fldCharType="separate"/>
      </w:r>
      <w:r>
        <w:rPr>
          <w:sz w:val="24"/>
          <w:szCs w:val="24"/>
        </w:rPr>
        <w:t>29</w:t>
      </w:r>
      <w:r>
        <w:rPr>
          <w:sz w:val="24"/>
          <w:szCs w:val="24"/>
        </w:rPr>
        <w:fldChar w:fldCharType="end"/>
      </w:r>
      <w:r>
        <w:rPr>
          <w:rFonts w:ascii="Times New Roman"/>
          <w:color w:val="auto"/>
          <w:sz w:val="24"/>
          <w:szCs w:val="24"/>
          <w:highlight w:val="none"/>
        </w:rPr>
        <w:fldChar w:fldCharType="end"/>
      </w:r>
    </w:p>
    <w:p w14:paraId="4779DE91">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_Toc22731 </w:instrText>
      </w:r>
      <w:r>
        <w:rPr>
          <w:rFonts w:ascii="Times New Roman"/>
          <w:sz w:val="24"/>
          <w:szCs w:val="24"/>
          <w:highlight w:val="none"/>
        </w:rPr>
        <w:fldChar w:fldCharType="separate"/>
      </w:r>
      <w:r>
        <w:rPr>
          <w:rFonts w:hint="eastAsia" w:ascii="Times New Roman" w:hAnsi="Times New Roman" w:cs="Times New Roman"/>
          <w:kern w:val="0"/>
          <w:sz w:val="24"/>
          <w:szCs w:val="24"/>
        </w:rPr>
        <w:t>8.1 一般规定</w:t>
      </w:r>
      <w:r>
        <w:rPr>
          <w:sz w:val="24"/>
          <w:szCs w:val="24"/>
        </w:rPr>
        <w:tab/>
      </w:r>
      <w:r>
        <w:rPr>
          <w:sz w:val="24"/>
          <w:szCs w:val="24"/>
        </w:rPr>
        <w:fldChar w:fldCharType="begin"/>
      </w:r>
      <w:r>
        <w:rPr>
          <w:sz w:val="24"/>
          <w:szCs w:val="24"/>
        </w:rPr>
        <w:instrText xml:space="preserve"> PAGEREF _Toc22731 \h </w:instrText>
      </w:r>
      <w:r>
        <w:rPr>
          <w:sz w:val="24"/>
          <w:szCs w:val="24"/>
        </w:rPr>
        <w:fldChar w:fldCharType="separate"/>
      </w:r>
      <w:r>
        <w:rPr>
          <w:sz w:val="24"/>
          <w:szCs w:val="24"/>
        </w:rPr>
        <w:t>29</w:t>
      </w:r>
      <w:r>
        <w:rPr>
          <w:sz w:val="24"/>
          <w:szCs w:val="24"/>
        </w:rPr>
        <w:fldChar w:fldCharType="end"/>
      </w:r>
      <w:r>
        <w:rPr>
          <w:rFonts w:ascii="Times New Roman"/>
          <w:color w:val="auto"/>
          <w:sz w:val="24"/>
          <w:szCs w:val="24"/>
          <w:highlight w:val="none"/>
        </w:rPr>
        <w:fldChar w:fldCharType="end"/>
      </w:r>
    </w:p>
    <w:p w14:paraId="1FFC28D3">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_Toc29676 </w:instrText>
      </w:r>
      <w:r>
        <w:rPr>
          <w:rFonts w:ascii="Times New Roman"/>
          <w:sz w:val="24"/>
          <w:szCs w:val="24"/>
          <w:highlight w:val="none"/>
        </w:rPr>
        <w:fldChar w:fldCharType="separate"/>
      </w:r>
      <w:r>
        <w:rPr>
          <w:rFonts w:hint="eastAsia" w:ascii="Times New Roman" w:hAnsi="Times New Roman" w:cs="Times New Roman"/>
          <w:kern w:val="0"/>
          <w:sz w:val="24"/>
          <w:szCs w:val="24"/>
        </w:rPr>
        <w:t>8.2 灌浆套筒、灌浆波纹钢管连接</w:t>
      </w:r>
      <w:r>
        <w:rPr>
          <w:sz w:val="24"/>
          <w:szCs w:val="24"/>
        </w:rPr>
        <w:tab/>
      </w:r>
      <w:r>
        <w:rPr>
          <w:sz w:val="24"/>
          <w:szCs w:val="24"/>
        </w:rPr>
        <w:fldChar w:fldCharType="begin"/>
      </w:r>
      <w:r>
        <w:rPr>
          <w:sz w:val="24"/>
          <w:szCs w:val="24"/>
        </w:rPr>
        <w:instrText xml:space="preserve"> PAGEREF _Toc29676 \h </w:instrText>
      </w:r>
      <w:r>
        <w:rPr>
          <w:sz w:val="24"/>
          <w:szCs w:val="24"/>
        </w:rPr>
        <w:fldChar w:fldCharType="separate"/>
      </w:r>
      <w:r>
        <w:rPr>
          <w:sz w:val="24"/>
          <w:szCs w:val="24"/>
        </w:rPr>
        <w:t>29</w:t>
      </w:r>
      <w:r>
        <w:rPr>
          <w:sz w:val="24"/>
          <w:szCs w:val="24"/>
        </w:rPr>
        <w:fldChar w:fldCharType="end"/>
      </w:r>
      <w:r>
        <w:rPr>
          <w:rFonts w:ascii="Times New Roman"/>
          <w:color w:val="auto"/>
          <w:sz w:val="24"/>
          <w:szCs w:val="24"/>
          <w:highlight w:val="none"/>
        </w:rPr>
        <w:fldChar w:fldCharType="end"/>
      </w:r>
    </w:p>
    <w:p w14:paraId="6E97A9C3">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_Toc22059 </w:instrText>
      </w:r>
      <w:r>
        <w:rPr>
          <w:rFonts w:ascii="Times New Roman"/>
          <w:sz w:val="24"/>
          <w:szCs w:val="24"/>
          <w:highlight w:val="none"/>
        </w:rPr>
        <w:fldChar w:fldCharType="separate"/>
      </w:r>
      <w:r>
        <w:rPr>
          <w:rFonts w:hint="eastAsia" w:ascii="Times New Roman" w:hAnsi="Times New Roman" w:cs="Times New Roman"/>
          <w:kern w:val="0"/>
          <w:sz w:val="24"/>
          <w:szCs w:val="24"/>
        </w:rPr>
        <w:t>8.3 承插式、插槽式与壳式连接</w:t>
      </w:r>
      <w:r>
        <w:rPr>
          <w:sz w:val="24"/>
          <w:szCs w:val="24"/>
        </w:rPr>
        <w:tab/>
      </w:r>
      <w:r>
        <w:rPr>
          <w:sz w:val="24"/>
          <w:szCs w:val="24"/>
        </w:rPr>
        <w:fldChar w:fldCharType="begin"/>
      </w:r>
      <w:r>
        <w:rPr>
          <w:sz w:val="24"/>
          <w:szCs w:val="24"/>
        </w:rPr>
        <w:instrText xml:space="preserve"> PAGEREF _Toc22059 \h </w:instrText>
      </w:r>
      <w:r>
        <w:rPr>
          <w:sz w:val="24"/>
          <w:szCs w:val="24"/>
        </w:rPr>
        <w:fldChar w:fldCharType="separate"/>
      </w:r>
      <w:r>
        <w:rPr>
          <w:sz w:val="24"/>
          <w:szCs w:val="24"/>
        </w:rPr>
        <w:t>30</w:t>
      </w:r>
      <w:r>
        <w:rPr>
          <w:sz w:val="24"/>
          <w:szCs w:val="24"/>
        </w:rPr>
        <w:fldChar w:fldCharType="end"/>
      </w:r>
      <w:r>
        <w:rPr>
          <w:rFonts w:ascii="Times New Roman"/>
          <w:color w:val="auto"/>
          <w:sz w:val="24"/>
          <w:szCs w:val="24"/>
          <w:highlight w:val="none"/>
        </w:rPr>
        <w:fldChar w:fldCharType="end"/>
      </w:r>
    </w:p>
    <w:p w14:paraId="428F1C80">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_Toc1916 </w:instrText>
      </w:r>
      <w:r>
        <w:rPr>
          <w:rFonts w:ascii="Times New Roman"/>
          <w:sz w:val="24"/>
          <w:szCs w:val="24"/>
          <w:highlight w:val="none"/>
        </w:rPr>
        <w:fldChar w:fldCharType="separate"/>
      </w:r>
      <w:r>
        <w:rPr>
          <w:rFonts w:hint="eastAsia" w:ascii="Times New Roman" w:hAnsi="Times New Roman" w:cs="Times New Roman"/>
          <w:kern w:val="0"/>
          <w:sz w:val="24"/>
          <w:szCs w:val="24"/>
        </w:rPr>
        <w:t>8.4 湿接缝连接</w:t>
      </w:r>
      <w:r>
        <w:rPr>
          <w:sz w:val="24"/>
          <w:szCs w:val="24"/>
        </w:rPr>
        <w:tab/>
      </w:r>
      <w:r>
        <w:rPr>
          <w:sz w:val="24"/>
          <w:szCs w:val="24"/>
        </w:rPr>
        <w:fldChar w:fldCharType="begin"/>
      </w:r>
      <w:r>
        <w:rPr>
          <w:sz w:val="24"/>
          <w:szCs w:val="24"/>
        </w:rPr>
        <w:instrText xml:space="preserve"> PAGEREF _Toc1916 \h </w:instrText>
      </w:r>
      <w:r>
        <w:rPr>
          <w:sz w:val="24"/>
          <w:szCs w:val="24"/>
        </w:rPr>
        <w:fldChar w:fldCharType="separate"/>
      </w:r>
      <w:r>
        <w:rPr>
          <w:sz w:val="24"/>
          <w:szCs w:val="24"/>
        </w:rPr>
        <w:t>30</w:t>
      </w:r>
      <w:r>
        <w:rPr>
          <w:sz w:val="24"/>
          <w:szCs w:val="24"/>
        </w:rPr>
        <w:fldChar w:fldCharType="end"/>
      </w:r>
      <w:r>
        <w:rPr>
          <w:rFonts w:ascii="Times New Roman"/>
          <w:color w:val="auto"/>
          <w:sz w:val="24"/>
          <w:szCs w:val="24"/>
          <w:highlight w:val="none"/>
        </w:rPr>
        <w:fldChar w:fldCharType="end"/>
      </w:r>
    </w:p>
    <w:p w14:paraId="435C05C8">
      <w:pPr>
        <w:pStyle w:val="35"/>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_Toc21130 </w:instrText>
      </w:r>
      <w:r>
        <w:rPr>
          <w:rFonts w:ascii="Times New Roman"/>
          <w:sz w:val="24"/>
          <w:szCs w:val="24"/>
          <w:highlight w:val="none"/>
        </w:rPr>
        <w:fldChar w:fldCharType="separate"/>
      </w:r>
      <w:r>
        <w:rPr>
          <w:rFonts w:hint="eastAsia" w:ascii="Times New Roman" w:hAnsi="Times New Roman" w:cs="Times New Roman"/>
          <w:kern w:val="0"/>
          <w:sz w:val="24"/>
          <w:szCs w:val="24"/>
        </w:rPr>
        <w:t>8.5 预应力筋连接</w:t>
      </w:r>
      <w:r>
        <w:rPr>
          <w:sz w:val="24"/>
          <w:szCs w:val="24"/>
        </w:rPr>
        <w:tab/>
      </w:r>
      <w:r>
        <w:rPr>
          <w:sz w:val="24"/>
          <w:szCs w:val="24"/>
        </w:rPr>
        <w:fldChar w:fldCharType="begin"/>
      </w:r>
      <w:r>
        <w:rPr>
          <w:sz w:val="24"/>
          <w:szCs w:val="24"/>
        </w:rPr>
        <w:instrText xml:space="preserve"> PAGEREF _Toc21130 \h </w:instrText>
      </w:r>
      <w:r>
        <w:rPr>
          <w:sz w:val="24"/>
          <w:szCs w:val="24"/>
        </w:rPr>
        <w:fldChar w:fldCharType="separate"/>
      </w:r>
      <w:r>
        <w:rPr>
          <w:sz w:val="24"/>
          <w:szCs w:val="24"/>
        </w:rPr>
        <w:t>31</w:t>
      </w:r>
      <w:r>
        <w:rPr>
          <w:sz w:val="24"/>
          <w:szCs w:val="24"/>
        </w:rPr>
        <w:fldChar w:fldCharType="end"/>
      </w:r>
      <w:r>
        <w:rPr>
          <w:rFonts w:ascii="Times New Roman"/>
          <w:color w:val="auto"/>
          <w:sz w:val="24"/>
          <w:szCs w:val="24"/>
          <w:highlight w:val="none"/>
        </w:rPr>
        <w:fldChar w:fldCharType="end"/>
      </w:r>
    </w:p>
    <w:p w14:paraId="5169F9F5">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_Toc24273 </w:instrText>
      </w:r>
      <w:r>
        <w:rPr>
          <w:rFonts w:ascii="Times New Roman"/>
          <w:sz w:val="24"/>
          <w:szCs w:val="24"/>
          <w:highlight w:val="none"/>
        </w:rPr>
        <w:fldChar w:fldCharType="separate"/>
      </w:r>
      <w:r>
        <w:rPr>
          <w:rFonts w:hint="eastAsia" w:ascii="Times New Roman" w:hAnsi="Times New Roman"/>
          <w:sz w:val="24"/>
          <w:szCs w:val="24"/>
        </w:rPr>
        <w:t>本标准用词说明</w:t>
      </w:r>
      <w:r>
        <w:rPr>
          <w:sz w:val="24"/>
          <w:szCs w:val="24"/>
        </w:rPr>
        <w:tab/>
      </w:r>
      <w:r>
        <w:rPr>
          <w:sz w:val="24"/>
          <w:szCs w:val="24"/>
        </w:rPr>
        <w:fldChar w:fldCharType="begin"/>
      </w:r>
      <w:r>
        <w:rPr>
          <w:sz w:val="24"/>
          <w:szCs w:val="24"/>
        </w:rPr>
        <w:instrText xml:space="preserve"> PAGEREF _Toc24273 \h </w:instrText>
      </w:r>
      <w:r>
        <w:rPr>
          <w:sz w:val="24"/>
          <w:szCs w:val="24"/>
        </w:rPr>
        <w:fldChar w:fldCharType="separate"/>
      </w:r>
      <w:r>
        <w:rPr>
          <w:sz w:val="24"/>
          <w:szCs w:val="24"/>
        </w:rPr>
        <w:t>32</w:t>
      </w:r>
      <w:r>
        <w:rPr>
          <w:sz w:val="24"/>
          <w:szCs w:val="24"/>
        </w:rPr>
        <w:fldChar w:fldCharType="end"/>
      </w:r>
      <w:r>
        <w:rPr>
          <w:rFonts w:ascii="Times New Roman"/>
          <w:color w:val="auto"/>
          <w:sz w:val="24"/>
          <w:szCs w:val="24"/>
          <w:highlight w:val="none"/>
        </w:rPr>
        <w:fldChar w:fldCharType="end"/>
      </w:r>
    </w:p>
    <w:p w14:paraId="1663A802">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_Toc4699 </w:instrText>
      </w:r>
      <w:r>
        <w:rPr>
          <w:rFonts w:ascii="Times New Roman"/>
          <w:sz w:val="24"/>
          <w:szCs w:val="24"/>
          <w:highlight w:val="none"/>
        </w:rPr>
        <w:fldChar w:fldCharType="separate"/>
      </w:r>
      <w:r>
        <w:rPr>
          <w:rFonts w:hint="eastAsia" w:ascii="Times New Roman" w:hAnsi="Times New Roman"/>
          <w:sz w:val="24"/>
          <w:szCs w:val="24"/>
        </w:rPr>
        <w:t>引用标准名录</w:t>
      </w:r>
      <w:r>
        <w:rPr>
          <w:sz w:val="24"/>
          <w:szCs w:val="24"/>
        </w:rPr>
        <w:tab/>
      </w:r>
      <w:r>
        <w:rPr>
          <w:sz w:val="24"/>
          <w:szCs w:val="24"/>
        </w:rPr>
        <w:fldChar w:fldCharType="begin"/>
      </w:r>
      <w:r>
        <w:rPr>
          <w:sz w:val="24"/>
          <w:szCs w:val="24"/>
        </w:rPr>
        <w:instrText xml:space="preserve"> PAGEREF _Toc4699 \h </w:instrText>
      </w:r>
      <w:r>
        <w:rPr>
          <w:sz w:val="24"/>
          <w:szCs w:val="24"/>
        </w:rPr>
        <w:fldChar w:fldCharType="separate"/>
      </w:r>
      <w:r>
        <w:rPr>
          <w:sz w:val="24"/>
          <w:szCs w:val="24"/>
        </w:rPr>
        <w:t>33</w:t>
      </w:r>
      <w:r>
        <w:rPr>
          <w:sz w:val="24"/>
          <w:szCs w:val="24"/>
        </w:rPr>
        <w:fldChar w:fldCharType="end"/>
      </w:r>
      <w:r>
        <w:rPr>
          <w:rFonts w:ascii="Times New Roman"/>
          <w:color w:val="auto"/>
          <w:sz w:val="24"/>
          <w:szCs w:val="24"/>
          <w:highlight w:val="none"/>
        </w:rPr>
        <w:fldChar w:fldCharType="end"/>
      </w:r>
    </w:p>
    <w:p w14:paraId="5A0097A6">
      <w:pPr>
        <w:pStyle w:val="26"/>
        <w:keepNext w:val="0"/>
        <w:keepLines w:val="0"/>
        <w:pageBreakBefore w:val="0"/>
        <w:tabs>
          <w:tab w:val="right" w:leader="dot" w:pos="9070"/>
          <w:tab w:val="clear" w:pos="9241"/>
        </w:tabs>
        <w:kinsoku/>
        <w:wordWrap/>
        <w:overflowPunct/>
        <w:topLinePunct w:val="0"/>
        <w:bidi w:val="0"/>
        <w:adjustRightInd/>
        <w:snapToGrid/>
        <w:spacing w:line="360" w:lineRule="auto"/>
        <w:textAlignment w:val="auto"/>
        <w:rPr>
          <w:sz w:val="24"/>
          <w:szCs w:val="24"/>
        </w:rPr>
      </w:pPr>
      <w:r>
        <w:rPr>
          <w:rFonts w:ascii="Times New Roman"/>
          <w:color w:val="auto"/>
          <w:sz w:val="24"/>
          <w:szCs w:val="24"/>
          <w:highlight w:val="none"/>
        </w:rPr>
        <w:fldChar w:fldCharType="begin"/>
      </w:r>
      <w:r>
        <w:rPr>
          <w:rFonts w:ascii="Times New Roman"/>
          <w:sz w:val="24"/>
          <w:szCs w:val="24"/>
          <w:highlight w:val="none"/>
        </w:rPr>
        <w:instrText xml:space="preserve"> HYPERLINK \l _Toc19599 </w:instrText>
      </w:r>
      <w:r>
        <w:rPr>
          <w:rFonts w:ascii="Times New Roman"/>
          <w:sz w:val="24"/>
          <w:szCs w:val="24"/>
          <w:highlight w:val="none"/>
        </w:rPr>
        <w:fldChar w:fldCharType="separate"/>
      </w:r>
      <w:r>
        <w:rPr>
          <w:rFonts w:hint="eastAsia" w:ascii="Times New Roman" w:hAnsi="Times New Roman"/>
          <w:sz w:val="24"/>
          <w:szCs w:val="24"/>
        </w:rPr>
        <w:t>条</w:t>
      </w:r>
      <w:r>
        <w:rPr>
          <w:rFonts w:ascii="Times New Roman" w:hAnsi="Times New Roman"/>
          <w:sz w:val="24"/>
          <w:szCs w:val="24"/>
        </w:rPr>
        <w:t xml:space="preserve"> </w:t>
      </w:r>
      <w:r>
        <w:rPr>
          <w:rFonts w:hint="eastAsia" w:ascii="Times New Roman" w:hAnsi="Times New Roman"/>
          <w:sz w:val="24"/>
          <w:szCs w:val="24"/>
        </w:rPr>
        <w:t>文</w:t>
      </w:r>
      <w:r>
        <w:rPr>
          <w:rFonts w:ascii="Times New Roman" w:hAnsi="Times New Roman"/>
          <w:sz w:val="24"/>
          <w:szCs w:val="24"/>
        </w:rPr>
        <w:t xml:space="preserve"> </w:t>
      </w:r>
      <w:r>
        <w:rPr>
          <w:rFonts w:hint="eastAsia" w:ascii="Times New Roman" w:hAnsi="Times New Roman"/>
          <w:sz w:val="24"/>
          <w:szCs w:val="24"/>
        </w:rPr>
        <w:t>说</w:t>
      </w:r>
      <w:r>
        <w:rPr>
          <w:rFonts w:ascii="Times New Roman" w:hAnsi="Times New Roman"/>
          <w:sz w:val="24"/>
          <w:szCs w:val="24"/>
        </w:rPr>
        <w:t xml:space="preserve"> </w:t>
      </w:r>
      <w:r>
        <w:rPr>
          <w:rFonts w:hint="eastAsia" w:ascii="Times New Roman" w:hAnsi="Times New Roman"/>
          <w:sz w:val="24"/>
          <w:szCs w:val="24"/>
        </w:rPr>
        <w:t>明</w:t>
      </w:r>
      <w:r>
        <w:rPr>
          <w:sz w:val="24"/>
          <w:szCs w:val="24"/>
        </w:rPr>
        <w:tab/>
      </w:r>
      <w:r>
        <w:rPr>
          <w:sz w:val="24"/>
          <w:szCs w:val="24"/>
        </w:rPr>
        <w:fldChar w:fldCharType="begin"/>
      </w:r>
      <w:r>
        <w:rPr>
          <w:sz w:val="24"/>
          <w:szCs w:val="24"/>
        </w:rPr>
        <w:instrText xml:space="preserve"> PAGEREF _Toc19599 \h </w:instrText>
      </w:r>
      <w:r>
        <w:rPr>
          <w:sz w:val="24"/>
          <w:szCs w:val="24"/>
        </w:rPr>
        <w:fldChar w:fldCharType="separate"/>
      </w:r>
      <w:r>
        <w:rPr>
          <w:sz w:val="24"/>
          <w:szCs w:val="24"/>
        </w:rPr>
        <w:t>35</w:t>
      </w:r>
      <w:r>
        <w:rPr>
          <w:sz w:val="24"/>
          <w:szCs w:val="24"/>
        </w:rPr>
        <w:fldChar w:fldCharType="end"/>
      </w:r>
      <w:r>
        <w:rPr>
          <w:rFonts w:ascii="Times New Roman"/>
          <w:color w:val="auto"/>
          <w:sz w:val="24"/>
          <w:szCs w:val="24"/>
          <w:highlight w:val="none"/>
        </w:rPr>
        <w:fldChar w:fldCharType="end"/>
      </w:r>
    </w:p>
    <w:p w14:paraId="58108CB2">
      <w:pPr>
        <w:pStyle w:val="30"/>
        <w:keepNext w:val="0"/>
        <w:keepLines w:val="0"/>
        <w:pageBreakBefore w:val="0"/>
        <w:kinsoku/>
        <w:wordWrap/>
        <w:overflowPunct/>
        <w:topLinePunct w:val="0"/>
        <w:bidi w:val="0"/>
        <w:adjustRightInd/>
        <w:snapToGrid/>
        <w:spacing w:line="360" w:lineRule="auto"/>
        <w:ind w:firstLine="0" w:firstLineChars="0"/>
        <w:textAlignment w:val="auto"/>
        <w:rPr>
          <w:rFonts w:ascii="Times New Roman" w:eastAsia="黑体"/>
          <w:color w:val="auto"/>
          <w:sz w:val="32"/>
          <w:szCs w:val="32"/>
          <w:highlight w:val="none"/>
        </w:rPr>
        <w:sectPr>
          <w:headerReference r:id="rId7" w:type="default"/>
          <w:footerReference r:id="rId9" w:type="default"/>
          <w:headerReference r:id="rId8" w:type="even"/>
          <w:footerReference r:id="rId10" w:type="even"/>
          <w:pgSz w:w="11906" w:h="16838"/>
          <w:pgMar w:top="1440" w:right="1418" w:bottom="1440" w:left="1418" w:header="1418" w:footer="1134" w:gutter="0"/>
          <w:pgNumType w:fmt="upperRoman"/>
          <w:cols w:space="720" w:num="1"/>
          <w:formProt w:val="0"/>
          <w:docGrid w:type="lines" w:linePitch="312" w:charSpace="0"/>
        </w:sectPr>
      </w:pPr>
      <w:r>
        <w:rPr>
          <w:rFonts w:ascii="Times New Roman"/>
          <w:color w:val="auto"/>
          <w:sz w:val="24"/>
          <w:szCs w:val="24"/>
          <w:highlight w:val="none"/>
        </w:rPr>
        <w:fldChar w:fldCharType="end"/>
      </w:r>
    </w:p>
    <w:p w14:paraId="4095D5C1">
      <w:pPr>
        <w:pStyle w:val="17"/>
        <w:spacing w:before="312" w:beforeLines="100" w:after="312" w:afterLines="100" w:line="360" w:lineRule="auto"/>
        <w:jc w:val="center"/>
        <w:outlineLvl w:val="0"/>
        <w:rPr>
          <w:rFonts w:ascii="Times New Roman" w:hAnsi="Times New Roman" w:eastAsia="黑体"/>
          <w:color w:val="auto"/>
          <w:sz w:val="32"/>
          <w:szCs w:val="32"/>
          <w:highlight w:val="none"/>
        </w:rPr>
      </w:pPr>
      <w:bookmarkStart w:id="11" w:name="_Toc40730877"/>
      <w:bookmarkStart w:id="12" w:name="_Toc13564"/>
      <w:bookmarkStart w:id="13" w:name="_Toc31946"/>
      <w:r>
        <w:rPr>
          <w:rFonts w:hint="default" w:ascii="Times New Roman" w:hAnsi="Times New Roman" w:cs="Times New Roman"/>
          <w:b/>
          <w:sz w:val="36"/>
          <w:szCs w:val="36"/>
        </w:rPr>
        <w:t>1 总  则</w:t>
      </w:r>
      <w:bookmarkEnd w:id="11"/>
      <w:bookmarkEnd w:id="12"/>
      <w:bookmarkEnd w:id="13"/>
    </w:p>
    <w:p w14:paraId="5968E2CF">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ascii="Times New Roman"/>
          <w:color w:val="auto"/>
          <w:sz w:val="24"/>
          <w:szCs w:val="24"/>
          <w:highlight w:val="none"/>
        </w:rPr>
      </w:pPr>
      <w:r>
        <w:rPr>
          <w:rFonts w:hint="eastAsia" w:ascii="Times New Roman"/>
          <w:b/>
          <w:bCs/>
          <w:color w:val="auto"/>
          <w:sz w:val="24"/>
          <w:szCs w:val="24"/>
          <w:highlight w:val="none"/>
        </w:rPr>
        <w:t>1.0.1</w:t>
      </w:r>
      <w:r>
        <w:rPr>
          <w:rFonts w:hint="default" w:ascii="Times New Roman"/>
          <w:color w:val="auto"/>
          <w:sz w:val="24"/>
          <w:szCs w:val="24"/>
          <w:highlight w:val="none"/>
        </w:rPr>
        <w:t xml:space="preserve">  </w:t>
      </w:r>
      <w:r>
        <w:rPr>
          <w:rFonts w:hint="default" w:ascii="Times New Roman" w:hAnsi="Times New Roman" w:cs="Times New Roman"/>
          <w:color w:val="auto"/>
          <w:sz w:val="24"/>
          <w:szCs w:val="24"/>
          <w:highlight w:val="none"/>
        </w:rPr>
        <w:t>为规范和指导市政装配式混凝土桥梁构件连接技术，保障工程质量，制定本规程</w:t>
      </w:r>
      <w:r>
        <w:rPr>
          <w:rFonts w:hint="default" w:ascii="Times New Roman"/>
          <w:color w:val="auto"/>
          <w:sz w:val="24"/>
          <w:szCs w:val="24"/>
          <w:highlight w:val="none"/>
        </w:rPr>
        <w:t>。</w:t>
      </w:r>
    </w:p>
    <w:p w14:paraId="3869D71A">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ascii="Times New Roman" w:hAnsi="Times New Roman" w:cs="Times New Roman"/>
          <w:color w:val="auto"/>
          <w:sz w:val="24"/>
          <w:szCs w:val="24"/>
          <w:highlight w:val="none"/>
        </w:rPr>
      </w:pPr>
      <w:r>
        <w:rPr>
          <w:rFonts w:ascii="Times New Roman"/>
          <w:b/>
          <w:bCs/>
          <w:color w:val="auto"/>
          <w:sz w:val="24"/>
          <w:szCs w:val="24"/>
          <w:highlight w:val="none"/>
        </w:rPr>
        <w:t>1.0.2</w:t>
      </w:r>
      <w:r>
        <w:rPr>
          <w:rFonts w:hint="default" w:ascii="Times New Roman"/>
          <w:color w:val="auto"/>
          <w:sz w:val="24"/>
          <w:szCs w:val="24"/>
          <w:highlight w:val="none"/>
        </w:rPr>
        <w:t xml:space="preserve">  </w:t>
      </w:r>
      <w:r>
        <w:rPr>
          <w:rFonts w:hint="default" w:ascii="Times New Roman" w:hAnsi="Times New Roman" w:cs="Times New Roman"/>
          <w:color w:val="auto"/>
          <w:sz w:val="24"/>
          <w:szCs w:val="24"/>
          <w:highlight w:val="none"/>
        </w:rPr>
        <w:t>本规程适用于市政装配式混凝土桥梁连接的设计、施工与质量检验，其他桥梁混凝土构件之间的连接可参考使用。</w:t>
      </w:r>
    </w:p>
    <w:p w14:paraId="4C44B994">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ascii="Times New Roman"/>
          <w:b/>
          <w:bCs/>
          <w:color w:val="auto"/>
          <w:sz w:val="24"/>
          <w:szCs w:val="24"/>
          <w:highlight w:val="none"/>
        </w:rPr>
      </w:pPr>
      <w:r>
        <w:rPr>
          <w:rFonts w:ascii="Times New Roman"/>
          <w:b/>
          <w:bCs/>
          <w:color w:val="auto"/>
          <w:sz w:val="24"/>
          <w:szCs w:val="24"/>
          <w:highlight w:val="none"/>
        </w:rPr>
        <w:t xml:space="preserve">1.0.3  </w:t>
      </w:r>
      <w:r>
        <w:rPr>
          <w:rFonts w:hint="eastAsia" w:ascii="Times New Roman"/>
          <w:b w:val="0"/>
          <w:bCs w:val="0"/>
          <w:color w:val="auto"/>
          <w:sz w:val="24"/>
          <w:szCs w:val="24"/>
          <w:highlight w:val="none"/>
        </w:rPr>
        <w:t>本规程适用于</w:t>
      </w:r>
      <w:r>
        <w:rPr>
          <w:rFonts w:hint="default" w:ascii="Times New Roman"/>
          <w:bCs/>
          <w:color w:val="auto"/>
          <w:sz w:val="24"/>
          <w:szCs w:val="24"/>
          <w:highlight w:val="none"/>
        </w:rPr>
        <w:t>地震动峰值加速度</w:t>
      </w:r>
      <w:r>
        <w:rPr>
          <w:rFonts w:hint="default" w:ascii="Times New Roman"/>
          <w:bCs/>
          <w:color w:val="auto"/>
          <w:sz w:val="24"/>
          <w:szCs w:val="24"/>
          <w:highlight w:val="none"/>
          <w:lang w:eastAsia="zh-CN"/>
        </w:rPr>
        <w:t>小</w:t>
      </w:r>
      <w:r>
        <w:rPr>
          <w:rFonts w:hint="default" w:ascii="Times New Roman"/>
          <w:bCs/>
          <w:color w:val="auto"/>
          <w:sz w:val="24"/>
          <w:szCs w:val="24"/>
          <w:highlight w:val="none"/>
        </w:rPr>
        <w:t>于0.15g的地区，当地震动峰值加速度</w:t>
      </w:r>
      <w:r>
        <w:rPr>
          <w:rFonts w:hint="default" w:ascii="Times New Roman"/>
          <w:bCs/>
          <w:color w:val="auto"/>
          <w:sz w:val="24"/>
          <w:szCs w:val="24"/>
          <w:highlight w:val="none"/>
          <w:lang w:val="en-US" w:eastAsia="zh-CN"/>
        </w:rPr>
        <w:t>大于或等于</w:t>
      </w:r>
      <w:r>
        <w:rPr>
          <w:rFonts w:hint="default" w:ascii="Times New Roman"/>
          <w:bCs/>
          <w:color w:val="auto"/>
          <w:sz w:val="24"/>
          <w:szCs w:val="24"/>
          <w:highlight w:val="none"/>
        </w:rPr>
        <w:t>0.15 g时，应进行专项抗震设计。</w:t>
      </w:r>
    </w:p>
    <w:p w14:paraId="6BEA8374">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hint="default" w:ascii="Times New Roman"/>
          <w:color w:val="auto"/>
          <w:sz w:val="24"/>
          <w:szCs w:val="24"/>
          <w:highlight w:val="none"/>
        </w:rPr>
      </w:pPr>
      <w:r>
        <w:rPr>
          <w:rFonts w:hint="eastAsia" w:ascii="Times New Roman"/>
          <w:b/>
          <w:bCs/>
          <w:color w:val="auto"/>
          <w:sz w:val="24"/>
          <w:szCs w:val="24"/>
          <w:highlight w:val="none"/>
        </w:rPr>
        <w:t>1.0.4</w:t>
      </w:r>
      <w:r>
        <w:rPr>
          <w:rFonts w:hint="default" w:ascii="Times New Roman"/>
          <w:color w:val="auto"/>
          <w:sz w:val="24"/>
          <w:szCs w:val="24"/>
          <w:highlight w:val="none"/>
        </w:rPr>
        <w:t xml:space="preserve">  </w:t>
      </w:r>
      <w:r>
        <w:rPr>
          <w:rFonts w:hint="default" w:ascii="Times New Roman"/>
          <w:bCs/>
          <w:color w:val="auto"/>
          <w:sz w:val="24"/>
          <w:szCs w:val="24"/>
          <w:highlight w:val="none"/>
        </w:rPr>
        <w:t>市政装配式混凝土桥梁构件连接除应符合本规程的规定外，尚应符合国家</w:t>
      </w:r>
      <w:r>
        <w:rPr>
          <w:rFonts w:hint="default" w:ascii="Times New Roman"/>
          <w:bCs/>
          <w:color w:val="auto"/>
          <w:sz w:val="24"/>
          <w:szCs w:val="24"/>
          <w:highlight w:val="none"/>
          <w:lang w:eastAsia="zh-CN"/>
        </w:rPr>
        <w:t>、</w:t>
      </w:r>
      <w:r>
        <w:rPr>
          <w:rFonts w:hint="default" w:ascii="Times New Roman"/>
          <w:bCs/>
          <w:color w:val="auto"/>
          <w:sz w:val="24"/>
          <w:szCs w:val="24"/>
          <w:highlight w:val="none"/>
        </w:rPr>
        <w:t>行业</w:t>
      </w:r>
      <w:r>
        <w:rPr>
          <w:rFonts w:hint="default" w:ascii="Times New Roman"/>
          <w:bCs/>
          <w:color w:val="auto"/>
          <w:sz w:val="24"/>
          <w:szCs w:val="24"/>
          <w:highlight w:val="none"/>
          <w:lang w:val="en-US" w:eastAsia="zh-CN"/>
        </w:rPr>
        <w:t>和本省</w:t>
      </w:r>
      <w:r>
        <w:rPr>
          <w:rFonts w:hint="default" w:ascii="Times New Roman"/>
          <w:bCs/>
          <w:color w:val="auto"/>
          <w:sz w:val="24"/>
          <w:szCs w:val="24"/>
          <w:highlight w:val="none"/>
        </w:rPr>
        <w:t>现行有关标准的规定</w:t>
      </w:r>
      <w:r>
        <w:rPr>
          <w:rFonts w:hint="default" w:ascii="Times New Roman"/>
          <w:color w:val="auto"/>
          <w:sz w:val="24"/>
          <w:szCs w:val="24"/>
          <w:highlight w:val="none"/>
        </w:rPr>
        <w:t>。</w:t>
      </w:r>
    </w:p>
    <w:p w14:paraId="536342B8">
      <w:pPr>
        <w:rPr>
          <w:rFonts w:hint="eastAsia"/>
          <w:color w:val="auto"/>
          <w:szCs w:val="21"/>
          <w:highlight w:val="none"/>
        </w:rPr>
      </w:pPr>
      <w:r>
        <w:rPr>
          <w:rFonts w:hint="eastAsia"/>
          <w:color w:val="auto"/>
          <w:szCs w:val="21"/>
          <w:highlight w:val="none"/>
        </w:rPr>
        <w:br w:type="page"/>
      </w:r>
    </w:p>
    <w:p w14:paraId="284C90D7">
      <w:pPr>
        <w:pStyle w:val="17"/>
        <w:spacing w:before="312" w:beforeLines="100" w:after="312" w:afterLines="100" w:line="360" w:lineRule="auto"/>
        <w:jc w:val="center"/>
        <w:outlineLvl w:val="0"/>
        <w:rPr>
          <w:rFonts w:ascii="Times New Roman" w:hAnsi="Times New Roman" w:cs="Times New Roman"/>
          <w:b/>
          <w:sz w:val="36"/>
          <w:szCs w:val="36"/>
        </w:rPr>
      </w:pPr>
      <w:bookmarkStart w:id="14" w:name="_Toc40730878"/>
      <w:bookmarkStart w:id="15" w:name="_Toc28294"/>
      <w:bookmarkStart w:id="16" w:name="_Toc20059"/>
      <w:r>
        <w:rPr>
          <w:rFonts w:hint="default" w:ascii="Times New Roman" w:hAnsi="Times New Roman" w:cs="Times New Roman"/>
          <w:b/>
          <w:sz w:val="36"/>
          <w:szCs w:val="36"/>
        </w:rPr>
        <w:t>2 术语</w:t>
      </w:r>
      <w:bookmarkEnd w:id="14"/>
      <w:r>
        <w:rPr>
          <w:rFonts w:hint="default" w:ascii="Times New Roman" w:hAnsi="Times New Roman" w:cs="Times New Roman"/>
          <w:b/>
          <w:sz w:val="36"/>
          <w:szCs w:val="36"/>
        </w:rPr>
        <w:t>和符号</w:t>
      </w:r>
      <w:bookmarkEnd w:id="15"/>
      <w:bookmarkEnd w:id="16"/>
    </w:p>
    <w:p w14:paraId="16EFD6D4">
      <w:pPr>
        <w:spacing w:before="156" w:beforeLines="50" w:after="156" w:afterLines="50" w:line="360" w:lineRule="auto"/>
        <w:jc w:val="center"/>
        <w:outlineLvl w:val="1"/>
        <w:rPr>
          <w:rFonts w:ascii="Times New Roman" w:hAnsi="Times New Roman" w:cs="Times New Roman"/>
          <w:b/>
          <w:kern w:val="0"/>
          <w:sz w:val="28"/>
          <w:szCs w:val="28"/>
        </w:rPr>
      </w:pPr>
      <w:bookmarkStart w:id="17" w:name="_Toc14734"/>
      <w:bookmarkStart w:id="18" w:name="_Toc24538"/>
      <w:bookmarkStart w:id="19" w:name="_Toc161501617"/>
      <w:r>
        <w:rPr>
          <w:rFonts w:hint="eastAsia" w:ascii="Times New Roman" w:hAnsi="Times New Roman" w:cs="Times New Roman"/>
          <w:b/>
          <w:kern w:val="0"/>
          <w:sz w:val="28"/>
          <w:szCs w:val="28"/>
        </w:rPr>
        <w:t>2.1 术语</w:t>
      </w:r>
      <w:bookmarkEnd w:id="17"/>
      <w:bookmarkEnd w:id="18"/>
      <w:bookmarkEnd w:id="19"/>
    </w:p>
    <w:p w14:paraId="02992446">
      <w:pPr>
        <w:pStyle w:val="30"/>
        <w:keepNext w:val="0"/>
        <w:keepLines w:val="0"/>
        <w:pageBreakBefore w:val="0"/>
        <w:kinsoku/>
        <w:wordWrap/>
        <w:overflowPunct/>
        <w:topLinePunct w:val="0"/>
        <w:bidi w:val="0"/>
        <w:adjustRightInd/>
        <w:spacing w:line="360" w:lineRule="auto"/>
        <w:textAlignment w:val="auto"/>
        <w:rPr>
          <w:rFonts w:ascii="Times New Roman"/>
          <w:color w:val="auto"/>
          <w:sz w:val="24"/>
          <w:szCs w:val="24"/>
          <w:highlight w:val="none"/>
        </w:rPr>
      </w:pPr>
      <w:r>
        <w:rPr>
          <w:rFonts w:hint="default" w:ascii="Times New Roman"/>
          <w:color w:val="auto"/>
          <w:sz w:val="24"/>
          <w:szCs w:val="24"/>
          <w:highlight w:val="none"/>
        </w:rPr>
        <w:t>下列术语和定义适用于本标准。</w:t>
      </w:r>
    </w:p>
    <w:p w14:paraId="5541C550">
      <w:pPr>
        <w:keepNext w:val="0"/>
        <w:keepLines w:val="0"/>
        <w:pageBreakBefore w:val="0"/>
        <w:kinsoku/>
        <w:wordWrap/>
        <w:overflowPunct/>
        <w:topLinePunct w:val="0"/>
        <w:bidi w:val="0"/>
        <w:adjustRightInd/>
        <w:snapToGrid w:val="0"/>
        <w:spacing w:before="156" w:beforeLines="50" w:line="360" w:lineRule="auto"/>
        <w:textAlignment w:val="auto"/>
        <w:rPr>
          <w:color w:val="auto"/>
          <w:sz w:val="24"/>
          <w:szCs w:val="24"/>
          <w:highlight w:val="none"/>
        </w:rPr>
      </w:pPr>
      <w:r>
        <w:rPr>
          <w:rFonts w:hint="eastAsia"/>
          <w:b/>
          <w:color w:val="auto"/>
          <w:sz w:val="24"/>
          <w:szCs w:val="24"/>
          <w:highlight w:val="none"/>
        </w:rPr>
        <w:t>2</w:t>
      </w:r>
      <w:r>
        <w:rPr>
          <w:b/>
          <w:color w:val="auto"/>
          <w:sz w:val="24"/>
          <w:szCs w:val="24"/>
          <w:highlight w:val="none"/>
        </w:rPr>
        <w:t>.</w:t>
      </w:r>
      <w:r>
        <w:rPr>
          <w:rFonts w:hint="eastAsia"/>
          <w:b/>
          <w:color w:val="auto"/>
          <w:sz w:val="24"/>
          <w:szCs w:val="24"/>
          <w:highlight w:val="none"/>
        </w:rPr>
        <w:t>1</w:t>
      </w:r>
      <w:r>
        <w:rPr>
          <w:b/>
          <w:color w:val="auto"/>
          <w:sz w:val="24"/>
          <w:szCs w:val="24"/>
          <w:highlight w:val="none"/>
        </w:rPr>
        <w:t>.1</w:t>
      </w:r>
      <w:r>
        <w:rPr>
          <w:rFonts w:hint="eastAsia"/>
          <w:b/>
          <w:color w:val="auto"/>
          <w:sz w:val="24"/>
          <w:szCs w:val="24"/>
          <w:highlight w:val="none"/>
        </w:rPr>
        <w:t xml:space="preserve"> </w:t>
      </w:r>
      <w:r>
        <w:rPr>
          <w:rFonts w:hint="default" w:ascii="Times New Roman" w:hAnsi="Times New Roman" w:cs="Times New Roman"/>
          <w:color w:val="auto"/>
          <w:sz w:val="24"/>
          <w:szCs w:val="24"/>
          <w:highlight w:val="none"/>
        </w:rPr>
        <w:t xml:space="preserve">装配式混凝土桥梁  </w:t>
      </w:r>
      <w:r>
        <w:rPr>
          <w:color w:val="auto"/>
          <w:sz w:val="24"/>
          <w:szCs w:val="24"/>
          <w:highlight w:val="none"/>
        </w:rPr>
        <w:t>precast concrete bridge</w:t>
      </w:r>
    </w:p>
    <w:p w14:paraId="3AF7897D">
      <w:pPr>
        <w:keepNext w:val="0"/>
        <w:keepLines w:val="0"/>
        <w:pageBreakBefore w:val="0"/>
        <w:kinsoku/>
        <w:wordWrap/>
        <w:overflowPunct/>
        <w:topLinePunct w:val="0"/>
        <w:bidi w:val="0"/>
        <w:adjustRightInd/>
        <w:snapToGrid w:val="0"/>
        <w:spacing w:line="360" w:lineRule="auto"/>
        <w:ind w:firstLine="480" w:firstLineChars="200"/>
        <w:textAlignment w:val="auto"/>
        <w:rPr>
          <w:color w:val="auto"/>
          <w:sz w:val="24"/>
          <w:szCs w:val="24"/>
          <w:highlight w:val="none"/>
        </w:rPr>
      </w:pPr>
      <w:r>
        <w:rPr>
          <w:rFonts w:hint="eastAsia"/>
          <w:color w:val="auto"/>
          <w:sz w:val="24"/>
          <w:szCs w:val="24"/>
          <w:highlight w:val="none"/>
        </w:rPr>
        <w:t>由预制混凝土构件通过可靠的方式连接组合成整体的混凝土桥梁。</w:t>
      </w:r>
    </w:p>
    <w:p w14:paraId="151E5656">
      <w:pPr>
        <w:keepNext w:val="0"/>
        <w:keepLines w:val="0"/>
        <w:pageBreakBefore w:val="0"/>
        <w:kinsoku/>
        <w:wordWrap/>
        <w:overflowPunct/>
        <w:topLinePunct w:val="0"/>
        <w:bidi w:val="0"/>
        <w:adjustRightInd/>
        <w:snapToGrid w:val="0"/>
        <w:spacing w:before="156" w:beforeLines="50" w:line="360" w:lineRule="auto"/>
        <w:textAlignment w:val="auto"/>
        <w:rPr>
          <w:bCs/>
          <w:color w:val="auto"/>
          <w:sz w:val="24"/>
          <w:szCs w:val="24"/>
          <w:highlight w:val="none"/>
        </w:rPr>
      </w:pPr>
      <w:r>
        <w:rPr>
          <w:rFonts w:hint="eastAsia"/>
          <w:b/>
          <w:color w:val="auto"/>
          <w:sz w:val="24"/>
          <w:szCs w:val="24"/>
          <w:highlight w:val="none"/>
        </w:rPr>
        <w:t xml:space="preserve">2.1.2 </w:t>
      </w:r>
      <w:r>
        <w:rPr>
          <w:rFonts w:hint="eastAsia"/>
          <w:bCs/>
          <w:color w:val="auto"/>
          <w:sz w:val="24"/>
          <w:szCs w:val="24"/>
          <w:highlight w:val="none"/>
        </w:rPr>
        <w:t>灌浆套筒连接 grouting sleeve connection</w:t>
      </w:r>
    </w:p>
    <w:p w14:paraId="52B5B7EB">
      <w:pPr>
        <w:keepNext w:val="0"/>
        <w:keepLines w:val="0"/>
        <w:pageBreakBefore w:val="0"/>
        <w:kinsoku/>
        <w:wordWrap/>
        <w:overflowPunct/>
        <w:topLinePunct w:val="0"/>
        <w:bidi w:val="0"/>
        <w:adjustRightInd/>
        <w:snapToGrid w:val="0"/>
        <w:spacing w:line="360" w:lineRule="auto"/>
        <w:ind w:firstLine="480" w:firstLineChars="200"/>
        <w:textAlignment w:val="auto"/>
        <w:rPr>
          <w:color w:val="auto"/>
          <w:sz w:val="24"/>
          <w:szCs w:val="24"/>
          <w:highlight w:val="none"/>
        </w:rPr>
      </w:pPr>
      <w:r>
        <w:rPr>
          <w:color w:val="auto"/>
          <w:sz w:val="24"/>
          <w:szCs w:val="24"/>
          <w:highlight w:val="none"/>
        </w:rPr>
        <w:t>在金属套筒的端部插入钢筋并压注水泥基灌浆料的钢筋连接方式。</w:t>
      </w:r>
    </w:p>
    <w:p w14:paraId="02A5CBDF">
      <w:pPr>
        <w:keepNext w:val="0"/>
        <w:keepLines w:val="0"/>
        <w:pageBreakBefore w:val="0"/>
        <w:kinsoku/>
        <w:wordWrap/>
        <w:overflowPunct/>
        <w:topLinePunct w:val="0"/>
        <w:bidi w:val="0"/>
        <w:adjustRightInd/>
        <w:snapToGrid w:val="0"/>
        <w:spacing w:before="156" w:beforeLines="50" w:line="360" w:lineRule="auto"/>
        <w:textAlignment w:val="auto"/>
        <w:rPr>
          <w:bCs/>
          <w:color w:val="auto"/>
          <w:sz w:val="24"/>
          <w:szCs w:val="24"/>
          <w:highlight w:val="none"/>
        </w:rPr>
      </w:pPr>
      <w:r>
        <w:rPr>
          <w:rFonts w:hint="eastAsia"/>
          <w:b/>
          <w:color w:val="auto"/>
          <w:sz w:val="24"/>
          <w:szCs w:val="24"/>
          <w:highlight w:val="none"/>
        </w:rPr>
        <w:t xml:space="preserve">2.1.3 </w:t>
      </w:r>
      <w:r>
        <w:rPr>
          <w:bCs/>
          <w:color w:val="auto"/>
          <w:sz w:val="24"/>
          <w:szCs w:val="24"/>
          <w:highlight w:val="none"/>
        </w:rPr>
        <w:t>灌浆波纹钢管连接 splicing by grouted corrugated steel pipe</w:t>
      </w:r>
    </w:p>
    <w:p w14:paraId="77589542">
      <w:pPr>
        <w:keepNext w:val="0"/>
        <w:keepLines w:val="0"/>
        <w:pageBreakBefore w:val="0"/>
        <w:kinsoku/>
        <w:wordWrap/>
        <w:overflowPunct/>
        <w:topLinePunct w:val="0"/>
        <w:bidi w:val="0"/>
        <w:adjustRightInd/>
        <w:snapToGrid w:val="0"/>
        <w:spacing w:line="360" w:lineRule="auto"/>
        <w:ind w:firstLine="480" w:firstLineChars="200"/>
        <w:textAlignment w:val="auto"/>
        <w:rPr>
          <w:color w:val="auto"/>
          <w:sz w:val="24"/>
          <w:szCs w:val="24"/>
          <w:highlight w:val="none"/>
        </w:rPr>
      </w:pPr>
      <w:r>
        <w:rPr>
          <w:color w:val="auto"/>
          <w:sz w:val="24"/>
          <w:szCs w:val="24"/>
          <w:highlight w:val="none"/>
        </w:rPr>
        <w:t>混凝土预制构件预埋受力钢筋插入另一构件的预埋波纹钢管内并压注水泥基灌浆料的钢筋连接方式。</w:t>
      </w:r>
    </w:p>
    <w:p w14:paraId="649E9A6E">
      <w:pPr>
        <w:keepNext w:val="0"/>
        <w:keepLines w:val="0"/>
        <w:pageBreakBefore w:val="0"/>
        <w:kinsoku/>
        <w:wordWrap/>
        <w:overflowPunct/>
        <w:topLinePunct w:val="0"/>
        <w:bidi w:val="0"/>
        <w:adjustRightInd/>
        <w:snapToGrid w:val="0"/>
        <w:spacing w:before="156" w:beforeLines="50" w:line="360" w:lineRule="auto"/>
        <w:textAlignment w:val="auto"/>
        <w:rPr>
          <w:bCs/>
          <w:color w:val="auto"/>
          <w:sz w:val="24"/>
          <w:szCs w:val="24"/>
          <w:highlight w:val="none"/>
        </w:rPr>
      </w:pPr>
      <w:r>
        <w:rPr>
          <w:rFonts w:hint="eastAsia"/>
          <w:b/>
          <w:color w:val="auto"/>
          <w:sz w:val="24"/>
          <w:szCs w:val="24"/>
          <w:highlight w:val="none"/>
        </w:rPr>
        <w:t>2.1.4</w:t>
      </w:r>
      <w:r>
        <w:rPr>
          <w:bCs/>
          <w:color w:val="auto"/>
          <w:sz w:val="24"/>
          <w:szCs w:val="24"/>
          <w:highlight w:val="none"/>
        </w:rPr>
        <w:t xml:space="preserve"> 承插式连接 socket connection</w:t>
      </w:r>
    </w:p>
    <w:p w14:paraId="651A0B9A">
      <w:pPr>
        <w:keepNext w:val="0"/>
        <w:keepLines w:val="0"/>
        <w:pageBreakBefore w:val="0"/>
        <w:kinsoku/>
        <w:wordWrap/>
        <w:overflowPunct/>
        <w:topLinePunct w:val="0"/>
        <w:bidi w:val="0"/>
        <w:adjustRightInd/>
        <w:snapToGrid w:val="0"/>
        <w:spacing w:line="360" w:lineRule="auto"/>
        <w:ind w:firstLine="480" w:firstLineChars="200"/>
        <w:textAlignment w:val="auto"/>
        <w:rPr>
          <w:bCs/>
          <w:color w:val="auto"/>
          <w:sz w:val="24"/>
          <w:szCs w:val="24"/>
          <w:highlight w:val="none"/>
        </w:rPr>
      </w:pPr>
      <w:r>
        <w:rPr>
          <w:bCs/>
          <w:color w:val="auto"/>
          <w:sz w:val="24"/>
          <w:szCs w:val="24"/>
          <w:highlight w:val="none"/>
        </w:rPr>
        <w:t>将预制构件一端插入相</w:t>
      </w:r>
      <w:r>
        <w:rPr>
          <w:rFonts w:hint="eastAsia"/>
          <w:bCs/>
          <w:color w:val="auto"/>
          <w:sz w:val="24"/>
          <w:szCs w:val="24"/>
          <w:highlight w:val="none"/>
        </w:rPr>
        <w:t>连</w:t>
      </w:r>
      <w:r>
        <w:rPr>
          <w:bCs/>
          <w:color w:val="auto"/>
          <w:sz w:val="24"/>
          <w:szCs w:val="24"/>
          <w:highlight w:val="none"/>
        </w:rPr>
        <w:t>接构件的预留孔内，通过浇筑混凝土或压注水泥基灌浆料，使构件连接成整体的连接方式。</w:t>
      </w:r>
    </w:p>
    <w:p w14:paraId="2FA018EC">
      <w:pPr>
        <w:keepNext w:val="0"/>
        <w:keepLines w:val="0"/>
        <w:pageBreakBefore w:val="0"/>
        <w:kinsoku/>
        <w:wordWrap/>
        <w:overflowPunct/>
        <w:topLinePunct w:val="0"/>
        <w:bidi w:val="0"/>
        <w:adjustRightInd/>
        <w:snapToGrid w:val="0"/>
        <w:spacing w:before="156" w:beforeLines="50" w:line="360" w:lineRule="auto"/>
        <w:textAlignment w:val="auto"/>
        <w:rPr>
          <w:bCs/>
          <w:color w:val="auto"/>
          <w:sz w:val="24"/>
          <w:szCs w:val="24"/>
          <w:highlight w:val="none"/>
        </w:rPr>
      </w:pPr>
      <w:r>
        <w:rPr>
          <w:rFonts w:hint="eastAsia"/>
          <w:b/>
          <w:color w:val="auto"/>
          <w:sz w:val="24"/>
          <w:szCs w:val="24"/>
          <w:highlight w:val="none"/>
        </w:rPr>
        <w:t xml:space="preserve">2.1.5 </w:t>
      </w:r>
      <w:r>
        <w:rPr>
          <w:bCs/>
          <w:color w:val="auto"/>
          <w:sz w:val="24"/>
          <w:szCs w:val="24"/>
          <w:highlight w:val="none"/>
        </w:rPr>
        <w:t>插槽式连接 grouted pocket connection</w:t>
      </w:r>
    </w:p>
    <w:p w14:paraId="2FE24A77">
      <w:pPr>
        <w:keepNext w:val="0"/>
        <w:keepLines w:val="0"/>
        <w:pageBreakBefore w:val="0"/>
        <w:kinsoku/>
        <w:wordWrap/>
        <w:overflowPunct/>
        <w:topLinePunct w:val="0"/>
        <w:bidi w:val="0"/>
        <w:adjustRightInd/>
        <w:snapToGrid w:val="0"/>
        <w:spacing w:line="360" w:lineRule="auto"/>
        <w:ind w:firstLine="480" w:firstLineChars="200"/>
        <w:textAlignment w:val="auto"/>
        <w:rPr>
          <w:bCs/>
          <w:color w:val="auto"/>
          <w:sz w:val="24"/>
          <w:szCs w:val="24"/>
          <w:highlight w:val="none"/>
        </w:rPr>
      </w:pPr>
      <w:r>
        <w:rPr>
          <w:bCs/>
          <w:color w:val="auto"/>
          <w:sz w:val="24"/>
          <w:szCs w:val="24"/>
          <w:highlight w:val="none"/>
        </w:rPr>
        <w:t>将预制构件预埋受力钢筋整体插入相</w:t>
      </w:r>
      <w:r>
        <w:rPr>
          <w:rFonts w:hint="eastAsia"/>
          <w:bCs/>
          <w:color w:val="auto"/>
          <w:sz w:val="24"/>
          <w:szCs w:val="24"/>
          <w:highlight w:val="none"/>
        </w:rPr>
        <w:t>连</w:t>
      </w:r>
      <w:r>
        <w:rPr>
          <w:bCs/>
          <w:color w:val="auto"/>
          <w:sz w:val="24"/>
          <w:szCs w:val="24"/>
          <w:highlight w:val="none"/>
        </w:rPr>
        <w:t>接构件的预留孔内部，通过浇筑混凝土使两者连接成整体的连接方式。</w:t>
      </w:r>
    </w:p>
    <w:p w14:paraId="1079AD24">
      <w:pPr>
        <w:keepNext w:val="0"/>
        <w:keepLines w:val="0"/>
        <w:pageBreakBefore w:val="0"/>
        <w:kinsoku/>
        <w:wordWrap/>
        <w:overflowPunct/>
        <w:topLinePunct w:val="0"/>
        <w:bidi w:val="0"/>
        <w:adjustRightInd/>
        <w:snapToGrid w:val="0"/>
        <w:spacing w:before="156" w:beforeLines="50" w:line="360" w:lineRule="auto"/>
        <w:textAlignment w:val="auto"/>
        <w:rPr>
          <w:b/>
          <w:color w:val="auto"/>
          <w:sz w:val="24"/>
          <w:szCs w:val="24"/>
          <w:highlight w:val="none"/>
        </w:rPr>
      </w:pPr>
      <w:r>
        <w:rPr>
          <w:rFonts w:hint="eastAsia"/>
          <w:b/>
          <w:color w:val="auto"/>
          <w:sz w:val="24"/>
          <w:szCs w:val="24"/>
          <w:highlight w:val="none"/>
        </w:rPr>
        <w:t xml:space="preserve">2.1.6 </w:t>
      </w:r>
      <w:r>
        <w:rPr>
          <w:rFonts w:hint="eastAsia"/>
          <w:bCs/>
          <w:color w:val="auto"/>
          <w:sz w:val="24"/>
          <w:szCs w:val="24"/>
          <w:highlight w:val="none"/>
        </w:rPr>
        <w:t>壳式连接 shell connection</w:t>
      </w:r>
    </w:p>
    <w:p w14:paraId="63876C0E">
      <w:pPr>
        <w:keepNext w:val="0"/>
        <w:keepLines w:val="0"/>
        <w:pageBreakBefore w:val="0"/>
        <w:kinsoku/>
        <w:wordWrap/>
        <w:overflowPunct/>
        <w:topLinePunct w:val="0"/>
        <w:bidi w:val="0"/>
        <w:adjustRightInd/>
        <w:snapToGrid w:val="0"/>
        <w:spacing w:line="360" w:lineRule="auto"/>
        <w:ind w:firstLine="480" w:firstLineChars="200"/>
        <w:textAlignment w:val="auto"/>
        <w:rPr>
          <w:color w:val="auto"/>
          <w:sz w:val="24"/>
          <w:szCs w:val="24"/>
          <w:highlight w:val="none"/>
        </w:rPr>
      </w:pPr>
      <w:r>
        <w:rPr>
          <w:bCs/>
          <w:color w:val="auto"/>
          <w:sz w:val="24"/>
          <w:szCs w:val="24"/>
          <w:highlight w:val="none"/>
        </w:rPr>
        <w:t>将预制墩柱插入桩基顶部预留受力钢筋内部，通过绑扎多重抗剪环形筋浇筑混凝土形成壳壁，使预制墩柱与桩基连接成整体的连接方式。</w:t>
      </w:r>
    </w:p>
    <w:p w14:paraId="41E37FB7">
      <w:pPr>
        <w:spacing w:before="156" w:beforeLines="50" w:after="156" w:afterLines="50" w:line="360" w:lineRule="auto"/>
        <w:jc w:val="center"/>
        <w:outlineLvl w:val="1"/>
        <w:rPr>
          <w:rFonts w:hint="eastAsia" w:ascii="Times New Roman" w:hAnsi="Times New Roman" w:cs="Times New Roman"/>
          <w:b/>
          <w:kern w:val="0"/>
          <w:sz w:val="28"/>
          <w:szCs w:val="28"/>
          <w:lang w:eastAsia="zh-CN"/>
        </w:rPr>
      </w:pPr>
      <w:bookmarkStart w:id="20" w:name="_Toc28030"/>
      <w:bookmarkStart w:id="21" w:name="_Toc3825"/>
      <w:r>
        <w:rPr>
          <w:rFonts w:hint="eastAsia" w:ascii="Times New Roman" w:hAnsi="Times New Roman" w:cs="Times New Roman"/>
          <w:b/>
          <w:kern w:val="0"/>
          <w:sz w:val="28"/>
          <w:szCs w:val="28"/>
        </w:rPr>
        <w:t>2.2 符号</w:t>
      </w:r>
      <w:bookmarkEnd w:id="20"/>
      <w:bookmarkEnd w:id="21"/>
    </w:p>
    <w:p w14:paraId="75300493">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eastAsia="宋体"/>
          <w:bCs/>
          <w:color w:val="auto"/>
          <w:sz w:val="24"/>
          <w:szCs w:val="24"/>
          <w:highlight w:val="none"/>
        </w:rPr>
      </w:pPr>
      <w:r>
        <w:rPr>
          <w:rFonts w:eastAsia="宋体"/>
          <w:bCs/>
          <w:color w:val="auto"/>
          <w:position w:val="-12"/>
          <w:sz w:val="24"/>
          <w:szCs w:val="24"/>
          <w:highlight w:val="none"/>
        </w:rPr>
        <w:object>
          <v:shape id="_x0000_i1025" o:spt="75" type="#_x0000_t75" style="height:18pt;width:14.1pt;" o:ole="t" filled="f" o:preferrelative="t" stroked="f" coordsize="21600,21600">
            <v:path/>
            <v:fill on="f" focussize="0,0"/>
            <v:stroke on="f"/>
            <v:imagedata r:id="rId15" o:title=""/>
            <o:lock v:ext="edit" aspectratio="t"/>
            <w10:wrap type="none"/>
            <w10:anchorlock/>
          </v:shape>
          <o:OLEObject Type="Embed" ProgID="Equation.DSMT4" ShapeID="_x0000_i1025" DrawAspect="Content" ObjectID="_1468075725" r:id="rId14">
            <o:LockedField>false</o:LockedField>
          </o:OLEObject>
        </w:object>
      </w:r>
      <w:r>
        <w:rPr>
          <w:rFonts w:hint="eastAsia" w:eastAsia="宋体"/>
          <w:bCs/>
          <w:color w:val="auto"/>
          <w:sz w:val="24"/>
          <w:szCs w:val="24"/>
          <w:highlight w:val="none"/>
        </w:rPr>
        <w:t>—连接钢筋的截面面积；</w:t>
      </w:r>
    </w:p>
    <w:p w14:paraId="4FDF44D8">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eastAsia="宋体"/>
          <w:bCs/>
          <w:color w:val="auto"/>
          <w:sz w:val="24"/>
          <w:szCs w:val="24"/>
          <w:highlight w:val="none"/>
        </w:rPr>
      </w:pPr>
      <w:r>
        <w:rPr>
          <w:rFonts w:hint="eastAsia" w:eastAsia="宋体"/>
          <w:bCs/>
          <w:i/>
          <w:iCs/>
          <w:color w:val="auto"/>
          <w:sz w:val="24"/>
          <w:szCs w:val="24"/>
          <w:highlight w:val="none"/>
        </w:rPr>
        <w:t>a</w:t>
      </w:r>
      <w:r>
        <w:rPr>
          <w:rFonts w:hint="eastAsia" w:eastAsia="宋体"/>
          <w:bCs/>
          <w:color w:val="auto"/>
          <w:sz w:val="24"/>
          <w:szCs w:val="24"/>
          <w:highlight w:val="none"/>
          <w:vertAlign w:val="subscript"/>
        </w:rPr>
        <w:t>c</w:t>
      </w:r>
      <w:r>
        <w:rPr>
          <w:rFonts w:hint="eastAsia" w:eastAsia="宋体"/>
          <w:bCs/>
          <w:color w:val="auto"/>
          <w:sz w:val="24"/>
          <w:szCs w:val="24"/>
          <w:highlight w:val="none"/>
        </w:rPr>
        <w:t>—承插孔距离承台、盖梁周边距离；</w:t>
      </w:r>
    </w:p>
    <w:p w14:paraId="6B30DAA5">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eastAsia="宋体"/>
          <w:bCs/>
          <w:color w:val="auto"/>
          <w:sz w:val="24"/>
          <w:szCs w:val="24"/>
          <w:highlight w:val="none"/>
          <w:lang w:val="en-US" w:eastAsia="zh-CN"/>
        </w:rPr>
      </w:pPr>
      <w:r>
        <w:rPr>
          <w:rFonts w:hint="eastAsia" w:eastAsia="宋体"/>
          <w:bCs/>
          <w:i/>
          <w:iCs/>
          <w:color w:val="auto"/>
          <w:sz w:val="24"/>
          <w:szCs w:val="24"/>
          <w:highlight w:val="none"/>
          <w:lang w:val="en-US" w:eastAsia="zh-CN"/>
        </w:rPr>
        <w:t>b</w:t>
      </w:r>
      <w:r>
        <w:rPr>
          <w:rFonts w:hint="eastAsia" w:eastAsia="宋体"/>
          <w:bCs/>
          <w:color w:val="auto"/>
          <w:sz w:val="24"/>
          <w:szCs w:val="24"/>
          <w:highlight w:val="none"/>
          <w:vertAlign w:val="subscript"/>
          <w:lang w:val="en-US" w:eastAsia="zh-CN"/>
        </w:rPr>
        <w:t>1</w:t>
      </w:r>
      <w:r>
        <w:rPr>
          <w:rFonts w:hint="eastAsia" w:eastAsia="宋体"/>
          <w:bCs/>
          <w:color w:val="auto"/>
          <w:sz w:val="24"/>
          <w:szCs w:val="24"/>
          <w:highlight w:val="none"/>
        </w:rPr>
        <w:t>—键槽凹面和凸面的长度</w:t>
      </w:r>
      <w:r>
        <w:rPr>
          <w:rFonts w:hint="eastAsia" w:eastAsia="宋体"/>
          <w:bCs/>
          <w:color w:val="auto"/>
          <w:sz w:val="24"/>
          <w:szCs w:val="24"/>
          <w:highlight w:val="none"/>
          <w:lang w:val="en-US" w:eastAsia="zh-CN"/>
        </w:rPr>
        <w:t>;</w:t>
      </w:r>
    </w:p>
    <w:p w14:paraId="3AF32861">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eastAsia="宋体"/>
          <w:bCs/>
          <w:color w:val="auto"/>
          <w:sz w:val="24"/>
          <w:szCs w:val="24"/>
          <w:highlight w:val="none"/>
          <w:lang w:val="en-US" w:eastAsia="zh-CN"/>
        </w:rPr>
      </w:pPr>
      <w:r>
        <w:rPr>
          <w:rFonts w:hint="eastAsia" w:eastAsia="宋体"/>
          <w:bCs/>
          <w:i/>
          <w:iCs/>
          <w:color w:val="auto"/>
          <w:sz w:val="24"/>
          <w:szCs w:val="24"/>
          <w:highlight w:val="none"/>
          <w:lang w:val="en-US" w:eastAsia="zh-CN"/>
        </w:rPr>
        <w:t>c</w:t>
      </w:r>
      <w:r>
        <w:rPr>
          <w:rFonts w:hint="eastAsia" w:eastAsia="宋体"/>
          <w:bCs/>
          <w:color w:val="auto"/>
          <w:sz w:val="24"/>
          <w:szCs w:val="24"/>
          <w:highlight w:val="none"/>
          <w:vertAlign w:val="subscript"/>
          <w:lang w:val="en-US" w:eastAsia="zh-CN"/>
        </w:rPr>
        <w:t>1</w:t>
      </w:r>
      <w:r>
        <w:rPr>
          <w:rFonts w:hint="eastAsia" w:eastAsia="宋体"/>
          <w:bCs/>
          <w:color w:val="auto"/>
          <w:sz w:val="24"/>
          <w:szCs w:val="24"/>
          <w:highlight w:val="none"/>
        </w:rPr>
        <w:t>—键槽的起凹点距离承插孔台顶面的距离</w:t>
      </w:r>
      <w:r>
        <w:rPr>
          <w:rFonts w:hint="eastAsia" w:eastAsia="宋体"/>
          <w:bCs/>
          <w:color w:val="auto"/>
          <w:sz w:val="24"/>
          <w:szCs w:val="24"/>
          <w:highlight w:val="none"/>
          <w:lang w:val="en-US" w:eastAsia="zh-CN"/>
        </w:rPr>
        <w:t>;</w:t>
      </w:r>
    </w:p>
    <w:p w14:paraId="68761FD0">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eastAsia="宋体"/>
          <w:bCs/>
          <w:color w:val="auto"/>
          <w:sz w:val="24"/>
          <w:szCs w:val="24"/>
          <w:highlight w:val="none"/>
        </w:rPr>
      </w:pPr>
      <w:r>
        <w:rPr>
          <w:rFonts w:eastAsia="宋体"/>
          <w:bCs/>
          <w:color w:val="auto"/>
          <w:position w:val="-6"/>
          <w:sz w:val="24"/>
          <w:szCs w:val="24"/>
          <w:highlight w:val="none"/>
        </w:rPr>
        <w:object>
          <v:shape id="_x0000_i1026" o:spt="75" type="#_x0000_t75" style="height:13.95pt;width:11.15pt;" o:ole="t" filled="f" o:preferrelative="t" stroked="f" coordsize="21600,21600">
            <v:path/>
            <v:fill on="f" focussize="0,0"/>
            <v:stroke on="f" joinstyle="miter"/>
            <v:imagedata r:id="rId17" o:title=""/>
            <o:lock v:ext="edit" aspectratio="t"/>
            <w10:wrap type="none"/>
            <w10:anchorlock/>
          </v:shape>
          <o:OLEObject Type="Embed" ProgID="Equation.DSMT4" ShapeID="_x0000_i1026" DrawAspect="Content" ObjectID="_1468075726" r:id="rId16">
            <o:LockedField>false</o:LockedField>
          </o:OLEObject>
        </w:object>
      </w:r>
      <w:r>
        <w:rPr>
          <w:rFonts w:hint="eastAsia" w:eastAsia="宋体"/>
          <w:bCs/>
          <w:color w:val="auto"/>
          <w:sz w:val="24"/>
          <w:szCs w:val="24"/>
          <w:highlight w:val="none"/>
        </w:rPr>
        <w:t>—钢筋直径；</w:t>
      </w:r>
    </w:p>
    <w:p w14:paraId="38AB09A5">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eastAsia="宋体"/>
          <w:bCs/>
          <w:color w:val="auto"/>
          <w:sz w:val="24"/>
          <w:szCs w:val="24"/>
          <w:highlight w:val="none"/>
        </w:rPr>
      </w:pPr>
      <w:r>
        <w:rPr>
          <w:rFonts w:eastAsia="宋体"/>
          <w:bCs/>
          <w:color w:val="auto"/>
          <w:position w:val="-12"/>
          <w:sz w:val="24"/>
          <w:szCs w:val="24"/>
          <w:highlight w:val="none"/>
        </w:rPr>
        <w:object>
          <v:shape id="_x0000_i1027" o:spt="75" type="#_x0000_t75" style="height:18pt;width:16.25pt;" o:ole="t" filled="f" o:preferrelative="t" stroked="f" coordsize="21600,21600">
            <v:path/>
            <v:fill on="f" focussize="0,0"/>
            <v:stroke on="f" joinstyle="miter"/>
            <v:imagedata r:id="rId19" o:title=""/>
            <o:lock v:ext="edit" aspectratio="t"/>
            <w10:wrap type="none"/>
            <w10:anchorlock/>
          </v:shape>
          <o:OLEObject Type="Embed" ProgID="Equation.DSMT4" ShapeID="_x0000_i1027" DrawAspect="Content" ObjectID="_1468075727" r:id="rId18">
            <o:LockedField>false</o:LockedField>
          </o:OLEObject>
        </w:object>
      </w:r>
      <w:r>
        <w:rPr>
          <w:rFonts w:hint="eastAsia" w:eastAsia="宋体"/>
          <w:bCs/>
          <w:color w:val="auto"/>
          <w:sz w:val="24"/>
          <w:szCs w:val="24"/>
          <w:highlight w:val="none"/>
        </w:rPr>
        <w:t>—墩柱、桩基边长或直径；</w:t>
      </w:r>
    </w:p>
    <w:p w14:paraId="68CF17CF">
      <w:pPr>
        <w:pStyle w:val="168"/>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bCs/>
          <w:color w:val="auto"/>
          <w:sz w:val="24"/>
          <w:szCs w:val="24"/>
          <w:highlight w:val="none"/>
        </w:rPr>
      </w:pPr>
      <w:r>
        <w:rPr>
          <w:bCs/>
          <w:color w:val="auto"/>
          <w:position w:val="-14"/>
          <w:sz w:val="24"/>
          <w:szCs w:val="24"/>
          <w:highlight w:val="none"/>
        </w:rPr>
        <w:object>
          <v:shape id="_x0000_i1028" o:spt="75" type="#_x0000_t75" style="height:19pt;width:16.25pt;" o:ole="t" filled="f" o:preferrelative="t" stroked="f" coordsize="21600,21600">
            <v:path/>
            <v:fill on="f" focussize="0,0"/>
            <v:stroke on="f" joinstyle="miter"/>
            <v:imagedata r:id="rId21" o:title=""/>
            <o:lock v:ext="edit" aspectratio="t"/>
            <w10:wrap type="none"/>
            <w10:anchorlock/>
          </v:shape>
          <o:OLEObject Type="Embed" ProgID="Equation.DSMT4" ShapeID="_x0000_i1028" DrawAspect="Content" ObjectID="_1468075728" r:id="rId20">
            <o:LockedField>false</o:LockedField>
          </o:OLEObject>
        </w:object>
      </w:r>
      <w:r>
        <w:rPr>
          <w:rFonts w:hint="eastAsia"/>
          <w:bCs/>
          <w:color w:val="auto"/>
          <w:sz w:val="24"/>
          <w:szCs w:val="24"/>
          <w:highlight w:val="none"/>
        </w:rPr>
        <w:t>—管径波纹钢管的最大直径；</w:t>
      </w:r>
    </w:p>
    <w:p w14:paraId="159EA554">
      <w:pPr>
        <w:pStyle w:val="168"/>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eastAsia="宋体"/>
          <w:bCs/>
          <w:color w:val="auto"/>
          <w:sz w:val="24"/>
          <w:szCs w:val="24"/>
          <w:highlight w:val="none"/>
          <w:lang w:eastAsia="zh-CN"/>
        </w:rPr>
      </w:pPr>
      <w:r>
        <w:rPr>
          <w:rFonts w:hint="eastAsia" w:eastAsia="宋体"/>
          <w:i/>
          <w:iCs/>
          <w:color w:val="auto"/>
          <w:sz w:val="24"/>
          <w:szCs w:val="24"/>
          <w:highlight w:val="none"/>
        </w:rPr>
        <w:t>E</w:t>
      </w:r>
      <w:r>
        <w:rPr>
          <w:rFonts w:hint="eastAsia" w:eastAsia="宋体"/>
          <w:color w:val="auto"/>
          <w:sz w:val="24"/>
          <w:szCs w:val="24"/>
          <w:highlight w:val="none"/>
          <w:vertAlign w:val="subscript"/>
        </w:rPr>
        <w:t>uc</w:t>
      </w:r>
      <w:r>
        <w:rPr>
          <w:rFonts w:hint="eastAsia"/>
          <w:bCs/>
          <w:color w:val="auto"/>
          <w:sz w:val="24"/>
          <w:szCs w:val="24"/>
          <w:highlight w:val="none"/>
        </w:rPr>
        <w:t>—超高性能混凝土弹性模量</w:t>
      </w:r>
      <w:r>
        <w:rPr>
          <w:rFonts w:hint="eastAsia"/>
          <w:bCs/>
          <w:color w:val="auto"/>
          <w:sz w:val="24"/>
          <w:szCs w:val="24"/>
          <w:highlight w:val="none"/>
          <w:lang w:eastAsia="zh-CN"/>
        </w:rPr>
        <w:t>；</w:t>
      </w:r>
    </w:p>
    <w:p w14:paraId="7E6E5ECF">
      <w:pPr>
        <w:pStyle w:val="168"/>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eastAsia="宋体"/>
          <w:bCs/>
          <w:color w:val="auto"/>
          <w:sz w:val="24"/>
          <w:szCs w:val="24"/>
          <w:highlight w:val="none"/>
          <w:lang w:eastAsia="zh-CN"/>
        </w:rPr>
      </w:pPr>
      <w:r>
        <w:rPr>
          <w:bCs/>
          <w:color w:val="auto"/>
          <w:position w:val="-14"/>
          <w:sz w:val="24"/>
          <w:szCs w:val="24"/>
          <w:highlight w:val="none"/>
        </w:rPr>
        <w:object>
          <v:shape id="_x0000_i1029" o:spt="75" type="#_x0000_t75" style="height:19pt;width:22.35pt;" o:ole="t" filled="f" o:preferrelative="t" stroked="f" coordsize="21600,21600">
            <v:path/>
            <v:fill on="f" focussize="0,0"/>
            <v:stroke on="f" joinstyle="miter"/>
            <v:imagedata r:id="rId23" o:title=""/>
            <o:lock v:ext="edit" aspectratio="t"/>
            <w10:wrap type="none"/>
            <w10:anchorlock/>
          </v:shape>
          <o:OLEObject Type="Embed" ProgID="Equation.DSMT4" ShapeID="_x0000_i1029" DrawAspect="Content" ObjectID="_1468075729" r:id="rId22">
            <o:LockedField>false</o:LockedField>
          </o:OLEObject>
        </w:object>
      </w:r>
      <w:r>
        <w:rPr>
          <w:rFonts w:hint="eastAsia"/>
          <w:bCs/>
          <w:color w:val="auto"/>
          <w:sz w:val="24"/>
          <w:szCs w:val="24"/>
          <w:highlight w:val="none"/>
        </w:rPr>
        <w:t>—混凝土抗压强度标准值</w:t>
      </w:r>
      <w:r>
        <w:rPr>
          <w:rFonts w:hint="eastAsia"/>
          <w:bCs/>
          <w:color w:val="auto"/>
          <w:sz w:val="24"/>
          <w:szCs w:val="24"/>
          <w:highlight w:val="none"/>
          <w:lang w:eastAsia="zh-CN"/>
        </w:rPr>
        <w:t>；</w:t>
      </w:r>
    </w:p>
    <w:p w14:paraId="66A23E8C">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eastAsia="宋体"/>
          <w:bCs/>
          <w:color w:val="auto"/>
          <w:position w:val="-12"/>
          <w:sz w:val="24"/>
          <w:szCs w:val="24"/>
          <w:highlight w:val="none"/>
        </w:rPr>
      </w:pPr>
      <w:r>
        <w:rPr>
          <w:rFonts w:eastAsia="宋体"/>
          <w:bCs/>
          <w:color w:val="auto"/>
          <w:position w:val="-12"/>
          <w:sz w:val="24"/>
          <w:szCs w:val="24"/>
          <w:highlight w:val="none"/>
        </w:rPr>
        <w:object>
          <v:shape id="_x0000_i1030" o:spt="75" type="#_x0000_t75" style="height:18pt;width:16.2pt;" o:ole="t" filled="f" o:preferrelative="t" stroked="f" coordsize="21600,21600">
            <v:path/>
            <v:fill on="f" focussize="0,0"/>
            <v:stroke on="f" joinstyle="miter"/>
            <v:imagedata r:id="rId25" o:title=""/>
            <o:lock v:ext="edit" aspectratio="t"/>
            <w10:wrap type="none"/>
            <w10:anchorlock/>
          </v:shape>
          <o:OLEObject Type="Embed" ProgID="Equation.DSMT4" ShapeID="_x0000_i1030" DrawAspect="Content" ObjectID="_1468075730" r:id="rId24">
            <o:LockedField>false</o:LockedField>
          </o:OLEObject>
        </w:object>
      </w:r>
      <w:r>
        <w:rPr>
          <w:rFonts w:hint="eastAsia" w:eastAsia="宋体"/>
          <w:bCs/>
          <w:color w:val="auto"/>
          <w:sz w:val="24"/>
          <w:szCs w:val="24"/>
          <w:highlight w:val="none"/>
        </w:rPr>
        <w:t>—连接钢筋的抗拉强度设计值；</w:t>
      </w:r>
    </w:p>
    <w:p w14:paraId="24BA049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Cs/>
          <w:color w:val="auto"/>
          <w:sz w:val="24"/>
          <w:szCs w:val="24"/>
          <w:highlight w:val="none"/>
        </w:rPr>
      </w:pPr>
      <w:r>
        <w:rPr>
          <w:rFonts w:eastAsia="宋体"/>
          <w:bCs/>
          <w:color w:val="auto"/>
          <w:position w:val="-12"/>
          <w:sz w:val="24"/>
          <w:szCs w:val="24"/>
          <w:highlight w:val="none"/>
        </w:rPr>
        <w:object>
          <v:shape id="_x0000_i1031" o:spt="75" type="#_x0000_t75" style="height:18pt;width:16.25pt;" o:ole="t" filled="f" o:preferrelative="t" stroked="f" coordsize="21600,21600">
            <v:path/>
            <v:fill on="f" focussize="0,0"/>
            <v:stroke on="f" joinstyle="miter"/>
            <v:imagedata r:id="rId27" o:title=""/>
            <o:lock v:ext="edit" aspectratio="t"/>
            <w10:wrap type="none"/>
            <w10:anchorlock/>
          </v:shape>
          <o:OLEObject Type="Embed" ProgID="Equation.DSMT4" ShapeID="_x0000_i1031" DrawAspect="Content" ObjectID="_1468075731" r:id="rId26">
            <o:LockedField>false</o:LockedField>
          </o:OLEObject>
        </w:object>
      </w:r>
      <w:r>
        <w:rPr>
          <w:rFonts w:hint="eastAsia" w:eastAsia="宋体"/>
          <w:bCs/>
          <w:color w:val="auto"/>
          <w:sz w:val="24"/>
          <w:szCs w:val="24"/>
          <w:highlight w:val="none"/>
        </w:rPr>
        <w:t>—钢筋的屈服强度标准值；</w:t>
      </w:r>
    </w:p>
    <w:p w14:paraId="6DF667B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Cs/>
          <w:color w:val="auto"/>
          <w:sz w:val="24"/>
          <w:szCs w:val="24"/>
          <w:highlight w:val="none"/>
          <w:lang w:eastAsia="zh-CN"/>
        </w:rPr>
      </w:pPr>
      <w:r>
        <w:rPr>
          <w:rFonts w:hint="default" w:ascii="Times New Roman" w:eastAsia="宋体"/>
          <w:i/>
          <w:iCs/>
          <w:color w:val="auto"/>
          <w:sz w:val="24"/>
          <w:szCs w:val="24"/>
          <w:highlight w:val="none"/>
        </w:rPr>
        <w:t>f</w:t>
      </w:r>
      <w:r>
        <w:rPr>
          <w:rFonts w:hint="default" w:ascii="Times New Roman" w:eastAsia="宋体"/>
          <w:color w:val="auto"/>
          <w:sz w:val="24"/>
          <w:szCs w:val="24"/>
          <w:highlight w:val="none"/>
          <w:vertAlign w:val="subscript"/>
        </w:rPr>
        <w:t>ucd</w:t>
      </w:r>
      <w:r>
        <w:rPr>
          <w:rFonts w:hint="eastAsia" w:eastAsia="宋体"/>
          <w:color w:val="auto"/>
          <w:sz w:val="24"/>
          <w:szCs w:val="24"/>
          <w:highlight w:val="none"/>
          <w:vertAlign w:val="subscript"/>
          <w:lang w:val="en-US" w:eastAsia="zh-CN"/>
        </w:rPr>
        <w:t xml:space="preserve"> </w:t>
      </w:r>
      <w:r>
        <w:rPr>
          <w:rFonts w:hint="eastAsia" w:eastAsia="宋体"/>
          <w:bCs/>
          <w:color w:val="auto"/>
          <w:sz w:val="24"/>
          <w:szCs w:val="24"/>
          <w:highlight w:val="none"/>
        </w:rPr>
        <w:t>—超高性能混凝土的</w:t>
      </w:r>
      <w:r>
        <w:rPr>
          <w:rFonts w:hint="default" w:ascii="Times New Roman" w:eastAsia="宋体"/>
          <w:color w:val="auto"/>
          <w:sz w:val="24"/>
          <w:szCs w:val="24"/>
          <w:highlight w:val="none"/>
        </w:rPr>
        <w:t>轴心抗压强度设计值</w:t>
      </w:r>
      <w:r>
        <w:rPr>
          <w:rFonts w:hint="eastAsia" w:eastAsia="宋体"/>
          <w:color w:val="auto"/>
          <w:sz w:val="24"/>
          <w:szCs w:val="24"/>
          <w:highlight w:val="none"/>
          <w:lang w:eastAsia="zh-CN"/>
        </w:rPr>
        <w:t>；</w:t>
      </w:r>
    </w:p>
    <w:p w14:paraId="5C60CAAE">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eastAsia="宋体"/>
          <w:bCs/>
          <w:color w:val="auto"/>
          <w:sz w:val="24"/>
          <w:szCs w:val="24"/>
          <w:highlight w:val="none"/>
          <w:lang w:eastAsia="zh-CN"/>
        </w:rPr>
      </w:pPr>
      <w:r>
        <w:rPr>
          <w:rFonts w:eastAsia="宋体"/>
          <w:bCs/>
          <w:color w:val="auto"/>
          <w:position w:val="-12"/>
          <w:sz w:val="24"/>
          <w:szCs w:val="24"/>
          <w:highlight w:val="none"/>
        </w:rPr>
        <w:object>
          <v:shape id="_x0000_i1032" o:spt="75" type="#_x0000_t75" style="height:18pt;width:20pt;" o:ole="t" filled="f" o:preferrelative="t" stroked="f" coordsize="21600,21600">
            <v:path/>
            <v:fill on="f" focussize="0,0"/>
            <v:stroke on="f"/>
            <v:imagedata r:id="rId29" o:title=""/>
            <o:lock v:ext="edit" aspectratio="f"/>
            <w10:wrap type="none"/>
            <w10:anchorlock/>
          </v:shape>
          <o:OLEObject Type="Embed" ProgID="Equation.DSMT4" ShapeID="_x0000_i1032" DrawAspect="Content" ObjectID="_1468075732" r:id="rId28">
            <o:LockedField>false</o:LockedField>
          </o:OLEObject>
        </w:object>
      </w:r>
      <w:r>
        <w:rPr>
          <w:rFonts w:hint="eastAsia" w:eastAsia="宋体"/>
          <w:bCs/>
          <w:color w:val="auto"/>
          <w:sz w:val="24"/>
          <w:szCs w:val="24"/>
          <w:highlight w:val="none"/>
        </w:rPr>
        <w:t>—超高性能混凝土的抗压强度标准值</w:t>
      </w:r>
      <w:r>
        <w:rPr>
          <w:rFonts w:hint="eastAsia" w:eastAsia="宋体"/>
          <w:bCs/>
          <w:color w:val="auto"/>
          <w:sz w:val="24"/>
          <w:szCs w:val="24"/>
          <w:highlight w:val="none"/>
          <w:lang w:eastAsia="zh-CN"/>
        </w:rPr>
        <w:t>；</w:t>
      </w:r>
    </w:p>
    <w:p w14:paraId="096F86C7">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eastAsia="宋体"/>
          <w:bCs/>
          <w:color w:val="auto"/>
          <w:sz w:val="24"/>
          <w:szCs w:val="24"/>
          <w:highlight w:val="none"/>
          <w:lang w:val="en-US" w:eastAsia="zh-CN"/>
        </w:rPr>
      </w:pPr>
      <w:r>
        <w:rPr>
          <w:rFonts w:hint="default" w:ascii="Times New Roman" w:eastAsia="宋体"/>
          <w:i/>
          <w:iCs/>
          <w:color w:val="auto"/>
          <w:sz w:val="24"/>
          <w:szCs w:val="24"/>
          <w:highlight w:val="none"/>
        </w:rPr>
        <w:t>f</w:t>
      </w:r>
      <w:r>
        <w:rPr>
          <w:rFonts w:hint="default" w:ascii="Times New Roman" w:eastAsia="宋体"/>
          <w:i w:val="0"/>
          <w:iCs w:val="0"/>
          <w:color w:val="auto"/>
          <w:sz w:val="24"/>
          <w:szCs w:val="24"/>
          <w:highlight w:val="none"/>
          <w:vertAlign w:val="subscript"/>
        </w:rPr>
        <w:t>ut0</w:t>
      </w:r>
      <w:r>
        <w:rPr>
          <w:rFonts w:hint="eastAsia" w:eastAsia="宋体"/>
          <w:i w:val="0"/>
          <w:iCs w:val="0"/>
          <w:color w:val="auto"/>
          <w:sz w:val="24"/>
          <w:szCs w:val="24"/>
          <w:highlight w:val="none"/>
          <w:vertAlign w:val="subscript"/>
          <w:lang w:val="en-US" w:eastAsia="zh-CN"/>
        </w:rPr>
        <w:t xml:space="preserve"> </w:t>
      </w:r>
      <w:r>
        <w:rPr>
          <w:rFonts w:hint="eastAsia" w:eastAsia="宋体"/>
          <w:bCs/>
          <w:color w:val="auto"/>
          <w:sz w:val="24"/>
          <w:szCs w:val="24"/>
          <w:highlight w:val="none"/>
        </w:rPr>
        <w:t>—超高性能混凝土的</w:t>
      </w:r>
      <w:r>
        <w:rPr>
          <w:rFonts w:hint="default" w:ascii="Times New Roman" w:eastAsia="宋体"/>
          <w:color w:val="auto"/>
          <w:sz w:val="24"/>
          <w:szCs w:val="24"/>
          <w:highlight w:val="none"/>
        </w:rPr>
        <w:t>轴心抗拉开裂强度标准值</w:t>
      </w:r>
      <w:r>
        <w:rPr>
          <w:rFonts w:hint="eastAsia" w:eastAsia="宋体"/>
          <w:color w:val="auto"/>
          <w:sz w:val="24"/>
          <w:szCs w:val="24"/>
          <w:highlight w:val="none"/>
          <w:lang w:eastAsia="zh-CN"/>
        </w:rPr>
        <w:t>；</w:t>
      </w:r>
    </w:p>
    <w:p w14:paraId="6001F70B">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eastAsia="宋体"/>
          <w:color w:val="auto"/>
          <w:sz w:val="24"/>
          <w:szCs w:val="24"/>
          <w:highlight w:val="none"/>
          <w:lang w:eastAsia="zh-CN"/>
        </w:rPr>
      </w:pPr>
      <w:r>
        <w:rPr>
          <w:rFonts w:hint="default" w:ascii="Times New Roman" w:eastAsia="宋体"/>
          <w:i/>
          <w:iCs/>
          <w:color w:val="auto"/>
          <w:sz w:val="24"/>
          <w:szCs w:val="24"/>
          <w:highlight w:val="none"/>
        </w:rPr>
        <w:t>f</w:t>
      </w:r>
      <w:r>
        <w:rPr>
          <w:rFonts w:hint="default" w:ascii="Times New Roman" w:eastAsia="宋体"/>
          <w:i w:val="0"/>
          <w:iCs w:val="0"/>
          <w:color w:val="auto"/>
          <w:sz w:val="24"/>
          <w:szCs w:val="24"/>
          <w:highlight w:val="none"/>
          <w:vertAlign w:val="subscript"/>
        </w:rPr>
        <w:t>ut0,k</w:t>
      </w:r>
      <w:r>
        <w:rPr>
          <w:rFonts w:hint="eastAsia" w:eastAsia="宋体"/>
          <w:i w:val="0"/>
          <w:iCs w:val="0"/>
          <w:color w:val="auto"/>
          <w:sz w:val="24"/>
          <w:szCs w:val="24"/>
          <w:highlight w:val="none"/>
          <w:vertAlign w:val="subscript"/>
          <w:lang w:val="en-US" w:eastAsia="zh-CN"/>
        </w:rPr>
        <w:t xml:space="preserve"> </w:t>
      </w:r>
      <w:r>
        <w:rPr>
          <w:rFonts w:hint="eastAsia" w:eastAsia="宋体"/>
          <w:bCs/>
          <w:color w:val="auto"/>
          <w:sz w:val="24"/>
          <w:szCs w:val="24"/>
          <w:highlight w:val="none"/>
        </w:rPr>
        <w:t>—超高性能混凝土的</w:t>
      </w:r>
      <w:r>
        <w:rPr>
          <w:rFonts w:hint="default" w:ascii="Times New Roman" w:eastAsia="宋体"/>
          <w:color w:val="auto"/>
          <w:sz w:val="24"/>
          <w:szCs w:val="24"/>
          <w:highlight w:val="none"/>
        </w:rPr>
        <w:t>轴心抗拉开裂强度</w:t>
      </w:r>
      <w:r>
        <w:rPr>
          <w:rFonts w:hint="eastAsia" w:eastAsia="宋体"/>
          <w:color w:val="auto"/>
          <w:sz w:val="24"/>
          <w:szCs w:val="24"/>
          <w:highlight w:val="none"/>
          <w:lang w:eastAsia="zh-CN"/>
        </w:rPr>
        <w:t>；</w:t>
      </w:r>
    </w:p>
    <w:p w14:paraId="549CAF8A">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eastAsia="宋体"/>
          <w:bCs/>
          <w:color w:val="auto"/>
          <w:sz w:val="24"/>
          <w:szCs w:val="24"/>
          <w:highlight w:val="none"/>
          <w:lang w:val="en-US" w:eastAsia="zh-CN"/>
        </w:rPr>
      </w:pPr>
      <w:r>
        <w:rPr>
          <w:bCs/>
          <w:i/>
          <w:iCs/>
          <w:color w:val="auto"/>
          <w:sz w:val="24"/>
          <w:szCs w:val="24"/>
          <w:highlight w:val="none"/>
        </w:rPr>
        <w:t>h</w:t>
      </w:r>
      <w:r>
        <w:rPr>
          <w:bCs/>
          <w:color w:val="auto"/>
          <w:sz w:val="24"/>
          <w:szCs w:val="24"/>
          <w:highlight w:val="none"/>
          <w:vertAlign w:val="subscript"/>
        </w:rPr>
        <w:t>1</w:t>
      </w:r>
      <w:r>
        <w:rPr>
          <w:rFonts w:hint="eastAsia" w:eastAsia="宋体"/>
          <w:bCs/>
          <w:color w:val="auto"/>
          <w:sz w:val="24"/>
          <w:szCs w:val="24"/>
          <w:highlight w:val="none"/>
        </w:rPr>
        <w:t>—键槽深度</w:t>
      </w:r>
      <w:r>
        <w:rPr>
          <w:rFonts w:hint="eastAsia" w:eastAsia="宋体"/>
          <w:bCs/>
          <w:color w:val="auto"/>
          <w:sz w:val="24"/>
          <w:szCs w:val="24"/>
          <w:highlight w:val="none"/>
          <w:lang w:val="en-US" w:eastAsia="zh-CN"/>
        </w:rPr>
        <w:t>;</w:t>
      </w:r>
    </w:p>
    <w:p w14:paraId="0BA103EB">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bCs/>
          <w:color w:val="auto"/>
          <w:sz w:val="24"/>
          <w:szCs w:val="24"/>
          <w:highlight w:val="none"/>
        </w:rPr>
      </w:pPr>
      <w:r>
        <w:rPr>
          <w:rFonts w:hint="eastAsia" w:ascii="宋体" w:hAnsi="宋体" w:eastAsia="宋体" w:cs="宋体"/>
          <w:color w:val="auto"/>
          <w:position w:val="-12"/>
          <w:sz w:val="24"/>
          <w:szCs w:val="24"/>
          <w:highlight w:val="none"/>
        </w:rPr>
        <w:object>
          <v:shape id="_x0000_i1033" o:spt="75" type="#_x0000_t75" style="height:18.4pt;width:10.05pt;" o:ole="t" filled="f" o:preferrelative="t" stroked="f" coordsize="21600,21600">
            <v:path/>
            <v:fill on="f" focussize="0,0"/>
            <v:stroke on="f"/>
            <v:imagedata r:id="rId31" o:title=""/>
            <o:lock v:ext="edit" aspectratio="t"/>
            <w10:wrap type="none"/>
            <w10:anchorlock/>
          </v:shape>
          <o:OLEObject Type="Embed" ProgID="Equation.3" ShapeID="_x0000_i1033" DrawAspect="Content" ObjectID="_1468075733" r:id="rId30">
            <o:LockedField>false</o:LockedField>
          </o:OLEObject>
        </w:object>
      </w:r>
      <w:r>
        <w:rPr>
          <w:rFonts w:hint="eastAsia" w:ascii="宋体" w:hAnsi="宋体" w:eastAsia="宋体" w:cs="宋体"/>
          <w:bCs/>
          <w:color w:val="auto"/>
          <w:sz w:val="24"/>
          <w:szCs w:val="24"/>
          <w:highlight w:val="none"/>
        </w:rPr>
        <w:t>—钢筋锚固长度；</w:t>
      </w:r>
    </w:p>
    <w:p w14:paraId="6EAB584F">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eastAsia="宋体"/>
          <w:bCs/>
          <w:color w:val="auto"/>
          <w:sz w:val="24"/>
          <w:szCs w:val="24"/>
          <w:highlight w:val="none"/>
        </w:rPr>
      </w:pPr>
      <w:r>
        <w:rPr>
          <w:rFonts w:hint="default" w:ascii="Times New Roman" w:hAnsi="Times New Roman" w:eastAsia="宋体" w:cs="Times New Roman"/>
          <w:bCs/>
          <w:color w:val="auto"/>
          <w:position w:val="-12"/>
          <w:sz w:val="24"/>
          <w:szCs w:val="24"/>
          <w:highlight w:val="none"/>
        </w:rPr>
        <w:object>
          <v:shape id="_x0000_i1034" o:spt="75" type="#_x0000_t75" style="height:18pt;width:13.95pt;" o:ole="t" filled="f" o:preferrelative="t" stroked="f" coordsize="21600,21600">
            <v:path/>
            <v:fill on="f" focussize="0,0"/>
            <v:stroke on="f" joinstyle="miter"/>
            <v:imagedata r:id="rId33" o:title=""/>
            <o:lock v:ext="edit" aspectratio="f"/>
            <w10:wrap type="none"/>
            <w10:anchorlock/>
          </v:shape>
          <o:OLEObject Type="Embed" ProgID="Equation.DSMT4" ShapeID="_x0000_i1034" DrawAspect="Content" ObjectID="_1468075734" r:id="rId32">
            <o:LockedField>false</o:LockedField>
          </o:OLEObject>
        </w:object>
      </w:r>
      <w:r>
        <w:rPr>
          <w:rFonts w:hint="default" w:ascii="Times New Roman" w:hAnsi="Times New Roman" w:eastAsia="宋体" w:cs="Times New Roman"/>
          <w:bCs/>
          <w:color w:val="auto"/>
          <w:sz w:val="24"/>
          <w:szCs w:val="24"/>
          <w:highlight w:val="none"/>
        </w:rPr>
        <w:t>—采用</w:t>
      </w:r>
      <w:r>
        <w:rPr>
          <w:rFonts w:hint="eastAsia" w:eastAsia="宋体"/>
          <w:bCs/>
          <w:color w:val="auto"/>
          <w:sz w:val="24"/>
          <w:szCs w:val="24"/>
          <w:highlight w:val="none"/>
        </w:rPr>
        <w:t>超高性能混凝土（UHPC）浇筑的钢筋锚固长度；</w:t>
      </w:r>
    </w:p>
    <w:p w14:paraId="0321961D">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Times New Roman" w:hAnsi="Times New Roman" w:eastAsia="宋体" w:cs="Times New Roman"/>
          <w:bCs/>
          <w:color w:val="auto"/>
          <w:sz w:val="24"/>
          <w:szCs w:val="24"/>
          <w:highlight w:val="none"/>
        </w:rPr>
      </w:pPr>
      <w:r>
        <w:rPr>
          <w:rFonts w:eastAsia="宋体"/>
          <w:bCs/>
          <w:color w:val="auto"/>
          <w:position w:val="-12"/>
          <w:sz w:val="24"/>
          <w:szCs w:val="24"/>
          <w:highlight w:val="none"/>
        </w:rPr>
        <w:object>
          <v:shape id="_x0000_i1035" o:spt="75" type="#_x0000_t75" style="height:18pt;width:10.2pt;" o:ole="t" filled="f" o:preferrelative="t" stroked="f" coordsize="21600,21600">
            <v:path/>
            <v:fill on="f" focussize="0,0"/>
            <v:stroke on="f" joinstyle="miter"/>
            <v:imagedata r:id="rId35" o:title=""/>
            <o:lock v:ext="edit" aspectratio="t"/>
            <w10:wrap type="none"/>
            <w10:anchorlock/>
          </v:shape>
          <o:OLEObject Type="Embed" ProgID="Equation.DSMT4" ShapeID="_x0000_i1035" DrawAspect="Content" ObjectID="_1468075735" r:id="rId34">
            <o:LockedField>false</o:LockedField>
          </o:OLEObject>
        </w:object>
      </w:r>
      <w:r>
        <w:rPr>
          <w:rFonts w:hint="default" w:ascii="Times New Roman" w:hAnsi="Times New Roman" w:eastAsia="宋体" w:cs="Times New Roman"/>
          <w:bCs/>
          <w:color w:val="auto"/>
          <w:sz w:val="24"/>
          <w:szCs w:val="24"/>
          <w:highlight w:val="none"/>
        </w:rPr>
        <w:t>—双向墩头钢筋搭接长度，即搭接钢筋墩头内侧之间的距离；</w:t>
      </w:r>
    </w:p>
    <w:p w14:paraId="0FF469D7">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Times New Roman" w:hAnsi="Times New Roman" w:eastAsia="宋体" w:cs="Times New Roman"/>
          <w:bCs/>
          <w:color w:val="auto"/>
          <w:sz w:val="24"/>
          <w:szCs w:val="24"/>
          <w:highlight w:val="none"/>
        </w:rPr>
      </w:pPr>
      <w:r>
        <w:rPr>
          <w:rFonts w:eastAsia="宋体"/>
          <w:bCs/>
          <w:color w:val="auto"/>
          <w:position w:val="-12"/>
          <w:sz w:val="24"/>
          <w:szCs w:val="24"/>
          <w:highlight w:val="none"/>
        </w:rPr>
        <w:object>
          <v:shape id="_x0000_i1036" o:spt="75" type="#_x0000_t75" style="height:18pt;width:13.2pt;" o:ole="t" filled="f" o:preferrelative="t" stroked="f" coordsize="21600,21600">
            <v:path/>
            <v:fill on="f" focussize="0,0"/>
            <v:stroke on="f" joinstyle="miter"/>
            <v:imagedata r:id="rId37" o:title=""/>
            <o:lock v:ext="edit" aspectratio="t"/>
            <w10:wrap type="none"/>
            <w10:anchorlock/>
          </v:shape>
          <o:OLEObject Type="Embed" ProgID="Equation.DSMT4" ShapeID="_x0000_i1036" DrawAspect="Content" ObjectID="_1468075736" r:id="rId36">
            <o:LockedField>false</o:LockedField>
          </o:OLEObject>
        </w:object>
      </w:r>
      <w:r>
        <w:rPr>
          <w:rFonts w:hint="default" w:ascii="Times New Roman" w:hAnsi="Times New Roman" w:eastAsia="宋体" w:cs="Times New Roman"/>
          <w:bCs/>
          <w:color w:val="auto"/>
          <w:sz w:val="24"/>
          <w:szCs w:val="24"/>
          <w:highlight w:val="none"/>
        </w:rPr>
        <w:t>—用</w:t>
      </w:r>
      <w:r>
        <w:rPr>
          <w:rFonts w:hint="eastAsia" w:eastAsia="宋体"/>
          <w:bCs/>
          <w:color w:val="auto"/>
          <w:sz w:val="24"/>
          <w:szCs w:val="24"/>
          <w:highlight w:val="none"/>
        </w:rPr>
        <w:t>超高性能混凝土（UHPC）浇筑的钢筋搭接长度；</w:t>
      </w:r>
    </w:p>
    <w:p w14:paraId="6E519649">
      <w:pPr>
        <w:pStyle w:val="168"/>
        <w:keepNext w:val="0"/>
        <w:keepLines w:val="0"/>
        <w:pageBreakBefore w:val="0"/>
        <w:widowControl w:val="0"/>
        <w:kinsoku/>
        <w:wordWrap/>
        <w:overflowPunct/>
        <w:topLinePunct w:val="0"/>
        <w:autoSpaceDE/>
        <w:autoSpaceDN/>
        <w:bidi w:val="0"/>
        <w:adjustRightInd/>
        <w:snapToGrid/>
        <w:spacing w:line="360" w:lineRule="auto"/>
        <w:ind w:firstLine="420"/>
        <w:textAlignment w:val="auto"/>
        <w:rPr>
          <w:bCs/>
          <w:color w:val="auto"/>
          <w:sz w:val="24"/>
          <w:szCs w:val="24"/>
          <w:highlight w:val="none"/>
        </w:rPr>
      </w:pPr>
      <w:r>
        <w:rPr>
          <w:rFonts w:hint="default" w:ascii="Times New Roman" w:hAnsi="Times New Roman" w:cs="Times New Roman"/>
          <w:color w:val="auto"/>
          <w:position w:val="-14"/>
          <w:sz w:val="24"/>
          <w:szCs w:val="24"/>
          <w:highlight w:val="none"/>
        </w:rPr>
        <w:object>
          <v:shape id="_x0000_i1037" o:spt="75" type="#_x0000_t75" style="height:19.4pt;width:11.05pt;" o:ole="t" filled="f" o:preferrelative="t" stroked="f" coordsize="21600,21600">
            <v:path/>
            <v:fill on="f" focussize="0,0"/>
            <v:stroke on="f" joinstyle="miter"/>
            <v:imagedata r:id="rId39" o:title=""/>
            <o:lock v:ext="edit" aspectratio="t"/>
            <w10:wrap type="none"/>
            <w10:anchorlock/>
          </v:shape>
          <o:OLEObject Type="Embed" ProgID="Equation.3" ShapeID="_x0000_i1037" DrawAspect="Content" ObjectID="_1468075737" r:id="rId38">
            <o:LockedField>false</o:LockedField>
          </o:OLEObject>
        </w:object>
      </w:r>
      <w:r>
        <w:rPr>
          <w:rFonts w:hint="eastAsia"/>
          <w:bCs/>
          <w:color w:val="auto"/>
          <w:sz w:val="24"/>
          <w:szCs w:val="24"/>
          <w:highlight w:val="none"/>
        </w:rPr>
        <w:t>—钢筋伸入灌浆套筒内的锚固长度；</w:t>
      </w:r>
    </w:p>
    <w:p w14:paraId="3A670BB4">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Cs/>
          <w:color w:val="auto"/>
          <w:sz w:val="24"/>
          <w:szCs w:val="24"/>
          <w:highlight w:val="none"/>
          <w:lang w:eastAsia="zh-CN"/>
        </w:rPr>
      </w:pPr>
      <w:r>
        <w:rPr>
          <w:rFonts w:eastAsia="宋体"/>
          <w:bCs/>
          <w:color w:val="auto"/>
          <w:position w:val="-12"/>
          <w:sz w:val="24"/>
          <w:szCs w:val="24"/>
          <w:highlight w:val="none"/>
        </w:rPr>
        <w:object>
          <v:shape id="_x0000_i1038" o:spt="75" type="#_x0000_t75" style="height:15.2pt;width:11.95pt;" o:ole="t" filled="f" o:preferrelative="t" stroked="f" coordsize="21600,21600">
            <v:path/>
            <v:fill on="f" focussize="0,0"/>
            <v:stroke on="f"/>
            <v:imagedata r:id="rId41" o:title=""/>
            <o:lock v:ext="edit" aspectratio="t"/>
            <w10:wrap type="none"/>
            <w10:anchorlock/>
          </v:shape>
          <o:OLEObject Type="Embed" ProgID="Equation.DSMT4" ShapeID="_x0000_i1038" DrawAspect="Content" ObjectID="_1468075738" r:id="rId40">
            <o:LockedField>false</o:LockedField>
          </o:OLEObject>
        </w:object>
      </w:r>
      <w:r>
        <w:rPr>
          <w:rFonts w:hint="default" w:ascii="Times New Roman" w:hAnsi="Times New Roman" w:eastAsia="宋体" w:cs="Times New Roman"/>
          <w:bCs/>
          <w:color w:val="auto"/>
          <w:sz w:val="24"/>
          <w:szCs w:val="24"/>
          <w:highlight w:val="none"/>
        </w:rPr>
        <w:t>—相邻搭接钢筋之间的中心间距</w:t>
      </w:r>
      <w:r>
        <w:rPr>
          <w:rFonts w:hint="default" w:ascii="Times New Roman" w:hAnsi="Times New Roman" w:eastAsia="宋体" w:cs="Times New Roman"/>
          <w:bCs/>
          <w:color w:val="auto"/>
          <w:sz w:val="24"/>
          <w:szCs w:val="24"/>
          <w:highlight w:val="none"/>
          <w:lang w:eastAsia="zh-CN"/>
        </w:rPr>
        <w:t>；</w:t>
      </w:r>
    </w:p>
    <w:p w14:paraId="5784DA35">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eastAsia="宋体"/>
          <w:bCs/>
          <w:color w:val="auto"/>
          <w:sz w:val="24"/>
          <w:szCs w:val="24"/>
          <w:highlight w:val="none"/>
        </w:rPr>
      </w:pPr>
      <w:r>
        <w:rPr>
          <w:rFonts w:hint="eastAsia" w:eastAsia="宋体"/>
          <w:bCs/>
          <w:i/>
          <w:iCs/>
          <w:color w:val="auto"/>
          <w:sz w:val="24"/>
          <w:szCs w:val="24"/>
          <w:highlight w:val="none"/>
        </w:rPr>
        <w:t>t</w:t>
      </w:r>
      <w:r>
        <w:rPr>
          <w:rFonts w:hint="eastAsia" w:eastAsia="宋体"/>
          <w:bCs/>
          <w:color w:val="auto"/>
          <w:sz w:val="24"/>
          <w:szCs w:val="24"/>
          <w:highlight w:val="none"/>
        </w:rPr>
        <w:t>—承插孔底（顶）部距离承台、盖梁底（顶）的厚度；</w:t>
      </w:r>
    </w:p>
    <w:p w14:paraId="486141EA">
      <w:pPr>
        <w:pStyle w:val="2"/>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eastAsia="宋体"/>
          <w:bCs/>
          <w:color w:val="auto"/>
          <w:sz w:val="24"/>
          <w:szCs w:val="24"/>
          <w:highlight w:val="none"/>
          <w:lang w:eastAsia="zh-CN"/>
        </w:rPr>
      </w:pPr>
      <w:r>
        <w:rPr>
          <w:rFonts w:eastAsia="宋体"/>
          <w:bCs/>
          <w:color w:val="auto"/>
          <w:position w:val="-6"/>
          <w:sz w:val="24"/>
          <w:szCs w:val="24"/>
          <w:highlight w:val="none"/>
        </w:rPr>
        <w:object>
          <v:shape id="_x0000_i1039" o:spt="75" type="#_x0000_t75" style="height:11pt;width:10.15pt;" o:ole="t" filled="f" o:preferrelative="t" stroked="f" coordsize="21600,21600">
            <v:path/>
            <v:fill on="f" focussize="0,0"/>
            <v:stroke on="f" joinstyle="miter"/>
            <v:imagedata r:id="rId43" o:title=""/>
            <o:lock v:ext="edit" aspectratio="t"/>
            <w10:wrap type="none"/>
            <w10:anchorlock/>
          </v:shape>
          <o:OLEObject Type="Embed" ProgID="Equation.DSMT4" ShapeID="_x0000_i1039" DrawAspect="Content" ObjectID="_1468075739" r:id="rId42">
            <o:LockedField>false</o:LockedField>
          </o:OLEObject>
        </w:object>
      </w:r>
      <w:r>
        <w:rPr>
          <w:rFonts w:hint="eastAsia" w:eastAsia="宋体"/>
          <w:bCs/>
          <w:color w:val="auto"/>
          <w:sz w:val="24"/>
          <w:szCs w:val="24"/>
          <w:highlight w:val="none"/>
        </w:rPr>
        <w:t>—灌浆料的粘结强度，可根据试验确定</w:t>
      </w:r>
      <w:r>
        <w:rPr>
          <w:rFonts w:hint="eastAsia" w:eastAsia="宋体"/>
          <w:bCs/>
          <w:color w:val="auto"/>
          <w:sz w:val="24"/>
          <w:szCs w:val="24"/>
          <w:highlight w:val="none"/>
          <w:lang w:eastAsia="zh-CN"/>
        </w:rPr>
        <w:t>。</w:t>
      </w:r>
    </w:p>
    <w:p w14:paraId="317A5BF1">
      <w:pPr>
        <w:pStyle w:val="2"/>
        <w:spacing w:line="440" w:lineRule="exact"/>
        <w:rPr>
          <w:rFonts w:eastAsia="宋体"/>
          <w:bCs/>
          <w:color w:val="auto"/>
          <w:sz w:val="21"/>
          <w:szCs w:val="21"/>
          <w:highlight w:val="none"/>
        </w:rPr>
      </w:pPr>
    </w:p>
    <w:p w14:paraId="21A8A4F7">
      <w:pPr>
        <w:pStyle w:val="30"/>
        <w:spacing w:line="400" w:lineRule="exact"/>
        <w:rPr>
          <w:rFonts w:ascii="Times New Roman"/>
          <w:color w:val="auto"/>
          <w:szCs w:val="22"/>
          <w:highlight w:val="none"/>
        </w:rPr>
      </w:pPr>
      <w:r>
        <w:rPr>
          <w:rFonts w:ascii="Times New Roman"/>
          <w:color w:val="auto"/>
          <w:szCs w:val="22"/>
          <w:highlight w:val="none"/>
        </w:rPr>
        <w:br w:type="page"/>
      </w:r>
    </w:p>
    <w:p w14:paraId="61048EBF">
      <w:pPr>
        <w:pStyle w:val="17"/>
        <w:spacing w:before="312" w:beforeLines="100" w:after="312" w:afterLines="100" w:line="360" w:lineRule="auto"/>
        <w:jc w:val="center"/>
        <w:outlineLvl w:val="0"/>
        <w:rPr>
          <w:rFonts w:ascii="Times New Roman" w:hAnsi="Times New Roman" w:cs="Times New Roman"/>
          <w:b/>
          <w:sz w:val="36"/>
          <w:szCs w:val="36"/>
        </w:rPr>
      </w:pPr>
      <w:bookmarkStart w:id="22" w:name="_Toc26053"/>
      <w:bookmarkStart w:id="23" w:name="_Toc11610"/>
      <w:bookmarkStart w:id="24" w:name="_Toc40730879"/>
      <w:bookmarkStart w:id="25" w:name="_Toc464905795"/>
      <w:bookmarkStart w:id="26" w:name="_Toc464905599"/>
      <w:bookmarkStart w:id="27" w:name="_Toc464902841"/>
      <w:bookmarkStart w:id="28" w:name="_Toc486614345"/>
      <w:bookmarkStart w:id="29" w:name="_Toc465074252"/>
      <w:bookmarkStart w:id="30" w:name="_Toc466471656"/>
      <w:bookmarkStart w:id="31" w:name="_Toc466472458"/>
      <w:bookmarkStart w:id="32" w:name="_Toc456894243"/>
      <w:bookmarkStart w:id="33" w:name="_Toc464905543"/>
      <w:r>
        <w:rPr>
          <w:rFonts w:hint="default" w:ascii="Times New Roman" w:hAnsi="Times New Roman" w:cs="Times New Roman"/>
          <w:b/>
          <w:sz w:val="36"/>
          <w:szCs w:val="36"/>
        </w:rPr>
        <w:t>3 基本规定</w:t>
      </w:r>
      <w:bookmarkEnd w:id="22"/>
      <w:bookmarkEnd w:id="23"/>
    </w:p>
    <w:p w14:paraId="0AD41300">
      <w:pPr>
        <w:keepNext w:val="0"/>
        <w:keepLines w:val="0"/>
        <w:pageBreakBefore w:val="0"/>
        <w:kinsoku/>
        <w:wordWrap/>
        <w:overflowPunct/>
        <w:topLinePunct w:val="0"/>
        <w:bidi w:val="0"/>
        <w:adjustRightInd/>
        <w:snapToGrid w:val="0"/>
        <w:spacing w:line="360" w:lineRule="auto"/>
        <w:textAlignment w:val="auto"/>
        <w:rPr>
          <w:color w:val="auto"/>
          <w:sz w:val="24"/>
          <w:szCs w:val="24"/>
          <w:highlight w:val="none"/>
        </w:rPr>
      </w:pPr>
      <w:r>
        <w:rPr>
          <w:rFonts w:hint="eastAsia"/>
          <w:b/>
          <w:bCs/>
          <w:color w:val="auto"/>
          <w:sz w:val="24"/>
          <w:szCs w:val="24"/>
          <w:highlight w:val="none"/>
        </w:rPr>
        <w:t>3.0.1</w:t>
      </w:r>
      <w:r>
        <w:rPr>
          <w:rFonts w:hint="eastAsia"/>
          <w:color w:val="auto"/>
          <w:sz w:val="24"/>
          <w:szCs w:val="24"/>
          <w:highlight w:val="none"/>
        </w:rPr>
        <w:t xml:space="preserve"> </w:t>
      </w:r>
      <w:r>
        <w:rPr>
          <w:rFonts w:hint="default" w:ascii="Times New Roman" w:hAnsi="Times New Roman" w:cs="Times New Roman"/>
          <w:color w:val="auto"/>
          <w:sz w:val="24"/>
          <w:szCs w:val="24"/>
          <w:highlight w:val="none"/>
        </w:rPr>
        <w:t>桥梁预制构件连接形式、位置应综合整体受力特性和构件制作、运输、安装、运营、养护等之间的关系，遵循标准化的原则统筹考虑。</w:t>
      </w:r>
    </w:p>
    <w:p w14:paraId="63F45BDC">
      <w:pPr>
        <w:keepNext w:val="0"/>
        <w:keepLines w:val="0"/>
        <w:pageBreakBefore w:val="0"/>
        <w:kinsoku/>
        <w:wordWrap/>
        <w:overflowPunct/>
        <w:topLinePunct w:val="0"/>
        <w:bidi w:val="0"/>
        <w:adjustRightInd/>
        <w:spacing w:line="360" w:lineRule="auto"/>
        <w:textAlignment w:val="auto"/>
        <w:rPr>
          <w:rFonts w:ascii="Times New Roman" w:hAnsi="Times New Roman" w:cs="Times New Roman"/>
          <w:color w:val="auto"/>
          <w:sz w:val="24"/>
          <w:szCs w:val="24"/>
          <w:highlight w:val="none"/>
        </w:rPr>
      </w:pPr>
      <w:r>
        <w:rPr>
          <w:rFonts w:hint="eastAsia"/>
          <w:b/>
          <w:bCs/>
          <w:color w:val="auto"/>
          <w:sz w:val="24"/>
          <w:szCs w:val="24"/>
          <w:highlight w:val="none"/>
        </w:rPr>
        <w:t>3.0.2</w:t>
      </w:r>
      <w:r>
        <w:rPr>
          <w:rFonts w:hint="eastAsia"/>
          <w:color w:val="auto"/>
          <w:sz w:val="24"/>
          <w:szCs w:val="24"/>
          <w:highlight w:val="none"/>
        </w:rPr>
        <w:t xml:space="preserve"> </w:t>
      </w:r>
      <w:r>
        <w:rPr>
          <w:rFonts w:hint="default" w:ascii="Times New Roman" w:hAnsi="Times New Roman" w:cs="Times New Roman"/>
          <w:color w:val="auto"/>
          <w:sz w:val="24"/>
          <w:szCs w:val="24"/>
          <w:highlight w:val="none"/>
        </w:rPr>
        <w:t>装配式混凝土桥梁连接应以结构可靠度设计理论为基础、按分项系数表达的承载能力极限状态和正常使用极限状态设计方法进行设计。</w:t>
      </w:r>
    </w:p>
    <w:p w14:paraId="167D98F7">
      <w:pPr>
        <w:keepNext w:val="0"/>
        <w:keepLines w:val="0"/>
        <w:pageBreakBefore w:val="0"/>
        <w:kinsoku/>
        <w:wordWrap/>
        <w:overflowPunct/>
        <w:topLinePunct w:val="0"/>
        <w:bidi w:val="0"/>
        <w:adjustRightInd/>
        <w:spacing w:line="360" w:lineRule="auto"/>
        <w:textAlignment w:val="auto"/>
        <w:rPr>
          <w:color w:val="auto"/>
          <w:sz w:val="24"/>
          <w:szCs w:val="24"/>
          <w:highlight w:val="none"/>
        </w:rPr>
      </w:pPr>
      <w:r>
        <w:rPr>
          <w:rFonts w:hint="eastAsia"/>
          <w:b/>
          <w:bCs/>
          <w:color w:val="auto"/>
          <w:sz w:val="24"/>
          <w:szCs w:val="24"/>
          <w:highlight w:val="none"/>
        </w:rPr>
        <w:t>3.0.3</w:t>
      </w:r>
      <w:r>
        <w:rPr>
          <w:rFonts w:hint="eastAsia"/>
          <w:color w:val="auto"/>
          <w:sz w:val="24"/>
          <w:szCs w:val="24"/>
          <w:highlight w:val="none"/>
        </w:rPr>
        <w:t xml:space="preserve"> 作用的分类、代表值、作用组合及结构重要性系数的取值，应符合现行《</w:t>
      </w:r>
      <w:r>
        <w:rPr>
          <w:color w:val="auto"/>
          <w:sz w:val="24"/>
          <w:szCs w:val="24"/>
          <w:highlight w:val="none"/>
        </w:rPr>
        <w:t>城市桥梁设计规范</w:t>
      </w:r>
      <w:r>
        <w:rPr>
          <w:rFonts w:hint="eastAsia"/>
          <w:color w:val="auto"/>
          <w:sz w:val="24"/>
          <w:szCs w:val="24"/>
          <w:highlight w:val="none"/>
        </w:rPr>
        <w:t>》（</w:t>
      </w:r>
      <w:r>
        <w:rPr>
          <w:color w:val="auto"/>
          <w:sz w:val="24"/>
          <w:szCs w:val="24"/>
          <w:highlight w:val="none"/>
        </w:rPr>
        <w:t>CJJ11</w:t>
      </w:r>
      <w:r>
        <w:rPr>
          <w:rFonts w:hint="eastAsia"/>
          <w:color w:val="auto"/>
          <w:sz w:val="24"/>
          <w:szCs w:val="24"/>
          <w:highlight w:val="none"/>
        </w:rPr>
        <w:t>）的规定。</w:t>
      </w:r>
      <w:r>
        <w:rPr>
          <w:rFonts w:ascii="Times New Roman" w:hAnsi="Times New Roman" w:cs="Times New Roman"/>
          <w:color w:val="auto"/>
          <w:kern w:val="0"/>
          <w:sz w:val="24"/>
          <w:szCs w:val="24"/>
          <w:highlight w:val="none"/>
          <w:u w:val="single"/>
          <w:shd w:val="clear" w:color="auto" w:fill="FFFFFF"/>
          <w:lang w:bidi="ar"/>
        </w:rPr>
        <w:fldChar w:fldCharType="begin"/>
      </w:r>
      <w:r>
        <w:rPr>
          <w:rFonts w:ascii="Times New Roman" w:hAnsi="Times New Roman" w:cs="Times New Roman"/>
          <w:color w:val="auto"/>
          <w:kern w:val="0"/>
          <w:sz w:val="24"/>
          <w:szCs w:val="24"/>
          <w:highlight w:val="none"/>
          <w:u w:val="single"/>
          <w:shd w:val="clear" w:color="auto" w:fill="FFFFFF"/>
          <w:lang w:bidi="ar"/>
        </w:rPr>
        <w:instrText xml:space="preserve"> HYPERLINK "http://www.baidu.com/link?url=5BXW6cLsguUHo7J0xRlxwh9VHR3zEwASn8QuaWP5fuJfDDbKlhRMLc538rtqDV1T3_q_WFMDERmVeaGv6tluqgJfk1yKTvtRdNnS7OALmeumcpc7UFkVz_rbqhGkRIK3srFrHHfuVFnHINYctDAGCNe8W74XPM_mgr5bklAN113gOTjTw2sf09xqjtnLO_9mf6be4CziD4iqgL9CXkX7r8va6PFOU9Vnrl9Clcbl0li" \t "https://www.baidu.com/_blank" </w:instrText>
      </w:r>
      <w:r>
        <w:rPr>
          <w:rFonts w:ascii="Times New Roman" w:hAnsi="Times New Roman" w:cs="Times New Roman"/>
          <w:color w:val="auto"/>
          <w:kern w:val="0"/>
          <w:sz w:val="24"/>
          <w:szCs w:val="24"/>
          <w:highlight w:val="none"/>
          <w:u w:val="single"/>
          <w:shd w:val="clear" w:color="auto" w:fill="FFFFFF"/>
          <w:lang w:bidi="ar"/>
        </w:rPr>
        <w:fldChar w:fldCharType="separate"/>
      </w:r>
    </w:p>
    <w:p w14:paraId="259A5FFC">
      <w:pPr>
        <w:keepNext w:val="0"/>
        <w:keepLines w:val="0"/>
        <w:pageBreakBefore w:val="0"/>
        <w:widowControl/>
        <w:kinsoku/>
        <w:wordWrap/>
        <w:overflowPunct/>
        <w:topLinePunct w:val="0"/>
        <w:bidi w:val="0"/>
        <w:adjustRightInd/>
        <w:spacing w:line="360" w:lineRule="auto"/>
        <w:jc w:val="left"/>
        <w:textAlignment w:val="auto"/>
        <w:rPr>
          <w:bCs/>
          <w:color w:val="auto"/>
          <w:sz w:val="24"/>
          <w:szCs w:val="24"/>
          <w:highlight w:val="none"/>
        </w:rPr>
      </w:pPr>
      <w:r>
        <w:rPr>
          <w:rFonts w:ascii="Times New Roman" w:hAnsi="Times New Roman" w:cs="Times New Roman"/>
          <w:color w:val="auto"/>
          <w:kern w:val="0"/>
          <w:sz w:val="24"/>
          <w:szCs w:val="24"/>
          <w:highlight w:val="none"/>
          <w:u w:val="single"/>
          <w:shd w:val="clear" w:color="auto" w:fill="FFFFFF"/>
          <w:lang w:bidi="ar"/>
        </w:rPr>
        <w:fldChar w:fldCharType="end"/>
      </w:r>
      <w:r>
        <w:rPr>
          <w:rFonts w:hint="eastAsia"/>
          <w:b/>
          <w:color w:val="auto"/>
          <w:sz w:val="24"/>
          <w:szCs w:val="24"/>
          <w:highlight w:val="none"/>
        </w:rPr>
        <w:t xml:space="preserve">3.0.4 </w:t>
      </w:r>
      <w:r>
        <w:rPr>
          <w:rFonts w:hint="eastAsia"/>
          <w:color w:val="auto"/>
          <w:sz w:val="24"/>
          <w:szCs w:val="24"/>
          <w:highlight w:val="none"/>
        </w:rPr>
        <w:t>耐久性设计应符合</w:t>
      </w:r>
      <w:r>
        <w:rPr>
          <w:rFonts w:hint="default" w:ascii="Times New Roman" w:hAnsi="Times New Roman" w:cs="Times New Roman"/>
          <w:bCs/>
          <w:color w:val="auto"/>
          <w:sz w:val="24"/>
          <w:szCs w:val="24"/>
          <w:highlight w:val="none"/>
        </w:rPr>
        <w:t>《公路钢筋混凝土及预应力混凝土桥涵设计规范》</w:t>
      </w:r>
      <w:r>
        <w:rPr>
          <w:rFonts w:hint="eastAsia" w:ascii="Times New Roman" w:hAnsi="Times New Roman" w:cs="Times New Roman"/>
          <w:bCs w:val="0"/>
          <w:color w:val="auto"/>
          <w:sz w:val="24"/>
          <w:szCs w:val="24"/>
          <w:highlight w:val="none"/>
        </w:rPr>
        <w:t>（JTG 3362）</w:t>
      </w:r>
      <w:r>
        <w:rPr>
          <w:rFonts w:hint="eastAsia"/>
          <w:color w:val="auto"/>
          <w:sz w:val="24"/>
          <w:szCs w:val="24"/>
          <w:highlight w:val="none"/>
        </w:rPr>
        <w:t>和《公路工程混凝土结构耐久性设计规范》（JTG / T3310）的规定。</w:t>
      </w:r>
    </w:p>
    <w:p w14:paraId="3ADD1601">
      <w:pPr>
        <w:pStyle w:val="30"/>
        <w:keepNext w:val="0"/>
        <w:keepLines w:val="0"/>
        <w:pageBreakBefore w:val="0"/>
        <w:kinsoku/>
        <w:wordWrap/>
        <w:overflowPunct/>
        <w:topLinePunct w:val="0"/>
        <w:bidi w:val="0"/>
        <w:adjustRightInd/>
        <w:spacing w:line="360" w:lineRule="auto"/>
        <w:ind w:firstLine="0" w:firstLineChars="0"/>
        <w:textAlignment w:val="auto"/>
        <w:rPr>
          <w:rFonts w:hint="default" w:ascii="Times New Roman" w:hAnsi="Times New Roman" w:eastAsia="宋体" w:cs="Times New Roman"/>
          <w:color w:val="auto"/>
          <w:kern w:val="2"/>
          <w:sz w:val="24"/>
          <w:szCs w:val="24"/>
          <w:highlight w:val="none"/>
          <w:lang w:val="en-US" w:eastAsia="zh-CN"/>
        </w:rPr>
      </w:pPr>
      <w:r>
        <w:rPr>
          <w:rFonts w:hint="eastAsia" w:ascii="Times New Roman"/>
          <w:b/>
          <w:color w:val="auto"/>
          <w:sz w:val="24"/>
          <w:szCs w:val="24"/>
          <w:highlight w:val="none"/>
        </w:rPr>
        <w:t>3</w:t>
      </w:r>
      <w:r>
        <w:rPr>
          <w:rFonts w:ascii="Times New Roman"/>
          <w:b/>
          <w:color w:val="auto"/>
          <w:sz w:val="24"/>
          <w:szCs w:val="24"/>
          <w:highlight w:val="none"/>
        </w:rPr>
        <w:t>.</w:t>
      </w:r>
      <w:r>
        <w:rPr>
          <w:rFonts w:hint="eastAsia" w:ascii="Times New Roman"/>
          <w:b/>
          <w:color w:val="auto"/>
          <w:sz w:val="24"/>
          <w:szCs w:val="24"/>
          <w:highlight w:val="none"/>
        </w:rPr>
        <w:t>0</w:t>
      </w:r>
      <w:r>
        <w:rPr>
          <w:rFonts w:ascii="Times New Roman"/>
          <w:b/>
          <w:color w:val="auto"/>
          <w:sz w:val="24"/>
          <w:szCs w:val="24"/>
          <w:highlight w:val="none"/>
        </w:rPr>
        <w:t>.</w:t>
      </w:r>
      <w:r>
        <w:rPr>
          <w:rFonts w:hint="eastAsia" w:ascii="Times New Roman"/>
          <w:b/>
          <w:color w:val="auto"/>
          <w:sz w:val="24"/>
          <w:szCs w:val="24"/>
          <w:highlight w:val="none"/>
        </w:rPr>
        <w:t>5</w:t>
      </w:r>
      <w:r>
        <w:rPr>
          <w:rFonts w:hint="default" w:ascii="Times New Roman"/>
          <w:bCs/>
          <w:color w:val="auto"/>
          <w:sz w:val="24"/>
          <w:szCs w:val="24"/>
          <w:highlight w:val="none"/>
        </w:rPr>
        <w:t xml:space="preserve"> </w:t>
      </w:r>
      <w:r>
        <w:rPr>
          <w:rFonts w:hint="default" w:ascii="Times New Roman" w:hAnsi="Times New Roman" w:cs="Times New Roman"/>
          <w:color w:val="auto"/>
          <w:kern w:val="2"/>
          <w:sz w:val="24"/>
          <w:szCs w:val="24"/>
          <w:highlight w:val="none"/>
        </w:rPr>
        <w:t>装配式混凝土桥梁预制构件间连接的主要方式有灌浆套筒连接、灌浆波纹钢管连接、承插式连接、插槽式连接、壳式连接、湿接缝连接、预应力筋连接、胶接缝连接等，各连接方式宜按表</w:t>
      </w:r>
      <w:r>
        <w:rPr>
          <w:rFonts w:ascii="Times New Roman" w:hAnsi="Times New Roman" w:cs="Times New Roman"/>
          <w:color w:val="auto"/>
          <w:kern w:val="2"/>
          <w:sz w:val="24"/>
          <w:szCs w:val="24"/>
          <w:highlight w:val="none"/>
        </w:rPr>
        <w:t>3.0.</w:t>
      </w:r>
      <w:r>
        <w:rPr>
          <w:rFonts w:hint="default" w:ascii="Times New Roman" w:hAnsi="Times New Roman" w:cs="Times New Roman"/>
          <w:color w:val="auto"/>
          <w:kern w:val="2"/>
          <w:sz w:val="24"/>
          <w:szCs w:val="24"/>
          <w:highlight w:val="none"/>
          <w:lang w:val="en-US" w:eastAsia="zh-CN"/>
        </w:rPr>
        <w:t>5</w:t>
      </w:r>
      <w:r>
        <w:rPr>
          <w:rFonts w:ascii="Times New Roman" w:hAnsi="Times New Roman" w:cs="Times New Roman"/>
          <w:color w:val="auto"/>
          <w:kern w:val="2"/>
          <w:sz w:val="24"/>
          <w:szCs w:val="24"/>
          <w:highlight w:val="none"/>
        </w:rPr>
        <w:t>选用。</w:t>
      </w:r>
    </w:p>
    <w:p w14:paraId="1D09A38A">
      <w:pPr>
        <w:pStyle w:val="30"/>
        <w:keepNext w:val="0"/>
        <w:keepLines w:val="0"/>
        <w:pageBreakBefore w:val="0"/>
        <w:kinsoku/>
        <w:wordWrap/>
        <w:overflowPunct/>
        <w:topLinePunct w:val="0"/>
        <w:bidi w:val="0"/>
        <w:adjustRightInd/>
        <w:spacing w:line="360" w:lineRule="auto"/>
        <w:ind w:firstLine="0" w:firstLineChars="0"/>
        <w:jc w:val="center"/>
        <w:textAlignment w:val="auto"/>
        <w:rPr>
          <w:rFonts w:hint="eastAsia" w:ascii="黑体" w:hAnsi="黑体" w:eastAsia="黑体" w:cs="黑体"/>
          <w:bCs/>
          <w:color w:val="auto"/>
          <w:sz w:val="21"/>
          <w:szCs w:val="21"/>
          <w:highlight w:val="none"/>
        </w:rPr>
      </w:pPr>
      <w:r>
        <w:rPr>
          <w:rFonts w:hint="eastAsia" w:ascii="黑体" w:hAnsi="黑体" w:eastAsia="黑体" w:cs="黑体"/>
          <w:bCs/>
          <w:color w:val="auto"/>
          <w:sz w:val="21"/>
          <w:szCs w:val="21"/>
          <w:highlight w:val="none"/>
        </w:rPr>
        <w:t>表3.0.</w:t>
      </w:r>
      <w:r>
        <w:rPr>
          <w:rFonts w:hint="eastAsia" w:ascii="黑体" w:hAnsi="黑体" w:eastAsia="黑体" w:cs="黑体"/>
          <w:bCs/>
          <w:color w:val="auto"/>
          <w:sz w:val="21"/>
          <w:szCs w:val="21"/>
          <w:highlight w:val="none"/>
          <w:lang w:val="en-US" w:eastAsia="zh-CN"/>
        </w:rPr>
        <w:t>5</w:t>
      </w:r>
      <w:r>
        <w:rPr>
          <w:rFonts w:hint="eastAsia" w:ascii="黑体" w:hAnsi="黑体" w:eastAsia="黑体" w:cs="黑体"/>
          <w:bCs/>
          <w:color w:val="auto"/>
          <w:sz w:val="21"/>
          <w:szCs w:val="21"/>
          <w:highlight w:val="none"/>
        </w:rPr>
        <w:t xml:space="preserve"> 结构预制构件间主要连接形式选用表</w:t>
      </w:r>
    </w:p>
    <w:tbl>
      <w:tblPr>
        <w:tblStyle w:val="40"/>
        <w:tblW w:w="90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2"/>
        <w:gridCol w:w="2282"/>
        <w:gridCol w:w="6038"/>
      </w:tblGrid>
      <w:tr w14:paraId="7FB9D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2" w:type="dxa"/>
          </w:tcPr>
          <w:p w14:paraId="4D647BB1">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序号</w:t>
            </w:r>
          </w:p>
        </w:tc>
        <w:tc>
          <w:tcPr>
            <w:tcW w:w="2282" w:type="dxa"/>
          </w:tcPr>
          <w:p w14:paraId="70B7884F">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连接形式</w:t>
            </w:r>
          </w:p>
        </w:tc>
        <w:tc>
          <w:tcPr>
            <w:tcW w:w="6038" w:type="dxa"/>
          </w:tcPr>
          <w:p w14:paraId="24CFA80C">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适用范围</w:t>
            </w:r>
          </w:p>
        </w:tc>
      </w:tr>
      <w:tr w14:paraId="6C847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2" w:type="dxa"/>
          </w:tcPr>
          <w:p w14:paraId="40997AAE">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1</w:t>
            </w:r>
          </w:p>
        </w:tc>
        <w:tc>
          <w:tcPr>
            <w:tcW w:w="2282" w:type="dxa"/>
          </w:tcPr>
          <w:p w14:paraId="178F9D71">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ascii="Times New Roman"/>
                <w:bCs/>
                <w:color w:val="auto"/>
                <w:sz w:val="21"/>
                <w:szCs w:val="21"/>
                <w:highlight w:val="none"/>
              </w:rPr>
              <w:t xml:space="preserve"> </w:t>
            </w:r>
            <w:r>
              <w:rPr>
                <w:rFonts w:hint="default" w:ascii="Times New Roman"/>
                <w:bCs/>
                <w:color w:val="auto"/>
                <w:sz w:val="21"/>
                <w:szCs w:val="21"/>
                <w:highlight w:val="none"/>
              </w:rPr>
              <w:t>灌浆套筒连接</w:t>
            </w:r>
          </w:p>
        </w:tc>
        <w:tc>
          <w:tcPr>
            <w:tcW w:w="6038" w:type="dxa"/>
          </w:tcPr>
          <w:p w14:paraId="07127C4E">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墩柱与盖梁、承台连接，墩柱节段间连接，桥台肋板、耳墙与盖梁、承台连接</w:t>
            </w:r>
          </w:p>
        </w:tc>
      </w:tr>
      <w:tr w14:paraId="2399D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722" w:type="dxa"/>
          </w:tcPr>
          <w:p w14:paraId="545BC598">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2</w:t>
            </w:r>
          </w:p>
        </w:tc>
        <w:tc>
          <w:tcPr>
            <w:tcW w:w="2282" w:type="dxa"/>
          </w:tcPr>
          <w:p w14:paraId="40DD6FA3">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 xml:space="preserve"> 灌浆波纹钢管连接</w:t>
            </w:r>
          </w:p>
        </w:tc>
        <w:tc>
          <w:tcPr>
            <w:tcW w:w="6038" w:type="dxa"/>
          </w:tcPr>
          <w:p w14:paraId="075B5EA1">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ascii="Times New Roman"/>
                <w:bCs/>
                <w:color w:val="auto"/>
                <w:sz w:val="21"/>
                <w:szCs w:val="21"/>
                <w:highlight w:val="none"/>
              </w:rPr>
              <w:t>墩柱与承台、盖梁连接</w:t>
            </w:r>
            <w:r>
              <w:rPr>
                <w:rFonts w:hint="default" w:ascii="Times New Roman"/>
                <w:bCs/>
                <w:color w:val="auto"/>
                <w:sz w:val="21"/>
                <w:szCs w:val="21"/>
                <w:highlight w:val="none"/>
              </w:rPr>
              <w:t>，</w:t>
            </w:r>
            <w:r>
              <w:rPr>
                <w:rFonts w:ascii="Times New Roman"/>
                <w:bCs/>
                <w:color w:val="auto"/>
                <w:sz w:val="21"/>
                <w:szCs w:val="21"/>
                <w:highlight w:val="none"/>
              </w:rPr>
              <w:t>桥台</w:t>
            </w:r>
            <w:r>
              <w:rPr>
                <w:rFonts w:hint="default" w:ascii="Times New Roman"/>
                <w:bCs/>
                <w:color w:val="auto"/>
                <w:sz w:val="21"/>
                <w:szCs w:val="21"/>
                <w:highlight w:val="none"/>
              </w:rPr>
              <w:t>肋板、耳墙与</w:t>
            </w:r>
            <w:r>
              <w:rPr>
                <w:rFonts w:ascii="Times New Roman"/>
                <w:bCs/>
                <w:color w:val="auto"/>
                <w:sz w:val="21"/>
                <w:szCs w:val="21"/>
                <w:highlight w:val="none"/>
              </w:rPr>
              <w:t>盖梁、承台连接</w:t>
            </w:r>
          </w:p>
        </w:tc>
      </w:tr>
      <w:tr w14:paraId="3BCA1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2" w:type="dxa"/>
          </w:tcPr>
          <w:p w14:paraId="47E357ED">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3</w:t>
            </w:r>
          </w:p>
        </w:tc>
        <w:tc>
          <w:tcPr>
            <w:tcW w:w="2282" w:type="dxa"/>
          </w:tcPr>
          <w:p w14:paraId="1598BEE5">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bookmarkStart w:id="34" w:name="OLE_LINK10"/>
            <w:r>
              <w:rPr>
                <w:rFonts w:hint="default" w:ascii="Times New Roman"/>
                <w:bCs/>
                <w:color w:val="auto"/>
                <w:sz w:val="21"/>
                <w:szCs w:val="21"/>
                <w:highlight w:val="none"/>
              </w:rPr>
              <w:t xml:space="preserve"> 承插式连接</w:t>
            </w:r>
            <w:bookmarkEnd w:id="34"/>
          </w:p>
        </w:tc>
        <w:tc>
          <w:tcPr>
            <w:tcW w:w="6038" w:type="dxa"/>
          </w:tcPr>
          <w:p w14:paraId="09687D6B">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ascii="Times New Roman"/>
                <w:bCs/>
                <w:color w:val="auto"/>
                <w:sz w:val="21"/>
                <w:szCs w:val="21"/>
                <w:highlight w:val="none"/>
              </w:rPr>
              <w:t>墩柱与盖梁、承台连接</w:t>
            </w:r>
            <w:r>
              <w:rPr>
                <w:rFonts w:hint="default" w:ascii="Times New Roman"/>
                <w:bCs/>
                <w:color w:val="auto"/>
                <w:sz w:val="21"/>
                <w:szCs w:val="21"/>
                <w:highlight w:val="none"/>
              </w:rPr>
              <w:t>，桩基与承台连接</w:t>
            </w:r>
          </w:p>
        </w:tc>
      </w:tr>
      <w:tr w14:paraId="57031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2" w:type="dxa"/>
          </w:tcPr>
          <w:p w14:paraId="7D1BB828">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4</w:t>
            </w:r>
          </w:p>
        </w:tc>
        <w:tc>
          <w:tcPr>
            <w:tcW w:w="2282" w:type="dxa"/>
          </w:tcPr>
          <w:p w14:paraId="106D8B0F">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 xml:space="preserve"> 插槽式连接</w:t>
            </w:r>
          </w:p>
        </w:tc>
        <w:tc>
          <w:tcPr>
            <w:tcW w:w="6038" w:type="dxa"/>
          </w:tcPr>
          <w:p w14:paraId="3F2838AE">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墩柱与盖梁、承台连接，桩基与承台连接</w:t>
            </w:r>
          </w:p>
        </w:tc>
      </w:tr>
      <w:tr w14:paraId="313AB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2" w:type="dxa"/>
          </w:tcPr>
          <w:p w14:paraId="1A35E67C">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5</w:t>
            </w:r>
          </w:p>
        </w:tc>
        <w:tc>
          <w:tcPr>
            <w:tcW w:w="2282" w:type="dxa"/>
          </w:tcPr>
          <w:p w14:paraId="71370A7A">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 xml:space="preserve"> 壳式连接</w:t>
            </w:r>
          </w:p>
        </w:tc>
        <w:tc>
          <w:tcPr>
            <w:tcW w:w="6038" w:type="dxa"/>
          </w:tcPr>
          <w:p w14:paraId="36E3282F">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墩柱与桩基连接，</w:t>
            </w:r>
            <w:r>
              <w:rPr>
                <w:rFonts w:ascii="Times New Roman"/>
                <w:bCs/>
                <w:color w:val="auto"/>
                <w:sz w:val="21"/>
                <w:szCs w:val="21"/>
                <w:highlight w:val="none"/>
              </w:rPr>
              <w:t>墩柱</w:t>
            </w:r>
            <w:r>
              <w:rPr>
                <w:rFonts w:hint="default" w:ascii="Times New Roman"/>
                <w:bCs/>
                <w:color w:val="auto"/>
                <w:sz w:val="21"/>
                <w:szCs w:val="21"/>
                <w:highlight w:val="none"/>
              </w:rPr>
              <w:t>节段间</w:t>
            </w:r>
            <w:r>
              <w:rPr>
                <w:rFonts w:ascii="Times New Roman"/>
                <w:bCs/>
                <w:color w:val="auto"/>
                <w:sz w:val="21"/>
                <w:szCs w:val="21"/>
                <w:highlight w:val="none"/>
              </w:rPr>
              <w:t>连接</w:t>
            </w:r>
          </w:p>
        </w:tc>
      </w:tr>
      <w:tr w14:paraId="2D081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2" w:type="dxa"/>
          </w:tcPr>
          <w:p w14:paraId="7345A96C">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6</w:t>
            </w:r>
          </w:p>
        </w:tc>
        <w:tc>
          <w:tcPr>
            <w:tcW w:w="2282" w:type="dxa"/>
          </w:tcPr>
          <w:p w14:paraId="39427930">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 xml:space="preserve"> 湿接缝连接</w:t>
            </w:r>
          </w:p>
        </w:tc>
        <w:tc>
          <w:tcPr>
            <w:tcW w:w="6038" w:type="dxa"/>
          </w:tcPr>
          <w:p w14:paraId="6FA39D23">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预制梁板连接，</w:t>
            </w:r>
            <w:r>
              <w:rPr>
                <w:rFonts w:ascii="Times New Roman"/>
                <w:bCs/>
                <w:color w:val="auto"/>
                <w:sz w:val="21"/>
                <w:szCs w:val="21"/>
                <w:highlight w:val="none"/>
              </w:rPr>
              <w:t>墩柱与盖梁、承台连接，墩柱</w:t>
            </w:r>
            <w:r>
              <w:rPr>
                <w:rFonts w:hint="default" w:ascii="Times New Roman"/>
                <w:bCs/>
                <w:color w:val="auto"/>
                <w:sz w:val="21"/>
                <w:szCs w:val="21"/>
                <w:highlight w:val="none"/>
              </w:rPr>
              <w:t>、</w:t>
            </w:r>
            <w:r>
              <w:rPr>
                <w:rFonts w:ascii="Times New Roman"/>
                <w:bCs/>
                <w:color w:val="auto"/>
                <w:sz w:val="21"/>
                <w:szCs w:val="21"/>
                <w:highlight w:val="none"/>
              </w:rPr>
              <w:t>盖梁</w:t>
            </w:r>
            <w:r>
              <w:rPr>
                <w:rFonts w:hint="default" w:ascii="Times New Roman"/>
                <w:bCs/>
                <w:color w:val="auto"/>
                <w:sz w:val="21"/>
                <w:szCs w:val="21"/>
                <w:highlight w:val="none"/>
              </w:rPr>
              <w:t>节段间</w:t>
            </w:r>
            <w:r>
              <w:rPr>
                <w:rFonts w:ascii="Times New Roman"/>
                <w:bCs/>
                <w:color w:val="auto"/>
                <w:sz w:val="21"/>
                <w:szCs w:val="21"/>
                <w:highlight w:val="none"/>
              </w:rPr>
              <w:t>连接</w:t>
            </w:r>
            <w:r>
              <w:rPr>
                <w:rFonts w:hint="default" w:ascii="Times New Roman"/>
                <w:bCs/>
                <w:color w:val="auto"/>
                <w:sz w:val="21"/>
                <w:szCs w:val="21"/>
                <w:highlight w:val="none"/>
              </w:rPr>
              <w:t>，</w:t>
            </w:r>
            <w:r>
              <w:rPr>
                <w:rFonts w:ascii="Times New Roman"/>
                <w:bCs/>
                <w:color w:val="auto"/>
                <w:sz w:val="21"/>
                <w:szCs w:val="21"/>
                <w:highlight w:val="none"/>
              </w:rPr>
              <w:t>桥台</w:t>
            </w:r>
            <w:r>
              <w:rPr>
                <w:rFonts w:hint="default" w:ascii="Times New Roman"/>
                <w:bCs/>
                <w:color w:val="auto"/>
                <w:sz w:val="21"/>
                <w:szCs w:val="21"/>
                <w:highlight w:val="none"/>
              </w:rPr>
              <w:t>肋板、耳墙与</w:t>
            </w:r>
            <w:r>
              <w:rPr>
                <w:rFonts w:ascii="Times New Roman"/>
                <w:bCs/>
                <w:color w:val="auto"/>
                <w:sz w:val="21"/>
                <w:szCs w:val="21"/>
                <w:highlight w:val="none"/>
              </w:rPr>
              <w:t>盖梁、承台连接</w:t>
            </w:r>
          </w:p>
        </w:tc>
      </w:tr>
      <w:tr w14:paraId="7DEE5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2" w:type="dxa"/>
          </w:tcPr>
          <w:p w14:paraId="0A88029A">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color w:val="auto"/>
                <w:sz w:val="21"/>
                <w:szCs w:val="21"/>
                <w:highlight w:val="none"/>
              </w:rPr>
            </w:pPr>
            <w:r>
              <w:rPr>
                <w:rFonts w:hint="default" w:ascii="Times New Roman"/>
                <w:bCs/>
                <w:color w:val="auto"/>
                <w:sz w:val="21"/>
                <w:szCs w:val="21"/>
                <w:highlight w:val="none"/>
              </w:rPr>
              <w:t>7</w:t>
            </w:r>
          </w:p>
        </w:tc>
        <w:tc>
          <w:tcPr>
            <w:tcW w:w="2282" w:type="dxa"/>
          </w:tcPr>
          <w:p w14:paraId="6543DCE0">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strike/>
                <w:color w:val="auto"/>
                <w:sz w:val="21"/>
                <w:szCs w:val="21"/>
                <w:highlight w:val="none"/>
              </w:rPr>
            </w:pPr>
            <w:bookmarkStart w:id="35" w:name="OLE_LINK11"/>
            <w:r>
              <w:rPr>
                <w:rFonts w:hint="default" w:ascii="Times New Roman"/>
                <w:bCs/>
                <w:color w:val="auto"/>
                <w:sz w:val="21"/>
                <w:szCs w:val="21"/>
                <w:highlight w:val="none"/>
              </w:rPr>
              <w:t>预应力筋连接</w:t>
            </w:r>
            <w:bookmarkEnd w:id="35"/>
          </w:p>
        </w:tc>
        <w:tc>
          <w:tcPr>
            <w:tcW w:w="6038" w:type="dxa"/>
          </w:tcPr>
          <w:p w14:paraId="6B4E1903">
            <w:pPr>
              <w:pStyle w:val="30"/>
              <w:keepNext w:val="0"/>
              <w:keepLines w:val="0"/>
              <w:pageBreakBefore w:val="0"/>
              <w:kinsoku/>
              <w:wordWrap/>
              <w:overflowPunct/>
              <w:topLinePunct w:val="0"/>
              <w:bidi w:val="0"/>
              <w:adjustRightInd/>
              <w:spacing w:line="360" w:lineRule="auto"/>
              <w:ind w:firstLine="0" w:firstLineChars="0"/>
              <w:jc w:val="center"/>
              <w:textAlignment w:val="auto"/>
              <w:rPr>
                <w:rFonts w:ascii="Times New Roman"/>
                <w:bCs/>
                <w:strike/>
                <w:color w:val="auto"/>
                <w:sz w:val="21"/>
                <w:szCs w:val="21"/>
                <w:highlight w:val="none"/>
              </w:rPr>
            </w:pPr>
            <w:r>
              <w:rPr>
                <w:rFonts w:hint="default" w:ascii="Times New Roman"/>
                <w:bCs/>
                <w:color w:val="auto"/>
                <w:sz w:val="21"/>
                <w:szCs w:val="21"/>
                <w:highlight w:val="none"/>
              </w:rPr>
              <w:t>预制梁板连接，</w:t>
            </w:r>
            <w:r>
              <w:rPr>
                <w:rFonts w:ascii="Times New Roman"/>
                <w:bCs/>
                <w:color w:val="auto"/>
                <w:sz w:val="21"/>
                <w:szCs w:val="21"/>
                <w:highlight w:val="none"/>
              </w:rPr>
              <w:t>墩柱与盖梁、承台连接，墩柱</w:t>
            </w:r>
            <w:r>
              <w:rPr>
                <w:rFonts w:hint="default" w:ascii="Times New Roman"/>
                <w:bCs/>
                <w:color w:val="auto"/>
                <w:sz w:val="21"/>
                <w:szCs w:val="21"/>
                <w:highlight w:val="none"/>
              </w:rPr>
              <w:t>、</w:t>
            </w:r>
            <w:r>
              <w:rPr>
                <w:rFonts w:ascii="Times New Roman"/>
                <w:bCs/>
                <w:color w:val="auto"/>
                <w:sz w:val="21"/>
                <w:szCs w:val="21"/>
                <w:highlight w:val="none"/>
              </w:rPr>
              <w:t>盖梁</w:t>
            </w:r>
            <w:r>
              <w:rPr>
                <w:rFonts w:hint="default" w:ascii="Times New Roman"/>
                <w:bCs/>
                <w:color w:val="auto"/>
                <w:sz w:val="21"/>
                <w:szCs w:val="21"/>
                <w:highlight w:val="none"/>
              </w:rPr>
              <w:t>节段间</w:t>
            </w:r>
            <w:r>
              <w:rPr>
                <w:rFonts w:ascii="Times New Roman"/>
                <w:bCs/>
                <w:color w:val="auto"/>
                <w:sz w:val="21"/>
                <w:szCs w:val="21"/>
                <w:highlight w:val="none"/>
              </w:rPr>
              <w:t>连接</w:t>
            </w:r>
          </w:p>
        </w:tc>
      </w:tr>
    </w:tbl>
    <w:p w14:paraId="451C7421">
      <w:pPr>
        <w:pStyle w:val="30"/>
        <w:spacing w:line="400" w:lineRule="exact"/>
        <w:ind w:firstLine="0" w:firstLineChars="0"/>
        <w:rPr>
          <w:rFonts w:ascii="Times New Roman"/>
          <w:color w:val="auto"/>
          <w:highlight w:val="none"/>
        </w:rPr>
      </w:pPr>
      <w:r>
        <w:rPr>
          <w:rFonts w:ascii="Times New Roman"/>
          <w:color w:val="auto"/>
          <w:highlight w:val="none"/>
        </w:rPr>
        <w:br w:type="page"/>
      </w:r>
    </w:p>
    <w:p w14:paraId="6A7FEFC3">
      <w:pPr>
        <w:pStyle w:val="17"/>
        <w:spacing w:before="312" w:beforeLines="100" w:after="312" w:afterLines="100" w:line="360" w:lineRule="auto"/>
        <w:jc w:val="center"/>
        <w:outlineLvl w:val="0"/>
        <w:rPr>
          <w:rFonts w:hint="default" w:ascii="Times New Roman" w:hAnsi="Times New Roman" w:cs="Times New Roman"/>
          <w:b/>
          <w:sz w:val="36"/>
          <w:szCs w:val="36"/>
        </w:rPr>
      </w:pPr>
      <w:bookmarkStart w:id="36" w:name="_Toc26072"/>
      <w:bookmarkStart w:id="37" w:name="_Toc11524"/>
      <w:r>
        <w:rPr>
          <w:rFonts w:hint="default" w:ascii="Times New Roman" w:hAnsi="Times New Roman" w:cs="Times New Roman"/>
          <w:b/>
          <w:sz w:val="36"/>
          <w:szCs w:val="36"/>
        </w:rPr>
        <w:t xml:space="preserve">4 </w:t>
      </w:r>
      <w:bookmarkEnd w:id="24"/>
      <w:r>
        <w:rPr>
          <w:rFonts w:hint="default" w:ascii="Times New Roman" w:hAnsi="Times New Roman" w:cs="Times New Roman"/>
          <w:b/>
          <w:sz w:val="36"/>
          <w:szCs w:val="36"/>
        </w:rPr>
        <w:t>材料</w:t>
      </w:r>
      <w:bookmarkEnd w:id="36"/>
      <w:bookmarkEnd w:id="37"/>
    </w:p>
    <w:p w14:paraId="27D567AE">
      <w:pPr>
        <w:spacing w:before="156" w:beforeLines="50" w:after="156" w:afterLines="50" w:line="360" w:lineRule="auto"/>
        <w:jc w:val="center"/>
        <w:outlineLvl w:val="1"/>
        <w:rPr>
          <w:rFonts w:hint="eastAsia" w:ascii="Times New Roman" w:hAnsi="Times New Roman" w:cs="Times New Roman"/>
          <w:b/>
          <w:kern w:val="0"/>
          <w:sz w:val="28"/>
          <w:szCs w:val="28"/>
        </w:rPr>
      </w:pPr>
      <w:bookmarkStart w:id="38" w:name="_Toc5126"/>
      <w:bookmarkStart w:id="39" w:name="_Toc31959"/>
      <w:bookmarkStart w:id="40" w:name="_Toc16902"/>
      <w:bookmarkStart w:id="41" w:name="_Toc29154"/>
      <w:r>
        <w:rPr>
          <w:rFonts w:hint="eastAsia" w:ascii="Times New Roman" w:hAnsi="Times New Roman" w:cs="Times New Roman"/>
          <w:b/>
          <w:kern w:val="0"/>
          <w:sz w:val="28"/>
          <w:szCs w:val="28"/>
        </w:rPr>
        <w:t>4.1 混凝土</w:t>
      </w:r>
      <w:bookmarkEnd w:id="38"/>
      <w:r>
        <w:rPr>
          <w:rFonts w:hint="eastAsia" w:ascii="Times New Roman" w:hAnsi="Times New Roman" w:cs="Times New Roman"/>
          <w:b/>
          <w:kern w:val="0"/>
          <w:sz w:val="28"/>
          <w:szCs w:val="28"/>
        </w:rPr>
        <w:t>、钢筋和钢材</w:t>
      </w:r>
      <w:bookmarkEnd w:id="39"/>
      <w:bookmarkEnd w:id="40"/>
    </w:p>
    <w:p w14:paraId="2F69A4D2">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ascii="Times New Roman"/>
          <w:strike/>
          <w:color w:val="auto"/>
          <w:sz w:val="24"/>
          <w:szCs w:val="24"/>
          <w:highlight w:val="none"/>
        </w:rPr>
      </w:pPr>
      <w:r>
        <w:rPr>
          <w:rFonts w:ascii="Times New Roman"/>
          <w:b/>
          <w:bCs/>
          <w:color w:val="auto"/>
          <w:sz w:val="24"/>
          <w:szCs w:val="24"/>
          <w:highlight w:val="none"/>
        </w:rPr>
        <w:t>4.1.1</w:t>
      </w:r>
      <w:r>
        <w:rPr>
          <w:rFonts w:ascii="Times New Roman"/>
          <w:color w:val="auto"/>
          <w:sz w:val="24"/>
          <w:szCs w:val="24"/>
          <w:highlight w:val="none"/>
        </w:rPr>
        <w:t xml:space="preserve"> </w:t>
      </w:r>
      <w:r>
        <w:rPr>
          <w:rFonts w:hint="default" w:ascii="Times New Roman"/>
          <w:color w:val="auto"/>
          <w:sz w:val="24"/>
          <w:szCs w:val="24"/>
          <w:highlight w:val="none"/>
        </w:rPr>
        <w:t>混凝土、普通钢筋</w:t>
      </w:r>
      <w:r>
        <w:rPr>
          <w:rFonts w:hint="eastAsia" w:ascii="Times New Roman"/>
          <w:color w:val="auto"/>
          <w:sz w:val="24"/>
          <w:szCs w:val="24"/>
          <w:highlight w:val="none"/>
        </w:rPr>
        <w:t>设计指标应符合现行《公路钢筋混凝土及预应力混凝土桥涵设计规范》</w:t>
      </w:r>
      <w:r>
        <w:rPr>
          <w:rFonts w:hint="eastAsia" w:ascii="Times New Roman"/>
          <w:color w:val="auto"/>
          <w:sz w:val="24"/>
          <w:szCs w:val="24"/>
          <w:highlight w:val="none"/>
          <w:lang w:eastAsia="zh-CN"/>
        </w:rPr>
        <w:t>（</w:t>
      </w:r>
      <w:r>
        <w:rPr>
          <w:rFonts w:ascii="Times New Roman"/>
          <w:color w:val="auto"/>
          <w:sz w:val="24"/>
          <w:szCs w:val="24"/>
          <w:highlight w:val="none"/>
        </w:rPr>
        <w:t>JTG3362</w:t>
      </w:r>
      <w:r>
        <w:rPr>
          <w:rFonts w:hint="eastAsia" w:ascii="Times New Roman"/>
          <w:color w:val="auto"/>
          <w:sz w:val="24"/>
          <w:szCs w:val="24"/>
          <w:highlight w:val="none"/>
          <w:lang w:eastAsia="zh-CN"/>
        </w:rPr>
        <w:t>）</w:t>
      </w:r>
      <w:r>
        <w:rPr>
          <w:rFonts w:hint="eastAsia" w:ascii="Times New Roman"/>
          <w:color w:val="auto"/>
          <w:sz w:val="24"/>
          <w:szCs w:val="24"/>
          <w:highlight w:val="none"/>
        </w:rPr>
        <w:t>的规定。</w:t>
      </w:r>
    </w:p>
    <w:p w14:paraId="12A197F8">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ascii="Times New Roman"/>
          <w:color w:val="auto"/>
          <w:sz w:val="24"/>
          <w:szCs w:val="24"/>
          <w:highlight w:val="none"/>
        </w:rPr>
      </w:pPr>
      <w:r>
        <w:rPr>
          <w:rFonts w:ascii="Times New Roman"/>
          <w:b/>
          <w:bCs/>
          <w:color w:val="auto"/>
          <w:sz w:val="24"/>
          <w:szCs w:val="24"/>
          <w:highlight w:val="none"/>
        </w:rPr>
        <w:t>4.1.</w:t>
      </w:r>
      <w:r>
        <w:rPr>
          <w:rFonts w:hint="eastAsia" w:ascii="Times New Roman"/>
          <w:b/>
          <w:bCs/>
          <w:color w:val="auto"/>
          <w:sz w:val="24"/>
          <w:szCs w:val="24"/>
          <w:highlight w:val="none"/>
        </w:rPr>
        <w:t>2</w:t>
      </w:r>
      <w:r>
        <w:rPr>
          <w:rFonts w:ascii="Times New Roman"/>
          <w:color w:val="auto"/>
          <w:sz w:val="24"/>
          <w:szCs w:val="24"/>
          <w:highlight w:val="none"/>
        </w:rPr>
        <w:t xml:space="preserve"> </w:t>
      </w:r>
      <w:r>
        <w:rPr>
          <w:rFonts w:hint="eastAsia" w:ascii="Times New Roman"/>
          <w:color w:val="auto"/>
          <w:sz w:val="24"/>
          <w:szCs w:val="24"/>
          <w:highlight w:val="none"/>
        </w:rPr>
        <w:t>钢材设计指标应符合现行《公路钢结构桥梁设计规范》</w:t>
      </w:r>
      <w:r>
        <w:rPr>
          <w:rFonts w:hint="eastAsia" w:ascii="Times New Roman"/>
          <w:color w:val="auto"/>
          <w:sz w:val="24"/>
          <w:szCs w:val="24"/>
          <w:highlight w:val="none"/>
          <w:lang w:eastAsia="zh-CN"/>
        </w:rPr>
        <w:t>（</w:t>
      </w:r>
      <w:r>
        <w:rPr>
          <w:rFonts w:hint="eastAsia" w:ascii="Times New Roman"/>
          <w:color w:val="auto"/>
          <w:sz w:val="24"/>
          <w:szCs w:val="24"/>
          <w:highlight w:val="none"/>
        </w:rPr>
        <w:t xml:space="preserve">JTGD64 </w:t>
      </w:r>
      <w:r>
        <w:rPr>
          <w:rFonts w:hint="eastAsia" w:ascii="Times New Roman"/>
          <w:color w:val="auto"/>
          <w:sz w:val="24"/>
          <w:szCs w:val="24"/>
          <w:highlight w:val="none"/>
          <w:lang w:eastAsia="zh-CN"/>
        </w:rPr>
        <w:t>）</w:t>
      </w:r>
      <w:r>
        <w:rPr>
          <w:rFonts w:hint="eastAsia" w:ascii="Times New Roman"/>
          <w:color w:val="auto"/>
          <w:sz w:val="24"/>
          <w:szCs w:val="24"/>
          <w:highlight w:val="none"/>
        </w:rPr>
        <w:t>的规定，</w:t>
      </w:r>
      <w:r>
        <w:rPr>
          <w:rFonts w:hint="default" w:ascii="Times New Roman" w:hAnsi="Times New Roman" w:cs="Times New Roman"/>
          <w:color w:val="auto"/>
          <w:sz w:val="24"/>
          <w:szCs w:val="24"/>
          <w:highlight w:val="none"/>
        </w:rPr>
        <w:t>焊接材料</w:t>
      </w:r>
      <w:r>
        <w:rPr>
          <w:rFonts w:hint="eastAsia" w:ascii="Times New Roman"/>
          <w:color w:val="auto"/>
          <w:sz w:val="24"/>
          <w:szCs w:val="24"/>
          <w:highlight w:val="none"/>
        </w:rPr>
        <w:t>设计指标应</w:t>
      </w:r>
      <w:r>
        <w:rPr>
          <w:rFonts w:hint="default" w:ascii="Times New Roman" w:hAnsi="Times New Roman" w:cs="Times New Roman"/>
          <w:color w:val="auto"/>
          <w:sz w:val="24"/>
          <w:szCs w:val="24"/>
          <w:highlight w:val="none"/>
        </w:rPr>
        <w:t>符合现行《公路钢结构桥梁设计规范》</w:t>
      </w:r>
      <w:r>
        <w:rPr>
          <w:rFonts w:hint="eastAsia" w:ascii="Times New Roman"/>
          <w:color w:val="auto"/>
          <w:sz w:val="24"/>
          <w:szCs w:val="24"/>
          <w:highlight w:val="none"/>
          <w:lang w:eastAsia="zh-CN"/>
        </w:rPr>
        <w:t>（</w:t>
      </w:r>
      <w:r>
        <w:rPr>
          <w:rFonts w:hint="eastAsia" w:ascii="Times New Roman"/>
          <w:color w:val="auto"/>
          <w:sz w:val="24"/>
          <w:szCs w:val="24"/>
          <w:highlight w:val="none"/>
        </w:rPr>
        <w:t xml:space="preserve">JTGD64 </w:t>
      </w:r>
      <w:r>
        <w:rPr>
          <w:rFonts w:hint="eastAsia" w:ascii="Times New Roman"/>
          <w:color w:val="auto"/>
          <w:sz w:val="24"/>
          <w:szCs w:val="24"/>
          <w:highlight w:val="none"/>
          <w:lang w:eastAsia="zh-CN"/>
        </w:rPr>
        <w:t>）</w:t>
      </w:r>
      <w:r>
        <w:rPr>
          <w:rFonts w:hint="default" w:ascii="Times New Roman" w:hAnsi="Times New Roman" w:cs="Times New Roman"/>
          <w:color w:val="auto"/>
          <w:sz w:val="24"/>
          <w:szCs w:val="24"/>
          <w:highlight w:val="none"/>
        </w:rPr>
        <w:t>的规定</w:t>
      </w:r>
      <w:r>
        <w:rPr>
          <w:rFonts w:hint="eastAsia" w:ascii="Times New Roman"/>
          <w:color w:val="auto"/>
          <w:sz w:val="24"/>
          <w:szCs w:val="24"/>
          <w:highlight w:val="none"/>
        </w:rPr>
        <w:t>。</w:t>
      </w:r>
    </w:p>
    <w:p w14:paraId="79994BB3">
      <w:pPr>
        <w:spacing w:before="156" w:beforeLines="50" w:after="156" w:afterLines="50" w:line="360" w:lineRule="auto"/>
        <w:jc w:val="center"/>
        <w:outlineLvl w:val="1"/>
        <w:rPr>
          <w:rFonts w:hint="eastAsia" w:ascii="Times New Roman" w:hAnsi="Times New Roman" w:cs="Times New Roman"/>
          <w:b/>
          <w:kern w:val="0"/>
          <w:sz w:val="28"/>
          <w:szCs w:val="28"/>
        </w:rPr>
      </w:pPr>
      <w:bookmarkStart w:id="42" w:name="_Toc25737"/>
      <w:bookmarkStart w:id="43" w:name="_Toc6384"/>
      <w:bookmarkStart w:id="44" w:name="_Toc15456"/>
      <w:r>
        <w:rPr>
          <w:rFonts w:hint="eastAsia" w:ascii="Times New Roman" w:hAnsi="Times New Roman" w:cs="Times New Roman"/>
          <w:b/>
          <w:kern w:val="0"/>
          <w:sz w:val="28"/>
          <w:szCs w:val="28"/>
        </w:rPr>
        <w:t>4.2 灌浆套筒</w:t>
      </w:r>
      <w:bookmarkEnd w:id="42"/>
      <w:bookmarkEnd w:id="43"/>
      <w:bookmarkEnd w:id="44"/>
    </w:p>
    <w:p w14:paraId="4DB2E196">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ascii="Times New Roman"/>
          <w:b/>
          <w:bCs/>
          <w:color w:val="auto"/>
          <w:sz w:val="24"/>
          <w:szCs w:val="24"/>
          <w:highlight w:val="none"/>
        </w:rPr>
      </w:pPr>
      <w:r>
        <w:rPr>
          <w:rFonts w:ascii="Times New Roman"/>
          <w:b/>
          <w:bCs/>
          <w:color w:val="auto"/>
          <w:sz w:val="24"/>
          <w:szCs w:val="24"/>
          <w:highlight w:val="none"/>
        </w:rPr>
        <w:t>4.</w:t>
      </w:r>
      <w:r>
        <w:rPr>
          <w:rFonts w:hint="eastAsia" w:ascii="Times New Roman"/>
          <w:b/>
          <w:bCs/>
          <w:color w:val="auto"/>
          <w:sz w:val="24"/>
          <w:szCs w:val="24"/>
          <w:highlight w:val="none"/>
        </w:rPr>
        <w:t>2</w:t>
      </w:r>
      <w:r>
        <w:rPr>
          <w:rFonts w:ascii="Times New Roman"/>
          <w:b/>
          <w:bCs/>
          <w:color w:val="auto"/>
          <w:sz w:val="24"/>
          <w:szCs w:val="24"/>
          <w:highlight w:val="none"/>
        </w:rPr>
        <w:t>.1</w:t>
      </w:r>
      <w:r>
        <w:rPr>
          <w:rFonts w:ascii="Times New Roman"/>
          <w:color w:val="auto"/>
          <w:sz w:val="24"/>
          <w:szCs w:val="24"/>
          <w:highlight w:val="none"/>
        </w:rPr>
        <w:t xml:space="preserve"> 灌浆套筒按加工方式可采用铸造灌浆套筒和机械加工灌浆套筒</w:t>
      </w:r>
      <w:r>
        <w:rPr>
          <w:rFonts w:hint="eastAsia" w:ascii="Times New Roman"/>
          <w:color w:val="auto"/>
          <w:sz w:val="24"/>
          <w:szCs w:val="24"/>
          <w:highlight w:val="none"/>
        </w:rPr>
        <w:t>，</w:t>
      </w:r>
      <w:r>
        <w:rPr>
          <w:rFonts w:hint="default" w:ascii="Times New Roman"/>
          <w:color w:val="auto"/>
          <w:sz w:val="24"/>
          <w:szCs w:val="24"/>
          <w:highlight w:val="none"/>
        </w:rPr>
        <w:t>其性能指标和技术要求应符合《钢筋连接用灌浆套筒》</w:t>
      </w:r>
      <w:r>
        <w:rPr>
          <w:rFonts w:ascii="Times New Roman"/>
          <w:color w:val="auto"/>
          <w:sz w:val="24"/>
          <w:szCs w:val="24"/>
          <w:highlight w:val="none"/>
        </w:rPr>
        <w:t>JG/T 398</w:t>
      </w:r>
      <w:r>
        <w:rPr>
          <w:rFonts w:hint="default" w:ascii="Times New Roman"/>
          <w:color w:val="auto"/>
          <w:sz w:val="24"/>
          <w:szCs w:val="24"/>
          <w:highlight w:val="none"/>
        </w:rPr>
        <w:t>有关规定。</w:t>
      </w:r>
    </w:p>
    <w:p w14:paraId="4AE8D78D">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ascii="Times New Roman"/>
          <w:color w:val="auto"/>
          <w:sz w:val="24"/>
          <w:szCs w:val="24"/>
          <w:highlight w:val="none"/>
        </w:rPr>
      </w:pPr>
      <w:r>
        <w:rPr>
          <w:rFonts w:ascii="Times New Roman"/>
          <w:b/>
          <w:bCs/>
          <w:color w:val="auto"/>
          <w:sz w:val="24"/>
          <w:szCs w:val="24"/>
          <w:highlight w:val="none"/>
        </w:rPr>
        <w:t>4.</w:t>
      </w:r>
      <w:r>
        <w:rPr>
          <w:rFonts w:hint="eastAsia" w:ascii="Times New Roman"/>
          <w:b/>
          <w:bCs/>
          <w:color w:val="auto"/>
          <w:sz w:val="24"/>
          <w:szCs w:val="24"/>
          <w:highlight w:val="none"/>
        </w:rPr>
        <w:t>2</w:t>
      </w:r>
      <w:r>
        <w:rPr>
          <w:rFonts w:ascii="Times New Roman"/>
          <w:b/>
          <w:bCs/>
          <w:color w:val="auto"/>
          <w:sz w:val="24"/>
          <w:szCs w:val="24"/>
          <w:highlight w:val="none"/>
        </w:rPr>
        <w:t>.2</w:t>
      </w:r>
      <w:r>
        <w:rPr>
          <w:rFonts w:ascii="Times New Roman"/>
          <w:color w:val="auto"/>
          <w:sz w:val="24"/>
          <w:szCs w:val="24"/>
          <w:highlight w:val="none"/>
        </w:rPr>
        <w:t xml:space="preserve"> 铸造灌浆套筒宜采用高强球墨铸铁制作，其材料应符合现行</w:t>
      </w:r>
      <w:bookmarkStart w:id="45" w:name="OLE_LINK12"/>
      <w:r>
        <w:rPr>
          <w:rFonts w:ascii="Times New Roman"/>
          <w:color w:val="auto"/>
          <w:sz w:val="24"/>
          <w:szCs w:val="24"/>
          <w:highlight w:val="none"/>
        </w:rPr>
        <w:t>《球墨铸铁件》( GB / T1348 )</w:t>
      </w:r>
      <w:bookmarkEnd w:id="45"/>
      <w:r>
        <w:rPr>
          <w:rFonts w:ascii="Times New Roman"/>
          <w:color w:val="auto"/>
          <w:sz w:val="24"/>
          <w:szCs w:val="24"/>
          <w:highlight w:val="none"/>
        </w:rPr>
        <w:t>的规定，材料性能应符合表</w:t>
      </w:r>
      <w:r>
        <w:rPr>
          <w:rFonts w:hint="eastAsia" w:ascii="Times New Roman"/>
          <w:color w:val="auto"/>
          <w:sz w:val="24"/>
          <w:szCs w:val="24"/>
          <w:highlight w:val="none"/>
        </w:rPr>
        <w:t>4</w:t>
      </w:r>
      <w:r>
        <w:rPr>
          <w:rFonts w:ascii="Times New Roman"/>
          <w:color w:val="auto"/>
          <w:sz w:val="24"/>
          <w:szCs w:val="24"/>
          <w:highlight w:val="none"/>
        </w:rPr>
        <w:t>.</w:t>
      </w:r>
      <w:r>
        <w:rPr>
          <w:rFonts w:hint="eastAsia" w:ascii="Times New Roman"/>
          <w:color w:val="auto"/>
          <w:sz w:val="24"/>
          <w:szCs w:val="24"/>
          <w:highlight w:val="none"/>
        </w:rPr>
        <w:t>2</w:t>
      </w:r>
      <w:r>
        <w:rPr>
          <w:rFonts w:ascii="Times New Roman"/>
          <w:color w:val="auto"/>
          <w:sz w:val="24"/>
          <w:szCs w:val="24"/>
          <w:highlight w:val="none"/>
        </w:rPr>
        <w:t>.2的规定。</w:t>
      </w:r>
    </w:p>
    <w:p w14:paraId="0A838B50">
      <w:pPr>
        <w:snapToGrid w:val="0"/>
        <w:spacing w:before="156" w:beforeLines="50" w:line="360" w:lineRule="auto"/>
        <w:jc w:val="center"/>
        <w:rPr>
          <w:rFonts w:ascii="Times New Roman" w:hAnsi="Times New Roman" w:eastAsia="黑体" w:cs="Times New Roman"/>
          <w:bCs/>
          <w:color w:val="auto"/>
          <w:szCs w:val="21"/>
          <w:highlight w:val="none"/>
        </w:rPr>
      </w:pPr>
      <w:r>
        <w:rPr>
          <w:rFonts w:hint="default" w:ascii="Times New Roman" w:hAnsi="Times New Roman" w:eastAsia="黑体" w:cs="Times New Roman"/>
          <w:bCs/>
          <w:color w:val="auto"/>
          <w:szCs w:val="21"/>
          <w:highlight w:val="none"/>
        </w:rPr>
        <w:t>表 4.2.2 球墨铸铁灌浆套筒的材料性能</w:t>
      </w:r>
    </w:p>
    <w:tbl>
      <w:tblPr>
        <w:tblStyle w:val="40"/>
        <w:tblW w:w="92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1159"/>
        <w:gridCol w:w="1395"/>
        <w:gridCol w:w="1426"/>
        <w:gridCol w:w="1322"/>
        <w:gridCol w:w="1520"/>
        <w:gridCol w:w="1194"/>
      </w:tblGrid>
      <w:tr w14:paraId="37578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1272" w:type="dxa"/>
            <w:vAlign w:val="center"/>
          </w:tcPr>
          <w:p w14:paraId="7F7054CF">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项目</w:t>
            </w:r>
          </w:p>
        </w:tc>
        <w:tc>
          <w:tcPr>
            <w:tcW w:w="1159" w:type="dxa"/>
            <w:vAlign w:val="center"/>
          </w:tcPr>
          <w:p w14:paraId="5E9551C5">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材料</w:t>
            </w:r>
          </w:p>
        </w:tc>
        <w:tc>
          <w:tcPr>
            <w:tcW w:w="1395" w:type="dxa"/>
            <w:vAlign w:val="center"/>
          </w:tcPr>
          <w:p w14:paraId="3BACF7D1">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抗拉强度（MPa）</w:t>
            </w:r>
          </w:p>
        </w:tc>
        <w:tc>
          <w:tcPr>
            <w:tcW w:w="1426" w:type="dxa"/>
            <w:vAlign w:val="center"/>
          </w:tcPr>
          <w:p w14:paraId="14E5185F">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断后伸长率（%）</w:t>
            </w:r>
          </w:p>
        </w:tc>
        <w:tc>
          <w:tcPr>
            <w:tcW w:w="1322" w:type="dxa"/>
            <w:vAlign w:val="center"/>
          </w:tcPr>
          <w:p w14:paraId="28B9DE06">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球化率（%）</w:t>
            </w:r>
          </w:p>
        </w:tc>
        <w:tc>
          <w:tcPr>
            <w:tcW w:w="1520" w:type="dxa"/>
            <w:vAlign w:val="center"/>
          </w:tcPr>
          <w:p w14:paraId="3F6294EA">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硬度（HBW）</w:t>
            </w:r>
          </w:p>
        </w:tc>
        <w:tc>
          <w:tcPr>
            <w:tcW w:w="1194" w:type="dxa"/>
            <w:vAlign w:val="center"/>
          </w:tcPr>
          <w:p w14:paraId="4CBD7D08">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珠光体含量（%）</w:t>
            </w:r>
          </w:p>
        </w:tc>
      </w:tr>
      <w:tr w14:paraId="777CB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restart"/>
            <w:vAlign w:val="center"/>
          </w:tcPr>
          <w:p w14:paraId="7B57C8E7">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性能指标</w:t>
            </w:r>
          </w:p>
        </w:tc>
        <w:tc>
          <w:tcPr>
            <w:tcW w:w="1159" w:type="dxa"/>
            <w:vAlign w:val="center"/>
          </w:tcPr>
          <w:p w14:paraId="1E819759">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QT500</w:t>
            </w:r>
          </w:p>
        </w:tc>
        <w:tc>
          <w:tcPr>
            <w:tcW w:w="1395" w:type="dxa"/>
            <w:vAlign w:val="center"/>
          </w:tcPr>
          <w:p w14:paraId="0E7D2E13">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≥500</w:t>
            </w:r>
          </w:p>
        </w:tc>
        <w:tc>
          <w:tcPr>
            <w:tcW w:w="1426" w:type="dxa"/>
            <w:vAlign w:val="center"/>
          </w:tcPr>
          <w:p w14:paraId="3EFECB07">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≥7</w:t>
            </w:r>
          </w:p>
        </w:tc>
        <w:tc>
          <w:tcPr>
            <w:tcW w:w="1322" w:type="dxa"/>
            <w:vAlign w:val="center"/>
          </w:tcPr>
          <w:p w14:paraId="2AA2CE68">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≥85</w:t>
            </w:r>
          </w:p>
        </w:tc>
        <w:tc>
          <w:tcPr>
            <w:tcW w:w="1520" w:type="dxa"/>
            <w:vAlign w:val="center"/>
          </w:tcPr>
          <w:p w14:paraId="18CD0D8F">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170~230</w:t>
            </w:r>
          </w:p>
        </w:tc>
        <w:tc>
          <w:tcPr>
            <w:tcW w:w="1194" w:type="dxa"/>
            <w:vMerge w:val="restart"/>
            <w:vAlign w:val="center"/>
          </w:tcPr>
          <w:p w14:paraId="577DC0A9">
            <w:pPr>
              <w:keepNext w:val="0"/>
              <w:keepLines w:val="0"/>
              <w:pageBreakBefore w:val="0"/>
              <w:widowControl w:val="0"/>
              <w:kinsoku/>
              <w:wordWrap/>
              <w:overflowPunct/>
              <w:topLinePunct w:val="0"/>
              <w:autoSpaceDE/>
              <w:autoSpaceDN/>
              <w:bidi w:val="0"/>
              <w:adjustRightInd/>
              <w:spacing w:line="360" w:lineRule="auto"/>
              <w:jc w:val="center"/>
              <w:textAlignment w:val="auto"/>
              <w:rPr>
                <w:rFonts w:ascii="Times New Roman" w:hAnsi="Times New Roman" w:cs="Times New Roman"/>
                <w:color w:val="auto"/>
                <w:szCs w:val="21"/>
                <w:highlight w:val="none"/>
              </w:rPr>
            </w:pPr>
            <w:r>
              <w:rPr>
                <w:rFonts w:hint="default" w:ascii="Times New Roman" w:hAnsi="Times New Roman" w:cs="Times New Roman"/>
                <w:bCs/>
                <w:color w:val="auto"/>
                <w:szCs w:val="21"/>
                <w:highlight w:val="none"/>
              </w:rPr>
              <w:t>≥55</w:t>
            </w:r>
          </w:p>
        </w:tc>
      </w:tr>
      <w:tr w14:paraId="1592B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445E46E9">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p>
        </w:tc>
        <w:tc>
          <w:tcPr>
            <w:tcW w:w="1159" w:type="dxa"/>
            <w:vAlign w:val="center"/>
          </w:tcPr>
          <w:p w14:paraId="5784B9E7">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QT550</w:t>
            </w:r>
          </w:p>
        </w:tc>
        <w:tc>
          <w:tcPr>
            <w:tcW w:w="1395" w:type="dxa"/>
            <w:vAlign w:val="center"/>
          </w:tcPr>
          <w:p w14:paraId="5B8B9D5B">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≥550</w:t>
            </w:r>
          </w:p>
        </w:tc>
        <w:tc>
          <w:tcPr>
            <w:tcW w:w="1426" w:type="dxa"/>
            <w:vAlign w:val="center"/>
          </w:tcPr>
          <w:p w14:paraId="25DE5108">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≥5</w:t>
            </w:r>
          </w:p>
        </w:tc>
        <w:tc>
          <w:tcPr>
            <w:tcW w:w="1322" w:type="dxa"/>
            <w:vAlign w:val="center"/>
          </w:tcPr>
          <w:p w14:paraId="356249B0">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≥85</w:t>
            </w:r>
          </w:p>
        </w:tc>
        <w:tc>
          <w:tcPr>
            <w:tcW w:w="1520" w:type="dxa"/>
            <w:vAlign w:val="center"/>
          </w:tcPr>
          <w:p w14:paraId="482FEA45">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180~250</w:t>
            </w:r>
          </w:p>
        </w:tc>
        <w:tc>
          <w:tcPr>
            <w:tcW w:w="1194" w:type="dxa"/>
            <w:vMerge w:val="continue"/>
            <w:vAlign w:val="center"/>
          </w:tcPr>
          <w:p w14:paraId="53A89A4F">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p>
        </w:tc>
      </w:tr>
      <w:tr w14:paraId="701BA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3612DD10">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p>
        </w:tc>
        <w:tc>
          <w:tcPr>
            <w:tcW w:w="1159" w:type="dxa"/>
            <w:vAlign w:val="center"/>
          </w:tcPr>
          <w:p w14:paraId="5DA55A36">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QT600</w:t>
            </w:r>
          </w:p>
        </w:tc>
        <w:tc>
          <w:tcPr>
            <w:tcW w:w="1395" w:type="dxa"/>
            <w:vAlign w:val="center"/>
          </w:tcPr>
          <w:p w14:paraId="33492F6F">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≥600</w:t>
            </w:r>
          </w:p>
        </w:tc>
        <w:tc>
          <w:tcPr>
            <w:tcW w:w="1426" w:type="dxa"/>
            <w:vAlign w:val="center"/>
          </w:tcPr>
          <w:p w14:paraId="0B7DDEA7">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≥3</w:t>
            </w:r>
          </w:p>
        </w:tc>
        <w:tc>
          <w:tcPr>
            <w:tcW w:w="1322" w:type="dxa"/>
            <w:vAlign w:val="center"/>
          </w:tcPr>
          <w:p w14:paraId="74B2FCB6">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≥85</w:t>
            </w:r>
          </w:p>
        </w:tc>
        <w:tc>
          <w:tcPr>
            <w:tcW w:w="1520" w:type="dxa"/>
            <w:vAlign w:val="center"/>
          </w:tcPr>
          <w:p w14:paraId="793AEBF1">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190~270</w:t>
            </w:r>
          </w:p>
        </w:tc>
        <w:tc>
          <w:tcPr>
            <w:tcW w:w="1194" w:type="dxa"/>
            <w:vMerge w:val="continue"/>
            <w:vAlign w:val="center"/>
          </w:tcPr>
          <w:p w14:paraId="1C05F1E4">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hAnsi="Times New Roman" w:cs="Times New Roman"/>
                <w:bCs/>
                <w:color w:val="auto"/>
                <w:szCs w:val="21"/>
                <w:highlight w:val="none"/>
              </w:rPr>
            </w:pPr>
          </w:p>
        </w:tc>
      </w:tr>
    </w:tbl>
    <w:p w14:paraId="2DE807B7">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ascii="Times New Roman"/>
          <w:color w:val="auto"/>
          <w:sz w:val="24"/>
          <w:szCs w:val="24"/>
          <w:highlight w:val="none"/>
        </w:rPr>
      </w:pPr>
      <w:r>
        <w:rPr>
          <w:rFonts w:ascii="Times New Roman"/>
          <w:b/>
          <w:bCs/>
          <w:color w:val="auto"/>
          <w:sz w:val="24"/>
          <w:szCs w:val="24"/>
          <w:highlight w:val="none"/>
        </w:rPr>
        <w:t>4.</w:t>
      </w:r>
      <w:r>
        <w:rPr>
          <w:rFonts w:hint="eastAsia" w:ascii="Times New Roman"/>
          <w:b/>
          <w:bCs/>
          <w:color w:val="auto"/>
          <w:sz w:val="24"/>
          <w:szCs w:val="24"/>
          <w:highlight w:val="none"/>
        </w:rPr>
        <w:t>2</w:t>
      </w:r>
      <w:r>
        <w:rPr>
          <w:rFonts w:ascii="Times New Roman"/>
          <w:b/>
          <w:bCs/>
          <w:color w:val="auto"/>
          <w:sz w:val="24"/>
          <w:szCs w:val="24"/>
          <w:highlight w:val="none"/>
        </w:rPr>
        <w:t>.3</w:t>
      </w:r>
      <w:r>
        <w:rPr>
          <w:rFonts w:ascii="Times New Roman"/>
          <w:color w:val="auto"/>
          <w:sz w:val="24"/>
          <w:szCs w:val="24"/>
          <w:highlight w:val="none"/>
        </w:rPr>
        <w:t xml:space="preserve"> 机械加工灌浆套筒宜采用优质碳素结构钢</w:t>
      </w:r>
      <w:r>
        <w:rPr>
          <w:rFonts w:hint="eastAsia" w:ascii="Times New Roman"/>
          <w:color w:val="auto"/>
          <w:sz w:val="24"/>
          <w:szCs w:val="24"/>
          <w:highlight w:val="none"/>
        </w:rPr>
        <w:t>，也可采用碳素结构钢、</w:t>
      </w:r>
      <w:r>
        <w:rPr>
          <w:rFonts w:ascii="Times New Roman"/>
          <w:color w:val="auto"/>
          <w:sz w:val="24"/>
          <w:szCs w:val="24"/>
          <w:highlight w:val="none"/>
        </w:rPr>
        <w:t>低合金高强度结构钢、合金结构钢或其他经过接头型式检验确定符合</w:t>
      </w:r>
      <w:r>
        <w:rPr>
          <w:rFonts w:ascii="Times New Roman" w:hAnsi="Times New Roman" w:eastAsia="Helvetica" w:cs="Times New Roman"/>
          <w:color w:val="auto"/>
          <w:spacing w:val="4"/>
          <w:sz w:val="24"/>
          <w:szCs w:val="24"/>
          <w:highlight w:val="none"/>
          <w:shd w:val="clear" w:color="auto" w:fill="FFFFFF"/>
        </w:rPr>
        <w:t>《钢筋套筒灌浆连接应用技术规程》JGJ355</w:t>
      </w:r>
      <w:r>
        <w:rPr>
          <w:rFonts w:ascii="Times New Roman"/>
          <w:color w:val="auto"/>
          <w:sz w:val="24"/>
          <w:szCs w:val="24"/>
          <w:highlight w:val="none"/>
        </w:rPr>
        <w:t>要求的钢材制作，</w:t>
      </w:r>
      <w:r>
        <w:rPr>
          <w:rFonts w:hint="eastAsia" w:ascii="Times New Roman"/>
          <w:color w:val="auto"/>
          <w:sz w:val="24"/>
          <w:szCs w:val="24"/>
          <w:highlight w:val="none"/>
        </w:rPr>
        <w:t>其力学性能和外观尺寸</w:t>
      </w:r>
      <w:r>
        <w:rPr>
          <w:rFonts w:ascii="Times New Roman"/>
          <w:color w:val="auto"/>
          <w:sz w:val="24"/>
          <w:szCs w:val="24"/>
          <w:highlight w:val="none"/>
        </w:rPr>
        <w:t>应符合现行《优质碳素结构钢》</w:t>
      </w:r>
      <w:r>
        <w:rPr>
          <w:rFonts w:hint="default" w:ascii="Times New Roman" w:hAnsi="Times New Roman" w:cs="Times New Roman"/>
          <w:color w:val="auto"/>
          <w:spacing w:val="4"/>
          <w:sz w:val="24"/>
          <w:szCs w:val="24"/>
          <w:highlight w:val="none"/>
          <w:shd w:val="clear" w:color="auto" w:fill="FFFFFF"/>
        </w:rPr>
        <w:t>（</w:t>
      </w:r>
      <w:r>
        <w:rPr>
          <w:rFonts w:ascii="Times New Roman"/>
          <w:color w:val="auto"/>
          <w:sz w:val="24"/>
          <w:szCs w:val="24"/>
          <w:highlight w:val="none"/>
        </w:rPr>
        <w:t>GB / T699</w:t>
      </w:r>
      <w:r>
        <w:rPr>
          <w:rFonts w:hint="default" w:ascii="Times New Roman" w:hAnsi="Times New Roman" w:cs="Times New Roman"/>
          <w:color w:val="auto"/>
          <w:spacing w:val="4"/>
          <w:sz w:val="24"/>
          <w:szCs w:val="24"/>
          <w:highlight w:val="none"/>
          <w:shd w:val="clear" w:color="auto" w:fill="FFFFFF"/>
        </w:rPr>
        <w:t>）</w:t>
      </w:r>
      <w:r>
        <w:rPr>
          <w:rFonts w:hint="eastAsia" w:ascii="Times New Roman"/>
          <w:color w:val="auto"/>
          <w:sz w:val="24"/>
          <w:szCs w:val="24"/>
          <w:highlight w:val="none"/>
        </w:rPr>
        <w:t>、</w:t>
      </w:r>
      <w:r>
        <w:rPr>
          <w:rFonts w:ascii="Times New Roman" w:hAnsi="Times New Roman" w:eastAsia="Helvetica" w:cs="Times New Roman"/>
          <w:color w:val="auto"/>
          <w:spacing w:val="4"/>
          <w:sz w:val="24"/>
          <w:szCs w:val="24"/>
          <w:highlight w:val="none"/>
          <w:shd w:val="clear" w:color="auto" w:fill="FFFFFF"/>
        </w:rPr>
        <w:t>《碳素结构钢》</w:t>
      </w:r>
      <w:r>
        <w:rPr>
          <w:rFonts w:hint="default" w:ascii="Times New Roman" w:hAnsi="Times New Roman" w:cs="Times New Roman"/>
          <w:color w:val="auto"/>
          <w:spacing w:val="4"/>
          <w:sz w:val="24"/>
          <w:szCs w:val="24"/>
          <w:highlight w:val="none"/>
          <w:shd w:val="clear" w:color="auto" w:fill="FFFFFF"/>
        </w:rPr>
        <w:t>（</w:t>
      </w:r>
      <w:r>
        <w:rPr>
          <w:rFonts w:ascii="Times New Roman"/>
          <w:color w:val="auto"/>
          <w:sz w:val="24"/>
          <w:szCs w:val="24"/>
          <w:highlight w:val="none"/>
        </w:rPr>
        <w:t>GB/T 700</w:t>
      </w:r>
      <w:r>
        <w:rPr>
          <w:rFonts w:hint="default" w:ascii="Times New Roman" w:hAnsi="Times New Roman" w:cs="Times New Roman"/>
          <w:color w:val="auto"/>
          <w:spacing w:val="4"/>
          <w:sz w:val="24"/>
          <w:szCs w:val="24"/>
          <w:highlight w:val="none"/>
          <w:shd w:val="clear" w:color="auto" w:fill="FFFFFF"/>
        </w:rPr>
        <w:t>）</w:t>
      </w:r>
      <w:r>
        <w:rPr>
          <w:rFonts w:hint="eastAsia" w:ascii="Times New Roman"/>
          <w:color w:val="auto"/>
          <w:sz w:val="24"/>
          <w:szCs w:val="24"/>
          <w:highlight w:val="none"/>
        </w:rPr>
        <w:t>、</w:t>
      </w:r>
      <w:r>
        <w:rPr>
          <w:rFonts w:ascii="Times New Roman" w:hAnsi="Times New Roman" w:eastAsia="Helvetica" w:cs="Times New Roman"/>
          <w:color w:val="auto"/>
          <w:spacing w:val="4"/>
          <w:sz w:val="24"/>
          <w:szCs w:val="24"/>
          <w:highlight w:val="none"/>
          <w:shd w:val="clear" w:color="auto" w:fill="FFFFFF"/>
        </w:rPr>
        <w:t>《低合金高强度结构钢》</w:t>
      </w:r>
      <w:r>
        <w:rPr>
          <w:rFonts w:hint="default" w:ascii="Times New Roman" w:hAnsi="Times New Roman" w:cs="Times New Roman"/>
          <w:color w:val="auto"/>
          <w:spacing w:val="4"/>
          <w:sz w:val="24"/>
          <w:szCs w:val="24"/>
          <w:highlight w:val="none"/>
          <w:shd w:val="clear" w:color="auto" w:fill="FFFFFF"/>
        </w:rPr>
        <w:t>（</w:t>
      </w:r>
      <w:r>
        <w:rPr>
          <w:rFonts w:ascii="Times New Roman"/>
          <w:color w:val="auto"/>
          <w:sz w:val="24"/>
          <w:szCs w:val="24"/>
          <w:highlight w:val="none"/>
        </w:rPr>
        <w:t>GB/T 1591</w:t>
      </w:r>
      <w:r>
        <w:rPr>
          <w:rFonts w:hint="default" w:ascii="Times New Roman" w:hAnsi="Times New Roman" w:cs="Times New Roman"/>
          <w:color w:val="auto"/>
          <w:spacing w:val="4"/>
          <w:sz w:val="24"/>
          <w:szCs w:val="24"/>
          <w:highlight w:val="none"/>
          <w:shd w:val="clear" w:color="auto" w:fill="FFFFFF"/>
        </w:rPr>
        <w:t>）</w:t>
      </w:r>
      <w:r>
        <w:rPr>
          <w:rFonts w:hint="eastAsia" w:ascii="Times New Roman"/>
          <w:color w:val="auto"/>
          <w:sz w:val="24"/>
          <w:szCs w:val="24"/>
          <w:highlight w:val="none"/>
        </w:rPr>
        <w:t>、</w:t>
      </w:r>
      <w:r>
        <w:rPr>
          <w:rFonts w:ascii="Times New Roman" w:hAnsi="Times New Roman" w:eastAsia="Helvetica" w:cs="Times New Roman"/>
          <w:color w:val="auto"/>
          <w:spacing w:val="4"/>
          <w:sz w:val="24"/>
          <w:szCs w:val="24"/>
          <w:highlight w:val="none"/>
          <w:shd w:val="clear" w:color="auto" w:fill="FFFFFF"/>
        </w:rPr>
        <w:t>《合金结构钢》</w:t>
      </w:r>
      <w:r>
        <w:rPr>
          <w:rFonts w:hint="default" w:ascii="Times New Roman" w:hAnsi="Times New Roman" w:cs="Times New Roman"/>
          <w:color w:val="auto"/>
          <w:spacing w:val="4"/>
          <w:sz w:val="24"/>
          <w:szCs w:val="24"/>
          <w:highlight w:val="none"/>
          <w:shd w:val="clear" w:color="auto" w:fill="FFFFFF"/>
        </w:rPr>
        <w:t>（</w:t>
      </w:r>
      <w:r>
        <w:rPr>
          <w:rFonts w:ascii="Times New Roman"/>
          <w:color w:val="auto"/>
          <w:sz w:val="24"/>
          <w:szCs w:val="24"/>
          <w:highlight w:val="none"/>
        </w:rPr>
        <w:t>GB/T 3077</w:t>
      </w:r>
      <w:r>
        <w:rPr>
          <w:rFonts w:hint="default" w:ascii="Times New Roman" w:hAnsi="Times New Roman" w:cs="Times New Roman"/>
          <w:color w:val="auto"/>
          <w:spacing w:val="4"/>
          <w:sz w:val="24"/>
          <w:szCs w:val="24"/>
          <w:highlight w:val="none"/>
          <w:shd w:val="clear" w:color="auto" w:fill="FFFFFF"/>
        </w:rPr>
        <w:t>）</w:t>
      </w:r>
      <w:r>
        <w:rPr>
          <w:rFonts w:ascii="Times New Roman"/>
          <w:color w:val="auto"/>
          <w:sz w:val="24"/>
          <w:szCs w:val="24"/>
          <w:highlight w:val="none"/>
        </w:rPr>
        <w:t>的规定，材料性能应符合表</w:t>
      </w:r>
      <w:r>
        <w:rPr>
          <w:rFonts w:hint="eastAsia" w:ascii="Times New Roman"/>
          <w:color w:val="auto"/>
          <w:sz w:val="24"/>
          <w:szCs w:val="24"/>
          <w:highlight w:val="none"/>
        </w:rPr>
        <w:t>4</w:t>
      </w:r>
      <w:r>
        <w:rPr>
          <w:rFonts w:ascii="Times New Roman"/>
          <w:color w:val="auto"/>
          <w:sz w:val="24"/>
          <w:szCs w:val="24"/>
          <w:highlight w:val="none"/>
        </w:rPr>
        <w:t>.</w:t>
      </w:r>
      <w:r>
        <w:rPr>
          <w:rFonts w:hint="eastAsia" w:ascii="Times New Roman"/>
          <w:color w:val="auto"/>
          <w:sz w:val="24"/>
          <w:szCs w:val="24"/>
          <w:highlight w:val="none"/>
        </w:rPr>
        <w:t>2</w:t>
      </w:r>
      <w:r>
        <w:rPr>
          <w:rFonts w:ascii="Times New Roman"/>
          <w:color w:val="auto"/>
          <w:sz w:val="24"/>
          <w:szCs w:val="24"/>
          <w:highlight w:val="none"/>
        </w:rPr>
        <w:t>.3 的规定。</w:t>
      </w:r>
    </w:p>
    <w:p w14:paraId="77EF69D3">
      <w:pPr>
        <w:snapToGrid w:val="0"/>
        <w:spacing w:before="156" w:beforeLines="50" w:line="360" w:lineRule="auto"/>
        <w:jc w:val="center"/>
        <w:rPr>
          <w:rFonts w:ascii="Times New Roman" w:hAnsi="Times New Roman" w:eastAsia="黑体" w:cs="Times New Roman"/>
          <w:bCs/>
          <w:color w:val="auto"/>
          <w:szCs w:val="21"/>
          <w:highlight w:val="none"/>
        </w:rPr>
      </w:pPr>
      <w:r>
        <w:rPr>
          <w:rFonts w:hint="default" w:ascii="Times New Roman" w:hAnsi="Times New Roman" w:eastAsia="黑体" w:cs="Times New Roman"/>
          <w:bCs/>
          <w:color w:val="auto"/>
          <w:szCs w:val="21"/>
          <w:highlight w:val="none"/>
        </w:rPr>
        <w:t>表 4.2.3 各类钢灌浆套筒的材料性能</w:t>
      </w:r>
    </w:p>
    <w:tbl>
      <w:tblPr>
        <w:tblStyle w:val="40"/>
        <w:tblW w:w="92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7"/>
        <w:gridCol w:w="1359"/>
        <w:gridCol w:w="1548"/>
        <w:gridCol w:w="1545"/>
        <w:gridCol w:w="1537"/>
        <w:gridCol w:w="1535"/>
      </w:tblGrid>
      <w:tr w14:paraId="40316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Pr>
          <w:p w14:paraId="785D08C1">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材料</w:t>
            </w:r>
          </w:p>
        </w:tc>
        <w:tc>
          <w:tcPr>
            <w:tcW w:w="1359" w:type="dxa"/>
          </w:tcPr>
          <w:p w14:paraId="3A1D25A8">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45号圆钢</w:t>
            </w:r>
          </w:p>
        </w:tc>
        <w:tc>
          <w:tcPr>
            <w:tcW w:w="1548" w:type="dxa"/>
          </w:tcPr>
          <w:p w14:paraId="6EC6E1C4">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45号圆管</w:t>
            </w:r>
          </w:p>
        </w:tc>
        <w:tc>
          <w:tcPr>
            <w:tcW w:w="1545" w:type="dxa"/>
          </w:tcPr>
          <w:p w14:paraId="1AEE579F">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Q390</w:t>
            </w:r>
          </w:p>
        </w:tc>
        <w:tc>
          <w:tcPr>
            <w:tcW w:w="1537" w:type="dxa"/>
          </w:tcPr>
          <w:p w14:paraId="18D9A303">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Q345</w:t>
            </w:r>
          </w:p>
        </w:tc>
        <w:tc>
          <w:tcPr>
            <w:tcW w:w="1535" w:type="dxa"/>
          </w:tcPr>
          <w:p w14:paraId="0F4187CE">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Q235</w:t>
            </w:r>
          </w:p>
        </w:tc>
      </w:tr>
      <w:tr w14:paraId="09F26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737" w:type="dxa"/>
          </w:tcPr>
          <w:p w14:paraId="61841033">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屈服强度（MPa）</w:t>
            </w:r>
          </w:p>
        </w:tc>
        <w:tc>
          <w:tcPr>
            <w:tcW w:w="1359" w:type="dxa"/>
          </w:tcPr>
          <w:p w14:paraId="202ECE16">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≥355</w:t>
            </w:r>
          </w:p>
        </w:tc>
        <w:tc>
          <w:tcPr>
            <w:tcW w:w="1548" w:type="dxa"/>
          </w:tcPr>
          <w:p w14:paraId="6E8A1F13">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≥355</w:t>
            </w:r>
          </w:p>
        </w:tc>
        <w:tc>
          <w:tcPr>
            <w:tcW w:w="1545" w:type="dxa"/>
          </w:tcPr>
          <w:p w14:paraId="6F2E949D">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≥390</w:t>
            </w:r>
          </w:p>
        </w:tc>
        <w:tc>
          <w:tcPr>
            <w:tcW w:w="1537" w:type="dxa"/>
          </w:tcPr>
          <w:p w14:paraId="04274A96">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≥345</w:t>
            </w:r>
          </w:p>
        </w:tc>
        <w:tc>
          <w:tcPr>
            <w:tcW w:w="1535" w:type="dxa"/>
          </w:tcPr>
          <w:p w14:paraId="261C9AA5">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≥235</w:t>
            </w:r>
          </w:p>
        </w:tc>
      </w:tr>
      <w:tr w14:paraId="1590A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Pr>
          <w:p w14:paraId="28DB27AF">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抗拉强度（MPa）</w:t>
            </w:r>
          </w:p>
        </w:tc>
        <w:tc>
          <w:tcPr>
            <w:tcW w:w="1359" w:type="dxa"/>
          </w:tcPr>
          <w:p w14:paraId="67041E64">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≥600</w:t>
            </w:r>
          </w:p>
        </w:tc>
        <w:tc>
          <w:tcPr>
            <w:tcW w:w="1548" w:type="dxa"/>
          </w:tcPr>
          <w:p w14:paraId="55E1E966">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≥590</w:t>
            </w:r>
          </w:p>
        </w:tc>
        <w:tc>
          <w:tcPr>
            <w:tcW w:w="1545" w:type="dxa"/>
          </w:tcPr>
          <w:p w14:paraId="56A51453">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≥490</w:t>
            </w:r>
          </w:p>
        </w:tc>
        <w:tc>
          <w:tcPr>
            <w:tcW w:w="1537" w:type="dxa"/>
          </w:tcPr>
          <w:p w14:paraId="56C52B3F">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≥470</w:t>
            </w:r>
          </w:p>
        </w:tc>
        <w:tc>
          <w:tcPr>
            <w:tcW w:w="1535" w:type="dxa"/>
          </w:tcPr>
          <w:p w14:paraId="19021594">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≥375</w:t>
            </w:r>
          </w:p>
        </w:tc>
      </w:tr>
      <w:tr w14:paraId="7E8B7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Pr>
          <w:p w14:paraId="602DC59B">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断后伸长率（%）</w:t>
            </w:r>
          </w:p>
        </w:tc>
        <w:tc>
          <w:tcPr>
            <w:tcW w:w="1359" w:type="dxa"/>
          </w:tcPr>
          <w:p w14:paraId="23E9BFE4">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≥16</w:t>
            </w:r>
          </w:p>
        </w:tc>
        <w:tc>
          <w:tcPr>
            <w:tcW w:w="1548" w:type="dxa"/>
          </w:tcPr>
          <w:p w14:paraId="5AC3B121">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≥14</w:t>
            </w:r>
          </w:p>
        </w:tc>
        <w:tc>
          <w:tcPr>
            <w:tcW w:w="1545" w:type="dxa"/>
          </w:tcPr>
          <w:p w14:paraId="00CF8C60">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≥18</w:t>
            </w:r>
          </w:p>
        </w:tc>
        <w:tc>
          <w:tcPr>
            <w:tcW w:w="1537" w:type="dxa"/>
          </w:tcPr>
          <w:p w14:paraId="6CA549B6">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≥20</w:t>
            </w:r>
          </w:p>
        </w:tc>
        <w:tc>
          <w:tcPr>
            <w:tcW w:w="1535" w:type="dxa"/>
          </w:tcPr>
          <w:p w14:paraId="28D58D9E">
            <w:pPr>
              <w:keepNext w:val="0"/>
              <w:keepLines w:val="0"/>
              <w:pageBreakBefore w:val="0"/>
              <w:widowControl w:val="0"/>
              <w:kinsoku/>
              <w:wordWrap/>
              <w:overflowPunct/>
              <w:topLinePunct w:val="0"/>
              <w:autoSpaceDE/>
              <w:autoSpaceDN/>
              <w:bidi w:val="0"/>
              <w:adjustRightInd/>
              <w:snapToGrid w:val="0"/>
              <w:spacing w:before="156" w:beforeLines="50" w:line="360" w:lineRule="auto"/>
              <w:jc w:val="center"/>
              <w:textAlignment w:val="auto"/>
              <w:rPr>
                <w:rFonts w:ascii="Times New Roman"/>
                <w:bCs/>
                <w:color w:val="auto"/>
                <w:szCs w:val="21"/>
                <w:highlight w:val="none"/>
              </w:rPr>
            </w:pPr>
            <w:r>
              <w:rPr>
                <w:rFonts w:hint="default" w:ascii="Times New Roman"/>
                <w:bCs/>
                <w:color w:val="auto"/>
                <w:szCs w:val="21"/>
                <w:highlight w:val="none"/>
              </w:rPr>
              <w:t>≥25</w:t>
            </w:r>
          </w:p>
        </w:tc>
      </w:tr>
    </w:tbl>
    <w:p w14:paraId="30AED033">
      <w:pPr>
        <w:pStyle w:val="30"/>
        <w:keepNext w:val="0"/>
        <w:keepLines w:val="0"/>
        <w:pageBreakBefore w:val="0"/>
        <w:widowControl/>
        <w:kinsoku/>
        <w:wordWrap/>
        <w:overflowPunct/>
        <w:topLinePunct w:val="0"/>
        <w:autoSpaceDE w:val="0"/>
        <w:autoSpaceDN w:val="0"/>
        <w:bidi w:val="0"/>
        <w:adjustRightInd/>
        <w:snapToGrid/>
        <w:spacing w:line="360" w:lineRule="auto"/>
        <w:ind w:firstLine="0" w:firstLineChars="0"/>
        <w:textAlignment w:val="auto"/>
        <w:rPr>
          <w:rFonts w:ascii="Times New Roman"/>
          <w:color w:val="auto"/>
          <w:sz w:val="24"/>
          <w:szCs w:val="24"/>
          <w:highlight w:val="none"/>
        </w:rPr>
      </w:pPr>
      <w:r>
        <w:rPr>
          <w:rFonts w:ascii="Times New Roman"/>
          <w:b/>
          <w:bCs/>
          <w:color w:val="auto"/>
          <w:sz w:val="24"/>
          <w:szCs w:val="24"/>
          <w:highlight w:val="none"/>
        </w:rPr>
        <w:t xml:space="preserve">4.2.4 </w:t>
      </w:r>
      <w:r>
        <w:rPr>
          <w:rFonts w:hint="default" w:ascii="Times New Roman"/>
          <w:color w:val="auto"/>
          <w:sz w:val="24"/>
          <w:szCs w:val="24"/>
          <w:highlight w:val="none"/>
        </w:rPr>
        <w:t xml:space="preserve"> 钢筋采用灌浆套筒连接后，连接接头抗拉强度不应小于连接钢筋抗拉强度标准值，且破坏时应断于接头外，连接接头变形性能应符合表4.2.4的要求。</w:t>
      </w:r>
    </w:p>
    <w:p w14:paraId="5C01DB83">
      <w:pPr>
        <w:snapToGrid w:val="0"/>
        <w:spacing w:line="400" w:lineRule="exact"/>
        <w:jc w:val="center"/>
        <w:rPr>
          <w:rFonts w:ascii="Times New Roman" w:hAnsi="Times New Roman" w:eastAsia="黑体" w:cs="Times New Roman"/>
          <w:bCs/>
          <w:color w:val="auto"/>
          <w:szCs w:val="21"/>
          <w:highlight w:val="none"/>
        </w:rPr>
      </w:pPr>
      <w:r>
        <w:rPr>
          <w:rFonts w:hint="default" w:ascii="Times New Roman" w:hAnsi="Times New Roman" w:eastAsia="黑体" w:cs="Times New Roman"/>
          <w:bCs/>
          <w:color w:val="auto"/>
          <w:szCs w:val="21"/>
          <w:highlight w:val="none"/>
        </w:rPr>
        <w:t>表4.2.4 接头的变形性能</w:t>
      </w:r>
    </w:p>
    <w:tbl>
      <w:tblPr>
        <w:tblStyle w:val="40"/>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86"/>
        <w:gridCol w:w="3688"/>
        <w:gridCol w:w="3512"/>
      </w:tblGrid>
      <w:tr w14:paraId="6B076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4" w:type="dxa"/>
            <w:gridSpan w:val="2"/>
            <w:vAlign w:val="center"/>
          </w:tcPr>
          <w:p w14:paraId="6D3DF01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项目</w:t>
            </w:r>
          </w:p>
        </w:tc>
        <w:tc>
          <w:tcPr>
            <w:tcW w:w="3512" w:type="dxa"/>
            <w:vAlign w:val="center"/>
          </w:tcPr>
          <w:p w14:paraId="7086A3A5">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变形性能要求</w:t>
            </w:r>
          </w:p>
        </w:tc>
      </w:tr>
      <w:tr w14:paraId="27EC9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2086" w:type="dxa"/>
            <w:vMerge w:val="restart"/>
            <w:vAlign w:val="center"/>
          </w:tcPr>
          <w:p w14:paraId="48AB38F8">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单向拉伸</w:t>
            </w:r>
          </w:p>
        </w:tc>
        <w:tc>
          <w:tcPr>
            <w:tcW w:w="3688" w:type="dxa"/>
            <w:vAlign w:val="center"/>
          </w:tcPr>
          <w:p w14:paraId="7B80F782">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残余变形（mm）</w:t>
            </w:r>
          </w:p>
        </w:tc>
        <w:tc>
          <w:tcPr>
            <w:tcW w:w="3512" w:type="dxa"/>
            <w:vAlign w:val="center"/>
          </w:tcPr>
          <w:p w14:paraId="2330A5E2">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u</w:t>
            </w:r>
            <w:r>
              <w:rPr>
                <w:rFonts w:hint="default" w:ascii="Times New Roman" w:hAnsi="Times New Roman" w:cs="Times New Roman"/>
                <w:bCs/>
                <w:color w:val="auto"/>
                <w:szCs w:val="21"/>
                <w:highlight w:val="none"/>
                <w:vertAlign w:val="subscript"/>
              </w:rPr>
              <w:t>0</w:t>
            </w:r>
            <w:r>
              <w:rPr>
                <w:rFonts w:hint="default" w:ascii="Times New Roman" w:hAnsi="Times New Roman" w:cs="Times New Roman"/>
                <w:bCs/>
                <w:color w:val="auto"/>
                <w:szCs w:val="21"/>
                <w:highlight w:val="none"/>
              </w:rPr>
              <w:t>≤0.10（</w:t>
            </w:r>
            <w:r>
              <w:rPr>
                <w:rFonts w:hint="default" w:ascii="Times New Roman" w:hAnsi="Times New Roman" w:cs="Times New Roman"/>
                <w:bCs/>
                <w:i/>
                <w:iCs/>
                <w:color w:val="auto"/>
                <w:szCs w:val="21"/>
                <w:highlight w:val="none"/>
              </w:rPr>
              <w:t>d</w:t>
            </w:r>
            <w:r>
              <w:rPr>
                <w:rFonts w:hint="default" w:ascii="Times New Roman" w:hAnsi="Times New Roman" w:cs="Times New Roman"/>
                <w:bCs/>
                <w:color w:val="auto"/>
                <w:szCs w:val="21"/>
                <w:highlight w:val="none"/>
              </w:rPr>
              <w:t>≤32）</w:t>
            </w:r>
          </w:p>
          <w:p w14:paraId="0F9DECE7">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u</w:t>
            </w:r>
            <w:r>
              <w:rPr>
                <w:rFonts w:hint="default" w:ascii="Times New Roman" w:hAnsi="Times New Roman" w:cs="Times New Roman"/>
                <w:bCs/>
                <w:color w:val="auto"/>
                <w:szCs w:val="21"/>
                <w:highlight w:val="none"/>
                <w:vertAlign w:val="subscript"/>
              </w:rPr>
              <w:t>0</w:t>
            </w:r>
            <w:r>
              <w:rPr>
                <w:rFonts w:hint="default" w:ascii="Times New Roman" w:hAnsi="Times New Roman" w:cs="Times New Roman"/>
                <w:bCs/>
                <w:color w:val="auto"/>
                <w:szCs w:val="21"/>
                <w:highlight w:val="none"/>
              </w:rPr>
              <w:t>≤0.14（</w:t>
            </w:r>
            <w:r>
              <w:rPr>
                <w:rFonts w:hint="default" w:ascii="Times New Roman" w:hAnsi="Times New Roman" w:cs="Times New Roman"/>
                <w:bCs/>
                <w:i/>
                <w:iCs/>
                <w:color w:val="auto"/>
                <w:szCs w:val="21"/>
                <w:highlight w:val="none"/>
              </w:rPr>
              <w:t xml:space="preserve">d </w:t>
            </w:r>
            <w:r>
              <w:rPr>
                <w:rFonts w:hint="default" w:ascii="Times New Roman" w:hAnsi="Times New Roman" w:cs="Times New Roman"/>
                <w:bCs/>
                <w:color w:val="auto"/>
                <w:szCs w:val="21"/>
                <w:highlight w:val="none"/>
              </w:rPr>
              <w:t>&gt;32）</w:t>
            </w:r>
          </w:p>
        </w:tc>
      </w:tr>
      <w:tr w14:paraId="2FB9E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6" w:type="dxa"/>
            <w:vMerge w:val="continue"/>
            <w:vAlign w:val="center"/>
          </w:tcPr>
          <w:p w14:paraId="58B9BAD4">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p>
        </w:tc>
        <w:tc>
          <w:tcPr>
            <w:tcW w:w="3688" w:type="dxa"/>
            <w:vAlign w:val="center"/>
          </w:tcPr>
          <w:p w14:paraId="3D38A498">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最大力下总伸长率（%）</w:t>
            </w:r>
          </w:p>
        </w:tc>
        <w:tc>
          <w:tcPr>
            <w:tcW w:w="3512" w:type="dxa"/>
            <w:vAlign w:val="center"/>
          </w:tcPr>
          <w:p w14:paraId="7850A63E">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vertAlign w:val="subscript"/>
              </w:rPr>
            </w:pPr>
            <w:r>
              <w:rPr>
                <w:rFonts w:hint="default" w:ascii="Times New Roman" w:hAnsi="Times New Roman" w:cs="Times New Roman"/>
                <w:bCs/>
                <w:i/>
                <w:iCs/>
                <w:color w:val="auto"/>
                <w:szCs w:val="21"/>
                <w:highlight w:val="none"/>
              </w:rPr>
              <w:t>A</w:t>
            </w:r>
            <w:r>
              <w:rPr>
                <w:rFonts w:hint="default" w:ascii="Times New Roman" w:hAnsi="Times New Roman" w:cs="Times New Roman"/>
                <w:bCs/>
                <w:color w:val="auto"/>
                <w:szCs w:val="21"/>
                <w:highlight w:val="none"/>
                <w:vertAlign w:val="subscript"/>
              </w:rPr>
              <w:t>sgt</w:t>
            </w:r>
            <w:r>
              <w:rPr>
                <w:rFonts w:hint="default" w:ascii="Times New Roman" w:hAnsi="Times New Roman" w:cs="Times New Roman"/>
                <w:bCs/>
                <w:color w:val="auto"/>
                <w:szCs w:val="21"/>
                <w:highlight w:val="none"/>
              </w:rPr>
              <w:t>≥6.0</w:t>
            </w:r>
          </w:p>
        </w:tc>
      </w:tr>
      <w:tr w14:paraId="104F2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6" w:type="dxa"/>
            <w:vAlign w:val="center"/>
          </w:tcPr>
          <w:p w14:paraId="3C0F3565">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高应力反复拉压</w:t>
            </w:r>
          </w:p>
        </w:tc>
        <w:tc>
          <w:tcPr>
            <w:tcW w:w="3688" w:type="dxa"/>
            <w:vAlign w:val="center"/>
          </w:tcPr>
          <w:p w14:paraId="3C4170A3">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残余变形（mm）</w:t>
            </w:r>
          </w:p>
        </w:tc>
        <w:tc>
          <w:tcPr>
            <w:tcW w:w="3512" w:type="dxa"/>
            <w:vAlign w:val="center"/>
          </w:tcPr>
          <w:p w14:paraId="1390CC1E">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i/>
                <w:iCs/>
                <w:color w:val="auto"/>
                <w:szCs w:val="21"/>
                <w:highlight w:val="none"/>
              </w:rPr>
              <w:t>u</w:t>
            </w:r>
            <w:r>
              <w:rPr>
                <w:rFonts w:hint="default" w:ascii="Times New Roman" w:hAnsi="Times New Roman" w:cs="Times New Roman"/>
                <w:bCs/>
                <w:color w:val="auto"/>
                <w:szCs w:val="21"/>
                <w:highlight w:val="none"/>
                <w:vertAlign w:val="subscript"/>
              </w:rPr>
              <w:t>20</w:t>
            </w:r>
            <w:r>
              <w:rPr>
                <w:rFonts w:hint="default" w:ascii="Times New Roman" w:hAnsi="Times New Roman" w:cs="Times New Roman"/>
                <w:bCs/>
                <w:color w:val="auto"/>
                <w:szCs w:val="21"/>
                <w:highlight w:val="none"/>
              </w:rPr>
              <w:t>≤0.3</w:t>
            </w:r>
          </w:p>
        </w:tc>
      </w:tr>
      <w:tr w14:paraId="48332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6" w:type="dxa"/>
            <w:vAlign w:val="center"/>
          </w:tcPr>
          <w:p w14:paraId="59C75242">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大变形反复拉压</w:t>
            </w:r>
          </w:p>
        </w:tc>
        <w:tc>
          <w:tcPr>
            <w:tcW w:w="3688" w:type="dxa"/>
            <w:vAlign w:val="center"/>
          </w:tcPr>
          <w:p w14:paraId="7431D033">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残余变形（mm）</w:t>
            </w:r>
          </w:p>
        </w:tc>
        <w:tc>
          <w:tcPr>
            <w:tcW w:w="3512" w:type="dxa"/>
            <w:vAlign w:val="center"/>
          </w:tcPr>
          <w:p w14:paraId="1186F0E8">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cs="Times New Roman"/>
                <w:bCs/>
                <w:color w:val="auto"/>
                <w:szCs w:val="21"/>
                <w:highlight w:val="none"/>
              </w:rPr>
            </w:pPr>
            <w:r>
              <w:rPr>
                <w:rFonts w:hint="default" w:ascii="Times New Roman" w:hAnsi="Times New Roman" w:cs="Times New Roman"/>
                <w:bCs/>
                <w:i/>
                <w:iCs/>
                <w:color w:val="auto"/>
                <w:szCs w:val="21"/>
                <w:highlight w:val="none"/>
              </w:rPr>
              <w:t>u</w:t>
            </w:r>
            <w:r>
              <w:rPr>
                <w:rFonts w:hint="default" w:ascii="Times New Roman" w:hAnsi="Times New Roman" w:cs="Times New Roman"/>
                <w:bCs/>
                <w:color w:val="auto"/>
                <w:szCs w:val="21"/>
                <w:highlight w:val="none"/>
                <w:vertAlign w:val="subscript"/>
              </w:rPr>
              <w:t>4</w:t>
            </w:r>
            <w:r>
              <w:rPr>
                <w:rFonts w:hint="default" w:ascii="Times New Roman" w:hAnsi="Times New Roman" w:cs="Times New Roman"/>
                <w:bCs/>
                <w:color w:val="auto"/>
                <w:szCs w:val="21"/>
                <w:highlight w:val="none"/>
              </w:rPr>
              <w:t>≤0.3且</w:t>
            </w:r>
            <w:r>
              <w:rPr>
                <w:rFonts w:hint="default" w:ascii="Times New Roman" w:hAnsi="Times New Roman" w:cs="Times New Roman"/>
                <w:bCs/>
                <w:i/>
                <w:iCs/>
                <w:color w:val="auto"/>
                <w:szCs w:val="21"/>
                <w:highlight w:val="none"/>
              </w:rPr>
              <w:t>u</w:t>
            </w:r>
            <w:r>
              <w:rPr>
                <w:rFonts w:hint="default" w:ascii="Times New Roman" w:hAnsi="Times New Roman" w:cs="Times New Roman"/>
                <w:bCs/>
                <w:color w:val="auto"/>
                <w:szCs w:val="21"/>
                <w:highlight w:val="none"/>
                <w:vertAlign w:val="subscript"/>
              </w:rPr>
              <w:t>8</w:t>
            </w:r>
            <w:r>
              <w:rPr>
                <w:rFonts w:hint="default" w:ascii="Times New Roman" w:hAnsi="Times New Roman" w:cs="Times New Roman"/>
                <w:bCs/>
                <w:color w:val="auto"/>
                <w:szCs w:val="21"/>
                <w:highlight w:val="none"/>
              </w:rPr>
              <w:t>≤0.6</w:t>
            </w:r>
          </w:p>
        </w:tc>
      </w:tr>
    </w:tbl>
    <w:p w14:paraId="2C6F2218">
      <w:pPr>
        <w:keepNext w:val="0"/>
        <w:keepLines w:val="0"/>
        <w:pageBreakBefore w:val="0"/>
        <w:widowControl w:val="0"/>
        <w:kinsoku/>
        <w:wordWrap/>
        <w:overflowPunct/>
        <w:topLinePunct w:val="0"/>
        <w:autoSpaceDE/>
        <w:autoSpaceDN/>
        <w:bidi w:val="0"/>
        <w:adjustRightInd/>
        <w:snapToGrid w:val="0"/>
        <w:spacing w:line="360" w:lineRule="auto"/>
        <w:ind w:left="0" w:hanging="252" w:hangingChars="120"/>
        <w:textAlignment w:val="auto"/>
        <w:rPr>
          <w:rFonts w:ascii="Times New Roman" w:hAnsi="Times New Roman" w:cs="Times New Roman"/>
          <w:bCs/>
          <w:color w:val="auto"/>
          <w:szCs w:val="21"/>
          <w:highlight w:val="none"/>
        </w:rPr>
      </w:pPr>
      <w:r>
        <w:rPr>
          <w:rFonts w:hint="default" w:ascii="Times New Roman" w:hAnsi="Times New Roman" w:cs="Times New Roman"/>
          <w:bCs/>
          <w:color w:val="auto"/>
          <w:szCs w:val="21"/>
          <w:highlight w:val="none"/>
        </w:rPr>
        <w:t>注</w:t>
      </w:r>
      <w:r>
        <w:rPr>
          <w:rFonts w:ascii="Times New Roman" w:hAnsi="Times New Roman" w:cs="Times New Roman"/>
          <w:bCs/>
          <w:color w:val="auto"/>
          <w:szCs w:val="21"/>
          <w:highlight w:val="none"/>
        </w:rPr>
        <w:t>: u</w:t>
      </w:r>
      <w:r>
        <w:rPr>
          <w:rFonts w:ascii="Times New Roman" w:hAnsi="Times New Roman" w:cs="Times New Roman"/>
          <w:bCs/>
          <w:color w:val="auto"/>
          <w:szCs w:val="21"/>
          <w:highlight w:val="none"/>
          <w:vertAlign w:val="subscript"/>
        </w:rPr>
        <w:t xml:space="preserve"> 0</w:t>
      </w:r>
      <w:r>
        <w:rPr>
          <w:rFonts w:hint="default" w:ascii="Times New Roman" w:hAnsi="Times New Roman" w:cs="Times New Roman"/>
          <w:bCs/>
          <w:color w:val="auto"/>
          <w:szCs w:val="21"/>
          <w:highlight w:val="none"/>
        </w:rPr>
        <w:t>为接头试件加载至</w:t>
      </w:r>
      <w:r>
        <w:rPr>
          <w:rFonts w:ascii="Times New Roman" w:hAnsi="Times New Roman" w:cs="Times New Roman"/>
          <w:bCs/>
          <w:color w:val="auto"/>
          <w:szCs w:val="21"/>
          <w:highlight w:val="none"/>
        </w:rPr>
        <w:t xml:space="preserve"> 0.6 f</w:t>
      </w:r>
      <w:r>
        <w:rPr>
          <w:rFonts w:ascii="Times New Roman" w:hAnsi="Times New Roman" w:cs="Times New Roman"/>
          <w:bCs/>
          <w:color w:val="auto"/>
          <w:szCs w:val="21"/>
          <w:highlight w:val="none"/>
          <w:vertAlign w:val="subscript"/>
        </w:rPr>
        <w:t>yk</w:t>
      </w:r>
      <w:r>
        <w:rPr>
          <w:rFonts w:hint="default" w:ascii="Times New Roman" w:hAnsi="Times New Roman" w:cs="Times New Roman"/>
          <w:bCs/>
          <w:color w:val="auto"/>
          <w:szCs w:val="21"/>
          <w:highlight w:val="none"/>
        </w:rPr>
        <w:t>并卸载后在规定标距内的残余变形</w:t>
      </w:r>
      <w:r>
        <w:rPr>
          <w:rFonts w:ascii="Times New Roman" w:hAnsi="Times New Roman" w:cs="Times New Roman"/>
          <w:bCs/>
          <w:color w:val="auto"/>
          <w:szCs w:val="21"/>
          <w:highlight w:val="none"/>
        </w:rPr>
        <w:t>;A</w:t>
      </w:r>
      <w:r>
        <w:rPr>
          <w:rFonts w:ascii="Times New Roman" w:hAnsi="Times New Roman" w:cs="Times New Roman"/>
          <w:bCs/>
          <w:color w:val="auto"/>
          <w:szCs w:val="21"/>
          <w:highlight w:val="none"/>
          <w:vertAlign w:val="subscript"/>
        </w:rPr>
        <w:t>sgt</w:t>
      </w:r>
      <w:r>
        <w:rPr>
          <w:rFonts w:ascii="Times New Roman" w:hAnsi="Times New Roman" w:cs="Times New Roman"/>
          <w:bCs/>
          <w:color w:val="auto"/>
          <w:szCs w:val="21"/>
          <w:highlight w:val="none"/>
        </w:rPr>
        <w:t xml:space="preserve"> 为接头试件的最大力下总伸长率; u</w:t>
      </w:r>
      <w:r>
        <w:rPr>
          <w:rFonts w:ascii="Times New Roman" w:hAnsi="Times New Roman" w:cs="Times New Roman"/>
          <w:bCs/>
          <w:color w:val="auto"/>
          <w:szCs w:val="21"/>
          <w:highlight w:val="none"/>
          <w:vertAlign w:val="subscript"/>
        </w:rPr>
        <w:t>20</w:t>
      </w:r>
      <w:r>
        <w:rPr>
          <w:rFonts w:ascii="Times New Roman" w:hAnsi="Times New Roman" w:cs="Times New Roman"/>
          <w:bCs/>
          <w:color w:val="auto"/>
          <w:szCs w:val="21"/>
          <w:highlight w:val="none"/>
        </w:rPr>
        <w:t xml:space="preserve"> 为接头试件按规定加载制度经高应力反复拉压20次后的残余变形; u</w:t>
      </w:r>
      <w:r>
        <w:rPr>
          <w:rFonts w:ascii="Times New Roman" w:hAnsi="Times New Roman" w:cs="Times New Roman"/>
          <w:bCs/>
          <w:color w:val="auto"/>
          <w:szCs w:val="21"/>
          <w:highlight w:val="none"/>
          <w:vertAlign w:val="subscript"/>
        </w:rPr>
        <w:t>4</w:t>
      </w:r>
      <w:r>
        <w:rPr>
          <w:rFonts w:hint="default" w:ascii="Times New Roman" w:hAnsi="Times New Roman" w:cs="Times New Roman"/>
          <w:bCs/>
          <w:color w:val="auto"/>
          <w:szCs w:val="21"/>
          <w:highlight w:val="none"/>
        </w:rPr>
        <w:t>为接头试件按规定加载制度经大变形反复拉压</w:t>
      </w:r>
      <w:r>
        <w:rPr>
          <w:rFonts w:ascii="Times New Roman" w:hAnsi="Times New Roman" w:cs="Times New Roman"/>
          <w:bCs/>
          <w:color w:val="auto"/>
          <w:szCs w:val="21"/>
          <w:highlight w:val="none"/>
        </w:rPr>
        <w:t>4次后的残余变形;u</w:t>
      </w:r>
      <w:r>
        <w:rPr>
          <w:rFonts w:ascii="Times New Roman" w:hAnsi="Times New Roman" w:cs="Times New Roman"/>
          <w:bCs/>
          <w:color w:val="auto"/>
          <w:szCs w:val="21"/>
          <w:highlight w:val="none"/>
          <w:vertAlign w:val="subscript"/>
        </w:rPr>
        <w:t>8</w:t>
      </w:r>
      <w:r>
        <w:rPr>
          <w:rFonts w:hint="default" w:ascii="Times New Roman" w:hAnsi="Times New Roman" w:cs="Times New Roman"/>
          <w:bCs/>
          <w:color w:val="auto"/>
          <w:szCs w:val="21"/>
          <w:highlight w:val="none"/>
        </w:rPr>
        <w:t>为接头试件按规定加载制度经大变形反复拉压</w:t>
      </w:r>
      <w:r>
        <w:rPr>
          <w:rFonts w:ascii="Times New Roman" w:hAnsi="Times New Roman" w:cs="Times New Roman"/>
          <w:bCs/>
          <w:color w:val="auto"/>
          <w:szCs w:val="21"/>
          <w:highlight w:val="none"/>
        </w:rPr>
        <w:t>8次后的残余变形; f</w:t>
      </w:r>
      <w:r>
        <w:rPr>
          <w:rFonts w:ascii="Times New Roman" w:hAnsi="Times New Roman" w:cs="Times New Roman"/>
          <w:bCs/>
          <w:color w:val="auto"/>
          <w:szCs w:val="21"/>
          <w:highlight w:val="none"/>
          <w:vertAlign w:val="subscript"/>
        </w:rPr>
        <w:t>yk</w:t>
      </w:r>
      <w:r>
        <w:rPr>
          <w:rFonts w:hint="default" w:ascii="Times New Roman" w:hAnsi="Times New Roman" w:cs="Times New Roman"/>
          <w:bCs/>
          <w:color w:val="auto"/>
          <w:szCs w:val="21"/>
          <w:highlight w:val="none"/>
        </w:rPr>
        <w:t>为钢筋屈服强度标准值</w:t>
      </w:r>
      <w:r>
        <w:rPr>
          <w:rFonts w:ascii="Times New Roman" w:hAnsi="Times New Roman" w:cs="Times New Roman"/>
          <w:bCs/>
          <w:color w:val="auto"/>
          <w:szCs w:val="21"/>
          <w:highlight w:val="none"/>
        </w:rPr>
        <w:t>;ε</w:t>
      </w:r>
      <w:r>
        <w:rPr>
          <w:rFonts w:ascii="Times New Roman" w:hAnsi="Times New Roman" w:cs="Times New Roman"/>
          <w:bCs/>
          <w:color w:val="auto"/>
          <w:szCs w:val="21"/>
          <w:highlight w:val="none"/>
          <w:vertAlign w:val="subscript"/>
        </w:rPr>
        <w:t>yk</w:t>
      </w:r>
      <w:r>
        <w:rPr>
          <w:rFonts w:hint="default" w:ascii="Times New Roman" w:hAnsi="Times New Roman" w:cs="Times New Roman"/>
          <w:bCs/>
          <w:color w:val="auto"/>
          <w:szCs w:val="21"/>
          <w:highlight w:val="none"/>
        </w:rPr>
        <w:t>为钢筋应力为屈服强度标准值时的应变。</w:t>
      </w:r>
    </w:p>
    <w:p w14:paraId="2D1D52AF">
      <w:pPr>
        <w:spacing w:before="156" w:beforeLines="50" w:after="156" w:afterLines="50" w:line="360" w:lineRule="auto"/>
        <w:jc w:val="center"/>
        <w:outlineLvl w:val="1"/>
        <w:rPr>
          <w:rFonts w:hint="eastAsia" w:ascii="Times New Roman" w:hAnsi="Times New Roman" w:cs="Times New Roman"/>
          <w:b/>
          <w:kern w:val="0"/>
          <w:sz w:val="28"/>
          <w:szCs w:val="28"/>
        </w:rPr>
      </w:pPr>
      <w:bookmarkStart w:id="46" w:name="_Toc4048"/>
      <w:bookmarkStart w:id="47" w:name="_Toc24693"/>
      <w:bookmarkStart w:id="48" w:name="_Toc24164"/>
      <w:r>
        <w:rPr>
          <w:rFonts w:hint="eastAsia" w:ascii="Times New Roman" w:hAnsi="Times New Roman" w:cs="Times New Roman"/>
          <w:b/>
          <w:kern w:val="0"/>
          <w:sz w:val="28"/>
          <w:szCs w:val="28"/>
        </w:rPr>
        <w:t>4.3 灌浆波纹钢管</w:t>
      </w:r>
      <w:bookmarkEnd w:id="46"/>
      <w:bookmarkEnd w:id="47"/>
      <w:bookmarkEnd w:id="48"/>
    </w:p>
    <w:p w14:paraId="5C04A176">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4.3.1</w:t>
      </w:r>
      <w:r>
        <w:rPr>
          <w:rFonts w:hint="eastAsia"/>
          <w:bCs/>
          <w:color w:val="auto"/>
          <w:sz w:val="24"/>
          <w:szCs w:val="24"/>
          <w:highlight w:val="none"/>
        </w:rPr>
        <w:t xml:space="preserve">  灌浆波纹钢管可采用直缝电焊钢管和无缝钢管制作。直缝电焊钢管应符合现行《直缝电焊钢管》(GB / T13793 )的相关规定，无缝钢管应符合现行《结构用无缝钢管》( GB / T8162 )的相关规定。</w:t>
      </w:r>
    </w:p>
    <w:p w14:paraId="5C8D2113">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4.3.2</w:t>
      </w:r>
      <w:r>
        <w:rPr>
          <w:rFonts w:hint="eastAsia"/>
          <w:bCs/>
          <w:color w:val="auto"/>
          <w:sz w:val="24"/>
          <w:szCs w:val="24"/>
          <w:highlight w:val="none"/>
        </w:rPr>
        <w:t xml:space="preserve">  灌浆波纹钢管应采用 Q235或以上钢材，封口板可选用 Q235 钢，其质量应符合现行《优质碳素结构钢》(GB / T699 )或《低合金高强度结构钢》(GB / T1591)的相关规定。</w:t>
      </w:r>
    </w:p>
    <w:p w14:paraId="718FB32C">
      <w:pPr>
        <w:spacing w:before="156" w:beforeLines="50" w:after="156" w:afterLines="50" w:line="360" w:lineRule="auto"/>
        <w:jc w:val="center"/>
        <w:outlineLvl w:val="1"/>
        <w:rPr>
          <w:rFonts w:hint="eastAsia" w:ascii="Times New Roman" w:hAnsi="Times New Roman" w:cs="Times New Roman"/>
          <w:b/>
          <w:kern w:val="0"/>
          <w:sz w:val="28"/>
          <w:szCs w:val="28"/>
        </w:rPr>
      </w:pPr>
      <w:bookmarkStart w:id="49" w:name="_Toc25597"/>
      <w:bookmarkStart w:id="50" w:name="_Toc16390"/>
      <w:bookmarkStart w:id="51" w:name="_Toc19437"/>
      <w:r>
        <w:rPr>
          <w:rFonts w:hint="eastAsia" w:ascii="Times New Roman" w:hAnsi="Times New Roman" w:cs="Times New Roman"/>
          <w:b/>
          <w:kern w:val="0"/>
          <w:sz w:val="28"/>
          <w:szCs w:val="28"/>
        </w:rPr>
        <w:t>4.4 预应力筋和锚具</w:t>
      </w:r>
      <w:bookmarkEnd w:id="49"/>
      <w:bookmarkEnd w:id="50"/>
      <w:bookmarkEnd w:id="51"/>
    </w:p>
    <w:p w14:paraId="1275D63B">
      <w:pPr>
        <w:pStyle w:val="30"/>
        <w:keepNext w:val="0"/>
        <w:keepLines w:val="0"/>
        <w:pageBreakBefore w:val="0"/>
        <w:kinsoku/>
        <w:wordWrap/>
        <w:overflowPunct/>
        <w:topLinePunct w:val="0"/>
        <w:bidi w:val="0"/>
        <w:adjustRightInd/>
        <w:spacing w:line="360" w:lineRule="auto"/>
        <w:ind w:firstLine="0" w:firstLineChars="0"/>
        <w:textAlignment w:val="auto"/>
        <w:rPr>
          <w:rFonts w:ascii="Times New Roman"/>
          <w:bCs/>
          <w:color w:val="auto"/>
          <w:sz w:val="24"/>
          <w:szCs w:val="24"/>
          <w:highlight w:val="none"/>
        </w:rPr>
      </w:pPr>
      <w:r>
        <w:rPr>
          <w:rFonts w:hint="default" w:ascii="Times New Roman"/>
          <w:b/>
          <w:color w:val="auto"/>
          <w:sz w:val="24"/>
          <w:szCs w:val="24"/>
          <w:highlight w:val="none"/>
        </w:rPr>
        <w:t>4.4.1</w:t>
      </w:r>
      <w:r>
        <w:rPr>
          <w:rFonts w:hint="default" w:ascii="Times New Roman"/>
          <w:bCs/>
          <w:color w:val="auto"/>
          <w:sz w:val="24"/>
          <w:szCs w:val="24"/>
          <w:highlight w:val="none"/>
        </w:rPr>
        <w:t xml:space="preserve">  </w:t>
      </w:r>
      <w:r>
        <w:rPr>
          <w:rFonts w:hint="default" w:ascii="Times New Roman" w:hAnsi="Times New Roman" w:cs="Times New Roman"/>
          <w:color w:val="auto"/>
          <w:sz w:val="24"/>
          <w:szCs w:val="24"/>
          <w:highlight w:val="none"/>
        </w:rPr>
        <w:t>装配式混凝土桥梁预制构件</w:t>
      </w:r>
      <w:r>
        <w:rPr>
          <w:rFonts w:hint="default" w:ascii="Times New Roman"/>
          <w:bCs/>
          <w:color w:val="auto"/>
          <w:sz w:val="24"/>
          <w:szCs w:val="24"/>
          <w:highlight w:val="none"/>
        </w:rPr>
        <w:t>连接用预应力筋宜采用预应力钢绞线或预应力螺纹钢筋，其</w:t>
      </w:r>
      <w:r>
        <w:rPr>
          <w:rFonts w:hint="eastAsia" w:ascii="Times New Roman"/>
          <w:color w:val="auto"/>
          <w:sz w:val="24"/>
          <w:szCs w:val="24"/>
          <w:highlight w:val="none"/>
        </w:rPr>
        <w:t>设计指标应符合现行《公路钢筋混凝土及预应力混凝土桥涵设计规范》</w:t>
      </w:r>
      <w:r>
        <w:rPr>
          <w:rFonts w:ascii="Times New Roman"/>
          <w:color w:val="auto"/>
          <w:sz w:val="24"/>
          <w:szCs w:val="24"/>
          <w:highlight w:val="none"/>
        </w:rPr>
        <w:t>(JTG3362 )</w:t>
      </w:r>
      <w:r>
        <w:rPr>
          <w:rFonts w:hint="eastAsia" w:ascii="Times New Roman"/>
          <w:color w:val="auto"/>
          <w:sz w:val="24"/>
          <w:szCs w:val="24"/>
          <w:highlight w:val="none"/>
        </w:rPr>
        <w:t>的规定。</w:t>
      </w:r>
    </w:p>
    <w:p w14:paraId="1D3746B8">
      <w:pPr>
        <w:keepNext w:val="0"/>
        <w:keepLines w:val="0"/>
        <w:pageBreakBefore w:val="0"/>
        <w:kinsoku/>
        <w:wordWrap/>
        <w:overflowPunct/>
        <w:topLinePunct w:val="0"/>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 xml:space="preserve">4.4.2 </w:t>
      </w:r>
      <w:r>
        <w:rPr>
          <w:b/>
          <w:color w:val="auto"/>
          <w:sz w:val="24"/>
          <w:szCs w:val="24"/>
          <w:highlight w:val="none"/>
        </w:rPr>
        <w:t xml:space="preserve"> </w:t>
      </w:r>
      <w:r>
        <w:rPr>
          <w:rFonts w:hint="eastAsia"/>
          <w:bCs/>
          <w:color w:val="auto"/>
          <w:sz w:val="24"/>
          <w:szCs w:val="24"/>
          <w:highlight w:val="none"/>
        </w:rPr>
        <w:t>预应力筋用锚具组装件的连接性能应符合现行《预应力钢筋用锚具、夹具和连接器》</w:t>
      </w:r>
      <w:r>
        <w:rPr>
          <w:bCs/>
          <w:color w:val="auto"/>
          <w:sz w:val="24"/>
          <w:szCs w:val="24"/>
          <w:highlight w:val="none"/>
        </w:rPr>
        <w:t>(GB / T14370 )</w:t>
      </w:r>
      <w:r>
        <w:rPr>
          <w:rFonts w:hint="eastAsia"/>
          <w:bCs/>
          <w:color w:val="auto"/>
          <w:sz w:val="24"/>
          <w:szCs w:val="24"/>
          <w:highlight w:val="none"/>
        </w:rPr>
        <w:t>的要求。</w:t>
      </w:r>
    </w:p>
    <w:p w14:paraId="0D72212A">
      <w:pPr>
        <w:spacing w:before="156" w:beforeLines="50" w:after="156" w:afterLines="50" w:line="360" w:lineRule="auto"/>
        <w:jc w:val="center"/>
        <w:outlineLvl w:val="1"/>
        <w:rPr>
          <w:rFonts w:hint="eastAsia" w:ascii="Times New Roman" w:hAnsi="Times New Roman" w:cs="Times New Roman"/>
          <w:b/>
          <w:kern w:val="0"/>
          <w:sz w:val="28"/>
          <w:szCs w:val="28"/>
        </w:rPr>
      </w:pPr>
      <w:bookmarkStart w:id="208" w:name="_GoBack"/>
      <w:bookmarkEnd w:id="208"/>
      <w:bookmarkStart w:id="52" w:name="_Toc26693"/>
      <w:bookmarkStart w:id="53" w:name="_Toc6612"/>
      <w:bookmarkStart w:id="54" w:name="_Toc7087"/>
      <w:r>
        <w:rPr>
          <w:rFonts w:hint="eastAsia" w:ascii="Times New Roman" w:hAnsi="Times New Roman" w:cs="Times New Roman"/>
          <w:b/>
          <w:kern w:val="0"/>
          <w:sz w:val="28"/>
          <w:szCs w:val="28"/>
        </w:rPr>
        <w:t xml:space="preserve">4.5 </w:t>
      </w:r>
      <w:r>
        <w:rPr>
          <w:rFonts w:hint="default" w:ascii="Times New Roman" w:hAnsi="Times New Roman" w:cs="Times New Roman"/>
          <w:b/>
          <w:kern w:val="0"/>
          <w:sz w:val="28"/>
          <w:szCs w:val="28"/>
        </w:rPr>
        <w:t>灌浆料与接缝材料</w:t>
      </w:r>
      <w:bookmarkEnd w:id="52"/>
      <w:bookmarkEnd w:id="53"/>
      <w:bookmarkEnd w:id="54"/>
    </w:p>
    <w:p w14:paraId="77AE19C6">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4.5.1</w:t>
      </w:r>
      <w:r>
        <w:rPr>
          <w:rFonts w:hint="eastAsia"/>
          <w:bCs/>
          <w:color w:val="auto"/>
          <w:sz w:val="24"/>
          <w:szCs w:val="24"/>
          <w:highlight w:val="none"/>
        </w:rPr>
        <w:t xml:space="preserve">  用于灌浆套筒连接、灌浆波纹钢管连接、承插式连接的水泥基灌浆料性能应满足表4.5.1的要求。</w:t>
      </w:r>
    </w:p>
    <w:p w14:paraId="24B43785">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ascii="Times New Roman" w:hAnsi="Times New Roman" w:eastAsia="黑体" w:cs="Times New Roman"/>
          <w:bCs/>
          <w:color w:val="auto"/>
          <w:szCs w:val="21"/>
          <w:highlight w:val="none"/>
        </w:rPr>
      </w:pPr>
      <w:r>
        <w:rPr>
          <w:rFonts w:hint="default" w:ascii="Times New Roman" w:hAnsi="Times New Roman" w:eastAsia="黑体" w:cs="Times New Roman"/>
          <w:bCs/>
          <w:color w:val="auto"/>
          <w:szCs w:val="21"/>
          <w:highlight w:val="none"/>
        </w:rPr>
        <w:t>表4.</w:t>
      </w:r>
      <w:r>
        <w:rPr>
          <w:rFonts w:ascii="Times New Roman" w:hAnsi="Times New Roman" w:eastAsia="黑体" w:cs="Times New Roman"/>
          <w:bCs/>
          <w:color w:val="auto"/>
          <w:szCs w:val="21"/>
          <w:highlight w:val="none"/>
        </w:rPr>
        <w:t>5</w:t>
      </w:r>
      <w:r>
        <w:rPr>
          <w:rFonts w:hint="default" w:ascii="Times New Roman" w:hAnsi="Times New Roman" w:eastAsia="黑体" w:cs="Times New Roman"/>
          <w:bCs/>
          <w:color w:val="auto"/>
          <w:szCs w:val="21"/>
          <w:highlight w:val="none"/>
        </w:rPr>
        <w:t>.1 连接用水泥基灌浆料的性能指标</w:t>
      </w:r>
    </w:p>
    <w:tbl>
      <w:tblPr>
        <w:tblStyle w:val="39"/>
        <w:tblW w:w="89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9"/>
        <w:gridCol w:w="1836"/>
        <w:gridCol w:w="1900"/>
        <w:gridCol w:w="2114"/>
        <w:gridCol w:w="2007"/>
      </w:tblGrid>
      <w:tr w14:paraId="65D90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2975" w:type="dxa"/>
            <w:gridSpan w:val="2"/>
            <w:vMerge w:val="restart"/>
            <w:shd w:val="clear" w:color="auto" w:fill="auto"/>
            <w:vAlign w:val="center"/>
          </w:tcPr>
          <w:p w14:paraId="5C1B89D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项目（性能指标单位）</w:t>
            </w:r>
          </w:p>
        </w:tc>
        <w:tc>
          <w:tcPr>
            <w:tcW w:w="6021" w:type="dxa"/>
            <w:gridSpan w:val="3"/>
            <w:shd w:val="clear" w:color="auto" w:fill="auto"/>
            <w:vAlign w:val="center"/>
          </w:tcPr>
          <w:p w14:paraId="79CD978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性能指标</w:t>
            </w:r>
          </w:p>
        </w:tc>
      </w:tr>
      <w:tr w14:paraId="68CC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2975" w:type="dxa"/>
            <w:gridSpan w:val="2"/>
            <w:vMerge w:val="continue"/>
            <w:shd w:val="clear" w:color="auto" w:fill="auto"/>
            <w:vAlign w:val="center"/>
          </w:tcPr>
          <w:p w14:paraId="364F4D6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p>
        </w:tc>
        <w:tc>
          <w:tcPr>
            <w:tcW w:w="1900" w:type="dxa"/>
            <w:shd w:val="clear" w:color="auto" w:fill="auto"/>
            <w:vAlign w:val="center"/>
          </w:tcPr>
          <w:p w14:paraId="0A06D47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rFonts w:hint="eastAsia"/>
                <w:color w:val="auto"/>
                <w:highlight w:val="none"/>
              </w:rPr>
              <w:t>灌浆套筒连接</w:t>
            </w:r>
          </w:p>
        </w:tc>
        <w:tc>
          <w:tcPr>
            <w:tcW w:w="2114" w:type="dxa"/>
            <w:shd w:val="clear" w:color="auto" w:fill="auto"/>
            <w:vAlign w:val="center"/>
          </w:tcPr>
          <w:p w14:paraId="36B2AE8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rFonts w:hint="eastAsia"/>
                <w:color w:val="auto"/>
                <w:highlight w:val="none"/>
              </w:rPr>
              <w:t>灌浆波纹钢管连接</w:t>
            </w:r>
          </w:p>
        </w:tc>
        <w:tc>
          <w:tcPr>
            <w:tcW w:w="2007" w:type="dxa"/>
            <w:shd w:val="clear" w:color="auto" w:fill="auto"/>
            <w:vAlign w:val="center"/>
          </w:tcPr>
          <w:p w14:paraId="3140A60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rFonts w:hint="eastAsia"/>
                <w:color w:val="auto"/>
                <w:highlight w:val="none"/>
              </w:rPr>
              <w:t>承插式连接</w:t>
            </w:r>
          </w:p>
        </w:tc>
      </w:tr>
      <w:tr w14:paraId="0484E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1139" w:type="dxa"/>
            <w:vMerge w:val="restart"/>
            <w:shd w:val="clear" w:color="auto" w:fill="auto"/>
            <w:vAlign w:val="center"/>
          </w:tcPr>
          <w:p w14:paraId="5A3BEB1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流动性（mm）</w:t>
            </w:r>
          </w:p>
        </w:tc>
        <w:tc>
          <w:tcPr>
            <w:tcW w:w="1836" w:type="dxa"/>
            <w:shd w:val="clear" w:color="auto" w:fill="auto"/>
            <w:vAlign w:val="center"/>
          </w:tcPr>
          <w:p w14:paraId="7C6C63F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初始</w:t>
            </w:r>
          </w:p>
        </w:tc>
        <w:tc>
          <w:tcPr>
            <w:tcW w:w="1900" w:type="dxa"/>
            <w:shd w:val="clear" w:color="auto" w:fill="auto"/>
            <w:vAlign w:val="center"/>
          </w:tcPr>
          <w:p w14:paraId="0274D50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320</w:t>
            </w:r>
          </w:p>
        </w:tc>
        <w:tc>
          <w:tcPr>
            <w:tcW w:w="2114" w:type="dxa"/>
            <w:shd w:val="clear" w:color="auto" w:fill="auto"/>
            <w:vAlign w:val="center"/>
          </w:tcPr>
          <w:p w14:paraId="59F3F6E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200</w:t>
            </w:r>
          </w:p>
        </w:tc>
        <w:tc>
          <w:tcPr>
            <w:tcW w:w="2007" w:type="dxa"/>
            <w:shd w:val="clear" w:color="auto" w:fill="auto"/>
            <w:vAlign w:val="center"/>
          </w:tcPr>
          <w:p w14:paraId="5182CCA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340</w:t>
            </w:r>
          </w:p>
        </w:tc>
      </w:tr>
      <w:tr w14:paraId="36F69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1139" w:type="dxa"/>
            <w:vMerge w:val="continue"/>
            <w:shd w:val="clear" w:color="auto" w:fill="auto"/>
            <w:vAlign w:val="center"/>
          </w:tcPr>
          <w:p w14:paraId="08EFB70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p>
        </w:tc>
        <w:tc>
          <w:tcPr>
            <w:tcW w:w="1836" w:type="dxa"/>
            <w:shd w:val="clear" w:color="auto" w:fill="auto"/>
            <w:vAlign w:val="center"/>
          </w:tcPr>
          <w:p w14:paraId="158DFE5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30 min</w:t>
            </w:r>
          </w:p>
        </w:tc>
        <w:tc>
          <w:tcPr>
            <w:tcW w:w="1900" w:type="dxa"/>
            <w:shd w:val="clear" w:color="auto" w:fill="auto"/>
            <w:vAlign w:val="center"/>
          </w:tcPr>
          <w:p w14:paraId="2F6D9CC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260</w:t>
            </w:r>
          </w:p>
        </w:tc>
        <w:tc>
          <w:tcPr>
            <w:tcW w:w="2114" w:type="dxa"/>
            <w:shd w:val="clear" w:color="auto" w:fill="auto"/>
            <w:vAlign w:val="center"/>
          </w:tcPr>
          <w:p w14:paraId="09CF40D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150</w:t>
            </w:r>
          </w:p>
        </w:tc>
        <w:tc>
          <w:tcPr>
            <w:tcW w:w="2007" w:type="dxa"/>
            <w:shd w:val="clear" w:color="auto" w:fill="auto"/>
            <w:vAlign w:val="center"/>
          </w:tcPr>
          <w:p w14:paraId="0F33AA5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310</w:t>
            </w:r>
          </w:p>
        </w:tc>
      </w:tr>
      <w:tr w14:paraId="12363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1139" w:type="dxa"/>
            <w:vMerge w:val="restart"/>
            <w:shd w:val="clear" w:color="auto" w:fill="auto"/>
            <w:vAlign w:val="center"/>
          </w:tcPr>
          <w:p w14:paraId="0247851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抗压强度（MPa）</w:t>
            </w:r>
          </w:p>
        </w:tc>
        <w:tc>
          <w:tcPr>
            <w:tcW w:w="1836" w:type="dxa"/>
            <w:shd w:val="clear" w:color="auto" w:fill="auto"/>
            <w:vAlign w:val="center"/>
          </w:tcPr>
          <w:p w14:paraId="7413AB0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1 d</w:t>
            </w:r>
          </w:p>
        </w:tc>
        <w:tc>
          <w:tcPr>
            <w:tcW w:w="1900" w:type="dxa"/>
            <w:shd w:val="clear" w:color="auto" w:fill="auto"/>
            <w:vAlign w:val="center"/>
          </w:tcPr>
          <w:p w14:paraId="378DAFD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≥35</w:t>
            </w:r>
          </w:p>
        </w:tc>
        <w:tc>
          <w:tcPr>
            <w:tcW w:w="2114" w:type="dxa"/>
            <w:shd w:val="clear" w:color="auto" w:fill="auto"/>
            <w:vAlign w:val="center"/>
          </w:tcPr>
          <w:p w14:paraId="673C9DF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≥35</w:t>
            </w:r>
          </w:p>
        </w:tc>
        <w:tc>
          <w:tcPr>
            <w:tcW w:w="2007" w:type="dxa"/>
            <w:shd w:val="clear" w:color="auto" w:fill="auto"/>
            <w:vAlign w:val="center"/>
          </w:tcPr>
          <w:p w14:paraId="3610CC4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20</w:t>
            </w:r>
          </w:p>
        </w:tc>
      </w:tr>
      <w:tr w14:paraId="6D2BC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1139" w:type="dxa"/>
            <w:vMerge w:val="continue"/>
            <w:shd w:val="clear" w:color="auto" w:fill="auto"/>
            <w:vAlign w:val="center"/>
          </w:tcPr>
          <w:p w14:paraId="5FADFE2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p>
        </w:tc>
        <w:tc>
          <w:tcPr>
            <w:tcW w:w="1836" w:type="dxa"/>
            <w:shd w:val="clear" w:color="auto" w:fill="auto"/>
            <w:vAlign w:val="center"/>
          </w:tcPr>
          <w:p w14:paraId="247CB24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3 d</w:t>
            </w:r>
          </w:p>
        </w:tc>
        <w:tc>
          <w:tcPr>
            <w:tcW w:w="1900" w:type="dxa"/>
            <w:shd w:val="clear" w:color="auto" w:fill="auto"/>
            <w:vAlign w:val="center"/>
          </w:tcPr>
          <w:p w14:paraId="7DBD185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60</w:t>
            </w:r>
          </w:p>
        </w:tc>
        <w:tc>
          <w:tcPr>
            <w:tcW w:w="2114" w:type="dxa"/>
            <w:shd w:val="clear" w:color="auto" w:fill="auto"/>
            <w:vAlign w:val="center"/>
          </w:tcPr>
          <w:p w14:paraId="0582FECB">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55</w:t>
            </w:r>
          </w:p>
        </w:tc>
        <w:tc>
          <w:tcPr>
            <w:tcW w:w="2007" w:type="dxa"/>
            <w:shd w:val="clear" w:color="auto" w:fill="auto"/>
            <w:vAlign w:val="center"/>
          </w:tcPr>
          <w:p w14:paraId="3EB57B1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40</w:t>
            </w:r>
          </w:p>
        </w:tc>
      </w:tr>
      <w:tr w14:paraId="7AFC8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1139" w:type="dxa"/>
            <w:vMerge w:val="continue"/>
            <w:shd w:val="clear" w:color="auto" w:fill="auto"/>
            <w:vAlign w:val="center"/>
          </w:tcPr>
          <w:p w14:paraId="2227233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p>
        </w:tc>
        <w:tc>
          <w:tcPr>
            <w:tcW w:w="1836" w:type="dxa"/>
            <w:shd w:val="clear" w:color="auto" w:fill="auto"/>
            <w:vAlign w:val="center"/>
          </w:tcPr>
          <w:p w14:paraId="1B1D600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28 d</w:t>
            </w:r>
          </w:p>
        </w:tc>
        <w:tc>
          <w:tcPr>
            <w:tcW w:w="1900" w:type="dxa"/>
            <w:shd w:val="clear" w:color="auto" w:fill="auto"/>
            <w:vAlign w:val="center"/>
          </w:tcPr>
          <w:p w14:paraId="1305339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100</w:t>
            </w:r>
          </w:p>
        </w:tc>
        <w:tc>
          <w:tcPr>
            <w:tcW w:w="2114" w:type="dxa"/>
            <w:shd w:val="clear" w:color="auto" w:fill="auto"/>
            <w:vAlign w:val="center"/>
          </w:tcPr>
          <w:p w14:paraId="70A70A2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80</w:t>
            </w:r>
          </w:p>
        </w:tc>
        <w:tc>
          <w:tcPr>
            <w:tcW w:w="2007" w:type="dxa"/>
            <w:shd w:val="clear" w:color="auto" w:fill="auto"/>
            <w:vAlign w:val="center"/>
          </w:tcPr>
          <w:p w14:paraId="556EF59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60</w:t>
            </w:r>
          </w:p>
        </w:tc>
      </w:tr>
      <w:tr w14:paraId="63188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1139" w:type="dxa"/>
            <w:vMerge w:val="restart"/>
            <w:shd w:val="clear" w:color="auto" w:fill="auto"/>
            <w:vAlign w:val="center"/>
          </w:tcPr>
          <w:p w14:paraId="672D79A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竖向膨胀率（%）</w:t>
            </w:r>
          </w:p>
        </w:tc>
        <w:tc>
          <w:tcPr>
            <w:tcW w:w="1836" w:type="dxa"/>
            <w:shd w:val="clear" w:color="auto" w:fill="auto"/>
            <w:vAlign w:val="center"/>
          </w:tcPr>
          <w:p w14:paraId="55EEDA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3 h</w:t>
            </w:r>
          </w:p>
        </w:tc>
        <w:tc>
          <w:tcPr>
            <w:tcW w:w="1900" w:type="dxa"/>
            <w:shd w:val="clear" w:color="auto" w:fill="auto"/>
            <w:vAlign w:val="center"/>
          </w:tcPr>
          <w:p w14:paraId="418A605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0.02～</w:t>
            </w:r>
            <w:r>
              <w:rPr>
                <w:rFonts w:hint="eastAsia"/>
                <w:color w:val="auto"/>
                <w:highlight w:val="none"/>
              </w:rPr>
              <w:t>2.00</w:t>
            </w:r>
          </w:p>
        </w:tc>
        <w:tc>
          <w:tcPr>
            <w:tcW w:w="2114" w:type="dxa"/>
            <w:shd w:val="clear" w:color="auto" w:fill="auto"/>
            <w:vAlign w:val="center"/>
          </w:tcPr>
          <w:p w14:paraId="3FB8C6B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0.02</w:t>
            </w:r>
          </w:p>
        </w:tc>
        <w:tc>
          <w:tcPr>
            <w:tcW w:w="2007" w:type="dxa"/>
            <w:shd w:val="clear" w:color="auto" w:fill="auto"/>
            <w:vAlign w:val="center"/>
          </w:tcPr>
          <w:p w14:paraId="725673B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0.1</w:t>
            </w:r>
          </w:p>
        </w:tc>
      </w:tr>
      <w:tr w14:paraId="01560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139" w:type="dxa"/>
            <w:vMerge w:val="continue"/>
            <w:shd w:val="clear" w:color="auto" w:fill="auto"/>
            <w:vAlign w:val="center"/>
          </w:tcPr>
          <w:p w14:paraId="051D209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p>
        </w:tc>
        <w:tc>
          <w:tcPr>
            <w:tcW w:w="1836" w:type="dxa"/>
            <w:shd w:val="clear" w:color="auto" w:fill="auto"/>
            <w:vAlign w:val="center"/>
          </w:tcPr>
          <w:p w14:paraId="61AD06F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24 h与3 h差值</w:t>
            </w:r>
          </w:p>
        </w:tc>
        <w:tc>
          <w:tcPr>
            <w:tcW w:w="1900" w:type="dxa"/>
            <w:shd w:val="clear" w:color="auto" w:fill="auto"/>
            <w:vAlign w:val="center"/>
          </w:tcPr>
          <w:p w14:paraId="07148A4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0.02～0.</w:t>
            </w:r>
            <w:r>
              <w:rPr>
                <w:rFonts w:hint="eastAsia"/>
                <w:color w:val="auto"/>
                <w:highlight w:val="none"/>
              </w:rPr>
              <w:t>40</w:t>
            </w:r>
          </w:p>
        </w:tc>
        <w:tc>
          <w:tcPr>
            <w:tcW w:w="2114" w:type="dxa"/>
            <w:shd w:val="clear" w:color="auto" w:fill="auto"/>
            <w:vAlign w:val="center"/>
          </w:tcPr>
          <w:p w14:paraId="55FDF8A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0.02～0.</w:t>
            </w:r>
            <w:r>
              <w:rPr>
                <w:rFonts w:hint="eastAsia"/>
                <w:color w:val="auto"/>
                <w:highlight w:val="none"/>
              </w:rPr>
              <w:t>50</w:t>
            </w:r>
          </w:p>
        </w:tc>
        <w:tc>
          <w:tcPr>
            <w:tcW w:w="2007" w:type="dxa"/>
            <w:shd w:val="clear" w:color="auto" w:fill="auto"/>
            <w:vAlign w:val="center"/>
          </w:tcPr>
          <w:p w14:paraId="634512D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0.02～0.</w:t>
            </w:r>
            <w:r>
              <w:rPr>
                <w:rFonts w:hint="eastAsia"/>
                <w:color w:val="auto"/>
                <w:highlight w:val="none"/>
              </w:rPr>
              <w:t>50</w:t>
            </w:r>
          </w:p>
        </w:tc>
      </w:tr>
      <w:tr w14:paraId="1CC14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2975" w:type="dxa"/>
            <w:gridSpan w:val="2"/>
            <w:shd w:val="clear" w:color="auto" w:fill="auto"/>
            <w:vAlign w:val="center"/>
          </w:tcPr>
          <w:p w14:paraId="03ECBF8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 xml:space="preserve">28d </w:t>
            </w:r>
            <w:r>
              <w:rPr>
                <w:rFonts w:hint="eastAsia"/>
                <w:color w:val="auto"/>
                <w:highlight w:val="none"/>
              </w:rPr>
              <w:t>自干燥收缩</w:t>
            </w:r>
            <w:r>
              <w:rPr>
                <w:color w:val="auto"/>
                <w:highlight w:val="none"/>
              </w:rPr>
              <w:t xml:space="preserve">( % ) </w:t>
            </w:r>
          </w:p>
        </w:tc>
        <w:tc>
          <w:tcPr>
            <w:tcW w:w="1900" w:type="dxa"/>
            <w:shd w:val="clear" w:color="auto" w:fill="auto"/>
            <w:vAlign w:val="center"/>
          </w:tcPr>
          <w:p w14:paraId="0C2648F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rFonts w:hint="eastAsia"/>
                <w:color w:val="auto"/>
                <w:highlight w:val="none"/>
              </w:rPr>
              <w:t>≤0.0</w:t>
            </w:r>
            <w:r>
              <w:rPr>
                <w:color w:val="auto"/>
                <w:highlight w:val="none"/>
              </w:rPr>
              <w:t>45</w:t>
            </w:r>
          </w:p>
        </w:tc>
        <w:tc>
          <w:tcPr>
            <w:tcW w:w="2114" w:type="dxa"/>
            <w:shd w:val="clear" w:color="auto" w:fill="auto"/>
            <w:vAlign w:val="center"/>
          </w:tcPr>
          <w:p w14:paraId="73CF47F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rFonts w:hint="eastAsia"/>
                <w:color w:val="auto"/>
                <w:highlight w:val="none"/>
              </w:rPr>
              <w:t>≤0.0</w:t>
            </w:r>
            <w:r>
              <w:rPr>
                <w:color w:val="auto"/>
                <w:highlight w:val="none"/>
              </w:rPr>
              <w:t>45</w:t>
            </w:r>
          </w:p>
        </w:tc>
        <w:tc>
          <w:tcPr>
            <w:tcW w:w="2007" w:type="dxa"/>
            <w:shd w:val="clear" w:color="auto" w:fill="auto"/>
            <w:vAlign w:val="center"/>
          </w:tcPr>
          <w:p w14:paraId="1B9F6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strike/>
                <w:color w:val="auto"/>
                <w:highlight w:val="none"/>
              </w:rPr>
            </w:pPr>
            <w:r>
              <w:rPr>
                <w:strike/>
                <w:color w:val="auto"/>
                <w:highlight w:val="none"/>
              </w:rPr>
              <w:t>/</w:t>
            </w:r>
          </w:p>
        </w:tc>
      </w:tr>
      <w:tr w14:paraId="32769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2975" w:type="dxa"/>
            <w:gridSpan w:val="2"/>
            <w:shd w:val="clear" w:color="auto" w:fill="auto"/>
            <w:vAlign w:val="center"/>
          </w:tcPr>
          <w:p w14:paraId="125892D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氯离子含量（%）</w:t>
            </w:r>
          </w:p>
        </w:tc>
        <w:tc>
          <w:tcPr>
            <w:tcW w:w="1900" w:type="dxa"/>
            <w:shd w:val="clear" w:color="auto" w:fill="auto"/>
            <w:vAlign w:val="center"/>
          </w:tcPr>
          <w:p w14:paraId="7F9A959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≤0.0</w:t>
            </w:r>
            <w:r>
              <w:rPr>
                <w:rFonts w:hint="eastAsia"/>
                <w:color w:val="auto"/>
                <w:highlight w:val="none"/>
              </w:rPr>
              <w:t>3</w:t>
            </w:r>
          </w:p>
        </w:tc>
        <w:tc>
          <w:tcPr>
            <w:tcW w:w="2114" w:type="dxa"/>
            <w:shd w:val="clear" w:color="auto" w:fill="auto"/>
            <w:vAlign w:val="center"/>
          </w:tcPr>
          <w:p w14:paraId="6663376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0.06</w:t>
            </w:r>
          </w:p>
        </w:tc>
        <w:tc>
          <w:tcPr>
            <w:tcW w:w="2007" w:type="dxa"/>
            <w:shd w:val="clear" w:color="auto" w:fill="auto"/>
            <w:vAlign w:val="center"/>
          </w:tcPr>
          <w:p w14:paraId="32F3719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r>
              <w:rPr>
                <w:rFonts w:hint="eastAsia"/>
                <w:color w:val="auto"/>
                <w:highlight w:val="none"/>
              </w:rPr>
              <w:t>0.1</w:t>
            </w:r>
          </w:p>
        </w:tc>
      </w:tr>
      <w:tr w14:paraId="1F1E3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2975" w:type="dxa"/>
            <w:gridSpan w:val="2"/>
            <w:shd w:val="clear" w:color="auto" w:fill="auto"/>
            <w:vAlign w:val="center"/>
          </w:tcPr>
          <w:p w14:paraId="2525EA6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泌水率（%）</w:t>
            </w:r>
          </w:p>
        </w:tc>
        <w:tc>
          <w:tcPr>
            <w:tcW w:w="1900" w:type="dxa"/>
            <w:shd w:val="clear" w:color="auto" w:fill="auto"/>
            <w:vAlign w:val="center"/>
          </w:tcPr>
          <w:p w14:paraId="1945990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0</w:t>
            </w:r>
          </w:p>
        </w:tc>
        <w:tc>
          <w:tcPr>
            <w:tcW w:w="2114" w:type="dxa"/>
            <w:shd w:val="clear" w:color="auto" w:fill="auto"/>
            <w:vAlign w:val="center"/>
          </w:tcPr>
          <w:p w14:paraId="55EC13B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0</w:t>
            </w:r>
          </w:p>
        </w:tc>
        <w:tc>
          <w:tcPr>
            <w:tcW w:w="2007" w:type="dxa"/>
            <w:shd w:val="clear" w:color="auto" w:fill="auto"/>
            <w:vAlign w:val="center"/>
          </w:tcPr>
          <w:p w14:paraId="3BAA8E1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0</w:t>
            </w:r>
          </w:p>
        </w:tc>
      </w:tr>
      <w:tr w14:paraId="6EF7B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2975" w:type="dxa"/>
            <w:gridSpan w:val="2"/>
            <w:shd w:val="clear" w:color="auto" w:fill="auto"/>
            <w:vAlign w:val="center"/>
          </w:tcPr>
          <w:p w14:paraId="7B85F68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rFonts w:hint="eastAsia"/>
                <w:color w:val="auto"/>
                <w:szCs w:val="21"/>
                <w:highlight w:val="none"/>
              </w:rPr>
              <w:t>最大骨料粒径（</w:t>
            </w:r>
            <w:r>
              <w:rPr>
                <w:rFonts w:hint="default" w:ascii="Times New Roman" w:hAnsi="Times New Roman"/>
                <w:color w:val="auto"/>
                <w:szCs w:val="21"/>
                <w:highlight w:val="none"/>
              </w:rPr>
              <w:t>mm</w:t>
            </w:r>
            <w:r>
              <w:rPr>
                <w:rFonts w:hint="eastAsia"/>
                <w:color w:val="auto"/>
                <w:szCs w:val="21"/>
                <w:highlight w:val="none"/>
              </w:rPr>
              <w:t>）</w:t>
            </w:r>
          </w:p>
        </w:tc>
        <w:tc>
          <w:tcPr>
            <w:tcW w:w="1900" w:type="dxa"/>
            <w:shd w:val="clear" w:color="auto" w:fill="auto"/>
            <w:vAlign w:val="center"/>
          </w:tcPr>
          <w:p w14:paraId="6978FFC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p>
        </w:tc>
        <w:tc>
          <w:tcPr>
            <w:tcW w:w="2114" w:type="dxa"/>
            <w:shd w:val="clear" w:color="auto" w:fill="auto"/>
            <w:vAlign w:val="center"/>
          </w:tcPr>
          <w:p w14:paraId="7B97AB7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color w:val="auto"/>
                <w:highlight w:val="none"/>
              </w:rPr>
              <w:t>/</w:t>
            </w:r>
          </w:p>
        </w:tc>
        <w:tc>
          <w:tcPr>
            <w:tcW w:w="2007" w:type="dxa"/>
            <w:shd w:val="clear" w:color="auto" w:fill="auto"/>
            <w:vAlign w:val="center"/>
          </w:tcPr>
          <w:p w14:paraId="362FD70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highlight w:val="none"/>
              </w:rPr>
            </w:pPr>
            <w:r>
              <w:rPr>
                <w:rFonts w:hint="eastAsia"/>
                <w:color w:val="auto"/>
                <w:highlight w:val="none"/>
              </w:rPr>
              <w:t>≤</w:t>
            </w:r>
            <w:r>
              <w:rPr>
                <w:color w:val="auto"/>
                <w:highlight w:val="none"/>
              </w:rPr>
              <w:t>4.75</w:t>
            </w:r>
          </w:p>
        </w:tc>
      </w:tr>
    </w:tbl>
    <w:p w14:paraId="64E655C5">
      <w:pPr>
        <w:snapToGrid w:val="0"/>
        <w:spacing w:line="400" w:lineRule="exact"/>
        <w:ind w:left="420" w:hanging="420" w:hangingChars="200"/>
        <w:rPr>
          <w:b/>
          <w:color w:val="auto"/>
          <w:szCs w:val="21"/>
          <w:highlight w:val="none"/>
        </w:rPr>
      </w:pPr>
      <w:r>
        <w:rPr>
          <w:rFonts w:hint="eastAsia"/>
          <w:color w:val="auto"/>
          <w:szCs w:val="21"/>
          <w:highlight w:val="none"/>
        </w:rPr>
        <w:t>注：表中技术指标试验方法应符合现行《钢筋连接用套筒灌浆料》( JG / T408 )、《水泥基灌浆材料应用技术规范》( GB/ T 50448 )的要求。</w:t>
      </w:r>
    </w:p>
    <w:p w14:paraId="3D57BA66">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4.5.2</w:t>
      </w:r>
      <w:r>
        <w:rPr>
          <w:rFonts w:hint="eastAsia"/>
          <w:bCs/>
          <w:color w:val="auto"/>
          <w:sz w:val="24"/>
          <w:szCs w:val="24"/>
          <w:highlight w:val="none"/>
        </w:rPr>
        <w:t xml:space="preserve">  用于预制节段接缝填充层的材料应采用微膨胀水泥基砂浆，初凝时间宜大于2h；1d 的抗压强度不应小于30MPa ，</w:t>
      </w:r>
      <w:r>
        <w:rPr>
          <w:color w:val="auto"/>
          <w:sz w:val="24"/>
          <w:szCs w:val="24"/>
          <w:highlight w:val="none"/>
        </w:rPr>
        <w:t>28d抗压强度应大于被连接构件抗压强度一个强度等级且不应小于60MPa，</w:t>
      </w:r>
      <w:r>
        <w:rPr>
          <w:bCs/>
          <w:color w:val="auto"/>
          <w:sz w:val="24"/>
          <w:szCs w:val="24"/>
          <w:highlight w:val="none"/>
        </w:rPr>
        <w:t>28d 竖向膨胀率应</w:t>
      </w:r>
      <w:r>
        <w:rPr>
          <w:color w:val="auto"/>
          <w:sz w:val="24"/>
          <w:szCs w:val="24"/>
          <w:highlight w:val="none"/>
        </w:rPr>
        <w:t>控制在</w:t>
      </w:r>
      <w:r>
        <w:rPr>
          <w:bCs/>
          <w:color w:val="auto"/>
          <w:sz w:val="24"/>
          <w:szCs w:val="24"/>
          <w:highlight w:val="none"/>
        </w:rPr>
        <w:t>0.02%-0.10%范围</w:t>
      </w:r>
      <w:r>
        <w:rPr>
          <w:color w:val="auto"/>
          <w:sz w:val="24"/>
          <w:szCs w:val="24"/>
          <w:highlight w:val="none"/>
        </w:rPr>
        <w:t>内</w:t>
      </w:r>
      <w:r>
        <w:rPr>
          <w:bCs/>
          <w:color w:val="auto"/>
          <w:sz w:val="24"/>
          <w:szCs w:val="24"/>
          <w:highlight w:val="none"/>
        </w:rPr>
        <w:t>。</w:t>
      </w:r>
    </w:p>
    <w:p w14:paraId="6541E8CD">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4.5.3</w:t>
      </w:r>
      <w:r>
        <w:rPr>
          <w:rFonts w:hint="eastAsia"/>
          <w:bCs/>
          <w:color w:val="auto"/>
          <w:sz w:val="24"/>
          <w:szCs w:val="24"/>
          <w:highlight w:val="none"/>
        </w:rPr>
        <w:t xml:space="preserve">  用于预制构件</w:t>
      </w:r>
      <w:r>
        <w:rPr>
          <w:rFonts w:hint="default" w:ascii="Times New Roman" w:hAnsi="Times New Roman" w:cs="Times New Roman"/>
          <w:color w:val="auto"/>
          <w:sz w:val="24"/>
          <w:szCs w:val="24"/>
          <w:highlight w:val="none"/>
        </w:rPr>
        <w:t>胶</w:t>
      </w:r>
      <w:r>
        <w:rPr>
          <w:rFonts w:hint="eastAsia"/>
          <w:bCs/>
          <w:color w:val="auto"/>
          <w:sz w:val="24"/>
          <w:szCs w:val="24"/>
          <w:highlight w:val="none"/>
        </w:rPr>
        <w:t>接缝的环氧树脂胶的主要性能应符合表4.</w:t>
      </w:r>
      <w:r>
        <w:rPr>
          <w:bCs/>
          <w:color w:val="auto"/>
          <w:sz w:val="24"/>
          <w:szCs w:val="24"/>
          <w:highlight w:val="none"/>
        </w:rPr>
        <w:t>5</w:t>
      </w:r>
      <w:r>
        <w:rPr>
          <w:rFonts w:hint="eastAsia"/>
          <w:bCs/>
          <w:color w:val="auto"/>
          <w:sz w:val="24"/>
          <w:szCs w:val="24"/>
          <w:highlight w:val="none"/>
        </w:rPr>
        <w:t>.3的规定。</w:t>
      </w:r>
    </w:p>
    <w:p w14:paraId="58719F74">
      <w:pPr>
        <w:snapToGrid w:val="0"/>
        <w:spacing w:before="156" w:beforeLines="50" w:line="360" w:lineRule="auto"/>
        <w:ind w:firstLine="420" w:firstLineChars="200"/>
        <w:jc w:val="center"/>
        <w:rPr>
          <w:rFonts w:ascii="Times New Roman" w:hAnsi="Times New Roman" w:eastAsia="黑体" w:cs="Times New Roman"/>
          <w:bCs/>
          <w:color w:val="auto"/>
          <w:szCs w:val="21"/>
          <w:highlight w:val="none"/>
        </w:rPr>
      </w:pPr>
      <w:r>
        <w:rPr>
          <w:rFonts w:hint="default" w:ascii="Times New Roman" w:hAnsi="Times New Roman" w:eastAsia="黑体" w:cs="Times New Roman"/>
          <w:bCs/>
          <w:color w:val="auto"/>
          <w:szCs w:val="21"/>
          <w:highlight w:val="none"/>
        </w:rPr>
        <w:t>表</w:t>
      </w:r>
      <w:r>
        <w:rPr>
          <w:rFonts w:eastAsia="黑体"/>
          <w:bCs/>
          <w:color w:val="auto"/>
          <w:szCs w:val="21"/>
          <w:highlight w:val="none"/>
        </w:rPr>
        <w:t>4.</w:t>
      </w:r>
      <w:r>
        <w:rPr>
          <w:rFonts w:hint="eastAsia" w:eastAsia="黑体"/>
          <w:bCs/>
          <w:color w:val="auto"/>
          <w:szCs w:val="21"/>
          <w:highlight w:val="none"/>
        </w:rPr>
        <w:t>5</w:t>
      </w:r>
      <w:r>
        <w:rPr>
          <w:rFonts w:eastAsia="黑体"/>
          <w:bCs/>
          <w:color w:val="auto"/>
          <w:szCs w:val="21"/>
          <w:highlight w:val="none"/>
        </w:rPr>
        <w:t>.</w:t>
      </w:r>
      <w:r>
        <w:rPr>
          <w:rFonts w:hint="eastAsia" w:eastAsia="黑体"/>
          <w:bCs/>
          <w:color w:val="auto"/>
          <w:szCs w:val="21"/>
          <w:highlight w:val="none"/>
        </w:rPr>
        <w:t>3</w:t>
      </w:r>
      <w:r>
        <w:rPr>
          <w:rFonts w:hint="default" w:ascii="Times New Roman" w:hAnsi="Times New Roman" w:eastAsia="黑体" w:cs="Times New Roman"/>
          <w:bCs/>
          <w:color w:val="auto"/>
          <w:szCs w:val="21"/>
          <w:highlight w:val="none"/>
        </w:rPr>
        <w:t xml:space="preserve"> 环氧树脂胶主要性能要求</w:t>
      </w:r>
    </w:p>
    <w:tbl>
      <w:tblPr>
        <w:tblStyle w:val="39"/>
        <w:tblW w:w="9059"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277"/>
        <w:gridCol w:w="2247"/>
        <w:gridCol w:w="64"/>
        <w:gridCol w:w="539"/>
        <w:gridCol w:w="2582"/>
        <w:gridCol w:w="2350"/>
      </w:tblGrid>
      <w:tr w14:paraId="5959D9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6709" w:type="dxa"/>
            <w:gridSpan w:val="5"/>
            <w:tcBorders>
              <w:top w:val="single" w:color="auto" w:sz="4" w:space="0"/>
              <w:bottom w:val="single" w:color="auto" w:sz="4" w:space="0"/>
              <w:right w:val="single" w:color="auto" w:sz="4" w:space="0"/>
            </w:tcBorders>
            <w:vAlign w:val="center"/>
          </w:tcPr>
          <w:p w14:paraId="0BDC964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性能项目</w:t>
            </w:r>
          </w:p>
        </w:tc>
        <w:tc>
          <w:tcPr>
            <w:tcW w:w="2350" w:type="dxa"/>
            <w:tcBorders>
              <w:top w:val="single" w:color="auto" w:sz="4" w:space="0"/>
              <w:left w:val="single" w:color="auto" w:sz="4" w:space="0"/>
              <w:bottom w:val="single" w:color="auto" w:sz="4" w:space="0"/>
            </w:tcBorders>
            <w:vAlign w:val="center"/>
          </w:tcPr>
          <w:p w14:paraId="42270C0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性能要求</w:t>
            </w:r>
          </w:p>
        </w:tc>
      </w:tr>
      <w:tr w14:paraId="187857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restart"/>
            <w:tcBorders>
              <w:top w:val="single" w:color="auto" w:sz="4" w:space="0"/>
              <w:right w:val="single" w:color="auto" w:sz="4" w:space="0"/>
            </w:tcBorders>
            <w:vAlign w:val="center"/>
          </w:tcPr>
          <w:p w14:paraId="6896E0A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物理性能</w:t>
            </w:r>
          </w:p>
        </w:tc>
        <w:tc>
          <w:tcPr>
            <w:tcW w:w="5432" w:type="dxa"/>
            <w:gridSpan w:val="4"/>
            <w:tcBorders>
              <w:top w:val="single" w:color="auto" w:sz="4" w:space="0"/>
              <w:bottom w:val="single" w:color="auto" w:sz="4" w:space="0"/>
              <w:right w:val="single" w:color="auto" w:sz="4" w:space="0"/>
            </w:tcBorders>
            <w:vAlign w:val="center"/>
          </w:tcPr>
          <w:p w14:paraId="5F0CE48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可施胶时间（min）</w:t>
            </w:r>
          </w:p>
        </w:tc>
        <w:tc>
          <w:tcPr>
            <w:tcW w:w="2350" w:type="dxa"/>
            <w:tcBorders>
              <w:top w:val="single" w:color="auto" w:sz="4" w:space="0"/>
              <w:left w:val="single" w:color="auto" w:sz="4" w:space="0"/>
              <w:bottom w:val="single" w:color="auto" w:sz="4" w:space="0"/>
            </w:tcBorders>
            <w:vAlign w:val="center"/>
          </w:tcPr>
          <w:p w14:paraId="1CE2C6C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≥20</w:t>
            </w:r>
          </w:p>
        </w:tc>
      </w:tr>
      <w:tr w14:paraId="1D061B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right w:val="single" w:color="auto" w:sz="4" w:space="0"/>
            </w:tcBorders>
            <w:vAlign w:val="center"/>
          </w:tcPr>
          <w:p w14:paraId="2E524D9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5432" w:type="dxa"/>
            <w:gridSpan w:val="4"/>
            <w:tcBorders>
              <w:top w:val="single" w:color="auto" w:sz="4" w:space="0"/>
              <w:bottom w:val="single" w:color="auto" w:sz="4" w:space="0"/>
              <w:right w:val="single" w:color="auto" w:sz="4" w:space="0"/>
            </w:tcBorders>
            <w:vAlign w:val="center"/>
          </w:tcPr>
          <w:p w14:paraId="0D10C65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可粘结时间（min）</w:t>
            </w:r>
          </w:p>
        </w:tc>
        <w:tc>
          <w:tcPr>
            <w:tcW w:w="2350" w:type="dxa"/>
            <w:tcBorders>
              <w:top w:val="single" w:color="auto" w:sz="4" w:space="0"/>
              <w:left w:val="single" w:color="auto" w:sz="4" w:space="0"/>
              <w:bottom w:val="single" w:color="auto" w:sz="4" w:space="0"/>
            </w:tcBorders>
            <w:vAlign w:val="center"/>
          </w:tcPr>
          <w:p w14:paraId="6207676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≥60，且≤240</w:t>
            </w:r>
          </w:p>
        </w:tc>
      </w:tr>
      <w:tr w14:paraId="677B8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right w:val="single" w:color="auto" w:sz="4" w:space="0"/>
            </w:tcBorders>
            <w:vAlign w:val="center"/>
          </w:tcPr>
          <w:p w14:paraId="157E6A5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5432" w:type="dxa"/>
            <w:gridSpan w:val="4"/>
            <w:tcBorders>
              <w:bottom w:val="single" w:color="auto" w:sz="4" w:space="0"/>
              <w:right w:val="single" w:color="auto" w:sz="4" w:space="0"/>
            </w:tcBorders>
            <w:vAlign w:val="center"/>
          </w:tcPr>
          <w:p w14:paraId="5F198A2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在结构立面上无流挂现象的最大涂胶层厚度（mm）</w:t>
            </w:r>
          </w:p>
        </w:tc>
        <w:tc>
          <w:tcPr>
            <w:tcW w:w="2350" w:type="dxa"/>
            <w:tcBorders>
              <w:top w:val="single" w:color="auto" w:sz="4" w:space="0"/>
              <w:left w:val="single" w:color="auto" w:sz="4" w:space="0"/>
              <w:bottom w:val="single" w:color="auto" w:sz="4" w:space="0"/>
            </w:tcBorders>
            <w:vAlign w:val="center"/>
          </w:tcPr>
          <w:p w14:paraId="70EC059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≥3</w:t>
            </w:r>
          </w:p>
        </w:tc>
      </w:tr>
      <w:tr w14:paraId="735D2E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right w:val="single" w:color="auto" w:sz="4" w:space="0"/>
            </w:tcBorders>
            <w:vAlign w:val="center"/>
          </w:tcPr>
          <w:p w14:paraId="426F81B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2850" w:type="dxa"/>
            <w:gridSpan w:val="3"/>
            <w:vMerge w:val="restart"/>
            <w:tcBorders>
              <w:right w:val="single" w:color="auto" w:sz="4" w:space="0"/>
            </w:tcBorders>
            <w:vAlign w:val="center"/>
          </w:tcPr>
          <w:p w14:paraId="14F8D27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压缩弹性模量（MPa）</w:t>
            </w:r>
          </w:p>
        </w:tc>
        <w:tc>
          <w:tcPr>
            <w:tcW w:w="2582" w:type="dxa"/>
            <w:tcBorders>
              <w:bottom w:val="single" w:color="auto" w:sz="4" w:space="0"/>
              <w:right w:val="single" w:color="auto" w:sz="4" w:space="0"/>
            </w:tcBorders>
            <w:vAlign w:val="center"/>
          </w:tcPr>
          <w:p w14:paraId="105CD71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瞬时</w:t>
            </w:r>
          </w:p>
        </w:tc>
        <w:tc>
          <w:tcPr>
            <w:tcW w:w="2350" w:type="dxa"/>
            <w:tcBorders>
              <w:top w:val="single" w:color="auto" w:sz="4" w:space="0"/>
              <w:left w:val="single" w:color="auto" w:sz="4" w:space="0"/>
              <w:bottom w:val="single" w:color="auto" w:sz="4" w:space="0"/>
            </w:tcBorders>
            <w:vAlign w:val="center"/>
          </w:tcPr>
          <w:p w14:paraId="3F07523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≥8000</w:t>
            </w:r>
          </w:p>
        </w:tc>
      </w:tr>
      <w:tr w14:paraId="6251BA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right w:val="single" w:color="auto" w:sz="4" w:space="0"/>
            </w:tcBorders>
            <w:vAlign w:val="center"/>
          </w:tcPr>
          <w:p w14:paraId="6F3FAE6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2850" w:type="dxa"/>
            <w:gridSpan w:val="3"/>
            <w:vMerge w:val="continue"/>
            <w:tcBorders>
              <w:bottom w:val="single" w:color="auto" w:sz="4" w:space="0"/>
              <w:right w:val="single" w:color="auto" w:sz="4" w:space="0"/>
            </w:tcBorders>
            <w:vAlign w:val="center"/>
          </w:tcPr>
          <w:p w14:paraId="37E5A03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2582" w:type="dxa"/>
            <w:tcBorders>
              <w:bottom w:val="single" w:color="auto" w:sz="4" w:space="0"/>
              <w:right w:val="single" w:color="auto" w:sz="4" w:space="0"/>
            </w:tcBorders>
            <w:vAlign w:val="center"/>
          </w:tcPr>
          <w:p w14:paraId="55E46FD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1小时</w:t>
            </w:r>
          </w:p>
        </w:tc>
        <w:tc>
          <w:tcPr>
            <w:tcW w:w="2350" w:type="dxa"/>
            <w:tcBorders>
              <w:top w:val="single" w:color="auto" w:sz="4" w:space="0"/>
              <w:left w:val="single" w:color="auto" w:sz="4" w:space="0"/>
              <w:bottom w:val="single" w:color="auto" w:sz="4" w:space="0"/>
            </w:tcBorders>
            <w:vAlign w:val="center"/>
          </w:tcPr>
          <w:p w14:paraId="702BBF8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≥6000</w:t>
            </w:r>
          </w:p>
        </w:tc>
      </w:tr>
      <w:tr w14:paraId="7BF958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right w:val="single" w:color="auto" w:sz="4" w:space="0"/>
            </w:tcBorders>
            <w:vAlign w:val="center"/>
          </w:tcPr>
          <w:p w14:paraId="6D28E3E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2850" w:type="dxa"/>
            <w:gridSpan w:val="3"/>
            <w:vMerge w:val="restart"/>
            <w:tcBorders>
              <w:right w:val="single" w:color="auto" w:sz="4" w:space="0"/>
            </w:tcBorders>
            <w:vAlign w:val="center"/>
          </w:tcPr>
          <w:p w14:paraId="18DBF58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剪切弹性模量（MPa）</w:t>
            </w:r>
          </w:p>
        </w:tc>
        <w:tc>
          <w:tcPr>
            <w:tcW w:w="2582" w:type="dxa"/>
            <w:tcBorders>
              <w:bottom w:val="single" w:color="auto" w:sz="4" w:space="0"/>
              <w:right w:val="single" w:color="auto" w:sz="4" w:space="0"/>
            </w:tcBorders>
            <w:vAlign w:val="center"/>
          </w:tcPr>
          <w:p w14:paraId="78814F1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瞬时</w:t>
            </w:r>
          </w:p>
        </w:tc>
        <w:tc>
          <w:tcPr>
            <w:tcW w:w="2350" w:type="dxa"/>
            <w:tcBorders>
              <w:top w:val="single" w:color="auto" w:sz="4" w:space="0"/>
              <w:left w:val="single" w:color="auto" w:sz="4" w:space="0"/>
              <w:bottom w:val="single" w:color="auto" w:sz="4" w:space="0"/>
            </w:tcBorders>
            <w:vAlign w:val="center"/>
          </w:tcPr>
          <w:p w14:paraId="72ECD11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≥1500</w:t>
            </w:r>
          </w:p>
        </w:tc>
      </w:tr>
      <w:tr w14:paraId="4FC073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right w:val="single" w:color="auto" w:sz="4" w:space="0"/>
            </w:tcBorders>
            <w:vAlign w:val="center"/>
          </w:tcPr>
          <w:p w14:paraId="35CA29A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2850" w:type="dxa"/>
            <w:gridSpan w:val="3"/>
            <w:vMerge w:val="continue"/>
            <w:tcBorders>
              <w:bottom w:val="single" w:color="auto" w:sz="4" w:space="0"/>
              <w:right w:val="single" w:color="auto" w:sz="4" w:space="0"/>
            </w:tcBorders>
            <w:vAlign w:val="center"/>
          </w:tcPr>
          <w:p w14:paraId="5268B527">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szCs w:val="21"/>
                <w:highlight w:val="none"/>
              </w:rPr>
            </w:pPr>
          </w:p>
        </w:tc>
        <w:tc>
          <w:tcPr>
            <w:tcW w:w="2582" w:type="dxa"/>
            <w:tcBorders>
              <w:bottom w:val="single" w:color="auto" w:sz="4" w:space="0"/>
              <w:right w:val="single" w:color="auto" w:sz="4" w:space="0"/>
            </w:tcBorders>
            <w:vAlign w:val="center"/>
          </w:tcPr>
          <w:p w14:paraId="1EC502E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1小时</w:t>
            </w:r>
          </w:p>
        </w:tc>
        <w:tc>
          <w:tcPr>
            <w:tcW w:w="2350" w:type="dxa"/>
            <w:tcBorders>
              <w:top w:val="single" w:color="auto" w:sz="4" w:space="0"/>
              <w:left w:val="single" w:color="auto" w:sz="4" w:space="0"/>
              <w:bottom w:val="single" w:color="auto" w:sz="4" w:space="0"/>
            </w:tcBorders>
            <w:vAlign w:val="center"/>
          </w:tcPr>
          <w:p w14:paraId="05A25AF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≥1200</w:t>
            </w:r>
          </w:p>
        </w:tc>
      </w:tr>
      <w:tr w14:paraId="725A54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restart"/>
            <w:tcBorders>
              <w:top w:val="single" w:color="auto" w:sz="4" w:space="0"/>
              <w:right w:val="single" w:color="auto" w:sz="4" w:space="0"/>
            </w:tcBorders>
            <w:vAlign w:val="center"/>
          </w:tcPr>
          <w:p w14:paraId="11A6547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力学性能</w:t>
            </w:r>
          </w:p>
        </w:tc>
        <w:tc>
          <w:tcPr>
            <w:tcW w:w="2247" w:type="dxa"/>
            <w:vMerge w:val="restart"/>
            <w:tcBorders>
              <w:top w:val="single" w:color="auto" w:sz="4" w:space="0"/>
              <w:right w:val="single" w:color="auto" w:sz="4" w:space="0"/>
            </w:tcBorders>
            <w:vAlign w:val="center"/>
          </w:tcPr>
          <w:p w14:paraId="11BB9FF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rFonts w:hint="default" w:ascii="Times New Roman" w:hAnsi="Times New Roman" w:cs="Times New Roman"/>
                <w:color w:val="auto"/>
                <w:szCs w:val="21"/>
                <w:highlight w:val="none"/>
              </w:rPr>
              <w:t>抗压强度</w:t>
            </w:r>
          </w:p>
          <w:p w14:paraId="60C985C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（低限温度条件）</w:t>
            </w:r>
          </w:p>
        </w:tc>
        <w:tc>
          <w:tcPr>
            <w:tcW w:w="3185" w:type="dxa"/>
            <w:gridSpan w:val="3"/>
            <w:tcBorders>
              <w:top w:val="single" w:color="auto" w:sz="4" w:space="0"/>
              <w:bottom w:val="single" w:color="auto" w:sz="4" w:space="0"/>
              <w:right w:val="single" w:color="auto" w:sz="4" w:space="0"/>
            </w:tcBorders>
            <w:vAlign w:val="center"/>
          </w:tcPr>
          <w:p w14:paraId="2ABE600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12小时抗压强度（MPa）</w:t>
            </w:r>
          </w:p>
        </w:tc>
        <w:tc>
          <w:tcPr>
            <w:tcW w:w="2350" w:type="dxa"/>
            <w:tcBorders>
              <w:top w:val="single" w:color="auto" w:sz="4" w:space="0"/>
              <w:left w:val="single" w:color="auto" w:sz="4" w:space="0"/>
              <w:bottom w:val="single" w:color="auto" w:sz="4" w:space="0"/>
            </w:tcBorders>
            <w:vAlign w:val="center"/>
          </w:tcPr>
          <w:p w14:paraId="12C7E38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w:t>
            </w:r>
            <w:r>
              <w:rPr>
                <w:rFonts w:hint="eastAsia"/>
                <w:color w:val="auto"/>
                <w:szCs w:val="21"/>
                <w:highlight w:val="none"/>
              </w:rPr>
              <w:t>40</w:t>
            </w:r>
          </w:p>
        </w:tc>
      </w:tr>
      <w:tr w14:paraId="2643FA2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top w:val="single" w:color="auto" w:sz="4" w:space="0"/>
              <w:right w:val="single" w:color="auto" w:sz="4" w:space="0"/>
            </w:tcBorders>
            <w:vAlign w:val="center"/>
          </w:tcPr>
          <w:p w14:paraId="1692104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2247" w:type="dxa"/>
            <w:vMerge w:val="continue"/>
            <w:tcBorders>
              <w:right w:val="single" w:color="auto" w:sz="4" w:space="0"/>
            </w:tcBorders>
            <w:vAlign w:val="center"/>
          </w:tcPr>
          <w:p w14:paraId="43233EB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3185" w:type="dxa"/>
            <w:gridSpan w:val="3"/>
            <w:tcBorders>
              <w:top w:val="single" w:color="auto" w:sz="4" w:space="0"/>
              <w:bottom w:val="single" w:color="auto" w:sz="4" w:space="0"/>
              <w:right w:val="single" w:color="auto" w:sz="4" w:space="0"/>
            </w:tcBorders>
            <w:vAlign w:val="center"/>
          </w:tcPr>
          <w:p w14:paraId="06F57DE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24小时抗压强度（MPa）</w:t>
            </w:r>
          </w:p>
        </w:tc>
        <w:tc>
          <w:tcPr>
            <w:tcW w:w="2350" w:type="dxa"/>
            <w:tcBorders>
              <w:top w:val="single" w:color="auto" w:sz="4" w:space="0"/>
              <w:left w:val="single" w:color="auto" w:sz="4" w:space="0"/>
              <w:bottom w:val="single" w:color="auto" w:sz="4" w:space="0"/>
            </w:tcBorders>
            <w:vAlign w:val="center"/>
          </w:tcPr>
          <w:p w14:paraId="38E92A4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≥60</w:t>
            </w:r>
          </w:p>
        </w:tc>
      </w:tr>
      <w:tr w14:paraId="3B117D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top w:val="single" w:color="auto" w:sz="4" w:space="0"/>
              <w:right w:val="single" w:color="auto" w:sz="4" w:space="0"/>
            </w:tcBorders>
            <w:vAlign w:val="center"/>
          </w:tcPr>
          <w:p w14:paraId="1BC37C6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2247" w:type="dxa"/>
            <w:vMerge w:val="continue"/>
            <w:tcBorders>
              <w:bottom w:val="single" w:color="auto" w:sz="4" w:space="0"/>
              <w:right w:val="single" w:color="auto" w:sz="4" w:space="0"/>
            </w:tcBorders>
            <w:vAlign w:val="center"/>
          </w:tcPr>
          <w:p w14:paraId="086249F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3185" w:type="dxa"/>
            <w:gridSpan w:val="3"/>
            <w:tcBorders>
              <w:top w:val="single" w:color="auto" w:sz="4" w:space="0"/>
              <w:bottom w:val="single" w:color="auto" w:sz="4" w:space="0"/>
              <w:right w:val="single" w:color="auto" w:sz="4" w:space="0"/>
            </w:tcBorders>
            <w:vAlign w:val="center"/>
          </w:tcPr>
          <w:p w14:paraId="0B2C704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7天抗压强度（MPa）</w:t>
            </w:r>
          </w:p>
        </w:tc>
        <w:tc>
          <w:tcPr>
            <w:tcW w:w="2350" w:type="dxa"/>
            <w:tcBorders>
              <w:top w:val="single" w:color="auto" w:sz="4" w:space="0"/>
              <w:left w:val="single" w:color="auto" w:sz="4" w:space="0"/>
              <w:bottom w:val="single" w:color="auto" w:sz="4" w:space="0"/>
            </w:tcBorders>
            <w:vAlign w:val="center"/>
          </w:tcPr>
          <w:p w14:paraId="36B4876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w:t>
            </w:r>
            <w:r>
              <w:rPr>
                <w:rFonts w:hint="eastAsia"/>
                <w:color w:val="auto"/>
                <w:szCs w:val="21"/>
                <w:highlight w:val="none"/>
              </w:rPr>
              <w:t>80</w:t>
            </w:r>
          </w:p>
        </w:tc>
      </w:tr>
      <w:tr w14:paraId="0632D2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top w:val="single" w:color="auto" w:sz="4" w:space="0"/>
              <w:right w:val="single" w:color="auto" w:sz="4" w:space="0"/>
            </w:tcBorders>
            <w:vAlign w:val="center"/>
          </w:tcPr>
          <w:p w14:paraId="1EB1369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5432" w:type="dxa"/>
            <w:gridSpan w:val="4"/>
            <w:tcBorders>
              <w:top w:val="single" w:color="auto" w:sz="4" w:space="0"/>
              <w:bottom w:val="single" w:color="auto" w:sz="4" w:space="0"/>
              <w:right w:val="single" w:color="auto" w:sz="4" w:space="0"/>
            </w:tcBorders>
            <w:vAlign w:val="center"/>
          </w:tcPr>
          <w:p w14:paraId="6A1B45A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7天抗剪强度（低限温度条件）（MPa）</w:t>
            </w:r>
          </w:p>
        </w:tc>
        <w:tc>
          <w:tcPr>
            <w:tcW w:w="2350" w:type="dxa"/>
            <w:tcBorders>
              <w:top w:val="single" w:color="auto" w:sz="4" w:space="0"/>
              <w:left w:val="single" w:color="auto" w:sz="4" w:space="0"/>
              <w:bottom w:val="single" w:color="auto" w:sz="4" w:space="0"/>
            </w:tcBorders>
            <w:vAlign w:val="center"/>
          </w:tcPr>
          <w:p w14:paraId="5587AE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≥12</w:t>
            </w:r>
          </w:p>
        </w:tc>
      </w:tr>
      <w:tr w14:paraId="229F05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top w:val="single" w:color="auto" w:sz="4" w:space="0"/>
              <w:right w:val="single" w:color="auto" w:sz="4" w:space="0"/>
            </w:tcBorders>
            <w:vAlign w:val="center"/>
          </w:tcPr>
          <w:p w14:paraId="6686BB4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5432" w:type="dxa"/>
            <w:gridSpan w:val="4"/>
            <w:tcBorders>
              <w:top w:val="single" w:color="auto" w:sz="4" w:space="0"/>
              <w:bottom w:val="single" w:color="auto" w:sz="4" w:space="0"/>
              <w:right w:val="single" w:color="auto" w:sz="4" w:space="0"/>
            </w:tcBorders>
            <w:vAlign w:val="center"/>
          </w:tcPr>
          <w:p w14:paraId="6BDB012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钢-钢拉伸抗剪强度标准值（MPa）</w:t>
            </w:r>
          </w:p>
        </w:tc>
        <w:tc>
          <w:tcPr>
            <w:tcW w:w="2350" w:type="dxa"/>
            <w:tcBorders>
              <w:top w:val="single" w:color="auto" w:sz="4" w:space="0"/>
              <w:left w:val="single" w:color="auto" w:sz="4" w:space="0"/>
              <w:bottom w:val="single" w:color="auto" w:sz="4" w:space="0"/>
            </w:tcBorders>
            <w:vAlign w:val="center"/>
          </w:tcPr>
          <w:p w14:paraId="4DFBCB0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≥15</w:t>
            </w:r>
          </w:p>
        </w:tc>
      </w:tr>
      <w:tr w14:paraId="25423B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277" w:type="dxa"/>
            <w:vMerge w:val="continue"/>
            <w:tcBorders>
              <w:top w:val="single" w:color="auto" w:sz="4" w:space="0"/>
              <w:bottom w:val="single" w:color="auto" w:sz="4" w:space="0"/>
              <w:right w:val="single" w:color="auto" w:sz="4" w:space="0"/>
            </w:tcBorders>
            <w:vAlign w:val="center"/>
          </w:tcPr>
          <w:p w14:paraId="2B0D3E1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p>
        </w:tc>
        <w:tc>
          <w:tcPr>
            <w:tcW w:w="5432" w:type="dxa"/>
            <w:gridSpan w:val="4"/>
            <w:tcBorders>
              <w:top w:val="single" w:color="auto" w:sz="4" w:space="0"/>
              <w:bottom w:val="single" w:color="auto" w:sz="4" w:space="0"/>
              <w:right w:val="single" w:color="auto" w:sz="4" w:space="0"/>
            </w:tcBorders>
            <w:vAlign w:val="center"/>
          </w:tcPr>
          <w:p w14:paraId="18D1F0A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rFonts w:hint="default" w:ascii="Times New Roman" w:hAnsi="Times New Roman" w:cs="Times New Roman"/>
                <w:color w:val="auto"/>
                <w:szCs w:val="21"/>
                <w:highlight w:val="none"/>
              </w:rPr>
              <w:t>混凝土与混凝土的抗弯粘结强度</w:t>
            </w:r>
            <w:r>
              <w:rPr>
                <w:color w:val="auto"/>
                <w:szCs w:val="21"/>
                <w:highlight w:val="none"/>
              </w:rPr>
              <w:t>（MPa）</w:t>
            </w:r>
          </w:p>
        </w:tc>
        <w:tc>
          <w:tcPr>
            <w:tcW w:w="2350" w:type="dxa"/>
            <w:tcBorders>
              <w:top w:val="single" w:color="auto" w:sz="4" w:space="0"/>
              <w:left w:val="single" w:color="auto" w:sz="4" w:space="0"/>
              <w:bottom w:val="single" w:color="auto" w:sz="4" w:space="0"/>
            </w:tcBorders>
            <w:vAlign w:val="center"/>
          </w:tcPr>
          <w:p w14:paraId="5E08E47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断裂破坏发生在混凝土内部</w:t>
            </w:r>
          </w:p>
        </w:tc>
      </w:tr>
      <w:tr w14:paraId="7CDABC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037" w:hRule="atLeast"/>
        </w:trPr>
        <w:tc>
          <w:tcPr>
            <w:tcW w:w="1277" w:type="dxa"/>
            <w:tcBorders>
              <w:top w:val="single" w:color="auto" w:sz="4" w:space="0"/>
              <w:bottom w:val="single" w:color="auto" w:sz="4" w:space="0"/>
              <w:right w:val="single" w:color="auto" w:sz="4" w:space="0"/>
            </w:tcBorders>
            <w:vAlign w:val="center"/>
          </w:tcPr>
          <w:p w14:paraId="4FF2CF1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化学性能</w:t>
            </w:r>
          </w:p>
        </w:tc>
        <w:tc>
          <w:tcPr>
            <w:tcW w:w="2311" w:type="dxa"/>
            <w:gridSpan w:val="2"/>
            <w:tcBorders>
              <w:top w:val="single" w:color="auto" w:sz="4" w:space="0"/>
              <w:bottom w:val="single" w:color="auto" w:sz="4" w:space="0"/>
              <w:right w:val="single" w:color="auto" w:sz="4" w:space="0"/>
            </w:tcBorders>
            <w:vAlign w:val="center"/>
          </w:tcPr>
          <w:p w14:paraId="118C151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耐湿热老化性</w:t>
            </w:r>
          </w:p>
        </w:tc>
        <w:tc>
          <w:tcPr>
            <w:tcW w:w="3121" w:type="dxa"/>
            <w:gridSpan w:val="2"/>
            <w:tcBorders>
              <w:top w:val="single" w:color="auto" w:sz="4" w:space="0"/>
              <w:bottom w:val="single" w:color="auto" w:sz="4" w:space="0"/>
              <w:right w:val="single" w:color="auto" w:sz="4" w:space="0"/>
            </w:tcBorders>
            <w:vAlign w:val="center"/>
          </w:tcPr>
          <w:p w14:paraId="6F6E72F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50℃温度、95%相对湿度的环境条件下老化90d后，常温条件下钢-钢拉伸抗剪强度降低率</w:t>
            </w:r>
          </w:p>
        </w:tc>
        <w:tc>
          <w:tcPr>
            <w:tcW w:w="2350" w:type="dxa"/>
            <w:tcBorders>
              <w:top w:val="single" w:color="auto" w:sz="4" w:space="0"/>
              <w:left w:val="single" w:color="auto" w:sz="4" w:space="0"/>
              <w:bottom w:val="single" w:color="auto" w:sz="4" w:space="0"/>
            </w:tcBorders>
            <w:vAlign w:val="center"/>
          </w:tcPr>
          <w:p w14:paraId="63B6B8E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color w:val="auto"/>
                <w:szCs w:val="21"/>
                <w:highlight w:val="none"/>
              </w:rPr>
            </w:pPr>
            <w:r>
              <w:rPr>
                <w:color w:val="auto"/>
                <w:szCs w:val="21"/>
                <w:highlight w:val="none"/>
              </w:rPr>
              <w:t>≤10%</w:t>
            </w:r>
          </w:p>
        </w:tc>
      </w:tr>
    </w:tbl>
    <w:p w14:paraId="72DCB4C0">
      <w:pPr>
        <w:ind w:firstLine="0"/>
        <w:rPr>
          <w:color w:val="auto"/>
          <w:sz w:val="18"/>
          <w:highlight w:val="none"/>
        </w:rPr>
      </w:pPr>
      <w:r>
        <w:rPr>
          <w:color w:val="auto"/>
          <w:sz w:val="18"/>
          <w:highlight w:val="none"/>
        </w:rPr>
        <w:t>注：1 本条文中所列指标均为胶体在适用温度范围内的指标；</w:t>
      </w:r>
    </w:p>
    <w:p w14:paraId="0C534B6B">
      <w:pPr>
        <w:ind w:firstLine="0"/>
        <w:rPr>
          <w:color w:val="auto"/>
          <w:sz w:val="18"/>
          <w:highlight w:val="none"/>
        </w:rPr>
      </w:pPr>
      <w:r>
        <w:rPr>
          <w:color w:val="auto"/>
          <w:sz w:val="18"/>
          <w:highlight w:val="none"/>
        </w:rPr>
        <w:t xml:space="preserve">    2 对寒冷地区使用的环氧树脂胶，应满足耐冻融性能要求</w:t>
      </w:r>
      <w:r>
        <w:rPr>
          <w:rFonts w:hint="eastAsia"/>
          <w:color w:val="auto"/>
          <w:sz w:val="18"/>
          <w:highlight w:val="none"/>
        </w:rPr>
        <w:t>。</w:t>
      </w:r>
    </w:p>
    <w:p w14:paraId="0C4D815E">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bCs/>
          <w:color w:val="auto"/>
          <w:sz w:val="24"/>
          <w:szCs w:val="24"/>
          <w:highlight w:val="none"/>
        </w:rPr>
      </w:pPr>
      <w:r>
        <w:rPr>
          <w:rFonts w:hint="eastAsia"/>
          <w:b/>
          <w:color w:val="auto"/>
          <w:sz w:val="24"/>
          <w:szCs w:val="24"/>
          <w:highlight w:val="none"/>
        </w:rPr>
        <w:t>4.5.4</w:t>
      </w:r>
      <w:r>
        <w:rPr>
          <w:rFonts w:hint="eastAsia"/>
          <w:bCs/>
          <w:color w:val="auto"/>
          <w:sz w:val="24"/>
          <w:szCs w:val="24"/>
          <w:highlight w:val="none"/>
        </w:rPr>
        <w:t xml:space="preserve">  用于湿接缝连接和壳式连接的超高性能混凝土的强度指标和弹性模量应符合表4.5.4-1和表4.5.4-2的规定。</w:t>
      </w:r>
    </w:p>
    <w:p w14:paraId="2A2C3DE8">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hint="eastAsia" w:eastAsia="宋体"/>
          <w:bCs/>
          <w:color w:val="auto"/>
          <w:sz w:val="21"/>
          <w:szCs w:val="21"/>
          <w:highlight w:val="none"/>
        </w:rPr>
      </w:pPr>
      <w:r>
        <w:rPr>
          <w:rFonts w:hint="eastAsia" w:ascii="Times New Roman" w:hAnsi="Times New Roman" w:eastAsia="宋体" w:cs="Times New Roman"/>
          <w:bCs/>
          <w:color w:val="auto"/>
          <w:sz w:val="21"/>
          <w:szCs w:val="21"/>
          <w:highlight w:val="none"/>
        </w:rPr>
        <w:t>表</w:t>
      </w:r>
      <w:r>
        <w:rPr>
          <w:rFonts w:hint="eastAsia" w:eastAsia="宋体"/>
          <w:bCs/>
          <w:color w:val="auto"/>
          <w:sz w:val="21"/>
          <w:szCs w:val="21"/>
          <w:highlight w:val="none"/>
        </w:rPr>
        <w:t>4.5.4-1</w:t>
      </w:r>
      <w:r>
        <w:rPr>
          <w:rFonts w:hint="eastAsia" w:ascii="Times New Roman" w:hAnsi="Times New Roman" w:eastAsia="宋体" w:cs="Times New Roman"/>
          <w:bCs/>
          <w:color w:val="auto"/>
          <w:sz w:val="21"/>
          <w:szCs w:val="21"/>
          <w:highlight w:val="none"/>
        </w:rPr>
        <w:t xml:space="preserve"> </w:t>
      </w:r>
      <w:r>
        <w:rPr>
          <w:rFonts w:hint="eastAsia" w:eastAsia="宋体"/>
          <w:bCs/>
          <w:color w:val="auto"/>
          <w:sz w:val="21"/>
          <w:szCs w:val="21"/>
          <w:highlight w:val="none"/>
        </w:rPr>
        <w:t>超高性能混凝土强度指标</w:t>
      </w:r>
      <w:r>
        <w:rPr>
          <w:rFonts w:hint="eastAsia" w:eastAsia="宋体"/>
          <w:bCs/>
          <w:color w:val="auto"/>
          <w:sz w:val="21"/>
          <w:szCs w:val="21"/>
          <w:highlight w:val="none"/>
          <w:lang w:val="en-US"/>
        </w:rPr>
        <w:t>（MPa）</w:t>
      </w:r>
    </w:p>
    <w:tbl>
      <w:tblPr>
        <w:tblStyle w:val="40"/>
        <w:tblW w:w="92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47"/>
        <w:gridCol w:w="1248"/>
        <w:gridCol w:w="1248"/>
        <w:gridCol w:w="1248"/>
        <w:gridCol w:w="1248"/>
        <w:gridCol w:w="1249"/>
      </w:tblGrid>
      <w:tr w14:paraId="32598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3047" w:type="dxa"/>
            <w:vAlign w:val="center"/>
          </w:tcPr>
          <w:p w14:paraId="15F26319">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hint="default" w:ascii="Times New Roman" w:eastAsia="宋体"/>
                <w:color w:val="auto"/>
                <w:sz w:val="21"/>
                <w:szCs w:val="21"/>
                <w:highlight w:val="none"/>
              </w:rPr>
            </w:pPr>
            <w:r>
              <w:rPr>
                <w:rFonts w:ascii="Times New Roman" w:eastAsia="宋体"/>
                <w:color w:val="auto"/>
                <w:sz w:val="21"/>
                <w:szCs w:val="21"/>
                <w:highlight w:val="none"/>
              </w:rPr>
              <w:t>强度等级</w:t>
            </w:r>
          </w:p>
        </w:tc>
        <w:tc>
          <w:tcPr>
            <w:tcW w:w="1248" w:type="dxa"/>
            <w:shd w:val="clear" w:color="auto" w:fill="auto"/>
            <w:vAlign w:val="center"/>
          </w:tcPr>
          <w:p w14:paraId="4F46658B">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eastAsia="宋体"/>
                <w:color w:val="auto"/>
                <w:sz w:val="21"/>
                <w:szCs w:val="21"/>
                <w:highlight w:val="none"/>
              </w:rPr>
              <w:t>UC100</w:t>
            </w:r>
          </w:p>
        </w:tc>
        <w:tc>
          <w:tcPr>
            <w:tcW w:w="1248" w:type="dxa"/>
            <w:shd w:val="clear" w:color="auto" w:fill="auto"/>
            <w:vAlign w:val="center"/>
          </w:tcPr>
          <w:p w14:paraId="1EF8E179">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eastAsia="宋体"/>
                <w:color w:val="auto"/>
                <w:sz w:val="21"/>
                <w:szCs w:val="21"/>
                <w:highlight w:val="none"/>
              </w:rPr>
              <w:t>UC120</w:t>
            </w:r>
          </w:p>
        </w:tc>
        <w:tc>
          <w:tcPr>
            <w:tcW w:w="1248" w:type="dxa"/>
            <w:shd w:val="clear" w:color="auto" w:fill="auto"/>
            <w:vAlign w:val="center"/>
          </w:tcPr>
          <w:p w14:paraId="35CB6222">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eastAsia="宋体"/>
                <w:color w:val="auto"/>
                <w:sz w:val="21"/>
                <w:szCs w:val="21"/>
                <w:highlight w:val="none"/>
              </w:rPr>
              <w:t>UC140</w:t>
            </w:r>
          </w:p>
        </w:tc>
        <w:tc>
          <w:tcPr>
            <w:tcW w:w="1248" w:type="dxa"/>
            <w:shd w:val="clear" w:color="auto" w:fill="auto"/>
            <w:vAlign w:val="center"/>
          </w:tcPr>
          <w:p w14:paraId="34F14913">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eastAsia="宋体"/>
                <w:color w:val="auto"/>
                <w:sz w:val="21"/>
                <w:szCs w:val="21"/>
                <w:highlight w:val="none"/>
              </w:rPr>
              <w:t>UC160</w:t>
            </w:r>
          </w:p>
        </w:tc>
        <w:tc>
          <w:tcPr>
            <w:tcW w:w="1249" w:type="dxa"/>
            <w:shd w:val="clear" w:color="auto" w:fill="auto"/>
            <w:vAlign w:val="center"/>
          </w:tcPr>
          <w:p w14:paraId="492495E5">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eastAsia="宋体"/>
                <w:color w:val="auto"/>
                <w:sz w:val="21"/>
                <w:szCs w:val="21"/>
                <w:highlight w:val="none"/>
              </w:rPr>
              <w:t>UC180</w:t>
            </w:r>
          </w:p>
        </w:tc>
      </w:tr>
      <w:tr w14:paraId="511C7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7" w:type="dxa"/>
            <w:vAlign w:val="center"/>
          </w:tcPr>
          <w:p w14:paraId="4B22B423">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轴心抗压强度标准值</w:t>
            </w:r>
            <w:r>
              <w:rPr>
                <w:rFonts w:hint="default" w:ascii="Times New Roman" w:eastAsia="宋体"/>
                <w:i/>
                <w:iCs/>
                <w:color w:val="auto"/>
                <w:sz w:val="21"/>
                <w:szCs w:val="21"/>
                <w:highlight w:val="none"/>
              </w:rPr>
              <w:t>f</w:t>
            </w:r>
            <w:r>
              <w:rPr>
                <w:rFonts w:hint="default" w:ascii="Times New Roman" w:eastAsia="宋体"/>
                <w:color w:val="auto"/>
                <w:sz w:val="21"/>
                <w:szCs w:val="21"/>
                <w:highlight w:val="none"/>
                <w:vertAlign w:val="subscript"/>
              </w:rPr>
              <w:t>uck</w:t>
            </w:r>
          </w:p>
        </w:tc>
        <w:tc>
          <w:tcPr>
            <w:tcW w:w="1248" w:type="dxa"/>
            <w:vAlign w:val="center"/>
          </w:tcPr>
          <w:p w14:paraId="5943D7CB">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70</w:t>
            </w:r>
          </w:p>
        </w:tc>
        <w:tc>
          <w:tcPr>
            <w:tcW w:w="1248" w:type="dxa"/>
            <w:vAlign w:val="center"/>
          </w:tcPr>
          <w:p w14:paraId="390D970B">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84</w:t>
            </w:r>
          </w:p>
        </w:tc>
        <w:tc>
          <w:tcPr>
            <w:tcW w:w="1248" w:type="dxa"/>
            <w:vAlign w:val="center"/>
          </w:tcPr>
          <w:p w14:paraId="0163F88C">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98</w:t>
            </w:r>
          </w:p>
        </w:tc>
        <w:tc>
          <w:tcPr>
            <w:tcW w:w="1248" w:type="dxa"/>
            <w:vAlign w:val="center"/>
          </w:tcPr>
          <w:p w14:paraId="05DC4C28">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112</w:t>
            </w:r>
          </w:p>
        </w:tc>
        <w:tc>
          <w:tcPr>
            <w:tcW w:w="1249" w:type="dxa"/>
            <w:vAlign w:val="center"/>
          </w:tcPr>
          <w:p w14:paraId="14F91B71">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126</w:t>
            </w:r>
          </w:p>
        </w:tc>
      </w:tr>
      <w:tr w14:paraId="4EBDB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7" w:type="dxa"/>
            <w:vAlign w:val="center"/>
          </w:tcPr>
          <w:p w14:paraId="5C153319">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轴心抗压强度设计值</w:t>
            </w:r>
            <w:r>
              <w:rPr>
                <w:rFonts w:hint="default" w:ascii="Times New Roman" w:eastAsia="宋体"/>
                <w:i/>
                <w:iCs/>
                <w:color w:val="auto"/>
                <w:sz w:val="21"/>
                <w:szCs w:val="21"/>
                <w:highlight w:val="none"/>
              </w:rPr>
              <w:t>f</w:t>
            </w:r>
            <w:r>
              <w:rPr>
                <w:rFonts w:hint="default" w:ascii="Times New Roman" w:eastAsia="宋体"/>
                <w:color w:val="auto"/>
                <w:sz w:val="21"/>
                <w:szCs w:val="21"/>
                <w:highlight w:val="none"/>
                <w:vertAlign w:val="subscript"/>
              </w:rPr>
              <w:t>ucd</w:t>
            </w:r>
          </w:p>
        </w:tc>
        <w:tc>
          <w:tcPr>
            <w:tcW w:w="1248" w:type="dxa"/>
            <w:vAlign w:val="center"/>
          </w:tcPr>
          <w:p w14:paraId="243ADE2D">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48</w:t>
            </w:r>
          </w:p>
        </w:tc>
        <w:tc>
          <w:tcPr>
            <w:tcW w:w="1248" w:type="dxa"/>
            <w:vAlign w:val="center"/>
          </w:tcPr>
          <w:p w14:paraId="1697F6F3">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59</w:t>
            </w:r>
          </w:p>
        </w:tc>
        <w:tc>
          <w:tcPr>
            <w:tcW w:w="1248" w:type="dxa"/>
            <w:vAlign w:val="center"/>
          </w:tcPr>
          <w:p w14:paraId="08424AFD">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68</w:t>
            </w:r>
          </w:p>
        </w:tc>
        <w:tc>
          <w:tcPr>
            <w:tcW w:w="1248" w:type="dxa"/>
            <w:vAlign w:val="center"/>
          </w:tcPr>
          <w:p w14:paraId="53F85B58">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77</w:t>
            </w:r>
          </w:p>
        </w:tc>
        <w:tc>
          <w:tcPr>
            <w:tcW w:w="1249" w:type="dxa"/>
            <w:vAlign w:val="center"/>
          </w:tcPr>
          <w:p w14:paraId="01F9AE21">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87</w:t>
            </w:r>
          </w:p>
        </w:tc>
      </w:tr>
      <w:tr w14:paraId="13B9A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7" w:type="dxa"/>
            <w:vAlign w:val="center"/>
          </w:tcPr>
          <w:p w14:paraId="7F530C2A">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轴心抗拉强度标准值</w:t>
            </w:r>
            <w:r>
              <w:rPr>
                <w:rFonts w:hint="default" w:ascii="Times New Roman" w:eastAsia="宋体"/>
                <w:i/>
                <w:iCs/>
                <w:color w:val="auto"/>
                <w:sz w:val="21"/>
                <w:szCs w:val="21"/>
                <w:highlight w:val="none"/>
              </w:rPr>
              <w:t>f</w:t>
            </w:r>
            <w:r>
              <w:rPr>
                <w:rFonts w:hint="default" w:ascii="Times New Roman" w:eastAsia="宋体"/>
                <w:i w:val="0"/>
                <w:iCs w:val="0"/>
                <w:color w:val="auto"/>
                <w:sz w:val="21"/>
                <w:szCs w:val="21"/>
                <w:highlight w:val="none"/>
                <w:vertAlign w:val="subscript"/>
              </w:rPr>
              <w:t>ut0,k</w:t>
            </w:r>
          </w:p>
        </w:tc>
        <w:tc>
          <w:tcPr>
            <w:tcW w:w="1248" w:type="dxa"/>
            <w:vAlign w:val="center"/>
          </w:tcPr>
          <w:p w14:paraId="4732EF26">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4.5</w:t>
            </w:r>
          </w:p>
        </w:tc>
        <w:tc>
          <w:tcPr>
            <w:tcW w:w="1248" w:type="dxa"/>
            <w:vAlign w:val="center"/>
          </w:tcPr>
          <w:p w14:paraId="2EE22D04">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5.5</w:t>
            </w:r>
          </w:p>
        </w:tc>
        <w:tc>
          <w:tcPr>
            <w:tcW w:w="1248" w:type="dxa"/>
            <w:vAlign w:val="center"/>
          </w:tcPr>
          <w:p w14:paraId="39951B0D">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6.5</w:t>
            </w:r>
          </w:p>
        </w:tc>
        <w:tc>
          <w:tcPr>
            <w:tcW w:w="1248" w:type="dxa"/>
            <w:vAlign w:val="center"/>
          </w:tcPr>
          <w:p w14:paraId="22020132">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7.5</w:t>
            </w:r>
          </w:p>
        </w:tc>
        <w:tc>
          <w:tcPr>
            <w:tcW w:w="1249" w:type="dxa"/>
            <w:vAlign w:val="center"/>
          </w:tcPr>
          <w:p w14:paraId="747E4C7C">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8.5</w:t>
            </w:r>
          </w:p>
        </w:tc>
      </w:tr>
      <w:tr w14:paraId="2F0BF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7" w:type="dxa"/>
            <w:vAlign w:val="center"/>
          </w:tcPr>
          <w:p w14:paraId="0D87E32B">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轴心抗拉强度</w:t>
            </w:r>
            <w:r>
              <w:rPr>
                <w:rFonts w:hint="eastAsia" w:eastAsia="宋体"/>
                <w:color w:val="auto"/>
                <w:sz w:val="21"/>
                <w:szCs w:val="21"/>
                <w:highlight w:val="none"/>
                <w:lang w:eastAsia="zh-CN"/>
              </w:rPr>
              <w:t>设计</w:t>
            </w:r>
            <w:r>
              <w:rPr>
                <w:rFonts w:hint="default" w:ascii="Times New Roman" w:eastAsia="宋体"/>
                <w:color w:val="auto"/>
                <w:sz w:val="21"/>
                <w:szCs w:val="21"/>
                <w:highlight w:val="none"/>
              </w:rPr>
              <w:t>值</w:t>
            </w:r>
            <w:r>
              <w:rPr>
                <w:rFonts w:hint="default" w:ascii="Times New Roman" w:eastAsia="宋体"/>
                <w:i/>
                <w:iCs/>
                <w:color w:val="auto"/>
                <w:sz w:val="21"/>
                <w:szCs w:val="21"/>
                <w:highlight w:val="none"/>
              </w:rPr>
              <w:t>f</w:t>
            </w:r>
            <w:r>
              <w:rPr>
                <w:rFonts w:hint="default" w:ascii="Times New Roman" w:eastAsia="宋体"/>
                <w:i w:val="0"/>
                <w:iCs w:val="0"/>
                <w:color w:val="auto"/>
                <w:sz w:val="21"/>
                <w:szCs w:val="21"/>
                <w:highlight w:val="none"/>
                <w:vertAlign w:val="subscript"/>
              </w:rPr>
              <w:t>ut0</w:t>
            </w:r>
          </w:p>
        </w:tc>
        <w:tc>
          <w:tcPr>
            <w:tcW w:w="1248" w:type="dxa"/>
            <w:vAlign w:val="center"/>
          </w:tcPr>
          <w:p w14:paraId="1F146950">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3.1</w:t>
            </w:r>
          </w:p>
        </w:tc>
        <w:tc>
          <w:tcPr>
            <w:tcW w:w="1248" w:type="dxa"/>
            <w:vAlign w:val="center"/>
          </w:tcPr>
          <w:p w14:paraId="6C619951">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3.8</w:t>
            </w:r>
          </w:p>
        </w:tc>
        <w:tc>
          <w:tcPr>
            <w:tcW w:w="1248" w:type="dxa"/>
            <w:vAlign w:val="center"/>
          </w:tcPr>
          <w:p w14:paraId="4B4E6DD5">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4.5</w:t>
            </w:r>
          </w:p>
        </w:tc>
        <w:tc>
          <w:tcPr>
            <w:tcW w:w="1248" w:type="dxa"/>
            <w:vAlign w:val="center"/>
          </w:tcPr>
          <w:p w14:paraId="1B91B9F0">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5.2</w:t>
            </w:r>
          </w:p>
        </w:tc>
        <w:tc>
          <w:tcPr>
            <w:tcW w:w="1249" w:type="dxa"/>
            <w:vAlign w:val="center"/>
          </w:tcPr>
          <w:p w14:paraId="5961A6DF">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ascii="Times New Roman" w:eastAsia="宋体"/>
                <w:color w:val="auto"/>
                <w:sz w:val="21"/>
                <w:szCs w:val="21"/>
                <w:highlight w:val="none"/>
              </w:rPr>
            </w:pPr>
            <w:r>
              <w:rPr>
                <w:rFonts w:hint="default" w:ascii="Times New Roman" w:eastAsia="宋体"/>
                <w:color w:val="auto"/>
                <w:sz w:val="21"/>
                <w:szCs w:val="21"/>
                <w:highlight w:val="none"/>
              </w:rPr>
              <w:t>5.9</w:t>
            </w:r>
          </w:p>
        </w:tc>
      </w:tr>
    </w:tbl>
    <w:p w14:paraId="64EB8042">
      <w:pPr>
        <w:keepNext w:val="0"/>
        <w:keepLines w:val="0"/>
        <w:pageBreakBefore w:val="0"/>
        <w:widowControl w:val="0"/>
        <w:kinsoku/>
        <w:wordWrap/>
        <w:overflowPunct/>
        <w:topLinePunct w:val="0"/>
        <w:autoSpaceDE/>
        <w:autoSpaceDN/>
        <w:bidi w:val="0"/>
        <w:adjustRightInd/>
        <w:snapToGrid w:val="0"/>
        <w:spacing w:before="156" w:beforeLines="50" w:line="360" w:lineRule="auto"/>
        <w:ind w:firstLine="420" w:firstLineChars="200"/>
        <w:jc w:val="center"/>
        <w:textAlignment w:val="auto"/>
        <w:rPr>
          <w:bCs/>
          <w:color w:val="auto"/>
          <w:szCs w:val="21"/>
          <w:highlight w:val="none"/>
        </w:rPr>
      </w:pPr>
      <w:r>
        <w:rPr>
          <w:rFonts w:ascii="Times New Roman" w:hAnsi="Times New Roman" w:eastAsia="黑体" w:cs="Times New Roman"/>
          <w:bCs/>
          <w:color w:val="auto"/>
          <w:szCs w:val="21"/>
          <w:highlight w:val="none"/>
        </w:rPr>
        <w:t>表</w:t>
      </w:r>
      <w:r>
        <w:rPr>
          <w:rFonts w:eastAsia="黑体"/>
          <w:bCs/>
          <w:color w:val="auto"/>
          <w:szCs w:val="21"/>
          <w:highlight w:val="none"/>
        </w:rPr>
        <w:t>4.5.4</w:t>
      </w:r>
      <w:r>
        <w:rPr>
          <w:rFonts w:hint="eastAsia" w:eastAsia="黑体"/>
          <w:bCs/>
          <w:color w:val="auto"/>
          <w:szCs w:val="21"/>
          <w:highlight w:val="none"/>
        </w:rPr>
        <w:t>-2</w:t>
      </w:r>
      <w:r>
        <w:rPr>
          <w:rFonts w:ascii="Times New Roman" w:hAnsi="Times New Roman" w:eastAsia="黑体" w:cs="Times New Roman"/>
          <w:bCs/>
          <w:color w:val="auto"/>
          <w:szCs w:val="21"/>
          <w:highlight w:val="none"/>
        </w:rPr>
        <w:t xml:space="preserve"> </w:t>
      </w:r>
      <w:r>
        <w:rPr>
          <w:rFonts w:hint="eastAsia"/>
          <w:bCs/>
          <w:color w:val="auto"/>
          <w:szCs w:val="21"/>
          <w:highlight w:val="none"/>
        </w:rPr>
        <w:t>超高性能</w:t>
      </w:r>
      <w:r>
        <w:rPr>
          <w:bCs/>
          <w:color w:val="auto"/>
          <w:szCs w:val="21"/>
          <w:highlight w:val="none"/>
        </w:rPr>
        <w:t>混凝土</w:t>
      </w:r>
      <w:r>
        <w:rPr>
          <w:rFonts w:hint="eastAsia"/>
          <w:bCs/>
          <w:color w:val="auto"/>
          <w:szCs w:val="21"/>
          <w:highlight w:val="none"/>
        </w:rPr>
        <w:t>弹性模量</w:t>
      </w:r>
      <w:r>
        <w:rPr>
          <w:color w:val="auto"/>
          <w:szCs w:val="21"/>
          <w:highlight w:val="none"/>
          <w:lang w:val="zh-CN"/>
        </w:rPr>
        <w:t>（</w:t>
      </w:r>
      <w:r>
        <w:rPr>
          <w:rFonts w:hint="eastAsia"/>
          <w:color w:val="auto"/>
          <w:szCs w:val="21"/>
          <w:highlight w:val="none"/>
          <w:lang w:val="zh-CN"/>
        </w:rPr>
        <w:t>×</w:t>
      </w:r>
      <w:r>
        <w:rPr>
          <w:rFonts w:hint="eastAsia"/>
          <w:color w:val="auto"/>
          <w:szCs w:val="21"/>
          <w:highlight w:val="none"/>
        </w:rPr>
        <w:t>10</w:t>
      </w:r>
      <w:r>
        <w:rPr>
          <w:rFonts w:hint="eastAsia"/>
          <w:color w:val="auto"/>
          <w:szCs w:val="21"/>
          <w:highlight w:val="none"/>
          <w:vertAlign w:val="superscript"/>
        </w:rPr>
        <w:t>3</w:t>
      </w:r>
      <w:r>
        <w:rPr>
          <w:color w:val="auto"/>
          <w:szCs w:val="21"/>
          <w:highlight w:val="none"/>
          <w:lang w:val="zh-CN"/>
        </w:rPr>
        <w:t>MPa）</w:t>
      </w:r>
    </w:p>
    <w:tbl>
      <w:tblPr>
        <w:tblStyle w:val="39"/>
        <w:tblW w:w="92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7"/>
        <w:gridCol w:w="1510"/>
        <w:gridCol w:w="1510"/>
        <w:gridCol w:w="1510"/>
        <w:gridCol w:w="1510"/>
        <w:gridCol w:w="1511"/>
      </w:tblGrid>
      <w:tr w14:paraId="5834D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vAlign w:val="center"/>
          </w:tcPr>
          <w:p w14:paraId="7FF80377">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hint="eastAsia" w:eastAsia="宋体"/>
                <w:i/>
                <w:iCs/>
                <w:color w:val="auto"/>
                <w:sz w:val="21"/>
                <w:szCs w:val="21"/>
                <w:highlight w:val="none"/>
              </w:rPr>
            </w:pPr>
            <w:r>
              <w:rPr>
                <w:rFonts w:ascii="Times New Roman" w:eastAsia="宋体"/>
                <w:color w:val="auto"/>
                <w:sz w:val="21"/>
                <w:szCs w:val="21"/>
                <w:highlight w:val="none"/>
              </w:rPr>
              <w:t>强度等级</w:t>
            </w:r>
          </w:p>
        </w:tc>
        <w:tc>
          <w:tcPr>
            <w:tcW w:w="1510" w:type="dxa"/>
            <w:shd w:val="clear" w:color="auto" w:fill="auto"/>
            <w:vAlign w:val="center"/>
          </w:tcPr>
          <w:p w14:paraId="444ED389">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olor w:val="auto"/>
                <w:sz w:val="21"/>
                <w:szCs w:val="21"/>
                <w:highlight w:val="none"/>
              </w:rPr>
              <w:t>UC100</w:t>
            </w:r>
          </w:p>
        </w:tc>
        <w:tc>
          <w:tcPr>
            <w:tcW w:w="1510" w:type="dxa"/>
            <w:shd w:val="clear" w:color="auto" w:fill="auto"/>
            <w:vAlign w:val="center"/>
          </w:tcPr>
          <w:p w14:paraId="28039E75">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olor w:val="auto"/>
                <w:sz w:val="21"/>
                <w:szCs w:val="21"/>
                <w:highlight w:val="none"/>
              </w:rPr>
              <w:t>UC120</w:t>
            </w:r>
          </w:p>
        </w:tc>
        <w:tc>
          <w:tcPr>
            <w:tcW w:w="1510" w:type="dxa"/>
            <w:shd w:val="clear" w:color="auto" w:fill="auto"/>
            <w:vAlign w:val="center"/>
          </w:tcPr>
          <w:p w14:paraId="4811669E">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olor w:val="auto"/>
                <w:sz w:val="21"/>
                <w:szCs w:val="21"/>
                <w:highlight w:val="none"/>
              </w:rPr>
              <w:t>UC140</w:t>
            </w:r>
          </w:p>
        </w:tc>
        <w:tc>
          <w:tcPr>
            <w:tcW w:w="1510" w:type="dxa"/>
            <w:shd w:val="clear" w:color="auto" w:fill="auto"/>
            <w:vAlign w:val="center"/>
          </w:tcPr>
          <w:p w14:paraId="68E8A208">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olor w:val="auto"/>
                <w:sz w:val="21"/>
                <w:szCs w:val="21"/>
                <w:highlight w:val="none"/>
              </w:rPr>
              <w:t>UC160</w:t>
            </w:r>
          </w:p>
        </w:tc>
        <w:tc>
          <w:tcPr>
            <w:tcW w:w="1511" w:type="dxa"/>
            <w:shd w:val="clear" w:color="auto" w:fill="auto"/>
            <w:vAlign w:val="center"/>
          </w:tcPr>
          <w:p w14:paraId="4017EEAC">
            <w:pPr>
              <w:pStyle w:val="2"/>
              <w:keepNext w:val="0"/>
              <w:keepLines w:val="0"/>
              <w:pageBreakBefore w:val="0"/>
              <w:widowControl w:val="0"/>
              <w:kinsoku/>
              <w:wordWrap/>
              <w:overflowPunct/>
              <w:topLinePunct w:val="0"/>
              <w:autoSpaceDE/>
              <w:autoSpaceDN/>
              <w:bidi w:val="0"/>
              <w:adjustRightInd/>
              <w:spacing w:line="360" w:lineRule="auto"/>
              <w:ind w:left="0" w:lef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olor w:val="auto"/>
                <w:sz w:val="21"/>
                <w:szCs w:val="21"/>
                <w:highlight w:val="none"/>
              </w:rPr>
              <w:t>UC180</w:t>
            </w:r>
          </w:p>
        </w:tc>
      </w:tr>
      <w:tr w14:paraId="3EE70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vAlign w:val="center"/>
          </w:tcPr>
          <w:p w14:paraId="7A6634FB">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eastAsia="宋体"/>
                <w:color w:val="auto"/>
                <w:sz w:val="21"/>
                <w:szCs w:val="21"/>
                <w:highlight w:val="none"/>
              </w:rPr>
            </w:pPr>
            <w:r>
              <w:rPr>
                <w:rFonts w:hint="eastAsia" w:eastAsia="宋体"/>
                <w:color w:val="auto"/>
                <w:sz w:val="21"/>
                <w:szCs w:val="21"/>
                <w:highlight w:val="none"/>
              </w:rPr>
              <w:t>弹性模量</w:t>
            </w:r>
            <w:r>
              <w:rPr>
                <w:rFonts w:hint="eastAsia" w:eastAsia="宋体"/>
                <w:i/>
                <w:iCs/>
                <w:color w:val="auto"/>
                <w:sz w:val="21"/>
                <w:szCs w:val="21"/>
                <w:highlight w:val="none"/>
              </w:rPr>
              <w:t>E</w:t>
            </w:r>
            <w:r>
              <w:rPr>
                <w:rFonts w:hint="eastAsia" w:eastAsia="宋体"/>
                <w:color w:val="auto"/>
                <w:sz w:val="21"/>
                <w:szCs w:val="21"/>
                <w:highlight w:val="none"/>
                <w:vertAlign w:val="subscript"/>
              </w:rPr>
              <w:t>uc</w:t>
            </w:r>
          </w:p>
        </w:tc>
        <w:tc>
          <w:tcPr>
            <w:tcW w:w="1510" w:type="dxa"/>
            <w:vAlign w:val="center"/>
          </w:tcPr>
          <w:p w14:paraId="77B332B2">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eastAsia="宋体"/>
                <w:color w:val="auto"/>
                <w:sz w:val="21"/>
                <w:szCs w:val="21"/>
                <w:highlight w:val="none"/>
              </w:rPr>
            </w:pPr>
            <w:r>
              <w:rPr>
                <w:rFonts w:hint="eastAsia" w:eastAsia="宋体"/>
                <w:color w:val="auto"/>
                <w:sz w:val="21"/>
                <w:szCs w:val="21"/>
                <w:highlight w:val="none"/>
              </w:rPr>
              <w:t>40</w:t>
            </w:r>
          </w:p>
        </w:tc>
        <w:tc>
          <w:tcPr>
            <w:tcW w:w="1510" w:type="dxa"/>
            <w:vAlign w:val="center"/>
          </w:tcPr>
          <w:p w14:paraId="7600C86C">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eastAsia="宋体"/>
                <w:color w:val="auto"/>
                <w:sz w:val="21"/>
                <w:szCs w:val="21"/>
                <w:highlight w:val="none"/>
              </w:rPr>
            </w:pPr>
            <w:r>
              <w:rPr>
                <w:rFonts w:hint="eastAsia" w:eastAsia="宋体"/>
                <w:color w:val="auto"/>
                <w:sz w:val="21"/>
                <w:szCs w:val="21"/>
                <w:highlight w:val="none"/>
              </w:rPr>
              <w:t>42.9</w:t>
            </w:r>
          </w:p>
        </w:tc>
        <w:tc>
          <w:tcPr>
            <w:tcW w:w="1510" w:type="dxa"/>
            <w:vAlign w:val="center"/>
          </w:tcPr>
          <w:p w14:paraId="01520C52">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eastAsia="宋体"/>
                <w:color w:val="auto"/>
                <w:sz w:val="21"/>
                <w:szCs w:val="21"/>
                <w:highlight w:val="none"/>
              </w:rPr>
            </w:pPr>
            <w:r>
              <w:rPr>
                <w:rFonts w:hint="eastAsia" w:eastAsia="宋体"/>
                <w:color w:val="auto"/>
                <w:sz w:val="21"/>
                <w:szCs w:val="21"/>
                <w:highlight w:val="none"/>
              </w:rPr>
              <w:t>45.2</w:t>
            </w:r>
          </w:p>
        </w:tc>
        <w:tc>
          <w:tcPr>
            <w:tcW w:w="1510" w:type="dxa"/>
            <w:vAlign w:val="center"/>
          </w:tcPr>
          <w:p w14:paraId="26CE4064">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eastAsia="宋体"/>
                <w:color w:val="auto"/>
                <w:sz w:val="21"/>
                <w:szCs w:val="21"/>
                <w:highlight w:val="none"/>
              </w:rPr>
            </w:pPr>
            <w:r>
              <w:rPr>
                <w:rFonts w:hint="eastAsia" w:eastAsia="宋体"/>
                <w:color w:val="auto"/>
                <w:sz w:val="21"/>
                <w:szCs w:val="21"/>
                <w:highlight w:val="none"/>
              </w:rPr>
              <w:t>47.1</w:t>
            </w:r>
          </w:p>
        </w:tc>
        <w:tc>
          <w:tcPr>
            <w:tcW w:w="1511" w:type="dxa"/>
            <w:vAlign w:val="center"/>
          </w:tcPr>
          <w:p w14:paraId="4FD69EB5">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rFonts w:eastAsia="宋体"/>
                <w:color w:val="auto"/>
                <w:sz w:val="21"/>
                <w:szCs w:val="21"/>
                <w:highlight w:val="none"/>
              </w:rPr>
            </w:pPr>
            <w:r>
              <w:rPr>
                <w:rFonts w:hint="eastAsia" w:eastAsia="宋体"/>
                <w:color w:val="auto"/>
                <w:sz w:val="21"/>
                <w:szCs w:val="21"/>
                <w:highlight w:val="none"/>
              </w:rPr>
              <w:t>48.6</w:t>
            </w:r>
          </w:p>
        </w:tc>
      </w:tr>
      <w:bookmarkEnd w:id="41"/>
    </w:tbl>
    <w:p w14:paraId="0D9CCD6D">
      <w:pPr>
        <w:pStyle w:val="30"/>
        <w:ind w:firstLine="0" w:firstLineChars="0"/>
        <w:jc w:val="center"/>
        <w:rPr>
          <w:rStyle w:val="62"/>
          <w:rFonts w:ascii="Times New Roman"/>
          <w:color w:val="auto"/>
          <w:highlight w:val="none"/>
        </w:rPr>
      </w:pPr>
      <w:r>
        <w:rPr>
          <w:rFonts w:ascii="Times New Roman" w:hAnsi="Times New Roman"/>
          <w:color w:val="auto"/>
          <w:szCs w:val="21"/>
          <w:highlight w:val="none"/>
        </w:rPr>
        <w:br w:type="page"/>
      </w:r>
      <w:bookmarkStart w:id="55" w:name="_Toc40730880"/>
    </w:p>
    <w:p w14:paraId="7C2FA595">
      <w:pPr>
        <w:pStyle w:val="17"/>
        <w:spacing w:before="312" w:beforeLines="100" w:after="312" w:afterLines="100" w:line="360" w:lineRule="auto"/>
        <w:jc w:val="center"/>
        <w:outlineLvl w:val="0"/>
        <w:rPr>
          <w:rFonts w:ascii="Times New Roman" w:hAnsi="Times New Roman" w:cs="Times New Roman"/>
          <w:b/>
          <w:sz w:val="36"/>
          <w:szCs w:val="36"/>
        </w:rPr>
      </w:pPr>
      <w:bookmarkStart w:id="56" w:name="_Toc1364"/>
      <w:bookmarkStart w:id="57" w:name="_Toc4683"/>
      <w:bookmarkStart w:id="58" w:name="_Toc282691269"/>
      <w:bookmarkStart w:id="59" w:name="_Toc287362804"/>
      <w:bookmarkStart w:id="60" w:name="_Toc285902107"/>
      <w:bookmarkStart w:id="61" w:name="_Toc287362970"/>
      <w:bookmarkStart w:id="62" w:name="_Toc287363700"/>
      <w:bookmarkStart w:id="63" w:name="_Toc287363138"/>
      <w:bookmarkStart w:id="64" w:name="_Toc287363071"/>
      <w:bookmarkStart w:id="65" w:name="_Toc285902289"/>
      <w:r>
        <w:rPr>
          <w:rFonts w:hint="default" w:ascii="Times New Roman" w:hAnsi="Times New Roman" w:cs="Times New Roman"/>
          <w:b/>
          <w:sz w:val="36"/>
          <w:szCs w:val="36"/>
        </w:rPr>
        <w:t>5 结构计算</w:t>
      </w:r>
      <w:bookmarkEnd w:id="56"/>
      <w:bookmarkEnd w:id="57"/>
    </w:p>
    <w:p w14:paraId="1D2063F7">
      <w:pPr>
        <w:spacing w:before="156" w:beforeLines="50" w:after="156" w:afterLines="50" w:line="360" w:lineRule="auto"/>
        <w:jc w:val="center"/>
        <w:outlineLvl w:val="1"/>
        <w:rPr>
          <w:rFonts w:ascii="Times New Roman" w:hAnsi="Times New Roman" w:cs="Times New Roman"/>
          <w:b/>
          <w:kern w:val="0"/>
          <w:sz w:val="28"/>
          <w:szCs w:val="28"/>
        </w:rPr>
      </w:pPr>
      <w:bookmarkStart w:id="66" w:name="_Toc1969"/>
      <w:bookmarkStart w:id="67" w:name="_Toc13590"/>
      <w:r>
        <w:rPr>
          <w:rFonts w:hint="eastAsia" w:ascii="Times New Roman" w:hAnsi="Times New Roman" w:cs="Times New Roman"/>
          <w:b/>
          <w:kern w:val="0"/>
          <w:sz w:val="28"/>
          <w:szCs w:val="28"/>
        </w:rPr>
        <w:t>5.1</w:t>
      </w:r>
      <w:r>
        <w:rPr>
          <w:rFonts w:ascii="Times New Roman" w:hAnsi="Times New Roman" w:cs="Times New Roman"/>
          <w:b/>
          <w:kern w:val="0"/>
          <w:sz w:val="28"/>
          <w:szCs w:val="28"/>
        </w:rPr>
        <w:t xml:space="preserve"> </w:t>
      </w:r>
      <w:bookmarkEnd w:id="58"/>
      <w:bookmarkEnd w:id="59"/>
      <w:bookmarkEnd w:id="60"/>
      <w:bookmarkEnd w:id="61"/>
      <w:bookmarkEnd w:id="62"/>
      <w:bookmarkEnd w:id="63"/>
      <w:bookmarkEnd w:id="64"/>
      <w:bookmarkEnd w:id="65"/>
      <w:r>
        <w:rPr>
          <w:rFonts w:hint="eastAsia" w:ascii="Times New Roman" w:hAnsi="Times New Roman" w:cs="Times New Roman"/>
          <w:b/>
          <w:kern w:val="0"/>
          <w:sz w:val="28"/>
          <w:szCs w:val="28"/>
        </w:rPr>
        <w:t>一般规定</w:t>
      </w:r>
      <w:bookmarkEnd w:id="66"/>
      <w:bookmarkEnd w:id="67"/>
    </w:p>
    <w:p w14:paraId="0F4A2A47">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bookmarkStart w:id="68" w:name="_Toc287362971"/>
      <w:bookmarkStart w:id="69" w:name="_Toc282691270"/>
      <w:bookmarkStart w:id="70" w:name="_Toc285902108"/>
      <w:bookmarkStart w:id="71" w:name="_Toc287363701"/>
      <w:bookmarkStart w:id="72" w:name="_Toc287363072"/>
      <w:bookmarkStart w:id="73" w:name="_Toc287363139"/>
      <w:bookmarkStart w:id="74" w:name="_Toc285902290"/>
      <w:bookmarkStart w:id="75" w:name="_Toc287362805"/>
      <w:r>
        <w:rPr>
          <w:rFonts w:hint="eastAsia"/>
          <w:b/>
          <w:color w:val="auto"/>
          <w:sz w:val="24"/>
          <w:szCs w:val="24"/>
          <w:highlight w:val="none"/>
        </w:rPr>
        <w:t>5.1.1</w:t>
      </w:r>
      <w:r>
        <w:rPr>
          <w:b/>
          <w:color w:val="auto"/>
          <w:sz w:val="24"/>
          <w:szCs w:val="24"/>
          <w:highlight w:val="none"/>
        </w:rPr>
        <w:t xml:space="preserve"> </w:t>
      </w:r>
      <w:r>
        <w:rPr>
          <w:rFonts w:hint="eastAsia"/>
          <w:b w:val="0"/>
          <w:bCs/>
          <w:color w:val="auto"/>
          <w:sz w:val="24"/>
          <w:szCs w:val="24"/>
          <w:highlight w:val="none"/>
          <w:lang w:eastAsia="zh-CN"/>
        </w:rPr>
        <w:t>节段</w:t>
      </w:r>
      <w:r>
        <w:rPr>
          <w:rFonts w:hint="eastAsia"/>
          <w:bCs/>
          <w:color w:val="auto"/>
          <w:sz w:val="24"/>
          <w:szCs w:val="24"/>
          <w:highlight w:val="none"/>
        </w:rPr>
        <w:t>预制拼装混凝土构件进行承载能力极限状态计算、正常使用极限状态计算以及构件应力计算时，均应计入接缝对受力性能的影响，应满足《节段预制混凝土桥梁技术标准》（CJJ/T 111）的要求。</w:t>
      </w:r>
    </w:p>
    <w:p w14:paraId="447A8739">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5.1.2</w:t>
      </w:r>
      <w:r>
        <w:rPr>
          <w:bCs/>
          <w:color w:val="auto"/>
          <w:sz w:val="24"/>
          <w:szCs w:val="24"/>
          <w:highlight w:val="none"/>
        </w:rPr>
        <w:t xml:space="preserve"> </w:t>
      </w:r>
      <w:r>
        <w:rPr>
          <w:rFonts w:hint="eastAsia"/>
          <w:b w:val="0"/>
          <w:bCs/>
          <w:color w:val="auto"/>
          <w:sz w:val="24"/>
          <w:szCs w:val="24"/>
          <w:highlight w:val="none"/>
          <w:lang w:eastAsia="zh-CN"/>
        </w:rPr>
        <w:t>节段</w:t>
      </w:r>
      <w:r>
        <w:rPr>
          <w:rFonts w:hint="eastAsia"/>
          <w:bCs/>
          <w:color w:val="auto"/>
          <w:sz w:val="24"/>
          <w:szCs w:val="24"/>
          <w:highlight w:val="none"/>
        </w:rPr>
        <w:t>装配式混凝土桥墩构件采用满足本规范规定的灌浆套筒、灌浆波纹钢管、承插式、插槽式、壳式和湿接缝连接时，结构静力作用效应分析可按现浇结构进行。</w:t>
      </w:r>
    </w:p>
    <w:p w14:paraId="2ADDD666">
      <w:pPr>
        <w:spacing w:before="156" w:beforeLines="50" w:after="156" w:afterLines="50" w:line="360" w:lineRule="auto"/>
        <w:jc w:val="center"/>
        <w:outlineLvl w:val="1"/>
        <w:rPr>
          <w:rFonts w:hint="eastAsia" w:ascii="Times New Roman" w:hAnsi="Times New Roman" w:cs="Times New Roman"/>
          <w:b/>
          <w:kern w:val="0"/>
          <w:sz w:val="28"/>
          <w:szCs w:val="28"/>
        </w:rPr>
      </w:pPr>
      <w:bookmarkStart w:id="76" w:name="_Toc31181"/>
      <w:bookmarkStart w:id="77" w:name="_Toc14704"/>
      <w:r>
        <w:rPr>
          <w:rFonts w:hint="eastAsia" w:ascii="Times New Roman" w:hAnsi="Times New Roman" w:cs="Times New Roman"/>
          <w:b/>
          <w:kern w:val="0"/>
          <w:sz w:val="28"/>
          <w:szCs w:val="28"/>
        </w:rPr>
        <w:t>5.2 持久状况承载能力极限状态计算</w:t>
      </w:r>
      <w:bookmarkEnd w:id="76"/>
      <w:bookmarkEnd w:id="77"/>
    </w:p>
    <w:p w14:paraId="511B14BD">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5.2.1</w:t>
      </w:r>
      <w:r>
        <w:rPr>
          <w:bCs/>
          <w:color w:val="auto"/>
          <w:sz w:val="24"/>
          <w:szCs w:val="24"/>
          <w:highlight w:val="none"/>
        </w:rPr>
        <w:t xml:space="preserve"> </w:t>
      </w:r>
      <w:r>
        <w:rPr>
          <w:rFonts w:hint="eastAsia"/>
          <w:bCs/>
          <w:color w:val="auto"/>
          <w:sz w:val="24"/>
          <w:szCs w:val="24"/>
          <w:highlight w:val="none"/>
          <w:lang w:val="en-US" w:eastAsia="zh-CN"/>
        </w:rPr>
        <w:t>节段</w:t>
      </w:r>
      <w:r>
        <w:rPr>
          <w:rFonts w:hint="eastAsia"/>
          <w:bCs/>
          <w:color w:val="auto"/>
          <w:sz w:val="24"/>
          <w:szCs w:val="24"/>
          <w:highlight w:val="none"/>
        </w:rPr>
        <w:t>预制拼装混凝土受弯构件应进行接缝位置正截面抗弯承载力、斜截面抗剪承载力及接缝截面抗剪弯承载力等计算；</w:t>
      </w:r>
      <w:r>
        <w:rPr>
          <w:rFonts w:hint="eastAsia"/>
          <w:bCs/>
          <w:color w:val="auto"/>
          <w:sz w:val="24"/>
          <w:szCs w:val="24"/>
          <w:highlight w:val="none"/>
          <w:lang w:val="en-US" w:eastAsia="zh-CN"/>
        </w:rPr>
        <w:t>节段</w:t>
      </w:r>
      <w:r>
        <w:rPr>
          <w:rFonts w:hint="eastAsia"/>
          <w:bCs/>
          <w:color w:val="auto"/>
          <w:sz w:val="24"/>
          <w:szCs w:val="24"/>
          <w:highlight w:val="none"/>
        </w:rPr>
        <w:t>预制拼装混凝土受压构件应进行接缝位置正截面抗压弯承载力和接缝截面抗剪弯承载力计算。</w:t>
      </w:r>
    </w:p>
    <w:p w14:paraId="113400BE">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5.2.2</w:t>
      </w:r>
      <w:r>
        <w:rPr>
          <w:b/>
          <w:color w:val="auto"/>
          <w:sz w:val="24"/>
          <w:szCs w:val="24"/>
          <w:highlight w:val="none"/>
        </w:rPr>
        <w:t xml:space="preserve"> </w:t>
      </w:r>
      <w:r>
        <w:rPr>
          <w:rFonts w:hint="eastAsia"/>
          <w:bCs/>
          <w:color w:val="auto"/>
          <w:sz w:val="24"/>
          <w:szCs w:val="24"/>
          <w:highlight w:val="none"/>
          <w:lang w:val="en-US" w:eastAsia="zh-CN"/>
        </w:rPr>
        <w:t>节段</w:t>
      </w:r>
      <w:r>
        <w:rPr>
          <w:rFonts w:hint="eastAsia"/>
          <w:bCs/>
          <w:color w:val="auto"/>
          <w:sz w:val="24"/>
          <w:szCs w:val="24"/>
          <w:highlight w:val="none"/>
        </w:rPr>
        <w:t>预制拼装混凝土构件接缝截面的承载力计算可采用平截面假定，受压混凝土的应力图形可简化为矩形，不应计入混凝土的抗拉作用，截面各种材料的强度应取其相应的设计值。</w:t>
      </w:r>
    </w:p>
    <w:p w14:paraId="0D0D2268">
      <w:pPr>
        <w:spacing w:before="156" w:beforeLines="50" w:after="156" w:afterLines="50" w:line="360" w:lineRule="auto"/>
        <w:jc w:val="center"/>
        <w:outlineLvl w:val="1"/>
        <w:rPr>
          <w:rFonts w:hint="eastAsia" w:ascii="Times New Roman" w:hAnsi="Times New Roman" w:cs="Times New Roman"/>
          <w:b/>
          <w:kern w:val="0"/>
          <w:sz w:val="28"/>
          <w:szCs w:val="28"/>
        </w:rPr>
      </w:pPr>
      <w:bookmarkStart w:id="78" w:name="_Toc8323"/>
      <w:bookmarkStart w:id="79" w:name="_Toc14381"/>
      <w:r>
        <w:rPr>
          <w:rFonts w:hint="eastAsia" w:ascii="Times New Roman" w:hAnsi="Times New Roman" w:cs="Times New Roman"/>
          <w:b/>
          <w:kern w:val="0"/>
          <w:sz w:val="28"/>
          <w:szCs w:val="28"/>
        </w:rPr>
        <w:t>5.3 持久状况正常使用极限状态计算</w:t>
      </w:r>
      <w:bookmarkEnd w:id="78"/>
      <w:bookmarkEnd w:id="79"/>
    </w:p>
    <w:p w14:paraId="12EC42D6">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5.3.</w:t>
      </w:r>
      <w:r>
        <w:rPr>
          <w:b/>
          <w:color w:val="auto"/>
          <w:sz w:val="24"/>
          <w:szCs w:val="24"/>
          <w:highlight w:val="none"/>
        </w:rPr>
        <w:t>1</w:t>
      </w:r>
      <w:r>
        <w:rPr>
          <w:rFonts w:hint="eastAsia"/>
          <w:b/>
          <w:color w:val="auto"/>
          <w:sz w:val="24"/>
          <w:szCs w:val="24"/>
          <w:highlight w:val="none"/>
        </w:rPr>
        <w:t xml:space="preserve"> </w:t>
      </w:r>
      <w:r>
        <w:rPr>
          <w:rFonts w:hint="eastAsia"/>
          <w:bCs/>
          <w:color w:val="auto"/>
          <w:sz w:val="24"/>
          <w:szCs w:val="24"/>
          <w:highlight w:val="none"/>
        </w:rPr>
        <w:t>节段预制拼装混凝土受弯、受压构件应按持久状况正常使用极限状态要求，对接缝位置截面进行抗裂验算，对构件进行挠度验算。</w:t>
      </w:r>
    </w:p>
    <w:p w14:paraId="1ED7FA86">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5.3.</w:t>
      </w:r>
      <w:r>
        <w:rPr>
          <w:b/>
          <w:color w:val="auto"/>
          <w:sz w:val="24"/>
          <w:szCs w:val="24"/>
          <w:highlight w:val="none"/>
        </w:rPr>
        <w:t>2</w:t>
      </w:r>
      <w:r>
        <w:rPr>
          <w:rFonts w:hint="eastAsia"/>
          <w:b/>
          <w:color w:val="auto"/>
          <w:sz w:val="24"/>
          <w:szCs w:val="24"/>
          <w:highlight w:val="none"/>
        </w:rPr>
        <w:t xml:space="preserve"> </w:t>
      </w:r>
      <w:r>
        <w:rPr>
          <w:rFonts w:hint="default" w:ascii="Times New Roman" w:hAnsi="Times New Roman" w:cs="Times New Roman"/>
          <w:color w:val="auto"/>
          <w:sz w:val="24"/>
          <w:szCs w:val="24"/>
          <w:highlight w:val="none"/>
        </w:rPr>
        <w:t>节段预制</w:t>
      </w:r>
      <w:r>
        <w:rPr>
          <w:rFonts w:hint="eastAsia"/>
          <w:bCs/>
          <w:color w:val="auto"/>
          <w:sz w:val="24"/>
          <w:szCs w:val="24"/>
          <w:highlight w:val="none"/>
        </w:rPr>
        <w:t>拼装</w:t>
      </w:r>
      <w:r>
        <w:rPr>
          <w:rFonts w:hint="default" w:ascii="Times New Roman" w:hAnsi="Times New Roman" w:cs="Times New Roman"/>
          <w:color w:val="auto"/>
          <w:sz w:val="24"/>
          <w:szCs w:val="24"/>
          <w:highlight w:val="none"/>
        </w:rPr>
        <w:t>预应力混凝土构件接缝截面或位置的受弯、受压不应按B类预应力混凝土设计，当构件接缝处无纵向连续普通钢筋时应按全预应力混凝土设计。</w:t>
      </w:r>
    </w:p>
    <w:p w14:paraId="605186A1">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5.3.</w:t>
      </w:r>
      <w:r>
        <w:rPr>
          <w:b/>
          <w:color w:val="auto"/>
          <w:sz w:val="24"/>
          <w:szCs w:val="24"/>
          <w:highlight w:val="none"/>
        </w:rPr>
        <w:t>3</w:t>
      </w:r>
      <w:r>
        <w:rPr>
          <w:rFonts w:hint="eastAsia"/>
          <w:b/>
          <w:color w:val="auto"/>
          <w:sz w:val="24"/>
          <w:szCs w:val="24"/>
          <w:highlight w:val="none"/>
        </w:rPr>
        <w:t xml:space="preserve"> </w:t>
      </w:r>
      <w:r>
        <w:rPr>
          <w:rFonts w:hint="default" w:ascii="Times New Roman" w:hAnsi="Times New Roman" w:cs="Times New Roman"/>
          <w:color w:val="auto"/>
          <w:sz w:val="24"/>
          <w:szCs w:val="24"/>
          <w:highlight w:val="none"/>
        </w:rPr>
        <w:t>节段预制</w:t>
      </w:r>
      <w:r>
        <w:rPr>
          <w:rFonts w:hint="eastAsia"/>
          <w:bCs/>
          <w:color w:val="auto"/>
          <w:sz w:val="24"/>
          <w:szCs w:val="24"/>
          <w:highlight w:val="none"/>
        </w:rPr>
        <w:t>拼装钢筋混凝土构件接缝截面最大裂缝宽度按《公路钢筋混凝土及预应力混凝土桥涵设计规范》（JTG 3362）的规定计算，裂缝宽度不应大于0</w:t>
      </w:r>
      <w:r>
        <w:rPr>
          <w:bCs/>
          <w:color w:val="auto"/>
          <w:sz w:val="24"/>
          <w:szCs w:val="24"/>
          <w:highlight w:val="none"/>
        </w:rPr>
        <w:t>.15</w:t>
      </w:r>
      <w:r>
        <w:rPr>
          <w:rFonts w:hint="eastAsia"/>
          <w:bCs/>
          <w:color w:val="auto"/>
          <w:sz w:val="24"/>
          <w:szCs w:val="24"/>
          <w:highlight w:val="none"/>
        </w:rPr>
        <w:t>mm。</w:t>
      </w:r>
    </w:p>
    <w:p w14:paraId="7E42EC12">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5</w:t>
      </w:r>
      <w:r>
        <w:rPr>
          <w:b/>
          <w:color w:val="auto"/>
          <w:sz w:val="24"/>
          <w:szCs w:val="24"/>
          <w:highlight w:val="none"/>
        </w:rPr>
        <w:t>.</w:t>
      </w:r>
      <w:r>
        <w:rPr>
          <w:rFonts w:hint="eastAsia"/>
          <w:b/>
          <w:color w:val="auto"/>
          <w:sz w:val="24"/>
          <w:szCs w:val="24"/>
          <w:highlight w:val="none"/>
        </w:rPr>
        <w:t>3</w:t>
      </w:r>
      <w:r>
        <w:rPr>
          <w:b/>
          <w:color w:val="auto"/>
          <w:sz w:val="24"/>
          <w:szCs w:val="24"/>
          <w:highlight w:val="none"/>
        </w:rPr>
        <w:t>.4</w:t>
      </w:r>
      <w:r>
        <w:rPr>
          <w:rFonts w:hint="eastAsia"/>
          <w:b/>
          <w:color w:val="auto"/>
          <w:sz w:val="24"/>
          <w:szCs w:val="24"/>
          <w:highlight w:val="none"/>
        </w:rPr>
        <w:t xml:space="preserve"> </w:t>
      </w:r>
      <w:r>
        <w:rPr>
          <w:rFonts w:hint="eastAsia"/>
          <w:bCs/>
          <w:color w:val="auto"/>
          <w:sz w:val="24"/>
          <w:szCs w:val="24"/>
          <w:highlight w:val="none"/>
        </w:rPr>
        <w:t>节段预制拼装混凝士受弯构件和大偏心受压构件应计入接缝对其挠度的影响，将挠度计算值乘以1</w:t>
      </w:r>
      <w:r>
        <w:rPr>
          <w:bCs/>
          <w:color w:val="auto"/>
          <w:sz w:val="24"/>
          <w:szCs w:val="24"/>
          <w:highlight w:val="none"/>
        </w:rPr>
        <w:t>.1</w:t>
      </w:r>
      <w:r>
        <w:rPr>
          <w:rFonts w:hint="eastAsia"/>
          <w:bCs/>
          <w:color w:val="auto"/>
          <w:sz w:val="24"/>
          <w:szCs w:val="24"/>
          <w:highlight w:val="none"/>
        </w:rPr>
        <w:t>的增大系数或截面刚度计算值乘以0</w:t>
      </w:r>
      <w:r>
        <w:rPr>
          <w:bCs/>
          <w:color w:val="auto"/>
          <w:sz w:val="24"/>
          <w:szCs w:val="24"/>
          <w:highlight w:val="none"/>
        </w:rPr>
        <w:t>.9</w:t>
      </w:r>
      <w:r>
        <w:rPr>
          <w:rFonts w:hint="eastAsia"/>
          <w:bCs/>
          <w:color w:val="auto"/>
          <w:sz w:val="24"/>
          <w:szCs w:val="24"/>
          <w:highlight w:val="none"/>
        </w:rPr>
        <w:t>的折减系数。</w:t>
      </w:r>
    </w:p>
    <w:p w14:paraId="495CD509">
      <w:pPr>
        <w:pStyle w:val="2"/>
        <w:keepNext w:val="0"/>
        <w:keepLines w:val="0"/>
        <w:pageBreakBefore w:val="0"/>
        <w:widowControl w:val="0"/>
        <w:kinsoku/>
        <w:wordWrap/>
        <w:overflowPunct/>
        <w:topLinePunct w:val="0"/>
        <w:autoSpaceDE/>
        <w:autoSpaceDN/>
        <w:bidi w:val="0"/>
        <w:adjustRightInd/>
        <w:spacing w:line="360" w:lineRule="auto"/>
        <w:ind w:firstLine="0" w:firstLineChars="0"/>
        <w:textAlignment w:val="auto"/>
        <w:rPr>
          <w:color w:val="auto"/>
          <w:sz w:val="24"/>
          <w:szCs w:val="24"/>
          <w:highlight w:val="none"/>
        </w:rPr>
      </w:pPr>
      <w:r>
        <w:rPr>
          <w:rFonts w:hint="eastAsia" w:eastAsia="宋体"/>
          <w:b/>
          <w:color w:val="auto"/>
          <w:sz w:val="24"/>
          <w:szCs w:val="24"/>
          <w:highlight w:val="none"/>
        </w:rPr>
        <w:t>5.3</w:t>
      </w:r>
      <w:r>
        <w:rPr>
          <w:rFonts w:eastAsia="宋体"/>
          <w:b/>
          <w:color w:val="auto"/>
          <w:sz w:val="24"/>
          <w:szCs w:val="24"/>
          <w:highlight w:val="none"/>
        </w:rPr>
        <w:t>.5</w:t>
      </w:r>
      <w:r>
        <w:rPr>
          <w:rFonts w:hint="default" w:ascii="Times New Roman" w:hAnsi="Times New Roman" w:eastAsia="宋体" w:cs="Times New Roman"/>
          <w:b/>
          <w:color w:val="auto"/>
          <w:sz w:val="24"/>
          <w:szCs w:val="24"/>
          <w:highlight w:val="none"/>
        </w:rPr>
        <w:t xml:space="preserve"> </w:t>
      </w:r>
      <w:r>
        <w:rPr>
          <w:rFonts w:hint="default" w:ascii="Times New Roman" w:hAnsi="Times New Roman" w:eastAsia="宋体" w:cs="Times New Roman"/>
          <w:b w:val="0"/>
          <w:bCs/>
          <w:color w:val="auto"/>
          <w:sz w:val="24"/>
          <w:szCs w:val="24"/>
          <w:highlight w:val="none"/>
        </w:rPr>
        <w:t>壳式连接的</w:t>
      </w:r>
      <w:r>
        <w:rPr>
          <w:rFonts w:hint="default" w:ascii="Times New Roman" w:hAnsi="Times New Roman" w:eastAsia="宋体" w:cs="Times New Roman"/>
          <w:bCs/>
          <w:color w:val="auto"/>
          <w:sz w:val="24"/>
          <w:szCs w:val="24"/>
          <w:highlight w:val="none"/>
        </w:rPr>
        <w:t>壳壁</w:t>
      </w:r>
      <w:r>
        <w:rPr>
          <w:rFonts w:hint="eastAsia" w:eastAsia="宋体" w:cs="Times New Roman"/>
          <w:bCs/>
          <w:color w:val="auto"/>
          <w:sz w:val="24"/>
          <w:szCs w:val="24"/>
          <w:highlight w:val="none"/>
          <w:lang w:eastAsia="zh-CN"/>
        </w:rPr>
        <w:t>宜采用</w:t>
      </w:r>
      <w:r>
        <w:rPr>
          <w:rFonts w:hint="default" w:ascii="Times New Roman" w:hAnsi="Times New Roman" w:eastAsia="宋体" w:cs="Times New Roman"/>
          <w:bCs/>
          <w:color w:val="auto"/>
          <w:sz w:val="24"/>
          <w:szCs w:val="24"/>
          <w:highlight w:val="none"/>
        </w:rPr>
        <w:t>超高性能混凝土</w:t>
      </w:r>
      <w:r>
        <w:rPr>
          <w:rFonts w:hint="eastAsia" w:eastAsia="宋体" w:cs="Times New Roman"/>
          <w:bCs/>
          <w:color w:val="auto"/>
          <w:sz w:val="24"/>
          <w:szCs w:val="24"/>
          <w:highlight w:val="none"/>
          <w:lang w:eastAsia="zh-CN"/>
        </w:rPr>
        <w:t>，</w:t>
      </w:r>
      <w:r>
        <w:rPr>
          <w:rFonts w:hint="default" w:ascii="Times New Roman" w:hAnsi="Times New Roman" w:eastAsia="宋体" w:cs="Times New Roman"/>
          <w:bCs/>
          <w:color w:val="auto"/>
          <w:sz w:val="24"/>
          <w:szCs w:val="24"/>
          <w:highlight w:val="none"/>
        </w:rPr>
        <w:t>按作用频遇组合并考虑长期效应影响验算</w:t>
      </w:r>
      <w:r>
        <w:rPr>
          <w:rFonts w:hint="eastAsia" w:eastAsia="宋体" w:cs="Times New Roman"/>
          <w:bCs/>
          <w:color w:val="auto"/>
          <w:sz w:val="24"/>
          <w:szCs w:val="24"/>
          <w:highlight w:val="none"/>
          <w:lang w:eastAsia="zh-CN"/>
        </w:rPr>
        <w:t>，</w:t>
      </w:r>
      <w:r>
        <w:rPr>
          <w:rFonts w:hint="default" w:ascii="Times New Roman" w:hAnsi="Times New Roman" w:eastAsia="宋体" w:cs="Times New Roman"/>
          <w:bCs/>
          <w:color w:val="auto"/>
          <w:sz w:val="24"/>
          <w:szCs w:val="24"/>
          <w:highlight w:val="none"/>
        </w:rPr>
        <w:t>控制截面的受拉边缘不应开裂。</w:t>
      </w:r>
    </w:p>
    <w:p w14:paraId="6BE24C7B">
      <w:pPr>
        <w:spacing w:before="156" w:beforeLines="50" w:after="156" w:afterLines="50" w:line="360" w:lineRule="auto"/>
        <w:jc w:val="center"/>
        <w:outlineLvl w:val="1"/>
        <w:rPr>
          <w:rFonts w:hint="eastAsia" w:ascii="Times New Roman" w:hAnsi="Times New Roman" w:cs="Times New Roman"/>
          <w:b/>
          <w:kern w:val="0"/>
          <w:sz w:val="28"/>
          <w:szCs w:val="28"/>
        </w:rPr>
      </w:pPr>
      <w:bookmarkStart w:id="80" w:name="_Toc1158"/>
      <w:bookmarkStart w:id="81" w:name="_Toc6510"/>
      <w:r>
        <w:rPr>
          <w:rFonts w:hint="eastAsia" w:ascii="Times New Roman" w:hAnsi="Times New Roman" w:cs="Times New Roman"/>
          <w:b/>
          <w:kern w:val="0"/>
          <w:sz w:val="28"/>
          <w:szCs w:val="28"/>
        </w:rPr>
        <w:t>5.4 持久状况和短暂状况应力计算</w:t>
      </w:r>
      <w:bookmarkEnd w:id="80"/>
      <w:bookmarkEnd w:id="81"/>
    </w:p>
    <w:p w14:paraId="7BBC7C8D">
      <w:pPr>
        <w:pStyle w:val="30"/>
        <w:keepNext w:val="0"/>
        <w:keepLines w:val="0"/>
        <w:pageBreakBefore w:val="0"/>
        <w:kinsoku/>
        <w:wordWrap/>
        <w:overflowPunct/>
        <w:topLinePunct w:val="0"/>
        <w:bidi w:val="0"/>
        <w:adjustRightInd/>
        <w:spacing w:line="360" w:lineRule="auto"/>
        <w:ind w:firstLine="0" w:firstLineChars="0"/>
        <w:textAlignment w:val="auto"/>
        <w:rPr>
          <w:rFonts w:ascii="Times New Roman"/>
          <w:color w:val="auto"/>
          <w:sz w:val="24"/>
          <w:szCs w:val="24"/>
          <w:highlight w:val="none"/>
        </w:rPr>
      </w:pPr>
      <w:r>
        <w:rPr>
          <w:rFonts w:hint="eastAsia" w:ascii="Times New Roman"/>
          <w:b/>
          <w:color w:val="auto"/>
          <w:kern w:val="2"/>
          <w:sz w:val="24"/>
          <w:szCs w:val="24"/>
          <w:highlight w:val="none"/>
        </w:rPr>
        <w:t xml:space="preserve">5.4.1 </w:t>
      </w:r>
      <w:r>
        <w:rPr>
          <w:rFonts w:hint="default" w:ascii="Times New Roman"/>
          <w:color w:val="auto"/>
          <w:sz w:val="24"/>
          <w:szCs w:val="24"/>
          <w:highlight w:val="none"/>
        </w:rPr>
        <w:t>节段预制拼装预应力混凝土构件进行弹性阶段计算时，预应力筋对截面几何特征的影响应符合</w:t>
      </w:r>
      <w:r>
        <w:rPr>
          <w:rFonts w:hint="default" w:ascii="Times New Roman"/>
          <w:bCs/>
          <w:color w:val="auto"/>
          <w:sz w:val="24"/>
          <w:szCs w:val="24"/>
          <w:highlight w:val="none"/>
        </w:rPr>
        <w:t>《公路钢筋混凝土及预应力混凝土桥涵设计规范》（JTG 3362）的</w:t>
      </w:r>
      <w:r>
        <w:rPr>
          <w:rFonts w:hint="default" w:ascii="Times New Roman"/>
          <w:color w:val="auto"/>
          <w:sz w:val="24"/>
          <w:szCs w:val="24"/>
          <w:highlight w:val="none"/>
        </w:rPr>
        <w:t>规定。</w:t>
      </w:r>
    </w:p>
    <w:p w14:paraId="592D536A">
      <w:pPr>
        <w:pStyle w:val="30"/>
        <w:keepNext w:val="0"/>
        <w:keepLines w:val="0"/>
        <w:pageBreakBefore w:val="0"/>
        <w:kinsoku/>
        <w:wordWrap/>
        <w:overflowPunct/>
        <w:topLinePunct w:val="0"/>
        <w:bidi w:val="0"/>
        <w:adjustRightInd/>
        <w:spacing w:line="360" w:lineRule="auto"/>
        <w:ind w:firstLine="0" w:firstLineChars="0"/>
        <w:textAlignment w:val="auto"/>
        <w:rPr>
          <w:rFonts w:ascii="Times New Roman"/>
          <w:color w:val="auto"/>
          <w:sz w:val="24"/>
          <w:szCs w:val="24"/>
          <w:highlight w:val="none"/>
        </w:rPr>
      </w:pPr>
      <w:r>
        <w:rPr>
          <w:rFonts w:hint="eastAsia" w:ascii="Times New Roman"/>
          <w:b/>
          <w:color w:val="auto"/>
          <w:kern w:val="2"/>
          <w:sz w:val="24"/>
          <w:szCs w:val="24"/>
          <w:highlight w:val="none"/>
        </w:rPr>
        <w:t>5.4.2</w:t>
      </w:r>
      <w:r>
        <w:rPr>
          <w:rFonts w:ascii="Times New Roman"/>
          <w:b/>
          <w:color w:val="auto"/>
          <w:sz w:val="24"/>
          <w:szCs w:val="24"/>
          <w:highlight w:val="none"/>
        </w:rPr>
        <w:t xml:space="preserve"> </w:t>
      </w:r>
      <w:r>
        <w:rPr>
          <w:rFonts w:hint="default" w:ascii="Times New Roman"/>
          <w:color w:val="auto"/>
          <w:sz w:val="24"/>
          <w:szCs w:val="24"/>
          <w:highlight w:val="none"/>
        </w:rPr>
        <w:t>在持久状况设计时，节段预制拼装预应力混凝土受弯、受压构件应计算其使用阶段接缝位置的正截面混凝土压应力和斜截面混凝土主压应力、受拉区预应力筋拉应力</w:t>
      </w:r>
      <w:r>
        <w:rPr>
          <w:rFonts w:hint="default" w:ascii="Times New Roman"/>
          <w:color w:val="auto"/>
          <w:sz w:val="24"/>
          <w:szCs w:val="24"/>
          <w:highlight w:val="none"/>
          <w:lang w:val="en-US" w:eastAsia="zh-CN"/>
        </w:rPr>
        <w:t>等</w:t>
      </w:r>
      <w:r>
        <w:rPr>
          <w:rFonts w:hint="default" w:ascii="Times New Roman"/>
          <w:color w:val="auto"/>
          <w:sz w:val="24"/>
          <w:szCs w:val="24"/>
          <w:highlight w:val="none"/>
        </w:rPr>
        <w:t>相关计算应符合《</w:t>
      </w:r>
      <w:r>
        <w:rPr>
          <w:rFonts w:hint="default" w:ascii="Times New Roman"/>
          <w:bCs/>
          <w:color w:val="auto"/>
          <w:sz w:val="24"/>
          <w:szCs w:val="24"/>
          <w:highlight w:val="none"/>
        </w:rPr>
        <w:t>节段预制混凝土桥梁技术标准》（CJJ/T 111）的规定</w:t>
      </w:r>
      <w:r>
        <w:rPr>
          <w:rFonts w:hint="default" w:ascii="Times New Roman"/>
          <w:color w:val="auto"/>
          <w:sz w:val="24"/>
          <w:szCs w:val="24"/>
          <w:highlight w:val="none"/>
        </w:rPr>
        <w:t>。</w:t>
      </w:r>
    </w:p>
    <w:p w14:paraId="0C99E01F">
      <w:pPr>
        <w:pStyle w:val="30"/>
        <w:keepNext w:val="0"/>
        <w:keepLines w:val="0"/>
        <w:pageBreakBefore w:val="0"/>
        <w:kinsoku/>
        <w:wordWrap/>
        <w:overflowPunct/>
        <w:topLinePunct w:val="0"/>
        <w:bidi w:val="0"/>
        <w:adjustRightInd/>
        <w:spacing w:line="360" w:lineRule="auto"/>
        <w:ind w:firstLine="0" w:firstLineChars="0"/>
        <w:textAlignment w:val="auto"/>
        <w:rPr>
          <w:rFonts w:ascii="Times New Roman"/>
          <w:color w:val="auto"/>
          <w:sz w:val="24"/>
          <w:szCs w:val="24"/>
          <w:highlight w:val="none"/>
        </w:rPr>
      </w:pPr>
      <w:r>
        <w:rPr>
          <w:rFonts w:hint="eastAsia" w:ascii="Times New Roman"/>
          <w:b/>
          <w:color w:val="auto"/>
          <w:kern w:val="2"/>
          <w:sz w:val="24"/>
          <w:szCs w:val="24"/>
          <w:highlight w:val="none"/>
        </w:rPr>
        <w:t>5.4.3</w:t>
      </w:r>
      <w:r>
        <w:rPr>
          <w:rFonts w:ascii="Times New Roman"/>
          <w:b/>
          <w:color w:val="auto"/>
          <w:sz w:val="24"/>
          <w:szCs w:val="24"/>
          <w:highlight w:val="none"/>
        </w:rPr>
        <w:t xml:space="preserve"> </w:t>
      </w:r>
      <w:r>
        <w:rPr>
          <w:rFonts w:hint="default" w:ascii="Times New Roman"/>
          <w:color w:val="auto"/>
          <w:sz w:val="24"/>
          <w:szCs w:val="24"/>
          <w:highlight w:val="none"/>
        </w:rPr>
        <w:t>在短暂状况设计时，节段预制拼装混凝土受弯、受压构件应根据制作、运输及安装等施工阶段，计算其由自重、施工荷载等作用引起的接缝位置正截面和斜截面混凝土应力</w:t>
      </w:r>
      <w:r>
        <w:rPr>
          <w:rFonts w:hint="default" w:ascii="Times New Roman"/>
          <w:color w:val="auto"/>
          <w:sz w:val="24"/>
          <w:szCs w:val="24"/>
          <w:highlight w:val="none"/>
          <w:lang w:val="en-US" w:eastAsia="zh-CN"/>
        </w:rPr>
        <w:t>等</w:t>
      </w:r>
      <w:r>
        <w:rPr>
          <w:rFonts w:hint="default" w:ascii="Times New Roman"/>
          <w:color w:val="auto"/>
          <w:sz w:val="24"/>
          <w:szCs w:val="24"/>
          <w:highlight w:val="none"/>
        </w:rPr>
        <w:t>相关计算应符合《</w:t>
      </w:r>
      <w:r>
        <w:rPr>
          <w:rFonts w:hint="default" w:ascii="Times New Roman"/>
          <w:bCs/>
          <w:color w:val="auto"/>
          <w:sz w:val="24"/>
          <w:szCs w:val="24"/>
          <w:highlight w:val="none"/>
        </w:rPr>
        <w:t>节段预制混凝土桥梁技术标准》（CJJ/T 111）的规定</w:t>
      </w:r>
      <w:r>
        <w:rPr>
          <w:rFonts w:hint="default" w:ascii="Times New Roman"/>
          <w:color w:val="auto"/>
          <w:sz w:val="24"/>
          <w:szCs w:val="24"/>
          <w:highlight w:val="none"/>
        </w:rPr>
        <w:t>。</w:t>
      </w:r>
    </w:p>
    <w:p w14:paraId="00DCF75B">
      <w:pPr>
        <w:keepNext w:val="0"/>
        <w:keepLines w:val="0"/>
        <w:pageBreakBefore w:val="0"/>
        <w:kinsoku/>
        <w:wordWrap/>
        <w:overflowPunct/>
        <w:topLinePunct w:val="0"/>
        <w:bidi w:val="0"/>
        <w:adjustRightInd/>
        <w:snapToGrid w:val="0"/>
        <w:spacing w:line="360" w:lineRule="auto"/>
        <w:textAlignment w:val="auto"/>
        <w:rPr>
          <w:bCs/>
          <w:color w:val="auto"/>
          <w:sz w:val="24"/>
          <w:szCs w:val="24"/>
          <w:highlight w:val="none"/>
        </w:rPr>
      </w:pPr>
      <w:r>
        <w:rPr>
          <w:b/>
          <w:color w:val="auto"/>
          <w:sz w:val="24"/>
          <w:szCs w:val="24"/>
          <w:highlight w:val="none"/>
        </w:rPr>
        <w:t>5.4.</w:t>
      </w:r>
      <w:r>
        <w:rPr>
          <w:rFonts w:hint="eastAsia"/>
          <w:b/>
          <w:color w:val="auto"/>
          <w:sz w:val="24"/>
          <w:szCs w:val="24"/>
          <w:highlight w:val="none"/>
        </w:rPr>
        <w:t>4</w:t>
      </w:r>
      <w:r>
        <w:rPr>
          <w:b/>
          <w:color w:val="auto"/>
          <w:sz w:val="24"/>
          <w:szCs w:val="24"/>
          <w:highlight w:val="none"/>
        </w:rPr>
        <w:t xml:space="preserve"> </w:t>
      </w:r>
      <w:r>
        <w:rPr>
          <w:rFonts w:hint="eastAsia"/>
          <w:bCs/>
          <w:color w:val="auto"/>
          <w:sz w:val="24"/>
          <w:szCs w:val="24"/>
          <w:highlight w:val="none"/>
        </w:rPr>
        <w:t>当进行构件或节段运输和安装计算时，构件或节段的自重应乘以动力系数，并应根据对结构有利或不利动力系数分别取0.85或1.20。</w:t>
      </w:r>
    </w:p>
    <w:p w14:paraId="08B6FA3A">
      <w:pPr>
        <w:spacing w:before="156" w:beforeLines="50" w:after="156" w:afterLines="50" w:line="360" w:lineRule="auto"/>
        <w:jc w:val="center"/>
        <w:outlineLvl w:val="1"/>
        <w:rPr>
          <w:rFonts w:hint="eastAsia" w:ascii="Times New Roman" w:hAnsi="Times New Roman" w:cs="Times New Roman"/>
          <w:b/>
          <w:kern w:val="0"/>
          <w:sz w:val="28"/>
          <w:szCs w:val="28"/>
        </w:rPr>
      </w:pPr>
      <w:bookmarkStart w:id="82" w:name="_Toc31475"/>
      <w:bookmarkStart w:id="83" w:name="_Toc16888"/>
      <w:r>
        <w:rPr>
          <w:rFonts w:hint="eastAsia" w:ascii="Times New Roman" w:hAnsi="Times New Roman" w:cs="Times New Roman"/>
          <w:b/>
          <w:kern w:val="0"/>
          <w:sz w:val="28"/>
          <w:szCs w:val="28"/>
        </w:rPr>
        <w:t>5.5 地震状况计算</w:t>
      </w:r>
      <w:bookmarkEnd w:id="82"/>
      <w:bookmarkEnd w:id="83"/>
    </w:p>
    <w:bookmarkEnd w:id="68"/>
    <w:bookmarkEnd w:id="69"/>
    <w:bookmarkEnd w:id="70"/>
    <w:bookmarkEnd w:id="71"/>
    <w:bookmarkEnd w:id="72"/>
    <w:bookmarkEnd w:id="73"/>
    <w:bookmarkEnd w:id="74"/>
    <w:bookmarkEnd w:id="75"/>
    <w:p w14:paraId="40F7DFFF">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hint="eastAsia" w:cs="Times New Roman"/>
          <w:b/>
          <w:color w:val="auto"/>
          <w:sz w:val="24"/>
          <w:szCs w:val="24"/>
          <w:highlight w:val="none"/>
        </w:rPr>
        <w:t>5.</w:t>
      </w:r>
      <w:r>
        <w:rPr>
          <w:rFonts w:cs="Times New Roman"/>
          <w:b/>
          <w:color w:val="auto"/>
          <w:sz w:val="24"/>
          <w:szCs w:val="24"/>
          <w:highlight w:val="none"/>
        </w:rPr>
        <w:t>5</w:t>
      </w:r>
      <w:r>
        <w:rPr>
          <w:rFonts w:hint="eastAsia" w:cs="Times New Roman"/>
          <w:b/>
          <w:color w:val="auto"/>
          <w:sz w:val="24"/>
          <w:szCs w:val="24"/>
          <w:highlight w:val="none"/>
        </w:rPr>
        <w:t>.1</w:t>
      </w:r>
      <w:r>
        <w:rPr>
          <w:rFonts w:hint="eastAsia" w:cs="Times New Roman"/>
          <w:bCs/>
          <w:color w:val="auto"/>
          <w:sz w:val="24"/>
          <w:szCs w:val="24"/>
          <w:highlight w:val="none"/>
        </w:rPr>
        <w:t xml:space="preserve">  装配式混凝土桥梁连接的抗震</w:t>
      </w:r>
      <w:r>
        <w:rPr>
          <w:rFonts w:hint="eastAsia" w:cs="Times New Roman"/>
          <w:bCs/>
          <w:color w:val="auto"/>
          <w:sz w:val="24"/>
          <w:szCs w:val="24"/>
          <w:highlight w:val="none"/>
          <w:lang w:eastAsia="zh-CN"/>
        </w:rPr>
        <w:t>的</w:t>
      </w:r>
      <w:r>
        <w:rPr>
          <w:rFonts w:hint="eastAsia" w:cs="Times New Roman"/>
          <w:bCs/>
          <w:color w:val="auto"/>
          <w:sz w:val="24"/>
          <w:szCs w:val="24"/>
          <w:highlight w:val="none"/>
        </w:rPr>
        <w:t>设防要</w:t>
      </w:r>
      <w:r>
        <w:rPr>
          <w:rFonts w:hint="eastAsia" w:cs="Times New Roman"/>
          <w:bCs/>
          <w:strike w:val="0"/>
          <w:color w:val="auto"/>
          <w:sz w:val="24"/>
          <w:szCs w:val="24"/>
          <w:highlight w:val="none"/>
        </w:rPr>
        <w:t>求应符合城市桥梁抗震设计规范》（CJJ 166）</w:t>
      </w:r>
      <w:r>
        <w:rPr>
          <w:rFonts w:hint="eastAsia" w:cs="Times New Roman"/>
          <w:bCs/>
          <w:strike w:val="0"/>
          <w:color w:val="auto"/>
          <w:sz w:val="24"/>
          <w:szCs w:val="24"/>
          <w:highlight w:val="none"/>
          <w:lang w:eastAsia="zh-CN"/>
        </w:rPr>
        <w:t>的规定。</w:t>
      </w:r>
      <w:r>
        <w:rPr>
          <w:rFonts w:cs="Times New Roman"/>
          <w:b/>
          <w:color w:val="auto"/>
          <w:sz w:val="24"/>
          <w:szCs w:val="24"/>
          <w:highlight w:val="none"/>
        </w:rPr>
        <w:t xml:space="preserve">5.5.2 </w:t>
      </w:r>
      <w:r>
        <w:rPr>
          <w:rFonts w:hint="eastAsia" w:cs="Times New Roman"/>
          <w:b/>
          <w:color w:val="auto"/>
          <w:sz w:val="24"/>
          <w:szCs w:val="24"/>
          <w:highlight w:val="none"/>
          <w:lang w:val="en-US" w:eastAsia="zh-CN"/>
        </w:rPr>
        <w:t xml:space="preserve"> </w:t>
      </w:r>
      <w:r>
        <w:rPr>
          <w:rFonts w:hint="eastAsia" w:cs="Times New Roman"/>
          <w:bCs/>
          <w:color w:val="auto"/>
          <w:sz w:val="24"/>
          <w:szCs w:val="24"/>
          <w:highlight w:val="none"/>
        </w:rPr>
        <w:t>装配式混凝土桥梁在E1和E2地震作用下的抗震分析，应按照现行《城市桥梁抗震设计规范》（CJJ 166）的规定建立桥梁结构的空间动力计算模型，并应对接缝的力学特性进行模拟，可采用以下三种方法进行模拟：</w:t>
      </w:r>
    </w:p>
    <w:p w14:paraId="63D811AB">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hint="eastAsia" w:cs="Times New Roman"/>
          <w:bCs/>
          <w:color w:val="auto"/>
          <w:sz w:val="24"/>
          <w:szCs w:val="24"/>
          <w:highlight w:val="none"/>
        </w:rPr>
        <w:t xml:space="preserve">1 </w:t>
      </w:r>
      <w:r>
        <w:rPr>
          <w:rFonts w:cs="Times New Roman"/>
          <w:bCs/>
          <w:color w:val="auto"/>
          <w:sz w:val="24"/>
          <w:szCs w:val="24"/>
          <w:highlight w:val="none"/>
        </w:rPr>
        <w:t>忽略未贯穿接缝的钢筋的作用，将实际接缝的集中变形处理为分散于整个 构件受拉侧的变形</w:t>
      </w:r>
      <w:r>
        <w:rPr>
          <w:rFonts w:hint="eastAsia" w:cs="Times New Roman"/>
          <w:bCs/>
          <w:color w:val="auto"/>
          <w:sz w:val="24"/>
          <w:szCs w:val="24"/>
          <w:highlight w:val="none"/>
        </w:rPr>
        <w:t>；</w:t>
      </w:r>
    </w:p>
    <w:p w14:paraId="1CED9B7A">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hint="eastAsia" w:cs="Times New Roman"/>
          <w:bCs/>
          <w:color w:val="auto"/>
          <w:sz w:val="24"/>
          <w:szCs w:val="24"/>
          <w:highlight w:val="none"/>
        </w:rPr>
        <w:t xml:space="preserve">2 </w:t>
      </w:r>
      <w:r>
        <w:rPr>
          <w:rFonts w:cs="Times New Roman"/>
          <w:bCs/>
          <w:color w:val="auto"/>
          <w:sz w:val="24"/>
          <w:szCs w:val="24"/>
          <w:highlight w:val="none"/>
        </w:rPr>
        <w:t>采用与接缝实际高度等长的素混凝土柱来模拟</w:t>
      </w:r>
      <w:r>
        <w:rPr>
          <w:rFonts w:hint="eastAsia" w:cs="Times New Roman"/>
          <w:bCs/>
          <w:color w:val="auto"/>
          <w:sz w:val="24"/>
          <w:szCs w:val="24"/>
          <w:highlight w:val="none"/>
        </w:rPr>
        <w:t>；</w:t>
      </w:r>
    </w:p>
    <w:p w14:paraId="52BE3F24">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hint="eastAsia" w:cs="Times New Roman"/>
          <w:bCs/>
          <w:color w:val="auto"/>
          <w:sz w:val="24"/>
          <w:szCs w:val="24"/>
          <w:highlight w:val="none"/>
        </w:rPr>
        <w:t xml:space="preserve">3 </w:t>
      </w:r>
      <w:r>
        <w:rPr>
          <w:rFonts w:cs="Times New Roman"/>
          <w:bCs/>
          <w:color w:val="auto"/>
          <w:sz w:val="24"/>
          <w:szCs w:val="24"/>
          <w:highlight w:val="none"/>
        </w:rPr>
        <w:t>采用并联弹簧模型</w:t>
      </w:r>
      <w:r>
        <w:rPr>
          <w:rFonts w:hint="eastAsia" w:cs="Times New Roman"/>
          <w:bCs/>
          <w:color w:val="auto"/>
          <w:sz w:val="24"/>
          <w:szCs w:val="24"/>
          <w:highlight w:val="none"/>
        </w:rPr>
        <w:t>模拟</w:t>
      </w:r>
      <w:r>
        <w:rPr>
          <w:rFonts w:hint="eastAsia" w:cs="Times New Roman"/>
          <w:bCs/>
          <w:color w:val="auto"/>
          <w:sz w:val="24"/>
          <w:szCs w:val="24"/>
          <w:highlight w:val="none"/>
          <w:lang w:val="en-US" w:eastAsia="zh-CN"/>
        </w:rPr>
        <w:t>地</w:t>
      </w:r>
      <w:r>
        <w:rPr>
          <w:rFonts w:cs="Times New Roman"/>
          <w:bCs/>
          <w:color w:val="auto"/>
          <w:sz w:val="24"/>
          <w:szCs w:val="24"/>
          <w:highlight w:val="none"/>
        </w:rPr>
        <w:t>震作用下各个部分之间的相互作用</w:t>
      </w:r>
      <w:r>
        <w:rPr>
          <w:rFonts w:hint="eastAsia" w:cs="Times New Roman"/>
          <w:bCs/>
          <w:color w:val="auto"/>
          <w:sz w:val="24"/>
          <w:szCs w:val="24"/>
          <w:highlight w:val="none"/>
        </w:rPr>
        <w:t>。</w:t>
      </w:r>
    </w:p>
    <w:p w14:paraId="6467DB8E">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hint="eastAsia" w:cs="Times New Roman"/>
          <w:b/>
          <w:color w:val="auto"/>
          <w:sz w:val="24"/>
          <w:szCs w:val="24"/>
          <w:highlight w:val="none"/>
        </w:rPr>
        <w:t>5.</w:t>
      </w:r>
      <w:r>
        <w:rPr>
          <w:rFonts w:cs="Times New Roman"/>
          <w:b/>
          <w:color w:val="auto"/>
          <w:sz w:val="24"/>
          <w:szCs w:val="24"/>
          <w:highlight w:val="none"/>
        </w:rPr>
        <w:t>5</w:t>
      </w:r>
      <w:r>
        <w:rPr>
          <w:rFonts w:hint="eastAsia" w:cs="Times New Roman"/>
          <w:b/>
          <w:color w:val="auto"/>
          <w:sz w:val="24"/>
          <w:szCs w:val="24"/>
          <w:highlight w:val="none"/>
        </w:rPr>
        <w:t>.</w:t>
      </w:r>
      <w:r>
        <w:rPr>
          <w:rFonts w:cs="Times New Roman"/>
          <w:b/>
          <w:color w:val="auto"/>
          <w:sz w:val="24"/>
          <w:szCs w:val="24"/>
          <w:highlight w:val="none"/>
        </w:rPr>
        <w:t>3</w:t>
      </w:r>
      <w:r>
        <w:rPr>
          <w:rFonts w:hint="eastAsia" w:cs="Times New Roman"/>
          <w:bCs/>
          <w:color w:val="auto"/>
          <w:sz w:val="24"/>
          <w:szCs w:val="24"/>
          <w:highlight w:val="none"/>
        </w:rPr>
        <w:t xml:space="preserve">  在进行抗震分析时，E1地震作用下，墩柱抗弯刚度可按全截面计算，并考虑柱身内灌浆套简对墩柱刚度的影响，采用换算截面； E2地震作用下，潜在墩柱屈服的有效截面抗弯刚度应按《公路装配式混凝土桥梁设计规范》（JTG/T 3365-05）中</w:t>
      </w:r>
      <w:r>
        <w:rPr>
          <w:rFonts w:cs="Times New Roman"/>
          <w:bCs/>
          <w:color w:val="auto"/>
          <w:sz w:val="24"/>
          <w:szCs w:val="24"/>
          <w:highlight w:val="none"/>
        </w:rPr>
        <w:t>7.2.2</w:t>
      </w:r>
      <w:r>
        <w:rPr>
          <w:rFonts w:hint="eastAsia" w:cs="Times New Roman"/>
          <w:bCs/>
          <w:color w:val="auto"/>
          <w:sz w:val="24"/>
          <w:szCs w:val="24"/>
          <w:highlight w:val="none"/>
        </w:rPr>
        <w:t>规定计算。</w:t>
      </w:r>
    </w:p>
    <w:p w14:paraId="011BD60A">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hint="eastAsia" w:cs="Times New Roman"/>
          <w:b/>
          <w:color w:val="auto"/>
          <w:sz w:val="24"/>
          <w:szCs w:val="24"/>
          <w:highlight w:val="none"/>
        </w:rPr>
        <w:t>5.</w:t>
      </w:r>
      <w:r>
        <w:rPr>
          <w:rFonts w:cs="Times New Roman"/>
          <w:b/>
          <w:color w:val="auto"/>
          <w:sz w:val="24"/>
          <w:szCs w:val="24"/>
          <w:highlight w:val="none"/>
        </w:rPr>
        <w:t>5</w:t>
      </w:r>
      <w:r>
        <w:rPr>
          <w:rFonts w:hint="eastAsia" w:cs="Times New Roman"/>
          <w:b/>
          <w:color w:val="auto"/>
          <w:sz w:val="24"/>
          <w:szCs w:val="24"/>
          <w:highlight w:val="none"/>
        </w:rPr>
        <w:t>.</w:t>
      </w:r>
      <w:r>
        <w:rPr>
          <w:rFonts w:cs="Times New Roman"/>
          <w:b/>
          <w:color w:val="auto"/>
          <w:sz w:val="24"/>
          <w:szCs w:val="24"/>
          <w:highlight w:val="none"/>
        </w:rPr>
        <w:t>4</w:t>
      </w:r>
      <w:r>
        <w:rPr>
          <w:rFonts w:cs="Times New Roman"/>
          <w:bCs/>
          <w:color w:val="auto"/>
          <w:sz w:val="24"/>
          <w:szCs w:val="24"/>
          <w:highlight w:val="none"/>
        </w:rPr>
        <w:t xml:space="preserve">  </w:t>
      </w:r>
      <w:r>
        <w:rPr>
          <w:rFonts w:hint="eastAsia" w:cs="Times New Roman"/>
          <w:bCs/>
          <w:color w:val="auto"/>
          <w:sz w:val="24"/>
          <w:szCs w:val="24"/>
          <w:highlight w:val="none"/>
        </w:rPr>
        <w:t>采用灌浆套筒、灌浆波纹钢管、承插式、插槽式、壳式、湿接缝连接的桥墩墩身塑性铰区斜截面抗剪强度按《公路装配式混凝土桥梁设计规范》（JTG/T 3365-05）中</w:t>
      </w:r>
      <w:r>
        <w:rPr>
          <w:rFonts w:cs="Times New Roman"/>
          <w:bCs/>
          <w:color w:val="auto"/>
          <w:sz w:val="24"/>
          <w:szCs w:val="24"/>
          <w:highlight w:val="none"/>
        </w:rPr>
        <w:t>7.2.3</w:t>
      </w:r>
      <w:r>
        <w:rPr>
          <w:rFonts w:hint="eastAsia" w:cs="Times New Roman"/>
          <w:bCs/>
          <w:color w:val="auto"/>
          <w:sz w:val="24"/>
          <w:szCs w:val="24"/>
          <w:highlight w:val="none"/>
        </w:rPr>
        <w:t>规定计算，接缝的抗剪强度通过有限元模拟或试验研究确定。</w:t>
      </w:r>
    </w:p>
    <w:p w14:paraId="1D6D6DB0">
      <w:pPr>
        <w:pStyle w:val="169"/>
        <w:keepNext w:val="0"/>
        <w:keepLines w:val="0"/>
        <w:pageBreakBefore w:val="0"/>
        <w:widowControl/>
        <w:kinsoku/>
        <w:wordWrap/>
        <w:overflowPunct/>
        <w:topLinePunct w:val="0"/>
        <w:autoSpaceDE/>
        <w:autoSpaceDN/>
        <w:bidi w:val="0"/>
        <w:adjustRightInd/>
        <w:snapToGrid/>
        <w:spacing w:after="156" w:line="360" w:lineRule="auto"/>
        <w:ind w:firstLine="0"/>
        <w:textAlignment w:val="auto"/>
        <w:rPr>
          <w:rFonts w:cs="Times New Roman"/>
          <w:bCs/>
          <w:color w:val="auto"/>
          <w:sz w:val="24"/>
          <w:szCs w:val="24"/>
          <w:highlight w:val="none"/>
        </w:rPr>
      </w:pPr>
      <w:r>
        <w:rPr>
          <w:rFonts w:hint="eastAsia" w:cs="Times New Roman"/>
          <w:b/>
          <w:color w:val="auto"/>
          <w:sz w:val="24"/>
          <w:szCs w:val="24"/>
          <w:highlight w:val="none"/>
        </w:rPr>
        <w:t>5.</w:t>
      </w:r>
      <w:r>
        <w:rPr>
          <w:rFonts w:cs="Times New Roman"/>
          <w:b/>
          <w:color w:val="auto"/>
          <w:sz w:val="24"/>
          <w:szCs w:val="24"/>
          <w:highlight w:val="none"/>
        </w:rPr>
        <w:t>5</w:t>
      </w:r>
      <w:r>
        <w:rPr>
          <w:rFonts w:hint="eastAsia" w:cs="Times New Roman"/>
          <w:b/>
          <w:color w:val="auto"/>
          <w:sz w:val="24"/>
          <w:szCs w:val="24"/>
          <w:highlight w:val="none"/>
        </w:rPr>
        <w:t>.</w:t>
      </w:r>
      <w:r>
        <w:rPr>
          <w:rFonts w:cs="Times New Roman"/>
          <w:b/>
          <w:color w:val="auto"/>
          <w:sz w:val="24"/>
          <w:szCs w:val="24"/>
          <w:highlight w:val="none"/>
        </w:rPr>
        <w:t>5</w:t>
      </w:r>
      <w:r>
        <w:rPr>
          <w:rFonts w:cs="Times New Roman"/>
          <w:bCs/>
          <w:color w:val="auto"/>
          <w:sz w:val="24"/>
          <w:szCs w:val="24"/>
          <w:highlight w:val="none"/>
        </w:rPr>
        <w:t xml:space="preserve">  </w:t>
      </w:r>
      <w:r>
        <w:rPr>
          <w:rFonts w:hint="eastAsia" w:cs="Times New Roman"/>
          <w:bCs/>
          <w:color w:val="auto"/>
          <w:sz w:val="24"/>
          <w:szCs w:val="24"/>
          <w:highlight w:val="none"/>
        </w:rPr>
        <w:t>采用预应力连接的装配式混凝土桥墩墩身和接缝塑性铰区域抗剪强度，宜通过有限元模拟或试验研究确定。</w:t>
      </w:r>
    </w:p>
    <w:p w14:paraId="116E62F5">
      <w:pPr>
        <w:widowControl/>
        <w:jc w:val="left"/>
        <w:rPr>
          <w:rFonts w:ascii="Times New Roman" w:hAnsi="Times New Roman" w:eastAsia="黑体"/>
          <w:color w:val="auto"/>
          <w:kern w:val="44"/>
          <w:sz w:val="32"/>
          <w:szCs w:val="32"/>
          <w:highlight w:val="none"/>
        </w:rPr>
      </w:pPr>
      <w:r>
        <w:rPr>
          <w:rFonts w:ascii="Times New Roman" w:hAnsi="Times New Roman"/>
          <w:color w:val="auto"/>
          <w:szCs w:val="32"/>
          <w:highlight w:val="none"/>
        </w:rPr>
        <w:br w:type="page"/>
      </w:r>
    </w:p>
    <w:p w14:paraId="52ADF614">
      <w:pPr>
        <w:pStyle w:val="17"/>
        <w:spacing w:before="312" w:beforeLines="100" w:after="312" w:afterLines="100" w:line="360" w:lineRule="auto"/>
        <w:jc w:val="center"/>
        <w:outlineLvl w:val="0"/>
        <w:rPr>
          <w:rFonts w:ascii="Times New Roman" w:hAnsi="Times New Roman" w:cs="Times New Roman"/>
          <w:b/>
          <w:sz w:val="36"/>
          <w:szCs w:val="36"/>
        </w:rPr>
      </w:pPr>
      <w:bookmarkStart w:id="84" w:name="_Toc28063"/>
      <w:bookmarkStart w:id="85" w:name="_Toc30533"/>
      <w:r>
        <w:rPr>
          <w:rFonts w:hint="default" w:ascii="Times New Roman" w:hAnsi="Times New Roman" w:cs="Times New Roman"/>
          <w:b/>
          <w:sz w:val="36"/>
          <w:szCs w:val="36"/>
        </w:rPr>
        <w:t>6 构造设计</w:t>
      </w:r>
      <w:bookmarkEnd w:id="84"/>
      <w:bookmarkEnd w:id="85"/>
    </w:p>
    <w:p w14:paraId="7F1D0E6A">
      <w:pPr>
        <w:spacing w:before="156" w:beforeLines="50" w:after="156" w:afterLines="50" w:line="360" w:lineRule="auto"/>
        <w:jc w:val="center"/>
        <w:outlineLvl w:val="1"/>
        <w:rPr>
          <w:rFonts w:ascii="Times New Roman" w:hAnsi="Times New Roman" w:cs="Times New Roman"/>
          <w:b/>
          <w:kern w:val="0"/>
          <w:sz w:val="28"/>
          <w:szCs w:val="28"/>
        </w:rPr>
      </w:pPr>
      <w:bookmarkStart w:id="86" w:name="_Toc7271"/>
      <w:bookmarkStart w:id="87" w:name="_Toc20130"/>
      <w:r>
        <w:rPr>
          <w:rFonts w:hint="eastAsia" w:ascii="Times New Roman" w:hAnsi="Times New Roman" w:cs="Times New Roman"/>
          <w:b/>
          <w:kern w:val="0"/>
          <w:sz w:val="28"/>
          <w:szCs w:val="28"/>
        </w:rPr>
        <w:t>6.1 一般规定</w:t>
      </w:r>
      <w:bookmarkEnd w:id="86"/>
      <w:bookmarkEnd w:id="87"/>
    </w:p>
    <w:p w14:paraId="0435B68C">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 xml:space="preserve">6.1.1  </w:t>
      </w:r>
      <w:r>
        <w:rPr>
          <w:rFonts w:hint="eastAsia"/>
          <w:bCs/>
          <w:color w:val="auto"/>
          <w:sz w:val="24"/>
          <w:szCs w:val="24"/>
          <w:highlight w:val="none"/>
        </w:rPr>
        <w:t>装配式桥梁连接位置的选择应遵循以下原则：</w:t>
      </w:r>
    </w:p>
    <w:p w14:paraId="43D8BF01">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ascii="Times New Roman" w:hAnsi="Times New Roman" w:cs="Times New Roman"/>
          <w:color w:val="auto"/>
          <w:spacing w:val="4"/>
          <w:sz w:val="24"/>
          <w:szCs w:val="24"/>
          <w:highlight w:val="none"/>
          <w:shd w:val="clear" w:color="auto" w:fill="FFFFFF"/>
        </w:rPr>
      </w:pPr>
      <w:r>
        <w:rPr>
          <w:rFonts w:hint="eastAsia"/>
          <w:color w:val="auto"/>
          <w:sz w:val="24"/>
          <w:szCs w:val="24"/>
          <w:highlight w:val="none"/>
        </w:rPr>
        <w:t xml:space="preserve">1 </w:t>
      </w:r>
      <w:r>
        <w:rPr>
          <w:rFonts w:hint="eastAsia"/>
          <w:bCs/>
          <w:color w:val="auto"/>
          <w:sz w:val="24"/>
          <w:szCs w:val="24"/>
          <w:highlight w:val="none"/>
        </w:rPr>
        <w:t>避开受力和构造复杂区域</w:t>
      </w:r>
      <w:r>
        <w:rPr>
          <w:rFonts w:hint="default" w:ascii="Times New Roman" w:hAnsi="Times New Roman" w:cs="Times New Roman"/>
          <w:color w:val="auto"/>
          <w:spacing w:val="4"/>
          <w:sz w:val="24"/>
          <w:szCs w:val="24"/>
          <w:highlight w:val="none"/>
          <w:shd w:val="clear" w:color="auto" w:fill="FFFFFF"/>
        </w:rPr>
        <w:t>；</w:t>
      </w:r>
    </w:p>
    <w:p w14:paraId="7F78ECC6">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strike/>
          <w:color w:val="auto"/>
          <w:sz w:val="24"/>
          <w:szCs w:val="24"/>
          <w:highlight w:val="none"/>
        </w:rPr>
      </w:pPr>
      <w:r>
        <w:rPr>
          <w:rFonts w:hint="eastAsia"/>
          <w:color w:val="auto"/>
          <w:sz w:val="24"/>
          <w:szCs w:val="24"/>
          <w:highlight w:val="none"/>
        </w:rPr>
        <w:t>2</w:t>
      </w:r>
      <w:r>
        <w:rPr>
          <w:color w:val="auto"/>
          <w:sz w:val="24"/>
          <w:szCs w:val="24"/>
          <w:highlight w:val="none"/>
        </w:rPr>
        <w:t xml:space="preserve"> </w:t>
      </w:r>
      <w:r>
        <w:rPr>
          <w:rFonts w:hint="eastAsia"/>
          <w:color w:val="auto"/>
          <w:sz w:val="24"/>
          <w:szCs w:val="24"/>
          <w:highlight w:val="none"/>
        </w:rPr>
        <w:t>考虑城市预制、运输和安装条件，合理确定预制构件的尺寸和重量</w:t>
      </w:r>
    </w:p>
    <w:p w14:paraId="5E4F4EE4">
      <w:pPr>
        <w:pStyle w:val="2"/>
        <w:keepNext w:val="0"/>
        <w:keepLines w:val="0"/>
        <w:pageBreakBefore w:val="0"/>
        <w:widowControl w:val="0"/>
        <w:kinsoku/>
        <w:wordWrap/>
        <w:overflowPunct/>
        <w:topLinePunct w:val="0"/>
        <w:autoSpaceDE/>
        <w:autoSpaceDN/>
        <w:bidi w:val="0"/>
        <w:adjustRightInd/>
        <w:spacing w:line="360" w:lineRule="auto"/>
        <w:textAlignment w:val="auto"/>
        <w:rPr>
          <w:rFonts w:eastAsia="宋体"/>
          <w:bCs/>
          <w:color w:val="auto"/>
          <w:sz w:val="24"/>
          <w:szCs w:val="24"/>
          <w:highlight w:val="none"/>
        </w:rPr>
      </w:pPr>
      <w:r>
        <w:rPr>
          <w:rFonts w:hint="eastAsia" w:eastAsia="宋体"/>
          <w:bCs/>
          <w:color w:val="auto"/>
          <w:sz w:val="24"/>
          <w:szCs w:val="24"/>
          <w:highlight w:val="none"/>
        </w:rPr>
        <w:t>3</w:t>
      </w:r>
      <w:r>
        <w:rPr>
          <w:rFonts w:eastAsia="宋体"/>
          <w:bCs/>
          <w:color w:val="auto"/>
          <w:sz w:val="24"/>
          <w:szCs w:val="24"/>
          <w:highlight w:val="none"/>
        </w:rPr>
        <w:t xml:space="preserve"> </w:t>
      </w:r>
      <w:r>
        <w:rPr>
          <w:rFonts w:hint="eastAsia" w:eastAsia="宋体"/>
          <w:bCs/>
          <w:color w:val="auto"/>
          <w:sz w:val="24"/>
          <w:szCs w:val="24"/>
          <w:highlight w:val="none"/>
        </w:rPr>
        <w:t>构件预制模数化，尽量减少构件类型；</w:t>
      </w:r>
    </w:p>
    <w:p w14:paraId="7C3C7252">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color w:val="auto"/>
          <w:sz w:val="24"/>
          <w:szCs w:val="24"/>
          <w:highlight w:val="none"/>
        </w:rPr>
      </w:pPr>
      <w:r>
        <w:rPr>
          <w:color w:val="auto"/>
          <w:sz w:val="24"/>
          <w:szCs w:val="24"/>
          <w:highlight w:val="none"/>
        </w:rPr>
        <w:t>4</w:t>
      </w:r>
      <w:r>
        <w:rPr>
          <w:rFonts w:hint="eastAsia"/>
          <w:color w:val="auto"/>
          <w:sz w:val="24"/>
          <w:szCs w:val="24"/>
          <w:highlight w:val="none"/>
        </w:rPr>
        <w:t xml:space="preserve"> </w:t>
      </w:r>
      <w:r>
        <w:rPr>
          <w:rFonts w:hint="default" w:hAnsi="Times New Roman" w:cs="Times New Roman"/>
          <w:color w:val="auto"/>
          <w:sz w:val="24"/>
          <w:szCs w:val="24"/>
          <w:highlight w:val="none"/>
        </w:rPr>
        <w:t>下部结构</w:t>
      </w:r>
      <w:r>
        <w:rPr>
          <w:rFonts w:hint="eastAsia"/>
          <w:color w:val="auto"/>
          <w:sz w:val="24"/>
          <w:szCs w:val="24"/>
          <w:highlight w:val="none"/>
        </w:rPr>
        <w:t>的拼接缝不宜设置于水位变动区及浪溅区。</w:t>
      </w:r>
    </w:p>
    <w:p w14:paraId="2B696567">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6.1.2</w:t>
      </w:r>
      <w:r>
        <w:rPr>
          <w:rFonts w:hint="eastAsia"/>
          <w:bCs/>
          <w:color w:val="auto"/>
          <w:sz w:val="24"/>
          <w:szCs w:val="24"/>
          <w:highlight w:val="none"/>
        </w:rPr>
        <w:t xml:space="preserve">  连接节点的构造设计应考虑预制安装的精度要求，方便施工。</w:t>
      </w:r>
    </w:p>
    <w:p w14:paraId="1C60DBED">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6.1.3</w:t>
      </w:r>
      <w:r>
        <w:rPr>
          <w:rFonts w:hint="eastAsia"/>
          <w:bCs/>
          <w:color w:val="auto"/>
          <w:sz w:val="24"/>
          <w:szCs w:val="24"/>
          <w:highlight w:val="none"/>
        </w:rPr>
        <w:t xml:space="preserve">  采用机械连接器时构件中的钢筋布置应考虑连接器的尺寸，并确保连接器部位混凝土保护层厚度。设计时应给出构件表面到搭接钢筋中心的距离，该距离可根据所采用的机械连接装置的最大直径和所需保护层厚度计算。</w:t>
      </w:r>
    </w:p>
    <w:p w14:paraId="48B69A90">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6.1</w:t>
      </w:r>
      <w:r>
        <w:rPr>
          <w:b/>
          <w:color w:val="auto"/>
          <w:sz w:val="24"/>
          <w:szCs w:val="24"/>
          <w:highlight w:val="none"/>
        </w:rPr>
        <w:t>.</w:t>
      </w:r>
      <w:r>
        <w:rPr>
          <w:rFonts w:hint="eastAsia"/>
          <w:b/>
          <w:color w:val="auto"/>
          <w:sz w:val="24"/>
          <w:szCs w:val="24"/>
          <w:highlight w:val="none"/>
        </w:rPr>
        <w:t>4</w:t>
      </w:r>
      <w:r>
        <w:rPr>
          <w:rFonts w:hint="eastAsia"/>
          <w:bCs/>
          <w:color w:val="auto"/>
          <w:sz w:val="24"/>
          <w:szCs w:val="24"/>
          <w:highlight w:val="none"/>
        </w:rPr>
        <w:t xml:space="preserve">  </w:t>
      </w:r>
      <w:r>
        <w:rPr>
          <w:rFonts w:hint="eastAsia" w:ascii="宋体" w:hAnsi="宋体" w:eastAsia="宋体" w:cs="宋体"/>
          <w:color w:val="auto"/>
          <w:sz w:val="24"/>
          <w:szCs w:val="24"/>
          <w:highlight w:val="none"/>
          <w:lang w:val="en-US" w:eastAsia="zh-CN"/>
        </w:rPr>
        <w:t>预制拼装桥墩、桥台、承台、盖梁</w:t>
      </w:r>
      <w:r>
        <w:rPr>
          <w:rFonts w:hint="eastAsia"/>
          <w:bCs/>
          <w:color w:val="auto"/>
          <w:sz w:val="24"/>
          <w:szCs w:val="24"/>
          <w:highlight w:val="none"/>
        </w:rPr>
        <w:t>不同类型构件之间的拼装接缝砂浆垫层厚度宜为10mm ~ 30mm，同类型构件之间的环氧接缝厚度宜为lmm ~ 3mm。</w:t>
      </w:r>
    </w:p>
    <w:p w14:paraId="0845823E">
      <w:pPr>
        <w:spacing w:before="156" w:beforeLines="50" w:after="156" w:afterLines="50" w:line="360" w:lineRule="auto"/>
        <w:jc w:val="center"/>
        <w:outlineLvl w:val="1"/>
        <w:rPr>
          <w:rFonts w:hint="eastAsia" w:ascii="Times New Roman" w:hAnsi="Times New Roman" w:cs="Times New Roman"/>
          <w:b/>
          <w:kern w:val="0"/>
          <w:sz w:val="28"/>
          <w:szCs w:val="28"/>
        </w:rPr>
      </w:pPr>
      <w:bookmarkStart w:id="88" w:name="_Toc5826"/>
      <w:bookmarkStart w:id="89" w:name="_Toc8648"/>
      <w:r>
        <w:rPr>
          <w:rFonts w:hint="eastAsia" w:ascii="Times New Roman" w:hAnsi="Times New Roman" w:cs="Times New Roman"/>
          <w:b/>
          <w:kern w:val="0"/>
          <w:sz w:val="28"/>
          <w:szCs w:val="28"/>
        </w:rPr>
        <w:t>6.2 灌浆套筒连接</w:t>
      </w:r>
      <w:bookmarkEnd w:id="88"/>
      <w:bookmarkEnd w:id="89"/>
    </w:p>
    <w:p w14:paraId="52FB407D">
      <w:pPr>
        <w:pStyle w:val="30"/>
        <w:keepNext w:val="0"/>
        <w:keepLines w:val="0"/>
        <w:pageBreakBefore w:val="0"/>
        <w:kinsoku/>
        <w:wordWrap/>
        <w:overflowPunct/>
        <w:topLinePunct w:val="0"/>
        <w:bidi w:val="0"/>
        <w:adjustRightInd/>
        <w:spacing w:line="360" w:lineRule="auto"/>
        <w:ind w:firstLine="0" w:firstLineChars="0"/>
        <w:textAlignment w:val="auto"/>
        <w:rPr>
          <w:rFonts w:ascii="Times New Roman"/>
          <w:bCs/>
          <w:color w:val="auto"/>
          <w:szCs w:val="21"/>
          <w:highlight w:val="none"/>
        </w:rPr>
      </w:pPr>
      <w:r>
        <w:rPr>
          <w:rFonts w:ascii="Times New Roman"/>
          <w:b/>
          <w:color w:val="auto"/>
          <w:szCs w:val="21"/>
          <w:highlight w:val="none"/>
        </w:rPr>
        <w:t xml:space="preserve">6.2.1  </w:t>
      </w:r>
      <w:r>
        <w:rPr>
          <w:rFonts w:hint="default" w:ascii="Times New Roman"/>
          <w:bCs/>
          <w:color w:val="auto"/>
          <w:szCs w:val="21"/>
          <w:highlight w:val="none"/>
        </w:rPr>
        <w:t>灌浆</w:t>
      </w:r>
      <w:r>
        <w:rPr>
          <w:rFonts w:ascii="Times New Roman"/>
          <w:bCs/>
          <w:color w:val="auto"/>
          <w:szCs w:val="21"/>
          <w:highlight w:val="none"/>
        </w:rPr>
        <w:t>套筒之间净距不宜小于</w:t>
      </w:r>
      <w:r>
        <w:rPr>
          <w:rFonts w:hint="default" w:ascii="Times New Roman"/>
          <w:bCs/>
          <w:color w:val="auto"/>
          <w:szCs w:val="21"/>
          <w:highlight w:val="none"/>
        </w:rPr>
        <w:t>骨料</w:t>
      </w:r>
      <w:r>
        <w:rPr>
          <w:rFonts w:ascii="Times New Roman"/>
          <w:bCs/>
          <w:color w:val="auto"/>
          <w:szCs w:val="21"/>
          <w:highlight w:val="none"/>
        </w:rPr>
        <w:t>最大粒径的1.4 倍</w:t>
      </w:r>
      <w:r>
        <w:rPr>
          <w:rFonts w:hint="default" w:ascii="Times New Roman"/>
          <w:bCs/>
          <w:color w:val="auto"/>
          <w:szCs w:val="21"/>
          <w:highlight w:val="none"/>
        </w:rPr>
        <w:t>，且不宜小于50</w:t>
      </w:r>
      <w:r>
        <w:rPr>
          <w:rFonts w:ascii="Times New Roman"/>
          <w:bCs/>
          <w:color w:val="auto"/>
          <w:szCs w:val="21"/>
          <w:highlight w:val="none"/>
        </w:rPr>
        <w:t>mm。</w:t>
      </w:r>
    </w:p>
    <w:p w14:paraId="5A4B5F20">
      <w:pPr>
        <w:keepNext w:val="0"/>
        <w:keepLines w:val="0"/>
        <w:pageBreakBefore w:val="0"/>
        <w:kinsoku/>
        <w:wordWrap/>
        <w:overflowPunct/>
        <w:topLinePunct w:val="0"/>
        <w:bidi w:val="0"/>
        <w:adjustRightInd/>
        <w:snapToGrid w:val="0"/>
        <w:spacing w:line="360" w:lineRule="auto"/>
        <w:textAlignment w:val="auto"/>
        <w:rPr>
          <w:color w:val="auto"/>
          <w:szCs w:val="22"/>
          <w:highlight w:val="none"/>
        </w:rPr>
      </w:pPr>
      <w:r>
        <w:rPr>
          <w:rFonts w:hint="eastAsia"/>
          <w:b/>
          <w:bCs/>
          <w:color w:val="auto"/>
          <w:szCs w:val="22"/>
          <w:highlight w:val="none"/>
        </w:rPr>
        <w:t>6</w:t>
      </w:r>
      <w:r>
        <w:rPr>
          <w:b/>
          <w:bCs/>
          <w:color w:val="auto"/>
          <w:szCs w:val="22"/>
          <w:highlight w:val="none"/>
        </w:rPr>
        <w:t>.</w:t>
      </w:r>
      <w:r>
        <w:rPr>
          <w:rFonts w:hint="eastAsia"/>
          <w:b/>
          <w:bCs/>
          <w:color w:val="auto"/>
          <w:szCs w:val="22"/>
          <w:highlight w:val="none"/>
        </w:rPr>
        <w:t>2.2</w:t>
      </w:r>
      <w:r>
        <w:rPr>
          <w:color w:val="auto"/>
          <w:szCs w:val="22"/>
          <w:highlight w:val="none"/>
        </w:rPr>
        <w:t xml:space="preserve">  灌浆套筒连接和灌浆</w:t>
      </w:r>
      <w:r>
        <w:rPr>
          <w:rFonts w:hint="eastAsia"/>
          <w:color w:val="auto"/>
          <w:szCs w:val="22"/>
          <w:highlight w:val="none"/>
        </w:rPr>
        <w:t>金属</w:t>
      </w:r>
      <w:r>
        <w:rPr>
          <w:color w:val="auto"/>
          <w:szCs w:val="22"/>
          <w:highlight w:val="none"/>
        </w:rPr>
        <w:t>波纹钢管连接</w:t>
      </w:r>
      <w:r>
        <w:rPr>
          <w:rFonts w:hint="eastAsia"/>
          <w:color w:val="auto"/>
          <w:szCs w:val="22"/>
          <w:highlight w:val="none"/>
        </w:rPr>
        <w:t>中的普通钢筋</w:t>
      </w:r>
      <w:r>
        <w:rPr>
          <w:color w:val="auto"/>
          <w:szCs w:val="22"/>
          <w:highlight w:val="none"/>
        </w:rPr>
        <w:t>应采用热轧带肋钢筋。</w:t>
      </w:r>
    </w:p>
    <w:p w14:paraId="799A3F8F">
      <w:pPr>
        <w:keepNext w:val="0"/>
        <w:keepLines w:val="0"/>
        <w:pageBreakBefore w:val="0"/>
        <w:kinsoku/>
        <w:wordWrap/>
        <w:overflowPunct/>
        <w:topLinePunct w:val="0"/>
        <w:bidi w:val="0"/>
        <w:adjustRightInd/>
        <w:snapToGrid w:val="0"/>
        <w:spacing w:line="360" w:lineRule="auto"/>
        <w:textAlignment w:val="auto"/>
        <w:rPr>
          <w:bCs/>
          <w:color w:val="auto"/>
          <w:szCs w:val="21"/>
          <w:highlight w:val="none"/>
        </w:rPr>
      </w:pPr>
      <w:r>
        <w:rPr>
          <w:rFonts w:hint="eastAsia"/>
          <w:b/>
          <w:color w:val="auto"/>
          <w:szCs w:val="21"/>
          <w:highlight w:val="none"/>
        </w:rPr>
        <w:t>6.2</w:t>
      </w:r>
      <w:r>
        <w:rPr>
          <w:b/>
          <w:color w:val="auto"/>
          <w:szCs w:val="21"/>
          <w:highlight w:val="none"/>
        </w:rPr>
        <w:t>.</w:t>
      </w:r>
      <w:r>
        <w:rPr>
          <w:rFonts w:hint="eastAsia"/>
          <w:b/>
          <w:color w:val="auto"/>
          <w:szCs w:val="21"/>
          <w:highlight w:val="none"/>
        </w:rPr>
        <w:t>3</w:t>
      </w:r>
      <w:r>
        <w:rPr>
          <w:bCs/>
          <w:color w:val="auto"/>
          <w:szCs w:val="21"/>
          <w:highlight w:val="none"/>
        </w:rPr>
        <w:t xml:space="preserve">  采用灌浆套筒连接的预制</w:t>
      </w:r>
      <w:r>
        <w:rPr>
          <w:rFonts w:hint="default" w:ascii="Times New Roman" w:hAnsi="Times New Roman" w:cs="Times New Roman"/>
          <w:color w:val="auto"/>
          <w:szCs w:val="21"/>
          <w:highlight w:val="none"/>
        </w:rPr>
        <w:t>混凝土</w:t>
      </w:r>
      <w:r>
        <w:rPr>
          <w:bCs/>
          <w:color w:val="auto"/>
          <w:szCs w:val="21"/>
          <w:highlight w:val="none"/>
        </w:rPr>
        <w:t>墩柱纵向受力钢筋</w:t>
      </w:r>
      <w:r>
        <w:rPr>
          <w:rFonts w:hint="eastAsia"/>
          <w:bCs/>
          <w:color w:val="auto"/>
          <w:szCs w:val="21"/>
          <w:highlight w:val="none"/>
        </w:rPr>
        <w:t>直径d在</w:t>
      </w:r>
      <w:r>
        <w:rPr>
          <w:bCs/>
          <w:color w:val="auto"/>
          <w:szCs w:val="21"/>
          <w:highlight w:val="none"/>
        </w:rPr>
        <w:t>12mm</w:t>
      </w:r>
      <w:r>
        <w:rPr>
          <w:rFonts w:hint="eastAsia"/>
          <w:bCs/>
          <w:color w:val="auto"/>
          <w:szCs w:val="21"/>
          <w:highlight w:val="none"/>
        </w:rPr>
        <w:t>~40mm范围内</w:t>
      </w:r>
      <w:r>
        <w:rPr>
          <w:bCs/>
          <w:color w:val="auto"/>
          <w:szCs w:val="21"/>
          <w:highlight w:val="none"/>
        </w:rPr>
        <w:t>。纵向钢筋之间的中心距不应大于350mm</w:t>
      </w:r>
      <w:r>
        <w:rPr>
          <w:rFonts w:hint="eastAsia"/>
          <w:bCs/>
          <w:color w:val="auto"/>
          <w:szCs w:val="21"/>
          <w:highlight w:val="none"/>
        </w:rPr>
        <w:t>且不应小于d+40mm</w:t>
      </w:r>
      <w:r>
        <w:rPr>
          <w:bCs/>
          <w:color w:val="auto"/>
          <w:szCs w:val="21"/>
          <w:highlight w:val="none"/>
        </w:rPr>
        <w:t>，</w:t>
      </w:r>
      <w:r>
        <w:rPr>
          <w:rFonts w:hint="eastAsia"/>
          <w:bCs/>
          <w:color w:val="auto"/>
          <w:szCs w:val="21"/>
          <w:highlight w:val="none"/>
        </w:rPr>
        <w:t>且</w:t>
      </w:r>
      <w:r>
        <w:rPr>
          <w:bCs/>
          <w:color w:val="auto"/>
          <w:szCs w:val="21"/>
          <w:highlight w:val="none"/>
        </w:rPr>
        <w:t>至少每隔一根纵向钢筋用箍筋或拉筋固定。</w:t>
      </w:r>
    </w:p>
    <w:p w14:paraId="3D4FFA56">
      <w:pPr>
        <w:pStyle w:val="2"/>
        <w:keepNext w:val="0"/>
        <w:keepLines w:val="0"/>
        <w:pageBreakBefore w:val="0"/>
        <w:kinsoku/>
        <w:wordWrap/>
        <w:overflowPunct/>
        <w:topLinePunct w:val="0"/>
        <w:bidi w:val="0"/>
        <w:adjustRightInd/>
        <w:spacing w:line="360" w:lineRule="auto"/>
        <w:ind w:firstLine="0" w:firstLineChars="0"/>
        <w:textAlignment w:val="auto"/>
        <w:rPr>
          <w:rFonts w:eastAsia="宋体"/>
          <w:bCs/>
          <w:color w:val="auto"/>
          <w:sz w:val="21"/>
          <w:szCs w:val="21"/>
          <w:highlight w:val="none"/>
        </w:rPr>
      </w:pPr>
      <w:r>
        <w:rPr>
          <w:rFonts w:hint="eastAsia" w:eastAsia="宋体"/>
          <w:b/>
          <w:color w:val="auto"/>
          <w:sz w:val="21"/>
          <w:szCs w:val="21"/>
          <w:highlight w:val="none"/>
        </w:rPr>
        <w:t>6.2</w:t>
      </w:r>
      <w:r>
        <w:rPr>
          <w:rFonts w:eastAsia="宋体"/>
          <w:b/>
          <w:color w:val="auto"/>
          <w:sz w:val="21"/>
          <w:szCs w:val="21"/>
          <w:highlight w:val="none"/>
        </w:rPr>
        <w:t>.</w:t>
      </w:r>
      <w:r>
        <w:rPr>
          <w:rFonts w:hint="eastAsia" w:eastAsia="宋体"/>
          <w:b/>
          <w:color w:val="auto"/>
          <w:sz w:val="21"/>
          <w:szCs w:val="21"/>
          <w:highlight w:val="none"/>
        </w:rPr>
        <w:t>4</w:t>
      </w:r>
      <w:r>
        <w:rPr>
          <w:rFonts w:eastAsia="宋体"/>
          <w:bCs/>
          <w:color w:val="auto"/>
          <w:sz w:val="21"/>
          <w:szCs w:val="21"/>
          <w:highlight w:val="none"/>
        </w:rPr>
        <w:t xml:space="preserve">  钢筋伸入灌浆套筒内的最小锚固长度按下列公式计算</w:t>
      </w:r>
      <w:r>
        <w:rPr>
          <w:rFonts w:hint="eastAsia" w:eastAsia="宋体"/>
          <w:bCs/>
          <w:color w:val="auto"/>
          <w:sz w:val="21"/>
          <w:szCs w:val="21"/>
          <w:highlight w:val="none"/>
          <w:lang w:eastAsia="zh-CN"/>
        </w:rPr>
        <w:t>，且不应小于</w:t>
      </w:r>
      <w:r>
        <w:rPr>
          <w:rFonts w:hint="eastAsia" w:eastAsia="宋体"/>
          <w:bCs/>
          <w:color w:val="auto"/>
          <w:sz w:val="21"/>
          <w:szCs w:val="21"/>
          <w:highlight w:val="none"/>
          <w:lang w:val="en-US" w:eastAsia="zh-CN"/>
        </w:rPr>
        <w:t>10d</w:t>
      </w:r>
      <w:r>
        <w:rPr>
          <w:rFonts w:eastAsia="宋体"/>
          <w:bCs/>
          <w:color w:val="auto"/>
          <w:sz w:val="21"/>
          <w:szCs w:val="21"/>
          <w:highlight w:val="none"/>
        </w:rPr>
        <w:t>。</w:t>
      </w:r>
    </w:p>
    <w:p w14:paraId="6F14FDD9">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jc w:val="right"/>
        <w:textAlignment w:val="auto"/>
        <w:rPr>
          <w:rFonts w:eastAsia="宋体"/>
          <w:bCs/>
          <w:color w:val="auto"/>
          <w:sz w:val="24"/>
          <w:szCs w:val="24"/>
          <w:highlight w:val="none"/>
        </w:rPr>
      </w:pPr>
      <w:bookmarkStart w:id="90" w:name="OLE_LINK2"/>
      <w:r>
        <w:rPr>
          <w:rFonts w:eastAsia="宋体"/>
          <w:bCs/>
          <w:color w:val="auto"/>
          <w:position w:val="-24"/>
          <w:sz w:val="24"/>
          <w:szCs w:val="24"/>
          <w:highlight w:val="none"/>
        </w:rPr>
        <w:object>
          <v:shape id="_x0000_i1040" o:spt="75" type="#_x0000_t75" style="height:31.1pt;width:50.95pt;" o:ole="t" filled="f" o:preferrelative="t" stroked="f" coordsize="21600,21600">
            <v:path/>
            <v:fill on="f" focussize="0,0"/>
            <v:stroke on="f"/>
            <v:imagedata r:id="rId45" o:title=""/>
            <o:lock v:ext="edit" aspectratio="t"/>
            <w10:wrap type="none"/>
            <w10:anchorlock/>
          </v:shape>
          <o:OLEObject Type="Embed" ProgID="Equation.DSMT4" ShapeID="_x0000_i1040" DrawAspect="Content" ObjectID="_1468075740" r:id="rId44">
            <o:LockedField>false</o:LockedField>
          </o:OLEObject>
        </w:object>
      </w:r>
      <w:bookmarkEnd w:id="90"/>
      <w:r>
        <w:rPr>
          <w:rFonts w:eastAsia="宋体"/>
          <w:bCs/>
          <w:color w:val="auto"/>
          <w:sz w:val="24"/>
          <w:szCs w:val="24"/>
          <w:highlight w:val="none"/>
        </w:rPr>
        <w:t xml:space="preserve">         </w:t>
      </w:r>
      <w:r>
        <w:rPr>
          <w:rFonts w:hint="eastAsia" w:eastAsia="宋体"/>
          <w:bCs/>
          <w:color w:val="auto"/>
          <w:sz w:val="24"/>
          <w:szCs w:val="24"/>
          <w:highlight w:val="none"/>
        </w:rPr>
        <w:t xml:space="preserve">       </w:t>
      </w:r>
      <w:r>
        <w:rPr>
          <w:rFonts w:eastAsia="宋体"/>
          <w:bCs/>
          <w:color w:val="auto"/>
          <w:sz w:val="24"/>
          <w:szCs w:val="24"/>
          <w:highlight w:val="none"/>
        </w:rPr>
        <w:t xml:space="preserve">            （</w:t>
      </w:r>
      <w:r>
        <w:rPr>
          <w:rFonts w:hint="eastAsia" w:eastAsia="宋体"/>
          <w:bCs/>
          <w:color w:val="auto"/>
          <w:sz w:val="24"/>
          <w:szCs w:val="24"/>
          <w:highlight w:val="none"/>
        </w:rPr>
        <w:t>6.2.4</w:t>
      </w:r>
      <w:r>
        <w:rPr>
          <w:rFonts w:eastAsia="宋体"/>
          <w:bCs/>
          <w:color w:val="auto"/>
          <w:sz w:val="24"/>
          <w:szCs w:val="24"/>
          <w:highlight w:val="none"/>
        </w:rPr>
        <w:t>）</w:t>
      </w:r>
    </w:p>
    <w:p w14:paraId="0B5CA1F4">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eastAsia="宋体"/>
          <w:bCs/>
          <w:color w:val="auto"/>
          <w:sz w:val="24"/>
          <w:szCs w:val="24"/>
          <w:highlight w:val="none"/>
        </w:rPr>
      </w:pPr>
      <w:r>
        <w:rPr>
          <w:rFonts w:eastAsia="宋体"/>
          <w:bCs/>
          <w:color w:val="auto"/>
          <w:sz w:val="24"/>
          <w:szCs w:val="24"/>
          <w:highlight w:val="none"/>
        </w:rPr>
        <w:t>式中：</w:t>
      </w:r>
      <w:r>
        <w:rPr>
          <w:rFonts w:eastAsia="宋体"/>
          <w:bCs/>
          <w:color w:val="auto"/>
          <w:position w:val="-14"/>
          <w:sz w:val="24"/>
          <w:szCs w:val="24"/>
          <w:highlight w:val="none"/>
        </w:rPr>
        <w:object>
          <v:shape id="_x0000_i1041" o:spt="75" type="#_x0000_t75" style="height:18.8pt;width:11.3pt;" o:ole="t" filled="f" o:preferrelative="t" stroked="f" coordsize="21600,21600">
            <v:path/>
            <v:fill on="f" focussize="0,0"/>
            <v:stroke on="f" joinstyle="miter"/>
            <v:imagedata r:id="rId47" o:title=""/>
            <o:lock v:ext="edit" aspectratio="t"/>
            <w10:wrap type="none"/>
            <w10:anchorlock/>
          </v:shape>
          <o:OLEObject Type="Embed" ProgID="Equation.DSMT4" ShapeID="_x0000_i1041" DrawAspect="Content" ObjectID="_1468075741" r:id="rId46">
            <o:LockedField>false</o:LockedField>
          </o:OLEObject>
        </w:object>
      </w:r>
      <w:r>
        <w:rPr>
          <w:rFonts w:eastAsia="宋体"/>
          <w:bCs/>
          <w:color w:val="auto"/>
          <w:sz w:val="24"/>
          <w:szCs w:val="24"/>
          <w:highlight w:val="none"/>
        </w:rPr>
        <w:t>—使用灌浆套筒连接带肋钢筋伸入灌浆套筒内的锚固长度；</w:t>
      </w:r>
    </w:p>
    <w:p w14:paraId="26F1AC02">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eastAsia="宋体"/>
          <w:bCs/>
          <w:color w:val="auto"/>
          <w:sz w:val="24"/>
          <w:szCs w:val="24"/>
          <w:highlight w:val="none"/>
        </w:rPr>
      </w:pPr>
      <w:r>
        <w:rPr>
          <w:rFonts w:eastAsia="宋体"/>
          <w:bCs/>
          <w:color w:val="auto"/>
          <w:sz w:val="24"/>
          <w:szCs w:val="24"/>
          <w:highlight w:val="none"/>
        </w:rPr>
        <w:t xml:space="preserve">      </w:t>
      </w:r>
      <w:r>
        <w:rPr>
          <w:rFonts w:eastAsia="宋体"/>
          <w:bCs/>
          <w:color w:val="auto"/>
          <w:position w:val="-12"/>
          <w:sz w:val="24"/>
          <w:szCs w:val="24"/>
          <w:highlight w:val="none"/>
        </w:rPr>
        <w:object>
          <v:shape id="_x0000_i1042" o:spt="75" type="#_x0000_t75" style="height:17.75pt;width:16.1pt;" o:ole="t" filled="f" o:preferrelative="t" stroked="f" coordsize="21600,21600">
            <v:path/>
            <v:fill on="f" focussize="0,0"/>
            <v:stroke on="f" joinstyle="miter"/>
            <v:imagedata r:id="rId25" o:title=""/>
            <o:lock v:ext="edit" aspectratio="t"/>
            <w10:wrap type="none"/>
            <w10:anchorlock/>
          </v:shape>
          <o:OLEObject Type="Embed" ProgID="Equation.DSMT4" ShapeID="_x0000_i1042" DrawAspect="Content" ObjectID="_1468075742" r:id="rId48">
            <o:LockedField>false</o:LockedField>
          </o:OLEObject>
        </w:object>
      </w:r>
      <w:r>
        <w:rPr>
          <w:rFonts w:eastAsia="宋体"/>
          <w:bCs/>
          <w:color w:val="auto"/>
          <w:sz w:val="24"/>
          <w:szCs w:val="24"/>
          <w:highlight w:val="none"/>
        </w:rPr>
        <w:t>—连接钢筋的抗拉强度设计值；</w:t>
      </w:r>
    </w:p>
    <w:p w14:paraId="0380EC1B">
      <w:pPr>
        <w:pStyle w:val="2"/>
        <w:keepNext w:val="0"/>
        <w:keepLines w:val="0"/>
        <w:pageBreakBefore w:val="0"/>
        <w:widowControl w:val="0"/>
        <w:kinsoku/>
        <w:wordWrap/>
        <w:overflowPunct/>
        <w:topLinePunct w:val="0"/>
        <w:autoSpaceDE/>
        <w:autoSpaceDN/>
        <w:bidi w:val="0"/>
        <w:adjustRightInd/>
        <w:snapToGrid/>
        <w:spacing w:line="360" w:lineRule="auto"/>
        <w:ind w:firstLine="720" w:firstLineChars="300"/>
        <w:jc w:val="left"/>
        <w:textAlignment w:val="auto"/>
        <w:rPr>
          <w:rFonts w:eastAsia="宋体"/>
          <w:bCs/>
          <w:color w:val="auto"/>
          <w:sz w:val="24"/>
          <w:szCs w:val="24"/>
          <w:highlight w:val="none"/>
        </w:rPr>
      </w:pPr>
      <w:r>
        <w:rPr>
          <w:rFonts w:eastAsia="宋体"/>
          <w:bCs/>
          <w:color w:val="auto"/>
          <w:position w:val="-12"/>
          <w:sz w:val="24"/>
          <w:szCs w:val="24"/>
          <w:highlight w:val="none"/>
        </w:rPr>
        <w:object>
          <v:shape id="_x0000_i1043" o:spt="75" type="#_x0000_t75" style="height:17.75pt;width:13.95pt;" o:ole="t" filled="f" o:preferrelative="t" stroked="f" coordsize="21600,21600">
            <v:path/>
            <v:fill on="f" focussize="0,0"/>
            <v:stroke on="f" joinstyle="miter"/>
            <v:imagedata r:id="rId50" o:title=""/>
            <o:lock v:ext="edit" aspectratio="t"/>
            <w10:wrap type="none"/>
            <w10:anchorlock/>
          </v:shape>
          <o:OLEObject Type="Embed" ProgID="Equation.DSMT4" ShapeID="_x0000_i1043" DrawAspect="Content" ObjectID="_1468075743" r:id="rId49">
            <o:LockedField>false</o:LockedField>
          </o:OLEObject>
        </w:object>
      </w:r>
      <w:r>
        <w:rPr>
          <w:rFonts w:eastAsia="宋体"/>
          <w:bCs/>
          <w:color w:val="auto"/>
          <w:sz w:val="24"/>
          <w:szCs w:val="24"/>
          <w:highlight w:val="none"/>
        </w:rPr>
        <w:t>—连接钢筋的截面面积；</w:t>
      </w:r>
    </w:p>
    <w:p w14:paraId="30C7C5C2">
      <w:pPr>
        <w:pStyle w:val="2"/>
        <w:keepNext w:val="0"/>
        <w:keepLines w:val="0"/>
        <w:pageBreakBefore w:val="0"/>
        <w:widowControl w:val="0"/>
        <w:kinsoku/>
        <w:wordWrap/>
        <w:overflowPunct/>
        <w:topLinePunct w:val="0"/>
        <w:autoSpaceDE/>
        <w:autoSpaceDN/>
        <w:bidi w:val="0"/>
        <w:adjustRightInd/>
        <w:snapToGrid/>
        <w:spacing w:line="360" w:lineRule="auto"/>
        <w:ind w:firstLine="720" w:firstLineChars="300"/>
        <w:jc w:val="left"/>
        <w:textAlignment w:val="auto"/>
        <w:rPr>
          <w:rFonts w:eastAsia="宋体"/>
          <w:bCs/>
          <w:color w:val="auto"/>
          <w:sz w:val="24"/>
          <w:szCs w:val="24"/>
          <w:highlight w:val="none"/>
        </w:rPr>
      </w:pPr>
      <w:r>
        <w:rPr>
          <w:rFonts w:eastAsia="宋体"/>
          <w:bCs/>
          <w:color w:val="auto"/>
          <w:position w:val="-6"/>
          <w:sz w:val="24"/>
          <w:szCs w:val="24"/>
          <w:highlight w:val="none"/>
        </w:rPr>
        <w:object>
          <v:shape id="_x0000_i1044" o:spt="75" type="#_x0000_t75" style="height:13.95pt;width:11.3pt;" o:ole="t" filled="f" o:preferrelative="t" stroked="f" coordsize="21600,21600">
            <v:path/>
            <v:fill on="f" focussize="0,0"/>
            <v:stroke on="f" joinstyle="miter"/>
            <v:imagedata r:id="rId52" o:title=""/>
            <o:lock v:ext="edit" aspectratio="t"/>
            <w10:wrap type="none"/>
            <w10:anchorlock/>
          </v:shape>
          <o:OLEObject Type="Embed" ProgID="Equation.DSMT4" ShapeID="_x0000_i1044" DrawAspect="Content" ObjectID="_1468075744" r:id="rId51">
            <o:LockedField>false</o:LockedField>
          </o:OLEObject>
        </w:object>
      </w:r>
      <w:r>
        <w:rPr>
          <w:rFonts w:eastAsia="宋体"/>
          <w:bCs/>
          <w:color w:val="auto"/>
          <w:sz w:val="24"/>
          <w:szCs w:val="24"/>
          <w:highlight w:val="none"/>
        </w:rPr>
        <w:t>—连接钢筋的直径；</w:t>
      </w:r>
    </w:p>
    <w:p w14:paraId="33576D05">
      <w:pPr>
        <w:pStyle w:val="2"/>
        <w:keepNext w:val="0"/>
        <w:keepLines w:val="0"/>
        <w:pageBreakBefore w:val="0"/>
        <w:widowControl w:val="0"/>
        <w:kinsoku/>
        <w:wordWrap/>
        <w:overflowPunct/>
        <w:topLinePunct w:val="0"/>
        <w:autoSpaceDE/>
        <w:autoSpaceDN/>
        <w:bidi w:val="0"/>
        <w:adjustRightInd/>
        <w:snapToGrid/>
        <w:spacing w:line="360" w:lineRule="auto"/>
        <w:ind w:firstLine="720" w:firstLineChars="300"/>
        <w:jc w:val="left"/>
        <w:textAlignment w:val="auto"/>
        <w:rPr>
          <w:rFonts w:eastAsia="宋体"/>
          <w:bCs/>
          <w:color w:val="auto"/>
          <w:sz w:val="24"/>
          <w:szCs w:val="24"/>
          <w:highlight w:val="none"/>
        </w:rPr>
      </w:pPr>
      <w:r>
        <w:rPr>
          <w:rFonts w:eastAsia="宋体"/>
          <w:bCs/>
          <w:color w:val="auto"/>
          <w:position w:val="-6"/>
          <w:sz w:val="24"/>
          <w:szCs w:val="24"/>
          <w:highlight w:val="none"/>
        </w:rPr>
        <w:object>
          <v:shape id="_x0000_i1045" o:spt="75" type="#_x0000_t75" style="height:11.3pt;width:10.2pt;" o:ole="t" filled="f" o:preferrelative="t" stroked="f" coordsize="21600,21600">
            <v:path/>
            <v:fill on="f" focussize="0,0"/>
            <v:stroke on="f" joinstyle="miter"/>
            <v:imagedata r:id="rId43" o:title=""/>
            <o:lock v:ext="edit" aspectratio="t"/>
            <w10:wrap type="none"/>
            <w10:anchorlock/>
          </v:shape>
          <o:OLEObject Type="Embed" ProgID="Equation.DSMT4" ShapeID="_x0000_i1045" DrawAspect="Content" ObjectID="_1468075745" r:id="rId53">
            <o:LockedField>false</o:LockedField>
          </o:OLEObject>
        </w:object>
      </w:r>
      <w:r>
        <w:rPr>
          <w:rFonts w:eastAsia="宋体"/>
          <w:bCs/>
          <w:color w:val="auto"/>
          <w:sz w:val="24"/>
          <w:szCs w:val="24"/>
          <w:highlight w:val="none"/>
        </w:rPr>
        <w:t>—灌浆料的粘结强度，可根据试验确定。</w:t>
      </w:r>
    </w:p>
    <w:p w14:paraId="626AD081">
      <w:pPr>
        <w:pStyle w:val="169"/>
        <w:keepNext w:val="0"/>
        <w:keepLines w:val="0"/>
        <w:pageBreakBefore w:val="0"/>
        <w:kinsoku/>
        <w:wordWrap/>
        <w:overflowPunct/>
        <w:topLinePunct w:val="0"/>
        <w:autoSpaceDE/>
        <w:autoSpaceDN/>
        <w:bidi w:val="0"/>
        <w:adjustRightInd/>
        <w:spacing w:afterLines="0" w:line="360" w:lineRule="auto"/>
        <w:ind w:firstLine="0"/>
        <w:textAlignment w:val="auto"/>
        <w:rPr>
          <w:rFonts w:cs="Times New Roman"/>
          <w:b/>
          <w:strike/>
          <w:color w:val="auto"/>
          <w:sz w:val="24"/>
          <w:szCs w:val="24"/>
          <w:highlight w:val="none"/>
        </w:rPr>
      </w:pPr>
      <w:r>
        <w:rPr>
          <w:rFonts w:hint="eastAsia" w:cs="Times New Roman"/>
          <w:b/>
          <w:color w:val="auto"/>
          <w:sz w:val="24"/>
          <w:szCs w:val="24"/>
          <w:highlight w:val="none"/>
        </w:rPr>
        <w:t>6.2</w:t>
      </w:r>
      <w:r>
        <w:rPr>
          <w:rFonts w:cs="Times New Roman"/>
          <w:b/>
          <w:color w:val="auto"/>
          <w:sz w:val="24"/>
          <w:szCs w:val="24"/>
          <w:highlight w:val="none"/>
        </w:rPr>
        <w:t>.</w:t>
      </w:r>
      <w:r>
        <w:rPr>
          <w:rFonts w:hint="eastAsia" w:cs="Times New Roman"/>
          <w:b/>
          <w:color w:val="auto"/>
          <w:sz w:val="24"/>
          <w:szCs w:val="24"/>
          <w:highlight w:val="none"/>
        </w:rPr>
        <w:t>5</w:t>
      </w:r>
      <w:r>
        <w:rPr>
          <w:rFonts w:cs="Times New Roman"/>
          <w:bCs/>
          <w:color w:val="auto"/>
          <w:sz w:val="24"/>
          <w:szCs w:val="24"/>
          <w:highlight w:val="none"/>
        </w:rPr>
        <w:t xml:space="preserve">  灌浆套筒连接设计抗拉承载力不应小于1.15倍连接钢筋抗拉承载力标准值，设计屈服承载力不应小于连接钢筋屈服承载力标准值。</w:t>
      </w:r>
    </w:p>
    <w:p w14:paraId="55D253C7">
      <w:pPr>
        <w:keepNext w:val="0"/>
        <w:keepLines w:val="0"/>
        <w:pageBreakBefore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6.2</w:t>
      </w:r>
      <w:r>
        <w:rPr>
          <w:b/>
          <w:color w:val="auto"/>
          <w:sz w:val="24"/>
          <w:szCs w:val="24"/>
          <w:highlight w:val="none"/>
        </w:rPr>
        <w:t>.</w:t>
      </w:r>
      <w:r>
        <w:rPr>
          <w:rFonts w:hint="eastAsia"/>
          <w:b/>
          <w:color w:val="auto"/>
          <w:sz w:val="24"/>
          <w:szCs w:val="24"/>
          <w:highlight w:val="none"/>
        </w:rPr>
        <w:t>6</w:t>
      </w:r>
      <w:r>
        <w:rPr>
          <w:b/>
          <w:color w:val="auto"/>
          <w:sz w:val="24"/>
          <w:szCs w:val="24"/>
          <w:highlight w:val="none"/>
        </w:rPr>
        <w:t xml:space="preserve"> </w:t>
      </w:r>
      <w:r>
        <w:rPr>
          <w:bCs/>
          <w:color w:val="auto"/>
          <w:sz w:val="24"/>
          <w:szCs w:val="24"/>
          <w:highlight w:val="none"/>
        </w:rPr>
        <w:t xml:space="preserve"> 预制构件中灌浆套筒压浆口下缘处应设置一道箍筋</w:t>
      </w:r>
      <w:r>
        <w:rPr>
          <w:rFonts w:hint="eastAsia"/>
          <w:bCs/>
          <w:color w:val="auto"/>
          <w:sz w:val="24"/>
          <w:szCs w:val="24"/>
          <w:highlight w:val="none"/>
        </w:rPr>
        <w:t>；</w:t>
      </w:r>
      <w:r>
        <w:rPr>
          <w:bCs/>
          <w:color w:val="auto"/>
          <w:sz w:val="24"/>
          <w:szCs w:val="24"/>
          <w:highlight w:val="none"/>
        </w:rPr>
        <w:t>灌浆套筒预埋在</w:t>
      </w:r>
      <w:r>
        <w:rPr>
          <w:rFonts w:hint="eastAsia"/>
          <w:bCs/>
          <w:color w:val="auto"/>
          <w:sz w:val="24"/>
          <w:szCs w:val="24"/>
          <w:highlight w:val="none"/>
        </w:rPr>
        <w:t>墩柱内时，</w:t>
      </w:r>
      <w:r>
        <w:rPr>
          <w:bCs/>
          <w:color w:val="auto"/>
          <w:sz w:val="24"/>
          <w:szCs w:val="24"/>
          <w:highlight w:val="none"/>
        </w:rPr>
        <w:t>灌浆套</w:t>
      </w:r>
      <w:r>
        <w:rPr>
          <w:rFonts w:hint="eastAsia"/>
          <w:bCs/>
          <w:color w:val="auto"/>
          <w:sz w:val="24"/>
          <w:szCs w:val="24"/>
          <w:highlight w:val="none"/>
        </w:rPr>
        <w:t>筒连接</w:t>
      </w:r>
      <w:r>
        <w:rPr>
          <w:bCs/>
          <w:color w:val="auto"/>
          <w:sz w:val="24"/>
          <w:szCs w:val="24"/>
          <w:highlight w:val="none"/>
        </w:rPr>
        <w:t>区域应配置加密箍筋，</w:t>
      </w:r>
      <w:r>
        <w:rPr>
          <w:rFonts w:hint="eastAsia"/>
          <w:bCs/>
          <w:color w:val="auto"/>
          <w:sz w:val="24"/>
          <w:szCs w:val="24"/>
          <w:highlight w:val="none"/>
        </w:rPr>
        <w:t>并</w:t>
      </w:r>
      <w:r>
        <w:rPr>
          <w:bCs/>
          <w:color w:val="auto"/>
          <w:sz w:val="24"/>
          <w:szCs w:val="24"/>
          <w:highlight w:val="none"/>
        </w:rPr>
        <w:t>应</w:t>
      </w:r>
      <w:r>
        <w:rPr>
          <w:rFonts w:hint="eastAsia"/>
          <w:bCs/>
          <w:color w:val="auto"/>
          <w:sz w:val="24"/>
          <w:szCs w:val="24"/>
          <w:highlight w:val="none"/>
        </w:rPr>
        <w:t>符合下列规定</w:t>
      </w:r>
      <w:r>
        <w:rPr>
          <w:bCs/>
          <w:color w:val="auto"/>
          <w:sz w:val="24"/>
          <w:szCs w:val="24"/>
          <w:highlight w:val="none"/>
        </w:rPr>
        <w:t>：</w:t>
      </w:r>
    </w:p>
    <w:p w14:paraId="46830C37">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bCs/>
          <w:color w:val="auto"/>
          <w:sz w:val="24"/>
          <w:szCs w:val="24"/>
          <w:highlight w:val="none"/>
        </w:rPr>
        <w:t>1 墩柱箍筋加密区</w:t>
      </w:r>
      <w:r>
        <w:rPr>
          <w:rFonts w:hint="eastAsia"/>
          <w:bCs/>
          <w:color w:val="auto"/>
          <w:sz w:val="24"/>
          <w:szCs w:val="24"/>
          <w:highlight w:val="none"/>
        </w:rPr>
        <w:t>范围</w:t>
      </w:r>
      <w:r>
        <w:rPr>
          <w:bCs/>
          <w:color w:val="auto"/>
          <w:sz w:val="24"/>
          <w:szCs w:val="24"/>
          <w:highlight w:val="none"/>
        </w:rPr>
        <w:t>应不小于灌浆套筒</w:t>
      </w:r>
      <w:r>
        <w:rPr>
          <w:rFonts w:hint="eastAsia"/>
          <w:bCs/>
          <w:color w:val="auto"/>
          <w:sz w:val="24"/>
          <w:szCs w:val="24"/>
          <w:highlight w:val="none"/>
        </w:rPr>
        <w:t>长度</w:t>
      </w:r>
      <w:r>
        <w:rPr>
          <w:bCs/>
          <w:color w:val="auto"/>
          <w:sz w:val="24"/>
          <w:szCs w:val="24"/>
          <w:highlight w:val="none"/>
        </w:rPr>
        <w:t>区域</w:t>
      </w:r>
      <w:r>
        <w:rPr>
          <w:rFonts w:hint="eastAsia"/>
          <w:bCs/>
          <w:color w:val="auto"/>
          <w:sz w:val="24"/>
          <w:szCs w:val="24"/>
          <w:highlight w:val="none"/>
        </w:rPr>
        <w:t>和</w:t>
      </w:r>
      <w:r>
        <w:rPr>
          <w:bCs/>
          <w:color w:val="auto"/>
          <w:sz w:val="24"/>
          <w:szCs w:val="24"/>
          <w:highlight w:val="none"/>
        </w:rPr>
        <w:t>向</w:t>
      </w:r>
      <w:r>
        <w:rPr>
          <w:rFonts w:hint="eastAsia"/>
          <w:bCs/>
          <w:color w:val="auto"/>
          <w:sz w:val="24"/>
          <w:szCs w:val="24"/>
          <w:highlight w:val="none"/>
        </w:rPr>
        <w:t>上下各</w:t>
      </w:r>
      <w:r>
        <w:rPr>
          <w:bCs/>
          <w:color w:val="auto"/>
          <w:sz w:val="24"/>
          <w:szCs w:val="24"/>
          <w:highlight w:val="none"/>
        </w:rPr>
        <w:t>延伸500mm</w:t>
      </w:r>
      <w:r>
        <w:rPr>
          <w:rFonts w:hint="eastAsia"/>
          <w:bCs/>
          <w:color w:val="auto"/>
          <w:sz w:val="24"/>
          <w:szCs w:val="24"/>
          <w:highlight w:val="none"/>
        </w:rPr>
        <w:t>长度范围之和，且承台、盖梁范围内箍筋加密区长度不应小于0.5倍墩柱直径；</w:t>
      </w:r>
    </w:p>
    <w:p w14:paraId="3D446CD7">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bCs/>
          <w:color w:val="auto"/>
          <w:sz w:val="24"/>
          <w:szCs w:val="24"/>
          <w:highlight w:val="none"/>
        </w:rPr>
        <w:t>2 灌浆套筒上端第1根箍筋距离灌浆套筒顶部应不大于50mm</w:t>
      </w:r>
      <w:r>
        <w:rPr>
          <w:rFonts w:hint="eastAsia"/>
          <w:bCs/>
          <w:color w:val="auto"/>
          <w:sz w:val="24"/>
          <w:szCs w:val="24"/>
          <w:highlight w:val="none"/>
        </w:rPr>
        <w:t>；</w:t>
      </w:r>
    </w:p>
    <w:p w14:paraId="59822AE8">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bCs/>
          <w:color w:val="auto"/>
          <w:sz w:val="24"/>
          <w:szCs w:val="24"/>
          <w:highlight w:val="none"/>
        </w:rPr>
        <w:t>3 灌浆套筒高度500mm范围外的箍筋数量应逐渐减少</w:t>
      </w:r>
      <w:r>
        <w:rPr>
          <w:rFonts w:hint="eastAsia"/>
          <w:bCs/>
          <w:color w:val="auto"/>
          <w:sz w:val="24"/>
          <w:szCs w:val="24"/>
          <w:highlight w:val="none"/>
        </w:rPr>
        <w:t>；</w:t>
      </w:r>
    </w:p>
    <w:p w14:paraId="720BB951">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bCs/>
          <w:color w:val="auto"/>
          <w:sz w:val="24"/>
          <w:szCs w:val="24"/>
          <w:highlight w:val="none"/>
        </w:rPr>
        <w:t>4 墩柱箍筋加密区应延伸到盖梁或承台内，应不小于500 mm</w:t>
      </w:r>
      <w:r>
        <w:rPr>
          <w:rFonts w:hint="eastAsia"/>
          <w:bCs/>
          <w:color w:val="auto"/>
          <w:sz w:val="24"/>
          <w:szCs w:val="24"/>
          <w:highlight w:val="none"/>
          <w:lang w:eastAsia="zh-CN"/>
        </w:rPr>
        <w:t>，</w:t>
      </w:r>
      <w:r>
        <w:rPr>
          <w:rFonts w:hint="eastAsia"/>
          <w:bCs/>
          <w:color w:val="auto"/>
          <w:sz w:val="24"/>
          <w:szCs w:val="24"/>
          <w:highlight w:val="none"/>
          <w:lang w:val="en-US" w:eastAsia="zh-CN"/>
        </w:rPr>
        <w:t>且</w:t>
      </w:r>
      <w:r>
        <w:rPr>
          <w:bCs/>
          <w:color w:val="auto"/>
          <w:sz w:val="24"/>
          <w:szCs w:val="24"/>
          <w:highlight w:val="none"/>
        </w:rPr>
        <w:t>延伸长度宜不小于墩柱长边的0.5倍</w:t>
      </w:r>
      <w:r>
        <w:rPr>
          <w:rFonts w:hint="eastAsia"/>
          <w:bCs/>
          <w:color w:val="auto"/>
          <w:sz w:val="24"/>
          <w:szCs w:val="24"/>
          <w:highlight w:val="none"/>
        </w:rPr>
        <w:t>；</w:t>
      </w:r>
    </w:p>
    <w:p w14:paraId="7545A7D7">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bCs/>
          <w:color w:val="auto"/>
          <w:sz w:val="24"/>
          <w:szCs w:val="24"/>
          <w:highlight w:val="none"/>
        </w:rPr>
        <w:t>5 灌浆套筒长度范围内墩柱箍筋混凝土的保护层厚度应不小于20mm。</w:t>
      </w:r>
    </w:p>
    <w:p w14:paraId="2CEE347D">
      <w:pPr>
        <w:snapToGrid w:val="0"/>
        <w:spacing w:line="360" w:lineRule="auto"/>
        <w:jc w:val="center"/>
        <w:rPr>
          <w:color w:val="auto"/>
          <w:szCs w:val="21"/>
          <w:highlight w:val="none"/>
        </w:rPr>
      </w:pPr>
      <w:r>
        <w:rPr>
          <w:color w:val="auto"/>
          <w:highlight w:val="none"/>
        </w:rPr>
        <w:drawing>
          <wp:inline distT="0" distB="0" distL="114300" distR="114300">
            <wp:extent cx="2411730" cy="1911350"/>
            <wp:effectExtent l="0" t="0" r="7620" b="12700"/>
            <wp:docPr id="4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3"/>
                    <pic:cNvPicPr>
                      <a:picLocks noChangeAspect="1"/>
                    </pic:cNvPicPr>
                  </pic:nvPicPr>
                  <pic:blipFill>
                    <a:blip r:embed="rId54"/>
                    <a:stretch>
                      <a:fillRect/>
                    </a:stretch>
                  </pic:blipFill>
                  <pic:spPr>
                    <a:xfrm>
                      <a:off x="0" y="0"/>
                      <a:ext cx="2411730" cy="1911350"/>
                    </a:xfrm>
                    <a:prstGeom prst="rect">
                      <a:avLst/>
                    </a:prstGeom>
                    <a:noFill/>
                    <a:ln>
                      <a:noFill/>
                    </a:ln>
                  </pic:spPr>
                </pic:pic>
              </a:graphicData>
            </a:graphic>
          </wp:inline>
        </w:drawing>
      </w:r>
    </w:p>
    <w:p w14:paraId="48E924F3">
      <w:pPr>
        <w:pStyle w:val="2"/>
        <w:spacing w:line="400" w:lineRule="exact"/>
        <w:ind w:firstLine="0" w:firstLine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1 预制承台，2 垫层，3 箍筋，4 灌浆套筒，5 预制墩柱</w:t>
      </w:r>
    </w:p>
    <w:p w14:paraId="62A27879">
      <w:pPr>
        <w:snapToGrid w:val="0"/>
        <w:spacing w:line="400" w:lineRule="exact"/>
        <w:jc w:val="center"/>
        <w:rPr>
          <w:bCs/>
          <w:color w:val="auto"/>
          <w:szCs w:val="21"/>
          <w:highlight w:val="none"/>
        </w:rPr>
      </w:pPr>
      <w:r>
        <w:rPr>
          <w:bCs/>
          <w:color w:val="auto"/>
          <w:szCs w:val="21"/>
          <w:highlight w:val="none"/>
        </w:rPr>
        <w:t>图</w:t>
      </w:r>
      <w:r>
        <w:rPr>
          <w:rFonts w:hint="eastAsia"/>
          <w:bCs/>
          <w:color w:val="auto"/>
          <w:szCs w:val="21"/>
          <w:highlight w:val="none"/>
        </w:rPr>
        <w:t>6.2</w:t>
      </w:r>
      <w:r>
        <w:rPr>
          <w:bCs/>
          <w:color w:val="auto"/>
          <w:szCs w:val="21"/>
          <w:highlight w:val="none"/>
        </w:rPr>
        <w:t>.</w:t>
      </w:r>
      <w:r>
        <w:rPr>
          <w:rFonts w:hint="eastAsia"/>
          <w:bCs/>
          <w:color w:val="auto"/>
          <w:szCs w:val="21"/>
          <w:highlight w:val="none"/>
        </w:rPr>
        <w:t>6</w:t>
      </w:r>
      <w:r>
        <w:rPr>
          <w:bCs/>
          <w:color w:val="auto"/>
          <w:szCs w:val="21"/>
          <w:highlight w:val="none"/>
        </w:rPr>
        <w:t xml:space="preserve"> 预制墩柱潜在塑性铰区域内灌浆套筒箍筋加密示意图</w:t>
      </w:r>
    </w:p>
    <w:p w14:paraId="318F32D7">
      <w:pPr>
        <w:keepNext w:val="0"/>
        <w:keepLines w:val="0"/>
        <w:pageBreakBefore w:val="0"/>
        <w:widowControl w:val="0"/>
        <w:kinsoku/>
        <w:wordWrap/>
        <w:overflowPunct/>
        <w:topLinePunct w:val="0"/>
        <w:autoSpaceDE/>
        <w:autoSpaceDN/>
        <w:bidi w:val="0"/>
        <w:adjustRightInd/>
        <w:snapToGrid/>
        <w:spacing w:line="360" w:lineRule="auto"/>
        <w:textAlignment w:val="auto"/>
        <w:rPr>
          <w:bCs/>
          <w:color w:val="auto"/>
          <w:sz w:val="24"/>
          <w:szCs w:val="24"/>
          <w:highlight w:val="none"/>
        </w:rPr>
      </w:pPr>
      <w:r>
        <w:rPr>
          <w:rFonts w:hint="eastAsia"/>
          <w:b/>
          <w:color w:val="auto"/>
          <w:sz w:val="24"/>
          <w:szCs w:val="24"/>
          <w:highlight w:val="none"/>
        </w:rPr>
        <w:t>6.2</w:t>
      </w:r>
      <w:r>
        <w:rPr>
          <w:b/>
          <w:color w:val="auto"/>
          <w:sz w:val="24"/>
          <w:szCs w:val="24"/>
          <w:highlight w:val="none"/>
        </w:rPr>
        <w:t>.</w:t>
      </w:r>
      <w:r>
        <w:rPr>
          <w:rFonts w:hint="eastAsia"/>
          <w:b/>
          <w:color w:val="auto"/>
          <w:sz w:val="24"/>
          <w:szCs w:val="24"/>
          <w:highlight w:val="none"/>
        </w:rPr>
        <w:t>7</w:t>
      </w:r>
      <w:r>
        <w:rPr>
          <w:bCs/>
          <w:color w:val="auto"/>
          <w:sz w:val="24"/>
          <w:szCs w:val="24"/>
          <w:highlight w:val="none"/>
        </w:rPr>
        <w:t xml:space="preserve">  灌浆套筒预埋在预制承台或盖梁内时，应满足</w:t>
      </w:r>
      <w:r>
        <w:rPr>
          <w:color w:val="auto"/>
          <w:sz w:val="24"/>
          <w:szCs w:val="24"/>
          <w:highlight w:val="none"/>
        </w:rPr>
        <w:fldChar w:fldCharType="begin"/>
      </w:r>
      <w:r>
        <w:rPr>
          <w:color w:val="auto"/>
          <w:sz w:val="24"/>
          <w:szCs w:val="24"/>
          <w:highlight w:val="none"/>
        </w:rPr>
        <w:instrText xml:space="preserve"> HYPERLINK "https://www.baidu.com/link?url=tOzcWJffLltpqHIaPSNhcNV596vUa-VCDgkm4ki-VbRCuf0A2LbZt8LYOLe4pDQ3sgY9qAMTPZpR9ivem1gXF_&amp;wd=&amp;eqid=cf4716c100e56e920000000666286d73" \t "https://www.baidu.com/_blank" </w:instrText>
      </w:r>
      <w:r>
        <w:rPr>
          <w:color w:val="auto"/>
          <w:sz w:val="24"/>
          <w:szCs w:val="24"/>
          <w:highlight w:val="none"/>
        </w:rPr>
        <w:fldChar w:fldCharType="separate"/>
      </w:r>
      <w:r>
        <w:rPr>
          <w:bCs/>
          <w:color w:val="auto"/>
          <w:sz w:val="24"/>
          <w:szCs w:val="24"/>
          <w:highlight w:val="none"/>
        </w:rPr>
        <w:t>《</w:t>
      </w:r>
      <w:r>
        <w:rPr>
          <w:rFonts w:hint="eastAsia"/>
          <w:bCs/>
          <w:color w:val="auto"/>
          <w:sz w:val="24"/>
          <w:szCs w:val="24"/>
          <w:highlight w:val="none"/>
        </w:rPr>
        <w:t>城市桥梁抗震设计规范</w:t>
      </w:r>
      <w:r>
        <w:rPr>
          <w:bCs/>
          <w:color w:val="auto"/>
          <w:sz w:val="24"/>
          <w:szCs w:val="24"/>
          <w:highlight w:val="none"/>
        </w:rPr>
        <w:t>》</w:t>
      </w:r>
      <w:r>
        <w:rPr>
          <w:bCs/>
          <w:color w:val="auto"/>
          <w:sz w:val="24"/>
          <w:szCs w:val="24"/>
          <w:highlight w:val="none"/>
        </w:rPr>
        <w:fldChar w:fldCharType="end"/>
      </w:r>
      <w:r>
        <w:rPr>
          <w:rFonts w:hint="eastAsia"/>
          <w:bCs/>
          <w:color w:val="auto"/>
          <w:sz w:val="24"/>
          <w:szCs w:val="24"/>
          <w:highlight w:val="none"/>
        </w:rPr>
        <w:t>（CJJ 166）</w:t>
      </w:r>
      <w:r>
        <w:rPr>
          <w:bCs/>
          <w:color w:val="auto"/>
          <w:sz w:val="24"/>
          <w:szCs w:val="24"/>
          <w:highlight w:val="none"/>
        </w:rPr>
        <w:t>规定，灌浆套</w:t>
      </w:r>
      <w:r>
        <w:rPr>
          <w:rFonts w:hint="eastAsia"/>
          <w:bCs/>
          <w:color w:val="auto"/>
          <w:sz w:val="24"/>
          <w:szCs w:val="24"/>
          <w:highlight w:val="none"/>
        </w:rPr>
        <w:t>筒连接</w:t>
      </w:r>
      <w:r>
        <w:rPr>
          <w:bCs/>
          <w:color w:val="auto"/>
          <w:sz w:val="24"/>
          <w:szCs w:val="24"/>
          <w:highlight w:val="none"/>
        </w:rPr>
        <w:t>区域应配置加密箍筋，箍筋加密区</w:t>
      </w:r>
      <w:r>
        <w:rPr>
          <w:rFonts w:hint="eastAsia"/>
          <w:bCs/>
          <w:color w:val="auto"/>
          <w:sz w:val="24"/>
          <w:szCs w:val="24"/>
          <w:highlight w:val="none"/>
        </w:rPr>
        <w:t>范围</w:t>
      </w:r>
      <w:r>
        <w:rPr>
          <w:bCs/>
          <w:color w:val="auto"/>
          <w:sz w:val="24"/>
          <w:szCs w:val="24"/>
          <w:highlight w:val="none"/>
        </w:rPr>
        <w:t>应不小于灌浆套筒</w:t>
      </w:r>
      <w:r>
        <w:rPr>
          <w:rFonts w:hint="eastAsia"/>
          <w:bCs/>
          <w:color w:val="auto"/>
          <w:sz w:val="24"/>
          <w:szCs w:val="24"/>
          <w:highlight w:val="none"/>
        </w:rPr>
        <w:t>长度</w:t>
      </w:r>
      <w:r>
        <w:rPr>
          <w:bCs/>
          <w:color w:val="auto"/>
          <w:sz w:val="24"/>
          <w:szCs w:val="24"/>
          <w:highlight w:val="none"/>
        </w:rPr>
        <w:t>区域</w:t>
      </w:r>
      <w:r>
        <w:rPr>
          <w:rFonts w:hint="eastAsia"/>
          <w:bCs/>
          <w:color w:val="auto"/>
          <w:sz w:val="24"/>
          <w:szCs w:val="24"/>
          <w:highlight w:val="none"/>
        </w:rPr>
        <w:t>和</w:t>
      </w:r>
      <w:r>
        <w:rPr>
          <w:bCs/>
          <w:color w:val="auto"/>
          <w:sz w:val="24"/>
          <w:szCs w:val="24"/>
          <w:highlight w:val="none"/>
        </w:rPr>
        <w:t>向</w:t>
      </w:r>
      <w:r>
        <w:rPr>
          <w:rFonts w:hint="eastAsia"/>
          <w:bCs/>
          <w:color w:val="auto"/>
          <w:sz w:val="24"/>
          <w:szCs w:val="24"/>
          <w:highlight w:val="none"/>
        </w:rPr>
        <w:t>墩柱</w:t>
      </w:r>
      <w:r>
        <w:rPr>
          <w:bCs/>
          <w:color w:val="auto"/>
          <w:sz w:val="24"/>
          <w:szCs w:val="24"/>
          <w:highlight w:val="none"/>
        </w:rPr>
        <w:t>延伸500mm</w:t>
      </w:r>
      <w:r>
        <w:rPr>
          <w:rFonts w:hint="eastAsia"/>
          <w:bCs/>
          <w:color w:val="auto"/>
          <w:sz w:val="24"/>
          <w:szCs w:val="24"/>
          <w:highlight w:val="none"/>
        </w:rPr>
        <w:t>长度范围之和，且承台、盖梁范围内箍筋加密区长度不应小于0.5倍墩柱直径。</w:t>
      </w:r>
    </w:p>
    <w:p w14:paraId="5FF133F2">
      <w:pPr>
        <w:snapToGrid w:val="0"/>
        <w:jc w:val="center"/>
        <w:rPr>
          <w:color w:val="auto"/>
          <w:szCs w:val="21"/>
          <w:highlight w:val="none"/>
        </w:rPr>
      </w:pPr>
      <w:r>
        <w:rPr>
          <w:color w:val="auto"/>
          <w:highlight w:val="none"/>
        </w:rPr>
        <w:drawing>
          <wp:inline distT="0" distB="0" distL="114300" distR="114300">
            <wp:extent cx="2424430" cy="2045970"/>
            <wp:effectExtent l="0" t="0" r="13970" b="11430"/>
            <wp:docPr id="5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6"/>
                    <pic:cNvPicPr>
                      <a:picLocks noChangeAspect="1"/>
                    </pic:cNvPicPr>
                  </pic:nvPicPr>
                  <pic:blipFill>
                    <a:blip r:embed="rId55"/>
                    <a:stretch>
                      <a:fillRect/>
                    </a:stretch>
                  </pic:blipFill>
                  <pic:spPr>
                    <a:xfrm>
                      <a:off x="0" y="0"/>
                      <a:ext cx="2424430" cy="2045970"/>
                    </a:xfrm>
                    <a:prstGeom prst="rect">
                      <a:avLst/>
                    </a:prstGeom>
                    <a:noFill/>
                    <a:ln>
                      <a:noFill/>
                    </a:ln>
                  </pic:spPr>
                </pic:pic>
              </a:graphicData>
            </a:graphic>
          </wp:inline>
        </w:drawing>
      </w:r>
      <w:r>
        <w:rPr>
          <w:color w:val="auto"/>
          <w:szCs w:val="21"/>
          <w:highlight w:val="none"/>
        </w:rPr>
        <w:t xml:space="preserve">      </w:t>
      </w:r>
      <w:r>
        <w:rPr>
          <w:color w:val="auto"/>
          <w:highlight w:val="none"/>
        </w:rPr>
        <w:drawing>
          <wp:inline distT="0" distB="0" distL="114300" distR="114300">
            <wp:extent cx="2319655" cy="2022475"/>
            <wp:effectExtent l="0" t="0" r="4445" b="15875"/>
            <wp:docPr id="5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7"/>
                    <pic:cNvPicPr>
                      <a:picLocks noChangeAspect="1"/>
                    </pic:cNvPicPr>
                  </pic:nvPicPr>
                  <pic:blipFill>
                    <a:blip r:embed="rId56"/>
                    <a:stretch>
                      <a:fillRect/>
                    </a:stretch>
                  </pic:blipFill>
                  <pic:spPr>
                    <a:xfrm>
                      <a:off x="0" y="0"/>
                      <a:ext cx="2319655" cy="2022475"/>
                    </a:xfrm>
                    <a:prstGeom prst="rect">
                      <a:avLst/>
                    </a:prstGeom>
                    <a:noFill/>
                    <a:ln>
                      <a:noFill/>
                    </a:ln>
                  </pic:spPr>
                </pic:pic>
              </a:graphicData>
            </a:graphic>
          </wp:inline>
        </w:drawing>
      </w:r>
    </w:p>
    <w:p w14:paraId="7C0C2362">
      <w:pPr>
        <w:numPr>
          <w:ilvl w:val="0"/>
          <w:numId w:val="19"/>
        </w:numPr>
        <w:snapToGrid w:val="0"/>
        <w:spacing w:line="400" w:lineRule="exact"/>
        <w:jc w:val="center"/>
        <w:rPr>
          <w:bCs/>
          <w:color w:val="auto"/>
          <w:szCs w:val="21"/>
          <w:highlight w:val="none"/>
        </w:rPr>
      </w:pPr>
      <w:r>
        <w:rPr>
          <w:bCs/>
          <w:color w:val="auto"/>
          <w:szCs w:val="21"/>
          <w:highlight w:val="none"/>
        </w:rPr>
        <w:t>预制墩柱与预制承台连接               (b) 预制墩柱与预制盖梁连接</w:t>
      </w:r>
    </w:p>
    <w:p w14:paraId="292B193E">
      <w:pPr>
        <w:pStyle w:val="2"/>
        <w:spacing w:line="400" w:lineRule="exact"/>
        <w:ind w:firstLine="0" w:firstLineChars="0"/>
        <w:jc w:val="center"/>
        <w:rPr>
          <w:rFonts w:hint="default"/>
          <w:color w:val="auto"/>
          <w:highlight w:val="none"/>
          <w:lang w:val="en-US"/>
        </w:rPr>
      </w:pPr>
      <w:r>
        <w:rPr>
          <w:rFonts w:hint="eastAsia" w:ascii="宋体" w:hAnsi="宋体" w:eastAsia="宋体" w:cs="宋体"/>
          <w:color w:val="auto"/>
          <w:sz w:val="21"/>
          <w:szCs w:val="21"/>
          <w:highlight w:val="none"/>
          <w:lang w:val="en-US" w:eastAsia="zh-CN"/>
        </w:rPr>
        <w:t>1 预制承台，2 垫层，3 箍筋，4 灌浆套筒，5 预制墩柱，6 预制盖梁</w:t>
      </w:r>
    </w:p>
    <w:p w14:paraId="7EFE48F1">
      <w:pPr>
        <w:snapToGrid w:val="0"/>
        <w:spacing w:line="400" w:lineRule="exact"/>
        <w:jc w:val="center"/>
        <w:rPr>
          <w:rFonts w:hint="eastAsia" w:eastAsia="宋体"/>
          <w:bCs/>
          <w:color w:val="auto"/>
          <w:szCs w:val="21"/>
          <w:highlight w:val="none"/>
          <w:lang w:eastAsia="zh-CN"/>
        </w:rPr>
      </w:pPr>
      <w:r>
        <w:rPr>
          <w:bCs/>
          <w:color w:val="auto"/>
          <w:szCs w:val="21"/>
          <w:highlight w:val="none"/>
        </w:rPr>
        <w:t>图</w:t>
      </w:r>
      <w:r>
        <w:rPr>
          <w:rFonts w:hint="eastAsia"/>
          <w:bCs/>
          <w:color w:val="auto"/>
          <w:szCs w:val="21"/>
          <w:highlight w:val="none"/>
        </w:rPr>
        <w:t>6.2.7</w:t>
      </w:r>
      <w:r>
        <w:rPr>
          <w:bCs/>
          <w:color w:val="auto"/>
          <w:szCs w:val="21"/>
          <w:highlight w:val="none"/>
        </w:rPr>
        <w:t xml:space="preserve"> 预制承台或盖梁内灌浆套筒箍筋加密示意图</w:t>
      </w:r>
    </w:p>
    <w:p w14:paraId="60BCB155">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6.2</w:t>
      </w:r>
      <w:r>
        <w:rPr>
          <w:b/>
          <w:color w:val="auto"/>
          <w:sz w:val="24"/>
          <w:szCs w:val="24"/>
          <w:highlight w:val="none"/>
        </w:rPr>
        <w:t>.8</w:t>
      </w:r>
      <w:r>
        <w:rPr>
          <w:bCs/>
          <w:color w:val="auto"/>
          <w:sz w:val="24"/>
          <w:szCs w:val="24"/>
          <w:highlight w:val="none"/>
        </w:rPr>
        <w:t xml:space="preserve">  灌浆套筒的保护层厚度应符合现行《公路钢筋混凝土及预应力混凝土桥涵设计规范》（JTG 3362）的规定，当预制构件中预埋灌浆套筒后导致纵向主筋保护层厚度大于50mm 时，</w:t>
      </w:r>
      <w:r>
        <w:rPr>
          <w:rFonts w:hint="eastAsia"/>
          <w:bCs/>
          <w:color w:val="auto"/>
          <w:sz w:val="24"/>
          <w:szCs w:val="24"/>
          <w:highlight w:val="none"/>
          <w:lang w:val="en-US" w:eastAsia="zh-CN"/>
        </w:rPr>
        <w:t>宜</w:t>
      </w:r>
      <w:r>
        <w:rPr>
          <w:bCs/>
          <w:color w:val="auto"/>
          <w:sz w:val="24"/>
          <w:szCs w:val="24"/>
          <w:highlight w:val="none"/>
        </w:rPr>
        <w:t>在保护层内增设抗裂措施。</w:t>
      </w:r>
    </w:p>
    <w:p w14:paraId="223F488A">
      <w:pPr>
        <w:spacing w:before="156" w:beforeLines="50" w:after="156" w:afterLines="50" w:line="360" w:lineRule="auto"/>
        <w:jc w:val="center"/>
        <w:outlineLvl w:val="1"/>
        <w:rPr>
          <w:rFonts w:hint="eastAsia" w:ascii="Times New Roman" w:hAnsi="Times New Roman" w:cs="Times New Roman"/>
          <w:b/>
          <w:kern w:val="0"/>
          <w:sz w:val="28"/>
          <w:szCs w:val="28"/>
        </w:rPr>
      </w:pPr>
      <w:bookmarkStart w:id="91" w:name="_Toc31278"/>
      <w:bookmarkStart w:id="92" w:name="_Toc10155"/>
      <w:r>
        <w:rPr>
          <w:rFonts w:hint="eastAsia" w:ascii="Times New Roman" w:hAnsi="Times New Roman" w:cs="Times New Roman"/>
          <w:b/>
          <w:kern w:val="0"/>
          <w:sz w:val="28"/>
          <w:szCs w:val="28"/>
        </w:rPr>
        <w:t xml:space="preserve">6.3 </w:t>
      </w:r>
      <w:bookmarkStart w:id="93" w:name="OLE_LINK13"/>
      <w:r>
        <w:rPr>
          <w:rFonts w:hint="default" w:ascii="Times New Roman" w:hAnsi="Times New Roman" w:cs="Times New Roman"/>
          <w:b/>
          <w:kern w:val="0"/>
          <w:sz w:val="28"/>
          <w:szCs w:val="28"/>
        </w:rPr>
        <w:t>灌浆波纹钢管</w:t>
      </w:r>
      <w:r>
        <w:rPr>
          <w:rFonts w:hint="eastAsia" w:ascii="Times New Roman" w:hAnsi="Times New Roman" w:cs="Times New Roman"/>
          <w:b/>
          <w:kern w:val="0"/>
          <w:sz w:val="28"/>
          <w:szCs w:val="28"/>
        </w:rPr>
        <w:t>连接</w:t>
      </w:r>
      <w:bookmarkEnd w:id="91"/>
      <w:bookmarkEnd w:id="92"/>
      <w:bookmarkEnd w:id="93"/>
    </w:p>
    <w:p w14:paraId="195FFA27">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bCs/>
          <w:color w:val="auto"/>
          <w:sz w:val="24"/>
          <w:szCs w:val="24"/>
          <w:highlight w:val="none"/>
        </w:rPr>
      </w:pPr>
      <w:r>
        <w:rPr>
          <w:rFonts w:hint="eastAsia" w:eastAsia="仿宋_GB2312"/>
          <w:b/>
          <w:color w:val="auto"/>
          <w:sz w:val="24"/>
          <w:szCs w:val="24"/>
          <w:highlight w:val="none"/>
        </w:rPr>
        <w:t xml:space="preserve">6.3.1 </w:t>
      </w:r>
      <w:r>
        <w:rPr>
          <w:rFonts w:hint="eastAsia"/>
          <w:bCs/>
          <w:color w:val="auto"/>
          <w:sz w:val="24"/>
          <w:szCs w:val="24"/>
          <w:highlight w:val="none"/>
        </w:rPr>
        <w:t xml:space="preserve"> 灌浆波纹钢管间的净距不应小于波纹钢管外径，且不应小于50mm。</w:t>
      </w:r>
    </w:p>
    <w:p w14:paraId="49F39ABF">
      <w:pPr>
        <w:keepNext w:val="0"/>
        <w:keepLines w:val="0"/>
        <w:pageBreakBefore w:val="0"/>
        <w:widowControl w:val="0"/>
        <w:kinsoku/>
        <w:wordWrap/>
        <w:overflowPunct/>
        <w:topLinePunct w:val="0"/>
        <w:autoSpaceDE/>
        <w:autoSpaceDN/>
        <w:bidi w:val="0"/>
        <w:adjustRightInd/>
        <w:snapToGrid w:val="0"/>
        <w:spacing w:line="360" w:lineRule="auto"/>
        <w:textAlignment w:val="auto"/>
        <w:rPr>
          <w:rFonts w:eastAsia="仿宋_GB2312"/>
          <w:b/>
          <w:color w:val="auto"/>
          <w:sz w:val="24"/>
          <w:szCs w:val="24"/>
          <w:highlight w:val="none"/>
        </w:rPr>
      </w:pPr>
      <w:r>
        <w:rPr>
          <w:rFonts w:hint="eastAsia"/>
          <w:b/>
          <w:color w:val="auto"/>
          <w:sz w:val="24"/>
          <w:szCs w:val="24"/>
          <w:highlight w:val="none"/>
        </w:rPr>
        <w:t xml:space="preserve">6.3.2  </w:t>
      </w:r>
      <w:r>
        <w:rPr>
          <w:rFonts w:hint="eastAsia"/>
          <w:bCs/>
          <w:color w:val="auto"/>
          <w:sz w:val="24"/>
          <w:szCs w:val="24"/>
          <w:highlight w:val="none"/>
        </w:rPr>
        <w:t>灌浆波纹钢管孔径与钢筋直径比D</w:t>
      </w:r>
      <w:r>
        <w:rPr>
          <w:rFonts w:hint="eastAsia"/>
          <w:bCs/>
          <w:color w:val="auto"/>
          <w:sz w:val="24"/>
          <w:szCs w:val="24"/>
          <w:highlight w:val="none"/>
          <w:vertAlign w:val="subscript"/>
        </w:rPr>
        <w:t>p</w:t>
      </w:r>
      <w:r>
        <w:rPr>
          <w:rFonts w:hint="eastAsia"/>
          <w:bCs/>
          <w:color w:val="auto"/>
          <w:sz w:val="24"/>
          <w:szCs w:val="24"/>
          <w:highlight w:val="none"/>
        </w:rPr>
        <w:t>/d宜控制在2.5~3.5，波纹钢管的内径不宜小于d+40mm和3d中的较大值，波纹钢管壁厚不应小于2mm，波纹钢管的波高不宜小于3mm，波纹钢管的波距不宜大于32mm。</w:t>
      </w:r>
    </w:p>
    <w:p w14:paraId="6396E3D9">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eastAsia="仿宋_GB2312"/>
          <w:b/>
          <w:color w:val="auto"/>
          <w:sz w:val="24"/>
          <w:szCs w:val="24"/>
          <w:highlight w:val="none"/>
        </w:rPr>
        <w:t>6.3. 3</w:t>
      </w:r>
      <w:r>
        <w:rPr>
          <w:rFonts w:hint="default" w:ascii="Times New Roman" w:hAnsi="Times New Roman" w:eastAsia="仿宋_GB2312" w:cs="Times New Roman"/>
          <w:bCs/>
          <w:color w:val="auto"/>
          <w:sz w:val="24"/>
          <w:szCs w:val="24"/>
          <w:highlight w:val="none"/>
        </w:rPr>
        <w:t xml:space="preserve">  </w:t>
      </w:r>
      <w:r>
        <w:rPr>
          <w:rFonts w:hint="eastAsia"/>
          <w:bCs/>
          <w:color w:val="auto"/>
          <w:sz w:val="24"/>
          <w:szCs w:val="24"/>
          <w:highlight w:val="none"/>
        </w:rPr>
        <w:t>灌浆波纹钢管内的钢筋锚固长度应符合下列规定：</w:t>
      </w:r>
    </w:p>
    <w:p w14:paraId="1B7D8570">
      <w:pPr>
        <w:keepNext w:val="0"/>
        <w:keepLines w:val="0"/>
        <w:pageBreakBefore w:val="0"/>
        <w:widowControl w:val="0"/>
        <w:kinsoku/>
        <w:wordWrap w:val="0"/>
        <w:overflowPunct/>
        <w:topLinePunct w:val="0"/>
        <w:autoSpaceDE/>
        <w:autoSpaceDN/>
        <w:bidi w:val="0"/>
        <w:adjustRightInd/>
        <w:snapToGrid w:val="0"/>
        <w:spacing w:line="360" w:lineRule="auto"/>
        <w:jc w:val="right"/>
        <w:textAlignment w:val="auto"/>
        <w:rPr>
          <w:b/>
          <w:color w:val="auto"/>
          <w:sz w:val="24"/>
          <w:szCs w:val="24"/>
          <w:highlight w:val="none"/>
        </w:rPr>
      </w:pPr>
      <w:r>
        <w:rPr>
          <w:color w:val="auto"/>
          <w:position w:val="-30"/>
          <w:sz w:val="24"/>
          <w:szCs w:val="24"/>
          <w:highlight w:val="none"/>
        </w:rPr>
        <w:object>
          <v:shape id="_x0000_i1046" o:spt="75" type="#_x0000_t75" style="height:33.8pt;width:106.9pt;" o:ole="t" filled="f" o:preferrelative="t" stroked="f" coordsize="21600,21600">
            <v:path/>
            <v:fill on="f" focussize="0,0"/>
            <v:stroke on="f" joinstyle="miter"/>
            <v:imagedata r:id="rId58" o:title=""/>
            <o:lock v:ext="edit" aspectratio="t"/>
            <w10:wrap type="none"/>
            <w10:anchorlock/>
          </v:shape>
          <o:OLEObject Type="Embed" ProgID="Equation.DSMT4" ShapeID="_x0000_i1046" DrawAspect="Content" ObjectID="_1468075746" r:id="rId57">
            <o:LockedField>false</o:LockedField>
          </o:OLEObject>
        </w:object>
      </w:r>
      <w:r>
        <w:rPr>
          <w:rFonts w:hint="eastAsia"/>
          <w:color w:val="auto"/>
          <w:sz w:val="24"/>
          <w:szCs w:val="24"/>
          <w:highlight w:val="none"/>
        </w:rPr>
        <w:t xml:space="preserve">                       </w:t>
      </w:r>
      <w:r>
        <w:rPr>
          <w:bCs/>
          <w:color w:val="auto"/>
          <w:sz w:val="24"/>
          <w:szCs w:val="24"/>
          <w:highlight w:val="none"/>
        </w:rPr>
        <w:t>（</w:t>
      </w:r>
      <w:r>
        <w:rPr>
          <w:rFonts w:hint="eastAsia"/>
          <w:bCs/>
          <w:color w:val="auto"/>
          <w:sz w:val="24"/>
          <w:szCs w:val="24"/>
          <w:highlight w:val="none"/>
        </w:rPr>
        <w:t>6.3.3</w:t>
      </w:r>
      <w:r>
        <w:rPr>
          <w:bCs/>
          <w:color w:val="auto"/>
          <w:sz w:val="24"/>
          <w:szCs w:val="24"/>
          <w:highlight w:val="none"/>
        </w:rPr>
        <w:t>）</w:t>
      </w:r>
    </w:p>
    <w:p w14:paraId="2AC60EA3">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式中：</w:t>
      </w:r>
      <w:r>
        <w:rPr>
          <w:rFonts w:hint="eastAsia"/>
          <w:bCs/>
          <w:color w:val="auto"/>
          <w:position w:val="-6"/>
          <w:sz w:val="24"/>
          <w:szCs w:val="24"/>
          <w:highlight w:val="none"/>
        </w:rPr>
        <w:object>
          <v:shape id="_x0000_i1047" o:spt="75" type="#_x0000_t75" style="height:13.95pt;width:10.2pt;" o:ole="t" filled="f" o:preferrelative="t" stroked="f" coordsize="21600,21600">
            <v:path/>
            <v:fill on="f" focussize="0,0"/>
            <v:stroke on="f" joinstyle="miter"/>
            <v:imagedata r:id="rId60" o:title=""/>
            <o:lock v:ext="edit" aspectratio="t"/>
            <w10:wrap type="none"/>
            <w10:anchorlock/>
          </v:shape>
          <o:OLEObject Type="Embed" ProgID="Equation.DSMT4" ShapeID="_x0000_i1047" DrawAspect="Content" ObjectID="_1468075747" r:id="rId59">
            <o:LockedField>false</o:LockedField>
          </o:OLEObject>
        </w:object>
      </w:r>
      <w:r>
        <w:rPr>
          <w:rFonts w:hint="eastAsia"/>
          <w:bCs/>
          <w:color w:val="auto"/>
          <w:sz w:val="24"/>
          <w:szCs w:val="24"/>
          <w:highlight w:val="none"/>
        </w:rPr>
        <w:t>—锚固钢筋的直径；</w:t>
      </w:r>
    </w:p>
    <w:p w14:paraId="7B0D1D9B">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6.3.4</w:t>
      </w:r>
      <w:r>
        <w:rPr>
          <w:rFonts w:hint="eastAsia"/>
          <w:bCs/>
          <w:color w:val="auto"/>
          <w:sz w:val="24"/>
          <w:szCs w:val="24"/>
          <w:highlight w:val="none"/>
        </w:rPr>
        <w:t xml:space="preserve">  灌浆波纹钢管在预制承台、盖梁或台帽内时，应符合</w:t>
      </w:r>
      <w:r>
        <w:rPr>
          <w:color w:val="auto"/>
          <w:sz w:val="24"/>
          <w:szCs w:val="24"/>
          <w:highlight w:val="none"/>
        </w:rPr>
        <w:fldChar w:fldCharType="begin"/>
      </w:r>
      <w:r>
        <w:rPr>
          <w:color w:val="auto"/>
          <w:sz w:val="24"/>
          <w:szCs w:val="24"/>
          <w:highlight w:val="none"/>
        </w:rPr>
        <w:instrText xml:space="preserve"> HYPERLINK "https://www.baidu.com/link?url=tOzcWJffLltpqHIaPSNhcNV596vUa-VCDgkm4ki-VbRCuf0A2LbZt8LYOLe4pDQ3sgY9qAMTPZpR9ivem1gXF_&amp;wd=&amp;eqid=cf4716c100e56e920000000666286d73" \t "https://www.baidu.com/_blank" </w:instrText>
      </w:r>
      <w:r>
        <w:rPr>
          <w:color w:val="auto"/>
          <w:sz w:val="24"/>
          <w:szCs w:val="24"/>
          <w:highlight w:val="none"/>
        </w:rPr>
        <w:fldChar w:fldCharType="separate"/>
      </w:r>
      <w:r>
        <w:rPr>
          <w:bCs/>
          <w:color w:val="auto"/>
          <w:sz w:val="24"/>
          <w:szCs w:val="24"/>
          <w:highlight w:val="none"/>
        </w:rPr>
        <w:t>《</w:t>
      </w:r>
      <w:r>
        <w:rPr>
          <w:rFonts w:hint="eastAsia"/>
          <w:bCs/>
          <w:color w:val="auto"/>
          <w:sz w:val="24"/>
          <w:szCs w:val="24"/>
          <w:highlight w:val="none"/>
        </w:rPr>
        <w:t>城市桥梁抗震设计规范</w:t>
      </w:r>
      <w:r>
        <w:rPr>
          <w:bCs/>
          <w:color w:val="auto"/>
          <w:sz w:val="24"/>
          <w:szCs w:val="24"/>
          <w:highlight w:val="none"/>
        </w:rPr>
        <w:t>》</w:t>
      </w:r>
      <w:r>
        <w:rPr>
          <w:bCs/>
          <w:color w:val="auto"/>
          <w:sz w:val="24"/>
          <w:szCs w:val="24"/>
          <w:highlight w:val="none"/>
        </w:rPr>
        <w:fldChar w:fldCharType="end"/>
      </w:r>
      <w:r>
        <w:rPr>
          <w:rFonts w:hint="eastAsia"/>
          <w:bCs/>
          <w:color w:val="auto"/>
          <w:sz w:val="24"/>
          <w:szCs w:val="24"/>
          <w:highlight w:val="none"/>
        </w:rPr>
        <w:t>（CJJ 166）规定，预制构件内应布置加密箍筋，墩柱箍筋加密区延伸至预制承台、盖梁或台帽的距离应不小于墩柱长边尺寸的1/2、500 mm及波纹</w:t>
      </w:r>
      <w:r>
        <w:rPr>
          <w:rFonts w:hint="eastAsia"/>
          <w:bCs/>
          <w:color w:val="auto"/>
          <w:sz w:val="24"/>
          <w:szCs w:val="24"/>
          <w:highlight w:val="none"/>
          <w:lang w:eastAsia="zh-CN"/>
        </w:rPr>
        <w:t>钢</w:t>
      </w:r>
      <w:r>
        <w:rPr>
          <w:rFonts w:hint="eastAsia"/>
          <w:bCs/>
          <w:color w:val="auto"/>
          <w:sz w:val="24"/>
          <w:szCs w:val="24"/>
          <w:highlight w:val="none"/>
        </w:rPr>
        <w:t>管高度的最大值。</w:t>
      </w:r>
    </w:p>
    <w:p w14:paraId="7FBFEF02">
      <w:pPr>
        <w:snapToGrid w:val="0"/>
        <w:jc w:val="center"/>
        <w:rPr>
          <w:b/>
          <w:color w:val="auto"/>
          <w:szCs w:val="21"/>
          <w:highlight w:val="none"/>
        </w:rPr>
      </w:pPr>
      <w:r>
        <w:rPr>
          <w:color w:val="auto"/>
          <w:highlight w:val="none"/>
        </w:rPr>
        <w:drawing>
          <wp:inline distT="0" distB="0" distL="114300" distR="114300">
            <wp:extent cx="2235835" cy="1850390"/>
            <wp:effectExtent l="0" t="0" r="12065" b="16510"/>
            <wp:docPr id="4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0"/>
                    <pic:cNvPicPr>
                      <a:picLocks noChangeAspect="1"/>
                    </pic:cNvPicPr>
                  </pic:nvPicPr>
                  <pic:blipFill>
                    <a:blip r:embed="rId61"/>
                    <a:stretch>
                      <a:fillRect/>
                    </a:stretch>
                  </pic:blipFill>
                  <pic:spPr>
                    <a:xfrm>
                      <a:off x="0" y="0"/>
                      <a:ext cx="2235835" cy="1850390"/>
                    </a:xfrm>
                    <a:prstGeom prst="rect">
                      <a:avLst/>
                    </a:prstGeom>
                    <a:noFill/>
                    <a:ln>
                      <a:noFill/>
                    </a:ln>
                  </pic:spPr>
                </pic:pic>
              </a:graphicData>
            </a:graphic>
          </wp:inline>
        </w:drawing>
      </w:r>
      <w:r>
        <w:rPr>
          <w:rFonts w:hint="eastAsia"/>
          <w:color w:val="auto"/>
          <w:highlight w:val="none"/>
          <w:lang w:val="en-US" w:eastAsia="zh-CN"/>
        </w:rPr>
        <w:t xml:space="preserve">                </w:t>
      </w:r>
      <w:r>
        <w:rPr>
          <w:color w:val="auto"/>
          <w:highlight w:val="none"/>
        </w:rPr>
        <w:drawing>
          <wp:inline distT="0" distB="0" distL="114300" distR="114300">
            <wp:extent cx="2289175" cy="1909445"/>
            <wp:effectExtent l="0" t="0" r="15875" b="14605"/>
            <wp:docPr id="4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1"/>
                    <pic:cNvPicPr>
                      <a:picLocks noChangeAspect="1"/>
                    </pic:cNvPicPr>
                  </pic:nvPicPr>
                  <pic:blipFill>
                    <a:blip r:embed="rId62"/>
                    <a:stretch>
                      <a:fillRect/>
                    </a:stretch>
                  </pic:blipFill>
                  <pic:spPr>
                    <a:xfrm>
                      <a:off x="0" y="0"/>
                      <a:ext cx="2289175" cy="1909445"/>
                    </a:xfrm>
                    <a:prstGeom prst="rect">
                      <a:avLst/>
                    </a:prstGeom>
                    <a:noFill/>
                    <a:ln>
                      <a:noFill/>
                    </a:ln>
                  </pic:spPr>
                </pic:pic>
              </a:graphicData>
            </a:graphic>
          </wp:inline>
        </w:drawing>
      </w:r>
    </w:p>
    <w:p w14:paraId="735C6740">
      <w:pPr>
        <w:snapToGrid w:val="0"/>
        <w:spacing w:line="400" w:lineRule="exact"/>
        <w:jc w:val="center"/>
        <w:rPr>
          <w:rFonts w:hint="eastAsia" w:ascii="宋体" w:hAnsi="宋体" w:eastAsia="宋体" w:cs="宋体"/>
          <w:color w:val="auto"/>
          <w:sz w:val="21"/>
          <w:szCs w:val="21"/>
          <w:highlight w:val="none"/>
          <w:lang w:val="en-US" w:eastAsia="zh-CN"/>
        </w:rPr>
      </w:pPr>
      <w:r>
        <w:rPr>
          <w:rFonts w:hint="eastAsia"/>
          <w:bCs/>
          <w:color w:val="auto"/>
          <w:szCs w:val="21"/>
          <w:highlight w:val="none"/>
          <w:lang w:eastAsia="zh-CN"/>
        </w:rPr>
        <w:t>（</w:t>
      </w:r>
      <w:r>
        <w:rPr>
          <w:rFonts w:hint="eastAsia"/>
          <w:bCs/>
          <w:color w:val="auto"/>
          <w:szCs w:val="21"/>
          <w:highlight w:val="none"/>
          <w:lang w:val="en-US" w:eastAsia="zh-CN"/>
        </w:rPr>
        <w:t>a</w:t>
      </w:r>
      <w:r>
        <w:rPr>
          <w:rFonts w:hint="eastAsia"/>
          <w:bCs/>
          <w:color w:val="auto"/>
          <w:szCs w:val="21"/>
          <w:highlight w:val="none"/>
          <w:lang w:eastAsia="zh-CN"/>
        </w:rPr>
        <w:t>）</w:t>
      </w:r>
      <w:r>
        <w:rPr>
          <w:bCs/>
          <w:color w:val="auto"/>
          <w:szCs w:val="21"/>
          <w:highlight w:val="none"/>
        </w:rPr>
        <w:t xml:space="preserve">预制墩柱与预制承台连接            </w:t>
      </w:r>
      <w:r>
        <w:rPr>
          <w:rFonts w:hint="eastAsia"/>
          <w:bCs/>
          <w:color w:val="auto"/>
          <w:szCs w:val="21"/>
          <w:highlight w:val="none"/>
          <w:lang w:val="en-US" w:eastAsia="zh-CN"/>
        </w:rPr>
        <w:t xml:space="preserve">      </w:t>
      </w:r>
      <w:r>
        <w:rPr>
          <w:bCs/>
          <w:color w:val="auto"/>
          <w:szCs w:val="21"/>
          <w:highlight w:val="none"/>
        </w:rPr>
        <w:t xml:space="preserve">   (b) 预制墩柱与预制盖梁连接</w:t>
      </w:r>
    </w:p>
    <w:p w14:paraId="6AFA2D30">
      <w:pPr>
        <w:snapToGrid w:val="0"/>
        <w:spacing w:line="400" w:lineRule="exact"/>
        <w:jc w:val="center"/>
        <w:rPr>
          <w:rFonts w:hint="eastAsia"/>
          <w:color w:val="auto"/>
          <w:szCs w:val="21"/>
          <w:highlight w:val="none"/>
        </w:rPr>
      </w:pPr>
      <w:r>
        <w:rPr>
          <w:rFonts w:hint="eastAsia" w:ascii="宋体" w:hAnsi="宋体" w:eastAsia="宋体" w:cs="宋体"/>
          <w:color w:val="auto"/>
          <w:sz w:val="21"/>
          <w:szCs w:val="21"/>
          <w:highlight w:val="none"/>
          <w:lang w:val="en-US" w:eastAsia="zh-CN"/>
        </w:rPr>
        <w:t xml:space="preserve">1 预制承台，2 </w:t>
      </w:r>
      <w:r>
        <w:rPr>
          <w:rFonts w:hint="eastAsia" w:ascii="宋体" w:hAnsi="宋体" w:cs="宋体"/>
          <w:color w:val="auto"/>
          <w:sz w:val="21"/>
          <w:szCs w:val="21"/>
          <w:highlight w:val="none"/>
          <w:lang w:val="en-US" w:eastAsia="zh-CN"/>
        </w:rPr>
        <w:t>金属波纹钢管</w:t>
      </w:r>
      <w:r>
        <w:rPr>
          <w:rFonts w:hint="eastAsia" w:ascii="宋体" w:hAnsi="宋体" w:eastAsia="宋体" w:cs="宋体"/>
          <w:color w:val="auto"/>
          <w:sz w:val="21"/>
          <w:szCs w:val="21"/>
          <w:highlight w:val="none"/>
          <w:lang w:val="en-US" w:eastAsia="zh-CN"/>
        </w:rPr>
        <w:t xml:space="preserve">，3 </w:t>
      </w:r>
      <w:r>
        <w:rPr>
          <w:rFonts w:hint="eastAsia" w:ascii="宋体" w:hAnsi="宋体" w:cs="宋体"/>
          <w:color w:val="auto"/>
          <w:sz w:val="21"/>
          <w:szCs w:val="21"/>
          <w:highlight w:val="none"/>
          <w:lang w:val="en-US" w:eastAsia="zh-CN"/>
        </w:rPr>
        <w:t xml:space="preserve">垫层，4 </w:t>
      </w:r>
      <w:r>
        <w:rPr>
          <w:rFonts w:hint="eastAsia" w:ascii="宋体" w:hAnsi="宋体" w:eastAsia="宋体" w:cs="宋体"/>
          <w:color w:val="auto"/>
          <w:sz w:val="21"/>
          <w:szCs w:val="21"/>
          <w:highlight w:val="none"/>
          <w:lang w:val="en-US" w:eastAsia="zh-CN"/>
        </w:rPr>
        <w:t>箍筋，5 预制墩柱，6 预制盖梁</w:t>
      </w:r>
    </w:p>
    <w:p w14:paraId="180D7023">
      <w:pPr>
        <w:snapToGrid w:val="0"/>
        <w:spacing w:line="400" w:lineRule="exact"/>
        <w:jc w:val="center"/>
        <w:rPr>
          <w:rFonts w:hint="eastAsia" w:eastAsia="宋体"/>
          <w:color w:val="auto"/>
          <w:szCs w:val="21"/>
          <w:highlight w:val="none"/>
          <w:lang w:eastAsia="zh-CN"/>
        </w:rPr>
      </w:pPr>
      <w:r>
        <w:rPr>
          <w:rFonts w:hint="eastAsia"/>
          <w:color w:val="auto"/>
          <w:szCs w:val="21"/>
          <w:highlight w:val="none"/>
        </w:rPr>
        <w:t>图6.3.4 预制墩柱节点连接示意图</w:t>
      </w:r>
    </w:p>
    <w:p w14:paraId="7FE0F6BC">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eastAsia="宋体"/>
          <w:b/>
          <w:color w:val="auto"/>
          <w:sz w:val="24"/>
          <w:szCs w:val="24"/>
          <w:highlight w:val="none"/>
          <w:lang w:eastAsia="zh-CN"/>
        </w:rPr>
      </w:pPr>
      <w:r>
        <w:rPr>
          <w:rFonts w:hint="eastAsia"/>
          <w:b/>
          <w:color w:val="auto"/>
          <w:sz w:val="24"/>
          <w:szCs w:val="24"/>
          <w:highlight w:val="none"/>
        </w:rPr>
        <w:t>6.3.</w:t>
      </w:r>
      <w:r>
        <w:rPr>
          <w:b/>
          <w:color w:val="auto"/>
          <w:sz w:val="24"/>
          <w:szCs w:val="24"/>
          <w:highlight w:val="none"/>
        </w:rPr>
        <w:t>5</w:t>
      </w:r>
      <w:r>
        <w:rPr>
          <w:rFonts w:hint="eastAsia"/>
          <w:bCs/>
          <w:color w:val="auto"/>
          <w:sz w:val="24"/>
          <w:szCs w:val="24"/>
          <w:highlight w:val="none"/>
        </w:rPr>
        <w:t xml:space="preserve">  灌浆波纹钢管下端应设置压浆口连接压浆管，上端应设置出浆口连接出浆管或直接由端部出浆。压浆口下缘与端部净距应大于20mm，且压浆口下缘处应设置一道箍筋</w:t>
      </w:r>
      <w:r>
        <w:rPr>
          <w:rFonts w:hint="eastAsia"/>
          <w:bCs/>
          <w:color w:val="auto"/>
          <w:sz w:val="24"/>
          <w:szCs w:val="24"/>
          <w:highlight w:val="none"/>
          <w:lang w:eastAsia="zh-CN"/>
        </w:rPr>
        <w:t>。</w:t>
      </w:r>
    </w:p>
    <w:p w14:paraId="4E300B07">
      <w:pPr>
        <w:keepNext w:val="0"/>
        <w:keepLines w:val="0"/>
        <w:pageBreakBefore w:val="0"/>
        <w:widowControl w:val="0"/>
        <w:kinsoku/>
        <w:wordWrap/>
        <w:overflowPunct/>
        <w:topLinePunct w:val="0"/>
        <w:autoSpaceDE/>
        <w:autoSpaceDN/>
        <w:bidi w:val="0"/>
        <w:adjustRightInd/>
        <w:snapToGrid w:val="0"/>
        <w:spacing w:line="360" w:lineRule="auto"/>
        <w:textAlignment w:val="auto"/>
        <w:rPr>
          <w:color w:val="auto"/>
          <w:sz w:val="24"/>
          <w:szCs w:val="24"/>
          <w:highlight w:val="none"/>
        </w:rPr>
      </w:pPr>
      <w:r>
        <w:rPr>
          <w:rFonts w:hint="eastAsia"/>
          <w:b/>
          <w:color w:val="auto"/>
          <w:sz w:val="24"/>
          <w:szCs w:val="24"/>
          <w:highlight w:val="none"/>
        </w:rPr>
        <w:t>6.3.6</w:t>
      </w:r>
      <w:r>
        <w:rPr>
          <w:rFonts w:hint="eastAsia"/>
          <w:bCs/>
          <w:color w:val="auto"/>
          <w:sz w:val="24"/>
          <w:szCs w:val="24"/>
          <w:highlight w:val="none"/>
        </w:rPr>
        <w:t xml:space="preserve">  </w:t>
      </w:r>
      <w:r>
        <w:rPr>
          <w:rFonts w:hint="default" w:ascii="Times New Roman" w:hAnsi="Times New Roman" w:cs="Times New Roman"/>
          <w:color w:val="auto"/>
          <w:sz w:val="24"/>
          <w:szCs w:val="24"/>
          <w:highlight w:val="none"/>
        </w:rPr>
        <w:t>灌浆波纹钢管的净保护层厚度不宜小于150mm。当预制构件中预埋灌浆波纹钢管后导致纵向主筋保护层厚度大于50mm时，</w:t>
      </w:r>
      <w:r>
        <w:rPr>
          <w:rFonts w:hint="default" w:ascii="Times New Roman" w:hAnsi="Times New Roman" w:cs="Times New Roman"/>
          <w:color w:val="auto"/>
          <w:sz w:val="24"/>
          <w:szCs w:val="24"/>
          <w:highlight w:val="none"/>
          <w:lang w:val="en-US" w:eastAsia="zh-CN"/>
        </w:rPr>
        <w:t>宜</w:t>
      </w:r>
      <w:r>
        <w:rPr>
          <w:rFonts w:hint="default" w:ascii="Times New Roman" w:hAnsi="Times New Roman" w:cs="Times New Roman"/>
          <w:color w:val="auto"/>
          <w:sz w:val="24"/>
          <w:szCs w:val="24"/>
          <w:highlight w:val="none"/>
        </w:rPr>
        <w:t>在保护层内增设抗裂措施。</w:t>
      </w:r>
    </w:p>
    <w:p w14:paraId="7201D8C9">
      <w:pPr>
        <w:spacing w:before="156" w:beforeLines="50" w:after="156" w:afterLines="50" w:line="360" w:lineRule="auto"/>
        <w:jc w:val="center"/>
        <w:outlineLvl w:val="1"/>
        <w:rPr>
          <w:rFonts w:hint="eastAsia" w:ascii="Times New Roman" w:hAnsi="Times New Roman" w:cs="Times New Roman"/>
          <w:b/>
          <w:kern w:val="0"/>
          <w:sz w:val="28"/>
          <w:szCs w:val="28"/>
        </w:rPr>
      </w:pPr>
      <w:bookmarkStart w:id="94" w:name="_Toc12899"/>
      <w:bookmarkStart w:id="95" w:name="_Toc26935"/>
      <w:r>
        <w:rPr>
          <w:rFonts w:hint="eastAsia" w:ascii="Times New Roman" w:hAnsi="Times New Roman" w:cs="Times New Roman"/>
          <w:b/>
          <w:kern w:val="0"/>
          <w:sz w:val="28"/>
          <w:szCs w:val="28"/>
        </w:rPr>
        <w:t>6.4 承插式连接</w:t>
      </w:r>
      <w:bookmarkEnd w:id="94"/>
      <w:bookmarkEnd w:id="95"/>
    </w:p>
    <w:p w14:paraId="7BEB8D9B">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color w:val="auto"/>
          <w:sz w:val="24"/>
          <w:szCs w:val="24"/>
          <w:highlight w:val="none"/>
          <w:lang w:val="en-US" w:eastAsia="zh-CN"/>
        </w:rPr>
      </w:pPr>
      <w:r>
        <w:rPr>
          <w:rFonts w:hint="eastAsia" w:eastAsia="宋体"/>
          <w:b/>
          <w:bCs/>
          <w:color w:val="auto"/>
          <w:sz w:val="24"/>
          <w:szCs w:val="24"/>
          <w:highlight w:val="none"/>
        </w:rPr>
        <w:t>6.4</w:t>
      </w:r>
      <w:r>
        <w:rPr>
          <w:rFonts w:eastAsia="宋体"/>
          <w:b/>
          <w:bCs/>
          <w:color w:val="auto"/>
          <w:sz w:val="24"/>
          <w:szCs w:val="24"/>
          <w:highlight w:val="none"/>
        </w:rPr>
        <w:t>.1</w:t>
      </w:r>
      <w:r>
        <w:rPr>
          <w:rFonts w:hint="default" w:ascii="Times New Roman" w:hAnsi="Times New Roman" w:eastAsia="宋体" w:cs="Times New Roman"/>
          <w:color w:val="auto"/>
          <w:sz w:val="24"/>
          <w:szCs w:val="24"/>
          <w:highlight w:val="none"/>
        </w:rPr>
        <w:t xml:space="preserve">  预制墩柱插入承台或盖梁的深度应根据计算确定，插入段纵向钢筋应满足最小锚固长度要求，且</w:t>
      </w:r>
      <w:r>
        <w:rPr>
          <w:rFonts w:hint="eastAsia" w:eastAsia="宋体" w:cs="Times New Roman"/>
          <w:color w:val="auto"/>
          <w:sz w:val="24"/>
          <w:szCs w:val="24"/>
          <w:highlight w:val="none"/>
          <w:lang w:eastAsia="zh-CN"/>
        </w:rPr>
        <w:t>墩柱</w:t>
      </w:r>
      <w:r>
        <w:rPr>
          <w:rFonts w:hint="default" w:ascii="Times New Roman" w:hAnsi="Times New Roman" w:eastAsia="宋体" w:cs="Times New Roman"/>
          <w:color w:val="auto"/>
          <w:sz w:val="24"/>
          <w:szCs w:val="24"/>
          <w:highlight w:val="none"/>
        </w:rPr>
        <w:t>承插深度不应小于墩柱直径</w:t>
      </w:r>
      <w:r>
        <w:rPr>
          <w:rFonts w:hint="eastAsia" w:eastAsia="宋体" w:cs="Times New Roman"/>
          <w:color w:val="auto"/>
          <w:sz w:val="24"/>
          <w:szCs w:val="24"/>
          <w:highlight w:val="none"/>
          <w:lang w:eastAsia="zh-CN"/>
        </w:rPr>
        <w:t>或长边边长</w:t>
      </w:r>
      <w:r>
        <w:rPr>
          <w:rFonts w:hint="default" w:ascii="Times New Roman" w:hAnsi="Times New Roman" w:eastAsia="宋体" w:cs="Times New Roman"/>
          <w:color w:val="auto"/>
          <w:sz w:val="24"/>
          <w:szCs w:val="24"/>
          <w:highlight w:val="none"/>
        </w:rPr>
        <w:t>的0.7倍。</w:t>
      </w:r>
    </w:p>
    <w:p w14:paraId="43F3EBCC">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cs="Times New Roman"/>
          <w:color w:val="auto"/>
          <w:sz w:val="24"/>
          <w:szCs w:val="24"/>
          <w:highlight w:val="none"/>
        </w:rPr>
      </w:pPr>
      <w:r>
        <w:rPr>
          <w:rFonts w:hint="eastAsia" w:eastAsia="宋体"/>
          <w:b/>
          <w:bCs/>
          <w:color w:val="auto"/>
          <w:sz w:val="24"/>
          <w:szCs w:val="24"/>
          <w:highlight w:val="none"/>
        </w:rPr>
        <w:t>6.4.2</w:t>
      </w:r>
      <w:r>
        <w:rPr>
          <w:rFonts w:hint="default" w:ascii="Times New Roman" w:hAnsi="Times New Roman" w:eastAsia="宋体" w:cs="Times New Roman"/>
          <w:color w:val="auto"/>
          <w:sz w:val="24"/>
          <w:szCs w:val="24"/>
          <w:highlight w:val="none"/>
        </w:rPr>
        <w:t xml:space="preserve">  空心墩柱内浇筑填芯混凝土的高度应超过承台面不小于1.0D</w:t>
      </w:r>
      <w:r>
        <w:rPr>
          <w:rFonts w:hint="default" w:ascii="Times New Roman" w:hAnsi="Times New Roman" w:eastAsia="宋体" w:cs="Times New Roman"/>
          <w:color w:val="auto"/>
          <w:sz w:val="24"/>
          <w:szCs w:val="24"/>
          <w:highlight w:val="none"/>
          <w:vertAlign w:val="subscript"/>
        </w:rPr>
        <w:t>c</w:t>
      </w:r>
      <w:r>
        <w:rPr>
          <w:rFonts w:hint="default" w:ascii="Times New Roman" w:hAnsi="Times New Roman" w:eastAsia="宋体" w:cs="Times New Roman"/>
          <w:color w:val="auto"/>
          <w:sz w:val="24"/>
          <w:szCs w:val="24"/>
          <w:highlight w:val="none"/>
        </w:rPr>
        <w:t>，D</w:t>
      </w:r>
      <w:r>
        <w:rPr>
          <w:rFonts w:hint="default" w:ascii="Times New Roman" w:hAnsi="Times New Roman" w:eastAsia="宋体" w:cs="Times New Roman"/>
          <w:color w:val="auto"/>
          <w:sz w:val="24"/>
          <w:szCs w:val="24"/>
          <w:highlight w:val="none"/>
          <w:vertAlign w:val="subscript"/>
        </w:rPr>
        <w:t>c</w:t>
      </w:r>
      <w:r>
        <w:rPr>
          <w:rFonts w:hint="default" w:ascii="Times New Roman" w:hAnsi="Times New Roman" w:eastAsia="宋体" w:cs="Times New Roman"/>
          <w:color w:val="auto"/>
          <w:sz w:val="24"/>
          <w:szCs w:val="24"/>
          <w:highlight w:val="none"/>
        </w:rPr>
        <w:t>为预制墩柱的最大直径或边长。</w:t>
      </w:r>
    </w:p>
    <w:p w14:paraId="62289DF2">
      <w:pPr>
        <w:pStyle w:val="2"/>
        <w:ind w:firstLine="0" w:firstLineChars="0"/>
        <w:jc w:val="center"/>
        <w:rPr>
          <w:color w:val="auto"/>
          <w:highlight w:val="none"/>
        </w:rPr>
      </w:pPr>
      <w:r>
        <w:rPr>
          <w:color w:val="auto"/>
          <w:highlight w:val="none"/>
        </w:rPr>
        <w:drawing>
          <wp:inline distT="0" distB="0" distL="114300" distR="114300">
            <wp:extent cx="1978025" cy="1889125"/>
            <wp:effectExtent l="0" t="0" r="3175" b="15875"/>
            <wp:docPr id="1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5"/>
                    <pic:cNvPicPr>
                      <a:picLocks noChangeAspect="1"/>
                    </pic:cNvPicPr>
                  </pic:nvPicPr>
                  <pic:blipFill>
                    <a:blip r:embed="rId63"/>
                    <a:stretch>
                      <a:fillRect/>
                    </a:stretch>
                  </pic:blipFill>
                  <pic:spPr>
                    <a:xfrm>
                      <a:off x="0" y="0"/>
                      <a:ext cx="1978025" cy="1889125"/>
                    </a:xfrm>
                    <a:prstGeom prst="rect">
                      <a:avLst/>
                    </a:prstGeom>
                    <a:noFill/>
                    <a:ln>
                      <a:noFill/>
                    </a:ln>
                  </pic:spPr>
                </pic:pic>
              </a:graphicData>
            </a:graphic>
          </wp:inline>
        </w:drawing>
      </w:r>
    </w:p>
    <w:p w14:paraId="67C685DC">
      <w:pPr>
        <w:snapToGrid w:val="0"/>
        <w:jc w:val="center"/>
        <w:rPr>
          <w:rFonts w:eastAsia="宋体"/>
          <w:color w:val="auto"/>
          <w:sz w:val="21"/>
          <w:szCs w:val="21"/>
          <w:highlight w:val="none"/>
        </w:rPr>
      </w:pPr>
      <w:r>
        <w:rPr>
          <w:rFonts w:hint="eastAsia" w:ascii="宋体" w:hAnsi="宋体" w:eastAsia="宋体" w:cs="宋体"/>
          <w:color w:val="auto"/>
          <w:sz w:val="21"/>
          <w:szCs w:val="21"/>
          <w:highlight w:val="none"/>
          <w:lang w:val="en-US" w:eastAsia="zh-CN"/>
        </w:rPr>
        <w:t>1 预制</w:t>
      </w:r>
      <w:r>
        <w:rPr>
          <w:rFonts w:hint="eastAsia" w:ascii="宋体" w:hAnsi="宋体" w:cs="宋体"/>
          <w:color w:val="auto"/>
          <w:sz w:val="21"/>
          <w:szCs w:val="21"/>
          <w:highlight w:val="none"/>
          <w:lang w:val="en-US" w:eastAsia="zh-CN"/>
        </w:rPr>
        <w:t>墩柱</w:t>
      </w:r>
      <w:r>
        <w:rPr>
          <w:rFonts w:hint="eastAsia" w:ascii="宋体" w:hAnsi="宋体" w:eastAsia="宋体" w:cs="宋体"/>
          <w:color w:val="auto"/>
          <w:sz w:val="21"/>
          <w:szCs w:val="21"/>
          <w:highlight w:val="none"/>
          <w:lang w:val="en-US" w:eastAsia="zh-CN"/>
        </w:rPr>
        <w:t xml:space="preserve">，2 </w:t>
      </w:r>
      <w:r>
        <w:rPr>
          <w:rFonts w:hint="eastAsia" w:ascii="宋体" w:hAnsi="宋体" w:cs="宋体"/>
          <w:color w:val="auto"/>
          <w:sz w:val="21"/>
          <w:szCs w:val="21"/>
          <w:highlight w:val="none"/>
          <w:lang w:val="en-US" w:eastAsia="zh-CN"/>
        </w:rPr>
        <w:t>预制承台</w:t>
      </w:r>
      <w:r>
        <w:rPr>
          <w:rFonts w:hint="eastAsia" w:ascii="宋体" w:hAnsi="宋体" w:eastAsia="宋体" w:cs="宋体"/>
          <w:color w:val="auto"/>
          <w:sz w:val="21"/>
          <w:szCs w:val="21"/>
          <w:highlight w:val="none"/>
          <w:lang w:val="en-US" w:eastAsia="zh-CN"/>
        </w:rPr>
        <w:t xml:space="preserve">，3 </w:t>
      </w:r>
      <w:r>
        <w:rPr>
          <w:rFonts w:hint="eastAsia" w:ascii="宋体" w:hAnsi="宋体" w:cs="宋体"/>
          <w:color w:val="auto"/>
          <w:sz w:val="21"/>
          <w:szCs w:val="21"/>
          <w:highlight w:val="none"/>
          <w:lang w:val="en-US" w:eastAsia="zh-CN"/>
        </w:rPr>
        <w:t>填芯混凝土，4 填充料</w:t>
      </w:r>
    </w:p>
    <w:p w14:paraId="76F20CA3">
      <w:pPr>
        <w:pStyle w:val="2"/>
        <w:spacing w:line="400" w:lineRule="exact"/>
        <w:ind w:firstLine="0" w:firstLineChars="0"/>
        <w:jc w:val="center"/>
        <w:rPr>
          <w:rFonts w:eastAsia="宋体"/>
          <w:color w:val="auto"/>
          <w:sz w:val="21"/>
          <w:szCs w:val="21"/>
          <w:highlight w:val="none"/>
        </w:rPr>
      </w:pPr>
      <w:r>
        <w:rPr>
          <w:rFonts w:eastAsia="宋体"/>
          <w:color w:val="auto"/>
          <w:sz w:val="21"/>
          <w:szCs w:val="21"/>
          <w:highlight w:val="none"/>
        </w:rPr>
        <w:t>图6.4.2</w:t>
      </w:r>
      <w:r>
        <w:rPr>
          <w:rFonts w:hint="eastAsia" w:eastAsia="宋体"/>
          <w:color w:val="auto"/>
          <w:sz w:val="21"/>
          <w:szCs w:val="21"/>
          <w:highlight w:val="none"/>
        </w:rPr>
        <w:t xml:space="preserve"> 承插式连接示意图</w:t>
      </w:r>
    </w:p>
    <w:p w14:paraId="645EAC29">
      <w:pPr>
        <w:pStyle w:val="2"/>
        <w:keepNext w:val="0"/>
        <w:keepLines w:val="0"/>
        <w:pageBreakBefore w:val="0"/>
        <w:widowControl w:val="0"/>
        <w:kinsoku/>
        <w:wordWrap/>
        <w:overflowPunct/>
        <w:topLinePunct w:val="0"/>
        <w:autoSpaceDE/>
        <w:autoSpaceDN/>
        <w:bidi w:val="0"/>
        <w:adjustRightInd/>
        <w:spacing w:line="360" w:lineRule="auto"/>
        <w:ind w:firstLine="0" w:firstLineChars="0"/>
        <w:textAlignment w:val="auto"/>
        <w:rPr>
          <w:rFonts w:ascii="Times New Roman" w:hAnsi="Times New Roman" w:eastAsia="宋体" w:cs="Times New Roman"/>
          <w:color w:val="auto"/>
          <w:sz w:val="24"/>
          <w:szCs w:val="24"/>
          <w:highlight w:val="none"/>
        </w:rPr>
      </w:pPr>
      <w:r>
        <w:rPr>
          <w:rFonts w:hint="eastAsia" w:eastAsia="宋体"/>
          <w:b/>
          <w:color w:val="auto"/>
          <w:sz w:val="24"/>
          <w:szCs w:val="24"/>
          <w:highlight w:val="none"/>
        </w:rPr>
        <w:t>6.4</w:t>
      </w:r>
      <w:r>
        <w:rPr>
          <w:rFonts w:eastAsia="宋体"/>
          <w:b/>
          <w:color w:val="auto"/>
          <w:sz w:val="24"/>
          <w:szCs w:val="24"/>
          <w:highlight w:val="none"/>
        </w:rPr>
        <w:t>.3</w:t>
      </w:r>
      <w:r>
        <w:rPr>
          <w:rFonts w:eastAsia="宋体"/>
          <w:bCs/>
          <w:color w:val="auto"/>
          <w:sz w:val="24"/>
          <w:szCs w:val="24"/>
          <w:highlight w:val="none"/>
        </w:rPr>
        <w:t xml:space="preserve">  承插孔填充料宜选用高强水泥基灌浆料或高强无收缩混凝土，填充料</w:t>
      </w:r>
      <w:r>
        <w:rPr>
          <w:rFonts w:hint="eastAsia" w:eastAsia="宋体"/>
          <w:bCs/>
          <w:color w:val="auto"/>
          <w:sz w:val="24"/>
          <w:szCs w:val="24"/>
          <w:highlight w:val="none"/>
        </w:rPr>
        <w:t>的</w:t>
      </w:r>
      <w:r>
        <w:rPr>
          <w:rFonts w:eastAsia="宋体"/>
          <w:bCs/>
          <w:color w:val="auto"/>
          <w:sz w:val="24"/>
          <w:szCs w:val="24"/>
          <w:highlight w:val="none"/>
        </w:rPr>
        <w:t>混凝土强度等级</w:t>
      </w:r>
      <w:r>
        <w:rPr>
          <w:rFonts w:hint="eastAsia" w:eastAsia="宋体"/>
          <w:bCs/>
          <w:color w:val="auto"/>
          <w:sz w:val="24"/>
          <w:szCs w:val="24"/>
          <w:highlight w:val="none"/>
        </w:rPr>
        <w:t>应至少高出</w:t>
      </w:r>
      <w:r>
        <w:rPr>
          <w:rFonts w:eastAsia="宋体"/>
          <w:bCs/>
          <w:color w:val="auto"/>
          <w:sz w:val="24"/>
          <w:szCs w:val="24"/>
          <w:highlight w:val="none"/>
        </w:rPr>
        <w:t>承台混凝土强度</w:t>
      </w:r>
      <w:r>
        <w:rPr>
          <w:rFonts w:hint="eastAsia" w:eastAsia="宋体"/>
          <w:bCs/>
          <w:color w:val="auto"/>
          <w:sz w:val="24"/>
          <w:szCs w:val="24"/>
          <w:highlight w:val="none"/>
        </w:rPr>
        <w:t>一个等级</w:t>
      </w:r>
      <w:r>
        <w:rPr>
          <w:rFonts w:eastAsia="宋体"/>
          <w:bCs/>
          <w:color w:val="auto"/>
          <w:sz w:val="24"/>
          <w:szCs w:val="24"/>
          <w:highlight w:val="none"/>
        </w:rPr>
        <w:t>。</w:t>
      </w:r>
    </w:p>
    <w:p w14:paraId="0963040C">
      <w:pPr>
        <w:keepNext w:val="0"/>
        <w:keepLines w:val="0"/>
        <w:pageBreakBefore w:val="0"/>
        <w:widowControl w:val="0"/>
        <w:kinsoku/>
        <w:wordWrap/>
        <w:overflowPunct/>
        <w:topLinePunct w:val="0"/>
        <w:autoSpaceDE/>
        <w:autoSpaceDN/>
        <w:bidi w:val="0"/>
        <w:adjustRightInd/>
        <w:snapToGrid w:val="0"/>
        <w:spacing w:line="360" w:lineRule="auto"/>
        <w:textAlignment w:val="auto"/>
        <w:rPr>
          <w:b/>
          <w:color w:val="auto"/>
          <w:sz w:val="24"/>
          <w:szCs w:val="24"/>
          <w:highlight w:val="none"/>
        </w:rPr>
      </w:pPr>
      <w:r>
        <w:rPr>
          <w:rFonts w:hint="eastAsia"/>
          <w:b/>
          <w:color w:val="auto"/>
          <w:sz w:val="24"/>
          <w:szCs w:val="24"/>
          <w:highlight w:val="none"/>
        </w:rPr>
        <w:t>6.4</w:t>
      </w:r>
      <w:r>
        <w:rPr>
          <w:b/>
          <w:color w:val="auto"/>
          <w:sz w:val="24"/>
          <w:szCs w:val="24"/>
          <w:highlight w:val="none"/>
        </w:rPr>
        <w:t>.</w:t>
      </w:r>
      <w:r>
        <w:rPr>
          <w:rFonts w:hint="eastAsia"/>
          <w:b/>
          <w:color w:val="auto"/>
          <w:sz w:val="24"/>
          <w:szCs w:val="24"/>
          <w:highlight w:val="none"/>
        </w:rPr>
        <w:t>4</w:t>
      </w:r>
      <w:r>
        <w:rPr>
          <w:b/>
          <w:color w:val="auto"/>
          <w:sz w:val="24"/>
          <w:szCs w:val="24"/>
          <w:highlight w:val="none"/>
        </w:rPr>
        <w:t xml:space="preserve"> </w:t>
      </w:r>
      <w:r>
        <w:rPr>
          <w:rFonts w:hint="eastAsia"/>
          <w:b/>
          <w:color w:val="auto"/>
          <w:sz w:val="24"/>
          <w:szCs w:val="24"/>
          <w:highlight w:val="none"/>
        </w:rPr>
        <w:t xml:space="preserve"> </w:t>
      </w:r>
      <w:r>
        <w:rPr>
          <w:bCs/>
          <w:color w:val="auto"/>
          <w:sz w:val="24"/>
          <w:szCs w:val="24"/>
          <w:highlight w:val="none"/>
        </w:rPr>
        <w:t>预制墩柱与承插孔壁的最小间隙宽度不宜小于50mm且不宜大于400mm。</w:t>
      </w:r>
      <w:r>
        <w:rPr>
          <w:rFonts w:hint="eastAsia"/>
          <w:bCs/>
          <w:color w:val="auto"/>
          <w:sz w:val="24"/>
          <w:szCs w:val="24"/>
          <w:highlight w:val="none"/>
          <w:lang w:eastAsia="zh-CN"/>
        </w:rPr>
        <w:t>间隙内</w:t>
      </w:r>
      <w:r>
        <w:rPr>
          <w:bCs/>
          <w:color w:val="auto"/>
          <w:sz w:val="24"/>
          <w:szCs w:val="24"/>
          <w:highlight w:val="none"/>
        </w:rPr>
        <w:t>承插孔壁上应设置键槽</w:t>
      </w:r>
      <w:r>
        <w:rPr>
          <w:rFonts w:hint="eastAsia"/>
          <w:bCs/>
          <w:color w:val="auto"/>
          <w:sz w:val="24"/>
          <w:szCs w:val="24"/>
          <w:highlight w:val="none"/>
          <w:lang w:eastAsia="zh-CN"/>
        </w:rPr>
        <w:t>，且</w:t>
      </w:r>
      <w:r>
        <w:rPr>
          <w:bCs/>
          <w:color w:val="auto"/>
          <w:sz w:val="24"/>
          <w:szCs w:val="24"/>
          <w:highlight w:val="none"/>
        </w:rPr>
        <w:t>当间隙宽度大于200mm时，</w:t>
      </w:r>
      <w:r>
        <w:rPr>
          <w:rFonts w:hint="eastAsia"/>
          <w:bCs/>
          <w:color w:val="auto"/>
          <w:sz w:val="24"/>
          <w:szCs w:val="24"/>
          <w:highlight w:val="none"/>
          <w:lang w:eastAsia="zh-CN"/>
        </w:rPr>
        <w:t>应</w:t>
      </w:r>
      <w:r>
        <w:rPr>
          <w:bCs/>
          <w:color w:val="auto"/>
          <w:sz w:val="24"/>
          <w:szCs w:val="24"/>
          <w:highlight w:val="none"/>
        </w:rPr>
        <w:t>在间隙内配置加强钢筋，并与承台钢筋连接。</w:t>
      </w:r>
    </w:p>
    <w:p w14:paraId="6D127E88">
      <w:pPr>
        <w:snapToGrid w:val="0"/>
        <w:jc w:val="center"/>
        <w:rPr>
          <w:color w:val="auto"/>
          <w:szCs w:val="21"/>
          <w:highlight w:val="none"/>
        </w:rPr>
      </w:pPr>
      <w:r>
        <w:rPr>
          <w:color w:val="auto"/>
          <w:highlight w:val="none"/>
        </w:rPr>
        <w:drawing>
          <wp:inline distT="0" distB="0" distL="114300" distR="114300">
            <wp:extent cx="1763395" cy="1624965"/>
            <wp:effectExtent l="0" t="0" r="8255" b="13335"/>
            <wp:docPr id="1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6"/>
                    <pic:cNvPicPr>
                      <a:picLocks noChangeAspect="1"/>
                    </pic:cNvPicPr>
                  </pic:nvPicPr>
                  <pic:blipFill>
                    <a:blip r:embed="rId64"/>
                    <a:stretch>
                      <a:fillRect/>
                    </a:stretch>
                  </pic:blipFill>
                  <pic:spPr>
                    <a:xfrm>
                      <a:off x="0" y="0"/>
                      <a:ext cx="1763395" cy="1624965"/>
                    </a:xfrm>
                    <a:prstGeom prst="rect">
                      <a:avLst/>
                    </a:prstGeom>
                    <a:noFill/>
                    <a:ln>
                      <a:noFill/>
                    </a:ln>
                  </pic:spPr>
                </pic:pic>
              </a:graphicData>
            </a:graphic>
          </wp:inline>
        </w:drawing>
      </w:r>
      <w:r>
        <w:rPr>
          <w:rFonts w:hint="eastAsia"/>
          <w:color w:val="auto"/>
          <w:szCs w:val="21"/>
          <w:highlight w:val="none"/>
        </w:rPr>
        <w:t xml:space="preserve">    </w:t>
      </w:r>
      <w:r>
        <w:rPr>
          <w:rFonts w:hint="eastAsia"/>
          <w:color w:val="auto"/>
          <w:szCs w:val="21"/>
          <w:highlight w:val="none"/>
          <w:lang w:val="en-US" w:eastAsia="zh-CN"/>
        </w:rPr>
        <w:t xml:space="preserve">   </w:t>
      </w:r>
      <w:r>
        <w:rPr>
          <w:rFonts w:hint="eastAsia"/>
          <w:color w:val="auto"/>
          <w:szCs w:val="21"/>
          <w:highlight w:val="none"/>
        </w:rPr>
        <w:t xml:space="preserve">   </w:t>
      </w:r>
      <w:r>
        <w:rPr>
          <w:color w:val="auto"/>
          <w:highlight w:val="none"/>
        </w:rPr>
        <w:drawing>
          <wp:inline distT="0" distB="0" distL="114300" distR="114300">
            <wp:extent cx="1949450" cy="1668145"/>
            <wp:effectExtent l="0" t="0" r="12700" b="8255"/>
            <wp:docPr id="1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7"/>
                    <pic:cNvPicPr>
                      <a:picLocks noChangeAspect="1"/>
                    </pic:cNvPicPr>
                  </pic:nvPicPr>
                  <pic:blipFill>
                    <a:blip r:embed="rId65"/>
                    <a:stretch>
                      <a:fillRect/>
                    </a:stretch>
                  </pic:blipFill>
                  <pic:spPr>
                    <a:xfrm>
                      <a:off x="0" y="0"/>
                      <a:ext cx="1949450" cy="1668145"/>
                    </a:xfrm>
                    <a:prstGeom prst="rect">
                      <a:avLst/>
                    </a:prstGeom>
                    <a:noFill/>
                    <a:ln>
                      <a:noFill/>
                    </a:ln>
                  </pic:spPr>
                </pic:pic>
              </a:graphicData>
            </a:graphic>
          </wp:inline>
        </w:drawing>
      </w:r>
      <w:r>
        <w:rPr>
          <w:color w:val="auto"/>
          <w:szCs w:val="21"/>
          <w:highlight w:val="none"/>
        </w:rPr>
        <w:t xml:space="preserve">     </w:t>
      </w:r>
    </w:p>
    <w:p w14:paraId="4F13F7D0">
      <w:pPr>
        <w:pStyle w:val="2"/>
        <w:spacing w:line="400" w:lineRule="exact"/>
        <w:ind w:firstLine="0" w:firstLineChars="0"/>
        <w:jc w:val="center"/>
        <w:rPr>
          <w:rFonts w:eastAsia="宋体"/>
          <w:color w:val="auto"/>
          <w:sz w:val="21"/>
          <w:szCs w:val="21"/>
          <w:highlight w:val="none"/>
        </w:rPr>
      </w:pPr>
      <w:r>
        <w:rPr>
          <w:rFonts w:eastAsia="宋体"/>
          <w:color w:val="auto"/>
          <w:sz w:val="21"/>
          <w:szCs w:val="21"/>
          <w:highlight w:val="none"/>
        </w:rPr>
        <w:t xml:space="preserve">a）间隙宽度≥200mm  </w:t>
      </w:r>
      <w:r>
        <w:rPr>
          <w:rFonts w:hint="eastAsia" w:eastAsia="宋体"/>
          <w:color w:val="auto"/>
          <w:sz w:val="21"/>
          <w:szCs w:val="21"/>
          <w:highlight w:val="none"/>
        </w:rPr>
        <w:t xml:space="preserve">      </w:t>
      </w:r>
      <w:r>
        <w:rPr>
          <w:rFonts w:eastAsia="宋体"/>
          <w:color w:val="auto"/>
          <w:sz w:val="21"/>
          <w:szCs w:val="21"/>
          <w:highlight w:val="none"/>
        </w:rPr>
        <w:t xml:space="preserve">       b）间隙宽度＜200mm</w:t>
      </w:r>
    </w:p>
    <w:p w14:paraId="386C6844">
      <w:pPr>
        <w:pStyle w:val="2"/>
        <w:spacing w:line="400" w:lineRule="exact"/>
        <w:ind w:firstLine="0" w:firstLineChars="0"/>
        <w:jc w:val="center"/>
        <w:rPr>
          <w:rFonts w:hint="eastAsia" w:ascii="宋体" w:hAnsi="宋体" w:eastAsia="宋体" w:cs="宋体"/>
          <w:color w:val="auto"/>
          <w:sz w:val="21"/>
          <w:szCs w:val="21"/>
          <w:highlight w:val="none"/>
          <w:lang w:val="en-US"/>
        </w:rPr>
      </w:pPr>
      <w:r>
        <w:rPr>
          <w:rFonts w:hint="eastAsia" w:ascii="宋体" w:hAnsi="宋体" w:eastAsia="宋体" w:cs="宋体"/>
          <w:color w:val="auto"/>
          <w:sz w:val="21"/>
          <w:szCs w:val="21"/>
          <w:highlight w:val="none"/>
          <w:lang w:val="en-US" w:eastAsia="zh-CN"/>
        </w:rPr>
        <w:t>1 预制墩柱，2 预制承台，3 预制管桩，4 填充料，5 调平层</w:t>
      </w:r>
    </w:p>
    <w:p w14:paraId="19A112A5">
      <w:pPr>
        <w:pStyle w:val="2"/>
        <w:spacing w:line="400" w:lineRule="exact"/>
        <w:ind w:firstLine="0" w:firstLineChars="0"/>
        <w:jc w:val="center"/>
        <w:rPr>
          <w:rFonts w:eastAsia="宋体"/>
          <w:color w:val="auto"/>
          <w:sz w:val="21"/>
          <w:szCs w:val="21"/>
          <w:highlight w:val="none"/>
        </w:rPr>
      </w:pPr>
      <w:r>
        <w:rPr>
          <w:rFonts w:hint="eastAsia" w:eastAsia="宋体"/>
          <w:color w:val="auto"/>
          <w:sz w:val="21"/>
          <w:szCs w:val="21"/>
          <w:highlight w:val="none"/>
        </w:rPr>
        <w:t xml:space="preserve">图6.4.4 承插式连接间隙构造示意图 </w:t>
      </w:r>
    </w:p>
    <w:p w14:paraId="006BC1EF">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6.4</w:t>
      </w:r>
      <w:r>
        <w:rPr>
          <w:b/>
          <w:color w:val="auto"/>
          <w:sz w:val="24"/>
          <w:szCs w:val="24"/>
          <w:highlight w:val="none"/>
        </w:rPr>
        <w:t>.</w:t>
      </w:r>
      <w:r>
        <w:rPr>
          <w:rFonts w:hint="eastAsia"/>
          <w:b/>
          <w:color w:val="auto"/>
          <w:sz w:val="24"/>
          <w:szCs w:val="24"/>
          <w:highlight w:val="none"/>
        </w:rPr>
        <w:t>5</w:t>
      </w:r>
      <w:r>
        <w:rPr>
          <w:b/>
          <w:color w:val="auto"/>
          <w:sz w:val="24"/>
          <w:szCs w:val="24"/>
          <w:highlight w:val="none"/>
        </w:rPr>
        <w:t xml:space="preserve">  </w:t>
      </w:r>
      <w:r>
        <w:rPr>
          <w:bCs/>
          <w:color w:val="auto"/>
          <w:sz w:val="24"/>
          <w:szCs w:val="24"/>
          <w:highlight w:val="none"/>
        </w:rPr>
        <w:t>预制墩柱插入段表面与承插孔壁表面应均匀设置键槽，键槽深度h</w:t>
      </w:r>
      <w:r>
        <w:rPr>
          <w:bCs/>
          <w:color w:val="auto"/>
          <w:sz w:val="24"/>
          <w:szCs w:val="24"/>
          <w:highlight w:val="none"/>
          <w:vertAlign w:val="subscript"/>
        </w:rPr>
        <w:t>1</w:t>
      </w:r>
      <w:r>
        <w:rPr>
          <w:bCs/>
          <w:color w:val="auto"/>
          <w:sz w:val="24"/>
          <w:szCs w:val="24"/>
          <w:highlight w:val="none"/>
        </w:rPr>
        <w:t xml:space="preserve"> 不宜小于30mm，并应采用梯形截面构造（倾角接近45°）。键槽凹面和凸面的长度b</w:t>
      </w:r>
      <w:r>
        <w:rPr>
          <w:bCs/>
          <w:color w:val="auto"/>
          <w:sz w:val="24"/>
          <w:szCs w:val="24"/>
          <w:highlight w:val="none"/>
          <w:vertAlign w:val="subscript"/>
        </w:rPr>
        <w:t>1</w:t>
      </w:r>
      <w:r>
        <w:rPr>
          <w:bCs/>
          <w:color w:val="auto"/>
          <w:sz w:val="24"/>
          <w:szCs w:val="24"/>
          <w:highlight w:val="none"/>
        </w:rPr>
        <w:t xml:space="preserve"> 宜为深度h</w:t>
      </w:r>
      <w:r>
        <w:rPr>
          <w:bCs/>
          <w:color w:val="auto"/>
          <w:sz w:val="24"/>
          <w:szCs w:val="24"/>
          <w:highlight w:val="none"/>
          <w:vertAlign w:val="subscript"/>
        </w:rPr>
        <w:t>1</w:t>
      </w:r>
      <w:r>
        <w:rPr>
          <w:bCs/>
          <w:color w:val="auto"/>
          <w:sz w:val="24"/>
          <w:szCs w:val="24"/>
          <w:highlight w:val="none"/>
        </w:rPr>
        <w:t>的2倍。承插孔壁上端预制墩柱键槽的起凹点距离承插孔台顶面的距离c</w:t>
      </w:r>
      <w:r>
        <w:rPr>
          <w:bCs/>
          <w:color w:val="auto"/>
          <w:sz w:val="24"/>
          <w:szCs w:val="24"/>
          <w:highlight w:val="none"/>
          <w:vertAlign w:val="subscript"/>
        </w:rPr>
        <w:t>1</w:t>
      </w:r>
      <w:r>
        <w:rPr>
          <w:bCs/>
          <w:color w:val="auto"/>
          <w:sz w:val="24"/>
          <w:szCs w:val="24"/>
          <w:highlight w:val="none"/>
        </w:rPr>
        <w:t xml:space="preserve"> 应不小于50mm。</w:t>
      </w:r>
    </w:p>
    <w:p w14:paraId="09EBA590">
      <w:pPr>
        <w:pStyle w:val="2"/>
        <w:keepNext w:val="0"/>
        <w:keepLines w:val="0"/>
        <w:pageBreakBefore w:val="0"/>
        <w:widowControl w:val="0"/>
        <w:kinsoku/>
        <w:wordWrap/>
        <w:overflowPunct/>
        <w:topLinePunct w:val="0"/>
        <w:autoSpaceDE/>
        <w:autoSpaceDN/>
        <w:bidi w:val="0"/>
        <w:adjustRightInd/>
        <w:spacing w:line="360" w:lineRule="auto"/>
        <w:ind w:firstLine="0" w:firstLineChars="0"/>
        <w:textAlignment w:val="auto"/>
        <w:rPr>
          <w:rFonts w:hint="eastAsia" w:eastAsia="宋体"/>
          <w:bCs/>
          <w:color w:val="auto"/>
          <w:sz w:val="24"/>
          <w:szCs w:val="24"/>
          <w:highlight w:val="none"/>
        </w:rPr>
      </w:pPr>
      <w:r>
        <w:rPr>
          <w:rFonts w:hint="eastAsia" w:eastAsia="宋体"/>
          <w:b/>
          <w:color w:val="auto"/>
          <w:sz w:val="24"/>
          <w:szCs w:val="24"/>
          <w:highlight w:val="none"/>
        </w:rPr>
        <w:t>6.4</w:t>
      </w:r>
      <w:r>
        <w:rPr>
          <w:rFonts w:eastAsia="宋体"/>
          <w:b/>
          <w:color w:val="auto"/>
          <w:sz w:val="24"/>
          <w:szCs w:val="24"/>
          <w:highlight w:val="none"/>
        </w:rPr>
        <w:t>.6</w:t>
      </w:r>
      <w:r>
        <w:rPr>
          <w:rFonts w:eastAsia="宋体"/>
          <w:bCs/>
          <w:color w:val="auto"/>
          <w:sz w:val="24"/>
          <w:szCs w:val="24"/>
          <w:highlight w:val="none"/>
        </w:rPr>
        <w:t xml:space="preserve">  承插孔距离承台、盖梁周边距离a</w:t>
      </w:r>
      <w:r>
        <w:rPr>
          <w:rFonts w:eastAsia="宋体"/>
          <w:bCs/>
          <w:color w:val="auto"/>
          <w:sz w:val="24"/>
          <w:szCs w:val="24"/>
          <w:highlight w:val="none"/>
          <w:vertAlign w:val="subscript"/>
        </w:rPr>
        <w:t>c</w:t>
      </w:r>
      <w:r>
        <w:rPr>
          <w:rFonts w:eastAsia="宋体"/>
          <w:bCs/>
          <w:color w:val="auto"/>
          <w:sz w:val="24"/>
          <w:szCs w:val="24"/>
          <w:highlight w:val="none"/>
        </w:rPr>
        <w:t>及承插孔底（顶）部距离承台、盖梁底（顶）的厚度t应满足下表要求。</w:t>
      </w:r>
    </w:p>
    <w:p w14:paraId="4A854D04">
      <w:pPr>
        <w:pStyle w:val="2"/>
        <w:spacing w:line="400" w:lineRule="exact"/>
        <w:ind w:firstLine="0" w:firstLineChars="0"/>
        <w:jc w:val="right"/>
        <w:rPr>
          <w:rFonts w:eastAsia="宋体"/>
          <w:bCs/>
          <w:color w:val="auto"/>
          <w:sz w:val="21"/>
          <w:szCs w:val="21"/>
          <w:highlight w:val="none"/>
        </w:rPr>
      </w:pPr>
      <w:r>
        <w:rPr>
          <w:rFonts w:hint="eastAsia" w:ascii="黑体" w:hAnsi="黑体" w:eastAsia="黑体" w:cs="黑体"/>
          <w:bCs/>
          <w:color w:val="auto"/>
          <w:sz w:val="21"/>
          <w:szCs w:val="21"/>
          <w:highlight w:val="none"/>
        </w:rPr>
        <w:t xml:space="preserve">表6.4.6 承插式连接尺寸表  </w:t>
      </w:r>
      <w:r>
        <w:rPr>
          <w:rFonts w:eastAsia="宋体"/>
          <w:bCs/>
          <w:color w:val="auto"/>
          <w:sz w:val="21"/>
          <w:szCs w:val="21"/>
          <w:highlight w:val="none"/>
        </w:rPr>
        <w:t xml:space="preserve">    </w:t>
      </w:r>
      <w:r>
        <w:rPr>
          <w:rFonts w:hint="eastAsia" w:eastAsia="宋体"/>
          <w:bCs/>
          <w:color w:val="auto"/>
          <w:sz w:val="21"/>
          <w:szCs w:val="21"/>
          <w:highlight w:val="none"/>
        </w:rPr>
        <w:t xml:space="preserve">      </w:t>
      </w:r>
      <w:r>
        <w:rPr>
          <w:rFonts w:eastAsia="宋体"/>
          <w:bCs/>
          <w:color w:val="auto"/>
          <w:sz w:val="21"/>
          <w:szCs w:val="21"/>
          <w:highlight w:val="none"/>
        </w:rPr>
        <w:t xml:space="preserve">     </w:t>
      </w:r>
      <w:r>
        <w:rPr>
          <w:rFonts w:hint="eastAsia" w:ascii="黑体" w:hAnsi="黑体" w:eastAsia="黑体" w:cs="黑体"/>
          <w:bCs/>
          <w:color w:val="auto"/>
          <w:sz w:val="21"/>
          <w:szCs w:val="21"/>
          <w:highlight w:val="none"/>
        </w:rPr>
        <w:t xml:space="preserve">  (单位：mm)</w:t>
      </w:r>
    </w:p>
    <w:tbl>
      <w:tblPr>
        <w:tblStyle w:val="40"/>
        <w:tblpPr w:leftFromText="180" w:rightFromText="180" w:vertAnchor="text" w:horzAnchor="page" w:tblpX="1396" w:tblpY="389"/>
        <w:tblOverlap w:val="never"/>
        <w:tblW w:w="92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9"/>
        <w:gridCol w:w="3390"/>
        <w:gridCol w:w="3399"/>
      </w:tblGrid>
      <w:tr w14:paraId="2FFC6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14:paraId="1D354261">
            <w:pPr>
              <w:pStyle w:val="2"/>
              <w:adjustRightInd w:val="0"/>
              <w:snapToGrid w:val="0"/>
              <w:spacing w:line="400" w:lineRule="exact"/>
              <w:jc w:val="center"/>
              <w:rPr>
                <w:rFonts w:hint="eastAsia" w:ascii="Times New Roman" w:eastAsia="宋体"/>
                <w:bCs/>
                <w:color w:val="auto"/>
                <w:sz w:val="21"/>
                <w:szCs w:val="21"/>
                <w:highlight w:val="none"/>
              </w:rPr>
            </w:pPr>
            <w:r>
              <w:rPr>
                <w:rFonts w:ascii="Times New Roman" w:eastAsia="宋体"/>
                <w:bCs/>
                <w:i/>
                <w:iCs/>
                <w:color w:val="auto"/>
                <w:sz w:val="21"/>
                <w:szCs w:val="21"/>
                <w:highlight w:val="none"/>
              </w:rPr>
              <w:t>D</w:t>
            </w:r>
            <w:r>
              <w:rPr>
                <w:rFonts w:hint="eastAsia" w:eastAsia="宋体"/>
                <w:bCs/>
                <w:i w:val="0"/>
                <w:iCs w:val="0"/>
                <w:color w:val="auto"/>
                <w:sz w:val="21"/>
                <w:szCs w:val="21"/>
                <w:highlight w:val="none"/>
                <w:vertAlign w:val="subscript"/>
                <w:lang w:val="en-US" w:eastAsia="zh-CN"/>
              </w:rPr>
              <w:t>c</w:t>
            </w:r>
          </w:p>
        </w:tc>
        <w:tc>
          <w:tcPr>
            <w:tcW w:w="3390" w:type="dxa"/>
            <w:vAlign w:val="center"/>
          </w:tcPr>
          <w:p w14:paraId="50B006C6">
            <w:pPr>
              <w:pStyle w:val="2"/>
              <w:adjustRightInd w:val="0"/>
              <w:snapToGrid w:val="0"/>
              <w:spacing w:line="400" w:lineRule="exact"/>
              <w:jc w:val="center"/>
              <w:rPr>
                <w:rFonts w:ascii="Times New Roman" w:eastAsia="宋体"/>
                <w:bCs/>
                <w:color w:val="auto"/>
                <w:sz w:val="21"/>
                <w:szCs w:val="21"/>
                <w:highlight w:val="none"/>
              </w:rPr>
            </w:pPr>
            <w:r>
              <w:rPr>
                <w:rFonts w:ascii="Times New Roman" w:eastAsia="宋体"/>
                <w:bCs/>
                <w:i/>
                <w:iCs/>
                <w:color w:val="auto"/>
                <w:sz w:val="21"/>
                <w:szCs w:val="21"/>
                <w:highlight w:val="none"/>
              </w:rPr>
              <w:t>a</w:t>
            </w:r>
            <w:r>
              <w:rPr>
                <w:rFonts w:ascii="Times New Roman" w:eastAsia="宋体"/>
                <w:bCs/>
                <w:color w:val="auto"/>
                <w:sz w:val="21"/>
                <w:szCs w:val="21"/>
                <w:highlight w:val="none"/>
                <w:vertAlign w:val="subscript"/>
              </w:rPr>
              <w:t>c</w:t>
            </w:r>
          </w:p>
        </w:tc>
        <w:tc>
          <w:tcPr>
            <w:tcW w:w="3399" w:type="dxa"/>
            <w:vAlign w:val="center"/>
          </w:tcPr>
          <w:p w14:paraId="71545201">
            <w:pPr>
              <w:pStyle w:val="2"/>
              <w:adjustRightInd w:val="0"/>
              <w:snapToGrid w:val="0"/>
              <w:spacing w:line="400" w:lineRule="exact"/>
              <w:jc w:val="center"/>
              <w:rPr>
                <w:rFonts w:ascii="Times New Roman" w:eastAsia="宋体"/>
                <w:bCs/>
                <w:color w:val="auto"/>
                <w:sz w:val="21"/>
                <w:szCs w:val="21"/>
                <w:highlight w:val="none"/>
              </w:rPr>
            </w:pPr>
            <w:r>
              <w:rPr>
                <w:rFonts w:ascii="Times New Roman" w:eastAsia="宋体"/>
                <w:bCs/>
                <w:i/>
                <w:iCs/>
                <w:color w:val="auto"/>
                <w:sz w:val="21"/>
                <w:szCs w:val="21"/>
                <w:highlight w:val="none"/>
              </w:rPr>
              <w:t>t</w:t>
            </w:r>
          </w:p>
        </w:tc>
      </w:tr>
      <w:tr w14:paraId="13C20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14:paraId="58FD114F">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12"/>
                <w:sz w:val="21"/>
                <w:szCs w:val="21"/>
                <w:highlight w:val="none"/>
              </w:rPr>
              <w:object>
                <v:shape id="_x0000_i1048" o:spt="75" type="#_x0000_t75" style="height:15.95pt;width:42.95pt;" o:ole="t" filled="f" o:preferrelative="t" stroked="f" coordsize="21600,21600">
                  <v:path/>
                  <v:fill on="f" focussize="0,0"/>
                  <v:stroke on="f" joinstyle="miter"/>
                  <v:imagedata r:id="rId67" o:title=""/>
                  <o:lock v:ext="edit" aspectratio="t"/>
                  <w10:wrap type="none"/>
                  <w10:anchorlock/>
                </v:shape>
                <o:OLEObject Type="Embed" ProgID="Equation.DSMT4" ShapeID="_x0000_i1048" DrawAspect="Content" ObjectID="_1468075748" r:id="rId66">
                  <o:LockedField>false</o:LockedField>
                </o:OLEObject>
              </w:object>
            </w:r>
          </w:p>
        </w:tc>
        <w:tc>
          <w:tcPr>
            <w:tcW w:w="3390" w:type="dxa"/>
            <w:vAlign w:val="center"/>
          </w:tcPr>
          <w:p w14:paraId="73862AA1">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12"/>
                <w:sz w:val="21"/>
                <w:szCs w:val="21"/>
                <w:highlight w:val="none"/>
              </w:rPr>
              <w:object>
                <v:shape id="_x0000_i1049" o:spt="75" type="#_x0000_t75" style="height:17.2pt;width:46.75pt;" o:ole="t" filled="f" o:preferrelative="t" stroked="f" coordsize="21600,21600">
                  <v:path/>
                  <v:fill on="f" focussize="0,0"/>
                  <v:stroke on="f" joinstyle="miter"/>
                  <v:imagedata r:id="rId69" o:title=""/>
                  <o:lock v:ext="edit" aspectratio="t"/>
                  <w10:wrap type="none"/>
                  <w10:anchorlock/>
                </v:shape>
                <o:OLEObject Type="Embed" ProgID="Equation.DSMT4" ShapeID="_x0000_i1049" DrawAspect="Content" ObjectID="_1468075749" r:id="rId68">
                  <o:LockedField>false</o:LockedField>
                </o:OLEObject>
              </w:object>
            </w:r>
          </w:p>
        </w:tc>
        <w:tc>
          <w:tcPr>
            <w:tcW w:w="3399" w:type="dxa"/>
            <w:vAlign w:val="center"/>
          </w:tcPr>
          <w:p w14:paraId="671F3E8E">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6"/>
                <w:sz w:val="21"/>
                <w:szCs w:val="21"/>
                <w:highlight w:val="none"/>
              </w:rPr>
              <w:object>
                <v:shape id="_x0000_i1050" o:spt="75" type="#_x0000_t75" style="height:13.95pt;width:37.15pt;" o:ole="t" filled="f" o:preferrelative="t" stroked="f" coordsize="21600,21600">
                  <v:path/>
                  <v:fill on="f" focussize="0,0"/>
                  <v:stroke on="f"/>
                  <v:imagedata r:id="rId71" o:title=""/>
                  <o:lock v:ext="edit" aspectratio="t"/>
                  <w10:wrap type="none"/>
                  <w10:anchorlock/>
                </v:shape>
                <o:OLEObject Type="Embed" ProgID="Equation.DSMT4" ShapeID="_x0000_i1050" DrawAspect="Content" ObjectID="_1468075750" r:id="rId70">
                  <o:LockedField>false</o:LockedField>
                </o:OLEObject>
              </w:object>
            </w:r>
          </w:p>
        </w:tc>
      </w:tr>
      <w:tr w14:paraId="33088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14:paraId="1C280ABE">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12"/>
                <w:sz w:val="21"/>
                <w:szCs w:val="21"/>
                <w:highlight w:val="none"/>
              </w:rPr>
              <w:object>
                <v:shape id="_x0000_i1051" o:spt="75" type="#_x0000_t75" style="height:15.95pt;width:74.65pt;" o:ole="t" filled="f" o:preferrelative="t" stroked="f" coordsize="21600,21600">
                  <v:path/>
                  <v:fill on="f" focussize="0,0"/>
                  <v:stroke on="f" joinstyle="miter"/>
                  <v:imagedata r:id="rId73" o:title=""/>
                  <o:lock v:ext="edit" aspectratio="t"/>
                  <w10:wrap type="none"/>
                  <w10:anchorlock/>
                </v:shape>
                <o:OLEObject Type="Embed" ProgID="Equation.DSMT4" ShapeID="_x0000_i1051" DrawAspect="Content" ObjectID="_1468075751" r:id="rId72">
                  <o:LockedField>false</o:LockedField>
                </o:OLEObject>
              </w:object>
            </w:r>
          </w:p>
        </w:tc>
        <w:tc>
          <w:tcPr>
            <w:tcW w:w="3390" w:type="dxa"/>
            <w:vAlign w:val="center"/>
          </w:tcPr>
          <w:p w14:paraId="17307FDD">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12"/>
                <w:sz w:val="21"/>
                <w:szCs w:val="21"/>
                <w:highlight w:val="none"/>
              </w:rPr>
              <w:object>
                <v:shape id="_x0000_i1052" o:spt="75" type="#_x0000_t75" style="height:17.2pt;width:46.75pt;" o:ole="t" filled="f" o:preferrelative="t" stroked="f" coordsize="21600,21600">
                  <v:path/>
                  <v:fill on="f" focussize="0,0"/>
                  <v:stroke on="f" joinstyle="miter"/>
                  <v:imagedata r:id="rId75" o:title=""/>
                  <o:lock v:ext="edit" aspectratio="t"/>
                  <w10:wrap type="none"/>
                  <w10:anchorlock/>
                </v:shape>
                <o:OLEObject Type="Embed" ProgID="Equation.DSMT4" ShapeID="_x0000_i1052" DrawAspect="Content" ObjectID="_1468075752" r:id="rId74">
                  <o:LockedField>false</o:LockedField>
                </o:OLEObject>
              </w:object>
            </w:r>
          </w:p>
        </w:tc>
        <w:tc>
          <w:tcPr>
            <w:tcW w:w="3399" w:type="dxa"/>
            <w:vAlign w:val="center"/>
          </w:tcPr>
          <w:p w14:paraId="1C322E46">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6"/>
                <w:sz w:val="21"/>
                <w:szCs w:val="21"/>
                <w:highlight w:val="none"/>
              </w:rPr>
              <w:object>
                <v:shape id="_x0000_i1053" o:spt="75" type="#_x0000_t75" style="height:13.95pt;width:37.15pt;" o:ole="t" filled="f" o:preferrelative="t" stroked="f" coordsize="21600,21600">
                  <v:path/>
                  <v:fill on="f" focussize="0,0"/>
                  <v:stroke on="f"/>
                  <v:imagedata r:id="rId77" o:title=""/>
                  <o:lock v:ext="edit" aspectratio="t"/>
                  <w10:wrap type="none"/>
                  <w10:anchorlock/>
                </v:shape>
                <o:OLEObject Type="Embed" ProgID="Equation.DSMT4" ShapeID="_x0000_i1053" DrawAspect="Content" ObjectID="_1468075753" r:id="rId76">
                  <o:LockedField>false</o:LockedField>
                </o:OLEObject>
              </w:object>
            </w:r>
          </w:p>
        </w:tc>
      </w:tr>
      <w:tr w14:paraId="4F0A0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14:paraId="42F6639A">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12"/>
                <w:sz w:val="21"/>
                <w:szCs w:val="21"/>
                <w:highlight w:val="none"/>
              </w:rPr>
              <w:object>
                <v:shape id="_x0000_i1054" o:spt="75" type="#_x0000_t75" style="height:15.95pt;width:76.6pt;" o:ole="t" filled="f" o:preferrelative="t" stroked="f" coordsize="21600,21600">
                  <v:path/>
                  <v:fill on="f" focussize="0,0"/>
                  <v:stroke on="f" joinstyle="miter"/>
                  <v:imagedata r:id="rId79" o:title=""/>
                  <o:lock v:ext="edit" aspectratio="t"/>
                  <w10:wrap type="none"/>
                  <w10:anchorlock/>
                </v:shape>
                <o:OLEObject Type="Embed" ProgID="Equation.DSMT4" ShapeID="_x0000_i1054" DrawAspect="Content" ObjectID="_1468075754" r:id="rId78">
                  <o:LockedField>false</o:LockedField>
                </o:OLEObject>
              </w:object>
            </w:r>
          </w:p>
        </w:tc>
        <w:tc>
          <w:tcPr>
            <w:tcW w:w="3390" w:type="dxa"/>
            <w:vAlign w:val="center"/>
          </w:tcPr>
          <w:p w14:paraId="5A9DF50C">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12"/>
                <w:sz w:val="21"/>
                <w:szCs w:val="21"/>
                <w:highlight w:val="none"/>
              </w:rPr>
              <w:object>
                <v:shape id="_x0000_i1055" o:spt="75" type="#_x0000_t75" style="height:17.2pt;width:46.75pt;" o:ole="t" filled="f" o:preferrelative="t" stroked="f" coordsize="21600,21600">
                  <v:path/>
                  <v:fill on="f" focussize="0,0"/>
                  <v:stroke on="f" joinstyle="miter"/>
                  <v:imagedata r:id="rId81" o:title=""/>
                  <o:lock v:ext="edit" aspectratio="t"/>
                  <w10:wrap type="none"/>
                  <w10:anchorlock/>
                </v:shape>
                <o:OLEObject Type="Embed" ProgID="Equation.DSMT4" ShapeID="_x0000_i1055" DrawAspect="Content" ObjectID="_1468075755" r:id="rId80">
                  <o:LockedField>false</o:LockedField>
                </o:OLEObject>
              </w:object>
            </w:r>
          </w:p>
        </w:tc>
        <w:tc>
          <w:tcPr>
            <w:tcW w:w="3399" w:type="dxa"/>
            <w:vAlign w:val="center"/>
          </w:tcPr>
          <w:p w14:paraId="18C0FD4B">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6"/>
                <w:sz w:val="21"/>
                <w:szCs w:val="21"/>
                <w:highlight w:val="none"/>
              </w:rPr>
              <w:object>
                <v:shape id="_x0000_i1056" o:spt="75" type="#_x0000_t75" style="height:13.95pt;width:37.15pt;" o:ole="t" filled="f" o:preferrelative="t" stroked="f" coordsize="21600,21600">
                  <v:path/>
                  <v:fill on="f" focussize="0,0"/>
                  <v:stroke on="f"/>
                  <v:imagedata r:id="rId83" o:title=""/>
                  <o:lock v:ext="edit" aspectratio="t"/>
                  <w10:wrap type="none"/>
                  <w10:anchorlock/>
                </v:shape>
                <o:OLEObject Type="Embed" ProgID="Equation.DSMT4" ShapeID="_x0000_i1056" DrawAspect="Content" ObjectID="_1468075756" r:id="rId82">
                  <o:LockedField>false</o:LockedField>
                </o:OLEObject>
              </w:object>
            </w:r>
          </w:p>
        </w:tc>
      </w:tr>
      <w:tr w14:paraId="5DA2E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14:paraId="10FA1B8E">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12"/>
                <w:sz w:val="21"/>
                <w:szCs w:val="21"/>
                <w:highlight w:val="none"/>
              </w:rPr>
              <w:object>
                <v:shape id="_x0000_i1057" o:spt="75" type="#_x0000_t75" style="height:16.65pt;width:82.25pt;" o:ole="t" filled="f" o:preferrelative="t" stroked="f" coordsize="21600,21600">
                  <v:path/>
                  <v:fill on="f" focussize="0,0"/>
                  <v:stroke on="f" joinstyle="miter"/>
                  <v:imagedata r:id="rId85" o:title=""/>
                  <o:lock v:ext="edit" aspectratio="t"/>
                  <w10:wrap type="none"/>
                  <w10:anchorlock/>
                </v:shape>
                <o:OLEObject Type="Embed" ProgID="Equation.DSMT4" ShapeID="_x0000_i1057" DrawAspect="Content" ObjectID="_1468075757" r:id="rId84">
                  <o:LockedField>false</o:LockedField>
                </o:OLEObject>
              </w:object>
            </w:r>
          </w:p>
        </w:tc>
        <w:tc>
          <w:tcPr>
            <w:tcW w:w="3390" w:type="dxa"/>
            <w:vAlign w:val="center"/>
          </w:tcPr>
          <w:p w14:paraId="54387DEA">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12"/>
                <w:sz w:val="21"/>
                <w:szCs w:val="21"/>
                <w:highlight w:val="none"/>
              </w:rPr>
              <w:object>
                <v:shape id="_x0000_i1058" o:spt="75" type="#_x0000_t75" style="height:17.2pt;width:46.75pt;" o:ole="t" filled="f" o:preferrelative="t" stroked="f" coordsize="21600,21600">
                  <v:path/>
                  <v:fill on="f" focussize="0,0"/>
                  <v:stroke on="f" joinstyle="miter"/>
                  <v:imagedata r:id="rId87" o:title=""/>
                  <o:lock v:ext="edit" aspectratio="t"/>
                  <w10:wrap type="none"/>
                  <w10:anchorlock/>
                </v:shape>
                <o:OLEObject Type="Embed" ProgID="Equation.DSMT4" ShapeID="_x0000_i1058" DrawAspect="Content" ObjectID="_1468075758" r:id="rId86">
                  <o:LockedField>false</o:LockedField>
                </o:OLEObject>
              </w:object>
            </w:r>
          </w:p>
        </w:tc>
        <w:tc>
          <w:tcPr>
            <w:tcW w:w="3399" w:type="dxa"/>
            <w:vAlign w:val="center"/>
          </w:tcPr>
          <w:p w14:paraId="6C6ED1F7">
            <w:pPr>
              <w:pStyle w:val="2"/>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eastAsia="宋体"/>
                <w:bCs/>
                <w:color w:val="auto"/>
                <w:sz w:val="21"/>
                <w:szCs w:val="21"/>
                <w:highlight w:val="none"/>
              </w:rPr>
            </w:pPr>
            <w:r>
              <w:rPr>
                <w:rFonts w:ascii="Times New Roman" w:eastAsia="宋体"/>
                <w:color w:val="auto"/>
                <w:position w:val="-6"/>
                <w:sz w:val="21"/>
                <w:szCs w:val="21"/>
                <w:highlight w:val="none"/>
              </w:rPr>
              <w:object>
                <v:shape id="_x0000_i1059" o:spt="75" type="#_x0000_t75" style="height:13.95pt;width:37.6pt;" o:ole="t" filled="f" o:preferrelative="t" stroked="f" coordsize="21600,21600">
                  <v:path/>
                  <v:fill on="f" focussize="0,0"/>
                  <v:stroke on="f"/>
                  <v:imagedata r:id="rId89" o:title=""/>
                  <o:lock v:ext="edit" aspectratio="t"/>
                  <w10:wrap type="none"/>
                  <w10:anchorlock/>
                </v:shape>
                <o:OLEObject Type="Embed" ProgID="Equation.DSMT4" ShapeID="_x0000_i1059" DrawAspect="Content" ObjectID="_1468075759" r:id="rId88">
                  <o:LockedField>false</o:LockedField>
                </o:OLEObject>
              </w:object>
            </w:r>
          </w:p>
        </w:tc>
      </w:tr>
    </w:tbl>
    <w:p w14:paraId="4A632147">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宋体"/>
          <w:bCs/>
          <w:color w:val="auto"/>
          <w:sz w:val="21"/>
          <w:szCs w:val="21"/>
          <w:highlight w:val="none"/>
        </w:rPr>
      </w:pPr>
      <w:r>
        <w:rPr>
          <w:rFonts w:eastAsia="宋体"/>
          <w:bCs/>
          <w:color w:val="auto"/>
          <w:sz w:val="21"/>
          <w:szCs w:val="21"/>
          <w:highlight w:val="none"/>
        </w:rPr>
        <w:t>注：</w:t>
      </w:r>
      <w:r>
        <w:rPr>
          <w:rFonts w:eastAsia="宋体"/>
          <w:bCs/>
          <w:color w:val="auto"/>
          <w:position w:val="-12"/>
          <w:sz w:val="21"/>
          <w:szCs w:val="21"/>
          <w:highlight w:val="none"/>
        </w:rPr>
        <w:object>
          <v:shape id="_x0000_i1060" o:spt="75" type="#_x0000_t75" style="height:15pt;width:14.5pt;" o:ole="t" filled="f" o:preferrelative="t" stroked="f" coordsize="21600,21600">
            <v:path/>
            <v:fill on="f" focussize="0,0"/>
            <v:stroke on="f" joinstyle="miter"/>
            <v:imagedata r:id="rId91" o:title=""/>
            <o:lock v:ext="edit" aspectratio="f"/>
            <w10:wrap type="none"/>
            <w10:anchorlock/>
          </v:shape>
          <o:OLEObject Type="Embed" ProgID="Equation.DSMT4" ShapeID="_x0000_i1060" DrawAspect="Content" ObjectID="_1468075760" r:id="rId90">
            <o:LockedField>false</o:LockedField>
          </o:OLEObject>
        </w:object>
      </w:r>
      <w:r>
        <w:rPr>
          <w:rFonts w:eastAsia="宋体"/>
          <w:bCs/>
          <w:color w:val="auto"/>
          <w:sz w:val="21"/>
          <w:szCs w:val="21"/>
          <w:highlight w:val="none"/>
        </w:rPr>
        <w:t>为墩柱、桩基边长或直径。</w:t>
      </w:r>
    </w:p>
    <w:p w14:paraId="4C4D7C9B">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Cs w:val="21"/>
          <w:highlight w:val="none"/>
        </w:rPr>
      </w:pPr>
      <w:r>
        <w:rPr>
          <w:rFonts w:hint="eastAsia"/>
          <w:b/>
          <w:color w:val="auto"/>
          <w:szCs w:val="21"/>
          <w:highlight w:val="none"/>
        </w:rPr>
        <w:t>6.4</w:t>
      </w:r>
      <w:r>
        <w:rPr>
          <w:b/>
          <w:color w:val="auto"/>
          <w:szCs w:val="21"/>
          <w:highlight w:val="none"/>
        </w:rPr>
        <w:t>.7</w:t>
      </w:r>
      <w:r>
        <w:rPr>
          <w:bCs/>
          <w:color w:val="auto"/>
          <w:szCs w:val="21"/>
          <w:highlight w:val="none"/>
        </w:rPr>
        <w:t xml:space="preserve">  承台或盖梁沿承插孔周边应设置水平加强箍筋，承插孔底板应</w:t>
      </w:r>
      <w:r>
        <w:rPr>
          <w:rFonts w:hint="eastAsia"/>
          <w:bCs/>
          <w:color w:val="auto"/>
          <w:szCs w:val="21"/>
          <w:highlight w:val="none"/>
        </w:rPr>
        <w:t>按《公路装配式混凝土桥梁设计规范》（JTG/T 3365-05）附录C进行抗冲切验算，并根据计算结果</w:t>
      </w:r>
      <w:r>
        <w:rPr>
          <w:bCs/>
          <w:color w:val="auto"/>
          <w:szCs w:val="21"/>
          <w:highlight w:val="none"/>
        </w:rPr>
        <w:t>设置弯起钢筋，弯起钢筋与承台钢筋</w:t>
      </w:r>
      <w:r>
        <w:rPr>
          <w:rFonts w:hint="eastAsia"/>
          <w:bCs/>
          <w:color w:val="auto"/>
          <w:szCs w:val="21"/>
          <w:highlight w:val="none"/>
        </w:rPr>
        <w:t>进行有效</w:t>
      </w:r>
      <w:r>
        <w:rPr>
          <w:bCs/>
          <w:color w:val="auto"/>
          <w:szCs w:val="21"/>
          <w:highlight w:val="none"/>
        </w:rPr>
        <w:t>连接。</w:t>
      </w:r>
    </w:p>
    <w:p w14:paraId="3C7C1FB4">
      <w:pPr>
        <w:pStyle w:val="2"/>
      </w:pPr>
    </w:p>
    <w:p w14:paraId="0492278E">
      <w:pPr>
        <w:spacing w:before="156" w:beforeLines="50" w:after="156" w:afterLines="50" w:line="360" w:lineRule="auto"/>
        <w:jc w:val="center"/>
        <w:outlineLvl w:val="1"/>
        <w:rPr>
          <w:rFonts w:hint="eastAsia" w:ascii="Times New Roman" w:hAnsi="Times New Roman" w:cs="Times New Roman"/>
          <w:b/>
          <w:kern w:val="0"/>
          <w:sz w:val="28"/>
          <w:szCs w:val="28"/>
        </w:rPr>
      </w:pPr>
      <w:bookmarkStart w:id="96" w:name="_Toc25029"/>
      <w:bookmarkStart w:id="97" w:name="_Toc10786"/>
      <w:bookmarkStart w:id="98" w:name="OLE_LINK15"/>
      <w:r>
        <w:rPr>
          <w:rFonts w:hint="eastAsia" w:ascii="Times New Roman" w:hAnsi="Times New Roman" w:cs="Times New Roman"/>
          <w:b/>
          <w:kern w:val="0"/>
          <w:sz w:val="28"/>
          <w:szCs w:val="28"/>
        </w:rPr>
        <w:t xml:space="preserve">6.5 </w:t>
      </w:r>
      <w:bookmarkStart w:id="99" w:name="OLE_LINK23"/>
      <w:r>
        <w:rPr>
          <w:rFonts w:hint="eastAsia" w:ascii="Times New Roman" w:hAnsi="Times New Roman" w:cs="Times New Roman"/>
          <w:b/>
          <w:kern w:val="0"/>
          <w:sz w:val="28"/>
          <w:szCs w:val="28"/>
        </w:rPr>
        <w:t>插槽式连接</w:t>
      </w:r>
      <w:bookmarkEnd w:id="96"/>
      <w:bookmarkEnd w:id="97"/>
      <w:bookmarkEnd w:id="99"/>
    </w:p>
    <w:bookmarkEnd w:id="98"/>
    <w:p w14:paraId="045B7510">
      <w:pPr>
        <w:keepNext w:val="0"/>
        <w:keepLines w:val="0"/>
        <w:pageBreakBefore w:val="0"/>
        <w:widowControl w:val="0"/>
        <w:kinsoku/>
        <w:wordWrap/>
        <w:overflowPunct/>
        <w:topLinePunct w:val="0"/>
        <w:autoSpaceDE/>
        <w:autoSpaceDN/>
        <w:bidi w:val="0"/>
        <w:adjustRightInd/>
        <w:snapToGrid w:val="0"/>
        <w:spacing w:line="360" w:lineRule="auto"/>
        <w:textAlignment w:val="auto"/>
        <w:rPr>
          <w:b/>
          <w:color w:val="auto"/>
          <w:sz w:val="24"/>
          <w:szCs w:val="24"/>
          <w:highlight w:val="none"/>
        </w:rPr>
      </w:pPr>
      <w:r>
        <w:rPr>
          <w:rFonts w:hint="eastAsia"/>
          <w:b/>
          <w:color w:val="auto"/>
          <w:sz w:val="24"/>
          <w:szCs w:val="24"/>
          <w:highlight w:val="none"/>
        </w:rPr>
        <w:t>6.5</w:t>
      </w:r>
      <w:r>
        <w:rPr>
          <w:b/>
          <w:color w:val="auto"/>
          <w:sz w:val="24"/>
          <w:szCs w:val="24"/>
          <w:highlight w:val="none"/>
        </w:rPr>
        <w:t>.1</w:t>
      </w:r>
      <w:r>
        <w:rPr>
          <w:bCs/>
          <w:color w:val="auto"/>
          <w:sz w:val="24"/>
          <w:szCs w:val="24"/>
          <w:highlight w:val="none"/>
        </w:rPr>
        <w:t xml:space="preserve">  插槽孔内预制墩柱预留钢筋长度应满足最小锚固长度的</w:t>
      </w:r>
      <w:r>
        <w:rPr>
          <w:rFonts w:hint="eastAsia"/>
          <w:bCs/>
          <w:color w:val="auto"/>
          <w:sz w:val="24"/>
          <w:szCs w:val="24"/>
          <w:highlight w:val="none"/>
        </w:rPr>
        <w:t>要求</w:t>
      </w:r>
      <w:r>
        <w:rPr>
          <w:bCs/>
          <w:color w:val="auto"/>
          <w:sz w:val="24"/>
          <w:szCs w:val="24"/>
          <w:highlight w:val="none"/>
        </w:rPr>
        <w:t>。</w:t>
      </w:r>
    </w:p>
    <w:p w14:paraId="64F15EBB">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6.5</w:t>
      </w:r>
      <w:r>
        <w:rPr>
          <w:b/>
          <w:color w:val="auto"/>
          <w:sz w:val="24"/>
          <w:szCs w:val="24"/>
          <w:highlight w:val="none"/>
        </w:rPr>
        <w:t>.2</w:t>
      </w:r>
      <w:r>
        <w:rPr>
          <w:bCs/>
          <w:color w:val="auto"/>
          <w:sz w:val="24"/>
          <w:szCs w:val="24"/>
          <w:highlight w:val="none"/>
        </w:rPr>
        <w:t xml:space="preserve">  插槽孔内宜填充高强水泥基灌浆料或高强无收缩混凝土</w:t>
      </w:r>
      <w:r>
        <w:rPr>
          <w:rFonts w:hint="eastAsia"/>
          <w:bCs/>
          <w:color w:val="auto"/>
          <w:sz w:val="24"/>
          <w:szCs w:val="24"/>
          <w:highlight w:val="none"/>
        </w:rPr>
        <w:t>，</w:t>
      </w:r>
      <w:r>
        <w:rPr>
          <w:bCs/>
          <w:color w:val="auto"/>
          <w:sz w:val="24"/>
          <w:szCs w:val="24"/>
          <w:highlight w:val="none"/>
        </w:rPr>
        <w:t>其强度等级</w:t>
      </w:r>
      <w:r>
        <w:rPr>
          <w:rFonts w:hint="eastAsia"/>
          <w:bCs/>
          <w:color w:val="auto"/>
          <w:sz w:val="24"/>
          <w:szCs w:val="24"/>
          <w:highlight w:val="none"/>
          <w:lang w:val="en-US" w:eastAsia="zh-CN"/>
        </w:rPr>
        <w:t>较</w:t>
      </w:r>
      <w:r>
        <w:rPr>
          <w:bCs/>
          <w:color w:val="auto"/>
          <w:sz w:val="24"/>
          <w:szCs w:val="24"/>
          <w:highlight w:val="none"/>
        </w:rPr>
        <w:t>盖梁、承台等连接预制构件的混凝土强度应</w:t>
      </w:r>
      <w:r>
        <w:rPr>
          <w:rFonts w:hint="eastAsia"/>
          <w:bCs/>
          <w:color w:val="auto"/>
          <w:sz w:val="24"/>
          <w:szCs w:val="24"/>
          <w:highlight w:val="none"/>
          <w:lang w:val="en-US" w:eastAsia="zh-CN"/>
        </w:rPr>
        <w:t>高</w:t>
      </w:r>
      <w:r>
        <w:rPr>
          <w:rFonts w:hint="eastAsia"/>
          <w:bCs/>
          <w:color w:val="auto"/>
          <w:sz w:val="24"/>
          <w:szCs w:val="24"/>
          <w:highlight w:val="none"/>
          <w:lang w:eastAsia="zh-CN"/>
        </w:rPr>
        <w:t>一个</w:t>
      </w:r>
      <w:r>
        <w:rPr>
          <w:bCs/>
          <w:color w:val="auto"/>
          <w:sz w:val="24"/>
          <w:szCs w:val="24"/>
          <w:highlight w:val="none"/>
        </w:rPr>
        <w:t>等级。</w:t>
      </w:r>
    </w:p>
    <w:p w14:paraId="0A495706">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6.5</w:t>
      </w:r>
      <w:r>
        <w:rPr>
          <w:b/>
          <w:color w:val="auto"/>
          <w:sz w:val="24"/>
          <w:szCs w:val="24"/>
          <w:highlight w:val="none"/>
        </w:rPr>
        <w:t xml:space="preserve">.3 </w:t>
      </w:r>
      <w:r>
        <w:rPr>
          <w:bCs/>
          <w:color w:val="auto"/>
          <w:sz w:val="24"/>
          <w:szCs w:val="24"/>
          <w:highlight w:val="none"/>
        </w:rPr>
        <w:t xml:space="preserve"> 插槽孔壁可通过设置钢波纹</w:t>
      </w:r>
      <w:r>
        <w:rPr>
          <w:rFonts w:hint="eastAsia"/>
          <w:bCs/>
          <w:color w:val="auto"/>
          <w:sz w:val="24"/>
          <w:szCs w:val="24"/>
          <w:highlight w:val="none"/>
          <w:lang w:eastAsia="zh-CN"/>
        </w:rPr>
        <w:t>钢</w:t>
      </w:r>
      <w:r>
        <w:rPr>
          <w:bCs/>
          <w:color w:val="auto"/>
          <w:sz w:val="24"/>
          <w:szCs w:val="24"/>
          <w:highlight w:val="none"/>
        </w:rPr>
        <w:t>管或采用带齿键模板形成剪力键，盖梁或承台主筋在插槽孔内应保持连续并避免与预制墩柱的预留钢筋干扰。</w:t>
      </w:r>
    </w:p>
    <w:p w14:paraId="61370023">
      <w:pPr>
        <w:pStyle w:val="2"/>
        <w:keepNext w:val="0"/>
        <w:keepLines w:val="0"/>
        <w:pageBreakBefore w:val="0"/>
        <w:widowControl w:val="0"/>
        <w:kinsoku/>
        <w:wordWrap/>
        <w:overflowPunct/>
        <w:topLinePunct w:val="0"/>
        <w:autoSpaceDE/>
        <w:autoSpaceDN/>
        <w:bidi w:val="0"/>
        <w:adjustRightInd/>
        <w:spacing w:line="360" w:lineRule="auto"/>
        <w:ind w:firstLine="0" w:firstLineChars="0"/>
        <w:textAlignment w:val="auto"/>
        <w:rPr>
          <w:rFonts w:eastAsia="宋体"/>
          <w:bCs/>
          <w:color w:val="auto"/>
          <w:sz w:val="24"/>
          <w:szCs w:val="24"/>
          <w:highlight w:val="none"/>
        </w:rPr>
      </w:pPr>
      <w:r>
        <w:rPr>
          <w:rFonts w:hint="eastAsia" w:eastAsia="宋体"/>
          <w:b/>
          <w:color w:val="auto"/>
          <w:sz w:val="24"/>
          <w:szCs w:val="24"/>
          <w:highlight w:val="none"/>
        </w:rPr>
        <w:t>6.5</w:t>
      </w:r>
      <w:r>
        <w:rPr>
          <w:rFonts w:eastAsia="宋体"/>
          <w:b/>
          <w:color w:val="auto"/>
          <w:sz w:val="24"/>
          <w:szCs w:val="24"/>
          <w:highlight w:val="none"/>
        </w:rPr>
        <w:t>.4</w:t>
      </w:r>
      <w:r>
        <w:rPr>
          <w:rFonts w:eastAsia="宋体"/>
          <w:bCs/>
          <w:color w:val="auto"/>
          <w:sz w:val="24"/>
          <w:szCs w:val="24"/>
          <w:highlight w:val="none"/>
        </w:rPr>
        <w:t xml:space="preserve">  插槽孔洞应具有足够的水平容差</w:t>
      </w:r>
      <w:r>
        <w:rPr>
          <w:rFonts w:hint="eastAsia" w:eastAsia="宋体"/>
          <w:bCs/>
          <w:color w:val="auto"/>
          <w:sz w:val="24"/>
          <w:szCs w:val="24"/>
          <w:highlight w:val="none"/>
          <w:lang w:eastAsia="zh-CN"/>
        </w:rPr>
        <w:t>，</w:t>
      </w:r>
      <w:r>
        <w:rPr>
          <w:rFonts w:eastAsia="宋体"/>
          <w:bCs/>
          <w:color w:val="auto"/>
          <w:sz w:val="24"/>
          <w:szCs w:val="24"/>
          <w:highlight w:val="none"/>
        </w:rPr>
        <w:t>孔洞尺寸</w:t>
      </w:r>
      <w:r>
        <w:rPr>
          <w:rFonts w:hint="eastAsia" w:eastAsia="宋体"/>
          <w:bCs/>
          <w:color w:val="auto"/>
          <w:sz w:val="24"/>
          <w:szCs w:val="24"/>
          <w:highlight w:val="none"/>
        </w:rPr>
        <w:t>应符合下列规定</w:t>
      </w:r>
      <w:r>
        <w:rPr>
          <w:rFonts w:eastAsia="宋体"/>
          <w:bCs/>
          <w:color w:val="auto"/>
          <w:sz w:val="24"/>
          <w:szCs w:val="24"/>
          <w:highlight w:val="none"/>
        </w:rPr>
        <w:t>：</w:t>
      </w:r>
    </w:p>
    <w:p w14:paraId="606B2025">
      <w:pPr>
        <w:pStyle w:val="2"/>
        <w:keepNext w:val="0"/>
        <w:keepLines w:val="0"/>
        <w:pageBreakBefore w:val="0"/>
        <w:widowControl w:val="0"/>
        <w:kinsoku/>
        <w:wordWrap/>
        <w:overflowPunct/>
        <w:topLinePunct w:val="0"/>
        <w:autoSpaceDE/>
        <w:autoSpaceDN/>
        <w:bidi w:val="0"/>
        <w:adjustRightInd/>
        <w:spacing w:line="360" w:lineRule="auto"/>
        <w:textAlignment w:val="auto"/>
        <w:rPr>
          <w:rFonts w:eastAsia="宋体"/>
          <w:color w:val="auto"/>
          <w:sz w:val="24"/>
          <w:szCs w:val="24"/>
          <w:highlight w:val="none"/>
        </w:rPr>
      </w:pPr>
      <w:r>
        <w:rPr>
          <w:rFonts w:eastAsia="宋体"/>
          <w:bCs/>
          <w:color w:val="auto"/>
          <w:sz w:val="24"/>
          <w:szCs w:val="24"/>
          <w:highlight w:val="none"/>
        </w:rPr>
        <w:t>1 孔洞顺桥向、横桥向的尺寸不应小于桩、墩的直径</w:t>
      </w:r>
      <w:r>
        <w:rPr>
          <w:rFonts w:hint="eastAsia" w:eastAsia="宋体"/>
          <w:bCs/>
          <w:color w:val="auto"/>
          <w:sz w:val="24"/>
          <w:szCs w:val="24"/>
          <w:highlight w:val="none"/>
          <w:lang w:eastAsia="zh-CN"/>
        </w:rPr>
        <w:t>或边长</w:t>
      </w:r>
      <w:r>
        <w:rPr>
          <w:rFonts w:eastAsia="宋体"/>
          <w:bCs/>
          <w:color w:val="auto"/>
          <w:position w:val="-12"/>
          <w:sz w:val="24"/>
          <w:szCs w:val="24"/>
          <w:highlight w:val="none"/>
        </w:rPr>
        <w:object>
          <v:shape id="_x0000_i1061" o:spt="75" type="#_x0000_t75" style="height:17.2pt;width:61.95pt;" o:ole="t" filled="f" o:preferrelative="t" stroked="f" coordsize="21600,21600">
            <v:path/>
            <v:fill on="f" focussize="0,0"/>
            <v:stroke on="f" joinstyle="miter"/>
            <v:imagedata r:id="rId93" o:title=""/>
            <o:lock v:ext="edit" aspectratio="t"/>
            <w10:wrap type="none"/>
            <w10:anchorlock/>
          </v:shape>
          <o:OLEObject Type="Embed" ProgID="Equation.DSMT4" ShapeID="_x0000_i1061" DrawAspect="Content" ObjectID="_1468075761" r:id="rId92">
            <o:LockedField>false</o:LockedField>
          </o:OLEObject>
        </w:object>
      </w:r>
      <w:r>
        <w:rPr>
          <w:rFonts w:eastAsia="宋体"/>
          <w:color w:val="auto"/>
          <w:sz w:val="24"/>
          <w:szCs w:val="24"/>
          <w:highlight w:val="none"/>
        </w:rPr>
        <w:t>；</w:t>
      </w:r>
    </w:p>
    <w:p w14:paraId="29C5C52C">
      <w:pPr>
        <w:pStyle w:val="2"/>
        <w:keepNext w:val="0"/>
        <w:keepLines w:val="0"/>
        <w:pageBreakBefore w:val="0"/>
        <w:widowControl w:val="0"/>
        <w:kinsoku/>
        <w:wordWrap/>
        <w:overflowPunct/>
        <w:topLinePunct w:val="0"/>
        <w:autoSpaceDE/>
        <w:autoSpaceDN/>
        <w:bidi w:val="0"/>
        <w:adjustRightInd/>
        <w:spacing w:line="360" w:lineRule="auto"/>
        <w:textAlignment w:val="auto"/>
        <w:rPr>
          <w:rFonts w:eastAsia="宋体"/>
          <w:bCs/>
          <w:color w:val="auto"/>
          <w:sz w:val="24"/>
          <w:szCs w:val="24"/>
          <w:highlight w:val="none"/>
        </w:rPr>
      </w:pPr>
      <w:r>
        <w:rPr>
          <w:rFonts w:eastAsia="宋体"/>
          <w:bCs/>
          <w:color w:val="auto"/>
          <w:sz w:val="24"/>
          <w:szCs w:val="24"/>
          <w:highlight w:val="none"/>
        </w:rPr>
        <w:t>2 孔洞顺桥向、横桥向的尺寸容差不宜小于50mm；</w:t>
      </w:r>
    </w:p>
    <w:p w14:paraId="35A7021F">
      <w:pPr>
        <w:pStyle w:val="2"/>
        <w:keepNext w:val="0"/>
        <w:keepLines w:val="0"/>
        <w:pageBreakBefore w:val="0"/>
        <w:widowControl w:val="0"/>
        <w:kinsoku/>
        <w:wordWrap/>
        <w:overflowPunct/>
        <w:topLinePunct w:val="0"/>
        <w:autoSpaceDE/>
        <w:autoSpaceDN/>
        <w:bidi w:val="0"/>
        <w:adjustRightInd/>
        <w:spacing w:line="360" w:lineRule="auto"/>
        <w:textAlignment w:val="auto"/>
        <w:rPr>
          <w:rFonts w:eastAsia="宋体"/>
          <w:bCs/>
          <w:color w:val="auto"/>
          <w:sz w:val="24"/>
          <w:szCs w:val="24"/>
          <w:highlight w:val="none"/>
        </w:rPr>
      </w:pPr>
      <w:r>
        <w:rPr>
          <w:rFonts w:eastAsia="宋体"/>
          <w:bCs/>
          <w:color w:val="auto"/>
          <w:sz w:val="24"/>
          <w:szCs w:val="24"/>
          <w:highlight w:val="none"/>
        </w:rPr>
        <w:t>3 插槽式连接的构件孔洞可通过金属波纹</w:t>
      </w:r>
      <w:r>
        <w:rPr>
          <w:rFonts w:hint="eastAsia" w:eastAsia="宋体"/>
          <w:bCs/>
          <w:color w:val="auto"/>
          <w:sz w:val="24"/>
          <w:szCs w:val="24"/>
          <w:highlight w:val="none"/>
          <w:lang w:eastAsia="zh-CN"/>
        </w:rPr>
        <w:t>钢</w:t>
      </w:r>
      <w:r>
        <w:rPr>
          <w:rFonts w:eastAsia="宋体"/>
          <w:bCs/>
          <w:color w:val="auto"/>
          <w:sz w:val="24"/>
          <w:szCs w:val="24"/>
          <w:highlight w:val="none"/>
        </w:rPr>
        <w:t>管或模板设置，当采用模板设置时，宜将孔洞制作成梯形或锥形。</w:t>
      </w:r>
    </w:p>
    <w:p w14:paraId="28A48273">
      <w:pPr>
        <w:pStyle w:val="2"/>
        <w:ind w:firstLine="0" w:firstLineChars="0"/>
        <w:jc w:val="center"/>
        <w:rPr>
          <w:color w:val="auto"/>
          <w:sz w:val="21"/>
          <w:szCs w:val="21"/>
          <w:highlight w:val="none"/>
        </w:rPr>
      </w:pPr>
      <w:r>
        <w:rPr>
          <w:color w:val="auto"/>
          <w:highlight w:val="none"/>
        </w:rPr>
        <w:drawing>
          <wp:inline distT="0" distB="0" distL="114300" distR="114300">
            <wp:extent cx="2283460" cy="1703705"/>
            <wp:effectExtent l="0" t="0" r="2540" b="10795"/>
            <wp:docPr id="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3"/>
                    <pic:cNvPicPr>
                      <a:picLocks noChangeAspect="1"/>
                    </pic:cNvPicPr>
                  </pic:nvPicPr>
                  <pic:blipFill>
                    <a:blip r:embed="rId94"/>
                    <a:stretch>
                      <a:fillRect/>
                    </a:stretch>
                  </pic:blipFill>
                  <pic:spPr>
                    <a:xfrm>
                      <a:off x="0" y="0"/>
                      <a:ext cx="2283460" cy="1703705"/>
                    </a:xfrm>
                    <a:prstGeom prst="rect">
                      <a:avLst/>
                    </a:prstGeom>
                    <a:noFill/>
                    <a:ln>
                      <a:noFill/>
                    </a:ln>
                  </pic:spPr>
                </pic:pic>
              </a:graphicData>
            </a:graphic>
          </wp:inline>
        </w:drawing>
      </w:r>
    </w:p>
    <w:p w14:paraId="018B9695">
      <w:pPr>
        <w:pStyle w:val="2"/>
        <w:spacing w:line="400" w:lineRule="exact"/>
        <w:ind w:firstLine="0" w:firstLine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1 预制盖梁，2 预制墩柱，3 插槽孔，4 墩柱预留钢筋</w:t>
      </w:r>
    </w:p>
    <w:p w14:paraId="65F62C38">
      <w:pPr>
        <w:pStyle w:val="2"/>
        <w:spacing w:line="400" w:lineRule="exact"/>
        <w:ind w:firstLine="0" w:firstLineChars="0"/>
        <w:jc w:val="center"/>
        <w:rPr>
          <w:rFonts w:eastAsia="宋体"/>
          <w:bCs/>
          <w:color w:val="auto"/>
          <w:sz w:val="21"/>
          <w:szCs w:val="21"/>
          <w:highlight w:val="none"/>
        </w:rPr>
      </w:pPr>
      <w:r>
        <w:rPr>
          <w:rFonts w:hint="eastAsia" w:eastAsia="宋体"/>
          <w:color w:val="auto"/>
          <w:sz w:val="21"/>
          <w:szCs w:val="21"/>
          <w:highlight w:val="none"/>
        </w:rPr>
        <w:t>图6.5.4 插槽式连接示意图</w:t>
      </w:r>
    </w:p>
    <w:p w14:paraId="35E54A63">
      <w:pPr>
        <w:spacing w:before="156" w:beforeLines="50" w:after="156" w:afterLines="50" w:line="360" w:lineRule="auto"/>
        <w:jc w:val="center"/>
        <w:outlineLvl w:val="1"/>
        <w:rPr>
          <w:rFonts w:hint="eastAsia" w:ascii="Times New Roman" w:hAnsi="Times New Roman" w:cs="Times New Roman"/>
          <w:b/>
          <w:kern w:val="0"/>
          <w:sz w:val="28"/>
          <w:szCs w:val="28"/>
        </w:rPr>
      </w:pPr>
      <w:bookmarkStart w:id="100" w:name="_Toc14060"/>
      <w:bookmarkStart w:id="101" w:name="_Toc28541"/>
      <w:bookmarkStart w:id="102" w:name="OLE_LINK9"/>
      <w:r>
        <w:rPr>
          <w:rFonts w:hint="eastAsia" w:ascii="Times New Roman" w:hAnsi="Times New Roman" w:cs="Times New Roman"/>
          <w:b/>
          <w:kern w:val="0"/>
          <w:sz w:val="28"/>
          <w:szCs w:val="28"/>
        </w:rPr>
        <w:t>6.6 壳式连接</w:t>
      </w:r>
      <w:bookmarkEnd w:id="100"/>
      <w:bookmarkEnd w:id="101"/>
    </w:p>
    <w:p w14:paraId="16D441DA">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b/>
          <w:color w:val="auto"/>
          <w:sz w:val="24"/>
          <w:szCs w:val="24"/>
          <w:highlight w:val="none"/>
        </w:rPr>
        <w:t>6.6.1</w:t>
      </w:r>
      <w:r>
        <w:rPr>
          <w:rFonts w:hint="default" w:ascii="Times New Roman" w:hAnsi="Times New Roman" w:eastAsia="宋体" w:cs="Times New Roman"/>
          <w:bCs/>
          <w:color w:val="auto"/>
          <w:sz w:val="24"/>
          <w:szCs w:val="24"/>
          <w:highlight w:val="none"/>
        </w:rPr>
        <w:t xml:space="preserve">  壳式连接</w:t>
      </w:r>
      <w:r>
        <w:rPr>
          <w:rFonts w:hint="default" w:ascii="Times New Roman" w:hAnsi="Times New Roman" w:eastAsia="宋体" w:cs="Times New Roman"/>
          <w:bCs/>
          <w:color w:val="auto"/>
          <w:sz w:val="24"/>
          <w:szCs w:val="24"/>
          <w:highlight w:val="none"/>
          <w:lang w:val="en-US" w:eastAsia="zh-CN"/>
        </w:rPr>
        <w:t>的组成部分</w:t>
      </w:r>
      <w:r>
        <w:rPr>
          <w:rFonts w:hint="default" w:ascii="Times New Roman" w:hAnsi="Times New Roman" w:eastAsia="宋体" w:cs="Times New Roman"/>
          <w:bCs/>
          <w:color w:val="auto"/>
          <w:sz w:val="24"/>
          <w:szCs w:val="24"/>
          <w:highlight w:val="none"/>
        </w:rPr>
        <w:t>包括桩基、底座混凝土、壳壁、预制墩，宜用于墩柱与桩基一体连接。</w:t>
      </w:r>
    </w:p>
    <w:p w14:paraId="1D31CB3E">
      <w:pPr>
        <w:pStyle w:val="169"/>
        <w:keepNext w:val="0"/>
        <w:keepLines w:val="0"/>
        <w:pageBreakBefore w:val="0"/>
        <w:kinsoku/>
        <w:wordWrap/>
        <w:overflowPunct/>
        <w:topLinePunct w:val="0"/>
        <w:autoSpaceDE/>
        <w:autoSpaceDN/>
        <w:bidi w:val="0"/>
        <w:adjustRightInd/>
        <w:snapToGrid/>
        <w:spacing w:afterLines="0" w:line="360" w:lineRule="auto"/>
        <w:ind w:firstLine="0"/>
        <w:jc w:val="center"/>
        <w:textAlignment w:val="auto"/>
        <w:rPr>
          <w:rFonts w:cs="Times New Roman"/>
          <w:color w:val="auto"/>
          <w:sz w:val="21"/>
          <w:szCs w:val="21"/>
          <w:highlight w:val="none"/>
        </w:rPr>
      </w:pPr>
      <w:r>
        <w:rPr>
          <w:rFonts w:cs="Times New Roman"/>
          <w:color w:val="auto"/>
          <w:sz w:val="21"/>
          <w:szCs w:val="21"/>
          <w:highlight w:val="none"/>
        </w:rPr>
        <mc:AlternateContent>
          <mc:Choice Requires="wps">
            <w:drawing>
              <wp:anchor distT="0" distB="0" distL="114300" distR="114300" simplePos="0" relativeHeight="251673600" behindDoc="0" locked="0" layoutInCell="1" allowOverlap="1">
                <wp:simplePos x="0" y="0"/>
                <wp:positionH relativeFrom="column">
                  <wp:posOffset>4443730</wp:posOffset>
                </wp:positionH>
                <wp:positionV relativeFrom="paragraph">
                  <wp:posOffset>1139190</wp:posOffset>
                </wp:positionV>
                <wp:extent cx="592455" cy="328295"/>
                <wp:effectExtent l="0" t="0" r="17145" b="14605"/>
                <wp:wrapNone/>
                <wp:docPr id="34" name="文本框 34"/>
                <wp:cNvGraphicFramePr/>
                <a:graphic xmlns:a="http://schemas.openxmlformats.org/drawingml/2006/main">
                  <a:graphicData uri="http://schemas.microsoft.com/office/word/2010/wordprocessingShape">
                    <wps:wsp>
                      <wps:cNvSpPr txBox="1"/>
                      <wps:spPr>
                        <a:xfrm>
                          <a:off x="0" y="0"/>
                          <a:ext cx="592455" cy="32829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8D75505">
                            <w:pPr>
                              <w:rPr>
                                <w:rFonts w:hint="eastAsia" w:eastAsia="宋体"/>
                                <w:sz w:val="24"/>
                                <w:szCs w:val="24"/>
                                <w:lang w:eastAsia="zh-CN"/>
                              </w:rPr>
                            </w:pPr>
                            <w:r>
                              <w:rPr>
                                <w:rFonts w:hint="eastAsia" w:ascii="Times New Roman" w:hAnsi="Times New Roman" w:cs="Times New Roman"/>
                                <w:bCs w:val="0"/>
                                <w:sz w:val="24"/>
                                <w:szCs w:val="24"/>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9.9pt;margin-top:89.7pt;height:25.85pt;width:46.65pt;z-index:251673600;mso-width-relative:page;mso-height-relative:page;" fillcolor="#FFFFFF [3201]" filled="t" stroked="f" coordsize="21600,21600" o:gfxdata="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iJsZrXAAAACwEAAA8A&#10;AAAAAAAAAQAgAAAAIgAAAGRycy9kb3ducmV2LnhtbFBLAQIUABQAAAAIAIdO4kCgHUjzUQIAAJAE&#10;AAAOAAAAAAAAAAEAIAAAACYBAABkcnMvZTJvRG9jLnhtbFBLBQYAAAAABgAGAFkBAADpBQAAAAA=&#10;">
                <v:fill on="t" focussize="0,0"/>
                <v:stroke on="f" weight="0.5pt"/>
                <v:imagedata o:title=""/>
                <o:lock v:ext="edit" aspectratio="f"/>
                <v:textbox>
                  <w:txbxContent>
                    <w:p w14:paraId="48D75505">
                      <w:pPr>
                        <w:rPr>
                          <w:rFonts w:hint="eastAsia" w:eastAsia="宋体"/>
                          <w:sz w:val="24"/>
                          <w:szCs w:val="24"/>
                          <w:lang w:eastAsia="zh-CN"/>
                        </w:rPr>
                      </w:pPr>
                      <w:r>
                        <w:rPr>
                          <w:rFonts w:hint="eastAsia" w:ascii="Times New Roman" w:hAnsi="Times New Roman" w:cs="Times New Roman"/>
                          <w:bCs w:val="0"/>
                          <w:sz w:val="24"/>
                          <w:szCs w:val="24"/>
                          <w:lang w:val="en-US" w:eastAsia="zh-CN"/>
                        </w:rPr>
                        <w:t>3</w:t>
                      </w:r>
                    </w:p>
                  </w:txbxContent>
                </v:textbox>
              </v:shape>
            </w:pict>
          </mc:Fallback>
        </mc:AlternateContent>
      </w:r>
      <w:r>
        <w:rPr>
          <w:rFonts w:cs="Times New Roman"/>
          <w:color w:val="auto"/>
          <w:sz w:val="21"/>
          <w:szCs w:val="21"/>
          <w:highlight w:val="none"/>
        </w:rPr>
        <mc:AlternateContent>
          <mc:Choice Requires="wps">
            <w:drawing>
              <wp:anchor distT="0" distB="0" distL="114300" distR="114300" simplePos="0" relativeHeight="251662336" behindDoc="0" locked="0" layoutInCell="1" allowOverlap="1">
                <wp:simplePos x="0" y="0"/>
                <wp:positionH relativeFrom="column">
                  <wp:posOffset>4064000</wp:posOffset>
                </wp:positionH>
                <wp:positionV relativeFrom="paragraph">
                  <wp:posOffset>1290955</wp:posOffset>
                </wp:positionV>
                <wp:extent cx="447040" cy="129540"/>
                <wp:effectExtent l="1270" t="4445" r="8890" b="18415"/>
                <wp:wrapNone/>
                <wp:docPr id="35" name="直接连接符 35"/>
                <wp:cNvGraphicFramePr/>
                <a:graphic xmlns:a="http://schemas.openxmlformats.org/drawingml/2006/main">
                  <a:graphicData uri="http://schemas.microsoft.com/office/word/2010/wordprocessingShape">
                    <wps:wsp>
                      <wps:cNvCnPr/>
                      <wps:spPr>
                        <a:xfrm flipV="1">
                          <a:off x="0" y="0"/>
                          <a:ext cx="447040" cy="129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320pt;margin-top:101.65pt;height:10.2pt;width:35.2pt;z-index:251662336;mso-width-relative:page;mso-height-relative:page;" filled="f" stroked="t" coordsize="21600,21600" o:gfxdata="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NFrZAAAACwEAAA8AAAAAAAAAAQAgAAAAIgAAAGRycy9kb3ducmV2LnhtbFBLAQIUABQA&#10;AAAIAIdO4kBr0Q0k7wEAAMEDAAAOAAAAAAAAAAEAIAAAACgBAABkcnMvZTJvRG9jLnhtbFBLBQYA&#10;AAAABgAGAFkBAACJBQAAAAA=&#10;">
                <v:fill on="f" focussize="0,0"/>
                <v:stroke weight="0.5pt" color="#000000 [3213]" miterlimit="8" joinstyle="miter"/>
                <v:imagedata o:title=""/>
                <o:lock v:ext="edit" aspectratio="f"/>
              </v:line>
            </w:pict>
          </mc:Fallback>
        </mc:AlternateContent>
      </w:r>
      <w:r>
        <w:rPr>
          <w:rFonts w:cs="Times New Roman"/>
          <w:color w:val="auto"/>
          <w:sz w:val="21"/>
          <w:szCs w:val="21"/>
          <w:highlight w:val="none"/>
        </w:rPr>
        <mc:AlternateContent>
          <mc:Choice Requires="wps">
            <w:drawing>
              <wp:anchor distT="0" distB="0" distL="114300" distR="114300" simplePos="0" relativeHeight="251663360" behindDoc="0" locked="0" layoutInCell="1" allowOverlap="1">
                <wp:simplePos x="0" y="0"/>
                <wp:positionH relativeFrom="column">
                  <wp:posOffset>2355850</wp:posOffset>
                </wp:positionH>
                <wp:positionV relativeFrom="paragraph">
                  <wp:posOffset>1386205</wp:posOffset>
                </wp:positionV>
                <wp:extent cx="1091565" cy="297815"/>
                <wp:effectExtent l="0" t="0" r="13335" b="6985"/>
                <wp:wrapNone/>
                <wp:docPr id="42" name="文本框 42"/>
                <wp:cNvGraphicFramePr/>
                <a:graphic xmlns:a="http://schemas.openxmlformats.org/drawingml/2006/main">
                  <a:graphicData uri="http://schemas.microsoft.com/office/word/2010/wordprocessingShape">
                    <wps:wsp>
                      <wps:cNvSpPr txBox="1"/>
                      <wps:spPr>
                        <a:xfrm>
                          <a:off x="3483610" y="5470525"/>
                          <a:ext cx="1091565" cy="2978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A99B968">
                            <w:pPr>
                              <w:rPr>
                                <w:rFonts w:hint="eastAsia" w:eastAsia="宋体"/>
                                <w:sz w:val="24"/>
                                <w:szCs w:val="24"/>
                                <w:lang w:val="en-US" w:eastAsia="zh-CN"/>
                              </w:rPr>
                            </w:pPr>
                            <w:r>
                              <w:rPr>
                                <w:rFonts w:hint="eastAsia" w:ascii="Times New Roman" w:hAnsi="Times New Roman" w:cs="Times New Roman"/>
                                <w:bCs w:val="0"/>
                                <w:sz w:val="24"/>
                                <w:szCs w:val="24"/>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5.5pt;margin-top:109.15pt;height:23.45pt;width:85.95pt;z-index:251663360;mso-width-relative:page;mso-height-relative:page;" fillcolor="#FFFFFF [3201]" filled="t" stroked="f" coordsize="21600,21600" o:gfxdata="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3970LXAAAACwEAAA8AAAAAAAAAAQAgAAAAIgAAAGRycy9kb3ducmV2LnhtbFBLAQIUABQAAAAI&#10;AIdO4kDHvqmKYAIAAJ0EAAAOAAAAAAAAAAEAIAAAACYBAABkcnMvZTJvRG9jLnhtbFBLBQYAAAAA&#10;BgAGAFkBAAD4BQAAAAA=&#10;">
                <v:fill on="t" focussize="0,0"/>
                <v:stroke on="f" weight="0.5pt"/>
                <v:imagedata o:title=""/>
                <o:lock v:ext="edit" aspectratio="f"/>
                <v:textbox>
                  <w:txbxContent>
                    <w:p w14:paraId="1A99B968">
                      <w:pPr>
                        <w:rPr>
                          <w:rFonts w:hint="eastAsia" w:eastAsia="宋体"/>
                          <w:sz w:val="24"/>
                          <w:szCs w:val="24"/>
                          <w:lang w:val="en-US" w:eastAsia="zh-CN"/>
                        </w:rPr>
                      </w:pPr>
                      <w:r>
                        <w:rPr>
                          <w:rFonts w:hint="eastAsia" w:ascii="Times New Roman" w:hAnsi="Times New Roman" w:cs="Times New Roman"/>
                          <w:bCs w:val="0"/>
                          <w:sz w:val="24"/>
                          <w:szCs w:val="24"/>
                          <w:lang w:val="en-US" w:eastAsia="zh-CN"/>
                        </w:rPr>
                        <w:t>2</w:t>
                      </w:r>
                    </w:p>
                  </w:txbxContent>
                </v:textbox>
              </v:shape>
            </w:pict>
          </mc:Fallback>
        </mc:AlternateContent>
      </w:r>
      <w:r>
        <w:rPr>
          <w:rFonts w:cs="Times New Roman"/>
          <w:color w:val="auto"/>
          <w:sz w:val="21"/>
          <w:szCs w:val="21"/>
          <w:highlight w:val="none"/>
        </w:rPr>
        <mc:AlternateContent>
          <mc:Choice Requires="wps">
            <w:drawing>
              <wp:anchor distT="0" distB="0" distL="114300" distR="114300" simplePos="0" relativeHeight="251670528" behindDoc="0" locked="0" layoutInCell="1" allowOverlap="1">
                <wp:simplePos x="0" y="0"/>
                <wp:positionH relativeFrom="column">
                  <wp:posOffset>2379980</wp:posOffset>
                </wp:positionH>
                <wp:positionV relativeFrom="paragraph">
                  <wp:posOffset>152400</wp:posOffset>
                </wp:positionV>
                <wp:extent cx="880110" cy="291465"/>
                <wp:effectExtent l="0" t="0" r="15240" b="13335"/>
                <wp:wrapNone/>
                <wp:docPr id="38" name="文本框 38"/>
                <wp:cNvGraphicFramePr/>
                <a:graphic xmlns:a="http://schemas.openxmlformats.org/drawingml/2006/main">
                  <a:graphicData uri="http://schemas.microsoft.com/office/word/2010/wordprocessingShape">
                    <wps:wsp>
                      <wps:cNvSpPr txBox="1"/>
                      <wps:spPr>
                        <a:xfrm>
                          <a:off x="0" y="0"/>
                          <a:ext cx="880110" cy="29146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A1C11CF">
                            <w:pPr>
                              <w:rPr>
                                <w:rFonts w:hint="eastAsia" w:eastAsia="宋体"/>
                                <w:sz w:val="24"/>
                                <w:szCs w:val="24"/>
                                <w:lang w:val="en-US" w:eastAsia="zh-CN"/>
                              </w:rPr>
                            </w:pPr>
                            <w:r>
                              <w:rPr>
                                <w:rFonts w:hint="eastAsia"/>
                                <w:sz w:val="24"/>
                                <w:szCs w:val="24"/>
                                <w:lang w:val="en-US" w:eastAsia="zh-C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7.4pt;margin-top:12pt;height:22.95pt;width:69.3pt;z-index:251670528;mso-width-relative:page;mso-height-relative:page;" fillcolor="#FFFFFF [3201]" filled="t" stroked="f" coordsize="21600,21600" o:gfxdata="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KG/LNjWAAAACQEAAA8AAAAA&#10;AAAAAQAgAAAAIgAAAGRycy9kb3ducmV2LnhtbFBLAQIUABQAAAAIAIdO4kC4hvdrTwIAAJAEAAAO&#10;AAAAAAAAAAEAIAAAACUBAABkcnMvZTJvRG9jLnhtbFBLBQYAAAAABgAGAFkBAADmBQAAAAA=&#10;">
                <v:fill on="t" focussize="0,0"/>
                <v:stroke on="f" weight="0.5pt"/>
                <v:imagedata o:title=""/>
                <o:lock v:ext="edit" aspectratio="f"/>
                <v:textbox>
                  <w:txbxContent>
                    <w:p w14:paraId="0A1C11CF">
                      <w:pPr>
                        <w:rPr>
                          <w:rFonts w:hint="eastAsia" w:eastAsia="宋体"/>
                          <w:sz w:val="24"/>
                          <w:szCs w:val="24"/>
                          <w:lang w:val="en-US" w:eastAsia="zh-CN"/>
                        </w:rPr>
                      </w:pPr>
                      <w:r>
                        <w:rPr>
                          <w:rFonts w:hint="eastAsia"/>
                          <w:sz w:val="24"/>
                          <w:szCs w:val="24"/>
                          <w:lang w:val="en-US" w:eastAsia="zh-CN"/>
                        </w:rPr>
                        <w:t>1</w:t>
                      </w:r>
                    </w:p>
                  </w:txbxContent>
                </v:textbox>
              </v:shape>
            </w:pict>
          </mc:Fallback>
        </mc:AlternateContent>
      </w:r>
      <w:r>
        <w:rPr>
          <w:rFonts w:cs="Times New Roman"/>
          <w:color w:val="auto"/>
          <w:sz w:val="21"/>
          <w:szCs w:val="21"/>
          <w:highlight w:val="none"/>
        </w:rPr>
        <mc:AlternateContent>
          <mc:Choice Requires="wps">
            <w:drawing>
              <wp:anchor distT="0" distB="0" distL="114300" distR="114300" simplePos="0" relativeHeight="251668480" behindDoc="0" locked="0" layoutInCell="1" allowOverlap="1">
                <wp:simplePos x="0" y="0"/>
                <wp:positionH relativeFrom="column">
                  <wp:posOffset>1978660</wp:posOffset>
                </wp:positionH>
                <wp:positionV relativeFrom="paragraph">
                  <wp:posOffset>322580</wp:posOffset>
                </wp:positionV>
                <wp:extent cx="447040" cy="129540"/>
                <wp:effectExtent l="1270" t="4445" r="8890" b="18415"/>
                <wp:wrapNone/>
                <wp:docPr id="40" name="直接连接符 40"/>
                <wp:cNvGraphicFramePr/>
                <a:graphic xmlns:a="http://schemas.openxmlformats.org/drawingml/2006/main">
                  <a:graphicData uri="http://schemas.microsoft.com/office/word/2010/wordprocessingShape">
                    <wps:wsp>
                      <wps:cNvCnPr/>
                      <wps:spPr>
                        <a:xfrm flipV="1">
                          <a:off x="0" y="0"/>
                          <a:ext cx="447040" cy="129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155.8pt;margin-top:25.4pt;height:10.2pt;width:35.2pt;z-index:251668480;mso-width-relative:page;mso-height-relative:page;" filled="f" stroked="t" coordsize="21600,21600" o:gfxdata="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StSoTXAAAACQEAAA8AAAAAAAAAAQAgAAAAIgAAAGRycy9kb3ducmV2LnhtbFBLAQIUABQAAAAI&#10;AIdO4kA8ZHQ27gEAAMEDAAAOAAAAAAAAAAEAIAAAACYBAABkcnMvZTJvRG9jLnhtbFBLBQYAAAAA&#10;BgAGAFkBAACGBQAAAAA=&#10;">
                <v:fill on="f" focussize="0,0"/>
                <v:stroke weight="0.5pt" color="#000000 [3213]" miterlimit="8" joinstyle="miter"/>
                <v:imagedata o:title=""/>
                <o:lock v:ext="edit" aspectratio="f"/>
              </v:line>
            </w:pict>
          </mc:Fallback>
        </mc:AlternateContent>
      </w:r>
      <w:r>
        <w:rPr>
          <w:rFonts w:cs="Times New Roman"/>
          <w:color w:val="auto"/>
          <w:sz w:val="21"/>
          <w:szCs w:val="21"/>
          <w:highlight w:val="none"/>
        </w:rPr>
        <mc:AlternateContent>
          <mc:Choice Requires="wps">
            <w:drawing>
              <wp:anchor distT="0" distB="0" distL="114300" distR="114300" simplePos="0" relativeHeight="251672576" behindDoc="0" locked="0" layoutInCell="1" allowOverlap="1">
                <wp:simplePos x="0" y="0"/>
                <wp:positionH relativeFrom="column">
                  <wp:posOffset>2446655</wp:posOffset>
                </wp:positionH>
                <wp:positionV relativeFrom="paragraph">
                  <wp:posOffset>1757045</wp:posOffset>
                </wp:positionV>
                <wp:extent cx="682625" cy="297815"/>
                <wp:effectExtent l="0" t="0" r="3175" b="6985"/>
                <wp:wrapNone/>
                <wp:docPr id="36" name="文本框 36"/>
                <wp:cNvGraphicFramePr/>
                <a:graphic xmlns:a="http://schemas.openxmlformats.org/drawingml/2006/main">
                  <a:graphicData uri="http://schemas.microsoft.com/office/word/2010/wordprocessingShape">
                    <wps:wsp>
                      <wps:cNvSpPr txBox="1"/>
                      <wps:spPr>
                        <a:xfrm>
                          <a:off x="0" y="0"/>
                          <a:ext cx="682625" cy="2978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1521941">
                            <w:pPr>
                              <w:rPr>
                                <w:rFonts w:hint="eastAsia" w:eastAsia="宋体"/>
                                <w:sz w:val="24"/>
                                <w:szCs w:val="24"/>
                                <w:lang w:val="en-US" w:eastAsia="zh-CN"/>
                              </w:rPr>
                            </w:pPr>
                            <w:r>
                              <w:rPr>
                                <w:rFonts w:hint="eastAsia"/>
                                <w:sz w:val="24"/>
                                <w:szCs w:val="24"/>
                                <w:lang w:val="en-US" w:eastAsia="zh-CN"/>
                              </w:rPr>
                              <w:t>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2.65pt;margin-top:138.35pt;height:23.45pt;width:53.75pt;z-index:251672576;mso-width-relative:page;mso-height-relative:page;" fillcolor="#FFFFFF [3201]" filled="t" stroked="f" coordsize="21600,21600" o:gfxdata="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oZszltYAAAALAQAADwAA&#10;AAAAAAABACAAAAAiAAAAZHJzL2Rvd25yZXYueG1sUEsBAhQAFAAAAAgAh07iQET+mq5RAgAAkAQA&#10;AA4AAAAAAAAAAQAgAAAAJQEAAGRycy9lMm9Eb2MueG1sUEsFBgAAAAAGAAYAWQEAAOgFAAAAAA==&#10;">
                <v:fill on="t" focussize="0,0"/>
                <v:stroke on="f" weight="0.5pt"/>
                <v:imagedata o:title=""/>
                <o:lock v:ext="edit" aspectratio="f"/>
                <v:textbox>
                  <w:txbxContent>
                    <w:p w14:paraId="31521941">
                      <w:pPr>
                        <w:rPr>
                          <w:rFonts w:hint="eastAsia" w:eastAsia="宋体"/>
                          <w:sz w:val="24"/>
                          <w:szCs w:val="24"/>
                          <w:lang w:val="en-US" w:eastAsia="zh-CN"/>
                        </w:rPr>
                      </w:pPr>
                      <w:r>
                        <w:rPr>
                          <w:rFonts w:hint="eastAsia"/>
                          <w:sz w:val="24"/>
                          <w:szCs w:val="24"/>
                          <w:lang w:val="en-US" w:eastAsia="zh-CN"/>
                        </w:rPr>
                        <w:t>5</w:t>
                      </w:r>
                    </w:p>
                  </w:txbxContent>
                </v:textbox>
              </v:shape>
            </w:pict>
          </mc:Fallback>
        </mc:AlternateContent>
      </w:r>
      <w:r>
        <w:rPr>
          <w:rFonts w:cs="Times New Roman"/>
          <w:color w:val="auto"/>
          <w:sz w:val="21"/>
          <w:szCs w:val="21"/>
          <w:highlight w:val="none"/>
        </w:rPr>
        <mc:AlternateContent>
          <mc:Choice Requires="wps">
            <w:drawing>
              <wp:anchor distT="0" distB="0" distL="114300" distR="114300" simplePos="0" relativeHeight="251671552" behindDoc="0" locked="0" layoutInCell="1" allowOverlap="1">
                <wp:simplePos x="0" y="0"/>
                <wp:positionH relativeFrom="column">
                  <wp:posOffset>2019300</wp:posOffset>
                </wp:positionH>
                <wp:positionV relativeFrom="paragraph">
                  <wp:posOffset>1915160</wp:posOffset>
                </wp:positionV>
                <wp:extent cx="447040" cy="129540"/>
                <wp:effectExtent l="1270" t="4445" r="8890" b="18415"/>
                <wp:wrapNone/>
                <wp:docPr id="37" name="直接连接符 37"/>
                <wp:cNvGraphicFramePr/>
                <a:graphic xmlns:a="http://schemas.openxmlformats.org/drawingml/2006/main">
                  <a:graphicData uri="http://schemas.microsoft.com/office/word/2010/wordprocessingShape">
                    <wps:wsp>
                      <wps:cNvCnPr/>
                      <wps:spPr>
                        <a:xfrm flipV="1">
                          <a:off x="0" y="0"/>
                          <a:ext cx="447040" cy="129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159pt;margin-top:150.8pt;height:10.2pt;width:35.2pt;z-index:251671552;mso-width-relative:page;mso-height-relative:page;" filled="f" stroked="t" coordsize="21600,21600" o:gfxdata="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RU5gm9gAAAALAQAADwAAAAAAAAABACAAAAAiAAAAZHJzL2Rvd25yZXYueG1sUEsBAhQAFAAA&#10;AAgAh07iQJmmaTDvAQAAwQMAAA4AAAAAAAAAAQAgAAAAJwEAAGRycy9lMm9Eb2MueG1sUEsFBgAA&#10;AAAGAAYAWQEAAIgFAAAAAA==&#10;">
                <v:fill on="f" focussize="0,0"/>
                <v:stroke weight="0.5pt" color="#000000 [3213]" miterlimit="8" joinstyle="miter"/>
                <v:imagedata o:title=""/>
                <o:lock v:ext="edit" aspectratio="f"/>
              </v:line>
            </w:pict>
          </mc:Fallback>
        </mc:AlternateContent>
      </w:r>
      <w:r>
        <w:rPr>
          <w:rFonts w:cs="Times New Roman"/>
          <w:color w:val="auto"/>
          <w:sz w:val="21"/>
          <w:szCs w:val="21"/>
          <w:highlight w:val="none"/>
        </w:rPr>
        <mc:AlternateContent>
          <mc:Choice Requires="wps">
            <w:drawing>
              <wp:anchor distT="0" distB="0" distL="114300" distR="114300" simplePos="0" relativeHeight="251661312" behindDoc="0" locked="0" layoutInCell="1" allowOverlap="1">
                <wp:simplePos x="0" y="0"/>
                <wp:positionH relativeFrom="column">
                  <wp:posOffset>1970405</wp:posOffset>
                </wp:positionH>
                <wp:positionV relativeFrom="paragraph">
                  <wp:posOffset>1527175</wp:posOffset>
                </wp:positionV>
                <wp:extent cx="447040" cy="129540"/>
                <wp:effectExtent l="1270" t="4445" r="8890" b="18415"/>
                <wp:wrapNone/>
                <wp:docPr id="43" name="直接连接符 43"/>
                <wp:cNvGraphicFramePr/>
                <a:graphic xmlns:a="http://schemas.openxmlformats.org/drawingml/2006/main">
                  <a:graphicData uri="http://schemas.microsoft.com/office/word/2010/wordprocessingShape">
                    <wps:wsp>
                      <wps:cNvCnPr/>
                      <wps:spPr>
                        <a:xfrm flipV="1">
                          <a:off x="3025140" y="5553075"/>
                          <a:ext cx="447040" cy="129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155.15pt;margin-top:120.25pt;height:10.2pt;width:35.2pt;z-index:251661312;mso-width-relative:page;mso-height-relative:page;" filled="f" stroked="t" coordsize="21600,21600" o:gfxdata="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1YS2wtkAAAALAQAADwAAAAAAAAABACAAAAAiAAAAZHJzL2Rvd25yZXYu&#10;eG1sUEsBAhQAFAAAAAgAh07iQJ0q/G/6AQAAzQMAAA4AAAAAAAAAAQAgAAAAKAEAAGRycy9lMm9E&#10;b2MueG1sUEsFBgAAAAAGAAYAWQEAAJQFAAAAAA==&#10;">
                <v:fill on="f" focussize="0,0"/>
                <v:stroke weight="0.5pt" color="#000000 [3213]" miterlimit="8" joinstyle="miter"/>
                <v:imagedata o:title=""/>
                <o:lock v:ext="edit" aspectratio="f"/>
              </v:line>
            </w:pict>
          </mc:Fallback>
        </mc:AlternateContent>
      </w:r>
      <w:r>
        <w:rPr>
          <w:rFonts w:cs="Times New Roman"/>
          <w:color w:val="auto"/>
          <w:sz w:val="21"/>
          <w:szCs w:val="21"/>
          <w:highlight w:val="none"/>
        </w:rPr>
        <mc:AlternateContent>
          <mc:Choice Requires="wps">
            <w:drawing>
              <wp:anchor distT="0" distB="0" distL="114300" distR="114300" simplePos="0" relativeHeight="251669504" behindDoc="0" locked="0" layoutInCell="1" allowOverlap="1">
                <wp:simplePos x="0" y="0"/>
                <wp:positionH relativeFrom="column">
                  <wp:posOffset>2367280</wp:posOffset>
                </wp:positionH>
                <wp:positionV relativeFrom="paragraph">
                  <wp:posOffset>1002665</wp:posOffset>
                </wp:positionV>
                <wp:extent cx="896620" cy="297815"/>
                <wp:effectExtent l="0" t="0" r="17780" b="6985"/>
                <wp:wrapNone/>
                <wp:docPr id="39" name="文本框 39"/>
                <wp:cNvGraphicFramePr/>
                <a:graphic xmlns:a="http://schemas.openxmlformats.org/drawingml/2006/main">
                  <a:graphicData uri="http://schemas.microsoft.com/office/word/2010/wordprocessingShape">
                    <wps:wsp>
                      <wps:cNvSpPr txBox="1"/>
                      <wps:spPr>
                        <a:xfrm>
                          <a:off x="0" y="0"/>
                          <a:ext cx="896620" cy="2978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F389FF3">
                            <w:pPr>
                              <w:rPr>
                                <w:rFonts w:hint="eastAsia" w:eastAsia="宋体"/>
                                <w:sz w:val="24"/>
                                <w:szCs w:val="24"/>
                                <w:lang w:val="en-US" w:eastAsia="zh-CN"/>
                              </w:rPr>
                            </w:pPr>
                            <w:r>
                              <w:rPr>
                                <w:rFonts w:hint="eastAsia"/>
                                <w:sz w:val="24"/>
                                <w:szCs w:val="24"/>
                                <w:lang w:val="en-US" w:eastAsia="zh-CN"/>
                              </w:rPr>
                              <w:t>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6.4pt;margin-top:78.95pt;height:23.45pt;width:70.6pt;z-index:251669504;mso-width-relative:page;mso-height-relative:page;" fillcolor="#FFFFFF [3201]" filled="t" stroked="f" coordsize="21600,21600" o:gfxdata="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epfpj1gAAAAsBAAAPAAAA&#10;AAAAAAEAIAAAACIAAABkcnMvZG93bnJldi54bWxQSwECFAAUAAAACACHTuJALtGVIVACAACQBAAA&#10;DgAAAAAAAAABACAAAAAlAQAAZHJzL2Uyb0RvYy54bWxQSwUGAAAAAAYABgBZAQAA5wUAAAAA&#10;">
                <v:fill on="t" focussize="0,0"/>
                <v:stroke on="f" weight="0.5pt"/>
                <v:imagedata o:title=""/>
                <o:lock v:ext="edit" aspectratio="f"/>
                <v:textbox>
                  <w:txbxContent>
                    <w:p w14:paraId="2F389FF3">
                      <w:pPr>
                        <w:rPr>
                          <w:rFonts w:hint="eastAsia" w:eastAsia="宋体"/>
                          <w:sz w:val="24"/>
                          <w:szCs w:val="24"/>
                          <w:lang w:val="en-US" w:eastAsia="zh-CN"/>
                        </w:rPr>
                      </w:pPr>
                      <w:r>
                        <w:rPr>
                          <w:rFonts w:hint="eastAsia"/>
                          <w:sz w:val="24"/>
                          <w:szCs w:val="24"/>
                          <w:lang w:val="en-US" w:eastAsia="zh-CN"/>
                        </w:rPr>
                        <w:t>4</w:t>
                      </w:r>
                    </w:p>
                  </w:txbxContent>
                </v:textbox>
              </v:shape>
            </w:pict>
          </mc:Fallback>
        </mc:AlternateContent>
      </w:r>
      <w:r>
        <w:rPr>
          <w:rFonts w:cs="Times New Roman"/>
          <w:color w:val="auto"/>
          <w:sz w:val="21"/>
          <w:szCs w:val="21"/>
          <w:highlight w:val="none"/>
        </w:rPr>
        <mc:AlternateContent>
          <mc:Choice Requires="wps">
            <w:drawing>
              <wp:anchor distT="0" distB="0" distL="114300" distR="114300" simplePos="0" relativeHeight="251665408" behindDoc="0" locked="0" layoutInCell="1" allowOverlap="1">
                <wp:simplePos x="0" y="0"/>
                <wp:positionH relativeFrom="column">
                  <wp:posOffset>1997075</wp:posOffset>
                </wp:positionH>
                <wp:positionV relativeFrom="paragraph">
                  <wp:posOffset>1149985</wp:posOffset>
                </wp:positionV>
                <wp:extent cx="447040" cy="129540"/>
                <wp:effectExtent l="1270" t="4445" r="8890" b="18415"/>
                <wp:wrapNone/>
                <wp:docPr id="41" name="直接连接符 41"/>
                <wp:cNvGraphicFramePr/>
                <a:graphic xmlns:a="http://schemas.openxmlformats.org/drawingml/2006/main">
                  <a:graphicData uri="http://schemas.microsoft.com/office/word/2010/wordprocessingShape">
                    <wps:wsp>
                      <wps:cNvCnPr/>
                      <wps:spPr>
                        <a:xfrm flipV="1">
                          <a:off x="0" y="0"/>
                          <a:ext cx="447040" cy="129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157.25pt;margin-top:90.55pt;height:10.2pt;width:35.2pt;z-index:251665408;mso-width-relative:page;mso-height-relative:page;" filled="f" stroked="t" coordsize="21600,21600" o:gfxdata="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APuB62AAAAAsBAAAPAAAAAAAAAAEAIAAAACIAAABkcnMvZG93bnJldi54bWxQSwECFAAUAAAA&#10;CACHTuJAxV9GPO4BAADBAwAADgAAAAAAAAABACAAAAAnAQAAZHJzL2Uyb0RvYy54bWxQSwUGAAAA&#10;AAYABgBZAQAAhwUAAAAA&#10;">
                <v:fill on="f" focussize="0,0"/>
                <v:stroke weight="0.5pt" color="#000000 [3213]" miterlimit="8" joinstyle="miter"/>
                <v:imagedata o:title=""/>
                <o:lock v:ext="edit" aspectratio="f"/>
              </v:line>
            </w:pict>
          </mc:Fallback>
        </mc:AlternateContent>
      </w:r>
      <w:r>
        <w:rPr>
          <w:rFonts w:cs="Times New Roman"/>
          <w:color w:val="auto"/>
          <w:sz w:val="21"/>
          <w:szCs w:val="21"/>
          <w:highlight w:val="none"/>
        </w:rPr>
        <w:drawing>
          <wp:inline distT="0" distB="0" distL="114300" distR="114300">
            <wp:extent cx="812165" cy="2089785"/>
            <wp:effectExtent l="0" t="0" r="6985" b="5715"/>
            <wp:docPr id="4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7"/>
                    <pic:cNvPicPr>
                      <a:picLocks noChangeAspect="1"/>
                    </pic:cNvPicPr>
                  </pic:nvPicPr>
                  <pic:blipFill>
                    <a:blip r:embed="rId95">
                      <a:grayscl/>
                    </a:blip>
                    <a:srcRect t="9884" b="1095"/>
                    <a:stretch>
                      <a:fillRect/>
                    </a:stretch>
                  </pic:blipFill>
                  <pic:spPr>
                    <a:xfrm>
                      <a:off x="0" y="0"/>
                      <a:ext cx="812165" cy="2089785"/>
                    </a:xfrm>
                    <a:prstGeom prst="rect">
                      <a:avLst/>
                    </a:prstGeom>
                    <a:noFill/>
                    <a:ln>
                      <a:noFill/>
                    </a:ln>
                  </pic:spPr>
                </pic:pic>
              </a:graphicData>
            </a:graphic>
          </wp:inline>
        </w:drawing>
      </w:r>
      <w:r>
        <w:rPr>
          <w:rFonts w:hint="default" w:cs="Times New Roman"/>
          <w:color w:val="auto"/>
          <w:sz w:val="21"/>
          <w:szCs w:val="21"/>
          <w:highlight w:val="none"/>
        </w:rPr>
        <w:t xml:space="preserve">                 </w:t>
      </w:r>
      <w:r>
        <w:rPr>
          <w:rFonts w:cs="Times New Roman"/>
          <w:color w:val="auto"/>
          <w:sz w:val="21"/>
          <w:szCs w:val="21"/>
          <w:highlight w:val="none"/>
        </w:rPr>
        <w:drawing>
          <wp:inline distT="0" distB="0" distL="114300" distR="114300">
            <wp:extent cx="834390" cy="1758315"/>
            <wp:effectExtent l="0" t="0" r="3810" b="13335"/>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96">
                      <a:grayscl/>
                    </a:blip>
                    <a:stretch>
                      <a:fillRect/>
                    </a:stretch>
                  </pic:blipFill>
                  <pic:spPr>
                    <a:xfrm>
                      <a:off x="0" y="0"/>
                      <a:ext cx="834390" cy="1758315"/>
                    </a:xfrm>
                    <a:prstGeom prst="rect">
                      <a:avLst/>
                    </a:prstGeom>
                  </pic:spPr>
                </pic:pic>
              </a:graphicData>
            </a:graphic>
          </wp:inline>
        </w:drawing>
      </w:r>
    </w:p>
    <w:p w14:paraId="207E71EA">
      <w:pPr>
        <w:pStyle w:val="2"/>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1 预制墩柱，2 底座混凝土，3 壳壁，4 壳壁钢筋，5 桩基</w:t>
      </w:r>
    </w:p>
    <w:p w14:paraId="7BC43B41">
      <w:pPr>
        <w:pStyle w:val="169"/>
        <w:keepNext w:val="0"/>
        <w:keepLines w:val="0"/>
        <w:pageBreakBefore w:val="0"/>
        <w:kinsoku/>
        <w:wordWrap/>
        <w:overflowPunct/>
        <w:topLinePunct w:val="0"/>
        <w:autoSpaceDE/>
        <w:autoSpaceDN/>
        <w:bidi w:val="0"/>
        <w:adjustRightInd/>
        <w:snapToGrid/>
        <w:spacing w:afterLines="0" w:line="360" w:lineRule="auto"/>
        <w:ind w:firstLine="0"/>
        <w:jc w:val="center"/>
        <w:textAlignment w:val="auto"/>
        <w:rPr>
          <w:rFonts w:ascii="Times New Roman" w:hAnsi="Times New Roman" w:cs="Times New Roman"/>
          <w:bCs/>
          <w:color w:val="auto"/>
          <w:sz w:val="21"/>
          <w:szCs w:val="21"/>
          <w:highlight w:val="none"/>
        </w:rPr>
      </w:pPr>
      <w:r>
        <w:rPr>
          <w:rFonts w:hint="default" w:ascii="Times New Roman" w:hAnsi="Times New Roman" w:cs="Times New Roman"/>
          <w:bCs/>
          <w:color w:val="auto"/>
          <w:sz w:val="21"/>
          <w:szCs w:val="21"/>
          <w:highlight w:val="none"/>
        </w:rPr>
        <w:t>图6.6.1 壳式连接示意图</w:t>
      </w:r>
    </w:p>
    <w:p w14:paraId="263D38DF">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cs="Times New Roman"/>
          <w:bCs/>
          <w:color w:val="auto"/>
          <w:sz w:val="24"/>
          <w:szCs w:val="24"/>
          <w:highlight w:val="none"/>
        </w:rPr>
      </w:pPr>
      <w:r>
        <w:rPr>
          <w:rFonts w:hint="eastAsia" w:eastAsia="宋体"/>
          <w:b/>
          <w:color w:val="auto"/>
          <w:sz w:val="24"/>
          <w:szCs w:val="24"/>
          <w:highlight w:val="none"/>
        </w:rPr>
        <w:t>6.6</w:t>
      </w:r>
      <w:r>
        <w:rPr>
          <w:rFonts w:eastAsia="宋体"/>
          <w:b/>
          <w:color w:val="auto"/>
          <w:sz w:val="24"/>
          <w:szCs w:val="24"/>
          <w:highlight w:val="none"/>
        </w:rPr>
        <w:t>.2</w:t>
      </w:r>
      <w:r>
        <w:rPr>
          <w:rFonts w:ascii="Times New Roman" w:hAnsi="Times New Roman" w:eastAsia="宋体" w:cs="Times New Roman"/>
          <w:bCs/>
          <w:color w:val="auto"/>
          <w:sz w:val="24"/>
          <w:szCs w:val="24"/>
          <w:highlight w:val="none"/>
        </w:rPr>
        <w:t xml:space="preserve">  </w:t>
      </w:r>
      <w:r>
        <w:rPr>
          <w:rFonts w:hint="default" w:ascii="Times New Roman" w:hAnsi="Times New Roman" w:eastAsia="宋体" w:cs="Times New Roman"/>
          <w:bCs/>
          <w:color w:val="auto"/>
          <w:sz w:val="24"/>
          <w:szCs w:val="24"/>
          <w:highlight w:val="none"/>
        </w:rPr>
        <w:t>壳壁宜采用超高性能混凝土，其材料指标应满足本标准4</w:t>
      </w:r>
      <w:r>
        <w:rPr>
          <w:rFonts w:ascii="Times New Roman" w:hAnsi="Times New Roman" w:eastAsia="宋体" w:cs="Times New Roman"/>
          <w:bCs/>
          <w:color w:val="auto"/>
          <w:sz w:val="24"/>
          <w:szCs w:val="24"/>
          <w:highlight w:val="none"/>
        </w:rPr>
        <w:t>.5.4</w:t>
      </w:r>
      <w:r>
        <w:rPr>
          <w:rFonts w:hint="default" w:ascii="Times New Roman" w:hAnsi="Times New Roman" w:eastAsia="宋体" w:cs="Times New Roman"/>
          <w:bCs/>
          <w:color w:val="auto"/>
          <w:sz w:val="24"/>
          <w:szCs w:val="24"/>
          <w:highlight w:val="none"/>
        </w:rPr>
        <w:t>要求。</w:t>
      </w:r>
    </w:p>
    <w:p w14:paraId="74A635C2">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cs="Times New Roman"/>
          <w:bCs/>
          <w:color w:val="auto"/>
          <w:sz w:val="24"/>
          <w:szCs w:val="24"/>
          <w:highlight w:val="none"/>
        </w:rPr>
      </w:pPr>
      <w:r>
        <w:rPr>
          <w:rFonts w:hint="eastAsia" w:eastAsia="宋体"/>
          <w:b/>
          <w:color w:val="auto"/>
          <w:sz w:val="24"/>
          <w:szCs w:val="24"/>
          <w:highlight w:val="none"/>
        </w:rPr>
        <w:t>6.6</w:t>
      </w:r>
      <w:r>
        <w:rPr>
          <w:rFonts w:eastAsia="宋体"/>
          <w:b/>
          <w:color w:val="auto"/>
          <w:sz w:val="24"/>
          <w:szCs w:val="24"/>
          <w:highlight w:val="none"/>
        </w:rPr>
        <w:t>.3</w:t>
      </w:r>
      <w:r>
        <w:rPr>
          <w:rFonts w:hint="default" w:ascii="Times New Roman" w:hAnsi="Times New Roman" w:eastAsia="宋体" w:cs="Times New Roman"/>
          <w:bCs/>
          <w:color w:val="auto"/>
          <w:sz w:val="24"/>
          <w:szCs w:val="24"/>
          <w:highlight w:val="none"/>
        </w:rPr>
        <w:t xml:space="preserve">  壳式连接应符合下列规定：</w:t>
      </w:r>
    </w:p>
    <w:p w14:paraId="4BC3881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1 预制墩插入深度应不小于墩柱直径的0.8倍；</w:t>
      </w:r>
    </w:p>
    <w:p w14:paraId="7E46CC4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2 壳壁采用超高性能混凝土</w:t>
      </w:r>
      <w:r>
        <w:rPr>
          <w:rFonts w:hint="eastAsia" w:eastAsia="宋体" w:cs="Times New Roman"/>
          <w:bCs/>
          <w:color w:val="auto"/>
          <w:sz w:val="24"/>
          <w:szCs w:val="24"/>
          <w:highlight w:val="none"/>
          <w:lang w:eastAsia="zh-CN"/>
        </w:rPr>
        <w:t>时</w:t>
      </w:r>
      <w:r>
        <w:rPr>
          <w:rFonts w:hint="default" w:ascii="Times New Roman" w:hAnsi="Times New Roman" w:eastAsia="宋体" w:cs="Times New Roman"/>
          <w:bCs/>
          <w:color w:val="auto"/>
          <w:sz w:val="24"/>
          <w:szCs w:val="24"/>
          <w:highlight w:val="none"/>
        </w:rPr>
        <w:t>，壳壁厚度应不小于墩柱直径的0.15倍，且不应小于25cm；</w:t>
      </w:r>
    </w:p>
    <w:p w14:paraId="58AA5A2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3 桩基预留钢筋长度应满足最小锚固长度的要求；</w:t>
      </w:r>
    </w:p>
    <w:p w14:paraId="52E6FFA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4 预制墩柱插入段表面与承插孔壁表面应均匀设置键槽，键槽深度</w:t>
      </w:r>
      <w:r>
        <w:rPr>
          <w:rFonts w:hint="default" w:ascii="Times New Roman" w:hAnsi="Times New Roman" w:eastAsia="宋体" w:cs="Times New Roman"/>
          <w:bCs/>
          <w:i/>
          <w:iCs/>
          <w:color w:val="auto"/>
          <w:sz w:val="24"/>
          <w:szCs w:val="24"/>
          <w:highlight w:val="none"/>
        </w:rPr>
        <w:t>h</w:t>
      </w:r>
      <w:r>
        <w:rPr>
          <w:rFonts w:hint="default" w:ascii="Times New Roman" w:hAnsi="Times New Roman" w:eastAsia="宋体" w:cs="Times New Roman"/>
          <w:bCs/>
          <w:color w:val="auto"/>
          <w:sz w:val="24"/>
          <w:szCs w:val="24"/>
          <w:highlight w:val="none"/>
          <w:vertAlign w:val="subscript"/>
        </w:rPr>
        <w:t>1</w:t>
      </w:r>
      <w:r>
        <w:rPr>
          <w:rFonts w:hint="default" w:ascii="Times New Roman" w:hAnsi="Times New Roman" w:eastAsia="宋体" w:cs="Times New Roman"/>
          <w:bCs/>
          <w:color w:val="auto"/>
          <w:sz w:val="24"/>
          <w:szCs w:val="24"/>
          <w:highlight w:val="none"/>
        </w:rPr>
        <w:t>不宜小于30mm，并应采用梯形截面构造（倾角接近45°）。键槽凹面和凸面的长度</w:t>
      </w:r>
      <w:r>
        <w:rPr>
          <w:rFonts w:hint="default" w:ascii="Times New Roman" w:hAnsi="Times New Roman" w:eastAsia="宋体" w:cs="Times New Roman"/>
          <w:bCs/>
          <w:i/>
          <w:iCs/>
          <w:color w:val="auto"/>
          <w:sz w:val="24"/>
          <w:szCs w:val="24"/>
          <w:highlight w:val="none"/>
        </w:rPr>
        <w:t>b</w:t>
      </w:r>
      <w:r>
        <w:rPr>
          <w:rFonts w:hint="default" w:ascii="Times New Roman" w:hAnsi="Times New Roman" w:eastAsia="宋体" w:cs="Times New Roman"/>
          <w:bCs/>
          <w:color w:val="auto"/>
          <w:sz w:val="24"/>
          <w:szCs w:val="24"/>
          <w:highlight w:val="none"/>
          <w:vertAlign w:val="subscript"/>
        </w:rPr>
        <w:t>1</w:t>
      </w:r>
      <w:r>
        <w:rPr>
          <w:rFonts w:hint="default" w:ascii="Times New Roman" w:hAnsi="Times New Roman" w:eastAsia="宋体" w:cs="Times New Roman"/>
          <w:bCs/>
          <w:color w:val="auto"/>
          <w:sz w:val="24"/>
          <w:szCs w:val="24"/>
          <w:highlight w:val="none"/>
        </w:rPr>
        <w:t xml:space="preserve"> 宜为深度</w:t>
      </w:r>
      <w:r>
        <w:rPr>
          <w:rFonts w:hint="default" w:ascii="Times New Roman" w:hAnsi="Times New Roman" w:eastAsia="宋体" w:cs="Times New Roman"/>
          <w:bCs/>
          <w:i/>
          <w:iCs/>
          <w:color w:val="auto"/>
          <w:sz w:val="24"/>
          <w:szCs w:val="24"/>
          <w:highlight w:val="none"/>
        </w:rPr>
        <w:t>h</w:t>
      </w:r>
      <w:r>
        <w:rPr>
          <w:rFonts w:hint="default" w:ascii="Times New Roman" w:hAnsi="Times New Roman" w:eastAsia="宋体" w:cs="Times New Roman"/>
          <w:bCs/>
          <w:color w:val="auto"/>
          <w:sz w:val="24"/>
          <w:szCs w:val="24"/>
          <w:highlight w:val="none"/>
          <w:vertAlign w:val="subscript"/>
        </w:rPr>
        <w:t>1</w:t>
      </w:r>
      <w:r>
        <w:rPr>
          <w:rFonts w:hint="default" w:ascii="Times New Roman" w:hAnsi="Times New Roman" w:eastAsia="宋体" w:cs="Times New Roman"/>
          <w:bCs/>
          <w:color w:val="auto"/>
          <w:sz w:val="24"/>
          <w:szCs w:val="24"/>
          <w:highlight w:val="none"/>
        </w:rPr>
        <w:t>的2倍；</w:t>
      </w:r>
    </w:p>
    <w:p w14:paraId="7828D3E2">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color w:val="auto"/>
          <w:sz w:val="21"/>
          <w:szCs w:val="21"/>
          <w:highlight w:val="none"/>
        </w:rPr>
      </w:pPr>
      <w:r>
        <w:rPr>
          <w:color w:val="auto"/>
          <w:sz w:val="21"/>
          <w:szCs w:val="21"/>
          <w:highlight w:val="none"/>
        </w:rPr>
        <w:drawing>
          <wp:inline distT="0" distB="0" distL="114300" distR="114300">
            <wp:extent cx="1317625" cy="1824990"/>
            <wp:effectExtent l="0" t="0" r="15875" b="3810"/>
            <wp:docPr id="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6"/>
                    <pic:cNvPicPr>
                      <a:picLocks noChangeAspect="1"/>
                    </pic:cNvPicPr>
                  </pic:nvPicPr>
                  <pic:blipFill>
                    <a:blip r:embed="rId97"/>
                    <a:srcRect t="3968" b="4686"/>
                    <a:stretch>
                      <a:fillRect/>
                    </a:stretch>
                  </pic:blipFill>
                  <pic:spPr>
                    <a:xfrm>
                      <a:off x="0" y="0"/>
                      <a:ext cx="1317625" cy="1824990"/>
                    </a:xfrm>
                    <a:prstGeom prst="rect">
                      <a:avLst/>
                    </a:prstGeom>
                    <a:noFill/>
                    <a:ln>
                      <a:noFill/>
                    </a:ln>
                  </pic:spPr>
                </pic:pic>
              </a:graphicData>
            </a:graphic>
          </wp:inline>
        </w:drawing>
      </w:r>
    </w:p>
    <w:p w14:paraId="3EE7FAB0">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宋体"/>
          <w:color w:val="auto"/>
          <w:sz w:val="21"/>
          <w:szCs w:val="21"/>
          <w:highlight w:val="none"/>
        </w:rPr>
      </w:pPr>
      <w:r>
        <w:rPr>
          <w:rFonts w:hint="eastAsia" w:eastAsia="宋体"/>
          <w:color w:val="auto"/>
          <w:sz w:val="21"/>
          <w:szCs w:val="21"/>
          <w:highlight w:val="none"/>
        </w:rPr>
        <w:t>图6.3.3 预制墩柱键槽示意图</w:t>
      </w:r>
    </w:p>
    <w:p w14:paraId="5074B8A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5 壳壁多重抗剪环形筋配筋率应根据计算确定，不应少于两层。</w:t>
      </w:r>
    </w:p>
    <w:p w14:paraId="3DDF517E">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cs="Times New Roman"/>
          <w:bCs/>
          <w:color w:val="auto"/>
          <w:sz w:val="24"/>
          <w:szCs w:val="24"/>
          <w:highlight w:val="none"/>
        </w:rPr>
      </w:pPr>
      <w:r>
        <w:rPr>
          <w:rFonts w:eastAsia="宋体"/>
          <w:b/>
          <w:color w:val="auto"/>
          <w:sz w:val="24"/>
          <w:szCs w:val="24"/>
          <w:highlight w:val="none"/>
        </w:rPr>
        <w:t>6.</w:t>
      </w:r>
      <w:r>
        <w:rPr>
          <w:rFonts w:hint="eastAsia" w:eastAsia="宋体"/>
          <w:b/>
          <w:color w:val="auto"/>
          <w:sz w:val="24"/>
          <w:szCs w:val="24"/>
          <w:highlight w:val="none"/>
        </w:rPr>
        <w:t>6</w:t>
      </w:r>
      <w:r>
        <w:rPr>
          <w:rFonts w:eastAsia="宋体"/>
          <w:b/>
          <w:color w:val="auto"/>
          <w:sz w:val="24"/>
          <w:szCs w:val="24"/>
          <w:highlight w:val="none"/>
        </w:rPr>
        <w:t>.4</w:t>
      </w:r>
      <w:r>
        <w:rPr>
          <w:rFonts w:hint="default" w:ascii="Times New Roman" w:hAnsi="Times New Roman" w:eastAsia="宋体" w:cs="Times New Roman"/>
          <w:b/>
          <w:color w:val="auto"/>
          <w:sz w:val="24"/>
          <w:szCs w:val="24"/>
          <w:highlight w:val="none"/>
        </w:rPr>
        <w:t xml:space="preserve">  </w:t>
      </w:r>
      <w:r>
        <w:rPr>
          <w:rFonts w:hint="default" w:ascii="Times New Roman" w:hAnsi="Times New Roman" w:eastAsia="宋体" w:cs="Times New Roman"/>
          <w:bCs/>
          <w:color w:val="auto"/>
          <w:sz w:val="24"/>
          <w:szCs w:val="24"/>
          <w:highlight w:val="none"/>
        </w:rPr>
        <w:t>预制墩柱与壳壁的底部和顶部接触部位应进行最不利状态的局部压应力验算，并满足《公路钢筋混凝土及预应力混凝土桥涵设计规范》（JTG 3362）要求。</w:t>
      </w:r>
    </w:p>
    <w:p w14:paraId="28C3516B">
      <w:pPr>
        <w:spacing w:before="156" w:beforeLines="50" w:after="156" w:afterLines="50" w:line="360" w:lineRule="auto"/>
        <w:jc w:val="center"/>
        <w:outlineLvl w:val="1"/>
        <w:rPr>
          <w:rFonts w:hint="eastAsia" w:ascii="Times New Roman" w:hAnsi="Times New Roman" w:cs="Times New Roman"/>
          <w:b/>
          <w:kern w:val="0"/>
          <w:sz w:val="28"/>
          <w:szCs w:val="28"/>
        </w:rPr>
      </w:pPr>
      <w:bookmarkStart w:id="103" w:name="_Toc22465"/>
      <w:bookmarkStart w:id="104" w:name="_Toc12424"/>
      <w:r>
        <w:rPr>
          <w:rFonts w:hint="eastAsia" w:ascii="Times New Roman" w:hAnsi="Times New Roman" w:cs="Times New Roman"/>
          <w:b/>
          <w:kern w:val="0"/>
          <w:sz w:val="28"/>
          <w:szCs w:val="28"/>
        </w:rPr>
        <w:t>6.7 湿接缝连接</w:t>
      </w:r>
      <w:bookmarkEnd w:id="103"/>
      <w:bookmarkEnd w:id="104"/>
    </w:p>
    <w:bookmarkEnd w:id="102"/>
    <w:p w14:paraId="400541BE">
      <w:pPr>
        <w:keepNext w:val="0"/>
        <w:keepLines w:val="0"/>
        <w:pageBreakBefore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6.7.1</w:t>
      </w:r>
      <w:r>
        <w:rPr>
          <w:rFonts w:hint="eastAsia"/>
          <w:bCs/>
          <w:color w:val="auto"/>
          <w:sz w:val="24"/>
          <w:szCs w:val="24"/>
          <w:highlight w:val="none"/>
        </w:rPr>
        <w:t xml:space="preserve">  主梁纵向采用湿接缝连接时，应符合下列规定：</w:t>
      </w:r>
    </w:p>
    <w:p w14:paraId="39B8118A">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1 简支体系桥面纵向</w:t>
      </w:r>
      <w:bookmarkStart w:id="105" w:name="OLE_LINK5"/>
      <w:r>
        <w:rPr>
          <w:rFonts w:hint="eastAsia"/>
          <w:bCs/>
          <w:color w:val="auto"/>
          <w:sz w:val="24"/>
          <w:szCs w:val="24"/>
          <w:highlight w:val="none"/>
        </w:rPr>
        <w:t>连续现浇层</w:t>
      </w:r>
      <w:bookmarkEnd w:id="105"/>
      <w:r>
        <w:rPr>
          <w:rFonts w:hint="eastAsia"/>
          <w:bCs/>
          <w:color w:val="auto"/>
          <w:sz w:val="24"/>
          <w:szCs w:val="24"/>
          <w:highlight w:val="none"/>
        </w:rPr>
        <w:t>应在墩中心顶面设置切缝，切缝宽度宜为5~10mm，深度宜为20~30mm，切缝顶面宜设置不小于1m宽的防水材料密封，桥面纵向连续传力钢筋在墩顶两侧长度均不应小于1m。</w:t>
      </w:r>
    </w:p>
    <w:p w14:paraId="6F5278C6">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2 先简支后连续体系的墩顶梁端应预留伸出纵向钢筋。</w:t>
      </w:r>
    </w:p>
    <w:p w14:paraId="2832BBA1">
      <w:pPr>
        <w:keepNext w:val="0"/>
        <w:keepLines w:val="0"/>
        <w:pageBreakBefore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6.7.2</w:t>
      </w:r>
      <w:r>
        <w:rPr>
          <w:rFonts w:hint="eastAsia"/>
          <w:bCs/>
          <w:color w:val="auto"/>
          <w:sz w:val="24"/>
          <w:szCs w:val="24"/>
          <w:highlight w:val="none"/>
        </w:rPr>
        <w:t xml:space="preserve">  主梁横向采用湿接缝连接时，接缝位置宜设置在相邻两片主梁中间位置。湿接缝混凝土强度等级不应低于C50和主梁混凝土强度等级，湿接缝宽度不应小于300mm且满足钢筋连接长度要求。</w:t>
      </w:r>
    </w:p>
    <w:p w14:paraId="0B3DD27B">
      <w:pPr>
        <w:keepNext w:val="0"/>
        <w:keepLines w:val="0"/>
        <w:pageBreakBefore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6.7.3</w:t>
      </w:r>
      <w:r>
        <w:rPr>
          <w:rFonts w:hint="eastAsia"/>
          <w:bCs/>
          <w:color w:val="auto"/>
          <w:sz w:val="24"/>
          <w:szCs w:val="24"/>
          <w:highlight w:val="none"/>
        </w:rPr>
        <w:t xml:space="preserve">  </w:t>
      </w:r>
      <w:r>
        <w:rPr>
          <w:rFonts w:hint="eastAsia"/>
          <w:color w:val="auto"/>
          <w:sz w:val="24"/>
          <w:szCs w:val="24"/>
          <w:highlight w:val="none"/>
        </w:rPr>
        <w:t>预制桥面板湿接缝混凝土应采用补偿收缩混凝土，且混凝土强度等级不应低于</w:t>
      </w:r>
      <w:r>
        <w:rPr>
          <w:color w:val="auto"/>
          <w:sz w:val="24"/>
          <w:szCs w:val="24"/>
          <w:highlight w:val="none"/>
        </w:rPr>
        <w:t>C50</w:t>
      </w:r>
      <w:r>
        <w:rPr>
          <w:rFonts w:hint="eastAsia"/>
          <w:color w:val="auto"/>
          <w:sz w:val="24"/>
          <w:szCs w:val="24"/>
          <w:highlight w:val="none"/>
        </w:rPr>
        <w:t>和预制桥面板的混凝土强度等级，</w:t>
      </w:r>
      <w:r>
        <w:rPr>
          <w:rFonts w:hint="eastAsia"/>
          <w:bCs/>
          <w:color w:val="auto"/>
          <w:sz w:val="24"/>
          <w:szCs w:val="24"/>
          <w:highlight w:val="none"/>
        </w:rPr>
        <w:t>湿接缝宽度不应小于300mm</w:t>
      </w:r>
      <w:r>
        <w:rPr>
          <w:rFonts w:hint="eastAsia"/>
          <w:color w:val="auto"/>
          <w:sz w:val="24"/>
          <w:szCs w:val="24"/>
          <w:highlight w:val="none"/>
        </w:rPr>
        <w:t>。</w:t>
      </w:r>
    </w:p>
    <w:p w14:paraId="0F616689">
      <w:pPr>
        <w:keepNext w:val="0"/>
        <w:keepLines w:val="0"/>
        <w:pageBreakBefore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6.7.4</w:t>
      </w:r>
      <w:r>
        <w:rPr>
          <w:rFonts w:hint="eastAsia"/>
          <w:bCs/>
          <w:color w:val="auto"/>
          <w:sz w:val="24"/>
          <w:szCs w:val="24"/>
          <w:highlight w:val="none"/>
        </w:rPr>
        <w:t xml:space="preserve">  湿接缝钢筋采用焊接时，钢筋焊接接头位置应设置在受力较小处，且应错开布置，应符合下列规定：</w:t>
      </w:r>
    </w:p>
    <w:p w14:paraId="2C76A5DE">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1 电弧焊应采用双面焊缝，条件不允许时方可使用单面焊缝。电弧焊接接头的焊缝长度，双面焊缝不应小于5d，单面焊缝长度不应小于10d，d为连接钢筋的最大直径。</w:t>
      </w:r>
    </w:p>
    <w:p w14:paraId="451B232E">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2 帮条焊接的帮条应采用与被焊接钢筋同强度等级的钢筋，其总截面面积不应小于被焊接钢筋的截面面积。</w:t>
      </w:r>
    </w:p>
    <w:p w14:paraId="3AF570A5">
      <w:pPr>
        <w:pStyle w:val="169"/>
        <w:keepNext w:val="0"/>
        <w:keepLines w:val="0"/>
        <w:pageBreakBefore w:val="0"/>
        <w:kinsoku/>
        <w:wordWrap/>
        <w:overflowPunct/>
        <w:topLinePunct w:val="0"/>
        <w:autoSpaceDE/>
        <w:autoSpaceDN/>
        <w:bidi w:val="0"/>
        <w:adjustRightInd/>
        <w:spacing w:afterLines="0" w:line="360" w:lineRule="auto"/>
        <w:ind w:firstLine="0"/>
        <w:textAlignment w:val="auto"/>
        <w:rPr>
          <w:rFonts w:cs="Times New Roman"/>
          <w:color w:val="auto"/>
          <w:sz w:val="24"/>
          <w:szCs w:val="24"/>
          <w:highlight w:val="none"/>
        </w:rPr>
      </w:pPr>
      <w:r>
        <w:rPr>
          <w:rFonts w:hint="eastAsia" w:cs="Times New Roman"/>
          <w:b/>
          <w:color w:val="auto"/>
          <w:sz w:val="24"/>
          <w:szCs w:val="24"/>
          <w:highlight w:val="none"/>
        </w:rPr>
        <w:t>6.7</w:t>
      </w:r>
      <w:r>
        <w:rPr>
          <w:rFonts w:cs="Times New Roman"/>
          <w:b/>
          <w:color w:val="auto"/>
          <w:sz w:val="24"/>
          <w:szCs w:val="24"/>
          <w:highlight w:val="none"/>
        </w:rPr>
        <w:t>.5</w:t>
      </w:r>
      <w:r>
        <w:rPr>
          <w:rFonts w:hint="eastAsia" w:cs="Times New Roman"/>
          <w:bCs/>
          <w:color w:val="auto"/>
          <w:sz w:val="24"/>
          <w:szCs w:val="24"/>
          <w:highlight w:val="none"/>
        </w:rPr>
        <w:t xml:space="preserve">  湿接缝钢筋采用钢筋机械连接时，机械连接接头应符合现行《钢筋机械连接技术规程》（JGJ 107）中I 级接头的要求。</w:t>
      </w:r>
    </w:p>
    <w:p w14:paraId="73C48D9C">
      <w:pPr>
        <w:keepNext w:val="0"/>
        <w:keepLines w:val="0"/>
        <w:pageBreakBefore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6.7.6</w:t>
      </w:r>
      <w:r>
        <w:rPr>
          <w:rFonts w:hint="eastAsia"/>
          <w:bCs/>
          <w:color w:val="auto"/>
          <w:sz w:val="24"/>
          <w:szCs w:val="24"/>
          <w:highlight w:val="none"/>
        </w:rPr>
        <w:t xml:space="preserve">  湿接缝钢筋采用U形钢筋交错布置连接时，</w:t>
      </w:r>
      <w:r>
        <w:rPr>
          <w:bCs/>
          <w:color w:val="auto"/>
          <w:sz w:val="24"/>
          <w:szCs w:val="24"/>
          <w:highlight w:val="none"/>
        </w:rPr>
        <w:t>应</w:t>
      </w:r>
      <w:r>
        <w:rPr>
          <w:rFonts w:hint="eastAsia"/>
          <w:bCs/>
          <w:color w:val="auto"/>
          <w:sz w:val="24"/>
          <w:szCs w:val="24"/>
          <w:highlight w:val="none"/>
        </w:rPr>
        <w:t>符合下列规定</w:t>
      </w:r>
      <w:r>
        <w:rPr>
          <w:bCs/>
          <w:color w:val="auto"/>
          <w:sz w:val="24"/>
          <w:szCs w:val="24"/>
          <w:highlight w:val="none"/>
        </w:rPr>
        <w:t>：</w:t>
      </w:r>
    </w:p>
    <w:p w14:paraId="05AADE18">
      <w:pPr>
        <w:pStyle w:val="2"/>
        <w:keepNext w:val="0"/>
        <w:keepLines w:val="0"/>
        <w:pageBreakBefore w:val="0"/>
        <w:kinsoku/>
        <w:wordWrap/>
        <w:overflowPunct/>
        <w:topLinePunct w:val="0"/>
        <w:autoSpaceDE/>
        <w:autoSpaceDN/>
        <w:bidi w:val="0"/>
        <w:adjustRightInd/>
        <w:spacing w:line="360" w:lineRule="auto"/>
        <w:textAlignment w:val="auto"/>
        <w:rPr>
          <w:rFonts w:eastAsia="宋体"/>
          <w:color w:val="auto"/>
          <w:sz w:val="24"/>
          <w:szCs w:val="24"/>
          <w:highlight w:val="none"/>
        </w:rPr>
      </w:pPr>
      <w:r>
        <w:rPr>
          <w:rFonts w:hint="eastAsia" w:eastAsia="宋体"/>
          <w:color w:val="auto"/>
          <w:sz w:val="24"/>
          <w:szCs w:val="24"/>
          <w:highlight w:val="none"/>
        </w:rPr>
        <w:t>1 U形钢筋的交错间距不应大于100mm，交错搭接部分长度不应小于240mm和3倍U形钢筋圆弧段弯曲半径；</w:t>
      </w:r>
    </w:p>
    <w:p w14:paraId="4D48DEFE">
      <w:pPr>
        <w:pStyle w:val="2"/>
        <w:keepNext w:val="0"/>
        <w:keepLines w:val="0"/>
        <w:pageBreakBefore w:val="0"/>
        <w:kinsoku/>
        <w:wordWrap/>
        <w:overflowPunct/>
        <w:topLinePunct w:val="0"/>
        <w:autoSpaceDE/>
        <w:autoSpaceDN/>
        <w:bidi w:val="0"/>
        <w:adjustRightInd/>
        <w:spacing w:line="360" w:lineRule="auto"/>
        <w:textAlignment w:val="auto"/>
        <w:rPr>
          <w:rFonts w:eastAsia="宋体"/>
          <w:color w:val="auto"/>
          <w:sz w:val="24"/>
          <w:szCs w:val="24"/>
          <w:highlight w:val="none"/>
        </w:rPr>
      </w:pPr>
      <w:r>
        <w:rPr>
          <w:rFonts w:hint="eastAsia" w:eastAsia="宋体"/>
          <w:color w:val="auto"/>
          <w:sz w:val="24"/>
          <w:szCs w:val="24"/>
          <w:highlight w:val="none"/>
        </w:rPr>
        <w:t>2 垂直于U形钢筋应按照预制桥面板内同方向钢筋布设原则布置分布钢筋，U形钢筋交错所围的核心混凝土内应穿入不少于4根直径不小于12mm的分布钢筋。</w:t>
      </w:r>
    </w:p>
    <w:p w14:paraId="0406630B">
      <w:pPr>
        <w:pStyle w:val="2"/>
        <w:keepNext w:val="0"/>
        <w:keepLines w:val="0"/>
        <w:pageBreakBefore w:val="0"/>
        <w:kinsoku/>
        <w:wordWrap/>
        <w:overflowPunct/>
        <w:topLinePunct w:val="0"/>
        <w:autoSpaceDE/>
        <w:autoSpaceDN/>
        <w:bidi w:val="0"/>
        <w:adjustRightInd/>
        <w:spacing w:line="360" w:lineRule="auto"/>
        <w:textAlignment w:val="auto"/>
        <w:rPr>
          <w:rFonts w:eastAsia="宋体"/>
          <w:color w:val="auto"/>
          <w:sz w:val="24"/>
          <w:szCs w:val="24"/>
          <w:highlight w:val="none"/>
        </w:rPr>
      </w:pPr>
      <w:r>
        <w:rPr>
          <w:rFonts w:hint="eastAsia" w:eastAsia="宋体"/>
          <w:color w:val="auto"/>
          <w:sz w:val="24"/>
          <w:szCs w:val="24"/>
          <w:highlight w:val="none"/>
        </w:rPr>
        <w:t>3 预制桥面板带底托时，底托悬臂长度不宜大于400mm，且底托不应降低截面承载能力。</w:t>
      </w:r>
    </w:p>
    <w:p w14:paraId="7ABEC5E4">
      <w:pPr>
        <w:keepNext w:val="0"/>
        <w:keepLines w:val="0"/>
        <w:pageBreakBefore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6.7.7</w:t>
      </w:r>
      <w:r>
        <w:rPr>
          <w:rFonts w:hint="eastAsia"/>
          <w:bCs/>
          <w:color w:val="auto"/>
          <w:sz w:val="24"/>
          <w:szCs w:val="24"/>
          <w:highlight w:val="none"/>
        </w:rPr>
        <w:t xml:space="preserve">  湿接缝钢筋采用</w:t>
      </w:r>
      <w:bookmarkStart w:id="106" w:name="OLE_LINK20"/>
      <w:r>
        <w:rPr>
          <w:rFonts w:hint="eastAsia"/>
          <w:bCs/>
          <w:color w:val="auto"/>
          <w:sz w:val="24"/>
          <w:szCs w:val="24"/>
          <w:highlight w:val="none"/>
        </w:rPr>
        <w:t>墩头钢筋搭接连接</w:t>
      </w:r>
      <w:bookmarkEnd w:id="106"/>
      <w:r>
        <w:rPr>
          <w:rFonts w:hint="eastAsia"/>
          <w:bCs/>
          <w:color w:val="auto"/>
          <w:sz w:val="24"/>
          <w:szCs w:val="24"/>
          <w:highlight w:val="none"/>
        </w:rPr>
        <w:t>时，</w:t>
      </w:r>
      <w:r>
        <w:rPr>
          <w:bCs/>
          <w:color w:val="auto"/>
          <w:sz w:val="24"/>
          <w:szCs w:val="24"/>
          <w:highlight w:val="none"/>
        </w:rPr>
        <w:t>应</w:t>
      </w:r>
      <w:r>
        <w:rPr>
          <w:rFonts w:hint="eastAsia"/>
          <w:bCs/>
          <w:color w:val="auto"/>
          <w:sz w:val="24"/>
          <w:szCs w:val="24"/>
          <w:highlight w:val="none"/>
        </w:rPr>
        <w:t>符合下列规定</w:t>
      </w:r>
      <w:r>
        <w:rPr>
          <w:bCs/>
          <w:color w:val="auto"/>
          <w:sz w:val="24"/>
          <w:szCs w:val="24"/>
          <w:highlight w:val="none"/>
        </w:rPr>
        <w:t>：</w:t>
      </w:r>
    </w:p>
    <w:p w14:paraId="08DA921E">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bCs/>
          <w:color w:val="auto"/>
          <w:sz w:val="24"/>
          <w:szCs w:val="24"/>
          <w:highlight w:val="none"/>
        </w:rPr>
        <w:t xml:space="preserve">1 </w:t>
      </w:r>
      <w:r>
        <w:rPr>
          <w:rFonts w:hint="eastAsia"/>
          <w:bCs/>
          <w:color w:val="auto"/>
          <w:sz w:val="24"/>
          <w:szCs w:val="24"/>
          <w:highlight w:val="none"/>
        </w:rPr>
        <w:t>钢筋的保护层厚度应不小于2</w:t>
      </w:r>
      <w:bookmarkStart w:id="107" w:name="OLE_LINK16"/>
      <w:r>
        <w:rPr>
          <w:bCs/>
          <w:color w:val="auto"/>
          <w:sz w:val="24"/>
          <w:szCs w:val="24"/>
          <w:highlight w:val="none"/>
        </w:rPr>
        <w:t>d</w:t>
      </w:r>
      <w:bookmarkEnd w:id="107"/>
      <w:r>
        <w:rPr>
          <w:rFonts w:hint="eastAsia"/>
          <w:bCs/>
          <w:color w:val="auto"/>
          <w:sz w:val="24"/>
          <w:szCs w:val="24"/>
          <w:highlight w:val="none"/>
        </w:rPr>
        <w:t>，钢筋净距应不小于2</w:t>
      </w:r>
      <w:r>
        <w:rPr>
          <w:bCs/>
          <w:color w:val="auto"/>
          <w:sz w:val="24"/>
          <w:szCs w:val="24"/>
          <w:highlight w:val="none"/>
        </w:rPr>
        <w:t>d</w:t>
      </w:r>
      <w:r>
        <w:rPr>
          <w:rFonts w:hint="eastAsia"/>
          <w:bCs/>
          <w:color w:val="auto"/>
          <w:sz w:val="24"/>
          <w:szCs w:val="24"/>
          <w:highlight w:val="none"/>
        </w:rPr>
        <w:t>；</w:t>
      </w:r>
    </w:p>
    <w:p w14:paraId="1873F77E">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2 墩头的截面积宜大于4倍钢筋截面积；</w:t>
      </w:r>
    </w:p>
    <w:p w14:paraId="28BEBF65">
      <w:pPr>
        <w:keepNext w:val="0"/>
        <w:keepLines w:val="0"/>
        <w:pageBreakBefore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3 双向墩头钢筋的</w:t>
      </w:r>
      <w:r>
        <w:rPr>
          <w:rFonts w:hint="default" w:ascii="Times New Roman" w:hAnsi="Times New Roman" w:cs="Times New Roman"/>
          <w:bCs/>
          <w:color w:val="auto"/>
          <w:sz w:val="24"/>
          <w:szCs w:val="24"/>
          <w:highlight w:val="none"/>
        </w:rPr>
        <w:t>搭接长度</w:t>
      </w:r>
      <w:r>
        <w:rPr>
          <w:bCs/>
          <w:color w:val="auto"/>
          <w:position w:val="-12"/>
          <w:sz w:val="24"/>
          <w:szCs w:val="24"/>
          <w:highlight w:val="none"/>
        </w:rPr>
        <w:object>
          <v:shape id="_x0000_i1062" o:spt="75" type="#_x0000_t75" style="height:17.75pt;width:10.2pt;" o:ole="t" filled="f" o:preferrelative="t" stroked="f" coordsize="21600,21600">
            <v:path/>
            <v:fill on="f" focussize="0,0"/>
            <v:stroke on="f" joinstyle="miter"/>
            <v:imagedata r:id="rId99" o:title=""/>
            <o:lock v:ext="edit" aspectratio="t"/>
            <w10:wrap type="none"/>
            <w10:anchorlock/>
          </v:shape>
          <o:OLEObject Type="Embed" ProgID="Equation.DSMT4" ShapeID="_x0000_i1062" DrawAspect="Content" ObjectID="_1468075762" r:id="rId98">
            <o:LockedField>false</o:LockedField>
          </o:OLEObject>
        </w:object>
      </w:r>
      <w:r>
        <w:rPr>
          <w:rFonts w:hint="eastAsia"/>
          <w:bCs/>
          <w:color w:val="auto"/>
          <w:sz w:val="24"/>
          <w:szCs w:val="24"/>
          <w:highlight w:val="none"/>
        </w:rPr>
        <w:t>不应小于200mm，且满下列公式计算要求：</w:t>
      </w:r>
    </w:p>
    <w:p w14:paraId="11F7BEA4">
      <w:pPr>
        <w:keepNext w:val="0"/>
        <w:keepLines w:val="0"/>
        <w:pageBreakBefore w:val="0"/>
        <w:kinsoku/>
        <w:wordWrap/>
        <w:overflowPunct/>
        <w:topLinePunct w:val="0"/>
        <w:autoSpaceDE/>
        <w:autoSpaceDN/>
        <w:bidi w:val="0"/>
        <w:adjustRightInd/>
        <w:snapToGrid w:val="0"/>
        <w:spacing w:line="360" w:lineRule="auto"/>
        <w:jc w:val="right"/>
        <w:textAlignment w:val="auto"/>
        <w:rPr>
          <w:b/>
          <w:color w:val="auto"/>
          <w:sz w:val="24"/>
          <w:szCs w:val="24"/>
          <w:highlight w:val="none"/>
        </w:rPr>
      </w:pPr>
      <w:bookmarkStart w:id="108" w:name="OLE_LINK17"/>
      <w:r>
        <w:rPr>
          <w:b/>
          <w:color w:val="auto"/>
          <w:position w:val="-36"/>
          <w:sz w:val="24"/>
          <w:szCs w:val="24"/>
          <w:highlight w:val="none"/>
        </w:rPr>
        <w:object>
          <v:shape id="_x0000_i1063" o:spt="75" type="#_x0000_t75" style="height:36.55pt;width:102.65pt;" o:ole="t" filled="f" o:preferrelative="t" stroked="f" coordsize="21600,21600">
            <v:path/>
            <v:fill on="f" focussize="0,0"/>
            <v:stroke on="f" joinstyle="miter"/>
            <v:imagedata r:id="rId101" o:title=""/>
            <o:lock v:ext="edit" aspectratio="t"/>
            <w10:wrap type="none"/>
            <w10:anchorlock/>
          </v:shape>
          <o:OLEObject Type="Embed" ProgID="Equation.DSMT4" ShapeID="_x0000_i1063" DrawAspect="Content" ObjectID="_1468075763" r:id="rId100">
            <o:LockedField>false</o:LockedField>
          </o:OLEObject>
        </w:object>
      </w:r>
      <w:bookmarkEnd w:id="108"/>
      <w:r>
        <w:rPr>
          <w:rFonts w:hint="eastAsia"/>
          <w:b/>
          <w:color w:val="auto"/>
          <w:sz w:val="24"/>
          <w:szCs w:val="24"/>
          <w:highlight w:val="none"/>
        </w:rPr>
        <w:t xml:space="preserve">                       </w:t>
      </w:r>
      <w:r>
        <w:rPr>
          <w:rFonts w:hint="eastAsia"/>
          <w:bCs/>
          <w:color w:val="auto"/>
          <w:sz w:val="24"/>
          <w:szCs w:val="24"/>
          <w:highlight w:val="none"/>
        </w:rPr>
        <w:t xml:space="preserve">  </w:t>
      </w:r>
      <w:r>
        <w:rPr>
          <w:bCs/>
          <w:color w:val="auto"/>
          <w:sz w:val="24"/>
          <w:szCs w:val="24"/>
          <w:highlight w:val="none"/>
        </w:rPr>
        <w:t>（</w:t>
      </w:r>
      <w:r>
        <w:rPr>
          <w:rFonts w:hint="eastAsia"/>
          <w:bCs/>
          <w:color w:val="auto"/>
          <w:sz w:val="24"/>
          <w:szCs w:val="24"/>
          <w:highlight w:val="none"/>
        </w:rPr>
        <w:t>6.7.7</w:t>
      </w:r>
      <w:r>
        <w:rPr>
          <w:bCs/>
          <w:color w:val="auto"/>
          <w:sz w:val="24"/>
          <w:szCs w:val="24"/>
          <w:highlight w:val="none"/>
        </w:rPr>
        <w:t>）</w:t>
      </w:r>
    </w:p>
    <w:p w14:paraId="30DA66CE">
      <w:pPr>
        <w:pStyle w:val="2"/>
        <w:keepNext w:val="0"/>
        <w:keepLines w:val="0"/>
        <w:pageBreakBefore w:val="0"/>
        <w:kinsoku/>
        <w:wordWrap/>
        <w:overflowPunct/>
        <w:topLinePunct w:val="0"/>
        <w:autoSpaceDE/>
        <w:autoSpaceDN/>
        <w:bidi w:val="0"/>
        <w:adjustRightInd/>
        <w:spacing w:line="360" w:lineRule="auto"/>
        <w:ind w:firstLine="0" w:firstLineChars="0"/>
        <w:textAlignment w:val="auto"/>
        <w:rPr>
          <w:rFonts w:eastAsia="宋体"/>
          <w:bCs/>
          <w:color w:val="auto"/>
          <w:sz w:val="24"/>
          <w:szCs w:val="24"/>
          <w:highlight w:val="none"/>
        </w:rPr>
      </w:pPr>
      <w:r>
        <w:rPr>
          <w:rFonts w:hint="eastAsia" w:eastAsia="宋体"/>
          <w:bCs/>
          <w:color w:val="auto"/>
          <w:sz w:val="24"/>
          <w:szCs w:val="24"/>
          <w:highlight w:val="none"/>
        </w:rPr>
        <w:t>式中：</w:t>
      </w:r>
      <w:bookmarkStart w:id="109" w:name="OLE_LINK18"/>
      <w:r>
        <w:rPr>
          <w:rFonts w:eastAsia="宋体"/>
          <w:bCs/>
          <w:color w:val="auto"/>
          <w:position w:val="-12"/>
          <w:sz w:val="24"/>
          <w:szCs w:val="24"/>
          <w:highlight w:val="none"/>
        </w:rPr>
        <w:object>
          <v:shape id="_x0000_i1064" o:spt="75" type="#_x0000_t75" style="height:17.75pt;width:10.2pt;" o:ole="t" filled="f" o:preferrelative="t" stroked="f" coordsize="21600,21600">
            <v:path/>
            <v:fill on="f" focussize="0,0"/>
            <v:stroke on="f" joinstyle="miter"/>
            <v:imagedata r:id="rId103" o:title=""/>
            <o:lock v:ext="edit" aspectratio="t"/>
            <w10:wrap type="none"/>
            <w10:anchorlock/>
          </v:shape>
          <o:OLEObject Type="Embed" ProgID="Equation.DSMT4" ShapeID="_x0000_i1064" DrawAspect="Content" ObjectID="_1468075764" r:id="rId102">
            <o:LockedField>false</o:LockedField>
          </o:OLEObject>
        </w:object>
      </w:r>
      <w:bookmarkEnd w:id="109"/>
      <w:r>
        <w:rPr>
          <w:rFonts w:hint="eastAsia" w:eastAsia="宋体"/>
          <w:bCs/>
          <w:color w:val="auto"/>
          <w:sz w:val="24"/>
          <w:szCs w:val="24"/>
          <w:highlight w:val="none"/>
        </w:rPr>
        <w:t>—</w:t>
      </w:r>
      <w:r>
        <w:rPr>
          <w:rFonts w:hint="default" w:ascii="Times New Roman" w:hAnsi="Times New Roman" w:eastAsia="宋体" w:cs="Times New Roman"/>
          <w:bCs/>
          <w:color w:val="auto"/>
          <w:sz w:val="24"/>
          <w:szCs w:val="24"/>
          <w:highlight w:val="none"/>
        </w:rPr>
        <w:t>钢筋的受拉锚固长度，即</w:t>
      </w:r>
      <w:r>
        <w:rPr>
          <w:rFonts w:hint="eastAsia" w:eastAsia="宋体"/>
          <w:bCs/>
          <w:color w:val="auto"/>
          <w:sz w:val="24"/>
          <w:szCs w:val="24"/>
          <w:highlight w:val="none"/>
        </w:rPr>
        <w:t>钢筋墩头内端面至锚固起点的长度；</w:t>
      </w:r>
    </w:p>
    <w:p w14:paraId="197BF129">
      <w:pPr>
        <w:pStyle w:val="2"/>
        <w:keepNext w:val="0"/>
        <w:keepLines w:val="0"/>
        <w:pageBreakBefore w:val="0"/>
        <w:kinsoku/>
        <w:wordWrap/>
        <w:overflowPunct/>
        <w:topLinePunct w:val="0"/>
        <w:autoSpaceDE/>
        <w:autoSpaceDN/>
        <w:bidi w:val="0"/>
        <w:adjustRightInd/>
        <w:spacing w:line="360" w:lineRule="auto"/>
        <w:ind w:firstLine="720" w:firstLineChars="300"/>
        <w:textAlignment w:val="auto"/>
        <w:rPr>
          <w:rFonts w:eastAsia="宋体"/>
          <w:bCs/>
          <w:color w:val="auto"/>
          <w:sz w:val="24"/>
          <w:szCs w:val="24"/>
          <w:highlight w:val="none"/>
        </w:rPr>
      </w:pPr>
      <w:r>
        <w:rPr>
          <w:rFonts w:eastAsia="宋体"/>
          <w:bCs/>
          <w:color w:val="auto"/>
          <w:position w:val="-12"/>
          <w:sz w:val="24"/>
          <w:szCs w:val="24"/>
          <w:highlight w:val="none"/>
        </w:rPr>
        <w:object>
          <v:shape id="_x0000_i1065" o:spt="75" type="#_x0000_t75" style="height:17.75pt;width:16.1pt;" o:ole="t" filled="f" o:preferrelative="t" stroked="f" coordsize="21600,21600">
            <v:path/>
            <v:fill on="f" focussize="0,0"/>
            <v:stroke on="f" joinstyle="miter"/>
            <v:imagedata r:id="rId27" o:title=""/>
            <o:lock v:ext="edit" aspectratio="t"/>
            <w10:wrap type="none"/>
            <w10:anchorlock/>
          </v:shape>
          <o:OLEObject Type="Embed" ProgID="Equation.DSMT4" ShapeID="_x0000_i1065" DrawAspect="Content" ObjectID="_1468075765" r:id="rId104">
            <o:LockedField>false</o:LockedField>
          </o:OLEObject>
        </w:object>
      </w:r>
      <w:r>
        <w:rPr>
          <w:rFonts w:hint="eastAsia" w:eastAsia="宋体"/>
          <w:bCs/>
          <w:color w:val="auto"/>
          <w:sz w:val="24"/>
          <w:szCs w:val="24"/>
          <w:highlight w:val="none"/>
        </w:rPr>
        <w:t>—钢筋的屈服强度标准值，大于400MPa时按400MPa取用；</w:t>
      </w:r>
    </w:p>
    <w:p w14:paraId="6BF66807">
      <w:pPr>
        <w:pStyle w:val="2"/>
        <w:keepNext w:val="0"/>
        <w:keepLines w:val="0"/>
        <w:pageBreakBefore w:val="0"/>
        <w:kinsoku/>
        <w:wordWrap/>
        <w:overflowPunct/>
        <w:topLinePunct w:val="0"/>
        <w:autoSpaceDE/>
        <w:autoSpaceDN/>
        <w:bidi w:val="0"/>
        <w:adjustRightInd/>
        <w:spacing w:line="360" w:lineRule="auto"/>
        <w:ind w:firstLine="720" w:firstLineChars="300"/>
        <w:textAlignment w:val="auto"/>
        <w:rPr>
          <w:rFonts w:eastAsia="宋体"/>
          <w:bCs/>
          <w:color w:val="auto"/>
          <w:sz w:val="24"/>
          <w:szCs w:val="24"/>
          <w:highlight w:val="none"/>
        </w:rPr>
      </w:pPr>
      <w:r>
        <w:rPr>
          <w:rFonts w:eastAsia="宋体"/>
          <w:bCs/>
          <w:color w:val="auto"/>
          <w:position w:val="-6"/>
          <w:sz w:val="24"/>
          <w:szCs w:val="24"/>
          <w:highlight w:val="none"/>
        </w:rPr>
        <w:object>
          <v:shape id="_x0000_i1066" o:spt="75" type="#_x0000_t75" style="height:13.95pt;width:11.3pt;" o:ole="t" filled="f" o:preferrelative="t" stroked="f" coordsize="21600,21600">
            <v:path/>
            <v:fill on="f" focussize="0,0"/>
            <v:stroke on="f" joinstyle="miter"/>
            <v:imagedata r:id="rId106" o:title=""/>
            <o:lock v:ext="edit" aspectratio="t"/>
            <w10:wrap type="none"/>
            <w10:anchorlock/>
          </v:shape>
          <o:OLEObject Type="Embed" ProgID="Equation.DSMT4" ShapeID="_x0000_i1066" DrawAspect="Content" ObjectID="_1468075766" r:id="rId105">
            <o:LockedField>false</o:LockedField>
          </o:OLEObject>
        </w:object>
      </w:r>
      <w:r>
        <w:rPr>
          <w:rFonts w:hint="eastAsia" w:eastAsia="宋体"/>
          <w:bCs/>
          <w:color w:val="auto"/>
          <w:sz w:val="24"/>
          <w:szCs w:val="24"/>
          <w:highlight w:val="none"/>
        </w:rPr>
        <w:t>—钢筋直径；</w:t>
      </w:r>
    </w:p>
    <w:p w14:paraId="791D9756">
      <w:pPr>
        <w:pStyle w:val="2"/>
        <w:keepNext w:val="0"/>
        <w:keepLines w:val="0"/>
        <w:pageBreakBefore w:val="0"/>
        <w:kinsoku/>
        <w:wordWrap/>
        <w:overflowPunct/>
        <w:topLinePunct w:val="0"/>
        <w:autoSpaceDE/>
        <w:autoSpaceDN/>
        <w:bidi w:val="0"/>
        <w:adjustRightInd/>
        <w:spacing w:line="360" w:lineRule="auto"/>
        <w:ind w:firstLine="720" w:firstLineChars="300"/>
        <w:textAlignment w:val="auto"/>
        <w:rPr>
          <w:rFonts w:eastAsia="宋体"/>
          <w:bCs/>
          <w:color w:val="auto"/>
          <w:sz w:val="24"/>
          <w:szCs w:val="24"/>
          <w:highlight w:val="none"/>
        </w:rPr>
      </w:pPr>
      <w:r>
        <w:rPr>
          <w:rFonts w:eastAsia="宋体"/>
          <w:bCs/>
          <w:color w:val="auto"/>
          <w:position w:val="-14"/>
          <w:sz w:val="24"/>
          <w:szCs w:val="24"/>
          <w:highlight w:val="none"/>
        </w:rPr>
        <w:object>
          <v:shape id="_x0000_i1067" o:spt="75" type="#_x0000_t75" style="height:18.8pt;width:22.55pt;" o:ole="t" filled="f" o:preferrelative="t" stroked="f" coordsize="21600,21600">
            <v:path/>
            <v:fill on="f" focussize="0,0"/>
            <v:stroke on="f" joinstyle="miter"/>
            <v:imagedata r:id="rId23" o:title=""/>
            <o:lock v:ext="edit" aspectratio="t"/>
            <w10:wrap type="none"/>
            <w10:anchorlock/>
          </v:shape>
          <o:OLEObject Type="Embed" ProgID="Equation.DSMT4" ShapeID="_x0000_i1067" DrawAspect="Content" ObjectID="_1468075767" r:id="rId107">
            <o:LockedField>false</o:LockedField>
          </o:OLEObject>
        </w:object>
      </w:r>
      <w:r>
        <w:rPr>
          <w:rFonts w:hint="eastAsia" w:eastAsia="宋体"/>
          <w:bCs/>
          <w:color w:val="auto"/>
          <w:sz w:val="24"/>
          <w:szCs w:val="24"/>
          <w:highlight w:val="none"/>
        </w:rPr>
        <w:t>—混凝土</w:t>
      </w:r>
      <w:bookmarkStart w:id="110" w:name="OLE_LINK19"/>
      <w:r>
        <w:rPr>
          <w:rFonts w:hint="eastAsia" w:eastAsia="宋体"/>
          <w:bCs/>
          <w:color w:val="auto"/>
          <w:sz w:val="24"/>
          <w:szCs w:val="24"/>
          <w:highlight w:val="none"/>
        </w:rPr>
        <w:t>抗压强度标准值。</w:t>
      </w:r>
      <w:bookmarkEnd w:id="110"/>
    </w:p>
    <w:p w14:paraId="31D317BA">
      <w:pPr>
        <w:pStyle w:val="2"/>
        <w:keepNext w:val="0"/>
        <w:keepLines w:val="0"/>
        <w:pageBreakBefore w:val="0"/>
        <w:kinsoku/>
        <w:wordWrap/>
        <w:overflowPunct/>
        <w:topLinePunct w:val="0"/>
        <w:autoSpaceDE/>
        <w:autoSpaceDN/>
        <w:bidi w:val="0"/>
        <w:adjustRightInd/>
        <w:spacing w:line="360" w:lineRule="auto"/>
        <w:ind w:firstLine="720" w:firstLineChars="300"/>
        <w:jc w:val="left"/>
        <w:textAlignment w:val="auto"/>
        <w:rPr>
          <w:color w:val="auto"/>
          <w:sz w:val="24"/>
          <w:szCs w:val="24"/>
          <w:highlight w:val="none"/>
        </w:rPr>
      </w:pPr>
      <w:r>
        <w:rPr>
          <w:rFonts w:eastAsia="宋体"/>
          <w:bCs/>
          <w:color w:val="auto"/>
          <w:position w:val="-12"/>
          <w:sz w:val="24"/>
          <w:szCs w:val="24"/>
          <w:highlight w:val="none"/>
        </w:rPr>
        <w:object>
          <v:shape id="_x0000_i1068" o:spt="75" type="#_x0000_t75" style="height:17.75pt;width:13.95pt;" o:ole="t" filled="f" o:preferrelative="t" stroked="f" coordsize="21600,21600">
            <v:path/>
            <v:fill on="f" focussize="0,0"/>
            <v:stroke on="f" joinstyle="miter"/>
            <v:imagedata r:id="rId41" o:title=""/>
            <o:lock v:ext="edit" aspectratio="t"/>
            <w10:wrap type="none"/>
            <w10:anchorlock/>
          </v:shape>
          <o:OLEObject Type="Embed" ProgID="Equation.DSMT4" ShapeID="_x0000_i1068" DrawAspect="Content" ObjectID="_1468075768" r:id="rId108">
            <o:LockedField>false</o:LockedField>
          </o:OLEObject>
        </w:object>
      </w:r>
      <w:r>
        <w:rPr>
          <w:rFonts w:hint="default" w:ascii="Times New Roman" w:hAnsi="Times New Roman" w:eastAsia="宋体" w:cs="Times New Roman"/>
          <w:bCs/>
          <w:color w:val="auto"/>
          <w:sz w:val="24"/>
          <w:szCs w:val="24"/>
          <w:highlight w:val="none"/>
        </w:rPr>
        <w:t>—相邻搭接钢筋之间的中心间距。</w:t>
      </w:r>
    </w:p>
    <w:p w14:paraId="42C8FB26">
      <w:pPr>
        <w:pStyle w:val="2"/>
        <w:keepNext w:val="0"/>
        <w:keepLines w:val="0"/>
        <w:pageBreakBefore w:val="0"/>
        <w:kinsoku/>
        <w:wordWrap/>
        <w:overflowPunct/>
        <w:topLinePunct w:val="0"/>
        <w:autoSpaceDE/>
        <w:autoSpaceDN/>
        <w:bidi w:val="0"/>
        <w:adjustRightInd/>
        <w:spacing w:line="360" w:lineRule="auto"/>
        <w:ind w:firstLine="0" w:firstLineChars="0"/>
        <w:jc w:val="left"/>
        <w:textAlignment w:val="auto"/>
        <w:rPr>
          <w:rFonts w:eastAsia="宋体"/>
          <w:bCs/>
          <w:color w:val="auto"/>
          <w:sz w:val="24"/>
          <w:szCs w:val="24"/>
          <w:highlight w:val="none"/>
        </w:rPr>
      </w:pPr>
      <w:r>
        <w:rPr>
          <w:rFonts w:hint="eastAsia"/>
          <w:b/>
          <w:color w:val="auto"/>
          <w:sz w:val="24"/>
          <w:szCs w:val="24"/>
          <w:highlight w:val="none"/>
        </w:rPr>
        <w:t xml:space="preserve">6.7.8  </w:t>
      </w:r>
      <w:r>
        <w:rPr>
          <w:rFonts w:hint="eastAsia" w:eastAsia="宋体"/>
          <w:bCs/>
          <w:color w:val="auto"/>
          <w:sz w:val="24"/>
          <w:szCs w:val="24"/>
          <w:highlight w:val="none"/>
        </w:rPr>
        <w:t>采用超高性能混凝土湿接缝连接时，应符合下列规定：</w:t>
      </w:r>
    </w:p>
    <w:p w14:paraId="603C3E09">
      <w:pPr>
        <w:pStyle w:val="2"/>
        <w:keepNext w:val="0"/>
        <w:keepLines w:val="0"/>
        <w:pageBreakBefore w:val="0"/>
        <w:kinsoku/>
        <w:wordWrap/>
        <w:overflowPunct/>
        <w:topLinePunct w:val="0"/>
        <w:autoSpaceDE/>
        <w:autoSpaceDN/>
        <w:bidi w:val="0"/>
        <w:adjustRightInd/>
        <w:spacing w:line="360" w:lineRule="auto"/>
        <w:jc w:val="left"/>
        <w:textAlignment w:val="auto"/>
        <w:rPr>
          <w:rFonts w:eastAsia="宋体"/>
          <w:bCs/>
          <w:color w:val="auto"/>
          <w:sz w:val="24"/>
          <w:szCs w:val="24"/>
          <w:highlight w:val="none"/>
        </w:rPr>
      </w:pPr>
      <w:r>
        <w:rPr>
          <w:rFonts w:hint="eastAsia" w:eastAsia="宋体"/>
          <w:bCs/>
          <w:color w:val="auto"/>
          <w:sz w:val="24"/>
          <w:szCs w:val="24"/>
          <w:highlight w:val="none"/>
        </w:rPr>
        <w:t>1 超高性能混凝土的钢纤维体积率应不小于2%；</w:t>
      </w:r>
    </w:p>
    <w:p w14:paraId="6929F39D">
      <w:pPr>
        <w:pStyle w:val="2"/>
        <w:keepNext w:val="0"/>
        <w:keepLines w:val="0"/>
        <w:pageBreakBefore w:val="0"/>
        <w:kinsoku/>
        <w:wordWrap/>
        <w:overflowPunct/>
        <w:topLinePunct w:val="0"/>
        <w:autoSpaceDE/>
        <w:autoSpaceDN/>
        <w:bidi w:val="0"/>
        <w:adjustRightInd/>
        <w:spacing w:line="360" w:lineRule="auto"/>
        <w:jc w:val="left"/>
        <w:textAlignment w:val="auto"/>
        <w:rPr>
          <w:rFonts w:eastAsia="宋体"/>
          <w:bCs/>
          <w:color w:val="auto"/>
          <w:sz w:val="24"/>
          <w:szCs w:val="24"/>
          <w:highlight w:val="none"/>
        </w:rPr>
      </w:pPr>
      <w:r>
        <w:rPr>
          <w:rFonts w:hint="eastAsia" w:eastAsia="宋体"/>
          <w:bCs/>
          <w:color w:val="auto"/>
          <w:sz w:val="24"/>
          <w:szCs w:val="24"/>
          <w:highlight w:val="none"/>
        </w:rPr>
        <w:t>2 超高性能混凝土的最小抗压强度应不小于95MPa；</w:t>
      </w:r>
    </w:p>
    <w:p w14:paraId="1700714C">
      <w:pPr>
        <w:pStyle w:val="2"/>
        <w:keepNext w:val="0"/>
        <w:keepLines w:val="0"/>
        <w:pageBreakBefore w:val="0"/>
        <w:kinsoku/>
        <w:wordWrap/>
        <w:overflowPunct/>
        <w:topLinePunct w:val="0"/>
        <w:autoSpaceDE/>
        <w:autoSpaceDN/>
        <w:bidi w:val="0"/>
        <w:adjustRightInd/>
        <w:spacing w:line="360" w:lineRule="auto"/>
        <w:jc w:val="left"/>
        <w:textAlignment w:val="auto"/>
        <w:rPr>
          <w:rFonts w:eastAsia="宋体"/>
          <w:bCs/>
          <w:color w:val="auto"/>
          <w:sz w:val="24"/>
          <w:szCs w:val="24"/>
          <w:highlight w:val="none"/>
        </w:rPr>
      </w:pPr>
      <w:r>
        <w:rPr>
          <w:rFonts w:hint="eastAsia" w:eastAsia="宋体"/>
          <w:bCs/>
          <w:color w:val="auto"/>
          <w:sz w:val="24"/>
          <w:szCs w:val="24"/>
          <w:highlight w:val="none"/>
        </w:rPr>
        <w:t>3 钢筋净距不应小于4d；</w:t>
      </w:r>
    </w:p>
    <w:p w14:paraId="4AEAC396">
      <w:pPr>
        <w:pStyle w:val="2"/>
        <w:keepNext w:val="0"/>
        <w:keepLines w:val="0"/>
        <w:pageBreakBefore w:val="0"/>
        <w:kinsoku/>
        <w:wordWrap/>
        <w:overflowPunct/>
        <w:topLinePunct w:val="0"/>
        <w:autoSpaceDE/>
        <w:autoSpaceDN/>
        <w:bidi w:val="0"/>
        <w:adjustRightInd/>
        <w:spacing w:line="360" w:lineRule="auto"/>
        <w:jc w:val="left"/>
        <w:textAlignment w:val="auto"/>
        <w:rPr>
          <w:rFonts w:eastAsia="宋体"/>
          <w:bCs/>
          <w:color w:val="auto"/>
          <w:sz w:val="24"/>
          <w:szCs w:val="24"/>
          <w:highlight w:val="none"/>
        </w:rPr>
      </w:pPr>
      <w:r>
        <w:rPr>
          <w:rFonts w:hint="eastAsia" w:eastAsia="宋体"/>
          <w:bCs/>
          <w:color w:val="auto"/>
          <w:sz w:val="24"/>
          <w:szCs w:val="24"/>
          <w:highlight w:val="none"/>
        </w:rPr>
        <w:t>4 直线钢筋的</w:t>
      </w:r>
      <w:bookmarkStart w:id="111" w:name="OLE_LINK21"/>
      <w:r>
        <w:rPr>
          <w:rFonts w:hint="eastAsia" w:eastAsia="宋体"/>
          <w:bCs/>
          <w:color w:val="auto"/>
          <w:sz w:val="24"/>
          <w:szCs w:val="24"/>
          <w:highlight w:val="none"/>
        </w:rPr>
        <w:t>搭接长度</w:t>
      </w:r>
      <w:r>
        <w:rPr>
          <w:rFonts w:eastAsia="宋体"/>
          <w:bCs/>
          <w:color w:val="auto"/>
          <w:position w:val="-12"/>
          <w:sz w:val="24"/>
          <w:szCs w:val="24"/>
          <w:highlight w:val="none"/>
        </w:rPr>
        <w:object>
          <v:shape id="_x0000_i1069" o:spt="75" type="#_x0000_t75" style="height:17.75pt;width:13.45pt;" o:ole="t" filled="f" o:preferrelative="t" stroked="f" coordsize="21600,21600">
            <v:path/>
            <v:fill on="f" focussize="0,0"/>
            <v:stroke on="f" joinstyle="miter"/>
            <v:imagedata r:id="rId110" o:title=""/>
            <o:lock v:ext="edit" aspectratio="t"/>
            <w10:wrap type="none"/>
            <w10:anchorlock/>
          </v:shape>
          <o:OLEObject Type="Embed" ProgID="Equation.DSMT4" ShapeID="_x0000_i1069" DrawAspect="Content" ObjectID="_1468075769" r:id="rId109">
            <o:LockedField>false</o:LockedField>
          </o:OLEObject>
        </w:object>
      </w:r>
      <w:bookmarkEnd w:id="111"/>
      <w:r>
        <w:rPr>
          <w:rFonts w:hint="eastAsia" w:eastAsia="宋体"/>
          <w:bCs/>
          <w:color w:val="auto"/>
          <w:sz w:val="24"/>
          <w:szCs w:val="24"/>
          <w:highlight w:val="none"/>
        </w:rPr>
        <w:t>应符合下列规定：</w:t>
      </w:r>
    </w:p>
    <w:p w14:paraId="6BC31486">
      <w:pPr>
        <w:pStyle w:val="2"/>
        <w:keepNext w:val="0"/>
        <w:keepLines w:val="0"/>
        <w:pageBreakBefore w:val="0"/>
        <w:kinsoku/>
        <w:wordWrap/>
        <w:overflowPunct/>
        <w:topLinePunct w:val="0"/>
        <w:autoSpaceDE/>
        <w:autoSpaceDN/>
        <w:bidi w:val="0"/>
        <w:adjustRightInd/>
        <w:spacing w:line="360" w:lineRule="auto"/>
        <w:ind w:firstLine="0" w:firstLineChars="0"/>
        <w:jc w:val="right"/>
        <w:textAlignment w:val="auto"/>
        <w:rPr>
          <w:rFonts w:eastAsia="宋体"/>
          <w:bCs/>
          <w:color w:val="auto"/>
          <w:sz w:val="24"/>
          <w:szCs w:val="24"/>
          <w:highlight w:val="none"/>
        </w:rPr>
      </w:pPr>
      <w:r>
        <w:rPr>
          <w:rFonts w:eastAsia="宋体"/>
          <w:bCs/>
          <w:color w:val="auto"/>
          <w:position w:val="-32"/>
          <w:sz w:val="24"/>
          <w:szCs w:val="24"/>
          <w:highlight w:val="none"/>
        </w:rPr>
        <w:object>
          <v:shape id="_x0000_i1070" o:spt="75" type="#_x0000_t75" style="height:37.65pt;width:147.25pt;" o:ole="t" filled="f" o:preferrelative="t" stroked="f" coordsize="21600,21600">
            <v:path/>
            <v:fill on="f" focussize="0,0"/>
            <v:stroke on="f" joinstyle="miter"/>
            <v:imagedata r:id="rId112" o:title=""/>
            <o:lock v:ext="edit" aspectratio="t"/>
            <w10:wrap type="none"/>
            <w10:anchorlock/>
          </v:shape>
          <o:OLEObject Type="Embed" ProgID="Equation.DSMT4" ShapeID="_x0000_i1070" DrawAspect="Content" ObjectID="_1468075770" r:id="rId111">
            <o:LockedField>false</o:LockedField>
          </o:OLEObject>
        </w:object>
      </w:r>
      <w:r>
        <w:rPr>
          <w:rFonts w:hint="eastAsia" w:eastAsia="宋体"/>
          <w:bCs/>
          <w:color w:val="auto"/>
          <w:position w:val="-24"/>
          <w:sz w:val="24"/>
          <w:szCs w:val="24"/>
          <w:highlight w:val="none"/>
        </w:rPr>
        <w:t xml:space="preserve">                      </w:t>
      </w:r>
      <w:r>
        <w:rPr>
          <w:rFonts w:hint="eastAsia" w:eastAsia="宋体"/>
          <w:bCs/>
          <w:color w:val="auto"/>
          <w:sz w:val="24"/>
          <w:szCs w:val="24"/>
          <w:highlight w:val="none"/>
        </w:rPr>
        <w:t>（6.7.8）</w:t>
      </w:r>
    </w:p>
    <w:p w14:paraId="08069FFD">
      <w:pPr>
        <w:pStyle w:val="2"/>
        <w:keepNext w:val="0"/>
        <w:keepLines w:val="0"/>
        <w:pageBreakBefore w:val="0"/>
        <w:kinsoku/>
        <w:wordWrap/>
        <w:overflowPunct/>
        <w:topLinePunct w:val="0"/>
        <w:autoSpaceDE/>
        <w:autoSpaceDN/>
        <w:bidi w:val="0"/>
        <w:adjustRightInd/>
        <w:spacing w:line="360" w:lineRule="auto"/>
        <w:ind w:firstLine="0" w:firstLineChars="0"/>
        <w:jc w:val="left"/>
        <w:textAlignment w:val="auto"/>
        <w:rPr>
          <w:rFonts w:eastAsia="宋体"/>
          <w:bCs/>
          <w:color w:val="auto"/>
          <w:sz w:val="24"/>
          <w:szCs w:val="24"/>
          <w:highlight w:val="none"/>
        </w:rPr>
      </w:pPr>
      <w:r>
        <w:rPr>
          <w:rFonts w:hint="eastAsia" w:eastAsia="宋体"/>
          <w:bCs/>
          <w:color w:val="auto"/>
          <w:sz w:val="24"/>
          <w:szCs w:val="24"/>
          <w:highlight w:val="none"/>
        </w:rPr>
        <w:t>式中：</w:t>
      </w:r>
      <w:r>
        <w:rPr>
          <w:rFonts w:hint="default" w:ascii="Times New Roman" w:hAnsi="Times New Roman" w:eastAsia="宋体" w:cs="Times New Roman"/>
          <w:bCs/>
          <w:color w:val="auto"/>
          <w:position w:val="-12"/>
          <w:sz w:val="24"/>
          <w:szCs w:val="24"/>
          <w:highlight w:val="none"/>
        </w:rPr>
        <w:object>
          <v:shape id="_x0000_i1071" o:spt="75" type="#_x0000_t75" style="height:17.75pt;width:12.35pt;" o:ole="t" filled="f" o:preferrelative="t" stroked="f" coordsize="21600,21600">
            <v:path/>
            <v:fill on="f" focussize="0,0"/>
            <v:stroke on="f" joinstyle="miter"/>
            <v:imagedata r:id="rId114" o:title=""/>
            <o:lock v:ext="edit" aspectratio="f"/>
            <w10:wrap type="none"/>
            <w10:anchorlock/>
          </v:shape>
          <o:OLEObject Type="Embed" ProgID="Equation.DSMT4" ShapeID="_x0000_i1071" DrawAspect="Content" ObjectID="_1468075771" r:id="rId113">
            <o:LockedField>false</o:LockedField>
          </o:OLEObject>
        </w:object>
      </w:r>
      <w:r>
        <w:rPr>
          <w:rFonts w:hint="default" w:ascii="Times New Roman" w:hAnsi="Times New Roman" w:eastAsia="宋体" w:cs="Times New Roman"/>
          <w:bCs/>
          <w:color w:val="auto"/>
          <w:sz w:val="24"/>
          <w:szCs w:val="24"/>
          <w:highlight w:val="none"/>
        </w:rPr>
        <w:t>—采用</w:t>
      </w:r>
      <w:r>
        <w:rPr>
          <w:rFonts w:hint="eastAsia" w:eastAsia="宋体"/>
          <w:bCs/>
          <w:color w:val="auto"/>
          <w:sz w:val="24"/>
          <w:szCs w:val="24"/>
          <w:highlight w:val="none"/>
        </w:rPr>
        <w:t>超高性能混凝土浇筑的湿接缝钢筋搭接长度；</w:t>
      </w:r>
    </w:p>
    <w:p w14:paraId="22D359A8">
      <w:pPr>
        <w:pStyle w:val="2"/>
        <w:keepNext w:val="0"/>
        <w:keepLines w:val="0"/>
        <w:pageBreakBefore w:val="0"/>
        <w:kinsoku/>
        <w:wordWrap/>
        <w:overflowPunct/>
        <w:topLinePunct w:val="0"/>
        <w:autoSpaceDE/>
        <w:autoSpaceDN/>
        <w:bidi w:val="0"/>
        <w:adjustRightInd/>
        <w:spacing w:line="360" w:lineRule="auto"/>
        <w:ind w:firstLine="0" w:firstLineChars="0"/>
        <w:jc w:val="left"/>
        <w:textAlignment w:val="auto"/>
        <w:rPr>
          <w:rFonts w:eastAsia="宋体"/>
          <w:bCs/>
          <w:color w:val="auto"/>
          <w:sz w:val="24"/>
          <w:szCs w:val="24"/>
          <w:highlight w:val="none"/>
        </w:rPr>
      </w:pPr>
      <w:r>
        <w:rPr>
          <w:rFonts w:hint="eastAsia" w:eastAsia="宋体"/>
          <w:bCs/>
          <w:color w:val="auto"/>
          <w:position w:val="-12"/>
          <w:sz w:val="24"/>
          <w:szCs w:val="24"/>
          <w:highlight w:val="none"/>
        </w:rPr>
        <w:t xml:space="preserve">      </w:t>
      </w:r>
      <w:r>
        <w:rPr>
          <w:rFonts w:eastAsia="宋体"/>
          <w:bCs/>
          <w:color w:val="auto"/>
          <w:position w:val="-12"/>
          <w:sz w:val="24"/>
          <w:szCs w:val="24"/>
          <w:highlight w:val="none"/>
        </w:rPr>
        <w:object>
          <v:shape id="_x0000_i1072" o:spt="75" type="#_x0000_t75" style="height:17.8pt;width:16.4pt;" o:ole="t" filled="f" o:preferrelative="t" stroked="f" coordsize="21600,21600">
            <v:path/>
            <v:fill on="f" focussize="0,0"/>
            <v:stroke on="f" joinstyle="miter"/>
            <v:imagedata r:id="rId116" o:title=""/>
            <o:lock v:ext="edit" aspectratio="f"/>
            <w10:wrap type="none"/>
            <w10:anchorlock/>
          </v:shape>
          <o:OLEObject Type="Embed" ProgID="Equation.DSMT4" ShapeID="_x0000_i1072" DrawAspect="Content" ObjectID="_1468075772" r:id="rId115">
            <o:LockedField>false</o:LockedField>
          </o:OLEObject>
        </w:object>
      </w:r>
      <w:r>
        <w:rPr>
          <w:rFonts w:hint="eastAsia" w:eastAsia="宋体"/>
          <w:bCs/>
          <w:color w:val="auto"/>
          <w:sz w:val="24"/>
          <w:szCs w:val="24"/>
          <w:highlight w:val="none"/>
        </w:rPr>
        <w:t>—钢筋的屈服强度标准值。</w:t>
      </w:r>
    </w:p>
    <w:p w14:paraId="3DB0108F">
      <w:pPr>
        <w:pStyle w:val="2"/>
        <w:keepNext w:val="0"/>
        <w:keepLines w:val="0"/>
        <w:pageBreakBefore w:val="0"/>
        <w:kinsoku/>
        <w:wordWrap/>
        <w:overflowPunct/>
        <w:topLinePunct w:val="0"/>
        <w:autoSpaceDE/>
        <w:autoSpaceDN/>
        <w:bidi w:val="0"/>
        <w:adjustRightInd/>
        <w:spacing w:line="360" w:lineRule="auto"/>
        <w:jc w:val="left"/>
        <w:textAlignment w:val="auto"/>
        <w:rPr>
          <w:rFonts w:eastAsia="宋体"/>
          <w:bCs/>
          <w:color w:val="auto"/>
          <w:sz w:val="24"/>
          <w:szCs w:val="24"/>
          <w:highlight w:val="none"/>
        </w:rPr>
      </w:pPr>
      <w:r>
        <w:rPr>
          <w:rFonts w:hint="eastAsia" w:eastAsia="宋体"/>
          <w:bCs/>
          <w:color w:val="auto"/>
          <w:sz w:val="24"/>
          <w:szCs w:val="24"/>
          <w:highlight w:val="none"/>
        </w:rPr>
        <w:t>5 钢筋净保护层厚度不宜小于3倍钢筋直径，若2d≤最小净保护层厚度≤3d，则搭接长度</w:t>
      </w:r>
      <w:r>
        <w:rPr>
          <w:rFonts w:hint="default" w:ascii="Times New Roman" w:hAnsi="Times New Roman" w:eastAsia="宋体" w:cs="Times New Roman"/>
          <w:bCs/>
          <w:color w:val="auto"/>
          <w:position w:val="-12"/>
          <w:sz w:val="24"/>
          <w:szCs w:val="24"/>
          <w:highlight w:val="none"/>
        </w:rPr>
        <w:object>
          <v:shape id="_x0000_i1073" o:spt="75" type="#_x0000_t75" style="height:17.75pt;width:12.35pt;" o:ole="t" filled="f" o:preferrelative="t" stroked="f" coordsize="21600,21600">
            <v:path/>
            <v:fill on="f" focussize="0,0"/>
            <v:stroke on="f" joinstyle="miter"/>
            <v:imagedata r:id="rId118" o:title=""/>
            <o:lock v:ext="edit" aspectratio="f"/>
            <w10:wrap type="none"/>
            <w10:anchorlock/>
          </v:shape>
          <o:OLEObject Type="Embed" ProgID="Equation.DSMT4" ShapeID="_x0000_i1073" DrawAspect="Content" ObjectID="_1468075773" r:id="rId117">
            <o:LockedField>false</o:LockedField>
          </o:OLEObject>
        </w:object>
      </w:r>
      <w:r>
        <w:rPr>
          <w:rFonts w:hint="eastAsia" w:eastAsia="宋体"/>
          <w:bCs/>
          <w:color w:val="auto"/>
          <w:sz w:val="24"/>
          <w:szCs w:val="24"/>
          <w:highlight w:val="none"/>
        </w:rPr>
        <w:t>应额外增加1.5d。</w:t>
      </w:r>
    </w:p>
    <w:p w14:paraId="10196F0F">
      <w:pPr>
        <w:pStyle w:val="169"/>
        <w:keepNext w:val="0"/>
        <w:keepLines w:val="0"/>
        <w:pageBreakBefore w:val="0"/>
        <w:kinsoku/>
        <w:wordWrap/>
        <w:overflowPunct/>
        <w:topLinePunct w:val="0"/>
        <w:autoSpaceDE/>
        <w:autoSpaceDN/>
        <w:bidi w:val="0"/>
        <w:adjustRightInd/>
        <w:spacing w:afterLines="0" w:line="360" w:lineRule="auto"/>
        <w:ind w:firstLine="0"/>
        <w:textAlignment w:val="auto"/>
        <w:rPr>
          <w:rFonts w:cs="Times New Roman"/>
          <w:bCs/>
          <w:color w:val="auto"/>
          <w:sz w:val="24"/>
          <w:szCs w:val="24"/>
          <w:highlight w:val="none"/>
        </w:rPr>
      </w:pPr>
      <w:r>
        <w:rPr>
          <w:rFonts w:hint="default" w:cs="Times New Roman"/>
          <w:b/>
          <w:color w:val="auto"/>
          <w:sz w:val="24"/>
          <w:szCs w:val="24"/>
          <w:highlight w:val="none"/>
        </w:rPr>
        <w:t>6.7.</w:t>
      </w:r>
      <w:r>
        <w:rPr>
          <w:rFonts w:cs="Times New Roman"/>
          <w:b/>
          <w:color w:val="auto"/>
          <w:sz w:val="24"/>
          <w:szCs w:val="24"/>
          <w:highlight w:val="none"/>
        </w:rPr>
        <w:t>9</w:t>
      </w:r>
      <w:r>
        <w:rPr>
          <w:rFonts w:hint="default" w:cs="Times New Roman"/>
          <w:b/>
          <w:color w:val="auto"/>
          <w:sz w:val="24"/>
          <w:szCs w:val="24"/>
          <w:highlight w:val="none"/>
        </w:rPr>
        <w:t xml:space="preserve">  </w:t>
      </w:r>
      <w:r>
        <w:rPr>
          <w:rFonts w:hint="eastAsia" w:cs="Times New Roman"/>
          <w:bCs/>
          <w:color w:val="auto"/>
          <w:sz w:val="24"/>
          <w:szCs w:val="24"/>
          <w:highlight w:val="none"/>
        </w:rPr>
        <w:t>预制盖梁节段间采用湿接缝连接时，湿接缝宜避开构件最大受力截面，宽度宜800~1200mm。</w:t>
      </w:r>
    </w:p>
    <w:p w14:paraId="713CC2BE">
      <w:pPr>
        <w:spacing w:before="156" w:beforeLines="50" w:after="156" w:afterLines="50" w:line="360" w:lineRule="auto"/>
        <w:jc w:val="center"/>
        <w:outlineLvl w:val="1"/>
        <w:rPr>
          <w:rFonts w:hint="eastAsia" w:ascii="Times New Roman" w:hAnsi="Times New Roman" w:cs="Times New Roman"/>
          <w:b/>
          <w:kern w:val="0"/>
          <w:sz w:val="28"/>
          <w:szCs w:val="28"/>
        </w:rPr>
      </w:pPr>
      <w:bookmarkStart w:id="112" w:name="_Toc32192"/>
      <w:bookmarkStart w:id="113" w:name="_Toc30166"/>
      <w:r>
        <w:rPr>
          <w:rFonts w:hint="eastAsia" w:ascii="Times New Roman" w:hAnsi="Times New Roman" w:cs="Times New Roman"/>
          <w:b/>
          <w:kern w:val="0"/>
          <w:sz w:val="28"/>
          <w:szCs w:val="28"/>
        </w:rPr>
        <w:t xml:space="preserve">6.8 </w:t>
      </w:r>
      <w:bookmarkStart w:id="114" w:name="OLE_LINK14"/>
      <w:r>
        <w:rPr>
          <w:rFonts w:hint="default" w:ascii="Times New Roman" w:hAnsi="Times New Roman" w:cs="Times New Roman"/>
          <w:b/>
          <w:kern w:val="0"/>
          <w:sz w:val="28"/>
          <w:szCs w:val="28"/>
        </w:rPr>
        <w:t>预应力筋连接</w:t>
      </w:r>
      <w:bookmarkEnd w:id="112"/>
      <w:bookmarkEnd w:id="113"/>
      <w:bookmarkEnd w:id="114"/>
    </w:p>
    <w:p w14:paraId="1F948F1C">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6.8.1</w:t>
      </w:r>
      <w:r>
        <w:rPr>
          <w:rFonts w:hint="eastAsia"/>
          <w:bCs/>
          <w:color w:val="auto"/>
          <w:sz w:val="24"/>
          <w:szCs w:val="24"/>
          <w:highlight w:val="none"/>
        </w:rPr>
        <w:t xml:space="preserve">  节段预制构件采用后张预应力筋连接时，应符合下列规定：</w:t>
      </w:r>
    </w:p>
    <w:p w14:paraId="62A0A3FA">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1 预应力筋可采用钢绞线、预应力螺纹钢筋等。</w:t>
      </w:r>
    </w:p>
    <w:p w14:paraId="7035AC25">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2 节段预制梁、盖梁采用胶接缝拼装连接时，拼接面应设置剪力键。</w:t>
      </w:r>
    </w:p>
    <w:p w14:paraId="7D1EAF56">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bCs/>
          <w:color w:val="auto"/>
          <w:sz w:val="24"/>
          <w:szCs w:val="24"/>
          <w:highlight w:val="none"/>
        </w:rPr>
      </w:pPr>
      <w:r>
        <w:rPr>
          <w:rFonts w:hint="eastAsia"/>
          <w:bCs/>
          <w:color w:val="auto"/>
          <w:sz w:val="24"/>
          <w:szCs w:val="24"/>
          <w:highlight w:val="none"/>
        </w:rPr>
        <w:t>3</w:t>
      </w:r>
      <w:r>
        <w:rPr>
          <w:bCs/>
          <w:color w:val="auto"/>
          <w:sz w:val="24"/>
          <w:szCs w:val="24"/>
          <w:highlight w:val="none"/>
        </w:rPr>
        <w:t xml:space="preserve"> </w:t>
      </w:r>
      <w:r>
        <w:rPr>
          <w:rFonts w:hint="eastAsia"/>
          <w:bCs/>
          <w:color w:val="auto"/>
          <w:sz w:val="24"/>
          <w:szCs w:val="24"/>
          <w:highlight w:val="none"/>
        </w:rPr>
        <w:t>全预应力筋连接的节段预制墩柱宜在接缝处增设剪力键或抗剪销</w:t>
      </w:r>
      <w:r>
        <w:rPr>
          <w:rFonts w:hint="eastAsia"/>
          <w:color w:val="auto"/>
          <w:sz w:val="24"/>
          <w:szCs w:val="24"/>
          <w:highlight w:val="none"/>
        </w:rPr>
        <w:t>。</w:t>
      </w:r>
    </w:p>
    <w:p w14:paraId="1F0BF6F2">
      <w:pPr>
        <w:pStyle w:val="2"/>
        <w:keepNext w:val="0"/>
        <w:keepLines w:val="0"/>
        <w:pageBreakBefore w:val="0"/>
        <w:widowControl w:val="0"/>
        <w:kinsoku/>
        <w:wordWrap/>
        <w:overflowPunct/>
        <w:topLinePunct w:val="0"/>
        <w:autoSpaceDE/>
        <w:autoSpaceDN/>
        <w:bidi w:val="0"/>
        <w:adjustRightInd/>
        <w:spacing w:line="360" w:lineRule="auto"/>
        <w:ind w:firstLine="0" w:firstLineChars="0"/>
        <w:textAlignment w:val="auto"/>
        <w:rPr>
          <w:color w:val="auto"/>
          <w:sz w:val="24"/>
          <w:szCs w:val="24"/>
          <w:highlight w:val="none"/>
        </w:rPr>
      </w:pPr>
      <w:r>
        <w:rPr>
          <w:rFonts w:hint="eastAsia"/>
          <w:b/>
          <w:color w:val="auto"/>
          <w:sz w:val="24"/>
          <w:szCs w:val="24"/>
          <w:highlight w:val="none"/>
        </w:rPr>
        <w:t>6.8.</w:t>
      </w:r>
      <w:r>
        <w:rPr>
          <w:rFonts w:hint="eastAsia"/>
          <w:b/>
          <w:color w:val="auto"/>
          <w:sz w:val="24"/>
          <w:szCs w:val="24"/>
          <w:highlight w:val="none"/>
          <w:lang w:val="en-US" w:eastAsia="zh-CN"/>
        </w:rPr>
        <w:t>2</w:t>
      </w:r>
      <w:r>
        <w:rPr>
          <w:rFonts w:hint="eastAsia"/>
          <w:bCs/>
          <w:color w:val="auto"/>
          <w:sz w:val="24"/>
          <w:szCs w:val="24"/>
          <w:highlight w:val="none"/>
        </w:rPr>
        <w:t xml:space="preserve">  </w:t>
      </w:r>
      <w:r>
        <w:rPr>
          <w:rFonts w:hint="eastAsia" w:eastAsia="宋体"/>
          <w:bCs/>
          <w:color w:val="auto"/>
          <w:sz w:val="24"/>
          <w:szCs w:val="24"/>
          <w:highlight w:val="none"/>
        </w:rPr>
        <w:t>在拼接缝处的环氧黏结剂固化过程中，需施加临时预压力将环氧树脂胶在全断面均匀挤出，节段预制构件拼接缝处的正压应力不应小于0.3 MPa。</w:t>
      </w:r>
    </w:p>
    <w:p w14:paraId="1C0530E9">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6.8.</w:t>
      </w:r>
      <w:r>
        <w:rPr>
          <w:rFonts w:hint="eastAsia"/>
          <w:b/>
          <w:color w:val="auto"/>
          <w:sz w:val="24"/>
          <w:szCs w:val="24"/>
          <w:highlight w:val="none"/>
          <w:lang w:val="en-US" w:eastAsia="zh-CN"/>
        </w:rPr>
        <w:t>3</w:t>
      </w:r>
      <w:r>
        <w:rPr>
          <w:rFonts w:hint="eastAsia"/>
          <w:b/>
          <w:color w:val="auto"/>
          <w:sz w:val="24"/>
          <w:szCs w:val="24"/>
          <w:highlight w:val="none"/>
        </w:rPr>
        <w:t xml:space="preserve">  </w:t>
      </w:r>
      <w:r>
        <w:rPr>
          <w:rFonts w:hint="default" w:ascii="Times New Roman" w:hAnsi="Times New Roman" w:cs="Times New Roman"/>
          <w:color w:val="auto"/>
          <w:sz w:val="24"/>
          <w:szCs w:val="24"/>
          <w:highlight w:val="none"/>
        </w:rPr>
        <w:t>节段预制混凝土墩柱采用无粘结预应力连接时，</w:t>
      </w:r>
      <w:r>
        <w:rPr>
          <w:rFonts w:hint="eastAsia"/>
          <w:bCs/>
          <w:color w:val="auto"/>
          <w:sz w:val="24"/>
          <w:szCs w:val="24"/>
          <w:highlight w:val="none"/>
        </w:rPr>
        <w:t>预应力筋的初张力不宜超过其屈服应力的0.6 倍，墩身轴压比不宜大于0.2。</w:t>
      </w:r>
    </w:p>
    <w:p w14:paraId="41367E27">
      <w:pPr>
        <w:keepNext w:val="0"/>
        <w:keepLines w:val="0"/>
        <w:pageBreakBefore w:val="0"/>
        <w:widowControl w:val="0"/>
        <w:kinsoku/>
        <w:wordWrap/>
        <w:overflowPunct/>
        <w:topLinePunct w:val="0"/>
        <w:autoSpaceDE/>
        <w:autoSpaceDN/>
        <w:bidi w:val="0"/>
        <w:adjustRightInd/>
        <w:snapToGrid w:val="0"/>
        <w:spacing w:line="360" w:lineRule="auto"/>
        <w:textAlignment w:val="auto"/>
        <w:rPr>
          <w:bCs/>
          <w:color w:val="auto"/>
          <w:sz w:val="24"/>
          <w:szCs w:val="24"/>
          <w:highlight w:val="none"/>
        </w:rPr>
      </w:pPr>
      <w:r>
        <w:rPr>
          <w:rFonts w:hint="eastAsia"/>
          <w:b/>
          <w:color w:val="auto"/>
          <w:sz w:val="24"/>
          <w:szCs w:val="24"/>
          <w:highlight w:val="none"/>
        </w:rPr>
        <w:t>6.8.</w:t>
      </w:r>
      <w:r>
        <w:rPr>
          <w:rFonts w:hint="eastAsia"/>
          <w:b/>
          <w:color w:val="auto"/>
          <w:sz w:val="24"/>
          <w:szCs w:val="24"/>
          <w:highlight w:val="none"/>
          <w:lang w:val="en-US" w:eastAsia="zh-CN"/>
        </w:rPr>
        <w:t>4</w:t>
      </w:r>
      <w:r>
        <w:rPr>
          <w:b/>
          <w:color w:val="auto"/>
          <w:sz w:val="24"/>
          <w:szCs w:val="24"/>
          <w:highlight w:val="none"/>
        </w:rPr>
        <w:t xml:space="preserve"> </w:t>
      </w:r>
      <w:r>
        <w:rPr>
          <w:rFonts w:hint="default" w:ascii="Times New Roman" w:hAnsi="Times New Roman" w:cs="Times New Roman"/>
          <w:color w:val="auto"/>
          <w:sz w:val="24"/>
          <w:szCs w:val="24"/>
          <w:highlight w:val="none"/>
        </w:rPr>
        <w:t>节段预制混凝土构件在采用预应力连接时，预应力线型宜采用直线型，也可采用U型、交叉型，桥墩钢束布置示意图见图6.8.</w:t>
      </w:r>
      <w:r>
        <w:rPr>
          <w:rFonts w:hint="eastAsia" w:cs="Times New Roman"/>
          <w:color w:val="auto"/>
          <w:sz w:val="24"/>
          <w:szCs w:val="24"/>
          <w:highlight w:val="none"/>
          <w:lang w:eastAsia="zh-CN"/>
        </w:rPr>
        <w:t>4</w:t>
      </w:r>
      <w:r>
        <w:rPr>
          <w:rFonts w:hint="default" w:ascii="Times New Roman" w:hAnsi="Times New Roman" w:cs="Times New Roman"/>
          <w:color w:val="auto"/>
          <w:sz w:val="24"/>
          <w:szCs w:val="24"/>
          <w:highlight w:val="none"/>
        </w:rPr>
        <w:t>。</w:t>
      </w:r>
    </w:p>
    <w:p w14:paraId="70770F5E">
      <w:pPr>
        <w:pStyle w:val="2"/>
        <w:keepNext w:val="0"/>
        <w:keepLines w:val="0"/>
        <w:pageBreakBefore w:val="0"/>
        <w:widowControl w:val="0"/>
        <w:kinsoku/>
        <w:wordWrap/>
        <w:overflowPunct/>
        <w:topLinePunct w:val="0"/>
        <w:autoSpaceDE/>
        <w:autoSpaceDN/>
        <w:bidi w:val="0"/>
        <w:adjustRightInd/>
        <w:spacing w:line="360" w:lineRule="auto"/>
        <w:ind w:firstLine="0" w:firstLineChars="0"/>
        <w:jc w:val="center"/>
        <w:textAlignment w:val="auto"/>
        <w:rPr>
          <w:color w:val="auto"/>
          <w:sz w:val="21"/>
          <w:szCs w:val="21"/>
          <w:highlight w:val="none"/>
        </w:rPr>
      </w:pPr>
      <w:r>
        <w:rPr>
          <w:color w:val="auto"/>
          <w:sz w:val="28"/>
          <w:highlight w:val="none"/>
        </w:rPr>
        <mc:AlternateContent>
          <mc:Choice Requires="wps">
            <w:drawing>
              <wp:anchor distT="0" distB="0" distL="114300" distR="114300" simplePos="0" relativeHeight="251679744" behindDoc="0" locked="0" layoutInCell="1" allowOverlap="1">
                <wp:simplePos x="0" y="0"/>
                <wp:positionH relativeFrom="column">
                  <wp:posOffset>4083685</wp:posOffset>
                </wp:positionH>
                <wp:positionV relativeFrom="paragraph">
                  <wp:posOffset>3527425</wp:posOffset>
                </wp:positionV>
                <wp:extent cx="835660" cy="286385"/>
                <wp:effectExtent l="0" t="0" r="2540" b="18415"/>
                <wp:wrapNone/>
                <wp:docPr id="56" name="文本框 56"/>
                <wp:cNvGraphicFramePr/>
                <a:graphic xmlns:a="http://schemas.openxmlformats.org/drawingml/2006/main">
                  <a:graphicData uri="http://schemas.microsoft.com/office/word/2010/wordprocessingShape">
                    <wps:wsp>
                      <wps:cNvSpPr txBox="1"/>
                      <wps:spPr>
                        <a:xfrm>
                          <a:off x="0" y="0"/>
                          <a:ext cx="835660" cy="28638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AF4528F">
                            <w:r>
                              <w:rPr>
                                <w:rFonts w:hint="eastAsia"/>
                                <w:bCs/>
                                <w:color w:val="auto"/>
                                <w:szCs w:val="21"/>
                                <w:highlight w:val="none"/>
                                <w:lang w:val="en-US" w:eastAsia="zh-CN"/>
                              </w:rPr>
                              <w:t>d）直线</w:t>
                            </w:r>
                            <w:r>
                              <w:rPr>
                                <w:rFonts w:hint="eastAsia"/>
                                <w:bCs/>
                                <w:color w:val="auto"/>
                                <w:szCs w:val="21"/>
                                <w:highlight w:val="none"/>
                              </w:rPr>
                              <w:t>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1.55pt;margin-top:277.75pt;height:22.55pt;width:65.8pt;z-index:251679744;mso-width-relative:page;mso-height-relative:page;" fillcolor="#FFFFFF [3201]" filled="t" stroked="f" coordsize="21600,21600" o:gfxdata="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3wo8ENQAAAALAQAADwAAAAAA&#10;AAABACAAAAAiAAAAZHJzL2Rvd25yZXYueG1sUEsBAhQAFAAAAAgAh07iQGBK/ZBQAgAAkAQAAA4A&#10;AAAAAAAAAQAgAAAAIwEAAGRycy9lMm9Eb2MueG1sUEsFBgAAAAAGAAYAWQEAAOUFAAAAAA==&#10;">
                <v:fill on="t" focussize="0,0"/>
                <v:stroke on="f" weight="0.5pt"/>
                <v:imagedata o:title=""/>
                <o:lock v:ext="edit" aspectratio="f"/>
                <v:textbox>
                  <w:txbxContent>
                    <w:p w14:paraId="1AF4528F">
                      <w:r>
                        <w:rPr>
                          <w:rFonts w:hint="eastAsia"/>
                          <w:bCs/>
                          <w:color w:val="auto"/>
                          <w:szCs w:val="21"/>
                          <w:highlight w:val="none"/>
                          <w:lang w:val="en-US" w:eastAsia="zh-CN"/>
                        </w:rPr>
                        <w:t>d）直线</w:t>
                      </w:r>
                      <w:r>
                        <w:rPr>
                          <w:rFonts w:hint="eastAsia"/>
                          <w:bCs/>
                          <w:color w:val="auto"/>
                          <w:szCs w:val="21"/>
                          <w:highlight w:val="none"/>
                        </w:rPr>
                        <w:t>型</w:t>
                      </w:r>
                    </w:p>
                  </w:txbxContent>
                </v:textbox>
              </v:shape>
            </w:pict>
          </mc:Fallback>
        </mc:AlternateContent>
      </w:r>
      <w:r>
        <w:rPr>
          <w:color w:val="auto"/>
          <w:sz w:val="28"/>
          <w:highlight w:val="none"/>
        </w:rPr>
        <mc:AlternateContent>
          <mc:Choice Requires="wps">
            <w:drawing>
              <wp:anchor distT="0" distB="0" distL="114300" distR="114300" simplePos="0" relativeHeight="251678720" behindDoc="0" locked="0" layoutInCell="1" allowOverlap="1">
                <wp:simplePos x="0" y="0"/>
                <wp:positionH relativeFrom="column">
                  <wp:posOffset>3126105</wp:posOffset>
                </wp:positionH>
                <wp:positionV relativeFrom="paragraph">
                  <wp:posOffset>3524885</wp:posOffset>
                </wp:positionV>
                <wp:extent cx="808990" cy="286385"/>
                <wp:effectExtent l="0" t="0" r="10160" b="18415"/>
                <wp:wrapNone/>
                <wp:docPr id="55" name="文本框 55"/>
                <wp:cNvGraphicFramePr/>
                <a:graphic xmlns:a="http://schemas.openxmlformats.org/drawingml/2006/main">
                  <a:graphicData uri="http://schemas.microsoft.com/office/word/2010/wordprocessingShape">
                    <wps:wsp>
                      <wps:cNvSpPr txBox="1"/>
                      <wps:spPr>
                        <a:xfrm>
                          <a:off x="0" y="0"/>
                          <a:ext cx="808990" cy="28638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46502D0">
                            <w:r>
                              <w:rPr>
                                <w:rFonts w:hint="eastAsia"/>
                                <w:bCs/>
                                <w:color w:val="auto"/>
                                <w:szCs w:val="21"/>
                                <w:highlight w:val="none"/>
                                <w:lang w:val="en-US" w:eastAsia="zh-CN"/>
                              </w:rPr>
                              <w:t>c）U</w:t>
                            </w:r>
                            <w:r>
                              <w:rPr>
                                <w:rFonts w:hint="eastAsia"/>
                                <w:bCs/>
                                <w:color w:val="auto"/>
                                <w:szCs w:val="21"/>
                                <w:highlight w:val="none"/>
                              </w:rPr>
                              <w:t>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6.15pt;margin-top:277.55pt;height:22.55pt;width:63.7pt;z-index:251678720;mso-width-relative:page;mso-height-relative:page;" fillcolor="#FFFFFF [3201]" filled="t" stroked="f" coordsize="21600,21600" o:gfxdata="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d1rQk1wAAAAsBAAAP&#10;AAAAAAAAAAEAIAAAACIAAABkcnMvZG93bnJldi54bWxQSwECFAAUAAAACACHTuJAihr+CVICAACQ&#10;BAAADgAAAAAAAAABACAAAAAmAQAAZHJzL2Uyb0RvYy54bWxQSwUGAAAAAAYABgBZAQAA6gUAAAAA&#10;">
                <v:fill on="t" focussize="0,0"/>
                <v:stroke on="f" weight="0.5pt"/>
                <v:imagedata o:title=""/>
                <o:lock v:ext="edit" aspectratio="f"/>
                <v:textbox>
                  <w:txbxContent>
                    <w:p w14:paraId="246502D0">
                      <w:r>
                        <w:rPr>
                          <w:rFonts w:hint="eastAsia"/>
                          <w:bCs/>
                          <w:color w:val="auto"/>
                          <w:szCs w:val="21"/>
                          <w:highlight w:val="none"/>
                          <w:lang w:val="en-US" w:eastAsia="zh-CN"/>
                        </w:rPr>
                        <w:t>c）U</w:t>
                      </w:r>
                      <w:r>
                        <w:rPr>
                          <w:rFonts w:hint="eastAsia"/>
                          <w:bCs/>
                          <w:color w:val="auto"/>
                          <w:szCs w:val="21"/>
                          <w:highlight w:val="none"/>
                        </w:rPr>
                        <w:t>型</w:t>
                      </w:r>
                    </w:p>
                  </w:txbxContent>
                </v:textbox>
              </v:shape>
            </w:pict>
          </mc:Fallback>
        </mc:AlternateContent>
      </w:r>
      <w:r>
        <w:rPr>
          <w:color w:val="auto"/>
          <w:sz w:val="28"/>
          <w:highlight w:val="none"/>
        </w:rPr>
        <mc:AlternateContent>
          <mc:Choice Requires="wps">
            <w:drawing>
              <wp:anchor distT="0" distB="0" distL="114300" distR="114300" simplePos="0" relativeHeight="251677696" behindDoc="0" locked="0" layoutInCell="1" allowOverlap="1">
                <wp:simplePos x="0" y="0"/>
                <wp:positionH relativeFrom="column">
                  <wp:posOffset>1943735</wp:posOffset>
                </wp:positionH>
                <wp:positionV relativeFrom="paragraph">
                  <wp:posOffset>3519805</wp:posOffset>
                </wp:positionV>
                <wp:extent cx="1067435" cy="509905"/>
                <wp:effectExtent l="0" t="0" r="18415" b="4445"/>
                <wp:wrapNone/>
                <wp:docPr id="52" name="文本框 52"/>
                <wp:cNvGraphicFramePr/>
                <a:graphic xmlns:a="http://schemas.openxmlformats.org/drawingml/2006/main">
                  <a:graphicData uri="http://schemas.microsoft.com/office/word/2010/wordprocessingShape">
                    <wps:wsp>
                      <wps:cNvSpPr txBox="1"/>
                      <wps:spPr>
                        <a:xfrm>
                          <a:off x="0" y="0"/>
                          <a:ext cx="1067435" cy="50990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D0B4E57">
                            <w:pPr>
                              <w:numPr>
                                <w:ilvl w:val="0"/>
                                <w:numId w:val="20"/>
                              </w:numPr>
                              <w:rPr>
                                <w:rFonts w:hint="eastAsia"/>
                                <w:bCs/>
                                <w:color w:val="auto"/>
                                <w:szCs w:val="21"/>
                                <w:highlight w:val="none"/>
                              </w:rPr>
                            </w:pPr>
                            <w:r>
                              <w:rPr>
                                <w:rFonts w:hint="eastAsia"/>
                                <w:bCs/>
                                <w:color w:val="auto"/>
                                <w:szCs w:val="21"/>
                                <w:highlight w:val="none"/>
                              </w:rPr>
                              <w:t>交叉型</w:t>
                            </w:r>
                          </w:p>
                          <w:p w14:paraId="3335BB8A">
                            <w:pPr>
                              <w:numPr>
                                <w:ilvl w:val="0"/>
                                <w:numId w:val="0"/>
                              </w:numPr>
                            </w:pPr>
                            <w:r>
                              <w:rPr>
                                <w:rFonts w:hint="eastAsia"/>
                                <w:bCs/>
                                <w:color w:val="auto"/>
                                <w:szCs w:val="21"/>
                                <w:highlight w:val="none"/>
                              </w:rPr>
                              <w:t>（锚固于承台）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3.05pt;margin-top:277.15pt;height:40.15pt;width:84.05pt;z-index:251677696;mso-width-relative:page;mso-height-relative:page;" fillcolor="#FFFFFF [3201]" filled="t" stroked="f" coordsize="21600,21600" o:gfxdata="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AHaTzbXAAAACwEAAA8A&#10;AAAAAAAAAQAgAAAAIgAAAGRycy9kb3ducmV2LnhtbFBLAQIUABQAAAAIAIdO4kDt8c6ZUQIAAJEE&#10;AAAOAAAAAAAAAAEAIAAAACYBAABkcnMvZTJvRG9jLnhtbFBLBQYAAAAABgAGAFkBAADpBQAAAAA=&#10;">
                <v:fill on="t" focussize="0,0"/>
                <v:stroke on="f" weight="0.5pt"/>
                <v:imagedata o:title=""/>
                <o:lock v:ext="edit" aspectratio="f"/>
                <v:textbox>
                  <w:txbxContent>
                    <w:p w14:paraId="4D0B4E57">
                      <w:pPr>
                        <w:numPr>
                          <w:ilvl w:val="0"/>
                          <w:numId w:val="20"/>
                        </w:numPr>
                        <w:rPr>
                          <w:rFonts w:hint="eastAsia"/>
                          <w:bCs/>
                          <w:color w:val="auto"/>
                          <w:szCs w:val="21"/>
                          <w:highlight w:val="none"/>
                        </w:rPr>
                      </w:pPr>
                      <w:r>
                        <w:rPr>
                          <w:rFonts w:hint="eastAsia"/>
                          <w:bCs/>
                          <w:color w:val="auto"/>
                          <w:szCs w:val="21"/>
                          <w:highlight w:val="none"/>
                        </w:rPr>
                        <w:t>交叉型</w:t>
                      </w:r>
                    </w:p>
                    <w:p w14:paraId="3335BB8A">
                      <w:pPr>
                        <w:numPr>
                          <w:ilvl w:val="0"/>
                          <w:numId w:val="0"/>
                        </w:numPr>
                      </w:pPr>
                      <w:r>
                        <w:rPr>
                          <w:rFonts w:hint="eastAsia"/>
                          <w:bCs/>
                          <w:color w:val="auto"/>
                          <w:szCs w:val="21"/>
                          <w:highlight w:val="none"/>
                        </w:rPr>
                        <w:t>（锚固于承台）</w:t>
                      </w:r>
                    </w:p>
                  </w:txbxContent>
                </v:textbox>
              </v:shape>
            </w:pict>
          </mc:Fallback>
        </mc:AlternateContent>
      </w:r>
      <w:r>
        <w:rPr>
          <w:color w:val="auto"/>
          <w:sz w:val="28"/>
          <w:highlight w:val="none"/>
        </w:rPr>
        <mc:AlternateContent>
          <mc:Choice Requires="wps">
            <w:drawing>
              <wp:anchor distT="0" distB="0" distL="114300" distR="114300" simplePos="0" relativeHeight="251674624" behindDoc="0" locked="0" layoutInCell="1" allowOverlap="1">
                <wp:simplePos x="0" y="0"/>
                <wp:positionH relativeFrom="column">
                  <wp:posOffset>901700</wp:posOffset>
                </wp:positionH>
                <wp:positionV relativeFrom="paragraph">
                  <wp:posOffset>3489325</wp:posOffset>
                </wp:positionV>
                <wp:extent cx="1067435" cy="509905"/>
                <wp:effectExtent l="0" t="0" r="18415" b="4445"/>
                <wp:wrapNone/>
                <wp:docPr id="50" name="文本框 50"/>
                <wp:cNvGraphicFramePr/>
                <a:graphic xmlns:a="http://schemas.openxmlformats.org/drawingml/2006/main">
                  <a:graphicData uri="http://schemas.microsoft.com/office/word/2010/wordprocessingShape">
                    <wps:wsp>
                      <wps:cNvSpPr txBox="1"/>
                      <wps:spPr>
                        <a:xfrm>
                          <a:off x="1965325" y="4761230"/>
                          <a:ext cx="1067435" cy="50990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B7CE9AB">
                            <w:pPr>
                              <w:numPr>
                                <w:ilvl w:val="0"/>
                                <w:numId w:val="20"/>
                              </w:numPr>
                              <w:rPr>
                                <w:rFonts w:hint="eastAsia"/>
                                <w:bCs/>
                                <w:color w:val="auto"/>
                                <w:szCs w:val="21"/>
                                <w:highlight w:val="none"/>
                              </w:rPr>
                            </w:pPr>
                            <w:r>
                              <w:rPr>
                                <w:rFonts w:hint="eastAsia"/>
                                <w:bCs/>
                                <w:color w:val="auto"/>
                                <w:szCs w:val="21"/>
                                <w:highlight w:val="none"/>
                              </w:rPr>
                              <w:t>交叉型</w:t>
                            </w:r>
                          </w:p>
                          <w:p w14:paraId="7732F0B3">
                            <w:pPr>
                              <w:numPr>
                                <w:ilvl w:val="0"/>
                                <w:numId w:val="0"/>
                              </w:numPr>
                            </w:pPr>
                            <w:r>
                              <w:rPr>
                                <w:rFonts w:hint="eastAsia"/>
                                <w:bCs/>
                                <w:color w:val="auto"/>
                                <w:szCs w:val="21"/>
                                <w:highlight w:val="none"/>
                              </w:rPr>
                              <w:t>（锚固于墩底）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1pt;margin-top:274.75pt;height:40.15pt;width:84.05pt;z-index:251674624;mso-width-relative:page;mso-height-relative:page;" fillcolor="#FFFFFF [3201]" filled="t" stroked="f" coordsize="21600,21600" o:gfxdata="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Uii01tYA&#10;AAALAQAADwAAAAAAAAABACAAAAAiAAAAZHJzL2Rvd25yZXYueG1sUEsBAhQAFAAAAAgAh07iQN05&#10;kIBaAgAAnQQAAA4AAAAAAAAAAQAgAAAAJQEAAGRycy9lMm9Eb2MueG1sUEsFBgAAAAAGAAYAWQEA&#10;APEFAAAAAA==&#10;">
                <v:fill on="t" focussize="0,0"/>
                <v:stroke on="f" weight="0.5pt"/>
                <v:imagedata o:title=""/>
                <o:lock v:ext="edit" aspectratio="f"/>
                <v:textbox>
                  <w:txbxContent>
                    <w:p w14:paraId="0B7CE9AB">
                      <w:pPr>
                        <w:numPr>
                          <w:ilvl w:val="0"/>
                          <w:numId w:val="20"/>
                        </w:numPr>
                        <w:rPr>
                          <w:rFonts w:hint="eastAsia"/>
                          <w:bCs/>
                          <w:color w:val="auto"/>
                          <w:szCs w:val="21"/>
                          <w:highlight w:val="none"/>
                        </w:rPr>
                      </w:pPr>
                      <w:r>
                        <w:rPr>
                          <w:rFonts w:hint="eastAsia"/>
                          <w:bCs/>
                          <w:color w:val="auto"/>
                          <w:szCs w:val="21"/>
                          <w:highlight w:val="none"/>
                        </w:rPr>
                        <w:t>交叉型</w:t>
                      </w:r>
                    </w:p>
                    <w:p w14:paraId="7732F0B3">
                      <w:pPr>
                        <w:numPr>
                          <w:ilvl w:val="0"/>
                          <w:numId w:val="0"/>
                        </w:numPr>
                      </w:pPr>
                      <w:r>
                        <w:rPr>
                          <w:rFonts w:hint="eastAsia"/>
                          <w:bCs/>
                          <w:color w:val="auto"/>
                          <w:szCs w:val="21"/>
                          <w:highlight w:val="none"/>
                        </w:rPr>
                        <w:t>（锚固于墩底）</w:t>
                      </w:r>
                    </w:p>
                  </w:txbxContent>
                </v:textbox>
              </v:shape>
            </w:pict>
          </mc:Fallback>
        </mc:AlternateContent>
      </w:r>
      <w:r>
        <w:rPr>
          <w:color w:val="auto"/>
          <w:sz w:val="21"/>
          <w:szCs w:val="21"/>
          <w:highlight w:val="none"/>
        </w:rPr>
        <w:object>
          <v:shape id="_x0000_i1074" o:spt="75" type="#_x0000_t75" style="height:266.55pt;width:302.5pt;" o:ole="t" filled="f" o:preferrelative="t" stroked="f" coordsize="21600,21600">
            <v:path/>
            <v:fill on="f" focussize="0,0"/>
            <v:stroke on="f"/>
            <v:imagedata r:id="rId120" cropleft="13575f" croptop="15062f" cropright="42697f" cropbottom="20117f" o:title=""/>
            <o:lock v:ext="edit" aspectratio="t"/>
            <w10:wrap type="none"/>
            <w10:anchorlock/>
          </v:shape>
          <o:OLEObject Type="Embed" ProgID="AutoCAD.Drawing.22" ShapeID="_x0000_i1074" DrawAspect="Content" ObjectID="_1468075774" r:id="rId119">
            <o:LockedField>false</o:LockedField>
          </o:OLEObject>
        </w:object>
      </w:r>
    </w:p>
    <w:p w14:paraId="2F41C302">
      <w:pPr>
        <w:pStyle w:val="2"/>
        <w:keepNext w:val="0"/>
        <w:keepLines w:val="0"/>
        <w:pageBreakBefore w:val="0"/>
        <w:widowControl w:val="0"/>
        <w:kinsoku/>
        <w:wordWrap/>
        <w:overflowPunct/>
        <w:topLinePunct w:val="0"/>
        <w:autoSpaceDE/>
        <w:autoSpaceDN/>
        <w:bidi w:val="0"/>
        <w:adjustRightInd/>
        <w:spacing w:before="157" w:beforeLines="50" w:line="360" w:lineRule="auto"/>
        <w:ind w:firstLine="0" w:firstLineChars="0"/>
        <w:jc w:val="center"/>
        <w:textAlignment w:val="auto"/>
        <w:rPr>
          <w:color w:val="auto"/>
          <w:sz w:val="21"/>
          <w:szCs w:val="21"/>
          <w:highlight w:val="none"/>
        </w:rPr>
      </w:pPr>
    </w:p>
    <w:p w14:paraId="6BA2A481">
      <w:pPr>
        <w:keepNext w:val="0"/>
        <w:keepLines w:val="0"/>
        <w:pageBreakBefore w:val="0"/>
        <w:widowControl w:val="0"/>
        <w:kinsoku/>
        <w:wordWrap/>
        <w:overflowPunct/>
        <w:topLinePunct w:val="0"/>
        <w:autoSpaceDE/>
        <w:autoSpaceDN/>
        <w:bidi w:val="0"/>
        <w:adjustRightInd/>
        <w:snapToGrid w:val="0"/>
        <w:spacing w:before="157" w:beforeLines="50" w:line="360" w:lineRule="auto"/>
        <w:jc w:val="center"/>
        <w:textAlignment w:val="auto"/>
        <w:rPr>
          <w:bCs/>
          <w:color w:val="auto"/>
          <w:szCs w:val="21"/>
          <w:highlight w:val="none"/>
        </w:rPr>
      </w:pPr>
      <w:r>
        <w:rPr>
          <w:rFonts w:hint="eastAsia"/>
          <w:bCs/>
          <w:color w:val="auto"/>
          <w:szCs w:val="21"/>
          <w:highlight w:val="none"/>
        </w:rPr>
        <w:t>图6.8.5 桥墩钢束布置示意图</w:t>
      </w:r>
    </w:p>
    <w:p w14:paraId="1EE98909">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color w:val="auto"/>
          <w:sz w:val="24"/>
          <w:szCs w:val="24"/>
          <w:highlight w:val="none"/>
        </w:rPr>
        <w:t>6.8.6</w:t>
      </w:r>
      <w:r>
        <w:rPr>
          <w:rFonts w:hint="default" w:ascii="Times New Roman" w:hAnsi="Times New Roman" w:eastAsia="宋体" w:cs="Times New Roman"/>
          <w:color w:val="auto"/>
          <w:sz w:val="24"/>
          <w:szCs w:val="24"/>
          <w:highlight w:val="none"/>
        </w:rPr>
        <w:t xml:space="preserve"> 节段预制混凝土墩柱采用直线型钢束的预应力筋时，宜采用单端锚固形式，张拉端宜置于墩柱顶端，锚固端可采用预埋式带索P形锚具或其他有效锚固形式。</w:t>
      </w:r>
    </w:p>
    <w:p w14:paraId="489EECD5">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color w:val="auto"/>
          <w:sz w:val="24"/>
          <w:szCs w:val="24"/>
          <w:highlight w:val="none"/>
        </w:rPr>
        <w:t>6.8.7</w:t>
      </w:r>
      <w:r>
        <w:rPr>
          <w:rFonts w:hint="default" w:ascii="Times New Roman" w:hAnsi="Times New Roman" w:eastAsia="宋体" w:cs="Times New Roman"/>
          <w:color w:val="auto"/>
          <w:sz w:val="24"/>
          <w:szCs w:val="24"/>
          <w:highlight w:val="none"/>
        </w:rPr>
        <w:t xml:space="preserve"> 对于墩高大于16m的节段预制墩柱，应根据抗震需求设置耗能措施，宜在底部设置现浇段或底部填芯，填芯高度应不小于一个节段高度。</w:t>
      </w:r>
    </w:p>
    <w:p w14:paraId="04937A6D">
      <w:pPr>
        <w:pStyle w:val="30"/>
        <w:ind w:firstLine="0" w:firstLineChars="0"/>
        <w:jc w:val="center"/>
        <w:rPr>
          <w:rFonts w:ascii="Times New Roman"/>
          <w:color w:val="auto"/>
          <w:szCs w:val="21"/>
          <w:highlight w:val="none"/>
        </w:rPr>
      </w:pPr>
      <w:r>
        <w:rPr>
          <w:color w:val="auto"/>
          <w:highlight w:val="none"/>
        </w:rPr>
        <w:drawing>
          <wp:inline distT="0" distB="0" distL="114300" distR="114300">
            <wp:extent cx="2592070" cy="1861820"/>
            <wp:effectExtent l="0" t="0" r="17780" b="5080"/>
            <wp:docPr id="5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2"/>
                    <pic:cNvPicPr>
                      <a:picLocks noChangeAspect="1"/>
                    </pic:cNvPicPr>
                  </pic:nvPicPr>
                  <pic:blipFill>
                    <a:blip r:embed="rId121"/>
                    <a:stretch>
                      <a:fillRect/>
                    </a:stretch>
                  </pic:blipFill>
                  <pic:spPr>
                    <a:xfrm>
                      <a:off x="0" y="0"/>
                      <a:ext cx="2592070" cy="1861820"/>
                    </a:xfrm>
                    <a:prstGeom prst="rect">
                      <a:avLst/>
                    </a:prstGeom>
                    <a:noFill/>
                    <a:ln>
                      <a:noFill/>
                    </a:ln>
                  </pic:spPr>
                </pic:pic>
              </a:graphicData>
            </a:graphic>
          </wp:inline>
        </w:drawing>
      </w:r>
    </w:p>
    <w:p w14:paraId="142B062C">
      <w:pPr>
        <w:snapToGrid w:val="0"/>
        <w:spacing w:line="400" w:lineRule="exact"/>
        <w:jc w:val="center"/>
        <w:rPr>
          <w:bCs/>
          <w:color w:val="auto"/>
          <w:szCs w:val="21"/>
          <w:highlight w:val="none"/>
        </w:rPr>
      </w:pPr>
      <w:r>
        <w:rPr>
          <w:rFonts w:hint="eastAsia"/>
          <w:bCs/>
          <w:color w:val="auto"/>
          <w:szCs w:val="21"/>
          <w:highlight w:val="none"/>
        </w:rPr>
        <w:t>图6.8.7 桥墩底部填芯示意图</w:t>
      </w:r>
    </w:p>
    <w:p w14:paraId="7E490DA5">
      <w:pPr>
        <w:pStyle w:val="30"/>
        <w:spacing w:line="400" w:lineRule="exact"/>
        <w:ind w:firstLine="0" w:firstLineChars="0"/>
        <w:rPr>
          <w:rFonts w:ascii="Times New Roman"/>
          <w:color w:val="auto"/>
          <w:highlight w:val="none"/>
        </w:rPr>
      </w:pPr>
    </w:p>
    <w:p w14:paraId="72BA1172">
      <w:pPr>
        <w:pStyle w:val="169"/>
        <w:spacing w:afterLines="0"/>
        <w:ind w:firstLine="0"/>
        <w:rPr>
          <w:rFonts w:cs="Times New Roman"/>
          <w:strike/>
          <w:color w:val="auto"/>
          <w:sz w:val="21"/>
          <w:szCs w:val="21"/>
          <w:highlight w:val="none"/>
        </w:rPr>
      </w:pPr>
    </w:p>
    <w:p w14:paraId="649B90AF">
      <w:pPr>
        <w:widowControl/>
        <w:jc w:val="left"/>
        <w:rPr>
          <w:rFonts w:ascii="Times New Roman" w:hAnsi="Times New Roman" w:eastAsia="黑体"/>
          <w:color w:val="auto"/>
          <w:kern w:val="44"/>
          <w:sz w:val="32"/>
          <w:szCs w:val="32"/>
          <w:highlight w:val="none"/>
        </w:rPr>
      </w:pPr>
      <w:r>
        <w:rPr>
          <w:rFonts w:ascii="Times New Roman" w:hAnsi="Times New Roman"/>
          <w:color w:val="auto"/>
          <w:szCs w:val="32"/>
          <w:highlight w:val="none"/>
        </w:rPr>
        <w:br w:type="page"/>
      </w:r>
    </w:p>
    <w:p w14:paraId="6610BC29">
      <w:pPr>
        <w:pStyle w:val="17"/>
        <w:spacing w:before="312" w:beforeLines="100" w:after="312" w:afterLines="100" w:line="360" w:lineRule="auto"/>
        <w:jc w:val="center"/>
        <w:outlineLvl w:val="0"/>
        <w:rPr>
          <w:rFonts w:ascii="Times New Roman" w:hAnsi="Times New Roman" w:cs="Times New Roman"/>
          <w:b/>
          <w:sz w:val="36"/>
          <w:szCs w:val="36"/>
        </w:rPr>
      </w:pPr>
      <w:bookmarkStart w:id="115" w:name="_Toc23039"/>
      <w:bookmarkStart w:id="116" w:name="_Toc13710"/>
      <w:r>
        <w:rPr>
          <w:rFonts w:hint="default" w:ascii="Times New Roman" w:hAnsi="Times New Roman" w:cs="Times New Roman"/>
          <w:b/>
          <w:sz w:val="36"/>
          <w:szCs w:val="36"/>
        </w:rPr>
        <w:t xml:space="preserve">7 </w:t>
      </w:r>
      <w:r>
        <w:rPr>
          <w:rFonts w:hint="default" w:ascii="Times New Roman" w:hAnsi="Times New Roman" w:cs="Times New Roman"/>
          <w:b/>
          <w:sz w:val="36"/>
          <w:szCs w:val="36"/>
          <w:lang w:val="zh-CN"/>
        </w:rPr>
        <w:t>施工</w:t>
      </w:r>
      <w:bookmarkEnd w:id="115"/>
      <w:bookmarkEnd w:id="116"/>
    </w:p>
    <w:bookmarkEnd w:id="25"/>
    <w:bookmarkEnd w:id="26"/>
    <w:bookmarkEnd w:id="27"/>
    <w:bookmarkEnd w:id="28"/>
    <w:bookmarkEnd w:id="29"/>
    <w:bookmarkEnd w:id="30"/>
    <w:bookmarkEnd w:id="31"/>
    <w:bookmarkEnd w:id="32"/>
    <w:bookmarkEnd w:id="33"/>
    <w:bookmarkEnd w:id="55"/>
    <w:p w14:paraId="349CA749">
      <w:pPr>
        <w:spacing w:before="156" w:beforeLines="50" w:after="156" w:afterLines="50" w:line="360" w:lineRule="auto"/>
        <w:jc w:val="center"/>
        <w:outlineLvl w:val="1"/>
        <w:rPr>
          <w:rFonts w:ascii="Times New Roman" w:hAnsi="Times New Roman" w:cs="Times New Roman"/>
          <w:b/>
          <w:kern w:val="0"/>
          <w:sz w:val="28"/>
          <w:szCs w:val="28"/>
        </w:rPr>
      </w:pPr>
      <w:bookmarkStart w:id="117" w:name="_Toc23230"/>
      <w:bookmarkStart w:id="118" w:name="_Toc5489"/>
      <w:bookmarkStart w:id="119" w:name="_Toc12928"/>
      <w:r>
        <w:rPr>
          <w:rFonts w:hint="eastAsia" w:ascii="Times New Roman" w:hAnsi="Times New Roman" w:cs="Times New Roman"/>
          <w:b/>
          <w:kern w:val="0"/>
          <w:sz w:val="28"/>
          <w:szCs w:val="28"/>
        </w:rPr>
        <w:t>7.1 一般规定</w:t>
      </w:r>
      <w:bookmarkEnd w:id="117"/>
      <w:bookmarkEnd w:id="118"/>
      <w:bookmarkEnd w:id="119"/>
    </w:p>
    <w:p w14:paraId="43EE0004">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
          <w:bCs/>
          <w:color w:val="auto"/>
          <w:sz w:val="24"/>
          <w:szCs w:val="24"/>
          <w:highlight w:val="none"/>
        </w:rPr>
      </w:pPr>
      <w:bookmarkStart w:id="120" w:name="_Toc3244"/>
      <w:r>
        <w:rPr>
          <w:rFonts w:cs="Times New Roman"/>
          <w:b/>
          <w:bCs/>
          <w:color w:val="auto"/>
          <w:sz w:val="24"/>
          <w:szCs w:val="24"/>
          <w:highlight w:val="none"/>
        </w:rPr>
        <w:t>7.1.1</w:t>
      </w:r>
      <w:r>
        <w:rPr>
          <w:rFonts w:cs="Times New Roman"/>
          <w:color w:val="auto"/>
          <w:sz w:val="24"/>
          <w:szCs w:val="24"/>
          <w:highlight w:val="none"/>
        </w:rPr>
        <w:t xml:space="preserve"> 构件的预制与现场连接宜采用工程数字化、信息化、智能化技术进行生产管理。</w:t>
      </w:r>
    </w:p>
    <w:p w14:paraId="14473617">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color w:val="auto"/>
          <w:sz w:val="24"/>
          <w:szCs w:val="24"/>
          <w:highlight w:val="none"/>
        </w:rPr>
      </w:pPr>
      <w:r>
        <w:rPr>
          <w:rFonts w:cs="Times New Roman"/>
          <w:b/>
          <w:bCs/>
          <w:color w:val="auto"/>
          <w:sz w:val="24"/>
          <w:szCs w:val="24"/>
          <w:highlight w:val="none"/>
        </w:rPr>
        <w:t>7.1.2</w:t>
      </w:r>
      <w:r>
        <w:rPr>
          <w:rFonts w:cs="Times New Roman"/>
          <w:color w:val="auto"/>
          <w:sz w:val="24"/>
          <w:szCs w:val="24"/>
          <w:highlight w:val="none"/>
        </w:rPr>
        <w:t xml:space="preserve"> 构件安装前应在现场进行试</w:t>
      </w:r>
      <w:r>
        <w:rPr>
          <w:rFonts w:hint="eastAsia" w:cs="Times New Roman"/>
          <w:color w:val="auto"/>
          <w:sz w:val="24"/>
          <w:szCs w:val="24"/>
          <w:highlight w:val="none"/>
        </w:rPr>
        <w:t>拼装</w:t>
      </w:r>
      <w:r>
        <w:rPr>
          <w:rFonts w:cs="Times New Roman"/>
          <w:color w:val="auto"/>
          <w:sz w:val="24"/>
          <w:szCs w:val="24"/>
          <w:highlight w:val="none"/>
        </w:rPr>
        <w:t>，应对接缝表面进行复测</w:t>
      </w:r>
      <w:r>
        <w:rPr>
          <w:rFonts w:hint="eastAsia" w:cs="Times New Roman"/>
          <w:color w:val="auto"/>
          <w:sz w:val="24"/>
          <w:szCs w:val="24"/>
          <w:highlight w:val="none"/>
        </w:rPr>
        <w:t>、</w:t>
      </w:r>
      <w:r>
        <w:rPr>
          <w:rFonts w:cs="Times New Roman"/>
          <w:color w:val="auto"/>
          <w:sz w:val="24"/>
          <w:szCs w:val="24"/>
          <w:highlight w:val="none"/>
        </w:rPr>
        <w:t>清洁</w:t>
      </w:r>
      <w:r>
        <w:rPr>
          <w:rFonts w:hint="eastAsia" w:cs="Times New Roman"/>
          <w:color w:val="auto"/>
          <w:sz w:val="24"/>
          <w:szCs w:val="24"/>
          <w:highlight w:val="none"/>
        </w:rPr>
        <w:t>和</w:t>
      </w:r>
      <w:r>
        <w:rPr>
          <w:rFonts w:cs="Times New Roman"/>
          <w:color w:val="auto"/>
          <w:sz w:val="24"/>
          <w:szCs w:val="24"/>
          <w:highlight w:val="none"/>
        </w:rPr>
        <w:t>干燥化处理</w:t>
      </w:r>
      <w:r>
        <w:rPr>
          <w:rFonts w:hint="eastAsia" w:cs="Times New Roman"/>
          <w:color w:val="auto"/>
          <w:sz w:val="24"/>
          <w:szCs w:val="24"/>
          <w:highlight w:val="none"/>
        </w:rPr>
        <w:t>，</w:t>
      </w:r>
      <w:r>
        <w:rPr>
          <w:rFonts w:cs="Times New Roman"/>
          <w:color w:val="auto"/>
          <w:sz w:val="24"/>
          <w:szCs w:val="24"/>
          <w:highlight w:val="none"/>
        </w:rPr>
        <w:t>对预留外露</w:t>
      </w:r>
      <w:r>
        <w:rPr>
          <w:rFonts w:hint="eastAsia" w:cs="Times New Roman"/>
          <w:color w:val="auto"/>
          <w:sz w:val="24"/>
          <w:szCs w:val="24"/>
          <w:highlight w:val="none"/>
        </w:rPr>
        <w:t>钢材</w:t>
      </w:r>
      <w:r>
        <w:rPr>
          <w:rFonts w:cs="Times New Roman"/>
          <w:color w:val="auto"/>
          <w:sz w:val="24"/>
          <w:szCs w:val="24"/>
          <w:highlight w:val="none"/>
        </w:rPr>
        <w:t>应进行除锈处理。</w:t>
      </w:r>
    </w:p>
    <w:p w14:paraId="56A41078">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color w:val="auto"/>
          <w:sz w:val="24"/>
          <w:szCs w:val="24"/>
          <w:highlight w:val="none"/>
        </w:rPr>
      </w:pPr>
      <w:r>
        <w:rPr>
          <w:rFonts w:cs="Times New Roman"/>
          <w:b/>
          <w:bCs/>
          <w:color w:val="auto"/>
          <w:sz w:val="24"/>
          <w:szCs w:val="24"/>
          <w:highlight w:val="none"/>
        </w:rPr>
        <w:t>7.1.3</w:t>
      </w:r>
      <w:r>
        <w:rPr>
          <w:rFonts w:cs="Times New Roman"/>
          <w:color w:val="auto"/>
          <w:sz w:val="24"/>
          <w:szCs w:val="24"/>
          <w:highlight w:val="none"/>
        </w:rPr>
        <w:t xml:space="preserve"> 预制构件上的连接钢筋和预埋件应按设计要求在工厂与预制构件</w:t>
      </w:r>
      <w:r>
        <w:rPr>
          <w:rFonts w:hint="default" w:ascii="Times New Roman" w:hAnsi="Times New Roman" w:cs="Times New Roman"/>
          <w:color w:val="auto"/>
          <w:sz w:val="24"/>
          <w:szCs w:val="24"/>
          <w:highlight w:val="none"/>
        </w:rPr>
        <w:t>同步制作</w:t>
      </w:r>
      <w:r>
        <w:rPr>
          <w:rFonts w:cs="Times New Roman"/>
          <w:color w:val="auto"/>
          <w:sz w:val="24"/>
          <w:szCs w:val="24"/>
          <w:highlight w:val="none"/>
        </w:rPr>
        <w:t>。</w:t>
      </w:r>
    </w:p>
    <w:p w14:paraId="1E6C2CA9">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color w:val="auto"/>
          <w:sz w:val="24"/>
          <w:szCs w:val="24"/>
          <w:highlight w:val="none"/>
        </w:rPr>
      </w:pPr>
      <w:r>
        <w:rPr>
          <w:rFonts w:cs="Times New Roman"/>
          <w:b/>
          <w:bCs/>
          <w:color w:val="auto"/>
          <w:sz w:val="24"/>
          <w:szCs w:val="24"/>
          <w:highlight w:val="none"/>
        </w:rPr>
        <w:t>7.1.</w:t>
      </w:r>
      <w:r>
        <w:rPr>
          <w:rFonts w:hint="eastAsia" w:cs="Times New Roman"/>
          <w:b/>
          <w:bCs/>
          <w:color w:val="auto"/>
          <w:sz w:val="24"/>
          <w:szCs w:val="24"/>
          <w:highlight w:val="none"/>
        </w:rPr>
        <w:t>4</w:t>
      </w:r>
      <w:r>
        <w:rPr>
          <w:rFonts w:cs="Times New Roman"/>
          <w:color w:val="auto"/>
          <w:sz w:val="24"/>
          <w:szCs w:val="24"/>
          <w:highlight w:val="none"/>
        </w:rPr>
        <w:t xml:space="preserve"> </w:t>
      </w:r>
      <w:r>
        <w:rPr>
          <w:rFonts w:hint="eastAsia" w:cs="Times New Roman"/>
          <w:color w:val="auto"/>
          <w:sz w:val="24"/>
          <w:szCs w:val="24"/>
          <w:highlight w:val="none"/>
        </w:rPr>
        <w:t>构件模板宜采用钢材制作。模板系统除应满足刚度、承载能力、稳定性的要求外，尚应满足生产工艺、模具组装与拆卸、周转次数</w:t>
      </w:r>
      <w:r>
        <w:rPr>
          <w:rFonts w:cs="Times New Roman"/>
          <w:color w:val="auto"/>
          <w:sz w:val="24"/>
          <w:szCs w:val="24"/>
          <w:highlight w:val="none"/>
        </w:rPr>
        <w:t>、</w:t>
      </w:r>
      <w:r>
        <w:rPr>
          <w:rFonts w:hint="eastAsia" w:cs="Times New Roman"/>
          <w:color w:val="auto"/>
          <w:sz w:val="24"/>
          <w:szCs w:val="24"/>
          <w:highlight w:val="none"/>
        </w:rPr>
        <w:t>预留孔洞</w:t>
      </w:r>
      <w:r>
        <w:rPr>
          <w:rFonts w:cs="Times New Roman"/>
          <w:color w:val="auto"/>
          <w:sz w:val="24"/>
          <w:szCs w:val="24"/>
          <w:highlight w:val="none"/>
        </w:rPr>
        <w:t>及</w:t>
      </w:r>
      <w:r>
        <w:rPr>
          <w:rFonts w:hint="eastAsia" w:cs="Times New Roman"/>
          <w:color w:val="auto"/>
          <w:sz w:val="24"/>
          <w:szCs w:val="24"/>
          <w:highlight w:val="none"/>
        </w:rPr>
        <w:t>预埋件安装定位要求</w:t>
      </w:r>
      <w:r>
        <w:rPr>
          <w:rFonts w:cs="Times New Roman"/>
          <w:color w:val="auto"/>
          <w:sz w:val="24"/>
          <w:szCs w:val="24"/>
          <w:highlight w:val="none"/>
        </w:rPr>
        <w:t>。</w:t>
      </w:r>
    </w:p>
    <w:p w14:paraId="32B95EB6">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color w:val="auto"/>
          <w:sz w:val="24"/>
          <w:szCs w:val="24"/>
          <w:highlight w:val="none"/>
        </w:rPr>
      </w:pPr>
      <w:r>
        <w:rPr>
          <w:rFonts w:cs="Times New Roman"/>
          <w:b/>
          <w:bCs/>
          <w:color w:val="auto"/>
          <w:sz w:val="24"/>
          <w:szCs w:val="24"/>
          <w:highlight w:val="none"/>
        </w:rPr>
        <w:t>7.1.</w:t>
      </w:r>
      <w:r>
        <w:rPr>
          <w:rFonts w:hint="eastAsia" w:cs="Times New Roman"/>
          <w:b/>
          <w:bCs/>
          <w:color w:val="auto"/>
          <w:sz w:val="24"/>
          <w:szCs w:val="24"/>
          <w:highlight w:val="none"/>
        </w:rPr>
        <w:t>5</w:t>
      </w:r>
      <w:r>
        <w:rPr>
          <w:rFonts w:cs="Times New Roman"/>
          <w:color w:val="auto"/>
          <w:sz w:val="24"/>
          <w:szCs w:val="24"/>
          <w:highlight w:val="none"/>
        </w:rPr>
        <w:t xml:space="preserve"> </w:t>
      </w:r>
      <w:r>
        <w:rPr>
          <w:rFonts w:hint="eastAsia" w:cs="Times New Roman"/>
          <w:color w:val="auto"/>
          <w:sz w:val="24"/>
          <w:szCs w:val="24"/>
          <w:highlight w:val="none"/>
        </w:rPr>
        <w:t>在施工过程中，应采取适当的措施，防止钢材产生锈蚀。对设置在结构或构件中的预留钢材的外露部分，当外露时间较长且环境湿度较大时，宜采取包裹、涂刷防锈材料或其他有效方式，进行临时性防护。</w:t>
      </w:r>
    </w:p>
    <w:p w14:paraId="0DD85A01">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color w:val="auto"/>
          <w:sz w:val="24"/>
          <w:szCs w:val="24"/>
          <w:highlight w:val="none"/>
        </w:rPr>
      </w:pPr>
      <w:r>
        <w:rPr>
          <w:rFonts w:cs="Times New Roman"/>
          <w:b/>
          <w:bCs/>
          <w:color w:val="auto"/>
          <w:sz w:val="24"/>
          <w:szCs w:val="24"/>
          <w:highlight w:val="none"/>
        </w:rPr>
        <w:t>7.1.</w:t>
      </w:r>
      <w:r>
        <w:rPr>
          <w:rFonts w:hint="eastAsia" w:cs="Times New Roman"/>
          <w:b/>
          <w:bCs/>
          <w:color w:val="auto"/>
          <w:sz w:val="24"/>
          <w:szCs w:val="24"/>
          <w:highlight w:val="none"/>
        </w:rPr>
        <w:t>6</w:t>
      </w:r>
      <w:r>
        <w:rPr>
          <w:rFonts w:cs="Times New Roman"/>
          <w:color w:val="auto"/>
          <w:sz w:val="24"/>
          <w:szCs w:val="24"/>
          <w:highlight w:val="none"/>
        </w:rPr>
        <w:t xml:space="preserve"> </w:t>
      </w:r>
      <w:r>
        <w:rPr>
          <w:rFonts w:hint="default" w:cs="Times New Roman"/>
          <w:color w:val="auto"/>
          <w:sz w:val="24"/>
          <w:szCs w:val="24"/>
          <w:highlight w:val="none"/>
        </w:rPr>
        <w:t>施工过程中使用的受力装置和受力临时结构应进行专项设计和验算。</w:t>
      </w:r>
    </w:p>
    <w:p w14:paraId="1093BE72">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color w:val="auto"/>
          <w:sz w:val="24"/>
          <w:szCs w:val="24"/>
          <w:highlight w:val="none"/>
        </w:rPr>
      </w:pPr>
      <w:r>
        <w:rPr>
          <w:rFonts w:cs="Times New Roman"/>
          <w:b/>
          <w:bCs/>
          <w:color w:val="auto"/>
          <w:sz w:val="24"/>
          <w:szCs w:val="24"/>
          <w:highlight w:val="none"/>
        </w:rPr>
        <w:t>7.1.</w:t>
      </w:r>
      <w:r>
        <w:rPr>
          <w:rFonts w:hint="eastAsia" w:cs="Times New Roman"/>
          <w:b/>
          <w:bCs/>
          <w:color w:val="auto"/>
          <w:sz w:val="24"/>
          <w:szCs w:val="24"/>
          <w:highlight w:val="none"/>
          <w:lang w:val="en-US" w:eastAsia="zh-CN"/>
        </w:rPr>
        <w:t>7</w:t>
      </w:r>
      <w:r>
        <w:rPr>
          <w:rFonts w:cs="Times New Roman"/>
          <w:color w:val="auto"/>
          <w:sz w:val="24"/>
          <w:szCs w:val="24"/>
          <w:highlight w:val="none"/>
        </w:rPr>
        <w:t xml:space="preserve"> </w:t>
      </w:r>
      <w:r>
        <w:rPr>
          <w:rFonts w:hint="eastAsia" w:cs="Times New Roman"/>
          <w:color w:val="auto"/>
          <w:sz w:val="24"/>
          <w:szCs w:val="24"/>
          <w:highlight w:val="none"/>
        </w:rPr>
        <w:t>在正式施工前，应按设计要求对</w:t>
      </w:r>
      <w:r>
        <w:rPr>
          <w:rFonts w:hint="eastAsia" w:cs="Times New Roman"/>
          <w:color w:val="auto"/>
          <w:sz w:val="24"/>
          <w:szCs w:val="24"/>
          <w:highlight w:val="none"/>
          <w:lang w:val="en-US" w:eastAsia="zh-CN"/>
        </w:rPr>
        <w:t>各类连接型式的</w:t>
      </w:r>
      <w:r>
        <w:rPr>
          <w:rFonts w:hint="eastAsia" w:cs="Times New Roman"/>
          <w:color w:val="auto"/>
          <w:sz w:val="24"/>
          <w:szCs w:val="24"/>
          <w:highlight w:val="none"/>
        </w:rPr>
        <w:t>关键工艺进行试验验证。</w:t>
      </w:r>
    </w:p>
    <w:p w14:paraId="26E130FB">
      <w:pPr>
        <w:spacing w:before="156" w:beforeLines="50" w:after="156" w:afterLines="50" w:line="360" w:lineRule="auto"/>
        <w:jc w:val="center"/>
        <w:outlineLvl w:val="1"/>
        <w:rPr>
          <w:rFonts w:hint="eastAsia" w:ascii="Times New Roman" w:hAnsi="Times New Roman" w:cs="Times New Roman"/>
          <w:b/>
          <w:kern w:val="0"/>
          <w:sz w:val="28"/>
          <w:szCs w:val="28"/>
        </w:rPr>
      </w:pPr>
      <w:bookmarkStart w:id="121" w:name="_Toc13436"/>
      <w:bookmarkStart w:id="122" w:name="_Toc4562"/>
      <w:r>
        <w:rPr>
          <w:rFonts w:hint="eastAsia" w:ascii="Times New Roman" w:hAnsi="Times New Roman" w:cs="Times New Roman"/>
          <w:b/>
          <w:kern w:val="0"/>
          <w:sz w:val="28"/>
          <w:szCs w:val="28"/>
        </w:rPr>
        <w:t>7.2 工厂预制</w:t>
      </w:r>
      <w:bookmarkEnd w:id="120"/>
      <w:bookmarkEnd w:id="121"/>
      <w:bookmarkEnd w:id="122"/>
    </w:p>
    <w:p w14:paraId="6107DB0B">
      <w:pPr>
        <w:pStyle w:val="169"/>
        <w:keepNext w:val="0"/>
        <w:keepLines w:val="0"/>
        <w:pageBreakBefore w:val="0"/>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bookmarkStart w:id="123" w:name="_Toc19422"/>
      <w:r>
        <w:rPr>
          <w:rFonts w:cs="Times New Roman"/>
          <w:b/>
          <w:color w:val="auto"/>
          <w:sz w:val="24"/>
          <w:szCs w:val="24"/>
          <w:highlight w:val="none"/>
        </w:rPr>
        <w:t>7.2.1</w:t>
      </w:r>
      <w:r>
        <w:rPr>
          <w:rFonts w:cs="Times New Roman"/>
          <w:bCs/>
          <w:color w:val="auto"/>
          <w:sz w:val="24"/>
          <w:szCs w:val="24"/>
          <w:highlight w:val="none"/>
        </w:rPr>
        <w:t xml:space="preserve">  预制构件混凝土连接面应</w:t>
      </w:r>
      <w:r>
        <w:rPr>
          <w:rFonts w:hint="eastAsia" w:cs="Times New Roman"/>
          <w:bCs/>
          <w:color w:val="auto"/>
          <w:sz w:val="24"/>
          <w:szCs w:val="24"/>
          <w:highlight w:val="none"/>
        </w:rPr>
        <w:t>符合下列规定</w:t>
      </w:r>
      <w:r>
        <w:rPr>
          <w:rFonts w:cs="Times New Roman"/>
          <w:bCs/>
          <w:color w:val="auto"/>
          <w:sz w:val="24"/>
          <w:szCs w:val="24"/>
          <w:highlight w:val="none"/>
        </w:rPr>
        <w:t>：</w:t>
      </w:r>
    </w:p>
    <w:p w14:paraId="0E67C224">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bCs/>
          <w:color w:val="auto"/>
          <w:sz w:val="24"/>
          <w:szCs w:val="24"/>
          <w:highlight w:val="none"/>
        </w:rPr>
        <w:t>1 预制构件工厂浇筑混凝土时宜先浇筑预埋连接件范围内的混凝土；</w:t>
      </w:r>
    </w:p>
    <w:p w14:paraId="7F72B24A">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bCs/>
          <w:color w:val="auto"/>
          <w:sz w:val="24"/>
          <w:szCs w:val="24"/>
          <w:highlight w:val="none"/>
        </w:rPr>
        <w:t>2 脱模或移动时，应防止伤及接缝面的棱角和剪力键等；</w:t>
      </w:r>
    </w:p>
    <w:p w14:paraId="53A73CE7">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bCs/>
          <w:color w:val="auto"/>
          <w:sz w:val="24"/>
          <w:szCs w:val="24"/>
          <w:highlight w:val="none"/>
        </w:rPr>
        <w:t>3 预制构件接缝表面需凿毛时，应凿毛至</w:t>
      </w:r>
      <w:r>
        <w:rPr>
          <w:rFonts w:hint="eastAsia"/>
          <w:bCs/>
          <w:color w:val="auto"/>
          <w:sz w:val="24"/>
          <w:szCs w:val="24"/>
          <w:highlight w:val="none"/>
        </w:rPr>
        <w:t>连接全断面</w:t>
      </w:r>
      <w:r>
        <w:rPr>
          <w:bCs/>
          <w:color w:val="auto"/>
          <w:sz w:val="24"/>
          <w:szCs w:val="24"/>
          <w:highlight w:val="none"/>
        </w:rPr>
        <w:t>完全露出混凝土的粗集料,并应采用洁净水冲洗干净；采用环氧树脂胶拼接时，接缝处表面应清除脱模剂，保证接缝面干燥、清洁、平整。</w:t>
      </w:r>
    </w:p>
    <w:p w14:paraId="198635E2">
      <w:pPr>
        <w:pStyle w:val="169"/>
        <w:keepNext w:val="0"/>
        <w:keepLines w:val="0"/>
        <w:pageBreakBefore w:val="0"/>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7.2.2</w:t>
      </w:r>
      <w:r>
        <w:rPr>
          <w:rFonts w:cs="Times New Roman"/>
          <w:bCs/>
          <w:color w:val="auto"/>
          <w:sz w:val="24"/>
          <w:szCs w:val="24"/>
          <w:highlight w:val="none"/>
        </w:rPr>
        <w:t xml:space="preserve">  钢筋、预埋件制作应</w:t>
      </w:r>
      <w:r>
        <w:rPr>
          <w:rFonts w:hint="eastAsia" w:cs="Times New Roman"/>
          <w:bCs/>
          <w:color w:val="auto"/>
          <w:sz w:val="24"/>
          <w:szCs w:val="24"/>
          <w:highlight w:val="none"/>
        </w:rPr>
        <w:t>符合下列规定</w:t>
      </w:r>
      <w:r>
        <w:rPr>
          <w:rFonts w:cs="Times New Roman"/>
          <w:bCs/>
          <w:color w:val="auto"/>
          <w:sz w:val="24"/>
          <w:szCs w:val="24"/>
          <w:highlight w:val="none"/>
        </w:rPr>
        <w:t>：</w:t>
      </w:r>
    </w:p>
    <w:p w14:paraId="09AAD4C0">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bCs/>
          <w:color w:val="auto"/>
          <w:sz w:val="24"/>
          <w:szCs w:val="24"/>
          <w:highlight w:val="none"/>
        </w:rPr>
        <w:t>1 钢筋骨架上设置的预应力、定位块、连接件等宜采用定型生产的产品，应牢固、准确地安装，满足骨架精确入模的要求；</w:t>
      </w:r>
    </w:p>
    <w:p w14:paraId="1D7F074E">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bCs/>
          <w:color w:val="auto"/>
          <w:sz w:val="24"/>
          <w:szCs w:val="24"/>
          <w:highlight w:val="none"/>
        </w:rPr>
        <w:t>2 设置预埋件及预留孔时，应采用定位钢筋予以固定。</w:t>
      </w:r>
    </w:p>
    <w:p w14:paraId="2ECC8E97">
      <w:pPr>
        <w:pStyle w:val="169"/>
        <w:keepNext w:val="0"/>
        <w:keepLines w:val="0"/>
        <w:pageBreakBefore w:val="0"/>
        <w:kinsoku/>
        <w:wordWrap/>
        <w:overflowPunct/>
        <w:topLinePunct w:val="0"/>
        <w:autoSpaceDE/>
        <w:autoSpaceDN/>
        <w:bidi w:val="0"/>
        <w:snapToGrid/>
        <w:spacing w:afterLines="0" w:line="360" w:lineRule="auto"/>
        <w:ind w:firstLine="0"/>
        <w:textAlignment w:val="auto"/>
        <w:rPr>
          <w:rFonts w:hint="eastAsia" w:eastAsia="宋体" w:cs="Times New Roman"/>
          <w:bCs/>
          <w:color w:val="auto"/>
          <w:sz w:val="24"/>
          <w:szCs w:val="24"/>
          <w:highlight w:val="none"/>
          <w:lang w:eastAsia="zh-CN"/>
        </w:rPr>
      </w:pPr>
      <w:r>
        <w:rPr>
          <w:rFonts w:cs="Times New Roman"/>
          <w:b/>
          <w:color w:val="auto"/>
          <w:sz w:val="24"/>
          <w:szCs w:val="24"/>
          <w:highlight w:val="none"/>
        </w:rPr>
        <w:t>7.2.3</w:t>
      </w:r>
      <w:r>
        <w:rPr>
          <w:rFonts w:cs="Times New Roman"/>
          <w:bCs/>
          <w:color w:val="auto"/>
          <w:sz w:val="24"/>
          <w:szCs w:val="24"/>
          <w:highlight w:val="none"/>
        </w:rPr>
        <w:t xml:space="preserve">  </w:t>
      </w:r>
      <w:r>
        <w:rPr>
          <w:rFonts w:hint="eastAsia" w:cs="Times New Roman"/>
          <w:b/>
          <w:bCs/>
          <w:color w:val="auto"/>
          <w:sz w:val="24"/>
          <w:szCs w:val="24"/>
          <w:highlight w:val="none"/>
        </w:rPr>
        <w:t>灌浆套筒和</w:t>
      </w:r>
      <w:r>
        <w:rPr>
          <w:rFonts w:hint="default" w:cs="Times New Roman"/>
          <w:b/>
          <w:color w:val="auto"/>
          <w:sz w:val="24"/>
          <w:szCs w:val="24"/>
          <w:highlight w:val="none"/>
        </w:rPr>
        <w:t>灌浆波纹钢管</w:t>
      </w:r>
      <w:r>
        <w:rPr>
          <w:rFonts w:cs="Times New Roman"/>
          <w:bCs/>
          <w:color w:val="auto"/>
          <w:sz w:val="24"/>
          <w:szCs w:val="24"/>
          <w:highlight w:val="none"/>
        </w:rPr>
        <w:t>应</w:t>
      </w:r>
      <w:r>
        <w:rPr>
          <w:rFonts w:hint="eastAsia" w:cs="Times New Roman"/>
          <w:bCs/>
          <w:color w:val="auto"/>
          <w:sz w:val="24"/>
          <w:szCs w:val="24"/>
          <w:highlight w:val="none"/>
        </w:rPr>
        <w:t>符合下列规定</w:t>
      </w:r>
      <w:r>
        <w:rPr>
          <w:rFonts w:cs="Times New Roman"/>
          <w:bCs/>
          <w:color w:val="auto"/>
          <w:sz w:val="24"/>
          <w:szCs w:val="24"/>
          <w:highlight w:val="none"/>
        </w:rPr>
        <w:t>：</w:t>
      </w:r>
    </w:p>
    <w:p w14:paraId="73728644">
      <w:pPr>
        <w:keepNext w:val="0"/>
        <w:keepLines w:val="0"/>
        <w:pageBreakBefore w:val="0"/>
        <w:kinsoku/>
        <w:wordWrap/>
        <w:overflowPunct/>
        <w:topLinePunct w:val="0"/>
        <w:autoSpaceDE/>
        <w:autoSpaceDN/>
        <w:bidi w:val="0"/>
        <w:snapToGrid/>
        <w:spacing w:line="360" w:lineRule="auto"/>
        <w:ind w:firstLine="480" w:firstLineChars="200"/>
        <w:textAlignment w:val="auto"/>
        <w:rPr>
          <w:bCs/>
          <w:color w:val="auto"/>
          <w:sz w:val="24"/>
          <w:szCs w:val="24"/>
          <w:highlight w:val="none"/>
        </w:rPr>
      </w:pPr>
      <w:r>
        <w:rPr>
          <w:rFonts w:hint="eastAsia"/>
          <w:bCs/>
          <w:color w:val="auto"/>
          <w:sz w:val="24"/>
          <w:szCs w:val="24"/>
          <w:highlight w:val="none"/>
        </w:rPr>
        <w:t>1 工厂内安装前应检查出厂合格证、型式检验报告、套筒外观质量、尺寸和配件等，并应具备强度试验的合格报告；</w:t>
      </w:r>
    </w:p>
    <w:p w14:paraId="39E199BA">
      <w:pPr>
        <w:keepNext w:val="0"/>
        <w:keepLines w:val="0"/>
        <w:pageBreakBefore w:val="0"/>
        <w:kinsoku/>
        <w:wordWrap/>
        <w:overflowPunct/>
        <w:topLinePunct w:val="0"/>
        <w:autoSpaceDE/>
        <w:autoSpaceDN/>
        <w:bidi w:val="0"/>
        <w:snapToGrid/>
        <w:spacing w:line="360" w:lineRule="auto"/>
        <w:ind w:firstLine="480" w:firstLineChars="200"/>
        <w:textAlignment w:val="auto"/>
        <w:rPr>
          <w:bCs/>
          <w:color w:val="auto"/>
          <w:sz w:val="24"/>
          <w:szCs w:val="24"/>
          <w:highlight w:val="none"/>
        </w:rPr>
      </w:pPr>
      <w:r>
        <w:rPr>
          <w:rFonts w:hint="eastAsia"/>
          <w:bCs/>
          <w:color w:val="auto"/>
          <w:sz w:val="24"/>
          <w:szCs w:val="24"/>
          <w:highlight w:val="none"/>
        </w:rPr>
        <w:t>2</w:t>
      </w:r>
      <w:r>
        <w:rPr>
          <w:bCs/>
          <w:color w:val="auto"/>
          <w:sz w:val="24"/>
          <w:szCs w:val="24"/>
          <w:highlight w:val="none"/>
        </w:rPr>
        <w:t xml:space="preserve"> </w:t>
      </w:r>
      <w:r>
        <w:rPr>
          <w:rFonts w:hint="eastAsia"/>
          <w:bCs/>
          <w:color w:val="auto"/>
          <w:sz w:val="24"/>
          <w:szCs w:val="24"/>
          <w:highlight w:val="none"/>
        </w:rPr>
        <w:t>灌浆套筒</w:t>
      </w:r>
      <w:r>
        <w:rPr>
          <w:bCs/>
          <w:color w:val="auto"/>
          <w:sz w:val="24"/>
          <w:szCs w:val="24"/>
          <w:highlight w:val="none"/>
        </w:rPr>
        <w:t>现场安装端应安装在具有定位销的定位板上，定位板应固定在底模上，灌浆套筒应垂直于底模</w:t>
      </w:r>
      <w:r>
        <w:rPr>
          <w:rFonts w:hint="eastAsia"/>
          <w:bCs/>
          <w:color w:val="auto"/>
          <w:sz w:val="24"/>
          <w:szCs w:val="24"/>
          <w:highlight w:val="none"/>
        </w:rPr>
        <w:t>；</w:t>
      </w:r>
    </w:p>
    <w:p w14:paraId="5C4DFDBA">
      <w:pPr>
        <w:pStyle w:val="2"/>
        <w:keepNext w:val="0"/>
        <w:keepLines w:val="0"/>
        <w:pageBreakBefore w:val="0"/>
        <w:kinsoku/>
        <w:wordWrap/>
        <w:overflowPunct/>
        <w:topLinePunct w:val="0"/>
        <w:autoSpaceDE/>
        <w:autoSpaceDN/>
        <w:bidi w:val="0"/>
        <w:snapToGrid/>
        <w:spacing w:line="360" w:lineRule="auto"/>
        <w:textAlignment w:val="auto"/>
        <w:rPr>
          <w:color w:val="auto"/>
          <w:sz w:val="24"/>
          <w:szCs w:val="24"/>
          <w:highlight w:val="none"/>
        </w:rPr>
      </w:pPr>
      <w:r>
        <w:rPr>
          <w:rFonts w:hint="eastAsia" w:eastAsia="宋体"/>
          <w:bCs/>
          <w:color w:val="auto"/>
          <w:sz w:val="24"/>
          <w:szCs w:val="24"/>
          <w:highlight w:val="none"/>
        </w:rPr>
        <w:t>3 灌浆套筒连接或灌浆纹钢管与箍筋连接应采用绑扎，不得采用焊接连接；</w:t>
      </w:r>
    </w:p>
    <w:p w14:paraId="7100812F">
      <w:pPr>
        <w:pStyle w:val="169"/>
        <w:keepNext w:val="0"/>
        <w:keepLines w:val="0"/>
        <w:pageBreakBefore w:val="0"/>
        <w:kinsoku/>
        <w:wordWrap/>
        <w:overflowPunct/>
        <w:topLinePunct w:val="0"/>
        <w:autoSpaceDE/>
        <w:autoSpaceDN/>
        <w:bidi w:val="0"/>
        <w:snapToGrid/>
        <w:spacing w:afterLines="0" w:line="360" w:lineRule="auto"/>
        <w:ind w:firstLine="480" w:firstLineChars="200"/>
        <w:textAlignment w:val="auto"/>
        <w:rPr>
          <w:rFonts w:cs="Times New Roman"/>
          <w:bCs/>
          <w:color w:val="auto"/>
          <w:sz w:val="24"/>
          <w:szCs w:val="24"/>
          <w:highlight w:val="none"/>
        </w:rPr>
      </w:pPr>
      <w:r>
        <w:rPr>
          <w:rFonts w:hint="eastAsia" w:cs="Times New Roman"/>
          <w:bCs/>
          <w:color w:val="auto"/>
          <w:sz w:val="24"/>
          <w:szCs w:val="24"/>
          <w:highlight w:val="none"/>
        </w:rPr>
        <w:t>4</w:t>
      </w:r>
      <w:r>
        <w:rPr>
          <w:rFonts w:cs="Times New Roman"/>
          <w:bCs/>
          <w:color w:val="auto"/>
          <w:sz w:val="24"/>
          <w:szCs w:val="24"/>
          <w:highlight w:val="none"/>
        </w:rPr>
        <w:t xml:space="preserve"> </w:t>
      </w:r>
      <w:r>
        <w:rPr>
          <w:rFonts w:hint="eastAsia" w:cs="Times New Roman"/>
          <w:bCs/>
          <w:color w:val="auto"/>
          <w:sz w:val="24"/>
          <w:szCs w:val="24"/>
          <w:highlight w:val="none"/>
        </w:rPr>
        <w:t>预埋灌浆</w:t>
      </w:r>
      <w:r>
        <w:rPr>
          <w:rFonts w:cs="Times New Roman"/>
          <w:bCs/>
          <w:color w:val="auto"/>
          <w:sz w:val="24"/>
          <w:szCs w:val="24"/>
          <w:highlight w:val="none"/>
        </w:rPr>
        <w:t>波纹</w:t>
      </w:r>
      <w:r>
        <w:rPr>
          <w:rFonts w:hint="eastAsia" w:cs="Times New Roman"/>
          <w:bCs/>
          <w:color w:val="auto"/>
          <w:sz w:val="24"/>
          <w:szCs w:val="24"/>
          <w:highlight w:val="none"/>
        </w:rPr>
        <w:t>钢</w:t>
      </w:r>
      <w:r>
        <w:rPr>
          <w:rFonts w:cs="Times New Roman"/>
          <w:bCs/>
          <w:color w:val="auto"/>
          <w:sz w:val="24"/>
          <w:szCs w:val="24"/>
          <w:highlight w:val="none"/>
        </w:rPr>
        <w:t>管应采用内衬钢管等措施</w:t>
      </w:r>
      <w:r>
        <w:rPr>
          <w:rFonts w:hint="eastAsia" w:cs="Times New Roman"/>
          <w:bCs/>
          <w:color w:val="auto"/>
          <w:sz w:val="24"/>
          <w:szCs w:val="24"/>
          <w:highlight w:val="none"/>
        </w:rPr>
        <w:t>以</w:t>
      </w:r>
      <w:r>
        <w:rPr>
          <w:rFonts w:cs="Times New Roman"/>
          <w:bCs/>
          <w:color w:val="auto"/>
          <w:sz w:val="24"/>
          <w:szCs w:val="24"/>
          <w:highlight w:val="none"/>
        </w:rPr>
        <w:t>保证预制过程中不变形</w:t>
      </w:r>
      <w:r>
        <w:rPr>
          <w:rFonts w:hint="eastAsia" w:cs="Times New Roman"/>
          <w:bCs/>
          <w:color w:val="auto"/>
          <w:sz w:val="24"/>
          <w:szCs w:val="24"/>
          <w:highlight w:val="none"/>
        </w:rPr>
        <w:t>；</w:t>
      </w:r>
    </w:p>
    <w:p w14:paraId="30880E92">
      <w:pPr>
        <w:keepNext w:val="0"/>
        <w:keepLines w:val="0"/>
        <w:pageBreakBefore w:val="0"/>
        <w:kinsoku/>
        <w:wordWrap/>
        <w:overflowPunct/>
        <w:topLinePunct w:val="0"/>
        <w:autoSpaceDE/>
        <w:autoSpaceDN/>
        <w:bidi w:val="0"/>
        <w:snapToGrid/>
        <w:spacing w:line="360" w:lineRule="auto"/>
        <w:ind w:firstLine="480" w:firstLineChars="200"/>
        <w:textAlignment w:val="auto"/>
        <w:rPr>
          <w:bCs/>
          <w:color w:val="auto"/>
          <w:sz w:val="24"/>
          <w:szCs w:val="24"/>
          <w:highlight w:val="none"/>
        </w:rPr>
      </w:pPr>
      <w:r>
        <w:rPr>
          <w:rFonts w:hint="eastAsia"/>
          <w:bCs/>
          <w:color w:val="auto"/>
          <w:sz w:val="24"/>
          <w:szCs w:val="24"/>
          <w:highlight w:val="none"/>
        </w:rPr>
        <w:t>5</w:t>
      </w:r>
      <w:r>
        <w:rPr>
          <w:bCs/>
          <w:color w:val="auto"/>
          <w:sz w:val="24"/>
          <w:szCs w:val="24"/>
          <w:highlight w:val="none"/>
        </w:rPr>
        <w:t xml:space="preserve"> 压浆口和出浆口的方向应安装正确</w:t>
      </w:r>
      <w:r>
        <w:rPr>
          <w:rFonts w:hint="eastAsia"/>
          <w:bCs/>
          <w:color w:val="auto"/>
          <w:sz w:val="24"/>
          <w:szCs w:val="24"/>
          <w:highlight w:val="none"/>
        </w:rPr>
        <w:t>，</w:t>
      </w:r>
      <w:r>
        <w:rPr>
          <w:bCs/>
          <w:color w:val="auto"/>
          <w:sz w:val="24"/>
          <w:szCs w:val="24"/>
          <w:highlight w:val="none"/>
        </w:rPr>
        <w:t>并应设置定位钢筋和钢筋骨架整体进行位置固定</w:t>
      </w:r>
      <w:r>
        <w:rPr>
          <w:rFonts w:hint="eastAsia"/>
          <w:bCs/>
          <w:color w:val="auto"/>
          <w:sz w:val="24"/>
          <w:szCs w:val="24"/>
          <w:highlight w:val="none"/>
        </w:rPr>
        <w:t>；</w:t>
      </w:r>
    </w:p>
    <w:p w14:paraId="48C6E167">
      <w:pPr>
        <w:keepNext w:val="0"/>
        <w:keepLines w:val="0"/>
        <w:pageBreakBefore w:val="0"/>
        <w:kinsoku/>
        <w:wordWrap/>
        <w:overflowPunct/>
        <w:topLinePunct w:val="0"/>
        <w:autoSpaceDE/>
        <w:autoSpaceDN/>
        <w:bidi w:val="0"/>
        <w:snapToGrid/>
        <w:spacing w:line="360" w:lineRule="auto"/>
        <w:ind w:firstLine="480" w:firstLineChars="200"/>
        <w:textAlignment w:val="auto"/>
        <w:rPr>
          <w:bCs/>
          <w:color w:val="auto"/>
          <w:sz w:val="24"/>
          <w:szCs w:val="24"/>
          <w:highlight w:val="none"/>
        </w:rPr>
      </w:pPr>
      <w:r>
        <w:rPr>
          <w:rFonts w:hint="eastAsia"/>
          <w:bCs/>
          <w:color w:val="auto"/>
          <w:sz w:val="24"/>
          <w:szCs w:val="24"/>
          <w:highlight w:val="none"/>
        </w:rPr>
        <w:t>6</w:t>
      </w:r>
      <w:r>
        <w:rPr>
          <w:bCs/>
          <w:color w:val="auto"/>
          <w:sz w:val="24"/>
          <w:szCs w:val="24"/>
          <w:highlight w:val="none"/>
        </w:rPr>
        <w:t xml:space="preserve"> 压浆管、出浆管和对应的压浆口、出浆口连接应密封牢固</w:t>
      </w:r>
      <w:r>
        <w:rPr>
          <w:rFonts w:hint="eastAsia"/>
          <w:bCs/>
          <w:color w:val="auto"/>
          <w:sz w:val="24"/>
          <w:szCs w:val="24"/>
          <w:highlight w:val="none"/>
        </w:rPr>
        <w:t>，</w:t>
      </w:r>
      <w:r>
        <w:rPr>
          <w:bCs/>
          <w:color w:val="auto"/>
          <w:sz w:val="24"/>
          <w:szCs w:val="24"/>
          <w:highlight w:val="none"/>
        </w:rPr>
        <w:t>压浆管、出浆管长度应根据承台、墩柱或盖梁尺寸预留准确</w:t>
      </w:r>
      <w:r>
        <w:rPr>
          <w:rFonts w:hint="eastAsia"/>
          <w:bCs/>
          <w:color w:val="auto"/>
          <w:sz w:val="24"/>
          <w:szCs w:val="24"/>
          <w:highlight w:val="none"/>
        </w:rPr>
        <w:t>，</w:t>
      </w:r>
      <w:r>
        <w:rPr>
          <w:bCs/>
          <w:color w:val="auto"/>
          <w:sz w:val="24"/>
          <w:szCs w:val="24"/>
          <w:highlight w:val="none"/>
        </w:rPr>
        <w:t>并应用止浆塞塞紧</w:t>
      </w:r>
      <w:r>
        <w:rPr>
          <w:rFonts w:hint="eastAsia"/>
          <w:bCs/>
          <w:color w:val="auto"/>
          <w:sz w:val="24"/>
          <w:szCs w:val="24"/>
          <w:highlight w:val="none"/>
        </w:rPr>
        <w:t>；</w:t>
      </w:r>
    </w:p>
    <w:p w14:paraId="78728417">
      <w:pPr>
        <w:pStyle w:val="169"/>
        <w:keepNext w:val="0"/>
        <w:keepLines w:val="0"/>
        <w:pageBreakBefore w:val="0"/>
        <w:kinsoku/>
        <w:wordWrap/>
        <w:overflowPunct/>
        <w:topLinePunct w:val="0"/>
        <w:autoSpaceDE/>
        <w:autoSpaceDN/>
        <w:bidi w:val="0"/>
        <w:snapToGrid/>
        <w:spacing w:afterLines="0" w:line="360" w:lineRule="auto"/>
        <w:ind w:firstLine="480" w:firstLineChars="200"/>
        <w:textAlignment w:val="auto"/>
        <w:rPr>
          <w:rFonts w:cs="Times New Roman"/>
          <w:bCs/>
          <w:color w:val="auto"/>
          <w:sz w:val="24"/>
          <w:szCs w:val="24"/>
          <w:highlight w:val="none"/>
        </w:rPr>
      </w:pPr>
      <w:r>
        <w:rPr>
          <w:rFonts w:hint="eastAsia" w:cs="Times New Roman"/>
          <w:bCs/>
          <w:color w:val="auto"/>
          <w:sz w:val="24"/>
          <w:szCs w:val="24"/>
          <w:highlight w:val="none"/>
        </w:rPr>
        <w:t>7</w:t>
      </w:r>
      <w:r>
        <w:rPr>
          <w:rFonts w:cs="Times New Roman"/>
          <w:bCs/>
          <w:color w:val="auto"/>
          <w:sz w:val="24"/>
          <w:szCs w:val="24"/>
          <w:highlight w:val="none"/>
        </w:rPr>
        <w:t xml:space="preserve"> 构件拆模完成后，应及时检查灌浆套筒</w:t>
      </w:r>
      <w:r>
        <w:rPr>
          <w:rFonts w:hint="eastAsia" w:cs="Times New Roman"/>
          <w:bCs/>
          <w:color w:val="auto"/>
          <w:sz w:val="24"/>
          <w:szCs w:val="24"/>
          <w:highlight w:val="none"/>
        </w:rPr>
        <w:t>、灌浆波纹钢管</w:t>
      </w:r>
      <w:r>
        <w:rPr>
          <w:rFonts w:cs="Times New Roman"/>
          <w:bCs/>
          <w:color w:val="auto"/>
          <w:sz w:val="24"/>
          <w:szCs w:val="24"/>
          <w:highlight w:val="none"/>
        </w:rPr>
        <w:t>内腔是否干净通畅，确保无水泥浆等杂物，如有漏浆或杂物，应及时清理套筒内腔；</w:t>
      </w:r>
    </w:p>
    <w:p w14:paraId="76D1F8DA">
      <w:pPr>
        <w:keepNext w:val="0"/>
        <w:keepLines w:val="0"/>
        <w:pageBreakBefore w:val="0"/>
        <w:kinsoku/>
        <w:wordWrap/>
        <w:overflowPunct/>
        <w:topLinePunct w:val="0"/>
        <w:autoSpaceDE/>
        <w:autoSpaceDN/>
        <w:bidi w:val="0"/>
        <w:snapToGrid/>
        <w:spacing w:line="360" w:lineRule="auto"/>
        <w:ind w:firstLine="480" w:firstLineChars="200"/>
        <w:textAlignment w:val="auto"/>
        <w:rPr>
          <w:bCs/>
          <w:color w:val="auto"/>
          <w:sz w:val="24"/>
          <w:szCs w:val="24"/>
          <w:highlight w:val="none"/>
        </w:rPr>
      </w:pPr>
      <w:r>
        <w:rPr>
          <w:rFonts w:hint="eastAsia"/>
          <w:bCs/>
          <w:color w:val="auto"/>
          <w:sz w:val="24"/>
          <w:szCs w:val="24"/>
          <w:highlight w:val="none"/>
        </w:rPr>
        <w:t>8</w:t>
      </w:r>
      <w:r>
        <w:rPr>
          <w:bCs/>
          <w:color w:val="auto"/>
          <w:sz w:val="24"/>
          <w:szCs w:val="24"/>
          <w:highlight w:val="none"/>
        </w:rPr>
        <w:t xml:space="preserve"> </w:t>
      </w:r>
      <w:r>
        <w:rPr>
          <w:rFonts w:hint="eastAsia"/>
          <w:bCs/>
          <w:color w:val="auto"/>
          <w:sz w:val="24"/>
          <w:szCs w:val="24"/>
          <w:highlight w:val="none"/>
        </w:rPr>
        <w:t>在储存和运输过程中应有防止雨淋、锈蚀、沾污和损伤等防护措施。</w:t>
      </w:r>
    </w:p>
    <w:p w14:paraId="31E5B884">
      <w:pPr>
        <w:pStyle w:val="2"/>
        <w:keepNext w:val="0"/>
        <w:keepLines w:val="0"/>
        <w:pageBreakBefore w:val="0"/>
        <w:kinsoku/>
        <w:wordWrap/>
        <w:overflowPunct/>
        <w:topLinePunct w:val="0"/>
        <w:autoSpaceDE/>
        <w:autoSpaceDN/>
        <w:bidi w:val="0"/>
        <w:snapToGrid/>
        <w:spacing w:line="360" w:lineRule="auto"/>
        <w:ind w:firstLine="0" w:firstLineChars="0"/>
        <w:textAlignment w:val="auto"/>
        <w:rPr>
          <w:rFonts w:eastAsia="宋体"/>
          <w:color w:val="auto"/>
          <w:sz w:val="24"/>
          <w:szCs w:val="24"/>
          <w:highlight w:val="none"/>
        </w:rPr>
      </w:pPr>
      <w:r>
        <w:rPr>
          <w:rFonts w:eastAsia="宋体"/>
          <w:b/>
          <w:color w:val="auto"/>
          <w:sz w:val="24"/>
          <w:szCs w:val="24"/>
          <w:highlight w:val="none"/>
        </w:rPr>
        <w:t>7.2.4</w:t>
      </w:r>
      <w:r>
        <w:rPr>
          <w:rFonts w:eastAsia="宋体"/>
          <w:color w:val="auto"/>
          <w:sz w:val="24"/>
          <w:szCs w:val="24"/>
          <w:highlight w:val="none"/>
        </w:rPr>
        <w:t xml:space="preserve">  </w:t>
      </w:r>
      <w:r>
        <w:rPr>
          <w:rFonts w:hint="eastAsia" w:eastAsia="宋体"/>
          <w:color w:val="auto"/>
          <w:sz w:val="24"/>
          <w:szCs w:val="24"/>
          <w:highlight w:val="none"/>
        </w:rPr>
        <w:t>各类</w:t>
      </w:r>
      <w:r>
        <w:rPr>
          <w:rFonts w:eastAsia="宋体"/>
          <w:color w:val="auto"/>
          <w:sz w:val="24"/>
          <w:szCs w:val="24"/>
          <w:highlight w:val="none"/>
        </w:rPr>
        <w:t>连接浇筑之前应进行隐蔽工程检查，包括</w:t>
      </w:r>
      <w:r>
        <w:rPr>
          <w:rFonts w:hint="eastAsia" w:eastAsia="宋体"/>
          <w:color w:val="auto"/>
          <w:sz w:val="24"/>
          <w:szCs w:val="24"/>
          <w:highlight w:val="none"/>
        </w:rPr>
        <w:t>但不限于</w:t>
      </w:r>
      <w:r>
        <w:rPr>
          <w:rFonts w:eastAsia="宋体"/>
          <w:color w:val="auto"/>
          <w:sz w:val="24"/>
          <w:szCs w:val="24"/>
          <w:highlight w:val="none"/>
        </w:rPr>
        <w:t>下列内容：</w:t>
      </w:r>
    </w:p>
    <w:p w14:paraId="727D00A8">
      <w:pPr>
        <w:pStyle w:val="2"/>
        <w:keepNext w:val="0"/>
        <w:keepLines w:val="0"/>
        <w:pageBreakBefore w:val="0"/>
        <w:kinsoku/>
        <w:wordWrap/>
        <w:overflowPunct/>
        <w:topLinePunct w:val="0"/>
        <w:autoSpaceDE/>
        <w:autoSpaceDN/>
        <w:bidi w:val="0"/>
        <w:adjustRightInd w:val="0"/>
        <w:snapToGrid/>
        <w:spacing w:line="360" w:lineRule="auto"/>
        <w:textAlignment w:val="auto"/>
        <w:rPr>
          <w:rFonts w:eastAsia="宋体"/>
          <w:color w:val="auto"/>
          <w:sz w:val="24"/>
          <w:szCs w:val="24"/>
          <w:highlight w:val="none"/>
        </w:rPr>
      </w:pPr>
      <w:r>
        <w:rPr>
          <w:rFonts w:eastAsia="宋体"/>
          <w:color w:val="auto"/>
          <w:sz w:val="24"/>
          <w:szCs w:val="24"/>
          <w:highlight w:val="none"/>
        </w:rPr>
        <w:t>1 纵向受力钢筋的牌号、规格、数量、位置、伸出长度；</w:t>
      </w:r>
    </w:p>
    <w:p w14:paraId="1F77329E">
      <w:pPr>
        <w:pStyle w:val="2"/>
        <w:keepNext w:val="0"/>
        <w:keepLines w:val="0"/>
        <w:pageBreakBefore w:val="0"/>
        <w:kinsoku/>
        <w:wordWrap/>
        <w:overflowPunct/>
        <w:topLinePunct w:val="0"/>
        <w:autoSpaceDE/>
        <w:autoSpaceDN/>
        <w:bidi w:val="0"/>
        <w:adjustRightInd w:val="0"/>
        <w:snapToGrid/>
        <w:spacing w:line="360" w:lineRule="auto"/>
        <w:textAlignment w:val="auto"/>
        <w:rPr>
          <w:rFonts w:eastAsia="宋体"/>
          <w:color w:val="auto"/>
          <w:sz w:val="24"/>
          <w:szCs w:val="24"/>
          <w:highlight w:val="none"/>
        </w:rPr>
      </w:pPr>
      <w:r>
        <w:rPr>
          <w:rFonts w:eastAsia="宋体"/>
          <w:color w:val="auto"/>
          <w:sz w:val="24"/>
          <w:szCs w:val="24"/>
          <w:highlight w:val="none"/>
        </w:rPr>
        <w:t>2 灌浆套筒的型号、数量、位置及灌浆孔、出浆孔、排气孔的位置;</w:t>
      </w:r>
    </w:p>
    <w:p w14:paraId="421E0B69">
      <w:pPr>
        <w:pStyle w:val="2"/>
        <w:keepNext w:val="0"/>
        <w:keepLines w:val="0"/>
        <w:pageBreakBefore w:val="0"/>
        <w:kinsoku/>
        <w:wordWrap/>
        <w:overflowPunct/>
        <w:topLinePunct w:val="0"/>
        <w:autoSpaceDE/>
        <w:autoSpaceDN/>
        <w:bidi w:val="0"/>
        <w:adjustRightInd w:val="0"/>
        <w:snapToGrid/>
        <w:spacing w:line="360" w:lineRule="auto"/>
        <w:textAlignment w:val="auto"/>
        <w:rPr>
          <w:rFonts w:eastAsia="宋体"/>
          <w:color w:val="auto"/>
          <w:sz w:val="24"/>
          <w:szCs w:val="24"/>
          <w:highlight w:val="none"/>
        </w:rPr>
      </w:pPr>
      <w:r>
        <w:rPr>
          <w:rFonts w:eastAsia="宋体"/>
          <w:color w:val="auto"/>
          <w:sz w:val="24"/>
          <w:szCs w:val="24"/>
          <w:highlight w:val="none"/>
        </w:rPr>
        <w:t>3 钢筋的连接方式、接头位置、接头质量、接头面积百分率、搭接长度、锚固方式及锚固长度；</w:t>
      </w:r>
    </w:p>
    <w:p w14:paraId="653771FA">
      <w:pPr>
        <w:pStyle w:val="2"/>
        <w:keepNext w:val="0"/>
        <w:keepLines w:val="0"/>
        <w:pageBreakBefore w:val="0"/>
        <w:kinsoku/>
        <w:wordWrap/>
        <w:overflowPunct/>
        <w:topLinePunct w:val="0"/>
        <w:autoSpaceDE/>
        <w:autoSpaceDN/>
        <w:bidi w:val="0"/>
        <w:adjustRightInd w:val="0"/>
        <w:snapToGrid/>
        <w:spacing w:line="360" w:lineRule="auto"/>
        <w:textAlignment w:val="auto"/>
        <w:rPr>
          <w:rFonts w:eastAsia="宋体"/>
          <w:color w:val="auto"/>
          <w:sz w:val="24"/>
          <w:szCs w:val="24"/>
          <w:highlight w:val="none"/>
        </w:rPr>
      </w:pPr>
      <w:r>
        <w:rPr>
          <w:rFonts w:eastAsia="宋体"/>
          <w:color w:val="auto"/>
          <w:sz w:val="24"/>
          <w:szCs w:val="24"/>
          <w:highlight w:val="none"/>
        </w:rPr>
        <w:t>4 箍筋、横向钢筋的牌号、规格、数量、间距、位置，箍筋弯钩的弯折角度及平直段长度;</w:t>
      </w:r>
    </w:p>
    <w:p w14:paraId="62C44BA2">
      <w:pPr>
        <w:pStyle w:val="2"/>
        <w:keepNext w:val="0"/>
        <w:keepLines w:val="0"/>
        <w:pageBreakBefore w:val="0"/>
        <w:kinsoku/>
        <w:wordWrap/>
        <w:overflowPunct/>
        <w:topLinePunct w:val="0"/>
        <w:autoSpaceDE/>
        <w:autoSpaceDN/>
        <w:bidi w:val="0"/>
        <w:adjustRightInd w:val="0"/>
        <w:snapToGrid/>
        <w:spacing w:line="360" w:lineRule="auto"/>
        <w:textAlignment w:val="auto"/>
        <w:rPr>
          <w:rFonts w:eastAsia="宋体"/>
          <w:color w:val="auto"/>
          <w:sz w:val="24"/>
          <w:szCs w:val="24"/>
          <w:highlight w:val="none"/>
        </w:rPr>
      </w:pPr>
      <w:r>
        <w:rPr>
          <w:rFonts w:eastAsia="宋体"/>
          <w:color w:val="auto"/>
          <w:sz w:val="24"/>
          <w:szCs w:val="24"/>
          <w:highlight w:val="none"/>
        </w:rPr>
        <w:t>5 预埋件的规格、数量和位置。</w:t>
      </w:r>
    </w:p>
    <w:p w14:paraId="43A13AFD">
      <w:pPr>
        <w:spacing w:before="156" w:beforeLines="50" w:after="156" w:afterLines="50" w:line="360" w:lineRule="auto"/>
        <w:jc w:val="center"/>
        <w:outlineLvl w:val="1"/>
        <w:rPr>
          <w:rFonts w:hint="eastAsia" w:ascii="Times New Roman" w:hAnsi="Times New Roman" w:cs="Times New Roman"/>
          <w:b/>
          <w:kern w:val="0"/>
          <w:sz w:val="28"/>
          <w:szCs w:val="28"/>
          <w:lang w:eastAsia="zh-CN"/>
        </w:rPr>
      </w:pPr>
      <w:bookmarkStart w:id="124" w:name="_Toc32258"/>
      <w:bookmarkStart w:id="125" w:name="_Toc7426"/>
      <w:r>
        <w:rPr>
          <w:rFonts w:hint="eastAsia" w:ascii="Times New Roman" w:hAnsi="Times New Roman" w:cs="Times New Roman"/>
          <w:b/>
          <w:kern w:val="0"/>
          <w:sz w:val="28"/>
          <w:szCs w:val="28"/>
        </w:rPr>
        <w:t>7.3 构件存放与场外运输</w:t>
      </w:r>
      <w:bookmarkEnd w:id="124"/>
      <w:bookmarkEnd w:id="125"/>
    </w:p>
    <w:p w14:paraId="4DBA5F7B">
      <w:pPr>
        <w:pStyle w:val="2"/>
        <w:keepNext w:val="0"/>
        <w:keepLines w:val="0"/>
        <w:pageBreakBefore w:val="0"/>
        <w:kinsoku/>
        <w:wordWrap/>
        <w:overflowPunct/>
        <w:topLinePunct w:val="0"/>
        <w:autoSpaceDE/>
        <w:autoSpaceDN/>
        <w:bidi w:val="0"/>
        <w:adjustRightInd w:val="0"/>
        <w:snapToGrid/>
        <w:spacing w:line="360" w:lineRule="auto"/>
        <w:ind w:firstLine="0" w:firstLineChars="0"/>
        <w:textAlignment w:val="auto"/>
        <w:rPr>
          <w:rFonts w:eastAsia="宋体"/>
          <w:color w:val="auto"/>
          <w:sz w:val="24"/>
          <w:szCs w:val="24"/>
          <w:highlight w:val="none"/>
        </w:rPr>
      </w:pPr>
      <w:r>
        <w:rPr>
          <w:rFonts w:eastAsia="宋体"/>
          <w:b/>
          <w:bCs/>
          <w:color w:val="auto"/>
          <w:sz w:val="24"/>
          <w:szCs w:val="24"/>
          <w:highlight w:val="none"/>
        </w:rPr>
        <w:t>7.3.1</w:t>
      </w:r>
      <w:r>
        <w:rPr>
          <w:rFonts w:eastAsia="宋体"/>
          <w:color w:val="auto"/>
          <w:sz w:val="24"/>
          <w:szCs w:val="24"/>
          <w:highlight w:val="none"/>
        </w:rPr>
        <w:t xml:space="preserve">  预制构件存放应符合下列规定：</w:t>
      </w:r>
    </w:p>
    <w:p w14:paraId="0843CCAE">
      <w:pPr>
        <w:pStyle w:val="2"/>
        <w:keepNext w:val="0"/>
        <w:keepLines w:val="0"/>
        <w:pageBreakBefore w:val="0"/>
        <w:kinsoku/>
        <w:wordWrap/>
        <w:overflowPunct/>
        <w:topLinePunct w:val="0"/>
        <w:autoSpaceDE/>
        <w:autoSpaceDN/>
        <w:bidi w:val="0"/>
        <w:adjustRightInd w:val="0"/>
        <w:snapToGrid/>
        <w:spacing w:line="360" w:lineRule="auto"/>
        <w:textAlignment w:val="auto"/>
        <w:rPr>
          <w:rFonts w:eastAsia="宋体"/>
          <w:color w:val="auto"/>
          <w:sz w:val="24"/>
          <w:szCs w:val="24"/>
          <w:highlight w:val="none"/>
        </w:rPr>
      </w:pPr>
      <w:r>
        <w:rPr>
          <w:rFonts w:eastAsia="宋体"/>
          <w:color w:val="auto"/>
          <w:sz w:val="24"/>
          <w:szCs w:val="24"/>
          <w:highlight w:val="none"/>
        </w:rPr>
        <w:t>1 预制混凝土构件被移运、存放时，混凝土强度应不低于设计要求，存放后应及时进行养护；</w:t>
      </w:r>
    </w:p>
    <w:p w14:paraId="14FE192D">
      <w:pPr>
        <w:pStyle w:val="2"/>
        <w:keepNext w:val="0"/>
        <w:keepLines w:val="0"/>
        <w:pageBreakBefore w:val="0"/>
        <w:kinsoku/>
        <w:wordWrap/>
        <w:overflowPunct/>
        <w:topLinePunct w:val="0"/>
        <w:autoSpaceDE/>
        <w:autoSpaceDN/>
        <w:bidi w:val="0"/>
        <w:adjustRightInd w:val="0"/>
        <w:snapToGrid/>
        <w:spacing w:line="360" w:lineRule="auto"/>
        <w:textAlignment w:val="auto"/>
        <w:rPr>
          <w:rFonts w:eastAsia="宋体"/>
          <w:color w:val="auto"/>
          <w:sz w:val="24"/>
          <w:szCs w:val="24"/>
          <w:highlight w:val="none"/>
        </w:rPr>
      </w:pPr>
      <w:r>
        <w:rPr>
          <w:rFonts w:eastAsia="宋体"/>
          <w:color w:val="auto"/>
          <w:sz w:val="24"/>
          <w:szCs w:val="24"/>
          <w:highlight w:val="none"/>
        </w:rPr>
        <w:t>2 存放的场地应平整稳固，不应有积水；</w:t>
      </w:r>
    </w:p>
    <w:p w14:paraId="3E7A6A57">
      <w:pPr>
        <w:pStyle w:val="2"/>
        <w:keepNext w:val="0"/>
        <w:keepLines w:val="0"/>
        <w:pageBreakBefore w:val="0"/>
        <w:kinsoku/>
        <w:wordWrap/>
        <w:overflowPunct/>
        <w:topLinePunct w:val="0"/>
        <w:autoSpaceDE/>
        <w:autoSpaceDN/>
        <w:bidi w:val="0"/>
        <w:adjustRightInd w:val="0"/>
        <w:snapToGrid/>
        <w:spacing w:line="360" w:lineRule="auto"/>
        <w:textAlignment w:val="auto"/>
        <w:rPr>
          <w:rFonts w:eastAsia="宋体"/>
          <w:color w:val="auto"/>
          <w:sz w:val="24"/>
          <w:szCs w:val="24"/>
          <w:highlight w:val="none"/>
        </w:rPr>
      </w:pPr>
      <w:r>
        <w:rPr>
          <w:rFonts w:eastAsia="宋体"/>
          <w:color w:val="auto"/>
          <w:sz w:val="24"/>
          <w:szCs w:val="24"/>
          <w:highlight w:val="none"/>
        </w:rPr>
        <w:t>3 预制构件存放宜采用枕木、橡胶板等弹性支撑物支承；</w:t>
      </w:r>
    </w:p>
    <w:p w14:paraId="55A94DAB">
      <w:pPr>
        <w:pStyle w:val="2"/>
        <w:keepNext w:val="0"/>
        <w:keepLines w:val="0"/>
        <w:pageBreakBefore w:val="0"/>
        <w:kinsoku/>
        <w:wordWrap/>
        <w:overflowPunct/>
        <w:topLinePunct w:val="0"/>
        <w:autoSpaceDE/>
        <w:autoSpaceDN/>
        <w:bidi w:val="0"/>
        <w:adjustRightInd w:val="0"/>
        <w:snapToGrid/>
        <w:spacing w:line="360" w:lineRule="auto"/>
        <w:textAlignment w:val="auto"/>
        <w:rPr>
          <w:rFonts w:eastAsia="宋体"/>
          <w:color w:val="auto"/>
          <w:sz w:val="24"/>
          <w:szCs w:val="24"/>
          <w:highlight w:val="none"/>
        </w:rPr>
      </w:pPr>
      <w:r>
        <w:rPr>
          <w:rFonts w:eastAsia="宋体"/>
          <w:color w:val="auto"/>
          <w:sz w:val="24"/>
          <w:szCs w:val="24"/>
          <w:highlight w:val="none"/>
        </w:rPr>
        <w:t>4 预制构件应按吊运及安装顺序堆放，堆叠方案应满足预制构件受力及存放台座地基承载力要求。</w:t>
      </w:r>
    </w:p>
    <w:p w14:paraId="4F8AC944">
      <w:pPr>
        <w:pStyle w:val="169"/>
        <w:keepNext w:val="0"/>
        <w:keepLines w:val="0"/>
        <w:pageBreakBefore w:val="0"/>
        <w:kinsoku/>
        <w:wordWrap/>
        <w:overflowPunct/>
        <w:topLinePunct w:val="0"/>
        <w:autoSpaceDE/>
        <w:autoSpaceDN/>
        <w:bidi w:val="0"/>
        <w:snapToGrid/>
        <w:spacing w:afterLines="0" w:line="360" w:lineRule="auto"/>
        <w:ind w:firstLine="0"/>
        <w:textAlignment w:val="auto"/>
        <w:rPr>
          <w:rFonts w:cs="Times New Roman"/>
          <w:color w:val="auto"/>
          <w:sz w:val="24"/>
          <w:szCs w:val="24"/>
          <w:highlight w:val="none"/>
        </w:rPr>
      </w:pPr>
      <w:r>
        <w:rPr>
          <w:rFonts w:hint="eastAsia" w:cs="Times New Roman"/>
          <w:b/>
          <w:bCs/>
          <w:color w:val="auto"/>
          <w:sz w:val="24"/>
          <w:szCs w:val="24"/>
          <w:highlight w:val="none"/>
        </w:rPr>
        <w:t>7.3.2</w:t>
      </w:r>
      <w:r>
        <w:rPr>
          <w:rFonts w:hint="eastAsia" w:cs="Times New Roman"/>
          <w:color w:val="auto"/>
          <w:sz w:val="24"/>
          <w:szCs w:val="24"/>
          <w:highlight w:val="none"/>
        </w:rPr>
        <w:t xml:space="preserve">  桥梁预制构件进行运输时应采取措施减少对城市交通的影响，并应符合下列规定：</w:t>
      </w:r>
    </w:p>
    <w:p w14:paraId="454E1111">
      <w:pPr>
        <w:pStyle w:val="169"/>
        <w:keepNext w:val="0"/>
        <w:keepLines w:val="0"/>
        <w:pageBreakBefore w:val="0"/>
        <w:kinsoku/>
        <w:wordWrap/>
        <w:overflowPunct/>
        <w:topLinePunct w:val="0"/>
        <w:autoSpaceDE/>
        <w:autoSpaceDN/>
        <w:bidi w:val="0"/>
        <w:snapToGrid/>
        <w:spacing w:afterLines="0" w:line="360" w:lineRule="auto"/>
        <w:ind w:firstLine="480" w:firstLineChars="200"/>
        <w:textAlignment w:val="auto"/>
        <w:rPr>
          <w:rFonts w:ascii="Times New Roman" w:hAnsi="Times New Roman" w:cs="Times New Roman"/>
          <w:color w:val="auto"/>
          <w:spacing w:val="4"/>
          <w:sz w:val="24"/>
          <w:szCs w:val="24"/>
          <w:highlight w:val="none"/>
          <w:shd w:val="clear" w:color="auto" w:fill="FFFFFF"/>
        </w:rPr>
      </w:pPr>
      <w:r>
        <w:rPr>
          <w:rFonts w:hint="eastAsia" w:cs="Times New Roman"/>
          <w:color w:val="auto"/>
          <w:sz w:val="24"/>
          <w:szCs w:val="24"/>
          <w:highlight w:val="none"/>
        </w:rPr>
        <w:t xml:space="preserve">1 </w:t>
      </w:r>
      <w:r>
        <w:rPr>
          <w:rFonts w:ascii="Times New Roman" w:hAnsi="Times New Roman" w:eastAsia="Helvetica" w:cs="Times New Roman"/>
          <w:color w:val="auto"/>
          <w:spacing w:val="4"/>
          <w:sz w:val="24"/>
          <w:szCs w:val="24"/>
          <w:highlight w:val="none"/>
          <w:shd w:val="clear" w:color="auto" w:fill="FFFFFF"/>
        </w:rPr>
        <w:t>应制定预制构件的运输与堆放方案，包括运输时间、次序、堆放场地、运输线路、固定要求、堆放支垫及成品保护措施等</w:t>
      </w:r>
      <w:r>
        <w:rPr>
          <w:rFonts w:hint="default" w:ascii="Times New Roman" w:hAnsi="Times New Roman" w:cs="Times New Roman"/>
          <w:color w:val="auto"/>
          <w:spacing w:val="4"/>
          <w:sz w:val="24"/>
          <w:szCs w:val="24"/>
          <w:highlight w:val="none"/>
          <w:shd w:val="clear" w:color="auto" w:fill="FFFFFF"/>
        </w:rPr>
        <w:t>；</w:t>
      </w:r>
    </w:p>
    <w:p w14:paraId="7A4F742C">
      <w:pPr>
        <w:pStyle w:val="169"/>
        <w:keepNext w:val="0"/>
        <w:keepLines w:val="0"/>
        <w:pageBreakBefore w:val="0"/>
        <w:kinsoku/>
        <w:wordWrap/>
        <w:overflowPunct/>
        <w:topLinePunct w:val="0"/>
        <w:autoSpaceDE/>
        <w:autoSpaceDN/>
        <w:bidi w:val="0"/>
        <w:snapToGrid/>
        <w:spacing w:afterLines="0" w:line="360" w:lineRule="auto"/>
        <w:ind w:firstLine="480" w:firstLineChars="200"/>
        <w:textAlignment w:val="auto"/>
        <w:rPr>
          <w:rFonts w:ascii="Times New Roman" w:hAnsi="Times New Roman" w:cs="Times New Roman"/>
          <w:color w:val="auto"/>
          <w:spacing w:val="4"/>
          <w:sz w:val="24"/>
          <w:szCs w:val="24"/>
          <w:highlight w:val="none"/>
          <w:shd w:val="clear" w:color="auto" w:fill="FFFFFF"/>
        </w:rPr>
      </w:pPr>
      <w:r>
        <w:rPr>
          <w:rFonts w:hint="eastAsia" w:cs="Times New Roman"/>
          <w:color w:val="auto"/>
          <w:sz w:val="24"/>
          <w:szCs w:val="24"/>
          <w:highlight w:val="none"/>
        </w:rPr>
        <w:t xml:space="preserve">2 </w:t>
      </w:r>
      <w:r>
        <w:rPr>
          <w:rFonts w:ascii="Times New Roman" w:hAnsi="Times New Roman" w:eastAsia="Helvetica" w:cs="Times New Roman"/>
          <w:color w:val="auto"/>
          <w:spacing w:val="4"/>
          <w:sz w:val="24"/>
          <w:szCs w:val="24"/>
          <w:highlight w:val="none"/>
          <w:shd w:val="clear" w:color="auto" w:fill="FFFFFF"/>
        </w:rPr>
        <w:t>预制构件的运输车辆应满足构件尺寸和载重要求，装卸与运输时应采取保证车体平衡，防止构件移动、倾倒、变形等的固定措施，以及防止构件损坏的措施</w:t>
      </w:r>
      <w:r>
        <w:rPr>
          <w:rFonts w:hint="default" w:ascii="Times New Roman" w:hAnsi="Times New Roman" w:cs="Times New Roman"/>
          <w:color w:val="auto"/>
          <w:spacing w:val="4"/>
          <w:sz w:val="24"/>
          <w:szCs w:val="24"/>
          <w:highlight w:val="none"/>
          <w:shd w:val="clear" w:color="auto" w:fill="FFFFFF"/>
        </w:rPr>
        <w:t>；</w:t>
      </w:r>
    </w:p>
    <w:p w14:paraId="17060A5C">
      <w:pPr>
        <w:pStyle w:val="169"/>
        <w:keepNext w:val="0"/>
        <w:keepLines w:val="0"/>
        <w:pageBreakBefore w:val="0"/>
        <w:kinsoku/>
        <w:wordWrap/>
        <w:overflowPunct/>
        <w:topLinePunct w:val="0"/>
        <w:autoSpaceDE/>
        <w:autoSpaceDN/>
        <w:bidi w:val="0"/>
        <w:snapToGrid/>
        <w:spacing w:afterLines="0" w:line="360" w:lineRule="auto"/>
        <w:ind w:firstLine="480" w:firstLineChars="200"/>
        <w:textAlignment w:val="auto"/>
        <w:rPr>
          <w:rFonts w:ascii="Times New Roman" w:hAnsi="Times New Roman" w:cs="Times New Roman"/>
          <w:color w:val="auto"/>
          <w:spacing w:val="4"/>
          <w:sz w:val="24"/>
          <w:szCs w:val="24"/>
          <w:highlight w:val="none"/>
          <w:shd w:val="clear" w:color="auto" w:fill="FFFFFF"/>
        </w:rPr>
      </w:pPr>
      <w:r>
        <w:rPr>
          <w:rFonts w:hint="eastAsia" w:cs="Times New Roman"/>
          <w:color w:val="auto"/>
          <w:sz w:val="24"/>
          <w:szCs w:val="24"/>
          <w:highlight w:val="none"/>
        </w:rPr>
        <w:t xml:space="preserve">3 </w:t>
      </w:r>
      <w:r>
        <w:rPr>
          <w:rFonts w:ascii="Times New Roman" w:hAnsi="Times New Roman" w:eastAsia="Helvetica" w:cs="Times New Roman"/>
          <w:color w:val="auto"/>
          <w:spacing w:val="4"/>
          <w:sz w:val="24"/>
          <w:szCs w:val="24"/>
          <w:highlight w:val="none"/>
          <w:shd w:val="clear" w:color="auto" w:fill="FFFFFF"/>
        </w:rPr>
        <w:t>对构件</w:t>
      </w:r>
      <w:r>
        <w:rPr>
          <w:rFonts w:hint="default" w:ascii="Times New Roman" w:hAnsi="Times New Roman" w:cs="Times New Roman"/>
          <w:color w:val="auto"/>
          <w:spacing w:val="4"/>
          <w:sz w:val="24"/>
          <w:szCs w:val="24"/>
          <w:highlight w:val="none"/>
          <w:shd w:val="clear" w:color="auto" w:fill="FFFFFF"/>
        </w:rPr>
        <w:t>连接处、</w:t>
      </w:r>
      <w:r>
        <w:rPr>
          <w:rFonts w:ascii="Times New Roman" w:hAnsi="Times New Roman" w:eastAsia="Helvetica" w:cs="Times New Roman"/>
          <w:color w:val="auto"/>
          <w:spacing w:val="4"/>
          <w:sz w:val="24"/>
          <w:szCs w:val="24"/>
          <w:highlight w:val="none"/>
          <w:shd w:val="clear" w:color="auto" w:fill="FFFFFF"/>
        </w:rPr>
        <w:t>边角部或链索接触处的混凝土，宜设置保护衬垫，以防止损坏</w:t>
      </w:r>
      <w:r>
        <w:rPr>
          <w:rFonts w:hint="default" w:ascii="Times New Roman" w:hAnsi="Times New Roman" w:cs="Times New Roman"/>
          <w:color w:val="auto"/>
          <w:spacing w:val="4"/>
          <w:sz w:val="24"/>
          <w:szCs w:val="24"/>
          <w:highlight w:val="none"/>
          <w:shd w:val="clear" w:color="auto" w:fill="FFFFFF"/>
        </w:rPr>
        <w:t>；</w:t>
      </w:r>
    </w:p>
    <w:p w14:paraId="4C6368EE">
      <w:pPr>
        <w:pStyle w:val="169"/>
        <w:keepNext w:val="0"/>
        <w:keepLines w:val="0"/>
        <w:pageBreakBefore w:val="0"/>
        <w:kinsoku/>
        <w:wordWrap/>
        <w:overflowPunct/>
        <w:topLinePunct w:val="0"/>
        <w:autoSpaceDE/>
        <w:autoSpaceDN/>
        <w:bidi w:val="0"/>
        <w:snapToGrid/>
        <w:spacing w:afterLines="0" w:line="360" w:lineRule="auto"/>
        <w:ind w:firstLine="480" w:firstLineChars="200"/>
        <w:textAlignment w:val="auto"/>
        <w:rPr>
          <w:rFonts w:cs="Times New Roman"/>
          <w:color w:val="auto"/>
          <w:sz w:val="24"/>
          <w:szCs w:val="24"/>
          <w:highlight w:val="none"/>
        </w:rPr>
      </w:pPr>
      <w:r>
        <w:rPr>
          <w:rFonts w:hint="eastAsia" w:cs="Times New Roman"/>
          <w:color w:val="auto"/>
          <w:sz w:val="24"/>
          <w:szCs w:val="24"/>
          <w:highlight w:val="none"/>
        </w:rPr>
        <w:t xml:space="preserve">4 </w:t>
      </w:r>
      <w:r>
        <w:rPr>
          <w:rFonts w:ascii="Times New Roman" w:hAnsi="Times New Roman" w:eastAsia="Helvetica" w:cs="Times New Roman"/>
          <w:color w:val="auto"/>
          <w:spacing w:val="4"/>
          <w:sz w:val="24"/>
          <w:szCs w:val="24"/>
          <w:highlight w:val="none"/>
          <w:shd w:val="clear" w:color="auto" w:fill="FFFFFF"/>
        </w:rPr>
        <w:t>运输时间通常安排在晚间或交通低峰期，以减少对城市交通的影响</w:t>
      </w:r>
      <w:r>
        <w:rPr>
          <w:rFonts w:hint="default" w:ascii="Times New Roman" w:hAnsi="Times New Roman" w:cs="Times New Roman"/>
          <w:color w:val="auto"/>
          <w:spacing w:val="4"/>
          <w:sz w:val="24"/>
          <w:szCs w:val="24"/>
          <w:highlight w:val="none"/>
          <w:shd w:val="clear" w:color="auto" w:fill="FFFFFF"/>
        </w:rPr>
        <w:t>；</w:t>
      </w:r>
    </w:p>
    <w:p w14:paraId="4F6B8DF3">
      <w:pPr>
        <w:spacing w:before="156" w:beforeLines="50" w:after="156" w:afterLines="50" w:line="360" w:lineRule="auto"/>
        <w:jc w:val="center"/>
        <w:outlineLvl w:val="1"/>
        <w:rPr>
          <w:rFonts w:hint="eastAsia" w:ascii="Times New Roman" w:hAnsi="Times New Roman" w:cs="Times New Roman"/>
          <w:b/>
          <w:kern w:val="0"/>
          <w:sz w:val="28"/>
          <w:szCs w:val="28"/>
        </w:rPr>
      </w:pPr>
      <w:bookmarkStart w:id="126" w:name="_Toc7459"/>
      <w:bookmarkStart w:id="127" w:name="_Toc15662"/>
      <w:r>
        <w:rPr>
          <w:rFonts w:hint="eastAsia" w:ascii="Times New Roman" w:hAnsi="Times New Roman" w:cs="Times New Roman"/>
          <w:b/>
          <w:kern w:val="0"/>
          <w:sz w:val="28"/>
          <w:szCs w:val="28"/>
        </w:rPr>
        <w:t>7.4 现场施工</w:t>
      </w:r>
      <w:bookmarkEnd w:id="123"/>
      <w:bookmarkEnd w:id="126"/>
      <w:bookmarkEnd w:id="127"/>
    </w:p>
    <w:p w14:paraId="442A1FA2">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color w:val="auto"/>
          <w:sz w:val="24"/>
          <w:szCs w:val="24"/>
          <w:highlight w:val="none"/>
        </w:rPr>
      </w:pPr>
      <w:r>
        <w:rPr>
          <w:rFonts w:hint="eastAsia" w:cs="Times New Roman"/>
          <w:b/>
          <w:color w:val="auto"/>
          <w:sz w:val="24"/>
          <w:szCs w:val="24"/>
          <w:highlight w:val="none"/>
        </w:rPr>
        <w:t xml:space="preserve">7.4.1  </w:t>
      </w:r>
      <w:r>
        <w:rPr>
          <w:rFonts w:hint="eastAsia" w:cs="Times New Roman"/>
          <w:color w:val="auto"/>
          <w:sz w:val="24"/>
          <w:szCs w:val="24"/>
          <w:highlight w:val="none"/>
        </w:rPr>
        <w:t>预制构件及连接材料进场后应按规定进行验收，进场验收应符合下列规定：</w:t>
      </w:r>
    </w:p>
    <w:p w14:paraId="3D2CDBC8">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color w:val="auto"/>
          <w:sz w:val="24"/>
          <w:szCs w:val="24"/>
          <w:highlight w:val="none"/>
        </w:rPr>
      </w:pPr>
      <w:r>
        <w:rPr>
          <w:rFonts w:hint="eastAsia" w:cs="Times New Roman"/>
          <w:color w:val="auto"/>
          <w:sz w:val="24"/>
          <w:szCs w:val="24"/>
          <w:highlight w:val="none"/>
        </w:rPr>
        <w:t>1 构件连接面不应有严重缺陷，且不应有影响结构性能和安装、使用功能的尺寸偏差，预制构件上的预埋件、预留插筋、预埋管线等的规格和数量以及预留孔洞的位置及数量应符合设计要求；</w:t>
      </w:r>
    </w:p>
    <w:p w14:paraId="1C1DFF6D">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ascii="Times New Roman" w:hAnsi="Times New Roman" w:cs="Times New Roman"/>
          <w:color w:val="auto"/>
          <w:spacing w:val="4"/>
          <w:sz w:val="24"/>
          <w:szCs w:val="24"/>
          <w:highlight w:val="none"/>
          <w:shd w:val="clear" w:color="auto" w:fill="FFFFFF"/>
        </w:rPr>
      </w:pPr>
      <w:r>
        <w:rPr>
          <w:rFonts w:hint="eastAsia" w:cs="Times New Roman"/>
          <w:color w:val="auto"/>
          <w:sz w:val="24"/>
          <w:szCs w:val="24"/>
          <w:highlight w:val="none"/>
        </w:rPr>
        <w:t xml:space="preserve">2 </w:t>
      </w:r>
      <w:r>
        <w:rPr>
          <w:rFonts w:hint="default" w:ascii="Times New Roman" w:hAnsi="Times New Roman" w:cs="Times New Roman"/>
          <w:color w:val="auto"/>
          <w:spacing w:val="4"/>
          <w:sz w:val="24"/>
          <w:szCs w:val="24"/>
          <w:highlight w:val="none"/>
          <w:shd w:val="clear" w:color="auto" w:fill="FFFFFF"/>
        </w:rPr>
        <w:t>施工用</w:t>
      </w:r>
      <w:r>
        <w:rPr>
          <w:rFonts w:ascii="Times New Roman" w:hAnsi="Times New Roman" w:eastAsia="Helvetica" w:cs="Times New Roman"/>
          <w:color w:val="auto"/>
          <w:spacing w:val="4"/>
          <w:sz w:val="24"/>
          <w:szCs w:val="24"/>
          <w:highlight w:val="none"/>
          <w:shd w:val="clear" w:color="auto" w:fill="FFFFFF"/>
        </w:rPr>
        <w:t>的混凝土原材料、钢筋、</w:t>
      </w:r>
      <w:r>
        <w:rPr>
          <w:rFonts w:hint="default" w:ascii="Times New Roman" w:hAnsi="Times New Roman" w:cs="Times New Roman"/>
          <w:color w:val="auto"/>
          <w:spacing w:val="4"/>
          <w:sz w:val="24"/>
          <w:szCs w:val="24"/>
          <w:highlight w:val="none"/>
          <w:shd w:val="clear" w:color="auto" w:fill="FFFFFF"/>
        </w:rPr>
        <w:t>钢材</w:t>
      </w:r>
      <w:r>
        <w:rPr>
          <w:rFonts w:ascii="Times New Roman" w:hAnsi="Times New Roman" w:eastAsia="Helvetica" w:cs="Times New Roman"/>
          <w:color w:val="auto"/>
          <w:spacing w:val="4"/>
          <w:sz w:val="24"/>
          <w:szCs w:val="24"/>
          <w:highlight w:val="none"/>
          <w:shd w:val="clear" w:color="auto" w:fill="FFFFFF"/>
        </w:rPr>
        <w:t>、连接套筒、</w:t>
      </w:r>
      <w:r>
        <w:rPr>
          <w:rFonts w:hint="default" w:ascii="Times New Roman" w:hAnsi="Times New Roman" w:cs="Times New Roman"/>
          <w:color w:val="auto"/>
          <w:spacing w:val="4"/>
          <w:sz w:val="24"/>
          <w:szCs w:val="24"/>
          <w:highlight w:val="none"/>
          <w:shd w:val="clear" w:color="auto" w:fill="FFFFFF"/>
        </w:rPr>
        <w:t>金属波纹</w:t>
      </w:r>
      <w:r>
        <w:rPr>
          <w:rFonts w:hint="eastAsia" w:eastAsia="宋体"/>
          <w:bCs/>
          <w:color w:val="auto"/>
          <w:sz w:val="24"/>
          <w:szCs w:val="24"/>
          <w:highlight w:val="none"/>
          <w:lang w:eastAsia="zh-CN"/>
        </w:rPr>
        <w:t>钢</w:t>
      </w:r>
      <w:r>
        <w:rPr>
          <w:rFonts w:hint="default" w:ascii="Times New Roman" w:hAnsi="Times New Roman" w:cs="Times New Roman"/>
          <w:color w:val="auto"/>
          <w:spacing w:val="4"/>
          <w:sz w:val="24"/>
          <w:szCs w:val="24"/>
          <w:highlight w:val="none"/>
          <w:shd w:val="clear" w:color="auto" w:fill="FFFFFF"/>
        </w:rPr>
        <w:t>管、</w:t>
      </w:r>
      <w:r>
        <w:rPr>
          <w:rFonts w:ascii="Times New Roman" w:hAnsi="Times New Roman" w:eastAsia="Helvetica" w:cs="Times New Roman"/>
          <w:color w:val="auto"/>
          <w:spacing w:val="4"/>
          <w:sz w:val="24"/>
          <w:szCs w:val="24"/>
          <w:highlight w:val="none"/>
          <w:shd w:val="clear" w:color="auto" w:fill="FFFFFF"/>
        </w:rPr>
        <w:t>预埋件、</w:t>
      </w:r>
      <w:r>
        <w:rPr>
          <w:rFonts w:hint="default" w:ascii="Times New Roman" w:hAnsi="Times New Roman" w:cs="Times New Roman"/>
          <w:color w:val="auto"/>
          <w:spacing w:val="4"/>
          <w:sz w:val="24"/>
          <w:szCs w:val="24"/>
          <w:highlight w:val="none"/>
          <w:shd w:val="clear" w:color="auto" w:fill="FFFFFF"/>
        </w:rPr>
        <w:t>接缝材料</w:t>
      </w:r>
      <w:r>
        <w:rPr>
          <w:rFonts w:ascii="Times New Roman" w:hAnsi="Times New Roman" w:eastAsia="Helvetica" w:cs="Times New Roman"/>
          <w:color w:val="auto"/>
          <w:spacing w:val="4"/>
          <w:sz w:val="24"/>
          <w:szCs w:val="24"/>
          <w:highlight w:val="none"/>
          <w:shd w:val="clear" w:color="auto" w:fill="FFFFFF"/>
        </w:rPr>
        <w:t>等应按照规定进行取样抽检</w:t>
      </w:r>
      <w:r>
        <w:rPr>
          <w:rFonts w:hint="default" w:ascii="Times New Roman" w:hAnsi="Times New Roman" w:cs="Times New Roman"/>
          <w:color w:val="auto"/>
          <w:spacing w:val="4"/>
          <w:sz w:val="24"/>
          <w:szCs w:val="24"/>
          <w:highlight w:val="none"/>
          <w:shd w:val="clear" w:color="auto" w:fill="FFFFFF"/>
        </w:rPr>
        <w:t>。</w:t>
      </w:r>
    </w:p>
    <w:p w14:paraId="70B1D9F3">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7.</w:t>
      </w:r>
      <w:r>
        <w:rPr>
          <w:rFonts w:hint="eastAsia" w:cs="Times New Roman"/>
          <w:b/>
          <w:color w:val="auto"/>
          <w:sz w:val="24"/>
          <w:szCs w:val="24"/>
          <w:highlight w:val="none"/>
        </w:rPr>
        <w:t>4</w:t>
      </w:r>
      <w:r>
        <w:rPr>
          <w:rFonts w:cs="Times New Roman"/>
          <w:b/>
          <w:color w:val="auto"/>
          <w:sz w:val="24"/>
          <w:szCs w:val="24"/>
          <w:highlight w:val="none"/>
        </w:rPr>
        <w:t>.</w:t>
      </w:r>
      <w:r>
        <w:rPr>
          <w:rFonts w:hint="eastAsia" w:cs="Times New Roman"/>
          <w:b/>
          <w:color w:val="auto"/>
          <w:sz w:val="24"/>
          <w:szCs w:val="24"/>
          <w:highlight w:val="none"/>
        </w:rPr>
        <w:t>2</w:t>
      </w:r>
      <w:r>
        <w:rPr>
          <w:rFonts w:cs="Times New Roman"/>
          <w:b/>
          <w:color w:val="auto"/>
          <w:sz w:val="24"/>
          <w:szCs w:val="24"/>
          <w:highlight w:val="none"/>
        </w:rPr>
        <w:t xml:space="preserve">  </w:t>
      </w:r>
      <w:r>
        <w:rPr>
          <w:rFonts w:cs="Times New Roman"/>
          <w:bCs/>
          <w:color w:val="auto"/>
          <w:sz w:val="24"/>
          <w:szCs w:val="24"/>
          <w:highlight w:val="none"/>
        </w:rPr>
        <w:t>采用</w:t>
      </w:r>
      <w:r>
        <w:rPr>
          <w:rFonts w:cs="Times New Roman"/>
          <w:b/>
          <w:color w:val="auto"/>
          <w:sz w:val="24"/>
          <w:szCs w:val="24"/>
          <w:highlight w:val="none"/>
        </w:rPr>
        <w:t>灌浆套筒连接</w:t>
      </w:r>
      <w:r>
        <w:rPr>
          <w:rFonts w:hint="eastAsia" w:cs="Times New Roman"/>
          <w:b/>
          <w:color w:val="auto"/>
          <w:sz w:val="24"/>
          <w:szCs w:val="24"/>
          <w:highlight w:val="none"/>
        </w:rPr>
        <w:t>、灌浆波纹钢管</w:t>
      </w:r>
      <w:r>
        <w:rPr>
          <w:rFonts w:cs="Times New Roman"/>
          <w:b/>
          <w:color w:val="auto"/>
          <w:sz w:val="24"/>
          <w:szCs w:val="24"/>
          <w:highlight w:val="none"/>
        </w:rPr>
        <w:t>连接</w:t>
      </w:r>
      <w:r>
        <w:rPr>
          <w:rFonts w:cs="Times New Roman"/>
          <w:bCs/>
          <w:color w:val="auto"/>
          <w:sz w:val="24"/>
          <w:szCs w:val="24"/>
          <w:highlight w:val="none"/>
        </w:rPr>
        <w:t>应</w:t>
      </w:r>
      <w:r>
        <w:rPr>
          <w:rFonts w:hint="eastAsia" w:cs="Times New Roman"/>
          <w:bCs/>
          <w:color w:val="auto"/>
          <w:sz w:val="24"/>
          <w:szCs w:val="24"/>
          <w:highlight w:val="none"/>
        </w:rPr>
        <w:t>符合下列规定</w:t>
      </w:r>
      <w:r>
        <w:rPr>
          <w:rFonts w:cs="Times New Roman"/>
          <w:bCs/>
          <w:color w:val="auto"/>
          <w:sz w:val="24"/>
          <w:szCs w:val="24"/>
          <w:highlight w:val="none"/>
        </w:rPr>
        <w:t>：</w:t>
      </w:r>
    </w:p>
    <w:p w14:paraId="46C6E01F">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1 灌浆速度、压力</w:t>
      </w:r>
      <w:r>
        <w:rPr>
          <w:rFonts w:hint="eastAsia" w:cs="Times New Roman"/>
          <w:bCs/>
          <w:color w:val="auto"/>
          <w:sz w:val="24"/>
          <w:szCs w:val="24"/>
          <w:highlight w:val="none"/>
        </w:rPr>
        <w:t>及其他相关参数</w:t>
      </w:r>
      <w:r>
        <w:rPr>
          <w:rFonts w:cs="Times New Roman"/>
          <w:bCs/>
          <w:color w:val="auto"/>
          <w:sz w:val="24"/>
          <w:szCs w:val="24"/>
          <w:highlight w:val="none"/>
        </w:rPr>
        <w:t>等均需要根据工艺试验进行确定，且套筒和灌浆料</w:t>
      </w:r>
      <w:r>
        <w:rPr>
          <w:rFonts w:hint="eastAsia" w:cs="Times New Roman"/>
          <w:bCs/>
          <w:color w:val="auto"/>
          <w:sz w:val="24"/>
          <w:szCs w:val="24"/>
          <w:highlight w:val="none"/>
        </w:rPr>
        <w:t>等</w:t>
      </w:r>
      <w:r>
        <w:rPr>
          <w:rFonts w:cs="Times New Roman"/>
          <w:bCs/>
          <w:color w:val="auto"/>
          <w:sz w:val="24"/>
          <w:szCs w:val="24"/>
          <w:highlight w:val="none"/>
        </w:rPr>
        <w:t>相关产品应由厂商成套提供，并提供相关质检资料</w:t>
      </w:r>
      <w:r>
        <w:rPr>
          <w:rFonts w:hint="eastAsia" w:cs="Times New Roman"/>
          <w:bCs/>
          <w:color w:val="auto"/>
          <w:sz w:val="24"/>
          <w:szCs w:val="24"/>
          <w:highlight w:val="none"/>
        </w:rPr>
        <w:t>；</w:t>
      </w:r>
    </w:p>
    <w:p w14:paraId="68308926">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2 灌浆料同条件养护试件抗压强度达到35MPa后，方可进行对接头有扰动的后续施工；临时固定措施的拆除应在灌浆料抗压强度能确保结构达到后续施工承载要求后进行；</w:t>
      </w:r>
    </w:p>
    <w:p w14:paraId="5EEA4656">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3 灌浆作业应采用压浆法从下灌浆孔注入，当灌浆料从构件其他灌浆孔、出浆孔流出后应及时封堵；</w:t>
      </w:r>
    </w:p>
    <w:p w14:paraId="48ABE871">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 xml:space="preserve">4 </w:t>
      </w:r>
      <w:r>
        <w:rPr>
          <w:rFonts w:hint="eastAsia" w:cs="Times New Roman"/>
          <w:bCs/>
          <w:color w:val="auto"/>
          <w:sz w:val="24"/>
          <w:szCs w:val="24"/>
          <w:highlight w:val="none"/>
        </w:rPr>
        <w:t>当</w:t>
      </w:r>
      <w:r>
        <w:rPr>
          <w:rFonts w:cs="Times New Roman"/>
          <w:bCs/>
          <w:color w:val="auto"/>
          <w:sz w:val="24"/>
          <w:szCs w:val="24"/>
          <w:highlight w:val="none"/>
        </w:rPr>
        <w:t>环境温度高于30</w:t>
      </w:r>
      <w:r>
        <w:rPr>
          <w:rFonts w:cs="Times New Roman"/>
          <w:bCs/>
          <w:color w:val="auto"/>
          <w:sz w:val="24"/>
          <w:szCs w:val="24"/>
          <w:highlight w:val="none"/>
          <w:vertAlign w:val="superscript"/>
        </w:rPr>
        <w:t>0</w:t>
      </w:r>
      <w:r>
        <w:rPr>
          <w:rFonts w:cs="Times New Roman"/>
          <w:bCs/>
          <w:color w:val="auto"/>
          <w:sz w:val="24"/>
          <w:szCs w:val="24"/>
          <w:highlight w:val="none"/>
        </w:rPr>
        <w:t>C时，应采取措施降低灌浆部位和灌浆料拌合物的温度，灌入套筒内的灌浆料温度不应大于灌浆料产品使用说明书中明确的最高温度；施工环境温度低于-5</w:t>
      </w:r>
      <w:r>
        <w:rPr>
          <w:rFonts w:cs="Times New Roman"/>
          <w:bCs/>
          <w:color w:val="auto"/>
          <w:sz w:val="24"/>
          <w:szCs w:val="24"/>
          <w:highlight w:val="none"/>
          <w:vertAlign w:val="superscript"/>
        </w:rPr>
        <w:t>0</w:t>
      </w:r>
      <w:r>
        <w:rPr>
          <w:rFonts w:cs="Times New Roman"/>
          <w:bCs/>
          <w:color w:val="auto"/>
          <w:sz w:val="24"/>
          <w:szCs w:val="24"/>
          <w:highlight w:val="none"/>
        </w:rPr>
        <w:t>C时不得施工</w:t>
      </w:r>
      <w:r>
        <w:rPr>
          <w:rFonts w:hint="eastAsia" w:cs="Times New Roman"/>
          <w:bCs/>
          <w:color w:val="auto"/>
          <w:sz w:val="24"/>
          <w:szCs w:val="24"/>
          <w:highlight w:val="none"/>
        </w:rPr>
        <w:t>，当环境温度低于</w:t>
      </w:r>
      <w:r>
        <w:rPr>
          <w:rFonts w:cs="Times New Roman"/>
          <w:bCs/>
          <w:color w:val="auto"/>
          <w:sz w:val="24"/>
          <w:szCs w:val="24"/>
          <w:highlight w:val="none"/>
        </w:rPr>
        <w:t>5</w:t>
      </w:r>
      <w:r>
        <w:rPr>
          <w:rFonts w:cs="Times New Roman"/>
          <w:bCs/>
          <w:color w:val="auto"/>
          <w:sz w:val="24"/>
          <w:szCs w:val="24"/>
          <w:highlight w:val="none"/>
          <w:vertAlign w:val="superscript"/>
        </w:rPr>
        <w:t>0</w:t>
      </w:r>
      <w:r>
        <w:rPr>
          <w:rFonts w:cs="Times New Roman"/>
          <w:bCs/>
          <w:color w:val="auto"/>
          <w:sz w:val="24"/>
          <w:szCs w:val="24"/>
          <w:highlight w:val="none"/>
        </w:rPr>
        <w:t>C</w:t>
      </w:r>
      <w:r>
        <w:rPr>
          <w:rFonts w:hint="eastAsia" w:cs="Times New Roman"/>
          <w:bCs/>
          <w:color w:val="auto"/>
          <w:sz w:val="24"/>
          <w:szCs w:val="24"/>
          <w:highlight w:val="none"/>
        </w:rPr>
        <w:t>时应采用加热保温措施</w:t>
      </w:r>
      <w:r>
        <w:rPr>
          <w:rFonts w:cs="Times New Roman"/>
          <w:bCs/>
          <w:color w:val="auto"/>
          <w:sz w:val="24"/>
          <w:szCs w:val="24"/>
          <w:highlight w:val="none"/>
        </w:rPr>
        <w:t>；</w:t>
      </w:r>
    </w:p>
    <w:p w14:paraId="15824A09">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color w:val="auto"/>
          <w:sz w:val="24"/>
          <w:szCs w:val="24"/>
          <w:highlight w:val="none"/>
        </w:rPr>
      </w:pPr>
      <w:r>
        <w:rPr>
          <w:rFonts w:cs="Times New Roman"/>
          <w:bCs/>
          <w:color w:val="auto"/>
          <w:sz w:val="24"/>
          <w:szCs w:val="24"/>
          <w:highlight w:val="none"/>
        </w:rPr>
        <w:t xml:space="preserve">5 </w:t>
      </w:r>
      <w:r>
        <w:rPr>
          <w:rFonts w:hint="eastAsia" w:cs="Times New Roman"/>
          <w:color w:val="auto"/>
          <w:sz w:val="24"/>
          <w:szCs w:val="24"/>
          <w:highlight w:val="none"/>
        </w:rPr>
        <w:t>在灌浆施工前，应对</w:t>
      </w:r>
      <w:r>
        <w:rPr>
          <w:rFonts w:hint="default" w:ascii="Times New Roman" w:hAnsi="Times New Roman" w:cs="Times New Roman"/>
          <w:color w:val="auto"/>
          <w:sz w:val="24"/>
          <w:szCs w:val="24"/>
          <w:highlight w:val="none"/>
          <w:lang w:bidi="ar"/>
        </w:rPr>
        <w:t>灌浆料拌合物进行流动性的检测，其流动性应满足本标准4</w:t>
      </w:r>
      <w:r>
        <w:rPr>
          <w:rFonts w:ascii="Times New Roman" w:hAnsi="Times New Roman" w:cs="Times New Roman"/>
          <w:color w:val="auto"/>
          <w:sz w:val="24"/>
          <w:szCs w:val="24"/>
          <w:highlight w:val="none"/>
          <w:lang w:bidi="ar"/>
        </w:rPr>
        <w:t>.5</w:t>
      </w:r>
      <w:r>
        <w:rPr>
          <w:rFonts w:hint="default" w:ascii="Times New Roman" w:hAnsi="Times New Roman" w:cs="Times New Roman"/>
          <w:color w:val="auto"/>
          <w:sz w:val="24"/>
          <w:szCs w:val="24"/>
          <w:highlight w:val="none"/>
          <w:lang w:bidi="ar"/>
        </w:rPr>
        <w:t>.</w:t>
      </w:r>
      <w:r>
        <w:rPr>
          <w:rFonts w:ascii="Times New Roman" w:hAnsi="Times New Roman" w:cs="Times New Roman"/>
          <w:color w:val="auto"/>
          <w:sz w:val="24"/>
          <w:szCs w:val="24"/>
          <w:highlight w:val="none"/>
          <w:lang w:bidi="ar"/>
        </w:rPr>
        <w:t>1</w:t>
      </w:r>
      <w:r>
        <w:rPr>
          <w:rFonts w:hint="default" w:ascii="Times New Roman" w:hAnsi="Times New Roman" w:cs="Times New Roman"/>
          <w:color w:val="auto"/>
          <w:sz w:val="24"/>
          <w:szCs w:val="24"/>
          <w:highlight w:val="none"/>
          <w:lang w:bidi="ar"/>
        </w:rPr>
        <w:t>要求；</w:t>
      </w:r>
      <w:r>
        <w:rPr>
          <w:rFonts w:cs="Times New Roman"/>
          <w:bCs/>
          <w:color w:val="auto"/>
          <w:sz w:val="24"/>
          <w:szCs w:val="24"/>
          <w:highlight w:val="none"/>
        </w:rPr>
        <w:t xml:space="preserve"> </w:t>
      </w:r>
    </w:p>
    <w:p w14:paraId="0F3464D7">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6 灌浆料加水后使用时间应按灌浆料产品使用说明书要求，宜在加水后30min内用完；散落的灌浆料拌合物不得二次使用，剩余的拌合物不得再次添加灌浆料、水后混合使用。</w:t>
      </w:r>
    </w:p>
    <w:p w14:paraId="5E6B782B">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7.</w:t>
      </w:r>
      <w:r>
        <w:rPr>
          <w:rFonts w:hint="eastAsia" w:cs="Times New Roman"/>
          <w:b/>
          <w:color w:val="auto"/>
          <w:sz w:val="24"/>
          <w:szCs w:val="24"/>
          <w:highlight w:val="none"/>
        </w:rPr>
        <w:t>4.3</w:t>
      </w:r>
      <w:r>
        <w:rPr>
          <w:rFonts w:cs="Times New Roman"/>
          <w:bCs/>
          <w:color w:val="auto"/>
          <w:sz w:val="24"/>
          <w:szCs w:val="24"/>
          <w:highlight w:val="none"/>
        </w:rPr>
        <w:t xml:space="preserve">  采用</w:t>
      </w:r>
      <w:r>
        <w:rPr>
          <w:rFonts w:cs="Times New Roman"/>
          <w:b/>
          <w:color w:val="auto"/>
          <w:sz w:val="24"/>
          <w:szCs w:val="24"/>
          <w:highlight w:val="none"/>
        </w:rPr>
        <w:t>承插式连接</w:t>
      </w:r>
      <w:r>
        <w:rPr>
          <w:rFonts w:cs="Times New Roman"/>
          <w:bCs/>
          <w:color w:val="auto"/>
          <w:sz w:val="24"/>
          <w:szCs w:val="24"/>
          <w:highlight w:val="none"/>
        </w:rPr>
        <w:t>应</w:t>
      </w:r>
      <w:r>
        <w:rPr>
          <w:rFonts w:hint="eastAsia" w:cs="Times New Roman"/>
          <w:bCs/>
          <w:color w:val="auto"/>
          <w:sz w:val="24"/>
          <w:szCs w:val="24"/>
          <w:highlight w:val="none"/>
        </w:rPr>
        <w:t>符合下列规定</w:t>
      </w:r>
      <w:r>
        <w:rPr>
          <w:rFonts w:cs="Times New Roman"/>
          <w:bCs/>
          <w:color w:val="auto"/>
          <w:sz w:val="24"/>
          <w:szCs w:val="24"/>
          <w:highlight w:val="none"/>
        </w:rPr>
        <w:t>：</w:t>
      </w:r>
    </w:p>
    <w:p w14:paraId="047EB563">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1 预制墩柱、桩基等构件正式安装前应进行预拼装，调整标高和垂直度，然后进行坐浆和正式吊装；</w:t>
      </w:r>
    </w:p>
    <w:p w14:paraId="3B61B69C">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2 承插孔</w:t>
      </w:r>
      <w:r>
        <w:rPr>
          <w:rFonts w:hint="eastAsia" w:cs="Times New Roman"/>
          <w:bCs/>
          <w:color w:val="auto"/>
          <w:sz w:val="24"/>
          <w:szCs w:val="24"/>
          <w:highlight w:val="none"/>
        </w:rPr>
        <w:t>底</w:t>
      </w:r>
      <w:r>
        <w:rPr>
          <w:rFonts w:cs="Times New Roman"/>
          <w:bCs/>
          <w:color w:val="auto"/>
          <w:sz w:val="24"/>
          <w:szCs w:val="24"/>
          <w:highlight w:val="none"/>
        </w:rPr>
        <w:t>应按设计标高调平；当孔底标高高出设计范围要求，对高出部分进行凿除后用环氧砂浆调平层进行调平；当孔底标高低于设计范围要求，利用C40 细石混凝土进行调整，后用C50环氧砂浆调平层进行调平。</w:t>
      </w:r>
    </w:p>
    <w:p w14:paraId="78A9250B">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3 预制墩柱墩身应保持整洁，避免污染，</w:t>
      </w:r>
      <w:r>
        <w:rPr>
          <w:rFonts w:hint="eastAsia" w:cs="Times New Roman"/>
          <w:bCs/>
          <w:color w:val="auto"/>
          <w:sz w:val="24"/>
          <w:szCs w:val="24"/>
          <w:highlight w:val="none"/>
        </w:rPr>
        <w:t>承插段应</w:t>
      </w:r>
      <w:r>
        <w:rPr>
          <w:rFonts w:cs="Times New Roman"/>
          <w:bCs/>
          <w:color w:val="auto"/>
          <w:sz w:val="24"/>
          <w:szCs w:val="24"/>
          <w:highlight w:val="none"/>
        </w:rPr>
        <w:t>用水湿润</w:t>
      </w:r>
      <w:r>
        <w:rPr>
          <w:rFonts w:hint="eastAsia" w:cs="Times New Roman"/>
          <w:bCs/>
          <w:color w:val="auto"/>
          <w:sz w:val="24"/>
          <w:szCs w:val="24"/>
          <w:highlight w:val="none"/>
        </w:rPr>
        <w:t>，</w:t>
      </w:r>
      <w:r>
        <w:rPr>
          <w:rFonts w:cs="Times New Roman"/>
          <w:bCs/>
          <w:color w:val="auto"/>
          <w:sz w:val="24"/>
          <w:szCs w:val="24"/>
          <w:highlight w:val="none"/>
        </w:rPr>
        <w:t>以</w:t>
      </w:r>
      <w:r>
        <w:rPr>
          <w:rFonts w:hint="eastAsia" w:cs="Times New Roman"/>
          <w:bCs/>
          <w:color w:val="auto"/>
          <w:sz w:val="24"/>
          <w:szCs w:val="24"/>
          <w:highlight w:val="none"/>
        </w:rPr>
        <w:t>保证</w:t>
      </w:r>
      <w:r>
        <w:rPr>
          <w:rFonts w:cs="Times New Roman"/>
          <w:bCs/>
          <w:color w:val="auto"/>
          <w:sz w:val="24"/>
          <w:szCs w:val="24"/>
          <w:highlight w:val="none"/>
        </w:rPr>
        <w:t>良好的连接。</w:t>
      </w:r>
    </w:p>
    <w:p w14:paraId="5D39AFEB">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4 墩柱安装完毕，检查合格后，浇筑杯口内混凝土。混凝土浇筑采用滑槽缓慢放入杯口内，四周对称均匀浇筑，分层振捣，直至浇筑承台顶部齐平</w:t>
      </w:r>
      <w:r>
        <w:rPr>
          <w:rFonts w:hint="eastAsia" w:cs="Times New Roman"/>
          <w:bCs/>
          <w:color w:val="auto"/>
          <w:sz w:val="24"/>
          <w:szCs w:val="24"/>
          <w:highlight w:val="none"/>
        </w:rPr>
        <w:t>，并按规定进行养护。</w:t>
      </w:r>
    </w:p>
    <w:p w14:paraId="58E54E8F">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7.</w:t>
      </w:r>
      <w:r>
        <w:rPr>
          <w:rFonts w:hint="eastAsia" w:cs="Times New Roman"/>
          <w:b/>
          <w:color w:val="auto"/>
          <w:sz w:val="24"/>
          <w:szCs w:val="24"/>
          <w:highlight w:val="none"/>
        </w:rPr>
        <w:t>4.4</w:t>
      </w:r>
      <w:r>
        <w:rPr>
          <w:rFonts w:cs="Times New Roman"/>
          <w:bCs/>
          <w:color w:val="auto"/>
          <w:sz w:val="24"/>
          <w:szCs w:val="24"/>
          <w:highlight w:val="none"/>
        </w:rPr>
        <w:t xml:space="preserve">  采用</w:t>
      </w:r>
      <w:r>
        <w:rPr>
          <w:rFonts w:cs="Times New Roman"/>
          <w:b/>
          <w:color w:val="auto"/>
          <w:sz w:val="24"/>
          <w:szCs w:val="24"/>
          <w:highlight w:val="none"/>
        </w:rPr>
        <w:t>插槽式连接</w:t>
      </w:r>
      <w:bookmarkStart w:id="128" w:name="OLE_LINK3"/>
      <w:r>
        <w:rPr>
          <w:rFonts w:cs="Times New Roman"/>
          <w:bCs/>
          <w:color w:val="auto"/>
          <w:sz w:val="24"/>
          <w:szCs w:val="24"/>
          <w:highlight w:val="none"/>
        </w:rPr>
        <w:t>应</w:t>
      </w:r>
      <w:r>
        <w:rPr>
          <w:rFonts w:hint="eastAsia" w:cs="Times New Roman"/>
          <w:bCs/>
          <w:color w:val="auto"/>
          <w:sz w:val="24"/>
          <w:szCs w:val="24"/>
          <w:highlight w:val="none"/>
        </w:rPr>
        <w:t>符合下列规定</w:t>
      </w:r>
      <w:r>
        <w:rPr>
          <w:rFonts w:cs="Times New Roman"/>
          <w:bCs/>
          <w:color w:val="auto"/>
          <w:sz w:val="24"/>
          <w:szCs w:val="24"/>
          <w:highlight w:val="none"/>
        </w:rPr>
        <w:t>：</w:t>
      </w:r>
      <w:bookmarkEnd w:id="128"/>
    </w:p>
    <w:p w14:paraId="6C2203D6">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1 墩柱安装前应清理槽口，</w:t>
      </w:r>
      <w:r>
        <w:rPr>
          <w:rFonts w:hint="eastAsia" w:cs="Times New Roman"/>
          <w:bCs/>
          <w:color w:val="auto"/>
          <w:sz w:val="24"/>
          <w:szCs w:val="24"/>
          <w:highlight w:val="none"/>
        </w:rPr>
        <w:t>并在承台槽口内设置</w:t>
      </w:r>
      <w:r>
        <w:rPr>
          <w:rFonts w:cs="Times New Roman"/>
          <w:bCs/>
          <w:color w:val="auto"/>
          <w:sz w:val="24"/>
          <w:szCs w:val="24"/>
          <w:highlight w:val="none"/>
        </w:rPr>
        <w:t>2cm</w:t>
      </w:r>
      <w:r>
        <w:rPr>
          <w:rFonts w:hint="eastAsia" w:cs="Times New Roman"/>
          <w:bCs/>
          <w:color w:val="auto"/>
          <w:sz w:val="24"/>
          <w:szCs w:val="24"/>
          <w:highlight w:val="none"/>
        </w:rPr>
        <w:t>厚的砂浆垫层找平</w:t>
      </w:r>
      <w:r>
        <w:rPr>
          <w:rFonts w:cs="Times New Roman"/>
          <w:bCs/>
          <w:color w:val="auto"/>
          <w:sz w:val="24"/>
          <w:szCs w:val="24"/>
          <w:highlight w:val="none"/>
        </w:rPr>
        <w:t>，砂浆的厚度应均匀，且一次性浇筑完成；</w:t>
      </w:r>
    </w:p>
    <w:p w14:paraId="4280B977">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2 构件安装就位后应采用调位装置对其进行三维调节、精确定位，并应启用锁定装置将其及时锁定；</w:t>
      </w:r>
    </w:p>
    <w:p w14:paraId="31B41D89">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3 对连接面混凝土，应进行严格凿毛处理，并应将连接界面清理干净，浇筑前应充分湿润或涂刷界面剂</w:t>
      </w:r>
      <w:r>
        <w:rPr>
          <w:rFonts w:hint="eastAsia" w:cs="Times New Roman"/>
          <w:bCs/>
          <w:color w:val="auto"/>
          <w:sz w:val="24"/>
          <w:szCs w:val="24"/>
          <w:highlight w:val="none"/>
        </w:rPr>
        <w:t>，浇筑后按规定进行</w:t>
      </w:r>
      <w:r>
        <w:rPr>
          <w:rFonts w:cs="Times New Roman"/>
          <w:bCs/>
          <w:color w:val="auto"/>
          <w:sz w:val="24"/>
          <w:szCs w:val="24"/>
          <w:highlight w:val="none"/>
        </w:rPr>
        <w:t>养护。</w:t>
      </w:r>
    </w:p>
    <w:p w14:paraId="39EFEE50">
      <w:pPr>
        <w:pStyle w:val="169"/>
        <w:keepNext w:val="0"/>
        <w:keepLines w:val="0"/>
        <w:pageBreakBefore w:val="0"/>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7.</w:t>
      </w:r>
      <w:r>
        <w:rPr>
          <w:rFonts w:hint="eastAsia" w:cs="Times New Roman"/>
          <w:b/>
          <w:color w:val="auto"/>
          <w:sz w:val="24"/>
          <w:szCs w:val="24"/>
          <w:highlight w:val="none"/>
        </w:rPr>
        <w:t>4.5</w:t>
      </w:r>
      <w:r>
        <w:rPr>
          <w:rFonts w:cs="Times New Roman"/>
          <w:bCs/>
          <w:color w:val="auto"/>
          <w:sz w:val="24"/>
          <w:szCs w:val="24"/>
          <w:highlight w:val="none"/>
        </w:rPr>
        <w:t xml:space="preserve"> </w:t>
      </w:r>
      <w:r>
        <w:rPr>
          <w:rFonts w:hint="eastAsia" w:cs="Times New Roman"/>
          <w:bCs/>
          <w:color w:val="auto"/>
          <w:sz w:val="24"/>
          <w:szCs w:val="24"/>
          <w:highlight w:val="none"/>
        </w:rPr>
        <w:t xml:space="preserve"> </w:t>
      </w:r>
      <w:r>
        <w:rPr>
          <w:rFonts w:cs="Times New Roman"/>
          <w:bCs/>
          <w:color w:val="auto"/>
          <w:sz w:val="24"/>
          <w:szCs w:val="24"/>
          <w:highlight w:val="none"/>
        </w:rPr>
        <w:t>采用</w:t>
      </w:r>
      <w:r>
        <w:rPr>
          <w:rFonts w:cs="Times New Roman"/>
          <w:b/>
          <w:color w:val="auto"/>
          <w:sz w:val="24"/>
          <w:szCs w:val="24"/>
          <w:highlight w:val="none"/>
        </w:rPr>
        <w:t>壳式连接</w:t>
      </w:r>
      <w:r>
        <w:rPr>
          <w:rFonts w:cs="Times New Roman"/>
          <w:bCs/>
          <w:color w:val="auto"/>
          <w:sz w:val="24"/>
          <w:szCs w:val="24"/>
          <w:highlight w:val="none"/>
        </w:rPr>
        <w:t>应</w:t>
      </w:r>
      <w:r>
        <w:rPr>
          <w:rFonts w:hint="eastAsia" w:cs="Times New Roman"/>
          <w:bCs/>
          <w:color w:val="auto"/>
          <w:sz w:val="24"/>
          <w:szCs w:val="24"/>
          <w:highlight w:val="none"/>
        </w:rPr>
        <w:t>符合下列规定</w:t>
      </w:r>
      <w:r>
        <w:rPr>
          <w:rFonts w:cs="Times New Roman"/>
          <w:bCs/>
          <w:color w:val="auto"/>
          <w:sz w:val="24"/>
          <w:szCs w:val="24"/>
          <w:highlight w:val="none"/>
        </w:rPr>
        <w:t>：</w:t>
      </w:r>
    </w:p>
    <w:p w14:paraId="24341570">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bCs/>
          <w:color w:val="auto"/>
          <w:sz w:val="24"/>
          <w:szCs w:val="24"/>
          <w:highlight w:val="none"/>
        </w:rPr>
        <w:t xml:space="preserve">1 </w:t>
      </w:r>
      <w:r>
        <w:rPr>
          <w:rFonts w:hint="eastAsia"/>
          <w:bCs/>
          <w:color w:val="auto"/>
          <w:sz w:val="24"/>
          <w:szCs w:val="24"/>
          <w:highlight w:val="none"/>
        </w:rPr>
        <w:t>连接构件的安装顺序应按照图7.3.4进行；</w:t>
      </w:r>
    </w:p>
    <w:p w14:paraId="273E7739">
      <w:pPr>
        <w:pStyle w:val="2"/>
        <w:ind w:firstLine="0" w:firstLineChars="0"/>
        <w:jc w:val="center"/>
        <w:rPr>
          <w:rFonts w:ascii="Times New Roman" w:hAnsi="Times New Roman"/>
          <w:color w:val="auto"/>
          <w:sz w:val="21"/>
          <w:szCs w:val="21"/>
          <w:highlight w:val="none"/>
        </w:rPr>
      </w:pPr>
      <w:r>
        <w:rPr>
          <w:rFonts w:hint="default" w:ascii="Times New Roman" w:hAnsi="Times New Roman"/>
          <w:color w:val="auto"/>
          <w:sz w:val="21"/>
          <w:szCs w:val="21"/>
          <w:highlight w:val="none"/>
        </w:rPr>
        <w:drawing>
          <wp:inline distT="0" distB="0" distL="0" distR="0">
            <wp:extent cx="4916805" cy="1508125"/>
            <wp:effectExtent l="0" t="0" r="17145" b="158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22"/>
                    <a:stretch>
                      <a:fillRect/>
                    </a:stretch>
                  </pic:blipFill>
                  <pic:spPr>
                    <a:xfrm>
                      <a:off x="0" y="0"/>
                      <a:ext cx="4916805" cy="1508125"/>
                    </a:xfrm>
                    <a:prstGeom prst="rect">
                      <a:avLst/>
                    </a:prstGeom>
                  </pic:spPr>
                </pic:pic>
              </a:graphicData>
            </a:graphic>
          </wp:inline>
        </w:drawing>
      </w:r>
    </w:p>
    <w:p w14:paraId="46B9C824">
      <w:pPr>
        <w:pStyle w:val="2"/>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bCs/>
          <w:color w:val="auto"/>
          <w:sz w:val="21"/>
          <w:szCs w:val="21"/>
          <w:highlight w:val="none"/>
        </w:rPr>
      </w:pPr>
      <w:r>
        <w:rPr>
          <w:rFonts w:hint="default" w:ascii="Times New Roman" w:hAnsi="Times New Roman" w:eastAsia="宋体" w:cs="Times New Roman"/>
          <w:bCs/>
          <w:color w:val="auto"/>
          <w:sz w:val="21"/>
          <w:szCs w:val="21"/>
          <w:highlight w:val="none"/>
        </w:rPr>
        <w:t>图</w:t>
      </w:r>
      <w:r>
        <w:rPr>
          <w:rFonts w:eastAsia="宋体"/>
          <w:bCs/>
          <w:color w:val="auto"/>
          <w:sz w:val="21"/>
          <w:szCs w:val="21"/>
          <w:highlight w:val="none"/>
        </w:rPr>
        <w:t>7.3.4</w:t>
      </w:r>
      <w:r>
        <w:rPr>
          <w:rFonts w:hint="default" w:ascii="Times New Roman" w:hAnsi="Times New Roman" w:eastAsia="宋体" w:cs="Times New Roman"/>
          <w:bCs/>
          <w:color w:val="auto"/>
          <w:sz w:val="21"/>
          <w:szCs w:val="21"/>
          <w:highlight w:val="none"/>
        </w:rPr>
        <w:t xml:space="preserve"> 壳式连接施工流程示意图</w:t>
      </w:r>
    </w:p>
    <w:p w14:paraId="6D98ECBA">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rFonts w:hint="eastAsia"/>
          <w:bCs/>
          <w:color w:val="auto"/>
          <w:sz w:val="24"/>
          <w:szCs w:val="24"/>
          <w:highlight w:val="none"/>
        </w:rPr>
        <w:t>2</w:t>
      </w:r>
      <w:r>
        <w:rPr>
          <w:bCs/>
          <w:color w:val="auto"/>
          <w:sz w:val="24"/>
          <w:szCs w:val="24"/>
          <w:highlight w:val="none"/>
        </w:rPr>
        <w:t xml:space="preserve"> </w:t>
      </w:r>
      <w:r>
        <w:rPr>
          <w:rFonts w:hint="eastAsia"/>
          <w:bCs/>
          <w:color w:val="auto"/>
          <w:sz w:val="24"/>
          <w:szCs w:val="24"/>
          <w:highlight w:val="none"/>
        </w:rPr>
        <w:t>墩柱安装前应保证底座平整，并采用砂浆垫层找平，砂浆的厚度应均匀，且应大于调节垫块高度；</w:t>
      </w:r>
    </w:p>
    <w:p w14:paraId="72384455">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hint="eastAsia" w:cs="Times New Roman"/>
          <w:bCs/>
          <w:color w:val="auto"/>
          <w:sz w:val="24"/>
          <w:szCs w:val="24"/>
          <w:highlight w:val="none"/>
        </w:rPr>
        <w:t>3</w:t>
      </w:r>
      <w:r>
        <w:rPr>
          <w:rFonts w:cs="Times New Roman"/>
          <w:bCs/>
          <w:color w:val="auto"/>
          <w:sz w:val="24"/>
          <w:szCs w:val="24"/>
          <w:highlight w:val="none"/>
        </w:rPr>
        <w:t xml:space="preserve"> 预制墩柱墩身应保持整洁，避免污染，浇筑前承插段应充分湿润，以保证良好的连接；</w:t>
      </w:r>
    </w:p>
    <w:p w14:paraId="101B12A9">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hint="eastAsia" w:cs="Times New Roman"/>
          <w:bCs/>
          <w:color w:val="auto"/>
          <w:sz w:val="24"/>
          <w:szCs w:val="24"/>
          <w:highlight w:val="none"/>
        </w:rPr>
        <w:t>4</w:t>
      </w:r>
      <w:r>
        <w:rPr>
          <w:rFonts w:cs="Times New Roman"/>
          <w:bCs/>
          <w:color w:val="auto"/>
          <w:sz w:val="24"/>
          <w:szCs w:val="24"/>
          <w:highlight w:val="none"/>
        </w:rPr>
        <w:t xml:space="preserve"> 壳式连接中墩桩拼装</w:t>
      </w:r>
      <w:r>
        <w:rPr>
          <w:rFonts w:hint="eastAsia" w:cs="Times New Roman"/>
          <w:bCs/>
          <w:color w:val="auto"/>
          <w:sz w:val="24"/>
          <w:szCs w:val="24"/>
          <w:highlight w:val="none"/>
        </w:rPr>
        <w:t>时</w:t>
      </w:r>
      <w:r>
        <w:rPr>
          <w:rFonts w:cs="Times New Roman"/>
          <w:bCs/>
          <w:color w:val="auto"/>
          <w:sz w:val="24"/>
          <w:szCs w:val="24"/>
          <w:highlight w:val="none"/>
        </w:rPr>
        <w:t>，砂浆垫层拼接面处应一次完成坐浆，且应确保浆液饱满，坐浆后不得调整构件姿态</w:t>
      </w:r>
      <w:r>
        <w:rPr>
          <w:rFonts w:hint="eastAsia" w:cs="Times New Roman"/>
          <w:bCs/>
          <w:color w:val="auto"/>
          <w:sz w:val="24"/>
          <w:szCs w:val="24"/>
          <w:highlight w:val="none"/>
        </w:rPr>
        <w:t>。</w:t>
      </w:r>
    </w:p>
    <w:p w14:paraId="01FA3F91">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rFonts w:hint="eastAsia"/>
          <w:bCs/>
          <w:color w:val="auto"/>
          <w:sz w:val="24"/>
          <w:szCs w:val="24"/>
          <w:highlight w:val="none"/>
        </w:rPr>
        <w:t>5</w:t>
      </w:r>
      <w:r>
        <w:rPr>
          <w:bCs/>
          <w:color w:val="auto"/>
          <w:sz w:val="24"/>
          <w:szCs w:val="24"/>
          <w:highlight w:val="none"/>
        </w:rPr>
        <w:t xml:space="preserve"> 采用超高性能混凝土壳壁时，超高混凝土材料的现场浇筑</w:t>
      </w:r>
      <w:r>
        <w:rPr>
          <w:rFonts w:hint="eastAsia"/>
          <w:bCs/>
          <w:color w:val="auto"/>
          <w:sz w:val="24"/>
          <w:szCs w:val="24"/>
          <w:highlight w:val="none"/>
        </w:rPr>
        <w:t>及养护</w:t>
      </w:r>
      <w:r>
        <w:rPr>
          <w:bCs/>
          <w:color w:val="auto"/>
          <w:sz w:val="24"/>
          <w:szCs w:val="24"/>
          <w:highlight w:val="none"/>
        </w:rPr>
        <w:t>应满足《超高性能混凝土现场浇筑施工技术规程》（T/CBMF 128）的规定。</w:t>
      </w:r>
    </w:p>
    <w:p w14:paraId="68BA098A">
      <w:pPr>
        <w:pStyle w:val="169"/>
        <w:keepNext w:val="0"/>
        <w:keepLines w:val="0"/>
        <w:pageBreakBefore w:val="0"/>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7.</w:t>
      </w:r>
      <w:r>
        <w:rPr>
          <w:rFonts w:hint="eastAsia" w:cs="Times New Roman"/>
          <w:b/>
          <w:color w:val="auto"/>
          <w:sz w:val="24"/>
          <w:szCs w:val="24"/>
          <w:highlight w:val="none"/>
        </w:rPr>
        <w:t>4.6</w:t>
      </w:r>
      <w:r>
        <w:rPr>
          <w:rFonts w:cs="Times New Roman"/>
          <w:b/>
          <w:color w:val="auto"/>
          <w:sz w:val="24"/>
          <w:szCs w:val="24"/>
          <w:highlight w:val="none"/>
        </w:rPr>
        <w:t xml:space="preserve"> </w:t>
      </w:r>
      <w:r>
        <w:rPr>
          <w:rFonts w:cs="Times New Roman"/>
          <w:bCs/>
          <w:color w:val="auto"/>
          <w:sz w:val="24"/>
          <w:szCs w:val="24"/>
          <w:highlight w:val="none"/>
        </w:rPr>
        <w:t xml:space="preserve"> 采用</w:t>
      </w:r>
      <w:r>
        <w:rPr>
          <w:rFonts w:cs="Times New Roman"/>
          <w:b/>
          <w:bCs/>
          <w:color w:val="auto"/>
          <w:sz w:val="24"/>
          <w:szCs w:val="24"/>
          <w:highlight w:val="none"/>
        </w:rPr>
        <w:t>湿接缝连接</w:t>
      </w:r>
      <w:r>
        <w:rPr>
          <w:rFonts w:cs="Times New Roman"/>
          <w:bCs/>
          <w:color w:val="auto"/>
          <w:sz w:val="24"/>
          <w:szCs w:val="24"/>
          <w:highlight w:val="none"/>
        </w:rPr>
        <w:t>应</w:t>
      </w:r>
      <w:r>
        <w:rPr>
          <w:rFonts w:hint="eastAsia" w:cs="Times New Roman"/>
          <w:bCs/>
          <w:color w:val="auto"/>
          <w:sz w:val="24"/>
          <w:szCs w:val="24"/>
          <w:highlight w:val="none"/>
        </w:rPr>
        <w:t>符合下列规定</w:t>
      </w:r>
      <w:r>
        <w:rPr>
          <w:rFonts w:cs="Times New Roman"/>
          <w:bCs/>
          <w:color w:val="auto"/>
          <w:sz w:val="24"/>
          <w:szCs w:val="24"/>
          <w:highlight w:val="none"/>
        </w:rPr>
        <w:t>：</w:t>
      </w:r>
    </w:p>
    <w:p w14:paraId="22FDB692">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1</w:t>
      </w:r>
      <w:r>
        <w:rPr>
          <w:rFonts w:hint="eastAsia" w:cs="Times New Roman"/>
          <w:bCs/>
          <w:color w:val="auto"/>
          <w:sz w:val="24"/>
          <w:szCs w:val="24"/>
          <w:highlight w:val="none"/>
        </w:rPr>
        <w:t xml:space="preserve"> </w:t>
      </w:r>
      <w:r>
        <w:rPr>
          <w:rFonts w:cs="Times New Roman"/>
          <w:bCs/>
          <w:color w:val="auto"/>
          <w:sz w:val="24"/>
          <w:szCs w:val="24"/>
          <w:highlight w:val="none"/>
        </w:rPr>
        <w:t>桥面板剪力槽、湿接缝施工时，</w:t>
      </w:r>
      <w:r>
        <w:rPr>
          <w:rFonts w:hint="eastAsia" w:cs="Times New Roman"/>
          <w:bCs/>
          <w:color w:val="auto"/>
          <w:sz w:val="24"/>
          <w:szCs w:val="24"/>
          <w:highlight w:val="none"/>
        </w:rPr>
        <w:t>应</w:t>
      </w:r>
      <w:r>
        <w:rPr>
          <w:rFonts w:cs="Times New Roman"/>
          <w:bCs/>
          <w:color w:val="auto"/>
          <w:sz w:val="24"/>
          <w:szCs w:val="24"/>
          <w:highlight w:val="none"/>
        </w:rPr>
        <w:t>检查已安装就位的桥面板位置是否正确，钢梁与桥面板间是否有间隙，桥面板是否有缺陷，确定无误后方可正式施工。</w:t>
      </w:r>
    </w:p>
    <w:p w14:paraId="69F393F4">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2 采用湿接缝连接的连接面应进行粗糙处理，凿毛深度不宜小于8mm；</w:t>
      </w:r>
    </w:p>
    <w:p w14:paraId="70467096">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3 在湿接缝浇筑前，应对需要设置的预埋件提前进行预埋，对在安装过中变形的连接钢筋予以校正和调直，对损坏的连接件和剪力钉等应进行修复，并应按设计要求进行连接钢筋的绑扎或焊接；</w:t>
      </w:r>
    </w:p>
    <w:p w14:paraId="4C0EE7AE">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4 湿接缝连接处的预应力管道应保证其顺直、无弯折，对接头处的管道应包缠严密，使之不漏浆；</w:t>
      </w:r>
    </w:p>
    <w:p w14:paraId="130A585A">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5 湿接缝浇筑前应先将相邻板侧面用水湿润，以保证新旧混凝土结合。</w:t>
      </w:r>
    </w:p>
    <w:p w14:paraId="4565FA45">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6 湿接缝浇筑混凝土宜采用补偿收缩混凝土，其配合比应进行专门设计；浇筑时机和浇筑顺序应符合设计和施工控制的要求；</w:t>
      </w:r>
    </w:p>
    <w:p w14:paraId="57F40135">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7 标准跨桥面板湿接缝浇筑应分三批完成，中跨湿接缝按照“跨中—1/4 跨—墩顶 ，边跨湿接缝应按照“边支点—跨中—中支点”顺序浇筑湿接缝及剪力槽混凝土；</w:t>
      </w:r>
    </w:p>
    <w:p w14:paraId="7C81B934">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8 混凝土振捣，应采用插入式振捣器，先四周后中部，做到快插慢拔，避免过振和漏振现象；</w:t>
      </w:r>
    </w:p>
    <w:p w14:paraId="439F17AF">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9 浇注完成后，应对混凝土表面应进行</w:t>
      </w:r>
      <w:r>
        <w:rPr>
          <w:rFonts w:hint="eastAsia" w:cs="Times New Roman"/>
          <w:bCs/>
          <w:color w:val="auto"/>
          <w:sz w:val="24"/>
          <w:szCs w:val="24"/>
          <w:highlight w:val="none"/>
          <w:lang w:eastAsia="zh-CN"/>
        </w:rPr>
        <w:t>凿毛</w:t>
      </w:r>
      <w:r>
        <w:rPr>
          <w:rFonts w:cs="Times New Roman"/>
          <w:bCs/>
          <w:color w:val="auto"/>
          <w:sz w:val="24"/>
          <w:szCs w:val="24"/>
          <w:highlight w:val="none"/>
        </w:rPr>
        <w:t>处理，</w:t>
      </w:r>
      <w:r>
        <w:rPr>
          <w:rFonts w:hint="eastAsia" w:cs="Times New Roman"/>
          <w:bCs/>
          <w:color w:val="auto"/>
          <w:sz w:val="24"/>
          <w:szCs w:val="24"/>
          <w:highlight w:val="none"/>
        </w:rPr>
        <w:t>并及时覆盖养护膜、涂刷养护剂或采取其他保湿养护措施，</w:t>
      </w:r>
      <w:r>
        <w:rPr>
          <w:rFonts w:cs="Times New Roman"/>
          <w:bCs/>
          <w:color w:val="auto"/>
          <w:sz w:val="24"/>
          <w:szCs w:val="24"/>
          <w:highlight w:val="none"/>
        </w:rPr>
        <w:t>养护时间不少于14天</w:t>
      </w:r>
      <w:r>
        <w:rPr>
          <w:rFonts w:hint="eastAsia" w:cs="Times New Roman"/>
          <w:bCs/>
          <w:color w:val="auto"/>
          <w:sz w:val="24"/>
          <w:szCs w:val="24"/>
          <w:highlight w:val="none"/>
        </w:rPr>
        <w:t>，必要时采用保温措施。</w:t>
      </w:r>
    </w:p>
    <w:p w14:paraId="4C4A79B1">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cs="Times New Roman"/>
          <w:bCs/>
          <w:color w:val="auto"/>
          <w:sz w:val="24"/>
          <w:szCs w:val="24"/>
          <w:highlight w:val="none"/>
        </w:rPr>
        <w:t>10 湿接缝混凝土的强度在未达到设计强度的85%之前，不得在桥面上通行车辆、堆放材料或进行影响其受力的其他施工作业。</w:t>
      </w:r>
    </w:p>
    <w:p w14:paraId="6A3AADB7">
      <w:pPr>
        <w:pStyle w:val="169"/>
        <w:keepNext w:val="0"/>
        <w:keepLines w:val="0"/>
        <w:pageBreakBefore w:val="0"/>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7.</w:t>
      </w:r>
      <w:r>
        <w:rPr>
          <w:rFonts w:hint="eastAsia" w:cs="Times New Roman"/>
          <w:b/>
          <w:color w:val="auto"/>
          <w:sz w:val="24"/>
          <w:szCs w:val="24"/>
          <w:highlight w:val="none"/>
        </w:rPr>
        <w:t>4.7</w:t>
      </w:r>
      <w:r>
        <w:rPr>
          <w:rFonts w:cs="Times New Roman"/>
          <w:bCs/>
          <w:color w:val="auto"/>
          <w:sz w:val="24"/>
          <w:szCs w:val="24"/>
          <w:highlight w:val="none"/>
        </w:rPr>
        <w:t xml:space="preserve">  采用</w:t>
      </w:r>
      <w:r>
        <w:rPr>
          <w:rFonts w:cs="Times New Roman"/>
          <w:b/>
          <w:color w:val="auto"/>
          <w:sz w:val="24"/>
          <w:szCs w:val="24"/>
          <w:highlight w:val="none"/>
        </w:rPr>
        <w:t>预应力连接</w:t>
      </w:r>
      <w:r>
        <w:rPr>
          <w:rFonts w:cs="Times New Roman"/>
          <w:bCs/>
          <w:color w:val="auto"/>
          <w:sz w:val="24"/>
          <w:szCs w:val="24"/>
          <w:highlight w:val="none"/>
        </w:rPr>
        <w:t>的节段拼装梁安装应</w:t>
      </w:r>
      <w:r>
        <w:rPr>
          <w:rFonts w:hint="eastAsia" w:cs="Times New Roman"/>
          <w:bCs/>
          <w:color w:val="auto"/>
          <w:sz w:val="24"/>
          <w:szCs w:val="24"/>
          <w:highlight w:val="none"/>
        </w:rPr>
        <w:t>符合下列规定</w:t>
      </w:r>
      <w:r>
        <w:rPr>
          <w:rFonts w:cs="Times New Roman"/>
          <w:bCs/>
          <w:color w:val="auto"/>
          <w:sz w:val="24"/>
          <w:szCs w:val="24"/>
          <w:highlight w:val="none"/>
        </w:rPr>
        <w:t>：</w:t>
      </w:r>
    </w:p>
    <w:p w14:paraId="18045423">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hint="eastAsia" w:cs="Times New Roman"/>
          <w:bCs/>
          <w:color w:val="auto"/>
          <w:sz w:val="24"/>
          <w:szCs w:val="24"/>
          <w:highlight w:val="none"/>
        </w:rPr>
        <w:t>1 加强对基准节段的定位精度控制，施工过程中基准节段不得发生偏位</w:t>
      </w:r>
      <w:r>
        <w:rPr>
          <w:rFonts w:cs="Times New Roman"/>
          <w:bCs/>
          <w:color w:val="auto"/>
          <w:sz w:val="24"/>
          <w:szCs w:val="24"/>
          <w:highlight w:val="none"/>
        </w:rPr>
        <w:t>。</w:t>
      </w:r>
      <w:r>
        <w:rPr>
          <w:rFonts w:hint="eastAsia" w:cs="Times New Roman"/>
          <w:bCs/>
          <w:color w:val="auto"/>
          <w:sz w:val="24"/>
          <w:szCs w:val="24"/>
          <w:highlight w:val="none"/>
        </w:rPr>
        <w:t>各节段应逐块进行测量控制，使其轴线和高程定位精度满足控制要求。</w:t>
      </w:r>
    </w:p>
    <w:p w14:paraId="6DE754E1">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hint="eastAsia" w:cs="Times New Roman"/>
          <w:bCs/>
          <w:color w:val="auto"/>
          <w:sz w:val="24"/>
          <w:szCs w:val="24"/>
          <w:highlight w:val="none"/>
        </w:rPr>
        <w:t>2 胶接缝粘结剂涂抹前应对节段匹配面进行清灰、除尘，确保匹配面洁净，其匹配面湿度应满足粘结剂的施工要求。</w:t>
      </w:r>
    </w:p>
    <w:p w14:paraId="49CEAB94">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color w:val="auto"/>
          <w:sz w:val="24"/>
          <w:szCs w:val="24"/>
          <w:highlight w:val="none"/>
        </w:rPr>
      </w:pPr>
      <w:r>
        <w:rPr>
          <w:rFonts w:hint="default" w:cs="Times New Roman"/>
          <w:color w:val="auto"/>
          <w:sz w:val="24"/>
          <w:szCs w:val="24"/>
          <w:highlight w:val="none"/>
        </w:rPr>
        <w:t>3 湿接缝两侧连接面应进行粗糙处理，凿毛深度不宜小于8mm，并保持洁净。湿接缝浇筑后</w:t>
      </w:r>
      <w:r>
        <w:rPr>
          <w:rFonts w:hint="eastAsia" w:cs="Times New Roman"/>
          <w:bCs/>
          <w:color w:val="auto"/>
          <w:sz w:val="24"/>
          <w:szCs w:val="24"/>
          <w:highlight w:val="none"/>
        </w:rPr>
        <w:t>及时采取保湿养护措施，</w:t>
      </w:r>
      <w:r>
        <w:rPr>
          <w:rFonts w:cs="Times New Roman"/>
          <w:bCs/>
          <w:color w:val="auto"/>
          <w:sz w:val="24"/>
          <w:szCs w:val="24"/>
          <w:highlight w:val="none"/>
        </w:rPr>
        <w:t>养护时间不少于14天</w:t>
      </w:r>
      <w:r>
        <w:rPr>
          <w:rFonts w:hint="eastAsia" w:cs="Times New Roman"/>
          <w:bCs/>
          <w:color w:val="auto"/>
          <w:sz w:val="24"/>
          <w:szCs w:val="24"/>
          <w:highlight w:val="none"/>
        </w:rPr>
        <w:t>，必要时采用保温措施。</w:t>
      </w:r>
    </w:p>
    <w:p w14:paraId="12A91E06">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rFonts w:hint="eastAsia"/>
          <w:bCs/>
          <w:color w:val="auto"/>
          <w:sz w:val="24"/>
          <w:szCs w:val="24"/>
          <w:highlight w:val="none"/>
        </w:rPr>
        <w:t>4</w:t>
      </w:r>
      <w:r>
        <w:rPr>
          <w:bCs/>
          <w:color w:val="auto"/>
          <w:sz w:val="24"/>
          <w:szCs w:val="24"/>
          <w:highlight w:val="none"/>
        </w:rPr>
        <w:t xml:space="preserve"> 预制混凝土节段梁拼接的临时预应力不应小于 0.3MPa </w:t>
      </w:r>
      <w:r>
        <w:rPr>
          <w:rFonts w:hint="eastAsia"/>
          <w:bCs/>
          <w:color w:val="auto"/>
          <w:sz w:val="24"/>
          <w:szCs w:val="24"/>
          <w:highlight w:val="none"/>
        </w:rPr>
        <w:t>，</w:t>
      </w:r>
      <w:r>
        <w:rPr>
          <w:bCs/>
          <w:color w:val="auto"/>
          <w:sz w:val="24"/>
          <w:szCs w:val="24"/>
          <w:highlight w:val="none"/>
        </w:rPr>
        <w:t>且预应力施工应符合现行</w:t>
      </w:r>
      <w:r>
        <w:rPr>
          <w:rFonts w:hint="eastAsia"/>
          <w:bCs/>
          <w:color w:val="auto"/>
          <w:sz w:val="24"/>
          <w:szCs w:val="24"/>
          <w:highlight w:val="none"/>
        </w:rPr>
        <w:t>《城市桥梁工程施工与质量验收规范》（CJJ 2）</w:t>
      </w:r>
      <w:r>
        <w:rPr>
          <w:bCs/>
          <w:color w:val="auto"/>
          <w:sz w:val="24"/>
          <w:szCs w:val="24"/>
          <w:highlight w:val="none"/>
        </w:rPr>
        <w:t>的相关要求。</w:t>
      </w:r>
    </w:p>
    <w:p w14:paraId="1C76E3D5">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rFonts w:hint="eastAsia"/>
          <w:bCs/>
          <w:color w:val="auto"/>
          <w:sz w:val="24"/>
          <w:szCs w:val="24"/>
          <w:highlight w:val="none"/>
        </w:rPr>
        <w:t>5</w:t>
      </w:r>
      <w:r>
        <w:rPr>
          <w:bCs/>
          <w:color w:val="auto"/>
          <w:sz w:val="24"/>
          <w:szCs w:val="24"/>
          <w:highlight w:val="none"/>
        </w:rPr>
        <w:t xml:space="preserve"> 预制节段拼装的张拉端应采用低回缩锚具，宜在结构变形稳定后进行二次张拉</w:t>
      </w:r>
      <w:r>
        <w:rPr>
          <w:rFonts w:hint="eastAsia"/>
          <w:bCs/>
          <w:color w:val="auto"/>
          <w:sz w:val="24"/>
          <w:szCs w:val="24"/>
          <w:highlight w:val="none"/>
        </w:rPr>
        <w:t>。</w:t>
      </w:r>
    </w:p>
    <w:p w14:paraId="1B363999">
      <w:pPr>
        <w:pStyle w:val="169"/>
        <w:keepNext w:val="0"/>
        <w:keepLines w:val="0"/>
        <w:pageBreakBefore w:val="0"/>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7.</w:t>
      </w:r>
      <w:r>
        <w:rPr>
          <w:rFonts w:hint="eastAsia" w:cs="Times New Roman"/>
          <w:b/>
          <w:color w:val="auto"/>
          <w:sz w:val="24"/>
          <w:szCs w:val="24"/>
          <w:highlight w:val="none"/>
        </w:rPr>
        <w:t>4.8</w:t>
      </w:r>
      <w:r>
        <w:rPr>
          <w:rFonts w:cs="Times New Roman"/>
          <w:bCs/>
          <w:color w:val="auto"/>
          <w:sz w:val="24"/>
          <w:szCs w:val="24"/>
          <w:highlight w:val="none"/>
        </w:rPr>
        <w:t xml:space="preserve">  采用</w:t>
      </w:r>
      <w:r>
        <w:rPr>
          <w:rFonts w:cs="Times New Roman"/>
          <w:b/>
          <w:color w:val="auto"/>
          <w:sz w:val="24"/>
          <w:szCs w:val="24"/>
          <w:highlight w:val="none"/>
        </w:rPr>
        <w:t>预应力连接</w:t>
      </w:r>
      <w:r>
        <w:rPr>
          <w:rFonts w:cs="Times New Roman"/>
          <w:bCs/>
          <w:color w:val="auto"/>
          <w:sz w:val="24"/>
          <w:szCs w:val="24"/>
          <w:highlight w:val="none"/>
        </w:rPr>
        <w:t>的墩柱、盖梁节段应</w:t>
      </w:r>
      <w:r>
        <w:rPr>
          <w:rFonts w:hint="eastAsia" w:cs="Times New Roman"/>
          <w:bCs/>
          <w:color w:val="auto"/>
          <w:sz w:val="24"/>
          <w:szCs w:val="24"/>
          <w:highlight w:val="none"/>
        </w:rPr>
        <w:t>符合下列规定</w:t>
      </w:r>
      <w:r>
        <w:rPr>
          <w:rFonts w:cs="Times New Roman"/>
          <w:bCs/>
          <w:color w:val="auto"/>
          <w:sz w:val="24"/>
          <w:szCs w:val="24"/>
          <w:highlight w:val="none"/>
        </w:rPr>
        <w:t>：</w:t>
      </w:r>
    </w:p>
    <w:p w14:paraId="69B2B441">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bCs/>
          <w:color w:val="auto"/>
          <w:sz w:val="24"/>
          <w:szCs w:val="24"/>
          <w:highlight w:val="none"/>
        </w:rPr>
        <w:t>1 拼装前应对墩柱节段拼装缝</w:t>
      </w:r>
      <w:r>
        <w:rPr>
          <w:rFonts w:hint="eastAsia"/>
          <w:bCs/>
          <w:color w:val="auto"/>
          <w:sz w:val="24"/>
          <w:szCs w:val="24"/>
          <w:highlight w:val="none"/>
        </w:rPr>
        <w:t>、承台拼接面</w:t>
      </w:r>
      <w:r>
        <w:rPr>
          <w:bCs/>
          <w:color w:val="auto"/>
          <w:sz w:val="24"/>
          <w:szCs w:val="24"/>
          <w:highlight w:val="none"/>
        </w:rPr>
        <w:t xml:space="preserve">进行复测，标高允许偏差不应大于2mm，水平度允许偏差不应大于±1mm/m； </w:t>
      </w:r>
    </w:p>
    <w:p w14:paraId="415C4D38">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bCs/>
          <w:color w:val="auto"/>
          <w:sz w:val="24"/>
          <w:szCs w:val="24"/>
          <w:highlight w:val="none"/>
        </w:rPr>
      </w:pPr>
      <w:r>
        <w:rPr>
          <w:bCs/>
          <w:color w:val="auto"/>
          <w:sz w:val="24"/>
          <w:szCs w:val="24"/>
          <w:highlight w:val="none"/>
        </w:rPr>
        <w:t>2 当墩柱与承台间采用预应力连接时，应在预应力筋管道口处采取临时密封措施</w:t>
      </w:r>
      <w:r>
        <w:rPr>
          <w:rFonts w:hint="eastAsia"/>
          <w:bCs/>
          <w:color w:val="auto"/>
          <w:sz w:val="24"/>
          <w:szCs w:val="24"/>
          <w:highlight w:val="none"/>
        </w:rPr>
        <w:t>，</w:t>
      </w:r>
      <w:r>
        <w:rPr>
          <w:bCs/>
          <w:color w:val="auto"/>
          <w:sz w:val="24"/>
          <w:szCs w:val="24"/>
          <w:highlight w:val="none"/>
        </w:rPr>
        <w:t>其预应力施工应符合现行《</w:t>
      </w:r>
      <w:r>
        <w:rPr>
          <w:rFonts w:hint="eastAsia"/>
          <w:bCs/>
          <w:color w:val="auto"/>
          <w:sz w:val="24"/>
          <w:szCs w:val="24"/>
          <w:highlight w:val="none"/>
        </w:rPr>
        <w:t>城市桥梁工程施工与质量验收规范</w:t>
      </w:r>
      <w:r>
        <w:rPr>
          <w:bCs/>
          <w:color w:val="auto"/>
          <w:sz w:val="24"/>
          <w:szCs w:val="24"/>
          <w:highlight w:val="none"/>
        </w:rPr>
        <w:t>》</w:t>
      </w:r>
      <w:r>
        <w:rPr>
          <w:rFonts w:hint="eastAsia"/>
          <w:bCs/>
          <w:color w:val="auto"/>
          <w:sz w:val="24"/>
          <w:szCs w:val="24"/>
          <w:highlight w:val="none"/>
        </w:rPr>
        <w:t>（CJJ 2）</w:t>
      </w:r>
      <w:r>
        <w:rPr>
          <w:bCs/>
          <w:color w:val="auto"/>
          <w:sz w:val="24"/>
          <w:szCs w:val="24"/>
          <w:highlight w:val="none"/>
        </w:rPr>
        <w:t>的相关要求；</w:t>
      </w:r>
    </w:p>
    <w:p w14:paraId="0A47C255">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Cs/>
          <w:color w:val="auto"/>
          <w:sz w:val="24"/>
          <w:szCs w:val="24"/>
          <w:highlight w:val="none"/>
        </w:rPr>
      </w:pPr>
      <w:r>
        <w:rPr>
          <w:rFonts w:hint="default" w:cs="Times New Roman"/>
          <w:bCs/>
          <w:color w:val="auto"/>
          <w:sz w:val="24"/>
          <w:szCs w:val="24"/>
          <w:highlight w:val="none"/>
        </w:rPr>
        <w:t>3 应采取可靠的临时固定措施，在构件精确就位后对其进行临时固定，未固定前不得将起重机的吊钩松脱。永久预应力施工完毕方可拆除临时施工措施。</w:t>
      </w:r>
    </w:p>
    <w:p w14:paraId="22E0C98D">
      <w:pPr>
        <w:pStyle w:val="169"/>
        <w:keepNext w:val="0"/>
        <w:keepLines w:val="0"/>
        <w:pageBreakBefore w:val="0"/>
        <w:kinsoku/>
        <w:wordWrap/>
        <w:overflowPunct/>
        <w:topLinePunct w:val="0"/>
        <w:autoSpaceDE/>
        <w:autoSpaceDN/>
        <w:bidi w:val="0"/>
        <w:adjustRightInd/>
        <w:snapToGrid/>
        <w:spacing w:afterLines="0" w:line="360" w:lineRule="auto"/>
        <w:ind w:firstLine="480" w:firstLineChars="200"/>
        <w:textAlignment w:val="auto"/>
        <w:rPr>
          <w:rFonts w:cs="Times New Roman"/>
          <w:b/>
          <w:color w:val="auto"/>
          <w:sz w:val="21"/>
          <w:szCs w:val="21"/>
          <w:highlight w:val="none"/>
        </w:rPr>
      </w:pPr>
      <w:r>
        <w:rPr>
          <w:rFonts w:cs="Times New Roman"/>
          <w:bCs/>
          <w:color w:val="auto"/>
          <w:sz w:val="24"/>
          <w:szCs w:val="24"/>
          <w:highlight w:val="none"/>
        </w:rPr>
        <w:t>4 当盖梁节段间采用临时预应力张拉时，预应力筋张拉力应满足设计和反复多次张拉的作业要求，节段拼接面的混凝土受压应力不应小于0.30MPa，临时预应力应在永久预应力张拉完成且波纹</w:t>
      </w:r>
      <w:r>
        <w:rPr>
          <w:rFonts w:hint="default" w:cs="Times New Roman"/>
          <w:bCs/>
          <w:color w:val="auto"/>
          <w:sz w:val="24"/>
          <w:szCs w:val="24"/>
          <w:highlight w:val="none"/>
          <w:lang w:val="en-US" w:eastAsia="zh-CN"/>
        </w:rPr>
        <w:t>钢</w:t>
      </w:r>
      <w:r>
        <w:rPr>
          <w:rFonts w:cs="Times New Roman"/>
          <w:bCs/>
          <w:color w:val="auto"/>
          <w:sz w:val="24"/>
          <w:szCs w:val="24"/>
          <w:highlight w:val="none"/>
        </w:rPr>
        <w:t>管内灌浆料达到设计要求强度之后，方能拆除。</w:t>
      </w:r>
    </w:p>
    <w:p w14:paraId="4DD3D48C">
      <w:pPr>
        <w:pStyle w:val="17"/>
        <w:spacing w:before="312" w:beforeLines="100" w:after="312" w:afterLines="100" w:line="360" w:lineRule="auto"/>
        <w:jc w:val="center"/>
        <w:outlineLvl w:val="0"/>
        <w:rPr>
          <w:rFonts w:hint="eastAsia" w:eastAsia="黑体"/>
          <w:color w:val="auto"/>
          <w:highlight w:val="none"/>
          <w:lang w:eastAsia="zh-CN"/>
        </w:rPr>
      </w:pPr>
      <w:r>
        <w:rPr>
          <w:rFonts w:hint="default" w:ascii="Times New Roman" w:hAnsi="Times New Roman" w:cs="Times New Roman"/>
          <w:color w:val="auto"/>
          <w:szCs w:val="21"/>
          <w:highlight w:val="none"/>
        </w:rPr>
        <w:br w:type="page"/>
      </w:r>
      <w:bookmarkStart w:id="129" w:name="_Toc9043"/>
      <w:bookmarkStart w:id="130" w:name="_Toc3939"/>
      <w:bookmarkStart w:id="131" w:name="_Toc3289"/>
      <w:r>
        <w:rPr>
          <w:rFonts w:hint="default" w:ascii="Times New Roman" w:hAnsi="Times New Roman" w:cs="Times New Roman"/>
          <w:b/>
          <w:sz w:val="36"/>
          <w:szCs w:val="36"/>
        </w:rPr>
        <w:t>8 质量检验</w:t>
      </w:r>
      <w:bookmarkEnd w:id="129"/>
      <w:bookmarkEnd w:id="130"/>
      <w:bookmarkEnd w:id="131"/>
    </w:p>
    <w:p w14:paraId="238AE59D">
      <w:pPr>
        <w:spacing w:before="156" w:beforeLines="50" w:after="156" w:afterLines="50" w:line="360" w:lineRule="auto"/>
        <w:jc w:val="center"/>
        <w:outlineLvl w:val="1"/>
        <w:rPr>
          <w:rFonts w:ascii="Times New Roman" w:hAnsi="Times New Roman" w:cs="Times New Roman"/>
          <w:b/>
          <w:kern w:val="0"/>
          <w:sz w:val="28"/>
          <w:szCs w:val="28"/>
        </w:rPr>
      </w:pPr>
      <w:bookmarkStart w:id="132" w:name="_Toc21978"/>
      <w:bookmarkStart w:id="133" w:name="_Toc31665"/>
      <w:bookmarkStart w:id="134" w:name="_Toc22731"/>
      <w:r>
        <w:rPr>
          <w:rFonts w:hint="eastAsia" w:ascii="Times New Roman" w:hAnsi="Times New Roman" w:cs="Times New Roman"/>
          <w:b/>
          <w:kern w:val="0"/>
          <w:sz w:val="28"/>
          <w:szCs w:val="28"/>
        </w:rPr>
        <w:t>8.1 一般规定</w:t>
      </w:r>
      <w:bookmarkEnd w:id="132"/>
      <w:bookmarkEnd w:id="133"/>
      <w:bookmarkEnd w:id="134"/>
    </w:p>
    <w:p w14:paraId="30241986">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 xml:space="preserve">8.1.1 </w:t>
      </w:r>
      <w:r>
        <w:rPr>
          <w:rFonts w:cs="Times New Roman"/>
          <w:bCs/>
          <w:color w:val="auto"/>
          <w:sz w:val="24"/>
          <w:szCs w:val="24"/>
          <w:highlight w:val="none"/>
        </w:rPr>
        <w:t xml:space="preserve"> 装配式</w:t>
      </w:r>
      <w:r>
        <w:rPr>
          <w:rFonts w:hint="eastAsia" w:cs="Times New Roman"/>
          <w:bCs/>
          <w:color w:val="auto"/>
          <w:sz w:val="24"/>
          <w:szCs w:val="24"/>
          <w:highlight w:val="none"/>
          <w:lang w:val="en-US" w:eastAsia="zh-CN"/>
        </w:rPr>
        <w:t>混凝土</w:t>
      </w:r>
      <w:r>
        <w:rPr>
          <w:rFonts w:cs="Times New Roman"/>
          <w:bCs/>
          <w:color w:val="auto"/>
          <w:sz w:val="24"/>
          <w:szCs w:val="24"/>
          <w:highlight w:val="none"/>
        </w:rPr>
        <w:t>桥梁各连接应按分项工程的基本要求、实测项目、外观质量和质量保证资料等进行分别检验，均满足要求方可验收。</w:t>
      </w:r>
    </w:p>
    <w:p w14:paraId="207DA16D">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8.1.2</w:t>
      </w:r>
      <w:r>
        <w:rPr>
          <w:rFonts w:cs="Times New Roman"/>
          <w:bCs/>
          <w:color w:val="auto"/>
          <w:sz w:val="24"/>
          <w:szCs w:val="24"/>
          <w:highlight w:val="none"/>
        </w:rPr>
        <w:t xml:space="preserve">  装配式混凝土桥梁连接的质量检验除应符合本规程外，尚应符合现行</w:t>
      </w:r>
      <w:r>
        <w:rPr>
          <w:rFonts w:hint="eastAsia" w:cs="Times New Roman"/>
          <w:bCs/>
          <w:color w:val="auto"/>
          <w:sz w:val="24"/>
          <w:szCs w:val="24"/>
          <w:highlight w:val="none"/>
        </w:rPr>
        <w:t>行业标准</w:t>
      </w:r>
      <w:r>
        <w:rPr>
          <w:rFonts w:cs="Times New Roman"/>
          <w:bCs/>
          <w:color w:val="auto"/>
          <w:sz w:val="24"/>
          <w:szCs w:val="24"/>
          <w:highlight w:val="none"/>
        </w:rPr>
        <w:t>《城市桥梁工程施工与质量验收规范》（CJJ 2）</w:t>
      </w:r>
      <w:r>
        <w:rPr>
          <w:rFonts w:hint="eastAsia" w:cs="Times New Roman"/>
          <w:bCs/>
          <w:color w:val="auto"/>
          <w:sz w:val="24"/>
          <w:szCs w:val="24"/>
          <w:highlight w:val="none"/>
        </w:rPr>
        <w:t>和《</w:t>
      </w:r>
      <w:r>
        <w:rPr>
          <w:rFonts w:cs="Times New Roman"/>
          <w:bCs/>
          <w:color w:val="auto"/>
          <w:sz w:val="24"/>
          <w:szCs w:val="24"/>
          <w:highlight w:val="none"/>
        </w:rPr>
        <w:t xml:space="preserve">公路工程质量检验评定标准》（JTGF80/1）的相关规定。 </w:t>
      </w:r>
    </w:p>
    <w:p w14:paraId="12FD42BE">
      <w:pPr>
        <w:spacing w:before="156" w:beforeLines="50" w:after="156" w:afterLines="50" w:line="360" w:lineRule="auto"/>
        <w:jc w:val="center"/>
        <w:outlineLvl w:val="1"/>
        <w:rPr>
          <w:rFonts w:hint="eastAsia" w:ascii="Times New Roman" w:hAnsi="Times New Roman" w:cs="Times New Roman"/>
          <w:b/>
          <w:kern w:val="0"/>
          <w:sz w:val="28"/>
          <w:szCs w:val="28"/>
        </w:rPr>
      </w:pPr>
      <w:bookmarkStart w:id="135" w:name="_Toc29721"/>
      <w:bookmarkStart w:id="136" w:name="_Toc29676"/>
      <w:bookmarkStart w:id="137" w:name="_Toc555"/>
      <w:r>
        <w:rPr>
          <w:rFonts w:hint="eastAsia" w:ascii="Times New Roman" w:hAnsi="Times New Roman" w:cs="Times New Roman"/>
          <w:b/>
          <w:kern w:val="0"/>
          <w:sz w:val="28"/>
          <w:szCs w:val="28"/>
        </w:rPr>
        <w:t>8.2 灌浆套筒、灌浆波纹钢管连接</w:t>
      </w:r>
      <w:bookmarkEnd w:id="135"/>
      <w:bookmarkEnd w:id="136"/>
      <w:bookmarkEnd w:id="137"/>
    </w:p>
    <w:p w14:paraId="410B26A1">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color w:val="auto"/>
          <w:sz w:val="24"/>
          <w:szCs w:val="24"/>
          <w:highlight w:val="none"/>
        </w:rPr>
      </w:pPr>
      <w:r>
        <w:rPr>
          <w:rFonts w:cs="Times New Roman"/>
          <w:b/>
          <w:color w:val="auto"/>
          <w:sz w:val="24"/>
          <w:szCs w:val="24"/>
          <w:highlight w:val="none"/>
        </w:rPr>
        <w:t xml:space="preserve">8.2.1 </w:t>
      </w:r>
      <w:r>
        <w:rPr>
          <w:rFonts w:cs="Times New Roman"/>
          <w:bCs/>
          <w:color w:val="auto"/>
          <w:sz w:val="24"/>
          <w:szCs w:val="24"/>
          <w:highlight w:val="none"/>
        </w:rPr>
        <w:t xml:space="preserve"> </w:t>
      </w:r>
      <w:r>
        <w:rPr>
          <w:rFonts w:cs="Times New Roman"/>
          <w:color w:val="auto"/>
          <w:sz w:val="24"/>
          <w:szCs w:val="24"/>
          <w:highlight w:val="none"/>
        </w:rPr>
        <w:t>灌浆套筒和</w:t>
      </w:r>
      <w:r>
        <w:rPr>
          <w:rFonts w:hint="eastAsia" w:cs="Times New Roman"/>
          <w:color w:val="auto"/>
          <w:sz w:val="24"/>
          <w:szCs w:val="24"/>
          <w:highlight w:val="none"/>
        </w:rPr>
        <w:t>灌浆波纹钢管</w:t>
      </w:r>
      <w:r>
        <w:rPr>
          <w:rFonts w:cs="Times New Roman"/>
          <w:color w:val="auto"/>
          <w:sz w:val="24"/>
          <w:szCs w:val="24"/>
          <w:highlight w:val="none"/>
        </w:rPr>
        <w:t>的质量检验除符合</w:t>
      </w:r>
      <w:r>
        <w:rPr>
          <w:rFonts w:hint="eastAsia" w:cs="Times New Roman"/>
          <w:color w:val="auto"/>
          <w:sz w:val="24"/>
          <w:szCs w:val="24"/>
          <w:highlight w:val="none"/>
        </w:rPr>
        <w:t>本</w:t>
      </w:r>
      <w:r>
        <w:rPr>
          <w:rFonts w:cs="Times New Roman"/>
          <w:bCs/>
          <w:color w:val="auto"/>
          <w:sz w:val="24"/>
          <w:szCs w:val="24"/>
          <w:highlight w:val="none"/>
        </w:rPr>
        <w:t>规程外，尚应符合现行</w:t>
      </w:r>
      <w:r>
        <w:rPr>
          <w:rFonts w:cs="Times New Roman"/>
          <w:color w:val="auto"/>
          <w:sz w:val="24"/>
          <w:szCs w:val="24"/>
          <w:highlight w:val="none"/>
        </w:rPr>
        <w:t>行业标准《钢筋套筒灌浆连接应用技术规程》（JGJ 355）和《预应力混凝土用金属波纹管》(JG 225》的相关规定。</w:t>
      </w:r>
    </w:p>
    <w:p w14:paraId="770CF3B8">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 xml:space="preserve">8.2.2 </w:t>
      </w:r>
      <w:r>
        <w:rPr>
          <w:rFonts w:cs="Times New Roman"/>
          <w:bCs/>
          <w:color w:val="auto"/>
          <w:sz w:val="24"/>
          <w:szCs w:val="24"/>
          <w:highlight w:val="none"/>
        </w:rPr>
        <w:t xml:space="preserve"> 水泥基灌浆料在拌浆时应制取试件，对应每个拼接部位应制取不少于3组，分别测试1</w:t>
      </w:r>
      <w:r>
        <w:rPr>
          <w:rFonts w:hint="eastAsia" w:cs="Times New Roman"/>
          <w:bCs/>
          <w:color w:val="auto"/>
          <w:sz w:val="24"/>
          <w:szCs w:val="24"/>
          <w:highlight w:val="none"/>
          <w:lang w:eastAsia="zh-CN"/>
        </w:rPr>
        <w:t>天</w:t>
      </w:r>
      <w:r>
        <w:rPr>
          <w:rFonts w:cs="Times New Roman"/>
          <w:bCs/>
          <w:color w:val="auto"/>
          <w:sz w:val="24"/>
          <w:szCs w:val="24"/>
          <w:highlight w:val="none"/>
        </w:rPr>
        <w:t>、3</w:t>
      </w:r>
      <w:r>
        <w:rPr>
          <w:rFonts w:hint="eastAsia" w:cs="Times New Roman"/>
          <w:bCs/>
          <w:color w:val="auto"/>
          <w:sz w:val="24"/>
          <w:szCs w:val="24"/>
          <w:highlight w:val="none"/>
          <w:lang w:eastAsia="zh-CN"/>
        </w:rPr>
        <w:t>天</w:t>
      </w:r>
      <w:r>
        <w:rPr>
          <w:rFonts w:cs="Times New Roman"/>
          <w:bCs/>
          <w:color w:val="auto"/>
          <w:sz w:val="24"/>
          <w:szCs w:val="24"/>
          <w:highlight w:val="none"/>
        </w:rPr>
        <w:t>和28</w:t>
      </w:r>
      <w:r>
        <w:rPr>
          <w:rFonts w:hint="eastAsia" w:cs="Times New Roman"/>
          <w:bCs/>
          <w:color w:val="auto"/>
          <w:sz w:val="24"/>
          <w:szCs w:val="24"/>
          <w:highlight w:val="none"/>
          <w:lang w:eastAsia="zh-CN"/>
        </w:rPr>
        <w:t>天</w:t>
      </w:r>
      <w:r>
        <w:rPr>
          <w:rFonts w:cs="Times New Roman"/>
          <w:bCs/>
          <w:color w:val="auto"/>
          <w:sz w:val="24"/>
          <w:szCs w:val="24"/>
          <w:highlight w:val="none"/>
        </w:rPr>
        <w:t>龄期抗压强度，其技术指标应符合本规程第4.</w:t>
      </w:r>
      <w:r>
        <w:rPr>
          <w:rFonts w:hint="eastAsia" w:cs="Times New Roman"/>
          <w:bCs/>
          <w:color w:val="auto"/>
          <w:sz w:val="24"/>
          <w:szCs w:val="24"/>
          <w:highlight w:val="none"/>
        </w:rPr>
        <w:t>5</w:t>
      </w:r>
      <w:r>
        <w:rPr>
          <w:rFonts w:cs="Times New Roman"/>
          <w:bCs/>
          <w:color w:val="auto"/>
          <w:sz w:val="24"/>
          <w:szCs w:val="24"/>
          <w:highlight w:val="none"/>
        </w:rPr>
        <w:t>.1条规定。</w:t>
      </w:r>
    </w:p>
    <w:p w14:paraId="7E1E57ED">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8.</w:t>
      </w:r>
      <w:r>
        <w:rPr>
          <w:rFonts w:hint="eastAsia" w:cs="Times New Roman"/>
          <w:b/>
          <w:color w:val="auto"/>
          <w:sz w:val="24"/>
          <w:szCs w:val="24"/>
          <w:highlight w:val="none"/>
        </w:rPr>
        <w:t>2</w:t>
      </w:r>
      <w:r>
        <w:rPr>
          <w:rFonts w:cs="Times New Roman"/>
          <w:b/>
          <w:color w:val="auto"/>
          <w:sz w:val="24"/>
          <w:szCs w:val="24"/>
          <w:highlight w:val="none"/>
        </w:rPr>
        <w:t>.3</w:t>
      </w:r>
      <w:r>
        <w:rPr>
          <w:rFonts w:cs="Times New Roman"/>
          <w:bCs/>
          <w:color w:val="auto"/>
          <w:sz w:val="24"/>
          <w:szCs w:val="24"/>
          <w:highlight w:val="none"/>
        </w:rPr>
        <w:t xml:space="preserve">  应对灌浆套筒连接和灌浆波纹钢管连接进行灌浆饱满度检测和灌浆强度检测。</w:t>
      </w:r>
    </w:p>
    <w:p w14:paraId="78FE757D">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color w:val="auto"/>
          <w:sz w:val="24"/>
          <w:szCs w:val="24"/>
          <w:highlight w:val="none"/>
        </w:rPr>
      </w:pPr>
      <w:r>
        <w:rPr>
          <w:rFonts w:cs="Times New Roman"/>
          <w:b/>
          <w:color w:val="auto"/>
          <w:sz w:val="24"/>
          <w:szCs w:val="24"/>
          <w:highlight w:val="none"/>
        </w:rPr>
        <w:t>8.</w:t>
      </w:r>
      <w:r>
        <w:rPr>
          <w:rFonts w:hint="eastAsia" w:cs="Times New Roman"/>
          <w:b/>
          <w:color w:val="auto"/>
          <w:sz w:val="24"/>
          <w:szCs w:val="24"/>
          <w:highlight w:val="none"/>
        </w:rPr>
        <w:t>2</w:t>
      </w:r>
      <w:r>
        <w:rPr>
          <w:rFonts w:cs="Times New Roman"/>
          <w:b/>
          <w:color w:val="auto"/>
          <w:sz w:val="24"/>
          <w:szCs w:val="24"/>
          <w:highlight w:val="none"/>
        </w:rPr>
        <w:t>.4</w:t>
      </w:r>
      <w:r>
        <w:rPr>
          <w:rFonts w:cs="Times New Roman"/>
          <w:bCs/>
          <w:color w:val="auto"/>
          <w:sz w:val="24"/>
          <w:szCs w:val="24"/>
          <w:highlight w:val="none"/>
        </w:rPr>
        <w:t xml:space="preserve">  灌浆饱满度检测可采用内窥镜法、芯片法、压力传感器法和阵列超声成像法等；灌浆强度检测可采用预埋钢丝拉拔法和取芯法等。</w:t>
      </w:r>
    </w:p>
    <w:p w14:paraId="43E4C112">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8.</w:t>
      </w:r>
      <w:r>
        <w:rPr>
          <w:rFonts w:hint="eastAsia" w:cs="Times New Roman"/>
          <w:b/>
          <w:color w:val="auto"/>
          <w:sz w:val="24"/>
          <w:szCs w:val="24"/>
          <w:highlight w:val="none"/>
        </w:rPr>
        <w:t>2</w:t>
      </w:r>
      <w:r>
        <w:rPr>
          <w:rFonts w:cs="Times New Roman"/>
          <w:b/>
          <w:color w:val="auto"/>
          <w:sz w:val="24"/>
          <w:szCs w:val="24"/>
          <w:highlight w:val="none"/>
        </w:rPr>
        <w:t>.5</w:t>
      </w:r>
      <w:r>
        <w:rPr>
          <w:rFonts w:cs="Times New Roman"/>
          <w:bCs/>
          <w:color w:val="auto"/>
          <w:sz w:val="24"/>
          <w:szCs w:val="24"/>
          <w:highlight w:val="none"/>
        </w:rPr>
        <w:t xml:space="preserve">  灌浆套筒和灌浆金属波纹钢管连接实测项目应符合表8.</w:t>
      </w:r>
      <w:r>
        <w:rPr>
          <w:rFonts w:hint="eastAsia" w:cs="Times New Roman"/>
          <w:bCs/>
          <w:color w:val="auto"/>
          <w:sz w:val="24"/>
          <w:szCs w:val="24"/>
          <w:highlight w:val="none"/>
        </w:rPr>
        <w:t>2</w:t>
      </w:r>
      <w:r>
        <w:rPr>
          <w:rFonts w:cs="Times New Roman"/>
          <w:bCs/>
          <w:color w:val="auto"/>
          <w:sz w:val="24"/>
          <w:szCs w:val="24"/>
          <w:highlight w:val="none"/>
        </w:rPr>
        <w:t>.5的规定。</w:t>
      </w:r>
    </w:p>
    <w:p w14:paraId="29C720B3">
      <w:pPr>
        <w:keepNext w:val="0"/>
        <w:keepLines w:val="0"/>
        <w:pageBreakBefore w:val="0"/>
        <w:widowControl w:val="0"/>
        <w:kinsoku/>
        <w:wordWrap/>
        <w:overflowPunct/>
        <w:topLinePunct w:val="0"/>
        <w:autoSpaceDE/>
        <w:autoSpaceDN/>
        <w:bidi w:val="0"/>
        <w:adjustRightInd w:val="0"/>
        <w:snapToGrid w:val="0"/>
        <w:spacing w:before="157" w:beforeLines="50" w:line="360" w:lineRule="auto"/>
        <w:jc w:val="center"/>
        <w:textAlignment w:val="auto"/>
        <w:rPr>
          <w:rFonts w:cs="Times New Roman"/>
          <w:bCs/>
          <w:color w:val="auto"/>
          <w:sz w:val="24"/>
          <w:szCs w:val="24"/>
          <w:highlight w:val="none"/>
        </w:rPr>
      </w:pPr>
      <w:r>
        <w:rPr>
          <w:rFonts w:hint="eastAsia" w:ascii="黑体" w:hAnsi="黑体" w:eastAsia="黑体" w:cs="黑体"/>
          <w:bCs/>
          <w:color w:val="auto"/>
          <w:szCs w:val="21"/>
          <w:highlight w:val="none"/>
        </w:rPr>
        <w:t>表8.2.5 灌浆套筒和灌浆波纹</w:t>
      </w:r>
      <w:r>
        <w:rPr>
          <w:rFonts w:hint="eastAsia" w:ascii="黑体" w:hAnsi="黑体" w:eastAsia="黑体" w:cs="黑体"/>
          <w:bCs/>
          <w:color w:val="auto"/>
          <w:szCs w:val="21"/>
          <w:highlight w:val="none"/>
          <w:lang w:eastAsia="zh-CN"/>
        </w:rPr>
        <w:t>钢</w:t>
      </w:r>
      <w:r>
        <w:rPr>
          <w:rFonts w:hint="eastAsia" w:ascii="黑体" w:hAnsi="黑体" w:eastAsia="黑体" w:cs="黑体"/>
          <w:bCs/>
          <w:color w:val="auto"/>
          <w:szCs w:val="21"/>
          <w:highlight w:val="none"/>
        </w:rPr>
        <w:t>管连接实测项目</w:t>
      </w:r>
    </w:p>
    <w:tbl>
      <w:tblPr>
        <w:tblStyle w:val="39"/>
        <w:tblpPr w:leftFromText="180" w:rightFromText="180" w:vertAnchor="text" w:horzAnchor="page" w:tblpX="1423" w:tblpY="401"/>
        <w:tblOverlap w:val="never"/>
        <w:tblW w:w="9003" w:type="dxa"/>
        <w:tblInd w:w="0" w:type="dxa"/>
        <w:tblLayout w:type="fixed"/>
        <w:tblCellMar>
          <w:top w:w="0" w:type="dxa"/>
          <w:left w:w="108" w:type="dxa"/>
          <w:bottom w:w="0" w:type="dxa"/>
          <w:right w:w="108" w:type="dxa"/>
        </w:tblCellMar>
      </w:tblPr>
      <w:tblGrid>
        <w:gridCol w:w="866"/>
        <w:gridCol w:w="2450"/>
        <w:gridCol w:w="1400"/>
        <w:gridCol w:w="1725"/>
        <w:gridCol w:w="2562"/>
      </w:tblGrid>
      <w:tr w14:paraId="23FF9D69">
        <w:tblPrEx>
          <w:tblCellMar>
            <w:top w:w="0" w:type="dxa"/>
            <w:left w:w="108" w:type="dxa"/>
            <w:bottom w:w="0" w:type="dxa"/>
            <w:right w:w="108" w:type="dxa"/>
          </w:tblCellMar>
        </w:tblPrEx>
        <w:trPr>
          <w:trHeight w:val="525" w:hRule="atLeast"/>
        </w:trPr>
        <w:tc>
          <w:tcPr>
            <w:tcW w:w="86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7E3054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项次</w:t>
            </w:r>
          </w:p>
        </w:tc>
        <w:tc>
          <w:tcPr>
            <w:tcW w:w="3850" w:type="dxa"/>
            <w:gridSpan w:val="2"/>
            <w:tcBorders>
              <w:top w:val="single" w:color="auto" w:sz="4" w:space="0"/>
              <w:left w:val="nil"/>
              <w:bottom w:val="single" w:color="auto" w:sz="4" w:space="0"/>
              <w:right w:val="single" w:color="auto" w:sz="4" w:space="0"/>
            </w:tcBorders>
            <w:shd w:val="clear" w:color="auto" w:fill="auto"/>
            <w:noWrap/>
            <w:vAlign w:val="center"/>
          </w:tcPr>
          <w:p w14:paraId="2E0C7A1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检验项目</w:t>
            </w:r>
          </w:p>
        </w:tc>
        <w:tc>
          <w:tcPr>
            <w:tcW w:w="1725" w:type="dxa"/>
            <w:tcBorders>
              <w:top w:val="single" w:color="auto" w:sz="4" w:space="0"/>
              <w:left w:val="nil"/>
              <w:bottom w:val="single" w:color="auto" w:sz="4" w:space="0"/>
              <w:right w:val="single" w:color="auto" w:sz="4" w:space="0"/>
            </w:tcBorders>
            <w:shd w:val="clear" w:color="auto" w:fill="auto"/>
            <w:vAlign w:val="center"/>
          </w:tcPr>
          <w:p w14:paraId="26874FE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规定值或允许偏差（mm）</w:t>
            </w:r>
          </w:p>
        </w:tc>
        <w:tc>
          <w:tcPr>
            <w:tcW w:w="2562" w:type="dxa"/>
            <w:tcBorders>
              <w:top w:val="single" w:color="auto" w:sz="4" w:space="0"/>
              <w:left w:val="nil"/>
              <w:bottom w:val="single" w:color="auto" w:sz="4" w:space="0"/>
              <w:right w:val="single" w:color="auto" w:sz="4" w:space="0"/>
            </w:tcBorders>
            <w:shd w:val="clear" w:color="auto" w:fill="auto"/>
            <w:noWrap/>
            <w:vAlign w:val="center"/>
          </w:tcPr>
          <w:p w14:paraId="01D4FB4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检验方法和频率</w:t>
            </w:r>
          </w:p>
        </w:tc>
      </w:tr>
      <w:tr w14:paraId="33A4AD66">
        <w:trPr>
          <w:trHeight w:val="525" w:hRule="atLeast"/>
        </w:trPr>
        <w:tc>
          <w:tcPr>
            <w:tcW w:w="866" w:type="dxa"/>
            <w:tcBorders>
              <w:top w:val="nil"/>
              <w:left w:val="single" w:color="auto" w:sz="4" w:space="0"/>
              <w:bottom w:val="single" w:color="auto" w:sz="4" w:space="0"/>
              <w:right w:val="single" w:color="auto" w:sz="4" w:space="0"/>
            </w:tcBorders>
            <w:shd w:val="clear" w:color="auto" w:fill="auto"/>
            <w:noWrap/>
            <w:vAlign w:val="center"/>
          </w:tcPr>
          <w:p w14:paraId="28BB973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1</w:t>
            </w:r>
          </w:p>
        </w:tc>
        <w:tc>
          <w:tcPr>
            <w:tcW w:w="2450" w:type="dxa"/>
            <w:tcBorders>
              <w:top w:val="nil"/>
              <w:left w:val="nil"/>
              <w:bottom w:val="single" w:color="auto" w:sz="4" w:space="0"/>
              <w:right w:val="single" w:color="auto" w:sz="4" w:space="0"/>
            </w:tcBorders>
            <w:shd w:val="clear" w:color="auto" w:fill="auto"/>
            <w:noWrap/>
            <w:vAlign w:val="center"/>
          </w:tcPr>
          <w:p w14:paraId="2891C9F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灌浆套筒</w:t>
            </w:r>
          </w:p>
        </w:tc>
        <w:tc>
          <w:tcPr>
            <w:tcW w:w="1400" w:type="dxa"/>
            <w:tcBorders>
              <w:top w:val="nil"/>
              <w:left w:val="nil"/>
              <w:bottom w:val="single" w:color="auto" w:sz="4" w:space="0"/>
              <w:right w:val="single" w:color="auto" w:sz="4" w:space="0"/>
            </w:tcBorders>
            <w:shd w:val="clear" w:color="auto" w:fill="auto"/>
            <w:noWrap/>
            <w:vAlign w:val="center"/>
          </w:tcPr>
          <w:p w14:paraId="76E8E68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位置</w:t>
            </w:r>
          </w:p>
        </w:tc>
        <w:tc>
          <w:tcPr>
            <w:tcW w:w="1725" w:type="dxa"/>
            <w:tcBorders>
              <w:top w:val="nil"/>
              <w:left w:val="nil"/>
              <w:bottom w:val="single" w:color="auto" w:sz="4" w:space="0"/>
              <w:right w:val="single" w:color="auto" w:sz="4" w:space="0"/>
            </w:tcBorders>
            <w:shd w:val="clear" w:color="auto" w:fill="auto"/>
            <w:noWrap/>
            <w:vAlign w:val="center"/>
          </w:tcPr>
          <w:p w14:paraId="2E5E3FE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≤2</w:t>
            </w:r>
          </w:p>
        </w:tc>
        <w:tc>
          <w:tcPr>
            <w:tcW w:w="2562" w:type="dxa"/>
            <w:tcBorders>
              <w:top w:val="nil"/>
              <w:left w:val="nil"/>
              <w:bottom w:val="single" w:color="auto" w:sz="4" w:space="0"/>
              <w:right w:val="single" w:color="auto" w:sz="4" w:space="0"/>
            </w:tcBorders>
            <w:shd w:val="clear" w:color="auto" w:fill="auto"/>
            <w:vAlign w:val="center"/>
          </w:tcPr>
          <w:p w14:paraId="6136FD9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全站仪及尺量:每个套筒上下部各1个点</w:t>
            </w:r>
          </w:p>
        </w:tc>
      </w:tr>
      <w:tr w14:paraId="344976B8">
        <w:tblPrEx>
          <w:tblCellMar>
            <w:top w:w="0" w:type="dxa"/>
            <w:left w:w="108" w:type="dxa"/>
            <w:bottom w:w="0" w:type="dxa"/>
            <w:right w:w="108" w:type="dxa"/>
          </w:tblCellMar>
        </w:tblPrEx>
        <w:trPr>
          <w:trHeight w:val="720" w:hRule="atLeast"/>
        </w:trPr>
        <w:tc>
          <w:tcPr>
            <w:tcW w:w="866" w:type="dxa"/>
            <w:tcBorders>
              <w:top w:val="nil"/>
              <w:left w:val="single" w:color="auto" w:sz="4" w:space="0"/>
              <w:bottom w:val="single" w:color="auto" w:sz="4" w:space="0"/>
              <w:right w:val="single" w:color="auto" w:sz="4" w:space="0"/>
            </w:tcBorders>
            <w:shd w:val="clear" w:color="auto" w:fill="auto"/>
            <w:noWrap/>
            <w:vAlign w:val="center"/>
          </w:tcPr>
          <w:p w14:paraId="26F153C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2</w:t>
            </w:r>
          </w:p>
        </w:tc>
        <w:tc>
          <w:tcPr>
            <w:tcW w:w="2450" w:type="dxa"/>
            <w:tcBorders>
              <w:top w:val="nil"/>
              <w:left w:val="nil"/>
              <w:bottom w:val="single" w:color="auto" w:sz="4" w:space="0"/>
              <w:right w:val="single" w:color="auto" w:sz="4" w:space="0"/>
            </w:tcBorders>
            <w:shd w:val="clear" w:color="auto" w:fill="auto"/>
            <w:noWrap/>
            <w:vAlign w:val="center"/>
          </w:tcPr>
          <w:p w14:paraId="15A5681E">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rFonts w:hint="eastAsia"/>
                <w:bCs/>
                <w:color w:val="auto"/>
                <w:sz w:val="18"/>
                <w:szCs w:val="18"/>
                <w:highlight w:val="none"/>
              </w:rPr>
              <w:t>灌浆波纹钢管</w:t>
            </w:r>
          </w:p>
        </w:tc>
        <w:tc>
          <w:tcPr>
            <w:tcW w:w="1400" w:type="dxa"/>
            <w:tcBorders>
              <w:top w:val="nil"/>
              <w:left w:val="nil"/>
              <w:bottom w:val="single" w:color="auto" w:sz="4" w:space="0"/>
              <w:right w:val="single" w:color="auto" w:sz="4" w:space="0"/>
            </w:tcBorders>
            <w:shd w:val="clear" w:color="auto" w:fill="auto"/>
            <w:noWrap/>
            <w:vAlign w:val="center"/>
          </w:tcPr>
          <w:p w14:paraId="59A2B3F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位置</w:t>
            </w:r>
          </w:p>
        </w:tc>
        <w:tc>
          <w:tcPr>
            <w:tcW w:w="1725" w:type="dxa"/>
            <w:tcBorders>
              <w:top w:val="nil"/>
              <w:left w:val="nil"/>
              <w:bottom w:val="single" w:color="auto" w:sz="4" w:space="0"/>
              <w:right w:val="single" w:color="auto" w:sz="4" w:space="0"/>
            </w:tcBorders>
            <w:shd w:val="clear" w:color="auto" w:fill="auto"/>
            <w:noWrap/>
            <w:vAlign w:val="center"/>
          </w:tcPr>
          <w:p w14:paraId="4A21C33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≤4</w:t>
            </w:r>
          </w:p>
        </w:tc>
        <w:tc>
          <w:tcPr>
            <w:tcW w:w="2562" w:type="dxa"/>
            <w:tcBorders>
              <w:top w:val="nil"/>
              <w:left w:val="nil"/>
              <w:bottom w:val="single" w:color="auto" w:sz="4" w:space="0"/>
              <w:right w:val="single" w:color="auto" w:sz="4" w:space="0"/>
            </w:tcBorders>
            <w:shd w:val="clear" w:color="auto" w:fill="auto"/>
            <w:vAlign w:val="center"/>
          </w:tcPr>
          <w:p w14:paraId="57536A7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全站仪及尺量:每个波纹</w:t>
            </w:r>
            <w:r>
              <w:rPr>
                <w:rFonts w:hint="eastAsia"/>
                <w:bCs/>
                <w:color w:val="auto"/>
                <w:sz w:val="18"/>
                <w:szCs w:val="18"/>
                <w:highlight w:val="none"/>
                <w:lang w:eastAsia="zh-CN"/>
              </w:rPr>
              <w:t>钢</w:t>
            </w:r>
            <w:r>
              <w:rPr>
                <w:bCs/>
                <w:color w:val="auto"/>
                <w:sz w:val="18"/>
                <w:szCs w:val="18"/>
                <w:highlight w:val="none"/>
              </w:rPr>
              <w:t>管上下部各1个点</w:t>
            </w:r>
          </w:p>
        </w:tc>
      </w:tr>
      <w:tr w14:paraId="56F0FCC9">
        <w:tblPrEx>
          <w:tblCellMar>
            <w:top w:w="0" w:type="dxa"/>
            <w:left w:w="108" w:type="dxa"/>
            <w:bottom w:w="0" w:type="dxa"/>
            <w:right w:w="108" w:type="dxa"/>
          </w:tblCellMar>
        </w:tblPrEx>
        <w:trPr>
          <w:trHeight w:val="319" w:hRule="atLeast"/>
        </w:trPr>
        <w:tc>
          <w:tcPr>
            <w:tcW w:w="866" w:type="dxa"/>
            <w:vMerge w:val="restart"/>
            <w:tcBorders>
              <w:top w:val="nil"/>
              <w:left w:val="single" w:color="auto" w:sz="4" w:space="0"/>
              <w:bottom w:val="single" w:color="auto" w:sz="4" w:space="0"/>
              <w:right w:val="single" w:color="auto" w:sz="4" w:space="0"/>
            </w:tcBorders>
            <w:shd w:val="clear" w:color="auto" w:fill="auto"/>
            <w:noWrap/>
            <w:vAlign w:val="center"/>
          </w:tcPr>
          <w:p w14:paraId="1833317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3</w:t>
            </w:r>
          </w:p>
        </w:tc>
        <w:tc>
          <w:tcPr>
            <w:tcW w:w="2450" w:type="dxa"/>
            <w:vMerge w:val="restart"/>
            <w:tcBorders>
              <w:top w:val="nil"/>
              <w:left w:val="single" w:color="auto" w:sz="4" w:space="0"/>
              <w:bottom w:val="single" w:color="auto" w:sz="4" w:space="0"/>
              <w:right w:val="single" w:color="auto" w:sz="4" w:space="0"/>
            </w:tcBorders>
            <w:shd w:val="clear" w:color="auto" w:fill="auto"/>
            <w:vAlign w:val="center"/>
          </w:tcPr>
          <w:p w14:paraId="7579937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用于锚固连接灌浆套筒或波纹钢管主筋</w:t>
            </w:r>
          </w:p>
        </w:tc>
        <w:tc>
          <w:tcPr>
            <w:tcW w:w="1400" w:type="dxa"/>
            <w:tcBorders>
              <w:top w:val="nil"/>
              <w:left w:val="nil"/>
              <w:bottom w:val="single" w:color="auto" w:sz="4" w:space="0"/>
              <w:right w:val="single" w:color="auto" w:sz="4" w:space="0"/>
            </w:tcBorders>
            <w:shd w:val="clear" w:color="auto" w:fill="auto"/>
            <w:noWrap/>
            <w:vAlign w:val="center"/>
          </w:tcPr>
          <w:p w14:paraId="40B2B69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定位</w:t>
            </w:r>
          </w:p>
        </w:tc>
        <w:tc>
          <w:tcPr>
            <w:tcW w:w="1725" w:type="dxa"/>
            <w:tcBorders>
              <w:top w:val="nil"/>
              <w:left w:val="nil"/>
              <w:bottom w:val="single" w:color="auto" w:sz="4" w:space="0"/>
              <w:right w:val="single" w:color="auto" w:sz="4" w:space="0"/>
            </w:tcBorders>
            <w:shd w:val="clear" w:color="auto" w:fill="auto"/>
            <w:noWrap/>
            <w:vAlign w:val="center"/>
          </w:tcPr>
          <w:p w14:paraId="46F4645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≤2</w:t>
            </w:r>
          </w:p>
        </w:tc>
        <w:tc>
          <w:tcPr>
            <w:tcW w:w="2562" w:type="dxa"/>
            <w:tcBorders>
              <w:top w:val="nil"/>
              <w:left w:val="nil"/>
              <w:bottom w:val="single" w:color="auto" w:sz="4" w:space="0"/>
              <w:right w:val="single" w:color="auto" w:sz="4" w:space="0"/>
            </w:tcBorders>
            <w:shd w:val="clear" w:color="auto" w:fill="auto"/>
            <w:vAlign w:val="center"/>
          </w:tcPr>
          <w:p w14:paraId="51A10C5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全站仪及尺量:每根主筋1个点</w:t>
            </w:r>
          </w:p>
        </w:tc>
      </w:tr>
      <w:tr w14:paraId="37A860B7">
        <w:tblPrEx>
          <w:tblCellMar>
            <w:top w:w="0" w:type="dxa"/>
            <w:left w:w="108" w:type="dxa"/>
            <w:bottom w:w="0" w:type="dxa"/>
            <w:right w:w="108" w:type="dxa"/>
          </w:tblCellMar>
        </w:tblPrEx>
        <w:trPr>
          <w:trHeight w:val="467" w:hRule="atLeast"/>
        </w:trPr>
        <w:tc>
          <w:tcPr>
            <w:tcW w:w="866" w:type="dxa"/>
            <w:vMerge w:val="continue"/>
            <w:tcBorders>
              <w:top w:val="nil"/>
              <w:left w:val="single" w:color="auto" w:sz="4" w:space="0"/>
              <w:bottom w:val="single" w:color="auto" w:sz="4" w:space="0"/>
              <w:right w:val="single" w:color="auto" w:sz="4" w:space="0"/>
            </w:tcBorders>
            <w:vAlign w:val="center"/>
          </w:tcPr>
          <w:p w14:paraId="711B21A4">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p>
        </w:tc>
        <w:tc>
          <w:tcPr>
            <w:tcW w:w="2450" w:type="dxa"/>
            <w:vMerge w:val="continue"/>
            <w:tcBorders>
              <w:top w:val="nil"/>
              <w:left w:val="single" w:color="auto" w:sz="4" w:space="0"/>
              <w:bottom w:val="single" w:color="auto" w:sz="4" w:space="0"/>
              <w:right w:val="single" w:color="auto" w:sz="4" w:space="0"/>
            </w:tcBorders>
            <w:vAlign w:val="center"/>
          </w:tcPr>
          <w:p w14:paraId="3C89BD9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p>
        </w:tc>
        <w:tc>
          <w:tcPr>
            <w:tcW w:w="1400" w:type="dxa"/>
            <w:tcBorders>
              <w:top w:val="nil"/>
              <w:left w:val="nil"/>
              <w:bottom w:val="single" w:color="auto" w:sz="4" w:space="0"/>
              <w:right w:val="single" w:color="auto" w:sz="4" w:space="0"/>
            </w:tcBorders>
            <w:shd w:val="clear" w:color="auto" w:fill="auto"/>
            <w:noWrap/>
            <w:vAlign w:val="center"/>
          </w:tcPr>
          <w:p w14:paraId="3D38A10E">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预留长度</w:t>
            </w:r>
          </w:p>
        </w:tc>
        <w:tc>
          <w:tcPr>
            <w:tcW w:w="1725" w:type="dxa"/>
            <w:tcBorders>
              <w:top w:val="nil"/>
              <w:left w:val="nil"/>
              <w:bottom w:val="single" w:color="auto" w:sz="4" w:space="0"/>
              <w:right w:val="single" w:color="auto" w:sz="4" w:space="0"/>
            </w:tcBorders>
            <w:shd w:val="clear" w:color="auto" w:fill="auto"/>
            <w:noWrap/>
            <w:vAlign w:val="center"/>
          </w:tcPr>
          <w:p w14:paraId="49379E6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[-2,0]</w:t>
            </w:r>
          </w:p>
        </w:tc>
        <w:tc>
          <w:tcPr>
            <w:tcW w:w="2562" w:type="dxa"/>
            <w:tcBorders>
              <w:top w:val="nil"/>
              <w:left w:val="nil"/>
              <w:bottom w:val="single" w:color="auto" w:sz="4" w:space="0"/>
              <w:right w:val="single" w:color="auto" w:sz="4" w:space="0"/>
            </w:tcBorders>
            <w:shd w:val="clear" w:color="auto" w:fill="auto"/>
            <w:vAlign w:val="center"/>
          </w:tcPr>
          <w:p w14:paraId="1F47040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18"/>
                <w:szCs w:val="18"/>
                <w:highlight w:val="none"/>
              </w:rPr>
            </w:pPr>
            <w:r>
              <w:rPr>
                <w:bCs/>
                <w:color w:val="auto"/>
                <w:sz w:val="18"/>
                <w:szCs w:val="18"/>
                <w:highlight w:val="none"/>
              </w:rPr>
              <w:t>尺量:每根主筋</w:t>
            </w:r>
          </w:p>
        </w:tc>
      </w:tr>
    </w:tbl>
    <w:p w14:paraId="33045274">
      <w:pPr>
        <w:spacing w:before="156" w:beforeLines="50" w:after="156" w:afterLines="50" w:line="360" w:lineRule="auto"/>
        <w:jc w:val="center"/>
        <w:outlineLvl w:val="1"/>
        <w:rPr>
          <w:rFonts w:hint="eastAsia" w:ascii="Times New Roman" w:hAnsi="Times New Roman" w:cs="Times New Roman"/>
          <w:b/>
          <w:kern w:val="0"/>
          <w:sz w:val="28"/>
          <w:szCs w:val="28"/>
        </w:rPr>
      </w:pPr>
      <w:bookmarkStart w:id="138" w:name="_Toc6432"/>
      <w:bookmarkStart w:id="139" w:name="_Toc10375"/>
      <w:bookmarkStart w:id="140" w:name="_Toc22059"/>
      <w:r>
        <w:rPr>
          <w:rFonts w:hint="eastAsia" w:ascii="Times New Roman" w:hAnsi="Times New Roman" w:cs="Times New Roman"/>
          <w:b/>
          <w:kern w:val="0"/>
          <w:sz w:val="28"/>
          <w:szCs w:val="28"/>
        </w:rPr>
        <w:t>8.3 承插式、插槽式与壳式连接</w:t>
      </w:r>
      <w:bookmarkEnd w:id="138"/>
      <w:bookmarkEnd w:id="139"/>
      <w:bookmarkEnd w:id="140"/>
    </w:p>
    <w:p w14:paraId="3A8D0056">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8.</w:t>
      </w:r>
      <w:r>
        <w:rPr>
          <w:rFonts w:hint="eastAsia" w:cs="Times New Roman"/>
          <w:b/>
          <w:color w:val="auto"/>
          <w:sz w:val="24"/>
          <w:szCs w:val="24"/>
          <w:highlight w:val="none"/>
        </w:rPr>
        <w:t>3</w:t>
      </w:r>
      <w:r>
        <w:rPr>
          <w:rFonts w:cs="Times New Roman"/>
          <w:b/>
          <w:color w:val="auto"/>
          <w:sz w:val="24"/>
          <w:szCs w:val="24"/>
          <w:highlight w:val="none"/>
        </w:rPr>
        <w:t xml:space="preserve">.1  </w:t>
      </w:r>
      <w:r>
        <w:rPr>
          <w:rFonts w:cs="Times New Roman"/>
          <w:color w:val="auto"/>
          <w:sz w:val="24"/>
          <w:szCs w:val="24"/>
          <w:highlight w:val="none"/>
        </w:rPr>
        <w:t>采用承插式、插槽式与壳式连接的构件安装应符合以下基本要求：</w:t>
      </w:r>
    </w:p>
    <w:p w14:paraId="017D2462">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color w:val="auto"/>
          <w:sz w:val="24"/>
          <w:szCs w:val="24"/>
          <w:highlight w:val="none"/>
        </w:rPr>
      </w:pPr>
      <w:r>
        <w:rPr>
          <w:rFonts w:cs="Times New Roman"/>
          <w:color w:val="auto"/>
          <w:sz w:val="24"/>
          <w:szCs w:val="24"/>
          <w:highlight w:val="none"/>
        </w:rPr>
        <w:t>1 拼装前应对坐标及标高允许偏差为±2mm，水平度允许偏差为±1mm/m;</w:t>
      </w:r>
    </w:p>
    <w:p w14:paraId="121148FF">
      <w:pPr>
        <w:pStyle w:val="169"/>
        <w:keepNext w:val="0"/>
        <w:keepLines w:val="0"/>
        <w:pageBreakBefore w:val="0"/>
        <w:widowControl/>
        <w:kinsoku/>
        <w:wordWrap/>
        <w:overflowPunct/>
        <w:topLinePunct w:val="0"/>
        <w:autoSpaceDE/>
        <w:autoSpaceDN/>
        <w:bidi w:val="0"/>
        <w:adjustRightInd/>
        <w:snapToGrid/>
        <w:spacing w:afterLines="0" w:line="360" w:lineRule="auto"/>
        <w:ind w:firstLine="480" w:firstLineChars="200"/>
        <w:textAlignment w:val="auto"/>
        <w:rPr>
          <w:rFonts w:cs="Times New Roman"/>
          <w:color w:val="auto"/>
          <w:sz w:val="24"/>
          <w:szCs w:val="24"/>
          <w:highlight w:val="none"/>
        </w:rPr>
      </w:pPr>
      <w:r>
        <w:rPr>
          <w:rFonts w:cs="Times New Roman"/>
          <w:color w:val="auto"/>
          <w:sz w:val="24"/>
          <w:szCs w:val="24"/>
          <w:highlight w:val="none"/>
        </w:rPr>
        <w:t>2 预制墩柱与承台、盖梁、桩基之间的拼装接缝砂浆填充层厚度宜为10~30 mm，当采用胶接缝时厚度不宜超过3mm。</w:t>
      </w:r>
    </w:p>
    <w:p w14:paraId="6A8B9867">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8.</w:t>
      </w:r>
      <w:r>
        <w:rPr>
          <w:rFonts w:hint="eastAsia" w:cs="Times New Roman"/>
          <w:b/>
          <w:color w:val="auto"/>
          <w:sz w:val="24"/>
          <w:szCs w:val="24"/>
          <w:highlight w:val="none"/>
        </w:rPr>
        <w:t>3</w:t>
      </w:r>
      <w:r>
        <w:rPr>
          <w:rFonts w:cs="Times New Roman"/>
          <w:b/>
          <w:color w:val="auto"/>
          <w:sz w:val="24"/>
          <w:szCs w:val="24"/>
          <w:highlight w:val="none"/>
        </w:rPr>
        <w:t>.2</w:t>
      </w:r>
      <w:r>
        <w:rPr>
          <w:rFonts w:cs="Times New Roman"/>
          <w:bCs/>
          <w:color w:val="auto"/>
          <w:sz w:val="24"/>
          <w:szCs w:val="24"/>
          <w:highlight w:val="none"/>
        </w:rPr>
        <w:t xml:space="preserve">  </w:t>
      </w:r>
      <w:r>
        <w:rPr>
          <w:rFonts w:cs="Times New Roman"/>
          <w:color w:val="auto"/>
          <w:sz w:val="24"/>
          <w:szCs w:val="24"/>
          <w:highlight w:val="none"/>
        </w:rPr>
        <w:t>承插式、插槽式与壳式</w:t>
      </w:r>
      <w:r>
        <w:rPr>
          <w:rFonts w:cs="Times New Roman"/>
          <w:bCs/>
          <w:color w:val="auto"/>
          <w:sz w:val="24"/>
          <w:szCs w:val="24"/>
          <w:highlight w:val="none"/>
        </w:rPr>
        <w:t>连接通过控制墩柱安装精度实现精准连接，其实测项目应符合表8.</w:t>
      </w:r>
      <w:r>
        <w:rPr>
          <w:rFonts w:hint="eastAsia" w:cs="Times New Roman"/>
          <w:bCs/>
          <w:color w:val="auto"/>
          <w:sz w:val="24"/>
          <w:szCs w:val="24"/>
          <w:highlight w:val="none"/>
        </w:rPr>
        <w:t>3</w:t>
      </w:r>
      <w:r>
        <w:rPr>
          <w:rFonts w:cs="Times New Roman"/>
          <w:bCs/>
          <w:color w:val="auto"/>
          <w:sz w:val="24"/>
          <w:szCs w:val="24"/>
          <w:highlight w:val="none"/>
        </w:rPr>
        <w:t>.2的规定。</w:t>
      </w:r>
    </w:p>
    <w:p w14:paraId="2C0A3CCA">
      <w:pPr>
        <w:keepNext w:val="0"/>
        <w:keepLines w:val="0"/>
        <w:pageBreakBefore w:val="0"/>
        <w:widowControl w:val="0"/>
        <w:kinsoku/>
        <w:wordWrap/>
        <w:overflowPunct/>
        <w:topLinePunct w:val="0"/>
        <w:autoSpaceDE/>
        <w:autoSpaceDN/>
        <w:bidi w:val="0"/>
        <w:adjustRightInd w:val="0"/>
        <w:snapToGrid w:val="0"/>
        <w:spacing w:before="157" w:beforeLines="50" w:line="400" w:lineRule="exact"/>
        <w:jc w:val="center"/>
        <w:textAlignment w:val="auto"/>
        <w:rPr>
          <w:rFonts w:hint="eastAsia" w:ascii="黑体" w:hAnsi="黑体" w:eastAsia="黑体" w:cs="黑体"/>
          <w:bCs/>
          <w:color w:val="auto"/>
          <w:szCs w:val="21"/>
          <w:highlight w:val="none"/>
        </w:rPr>
      </w:pPr>
      <w:r>
        <w:rPr>
          <w:rFonts w:hint="eastAsia" w:ascii="黑体" w:hAnsi="黑体" w:eastAsia="黑体" w:cs="黑体"/>
          <w:bCs/>
          <w:color w:val="auto"/>
          <w:szCs w:val="21"/>
          <w:highlight w:val="none"/>
        </w:rPr>
        <w:t xml:space="preserve">表8.3.2 承插式、插槽式与壳式连接安装实测项目 </w:t>
      </w:r>
    </w:p>
    <w:tbl>
      <w:tblPr>
        <w:tblStyle w:val="39"/>
        <w:tblW w:w="9003" w:type="dxa"/>
        <w:tblInd w:w="0" w:type="dxa"/>
        <w:tblLayout w:type="fixed"/>
        <w:tblCellMar>
          <w:top w:w="0" w:type="dxa"/>
          <w:left w:w="108" w:type="dxa"/>
          <w:bottom w:w="0" w:type="dxa"/>
          <w:right w:w="108" w:type="dxa"/>
        </w:tblCellMar>
      </w:tblPr>
      <w:tblGrid>
        <w:gridCol w:w="728"/>
        <w:gridCol w:w="1763"/>
        <w:gridCol w:w="1362"/>
        <w:gridCol w:w="2463"/>
        <w:gridCol w:w="2687"/>
      </w:tblGrid>
      <w:tr w14:paraId="4F9B53E2">
        <w:tblPrEx>
          <w:tblCellMar>
            <w:top w:w="0" w:type="dxa"/>
            <w:left w:w="108" w:type="dxa"/>
            <w:bottom w:w="0" w:type="dxa"/>
            <w:right w:w="108" w:type="dxa"/>
          </w:tblCellMar>
        </w:tblPrEx>
        <w:trPr>
          <w:trHeight w:val="525" w:hRule="atLeast"/>
        </w:trPr>
        <w:tc>
          <w:tcPr>
            <w:tcW w:w="72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3E321AE">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项次</w:t>
            </w:r>
          </w:p>
        </w:tc>
        <w:tc>
          <w:tcPr>
            <w:tcW w:w="3125" w:type="dxa"/>
            <w:gridSpan w:val="2"/>
            <w:tcBorders>
              <w:top w:val="single" w:color="auto" w:sz="4" w:space="0"/>
              <w:left w:val="nil"/>
              <w:bottom w:val="single" w:color="auto" w:sz="4" w:space="0"/>
              <w:right w:val="single" w:color="auto" w:sz="4" w:space="0"/>
            </w:tcBorders>
            <w:shd w:val="clear" w:color="auto" w:fill="auto"/>
            <w:noWrap/>
            <w:vAlign w:val="center"/>
          </w:tcPr>
          <w:p w14:paraId="6E88807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检验项目</w:t>
            </w:r>
          </w:p>
        </w:tc>
        <w:tc>
          <w:tcPr>
            <w:tcW w:w="2463" w:type="dxa"/>
            <w:tcBorders>
              <w:top w:val="single" w:color="auto" w:sz="4" w:space="0"/>
              <w:left w:val="nil"/>
              <w:bottom w:val="single" w:color="auto" w:sz="4" w:space="0"/>
              <w:right w:val="single" w:color="auto" w:sz="4" w:space="0"/>
            </w:tcBorders>
            <w:shd w:val="clear" w:color="auto" w:fill="auto"/>
            <w:vAlign w:val="center"/>
          </w:tcPr>
          <w:p w14:paraId="3BC04BB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规定值或允许偏差（mm）</w:t>
            </w:r>
          </w:p>
        </w:tc>
        <w:tc>
          <w:tcPr>
            <w:tcW w:w="2687" w:type="dxa"/>
            <w:tcBorders>
              <w:top w:val="single" w:color="auto" w:sz="4" w:space="0"/>
              <w:left w:val="nil"/>
              <w:bottom w:val="single" w:color="auto" w:sz="4" w:space="0"/>
              <w:right w:val="single" w:color="auto" w:sz="4" w:space="0"/>
            </w:tcBorders>
            <w:shd w:val="clear" w:color="auto" w:fill="auto"/>
            <w:noWrap/>
            <w:vAlign w:val="center"/>
          </w:tcPr>
          <w:p w14:paraId="6B2B3EB4">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检验方法和频率</w:t>
            </w:r>
          </w:p>
        </w:tc>
      </w:tr>
      <w:tr w14:paraId="29BEDBDE">
        <w:tblPrEx>
          <w:tblCellMar>
            <w:top w:w="0" w:type="dxa"/>
            <w:left w:w="108" w:type="dxa"/>
            <w:bottom w:w="0" w:type="dxa"/>
            <w:right w:w="108" w:type="dxa"/>
          </w:tblCellMar>
        </w:tblPrEx>
        <w:trPr>
          <w:trHeight w:val="255" w:hRule="atLeast"/>
        </w:trPr>
        <w:tc>
          <w:tcPr>
            <w:tcW w:w="728" w:type="dxa"/>
            <w:vMerge w:val="restart"/>
            <w:tcBorders>
              <w:top w:val="nil"/>
              <w:left w:val="single" w:color="auto" w:sz="4" w:space="0"/>
              <w:right w:val="single" w:color="auto" w:sz="4" w:space="0"/>
            </w:tcBorders>
            <w:vAlign w:val="center"/>
          </w:tcPr>
          <w:p w14:paraId="505531D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rFonts w:hint="eastAsia"/>
                <w:bCs/>
                <w:color w:val="auto"/>
                <w:sz w:val="21"/>
                <w:szCs w:val="21"/>
                <w:highlight w:val="none"/>
              </w:rPr>
              <w:t>1</w:t>
            </w:r>
          </w:p>
        </w:tc>
        <w:tc>
          <w:tcPr>
            <w:tcW w:w="1763" w:type="dxa"/>
            <w:vMerge w:val="restart"/>
            <w:tcBorders>
              <w:top w:val="nil"/>
              <w:left w:val="single" w:color="auto" w:sz="4" w:space="0"/>
              <w:right w:val="single" w:color="auto" w:sz="4" w:space="0"/>
            </w:tcBorders>
            <w:vAlign w:val="center"/>
          </w:tcPr>
          <w:p w14:paraId="118DBA1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rFonts w:hint="eastAsia"/>
                <w:bCs/>
                <w:color w:val="auto"/>
                <w:sz w:val="21"/>
                <w:szCs w:val="21"/>
                <w:highlight w:val="none"/>
              </w:rPr>
              <w:t>平面位置</w:t>
            </w:r>
          </w:p>
        </w:tc>
        <w:tc>
          <w:tcPr>
            <w:tcW w:w="1362" w:type="dxa"/>
            <w:tcBorders>
              <w:top w:val="nil"/>
              <w:left w:val="nil"/>
              <w:bottom w:val="single" w:color="auto" w:sz="4" w:space="0"/>
              <w:right w:val="single" w:color="auto" w:sz="4" w:space="0"/>
            </w:tcBorders>
            <w:shd w:val="clear" w:color="auto" w:fill="auto"/>
            <w:noWrap/>
            <w:vAlign w:val="center"/>
          </w:tcPr>
          <w:p w14:paraId="3599291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墩柱</w:t>
            </w:r>
          </w:p>
        </w:tc>
        <w:tc>
          <w:tcPr>
            <w:tcW w:w="2463" w:type="dxa"/>
            <w:tcBorders>
              <w:top w:val="nil"/>
              <w:left w:val="nil"/>
              <w:bottom w:val="single" w:color="auto" w:sz="4" w:space="0"/>
              <w:right w:val="single" w:color="auto" w:sz="4" w:space="0"/>
            </w:tcBorders>
            <w:shd w:val="clear" w:color="auto" w:fill="auto"/>
            <w:noWrap/>
            <w:vAlign w:val="center"/>
          </w:tcPr>
          <w:p w14:paraId="6DB2EC6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≤5</w:t>
            </w:r>
          </w:p>
        </w:tc>
        <w:tc>
          <w:tcPr>
            <w:tcW w:w="2687" w:type="dxa"/>
            <w:vMerge w:val="restart"/>
            <w:tcBorders>
              <w:top w:val="nil"/>
              <w:left w:val="single" w:color="auto" w:sz="4" w:space="0"/>
              <w:right w:val="single" w:color="auto" w:sz="4" w:space="0"/>
            </w:tcBorders>
            <w:vAlign w:val="center"/>
          </w:tcPr>
          <w:p w14:paraId="7049E01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全站仪及尺量:墩柱纵横各1个点，承台、盖梁纵横各 2个点</w:t>
            </w:r>
          </w:p>
        </w:tc>
      </w:tr>
      <w:tr w14:paraId="5C6C0AC9">
        <w:tblPrEx>
          <w:tblCellMar>
            <w:top w:w="0" w:type="dxa"/>
            <w:left w:w="108" w:type="dxa"/>
            <w:bottom w:w="0" w:type="dxa"/>
            <w:right w:w="108" w:type="dxa"/>
          </w:tblCellMar>
        </w:tblPrEx>
        <w:trPr>
          <w:trHeight w:val="255" w:hRule="atLeast"/>
        </w:trPr>
        <w:tc>
          <w:tcPr>
            <w:tcW w:w="728" w:type="dxa"/>
            <w:vMerge w:val="continue"/>
            <w:tcBorders>
              <w:top w:val="nil"/>
              <w:left w:val="single" w:color="auto" w:sz="4" w:space="0"/>
              <w:bottom w:val="single" w:color="auto" w:sz="4" w:space="0"/>
              <w:right w:val="single" w:color="auto" w:sz="4" w:space="0"/>
            </w:tcBorders>
            <w:vAlign w:val="center"/>
          </w:tcPr>
          <w:p w14:paraId="434AD15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c>
          <w:tcPr>
            <w:tcW w:w="1763" w:type="dxa"/>
            <w:vMerge w:val="continue"/>
            <w:tcBorders>
              <w:top w:val="nil"/>
              <w:left w:val="single" w:color="auto" w:sz="4" w:space="0"/>
              <w:bottom w:val="single" w:color="auto" w:sz="4" w:space="0"/>
              <w:right w:val="single" w:color="auto" w:sz="4" w:space="0"/>
            </w:tcBorders>
            <w:vAlign w:val="center"/>
          </w:tcPr>
          <w:p w14:paraId="5EBDA95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c>
          <w:tcPr>
            <w:tcW w:w="1362" w:type="dxa"/>
            <w:tcBorders>
              <w:top w:val="nil"/>
              <w:left w:val="nil"/>
              <w:bottom w:val="single" w:color="auto" w:sz="4" w:space="0"/>
              <w:right w:val="single" w:color="auto" w:sz="4" w:space="0"/>
            </w:tcBorders>
            <w:shd w:val="clear" w:color="auto" w:fill="auto"/>
            <w:noWrap/>
            <w:vAlign w:val="center"/>
          </w:tcPr>
          <w:p w14:paraId="36AD8DC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盖梁</w:t>
            </w:r>
          </w:p>
        </w:tc>
        <w:tc>
          <w:tcPr>
            <w:tcW w:w="2463" w:type="dxa"/>
            <w:tcBorders>
              <w:top w:val="nil"/>
              <w:left w:val="nil"/>
              <w:bottom w:val="single" w:color="auto" w:sz="4" w:space="0"/>
              <w:right w:val="single" w:color="auto" w:sz="4" w:space="0"/>
            </w:tcBorders>
            <w:shd w:val="clear" w:color="auto" w:fill="auto"/>
            <w:noWrap/>
            <w:vAlign w:val="center"/>
          </w:tcPr>
          <w:p w14:paraId="34C04A6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≤5</w:t>
            </w:r>
          </w:p>
        </w:tc>
        <w:tc>
          <w:tcPr>
            <w:tcW w:w="2687" w:type="dxa"/>
            <w:vMerge w:val="continue"/>
            <w:tcBorders>
              <w:top w:val="nil"/>
              <w:left w:val="single" w:color="auto" w:sz="4" w:space="0"/>
              <w:bottom w:val="single" w:color="auto" w:sz="4" w:space="0"/>
              <w:right w:val="single" w:color="auto" w:sz="4" w:space="0"/>
            </w:tcBorders>
            <w:vAlign w:val="center"/>
          </w:tcPr>
          <w:p w14:paraId="02F4734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r>
      <w:tr w14:paraId="36D93DFB">
        <w:tblPrEx>
          <w:tblCellMar>
            <w:top w:w="0" w:type="dxa"/>
            <w:left w:w="108" w:type="dxa"/>
            <w:bottom w:w="0" w:type="dxa"/>
            <w:right w:w="108" w:type="dxa"/>
          </w:tblCellMar>
        </w:tblPrEx>
        <w:trPr>
          <w:trHeight w:val="255" w:hRule="atLeast"/>
        </w:trPr>
        <w:tc>
          <w:tcPr>
            <w:tcW w:w="728" w:type="dxa"/>
            <w:vMerge w:val="restart"/>
            <w:tcBorders>
              <w:top w:val="nil"/>
              <w:left w:val="single" w:color="auto" w:sz="4" w:space="0"/>
              <w:bottom w:val="single" w:color="auto" w:sz="4" w:space="0"/>
              <w:right w:val="single" w:color="auto" w:sz="4" w:space="0"/>
            </w:tcBorders>
            <w:shd w:val="clear" w:color="auto" w:fill="auto"/>
            <w:noWrap/>
            <w:vAlign w:val="center"/>
          </w:tcPr>
          <w:p w14:paraId="44A243D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2</w:t>
            </w:r>
          </w:p>
        </w:tc>
        <w:tc>
          <w:tcPr>
            <w:tcW w:w="1763" w:type="dxa"/>
            <w:vMerge w:val="restart"/>
            <w:tcBorders>
              <w:top w:val="nil"/>
              <w:left w:val="single" w:color="auto" w:sz="4" w:space="0"/>
              <w:bottom w:val="single" w:color="auto" w:sz="4" w:space="0"/>
              <w:right w:val="single" w:color="auto" w:sz="4" w:space="0"/>
            </w:tcBorders>
            <w:shd w:val="clear" w:color="auto" w:fill="auto"/>
            <w:vAlign w:val="center"/>
          </w:tcPr>
          <w:p w14:paraId="2AD3586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顶面高程</w:t>
            </w:r>
          </w:p>
        </w:tc>
        <w:tc>
          <w:tcPr>
            <w:tcW w:w="1362" w:type="dxa"/>
            <w:tcBorders>
              <w:top w:val="nil"/>
              <w:left w:val="nil"/>
              <w:bottom w:val="single" w:color="auto" w:sz="4" w:space="0"/>
              <w:right w:val="single" w:color="auto" w:sz="4" w:space="0"/>
            </w:tcBorders>
            <w:shd w:val="clear" w:color="auto" w:fill="auto"/>
            <w:noWrap/>
            <w:vAlign w:val="center"/>
          </w:tcPr>
          <w:p w14:paraId="56F7D7A4">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承台</w:t>
            </w:r>
          </w:p>
        </w:tc>
        <w:tc>
          <w:tcPr>
            <w:tcW w:w="2463" w:type="dxa"/>
            <w:tcBorders>
              <w:top w:val="nil"/>
              <w:left w:val="nil"/>
              <w:bottom w:val="single" w:color="auto" w:sz="4" w:space="0"/>
              <w:right w:val="single" w:color="auto" w:sz="4" w:space="0"/>
            </w:tcBorders>
            <w:shd w:val="clear" w:color="auto" w:fill="auto"/>
            <w:noWrap/>
            <w:vAlign w:val="center"/>
          </w:tcPr>
          <w:p w14:paraId="35EA01A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±10</w:t>
            </w:r>
          </w:p>
        </w:tc>
        <w:tc>
          <w:tcPr>
            <w:tcW w:w="2687" w:type="dxa"/>
            <w:vMerge w:val="restart"/>
            <w:tcBorders>
              <w:top w:val="nil"/>
              <w:left w:val="single" w:color="auto" w:sz="4" w:space="0"/>
              <w:bottom w:val="single" w:color="000000" w:sz="4" w:space="0"/>
              <w:right w:val="single" w:color="auto" w:sz="4" w:space="0"/>
            </w:tcBorders>
            <w:shd w:val="clear" w:color="auto" w:fill="auto"/>
            <w:vAlign w:val="center"/>
          </w:tcPr>
          <w:p w14:paraId="0896988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水准仪:盖梁两端及中间各1个点</w:t>
            </w:r>
          </w:p>
        </w:tc>
      </w:tr>
      <w:tr w14:paraId="426628AF">
        <w:tblPrEx>
          <w:tblCellMar>
            <w:top w:w="0" w:type="dxa"/>
            <w:left w:w="108" w:type="dxa"/>
            <w:bottom w:w="0" w:type="dxa"/>
            <w:right w:w="108" w:type="dxa"/>
          </w:tblCellMar>
        </w:tblPrEx>
        <w:trPr>
          <w:trHeight w:val="255" w:hRule="atLeast"/>
        </w:trPr>
        <w:tc>
          <w:tcPr>
            <w:tcW w:w="728" w:type="dxa"/>
            <w:vMerge w:val="continue"/>
            <w:tcBorders>
              <w:top w:val="nil"/>
              <w:left w:val="single" w:color="auto" w:sz="4" w:space="0"/>
              <w:bottom w:val="single" w:color="auto" w:sz="4" w:space="0"/>
              <w:right w:val="single" w:color="auto" w:sz="4" w:space="0"/>
            </w:tcBorders>
            <w:vAlign w:val="center"/>
          </w:tcPr>
          <w:p w14:paraId="0A722F33">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c>
          <w:tcPr>
            <w:tcW w:w="1763" w:type="dxa"/>
            <w:vMerge w:val="continue"/>
            <w:tcBorders>
              <w:top w:val="nil"/>
              <w:left w:val="single" w:color="auto" w:sz="4" w:space="0"/>
              <w:bottom w:val="single" w:color="auto" w:sz="4" w:space="0"/>
              <w:right w:val="single" w:color="auto" w:sz="4" w:space="0"/>
            </w:tcBorders>
            <w:vAlign w:val="center"/>
          </w:tcPr>
          <w:p w14:paraId="171D91C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c>
          <w:tcPr>
            <w:tcW w:w="1362" w:type="dxa"/>
            <w:tcBorders>
              <w:top w:val="nil"/>
              <w:left w:val="nil"/>
              <w:bottom w:val="single" w:color="auto" w:sz="4" w:space="0"/>
              <w:right w:val="single" w:color="auto" w:sz="4" w:space="0"/>
            </w:tcBorders>
            <w:shd w:val="clear" w:color="auto" w:fill="auto"/>
            <w:noWrap/>
            <w:vAlign w:val="center"/>
          </w:tcPr>
          <w:p w14:paraId="4AA6046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墩柱</w:t>
            </w:r>
          </w:p>
        </w:tc>
        <w:tc>
          <w:tcPr>
            <w:tcW w:w="2463" w:type="dxa"/>
            <w:tcBorders>
              <w:top w:val="nil"/>
              <w:left w:val="nil"/>
              <w:bottom w:val="single" w:color="auto" w:sz="4" w:space="0"/>
              <w:right w:val="single" w:color="auto" w:sz="4" w:space="0"/>
            </w:tcBorders>
            <w:shd w:val="clear" w:color="auto" w:fill="auto"/>
            <w:noWrap/>
            <w:vAlign w:val="center"/>
          </w:tcPr>
          <w:p w14:paraId="7710C983">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±5</w:t>
            </w:r>
          </w:p>
        </w:tc>
        <w:tc>
          <w:tcPr>
            <w:tcW w:w="2687" w:type="dxa"/>
            <w:vMerge w:val="continue"/>
            <w:tcBorders>
              <w:top w:val="nil"/>
              <w:left w:val="single" w:color="auto" w:sz="4" w:space="0"/>
              <w:bottom w:val="single" w:color="000000" w:sz="4" w:space="0"/>
              <w:right w:val="single" w:color="auto" w:sz="4" w:space="0"/>
            </w:tcBorders>
            <w:vAlign w:val="center"/>
          </w:tcPr>
          <w:p w14:paraId="6FD271A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r>
      <w:tr w14:paraId="3FC08558">
        <w:tblPrEx>
          <w:tblCellMar>
            <w:top w:w="0" w:type="dxa"/>
            <w:left w:w="108" w:type="dxa"/>
            <w:bottom w:w="0" w:type="dxa"/>
            <w:right w:w="108" w:type="dxa"/>
          </w:tblCellMar>
        </w:tblPrEx>
        <w:trPr>
          <w:trHeight w:val="255" w:hRule="atLeast"/>
        </w:trPr>
        <w:tc>
          <w:tcPr>
            <w:tcW w:w="728" w:type="dxa"/>
            <w:vMerge w:val="continue"/>
            <w:tcBorders>
              <w:top w:val="nil"/>
              <w:left w:val="single" w:color="auto" w:sz="4" w:space="0"/>
              <w:bottom w:val="single" w:color="auto" w:sz="4" w:space="0"/>
              <w:right w:val="single" w:color="auto" w:sz="4" w:space="0"/>
            </w:tcBorders>
            <w:vAlign w:val="center"/>
          </w:tcPr>
          <w:p w14:paraId="75734F4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c>
          <w:tcPr>
            <w:tcW w:w="1763" w:type="dxa"/>
            <w:vMerge w:val="continue"/>
            <w:tcBorders>
              <w:top w:val="nil"/>
              <w:left w:val="single" w:color="auto" w:sz="4" w:space="0"/>
              <w:bottom w:val="single" w:color="auto" w:sz="4" w:space="0"/>
              <w:right w:val="single" w:color="auto" w:sz="4" w:space="0"/>
            </w:tcBorders>
            <w:vAlign w:val="center"/>
          </w:tcPr>
          <w:p w14:paraId="0897840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c>
          <w:tcPr>
            <w:tcW w:w="1362" w:type="dxa"/>
            <w:tcBorders>
              <w:top w:val="nil"/>
              <w:left w:val="nil"/>
              <w:bottom w:val="single" w:color="auto" w:sz="4" w:space="0"/>
              <w:right w:val="single" w:color="auto" w:sz="4" w:space="0"/>
            </w:tcBorders>
            <w:shd w:val="clear" w:color="auto" w:fill="auto"/>
            <w:noWrap/>
            <w:vAlign w:val="center"/>
          </w:tcPr>
          <w:p w14:paraId="0EA933E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盖梁</w:t>
            </w:r>
          </w:p>
        </w:tc>
        <w:tc>
          <w:tcPr>
            <w:tcW w:w="2463" w:type="dxa"/>
            <w:tcBorders>
              <w:top w:val="nil"/>
              <w:left w:val="nil"/>
              <w:bottom w:val="single" w:color="auto" w:sz="4" w:space="0"/>
              <w:right w:val="single" w:color="auto" w:sz="4" w:space="0"/>
            </w:tcBorders>
            <w:shd w:val="clear" w:color="auto" w:fill="auto"/>
            <w:noWrap/>
            <w:vAlign w:val="center"/>
          </w:tcPr>
          <w:p w14:paraId="2F1C9C7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0，-5</w:t>
            </w:r>
          </w:p>
        </w:tc>
        <w:tc>
          <w:tcPr>
            <w:tcW w:w="2687" w:type="dxa"/>
            <w:vMerge w:val="continue"/>
            <w:tcBorders>
              <w:top w:val="nil"/>
              <w:left w:val="single" w:color="auto" w:sz="4" w:space="0"/>
              <w:bottom w:val="single" w:color="000000" w:sz="4" w:space="0"/>
              <w:right w:val="single" w:color="auto" w:sz="4" w:space="0"/>
            </w:tcBorders>
            <w:vAlign w:val="center"/>
          </w:tcPr>
          <w:p w14:paraId="499A58A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r>
      <w:tr w14:paraId="020712AF">
        <w:tblPrEx>
          <w:tblCellMar>
            <w:top w:w="0" w:type="dxa"/>
            <w:left w:w="108" w:type="dxa"/>
            <w:bottom w:w="0" w:type="dxa"/>
            <w:right w:w="108" w:type="dxa"/>
          </w:tblCellMar>
        </w:tblPrEx>
        <w:trPr>
          <w:trHeight w:val="255" w:hRule="atLeast"/>
        </w:trPr>
        <w:tc>
          <w:tcPr>
            <w:tcW w:w="728" w:type="dxa"/>
            <w:tcBorders>
              <w:top w:val="nil"/>
              <w:left w:val="single" w:color="auto" w:sz="4" w:space="0"/>
              <w:bottom w:val="single" w:color="auto" w:sz="4" w:space="0"/>
              <w:right w:val="single" w:color="auto" w:sz="4" w:space="0"/>
            </w:tcBorders>
            <w:shd w:val="clear" w:color="auto" w:fill="auto"/>
            <w:noWrap/>
            <w:vAlign w:val="center"/>
          </w:tcPr>
          <w:p w14:paraId="54E7195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3</w:t>
            </w:r>
          </w:p>
        </w:tc>
        <w:tc>
          <w:tcPr>
            <w:tcW w:w="1763" w:type="dxa"/>
            <w:tcBorders>
              <w:top w:val="nil"/>
              <w:left w:val="nil"/>
              <w:bottom w:val="single" w:color="auto" w:sz="4" w:space="0"/>
              <w:right w:val="single" w:color="auto" w:sz="4" w:space="0"/>
            </w:tcBorders>
            <w:shd w:val="clear" w:color="auto" w:fill="auto"/>
            <w:noWrap/>
            <w:vAlign w:val="center"/>
          </w:tcPr>
          <w:p w14:paraId="294B33FE">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相邻间距</w:t>
            </w:r>
          </w:p>
        </w:tc>
        <w:tc>
          <w:tcPr>
            <w:tcW w:w="1362" w:type="dxa"/>
            <w:tcBorders>
              <w:top w:val="nil"/>
              <w:left w:val="nil"/>
              <w:bottom w:val="single" w:color="auto" w:sz="4" w:space="0"/>
              <w:right w:val="single" w:color="auto" w:sz="4" w:space="0"/>
            </w:tcBorders>
            <w:shd w:val="clear" w:color="auto" w:fill="auto"/>
            <w:noWrap/>
            <w:vAlign w:val="center"/>
          </w:tcPr>
          <w:p w14:paraId="7C33C93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墩柱</w:t>
            </w:r>
          </w:p>
        </w:tc>
        <w:tc>
          <w:tcPr>
            <w:tcW w:w="2463" w:type="dxa"/>
            <w:tcBorders>
              <w:top w:val="nil"/>
              <w:left w:val="nil"/>
              <w:bottom w:val="single" w:color="auto" w:sz="4" w:space="0"/>
              <w:right w:val="single" w:color="auto" w:sz="4" w:space="0"/>
            </w:tcBorders>
            <w:shd w:val="clear" w:color="auto" w:fill="auto"/>
            <w:noWrap/>
            <w:vAlign w:val="center"/>
          </w:tcPr>
          <w:p w14:paraId="6EDB52E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±5</w:t>
            </w:r>
          </w:p>
        </w:tc>
        <w:tc>
          <w:tcPr>
            <w:tcW w:w="2687" w:type="dxa"/>
            <w:tcBorders>
              <w:top w:val="nil"/>
              <w:left w:val="nil"/>
              <w:bottom w:val="single" w:color="auto" w:sz="4" w:space="0"/>
              <w:right w:val="single" w:color="auto" w:sz="4" w:space="0"/>
            </w:tcBorders>
            <w:shd w:val="clear" w:color="auto" w:fill="auto"/>
            <w:noWrap/>
            <w:vAlign w:val="center"/>
          </w:tcPr>
          <w:p w14:paraId="4AB6535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尺量:每个墩柱检查1个点</w:t>
            </w:r>
          </w:p>
        </w:tc>
      </w:tr>
      <w:tr w14:paraId="736CDE9B">
        <w:tblPrEx>
          <w:tblCellMar>
            <w:top w:w="0" w:type="dxa"/>
            <w:left w:w="108" w:type="dxa"/>
            <w:bottom w:w="0" w:type="dxa"/>
            <w:right w:w="108" w:type="dxa"/>
          </w:tblCellMar>
        </w:tblPrEx>
        <w:trPr>
          <w:trHeight w:val="454" w:hRule="atLeast"/>
        </w:trPr>
        <w:tc>
          <w:tcPr>
            <w:tcW w:w="728" w:type="dxa"/>
            <w:vMerge w:val="restart"/>
            <w:tcBorders>
              <w:top w:val="nil"/>
              <w:left w:val="single" w:color="auto" w:sz="4" w:space="0"/>
              <w:bottom w:val="single" w:color="auto" w:sz="4" w:space="0"/>
              <w:right w:val="single" w:color="auto" w:sz="4" w:space="0"/>
            </w:tcBorders>
            <w:shd w:val="clear" w:color="auto" w:fill="auto"/>
            <w:noWrap/>
            <w:vAlign w:val="center"/>
          </w:tcPr>
          <w:p w14:paraId="5AB1324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4</w:t>
            </w:r>
          </w:p>
        </w:tc>
        <w:tc>
          <w:tcPr>
            <w:tcW w:w="1763" w:type="dxa"/>
            <w:vMerge w:val="restart"/>
            <w:tcBorders>
              <w:top w:val="nil"/>
              <w:left w:val="single" w:color="auto" w:sz="4" w:space="0"/>
              <w:bottom w:val="single" w:color="auto" w:sz="4" w:space="0"/>
              <w:right w:val="single" w:color="auto" w:sz="4" w:space="0"/>
            </w:tcBorders>
            <w:shd w:val="clear" w:color="auto" w:fill="auto"/>
            <w:noWrap/>
            <w:vAlign w:val="center"/>
          </w:tcPr>
          <w:p w14:paraId="1C537DC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垂直度</w:t>
            </w:r>
          </w:p>
        </w:tc>
        <w:tc>
          <w:tcPr>
            <w:tcW w:w="1362" w:type="dxa"/>
            <w:tcBorders>
              <w:top w:val="nil"/>
              <w:left w:val="nil"/>
              <w:bottom w:val="single" w:color="auto" w:sz="4" w:space="0"/>
              <w:right w:val="single" w:color="auto" w:sz="4" w:space="0"/>
            </w:tcBorders>
            <w:shd w:val="clear" w:color="auto" w:fill="auto"/>
            <w:noWrap/>
            <w:vAlign w:val="center"/>
          </w:tcPr>
          <w:p w14:paraId="7D91929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墩柱</w:t>
            </w:r>
          </w:p>
        </w:tc>
        <w:tc>
          <w:tcPr>
            <w:tcW w:w="2463" w:type="dxa"/>
            <w:tcBorders>
              <w:top w:val="nil"/>
              <w:left w:val="nil"/>
              <w:bottom w:val="single" w:color="auto" w:sz="4" w:space="0"/>
              <w:right w:val="single" w:color="auto" w:sz="4" w:space="0"/>
            </w:tcBorders>
            <w:shd w:val="clear" w:color="auto" w:fill="auto"/>
            <w:noWrap/>
            <w:vAlign w:val="center"/>
          </w:tcPr>
          <w:p w14:paraId="2C207D7D">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≤2H/1000且不大于10</w:t>
            </w:r>
          </w:p>
        </w:tc>
        <w:tc>
          <w:tcPr>
            <w:tcW w:w="2687" w:type="dxa"/>
            <w:vMerge w:val="restart"/>
            <w:tcBorders>
              <w:top w:val="nil"/>
              <w:left w:val="single" w:color="auto" w:sz="4" w:space="0"/>
              <w:bottom w:val="single" w:color="000000" w:sz="4" w:space="0"/>
              <w:right w:val="single" w:color="auto" w:sz="4" w:space="0"/>
            </w:tcBorders>
            <w:shd w:val="clear" w:color="auto" w:fill="auto"/>
            <w:vAlign w:val="center"/>
          </w:tcPr>
          <w:p w14:paraId="196FF1E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全站仪测量或垂线、尺量：纵横向各1个点</w:t>
            </w:r>
          </w:p>
        </w:tc>
      </w:tr>
      <w:tr w14:paraId="017A987F">
        <w:tblPrEx>
          <w:tblCellMar>
            <w:top w:w="0" w:type="dxa"/>
            <w:left w:w="108" w:type="dxa"/>
            <w:bottom w:w="0" w:type="dxa"/>
            <w:right w:w="108" w:type="dxa"/>
          </w:tblCellMar>
        </w:tblPrEx>
        <w:trPr>
          <w:trHeight w:val="255" w:hRule="atLeast"/>
        </w:trPr>
        <w:tc>
          <w:tcPr>
            <w:tcW w:w="728" w:type="dxa"/>
            <w:vMerge w:val="continue"/>
            <w:tcBorders>
              <w:top w:val="nil"/>
              <w:left w:val="single" w:color="auto" w:sz="4" w:space="0"/>
              <w:bottom w:val="single" w:color="auto" w:sz="4" w:space="0"/>
              <w:right w:val="single" w:color="auto" w:sz="4" w:space="0"/>
            </w:tcBorders>
            <w:vAlign w:val="center"/>
          </w:tcPr>
          <w:p w14:paraId="76B1282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c>
          <w:tcPr>
            <w:tcW w:w="1763" w:type="dxa"/>
            <w:vMerge w:val="continue"/>
            <w:tcBorders>
              <w:top w:val="nil"/>
              <w:left w:val="single" w:color="auto" w:sz="4" w:space="0"/>
              <w:bottom w:val="single" w:color="auto" w:sz="4" w:space="0"/>
              <w:right w:val="single" w:color="auto" w:sz="4" w:space="0"/>
            </w:tcBorders>
            <w:vAlign w:val="center"/>
          </w:tcPr>
          <w:p w14:paraId="0F3E46ED">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c>
          <w:tcPr>
            <w:tcW w:w="1362" w:type="dxa"/>
            <w:tcBorders>
              <w:top w:val="nil"/>
              <w:left w:val="nil"/>
              <w:bottom w:val="single" w:color="auto" w:sz="4" w:space="0"/>
              <w:right w:val="single" w:color="auto" w:sz="4" w:space="0"/>
            </w:tcBorders>
            <w:shd w:val="clear" w:color="auto" w:fill="auto"/>
            <w:noWrap/>
            <w:vAlign w:val="center"/>
          </w:tcPr>
          <w:p w14:paraId="4E18985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盖梁</w:t>
            </w:r>
          </w:p>
        </w:tc>
        <w:tc>
          <w:tcPr>
            <w:tcW w:w="2463" w:type="dxa"/>
            <w:tcBorders>
              <w:top w:val="nil"/>
              <w:left w:val="nil"/>
              <w:bottom w:val="single" w:color="auto" w:sz="4" w:space="0"/>
              <w:right w:val="single" w:color="auto" w:sz="4" w:space="0"/>
            </w:tcBorders>
            <w:shd w:val="clear" w:color="auto" w:fill="auto"/>
            <w:noWrap/>
            <w:vAlign w:val="center"/>
          </w:tcPr>
          <w:p w14:paraId="6E6A4BB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≤2H/1000且不大于5</w:t>
            </w:r>
          </w:p>
        </w:tc>
        <w:tc>
          <w:tcPr>
            <w:tcW w:w="2687" w:type="dxa"/>
            <w:vMerge w:val="continue"/>
            <w:tcBorders>
              <w:top w:val="nil"/>
              <w:left w:val="single" w:color="auto" w:sz="4" w:space="0"/>
              <w:bottom w:val="single" w:color="000000" w:sz="4" w:space="0"/>
              <w:right w:val="single" w:color="auto" w:sz="4" w:space="0"/>
            </w:tcBorders>
            <w:vAlign w:val="center"/>
          </w:tcPr>
          <w:p w14:paraId="6D77E4E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p>
        </w:tc>
      </w:tr>
      <w:tr w14:paraId="05647F15">
        <w:tblPrEx>
          <w:tblCellMar>
            <w:top w:w="0" w:type="dxa"/>
            <w:left w:w="108" w:type="dxa"/>
            <w:bottom w:w="0" w:type="dxa"/>
            <w:right w:w="108" w:type="dxa"/>
          </w:tblCellMar>
        </w:tblPrEx>
        <w:trPr>
          <w:trHeight w:val="255" w:hRule="atLeast"/>
        </w:trPr>
        <w:tc>
          <w:tcPr>
            <w:tcW w:w="728" w:type="dxa"/>
            <w:tcBorders>
              <w:top w:val="nil"/>
              <w:left w:val="single" w:color="auto" w:sz="4" w:space="0"/>
              <w:bottom w:val="single" w:color="auto" w:sz="4" w:space="0"/>
              <w:right w:val="single" w:color="auto" w:sz="4" w:space="0"/>
            </w:tcBorders>
            <w:shd w:val="clear" w:color="auto" w:fill="auto"/>
            <w:noWrap/>
            <w:vAlign w:val="center"/>
          </w:tcPr>
          <w:p w14:paraId="6E6F7DE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5</w:t>
            </w:r>
          </w:p>
        </w:tc>
        <w:tc>
          <w:tcPr>
            <w:tcW w:w="1763" w:type="dxa"/>
            <w:tcBorders>
              <w:top w:val="nil"/>
              <w:left w:val="nil"/>
              <w:bottom w:val="single" w:color="auto" w:sz="4" w:space="0"/>
              <w:right w:val="single" w:color="auto" w:sz="4" w:space="0"/>
            </w:tcBorders>
            <w:shd w:val="clear" w:color="auto" w:fill="auto"/>
            <w:noWrap/>
            <w:vAlign w:val="center"/>
          </w:tcPr>
          <w:p w14:paraId="1CB7B8E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相邻节段间错位</w:t>
            </w:r>
          </w:p>
        </w:tc>
        <w:tc>
          <w:tcPr>
            <w:tcW w:w="1362" w:type="dxa"/>
            <w:tcBorders>
              <w:top w:val="nil"/>
              <w:left w:val="nil"/>
              <w:bottom w:val="single" w:color="auto" w:sz="4" w:space="0"/>
              <w:right w:val="single" w:color="auto" w:sz="4" w:space="0"/>
            </w:tcBorders>
            <w:shd w:val="clear" w:color="auto" w:fill="auto"/>
            <w:noWrap/>
            <w:vAlign w:val="center"/>
          </w:tcPr>
          <w:p w14:paraId="0AB48DF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墩柱、盖梁</w:t>
            </w:r>
          </w:p>
        </w:tc>
        <w:tc>
          <w:tcPr>
            <w:tcW w:w="2463" w:type="dxa"/>
            <w:tcBorders>
              <w:top w:val="nil"/>
              <w:left w:val="nil"/>
              <w:bottom w:val="single" w:color="auto" w:sz="4" w:space="0"/>
              <w:right w:val="single" w:color="auto" w:sz="4" w:space="0"/>
            </w:tcBorders>
            <w:shd w:val="clear" w:color="auto" w:fill="auto"/>
            <w:noWrap/>
            <w:vAlign w:val="center"/>
          </w:tcPr>
          <w:p w14:paraId="41091BE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≤3</w:t>
            </w:r>
          </w:p>
        </w:tc>
        <w:tc>
          <w:tcPr>
            <w:tcW w:w="2687" w:type="dxa"/>
            <w:tcBorders>
              <w:top w:val="nil"/>
              <w:left w:val="nil"/>
              <w:bottom w:val="single" w:color="auto" w:sz="4" w:space="0"/>
              <w:right w:val="single" w:color="auto" w:sz="4" w:space="0"/>
            </w:tcBorders>
            <w:shd w:val="clear" w:color="auto" w:fill="auto"/>
            <w:noWrap/>
            <w:vAlign w:val="center"/>
          </w:tcPr>
          <w:p w14:paraId="69C94A8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钢板尺、塞尺:纵横向各 1点尺量</w:t>
            </w:r>
          </w:p>
        </w:tc>
      </w:tr>
      <w:tr w14:paraId="5B495B33">
        <w:tblPrEx>
          <w:tblCellMar>
            <w:top w:w="0" w:type="dxa"/>
            <w:left w:w="108" w:type="dxa"/>
            <w:bottom w:w="0" w:type="dxa"/>
            <w:right w:w="108" w:type="dxa"/>
          </w:tblCellMar>
        </w:tblPrEx>
        <w:trPr>
          <w:trHeight w:val="255" w:hRule="atLeast"/>
        </w:trPr>
        <w:tc>
          <w:tcPr>
            <w:tcW w:w="728" w:type="dxa"/>
            <w:tcBorders>
              <w:top w:val="nil"/>
              <w:left w:val="single" w:color="auto" w:sz="4" w:space="0"/>
              <w:bottom w:val="single" w:color="auto" w:sz="4" w:space="0"/>
              <w:right w:val="single" w:color="auto" w:sz="4" w:space="0"/>
            </w:tcBorders>
            <w:shd w:val="clear" w:color="auto" w:fill="auto"/>
            <w:noWrap/>
            <w:vAlign w:val="center"/>
          </w:tcPr>
          <w:p w14:paraId="7A1A63C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6</w:t>
            </w:r>
          </w:p>
        </w:tc>
        <w:tc>
          <w:tcPr>
            <w:tcW w:w="1763" w:type="dxa"/>
            <w:tcBorders>
              <w:top w:val="nil"/>
              <w:left w:val="nil"/>
              <w:bottom w:val="single" w:color="auto" w:sz="4" w:space="0"/>
              <w:right w:val="single" w:color="auto" w:sz="4" w:space="0"/>
            </w:tcBorders>
            <w:shd w:val="clear" w:color="auto" w:fill="auto"/>
            <w:noWrap/>
            <w:vAlign w:val="center"/>
          </w:tcPr>
          <w:p w14:paraId="55DA0E0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接缝宽度</w:t>
            </w:r>
          </w:p>
        </w:tc>
        <w:tc>
          <w:tcPr>
            <w:tcW w:w="1362" w:type="dxa"/>
            <w:tcBorders>
              <w:top w:val="nil"/>
              <w:left w:val="nil"/>
              <w:bottom w:val="single" w:color="auto" w:sz="4" w:space="0"/>
              <w:right w:val="single" w:color="auto" w:sz="4" w:space="0"/>
            </w:tcBorders>
            <w:shd w:val="clear" w:color="auto" w:fill="auto"/>
            <w:noWrap/>
            <w:vAlign w:val="center"/>
          </w:tcPr>
          <w:p w14:paraId="613EEB8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墩柱、盖梁</w:t>
            </w:r>
          </w:p>
        </w:tc>
        <w:tc>
          <w:tcPr>
            <w:tcW w:w="2463" w:type="dxa"/>
            <w:tcBorders>
              <w:top w:val="nil"/>
              <w:left w:val="nil"/>
              <w:bottom w:val="single" w:color="auto" w:sz="4" w:space="0"/>
              <w:right w:val="single" w:color="auto" w:sz="4" w:space="0"/>
            </w:tcBorders>
            <w:shd w:val="clear" w:color="auto" w:fill="auto"/>
            <w:noWrap/>
            <w:vAlign w:val="center"/>
          </w:tcPr>
          <w:p w14:paraId="10226E83">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±5</w:t>
            </w:r>
          </w:p>
        </w:tc>
        <w:tc>
          <w:tcPr>
            <w:tcW w:w="2687" w:type="dxa"/>
            <w:tcBorders>
              <w:top w:val="nil"/>
              <w:left w:val="nil"/>
              <w:bottom w:val="single" w:color="auto" w:sz="4" w:space="0"/>
              <w:right w:val="single" w:color="auto" w:sz="4" w:space="0"/>
            </w:tcBorders>
            <w:shd w:val="clear" w:color="auto" w:fill="auto"/>
            <w:noWrap/>
            <w:vAlign w:val="center"/>
          </w:tcPr>
          <w:p w14:paraId="03229DF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bCs/>
                <w:color w:val="auto"/>
                <w:sz w:val="21"/>
                <w:szCs w:val="21"/>
                <w:highlight w:val="none"/>
              </w:rPr>
            </w:pPr>
            <w:r>
              <w:rPr>
                <w:bCs/>
                <w:color w:val="auto"/>
                <w:sz w:val="21"/>
                <w:szCs w:val="21"/>
                <w:highlight w:val="none"/>
              </w:rPr>
              <w:t>尺量:每个接缝处检验两相对表面各1个点</w:t>
            </w:r>
          </w:p>
        </w:tc>
      </w:tr>
    </w:tbl>
    <w:p w14:paraId="67A7FF59">
      <w:pPr>
        <w:spacing w:before="156" w:beforeLines="50" w:after="156" w:afterLines="50" w:line="360" w:lineRule="auto"/>
        <w:jc w:val="center"/>
        <w:outlineLvl w:val="1"/>
        <w:rPr>
          <w:rFonts w:hint="eastAsia" w:ascii="Times New Roman" w:hAnsi="Times New Roman" w:cs="Times New Roman"/>
          <w:b/>
          <w:kern w:val="0"/>
          <w:sz w:val="28"/>
          <w:szCs w:val="28"/>
        </w:rPr>
      </w:pPr>
      <w:bookmarkStart w:id="141" w:name="_Toc1916"/>
      <w:bookmarkStart w:id="142" w:name="_Toc11503"/>
      <w:bookmarkStart w:id="143" w:name="_Toc25561"/>
      <w:r>
        <w:rPr>
          <w:rFonts w:hint="eastAsia" w:ascii="Times New Roman" w:hAnsi="Times New Roman" w:cs="Times New Roman"/>
          <w:b/>
          <w:kern w:val="0"/>
          <w:sz w:val="28"/>
          <w:szCs w:val="28"/>
        </w:rPr>
        <w:t>8.4 湿接缝连接</w:t>
      </w:r>
      <w:bookmarkEnd w:id="141"/>
      <w:bookmarkEnd w:id="142"/>
      <w:bookmarkEnd w:id="143"/>
    </w:p>
    <w:p w14:paraId="34B6DD6E">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8.</w:t>
      </w:r>
      <w:r>
        <w:rPr>
          <w:rFonts w:hint="eastAsia" w:cs="Times New Roman"/>
          <w:b/>
          <w:color w:val="auto"/>
          <w:sz w:val="24"/>
          <w:szCs w:val="24"/>
          <w:highlight w:val="none"/>
        </w:rPr>
        <w:t>4</w:t>
      </w:r>
      <w:r>
        <w:rPr>
          <w:rFonts w:cs="Times New Roman"/>
          <w:b/>
          <w:color w:val="auto"/>
          <w:sz w:val="24"/>
          <w:szCs w:val="24"/>
          <w:highlight w:val="none"/>
        </w:rPr>
        <w:t>.1</w:t>
      </w:r>
      <w:r>
        <w:rPr>
          <w:rFonts w:cs="Times New Roman"/>
          <w:bCs/>
          <w:color w:val="auto"/>
          <w:sz w:val="24"/>
          <w:szCs w:val="24"/>
          <w:highlight w:val="none"/>
        </w:rPr>
        <w:t xml:space="preserve">  湿接缝施工完成后，接缝材料不得存在脱落和开裂，表面应平整、光洁，无明显色差，无孔洞、露筋、蜂窝麻面和缺棱掉角现象，混凝土外观质量的限制缺陷指标及检查项应按《城市桥梁工程施工与质量验收规范》</w:t>
      </w:r>
      <w:r>
        <w:rPr>
          <w:rFonts w:hint="eastAsia" w:cs="Times New Roman"/>
          <w:bCs/>
          <w:color w:val="auto"/>
          <w:sz w:val="24"/>
          <w:szCs w:val="24"/>
          <w:highlight w:val="none"/>
          <w:lang w:eastAsia="zh-CN"/>
        </w:rPr>
        <w:t>（</w:t>
      </w:r>
      <w:r>
        <w:rPr>
          <w:rFonts w:cs="Times New Roman"/>
          <w:bCs/>
          <w:color w:val="auto"/>
          <w:sz w:val="24"/>
          <w:szCs w:val="24"/>
          <w:highlight w:val="none"/>
        </w:rPr>
        <w:t>CJJ2</w:t>
      </w:r>
      <w:r>
        <w:rPr>
          <w:rFonts w:hint="eastAsia" w:cs="Times New Roman"/>
          <w:bCs/>
          <w:color w:val="auto"/>
          <w:sz w:val="24"/>
          <w:szCs w:val="24"/>
          <w:highlight w:val="none"/>
          <w:lang w:eastAsia="zh-CN"/>
        </w:rPr>
        <w:t>）和</w:t>
      </w:r>
      <w:r>
        <w:rPr>
          <w:rFonts w:cs="Times New Roman"/>
          <w:bCs/>
          <w:color w:val="auto"/>
          <w:sz w:val="24"/>
          <w:szCs w:val="24"/>
          <w:highlight w:val="none"/>
        </w:rPr>
        <w:t>《公路工程质量检验评定标准》（JTGF80/1）的规定执行。</w:t>
      </w:r>
    </w:p>
    <w:p w14:paraId="55C13CAC">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8.</w:t>
      </w:r>
      <w:r>
        <w:rPr>
          <w:rFonts w:hint="eastAsia" w:cs="Times New Roman"/>
          <w:b/>
          <w:color w:val="auto"/>
          <w:sz w:val="24"/>
          <w:szCs w:val="24"/>
          <w:highlight w:val="none"/>
        </w:rPr>
        <w:t>4</w:t>
      </w:r>
      <w:r>
        <w:rPr>
          <w:rFonts w:cs="Times New Roman"/>
          <w:b/>
          <w:color w:val="auto"/>
          <w:sz w:val="24"/>
          <w:szCs w:val="24"/>
          <w:highlight w:val="none"/>
        </w:rPr>
        <w:t>.2</w:t>
      </w:r>
      <w:r>
        <w:rPr>
          <w:rFonts w:cs="Times New Roman"/>
          <w:bCs/>
          <w:color w:val="auto"/>
          <w:sz w:val="24"/>
          <w:szCs w:val="24"/>
          <w:highlight w:val="none"/>
        </w:rPr>
        <w:t xml:space="preserve">  预制梁板间湿接缝实测项目应满足表8.</w:t>
      </w:r>
      <w:r>
        <w:rPr>
          <w:rFonts w:hint="eastAsia" w:cs="Times New Roman"/>
          <w:bCs/>
          <w:color w:val="auto"/>
          <w:sz w:val="24"/>
          <w:szCs w:val="24"/>
          <w:highlight w:val="none"/>
        </w:rPr>
        <w:t>4</w:t>
      </w:r>
      <w:r>
        <w:rPr>
          <w:rFonts w:cs="Times New Roman"/>
          <w:bCs/>
          <w:color w:val="auto"/>
          <w:sz w:val="24"/>
          <w:szCs w:val="24"/>
          <w:highlight w:val="none"/>
        </w:rPr>
        <w:t>.2的要求。</w:t>
      </w:r>
    </w:p>
    <w:p w14:paraId="6C9B843F">
      <w:pPr>
        <w:keepNext w:val="0"/>
        <w:keepLines w:val="0"/>
        <w:pageBreakBefore w:val="0"/>
        <w:widowControl w:val="0"/>
        <w:kinsoku/>
        <w:wordWrap/>
        <w:overflowPunct/>
        <w:topLinePunct w:val="0"/>
        <w:autoSpaceDE/>
        <w:autoSpaceDN/>
        <w:bidi w:val="0"/>
        <w:adjustRightInd w:val="0"/>
        <w:snapToGrid w:val="0"/>
        <w:spacing w:before="157" w:beforeLines="50" w:line="360" w:lineRule="auto"/>
        <w:jc w:val="center"/>
        <w:textAlignment w:val="auto"/>
        <w:rPr>
          <w:rFonts w:hint="eastAsia" w:ascii="黑体" w:hAnsi="黑体" w:eastAsia="黑体" w:cs="黑体"/>
          <w:bCs/>
          <w:color w:val="auto"/>
          <w:szCs w:val="21"/>
          <w:highlight w:val="none"/>
        </w:rPr>
      </w:pPr>
      <w:r>
        <w:rPr>
          <w:rFonts w:hint="eastAsia" w:ascii="黑体" w:hAnsi="黑体" w:eastAsia="黑体" w:cs="黑体"/>
          <w:bCs/>
          <w:color w:val="auto"/>
          <w:szCs w:val="21"/>
          <w:highlight w:val="none"/>
        </w:rPr>
        <w:t>表8.4.2  湿接缝实测项目</w:t>
      </w:r>
    </w:p>
    <w:tbl>
      <w:tblPr>
        <w:tblStyle w:val="39"/>
        <w:tblW w:w="865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40"/>
        <w:gridCol w:w="2576"/>
        <w:gridCol w:w="2003"/>
        <w:gridCol w:w="3338"/>
      </w:tblGrid>
      <w:tr w14:paraId="780DA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atLeast"/>
          <w:jc w:val="center"/>
        </w:trPr>
        <w:tc>
          <w:tcPr>
            <w:tcW w:w="740" w:type="dxa"/>
            <w:tcBorders>
              <w:tl2br w:val="nil"/>
              <w:tr2bl w:val="nil"/>
            </w:tcBorders>
            <w:vAlign w:val="center"/>
          </w:tcPr>
          <w:p w14:paraId="2D1C1A2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项次</w:t>
            </w:r>
          </w:p>
        </w:tc>
        <w:tc>
          <w:tcPr>
            <w:tcW w:w="2576" w:type="dxa"/>
            <w:tcBorders>
              <w:tl2br w:val="nil"/>
              <w:tr2bl w:val="nil"/>
            </w:tcBorders>
            <w:vAlign w:val="center"/>
          </w:tcPr>
          <w:p w14:paraId="16F39E2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检查项目</w:t>
            </w:r>
          </w:p>
        </w:tc>
        <w:tc>
          <w:tcPr>
            <w:tcW w:w="2003" w:type="dxa"/>
            <w:tcBorders>
              <w:tl2br w:val="nil"/>
              <w:tr2bl w:val="nil"/>
            </w:tcBorders>
            <w:vAlign w:val="center"/>
          </w:tcPr>
          <w:p w14:paraId="1257E05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规定值或允许偏差</w:t>
            </w:r>
          </w:p>
        </w:tc>
        <w:tc>
          <w:tcPr>
            <w:tcW w:w="3338" w:type="dxa"/>
            <w:tcBorders>
              <w:tl2br w:val="nil"/>
              <w:tr2bl w:val="nil"/>
            </w:tcBorders>
            <w:vAlign w:val="center"/>
          </w:tcPr>
          <w:p w14:paraId="6E28F284">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检查方法和频率</w:t>
            </w:r>
          </w:p>
        </w:tc>
      </w:tr>
      <w:tr w14:paraId="2D81A4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0" w:hRule="atLeast"/>
          <w:jc w:val="center"/>
        </w:trPr>
        <w:tc>
          <w:tcPr>
            <w:tcW w:w="740" w:type="dxa"/>
            <w:tcBorders>
              <w:tl2br w:val="nil"/>
              <w:tr2bl w:val="nil"/>
            </w:tcBorders>
            <w:vAlign w:val="center"/>
          </w:tcPr>
          <w:p w14:paraId="6DD4049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1</w:t>
            </w:r>
          </w:p>
        </w:tc>
        <w:tc>
          <w:tcPr>
            <w:tcW w:w="2576" w:type="dxa"/>
            <w:tcBorders>
              <w:tl2br w:val="nil"/>
              <w:tr2bl w:val="nil"/>
            </w:tcBorders>
            <w:vAlign w:val="center"/>
          </w:tcPr>
          <w:p w14:paraId="50B49D2B">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湿接缝宽度（mm）</w:t>
            </w:r>
          </w:p>
        </w:tc>
        <w:tc>
          <w:tcPr>
            <w:tcW w:w="2003" w:type="dxa"/>
            <w:tcBorders>
              <w:tl2br w:val="nil"/>
              <w:tr2bl w:val="nil"/>
            </w:tcBorders>
            <w:vAlign w:val="center"/>
          </w:tcPr>
          <w:p w14:paraId="3FA2202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±20</w:t>
            </w:r>
          </w:p>
        </w:tc>
        <w:tc>
          <w:tcPr>
            <w:tcW w:w="3338" w:type="dxa"/>
            <w:tcBorders>
              <w:tl2br w:val="nil"/>
              <w:tr2bl w:val="nil"/>
            </w:tcBorders>
            <w:vAlign w:val="center"/>
          </w:tcPr>
          <w:p w14:paraId="5FD075C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尺量：逐个测量</w:t>
            </w:r>
          </w:p>
        </w:tc>
      </w:tr>
      <w:tr w14:paraId="42883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atLeast"/>
          <w:jc w:val="center"/>
        </w:trPr>
        <w:tc>
          <w:tcPr>
            <w:tcW w:w="740" w:type="dxa"/>
            <w:tcBorders>
              <w:tl2br w:val="nil"/>
              <w:tr2bl w:val="nil"/>
            </w:tcBorders>
            <w:vAlign w:val="center"/>
          </w:tcPr>
          <w:p w14:paraId="5788F36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2</w:t>
            </w:r>
          </w:p>
        </w:tc>
        <w:tc>
          <w:tcPr>
            <w:tcW w:w="2576" w:type="dxa"/>
            <w:tcBorders>
              <w:tl2br w:val="nil"/>
              <w:tr2bl w:val="nil"/>
            </w:tcBorders>
            <w:vAlign w:val="center"/>
          </w:tcPr>
          <w:p w14:paraId="1A6FC08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湿接缝混凝土强度（mm）</w:t>
            </w:r>
          </w:p>
        </w:tc>
        <w:tc>
          <w:tcPr>
            <w:tcW w:w="2003" w:type="dxa"/>
            <w:tcBorders>
              <w:tl2br w:val="nil"/>
              <w:tr2bl w:val="nil"/>
            </w:tcBorders>
            <w:vAlign w:val="center"/>
          </w:tcPr>
          <w:p w14:paraId="24D4266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在合格标准内</w:t>
            </w:r>
          </w:p>
        </w:tc>
        <w:tc>
          <w:tcPr>
            <w:tcW w:w="3338" w:type="dxa"/>
            <w:tcBorders>
              <w:tl2br w:val="nil"/>
              <w:tr2bl w:val="nil"/>
            </w:tcBorders>
            <w:vAlign w:val="center"/>
          </w:tcPr>
          <w:p w14:paraId="45A93B04">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按JTG F80/1 附录D 检查</w:t>
            </w:r>
          </w:p>
        </w:tc>
      </w:tr>
      <w:tr w14:paraId="5FBCCE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atLeast"/>
          <w:jc w:val="center"/>
        </w:trPr>
        <w:tc>
          <w:tcPr>
            <w:tcW w:w="740" w:type="dxa"/>
            <w:tcBorders>
              <w:tl2br w:val="nil"/>
              <w:tr2bl w:val="nil"/>
            </w:tcBorders>
            <w:vAlign w:val="center"/>
          </w:tcPr>
          <w:p w14:paraId="5DA66BF4">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3</w:t>
            </w:r>
          </w:p>
        </w:tc>
        <w:tc>
          <w:tcPr>
            <w:tcW w:w="2576" w:type="dxa"/>
            <w:tcBorders>
              <w:tl2br w:val="nil"/>
              <w:tr2bl w:val="nil"/>
            </w:tcBorders>
            <w:vAlign w:val="center"/>
          </w:tcPr>
          <w:p w14:paraId="431EBE3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相邻板顶面高差（mm）</w:t>
            </w:r>
          </w:p>
        </w:tc>
        <w:tc>
          <w:tcPr>
            <w:tcW w:w="2003" w:type="dxa"/>
            <w:tcBorders>
              <w:tl2br w:val="nil"/>
              <w:tr2bl w:val="nil"/>
            </w:tcBorders>
            <w:vAlign w:val="center"/>
          </w:tcPr>
          <w:p w14:paraId="39254D4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≤10</w:t>
            </w:r>
          </w:p>
        </w:tc>
        <w:tc>
          <w:tcPr>
            <w:tcW w:w="3338" w:type="dxa"/>
            <w:tcBorders>
              <w:tl2br w:val="nil"/>
              <w:tr2bl w:val="nil"/>
            </w:tcBorders>
            <w:vAlign w:val="center"/>
          </w:tcPr>
          <w:p w14:paraId="0841A2A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水准仪：测每相邻板高差最大处</w:t>
            </w:r>
          </w:p>
        </w:tc>
      </w:tr>
      <w:tr w14:paraId="1C4589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atLeast"/>
          <w:jc w:val="center"/>
        </w:trPr>
        <w:tc>
          <w:tcPr>
            <w:tcW w:w="740" w:type="dxa"/>
            <w:tcBorders>
              <w:tl2br w:val="nil"/>
              <w:tr2bl w:val="nil"/>
            </w:tcBorders>
            <w:vAlign w:val="center"/>
          </w:tcPr>
          <w:p w14:paraId="3D90D92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4</w:t>
            </w:r>
          </w:p>
        </w:tc>
        <w:tc>
          <w:tcPr>
            <w:tcW w:w="2576" w:type="dxa"/>
            <w:tcBorders>
              <w:tl2br w:val="nil"/>
              <w:tr2bl w:val="nil"/>
            </w:tcBorders>
            <w:vAlign w:val="center"/>
          </w:tcPr>
          <w:p w14:paraId="75A3FD76">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预制板间平面错位（mm）</w:t>
            </w:r>
          </w:p>
        </w:tc>
        <w:tc>
          <w:tcPr>
            <w:tcW w:w="2003" w:type="dxa"/>
            <w:tcBorders>
              <w:tl2br w:val="nil"/>
              <w:tr2bl w:val="nil"/>
            </w:tcBorders>
            <w:vAlign w:val="center"/>
          </w:tcPr>
          <w:p w14:paraId="68D616E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≤5</w:t>
            </w:r>
          </w:p>
        </w:tc>
        <w:tc>
          <w:tcPr>
            <w:tcW w:w="3338" w:type="dxa"/>
            <w:tcBorders>
              <w:tl2br w:val="nil"/>
              <w:tr2bl w:val="nil"/>
            </w:tcBorders>
            <w:vAlign w:val="center"/>
          </w:tcPr>
          <w:p w14:paraId="7007E8E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尺量：检查全部</w:t>
            </w:r>
          </w:p>
        </w:tc>
      </w:tr>
      <w:tr w14:paraId="111452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atLeast"/>
          <w:jc w:val="center"/>
        </w:trPr>
        <w:tc>
          <w:tcPr>
            <w:tcW w:w="740" w:type="dxa"/>
            <w:tcBorders>
              <w:tl2br w:val="nil"/>
              <w:tr2bl w:val="nil"/>
            </w:tcBorders>
            <w:vAlign w:val="center"/>
          </w:tcPr>
          <w:p w14:paraId="2DDBF76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5</w:t>
            </w:r>
          </w:p>
        </w:tc>
        <w:tc>
          <w:tcPr>
            <w:tcW w:w="2576" w:type="dxa"/>
            <w:tcBorders>
              <w:tl2br w:val="nil"/>
              <w:tr2bl w:val="nil"/>
            </w:tcBorders>
            <w:vAlign w:val="center"/>
          </w:tcPr>
          <w:p w14:paraId="5B763BFD">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接头区域内的箍筋、横</w:t>
            </w:r>
          </w:p>
          <w:p w14:paraId="786533A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向水平钢筋间距（mm）</w:t>
            </w:r>
          </w:p>
        </w:tc>
        <w:tc>
          <w:tcPr>
            <w:tcW w:w="2003" w:type="dxa"/>
            <w:tcBorders>
              <w:tl2br w:val="nil"/>
              <w:tr2bl w:val="nil"/>
            </w:tcBorders>
            <w:vAlign w:val="center"/>
          </w:tcPr>
          <w:p w14:paraId="17C0C583">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±10</w:t>
            </w:r>
          </w:p>
        </w:tc>
        <w:tc>
          <w:tcPr>
            <w:tcW w:w="3338" w:type="dxa"/>
            <w:tcBorders>
              <w:tl2br w:val="nil"/>
              <w:tr2bl w:val="nil"/>
            </w:tcBorders>
            <w:vAlign w:val="center"/>
          </w:tcPr>
          <w:p w14:paraId="655EEE23">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尺量：每个连接处各测2个点</w:t>
            </w:r>
          </w:p>
        </w:tc>
      </w:tr>
    </w:tbl>
    <w:p w14:paraId="00F8F460">
      <w:pPr>
        <w:spacing w:before="156" w:beforeLines="50" w:after="156" w:afterLines="50" w:line="360" w:lineRule="auto"/>
        <w:jc w:val="center"/>
        <w:outlineLvl w:val="1"/>
        <w:rPr>
          <w:rFonts w:hint="eastAsia" w:ascii="Times New Roman" w:hAnsi="Times New Roman" w:cs="Times New Roman"/>
          <w:b/>
          <w:kern w:val="0"/>
          <w:sz w:val="28"/>
          <w:szCs w:val="28"/>
        </w:rPr>
      </w:pPr>
      <w:bookmarkStart w:id="144" w:name="_Toc21130"/>
      <w:bookmarkStart w:id="145" w:name="_Toc7753"/>
      <w:bookmarkStart w:id="146" w:name="_Toc3343"/>
      <w:r>
        <w:rPr>
          <w:rFonts w:hint="eastAsia" w:ascii="Times New Roman" w:hAnsi="Times New Roman" w:cs="Times New Roman"/>
          <w:b/>
          <w:kern w:val="0"/>
          <w:sz w:val="28"/>
          <w:szCs w:val="28"/>
        </w:rPr>
        <w:t>8.5 预应力筋连接</w:t>
      </w:r>
      <w:bookmarkEnd w:id="144"/>
      <w:bookmarkEnd w:id="145"/>
      <w:bookmarkEnd w:id="146"/>
    </w:p>
    <w:p w14:paraId="20BFF11A">
      <w:pPr>
        <w:pStyle w:val="169"/>
        <w:keepNext w:val="0"/>
        <w:keepLines w:val="0"/>
        <w:pageBreakBefore w:val="0"/>
        <w:widowControl/>
        <w:kinsoku/>
        <w:wordWrap/>
        <w:overflowPunct/>
        <w:topLinePunct w:val="0"/>
        <w:autoSpaceDE/>
        <w:autoSpaceDN/>
        <w:bidi w:val="0"/>
        <w:adjustRightInd/>
        <w:snapToGrid/>
        <w:spacing w:afterLines="0" w:line="360" w:lineRule="auto"/>
        <w:ind w:firstLine="0"/>
        <w:textAlignment w:val="auto"/>
        <w:rPr>
          <w:rFonts w:cs="Times New Roman"/>
          <w:bCs/>
          <w:color w:val="auto"/>
          <w:sz w:val="24"/>
          <w:szCs w:val="24"/>
          <w:highlight w:val="none"/>
        </w:rPr>
      </w:pPr>
      <w:r>
        <w:rPr>
          <w:rFonts w:cs="Times New Roman"/>
          <w:b/>
          <w:color w:val="auto"/>
          <w:sz w:val="24"/>
          <w:szCs w:val="24"/>
          <w:highlight w:val="none"/>
        </w:rPr>
        <w:t>8.</w:t>
      </w:r>
      <w:r>
        <w:rPr>
          <w:rFonts w:hint="eastAsia" w:cs="Times New Roman"/>
          <w:b/>
          <w:color w:val="auto"/>
          <w:sz w:val="24"/>
          <w:szCs w:val="24"/>
          <w:highlight w:val="none"/>
        </w:rPr>
        <w:t>5</w:t>
      </w:r>
      <w:r>
        <w:rPr>
          <w:rFonts w:cs="Times New Roman"/>
          <w:b/>
          <w:color w:val="auto"/>
          <w:sz w:val="24"/>
          <w:szCs w:val="24"/>
          <w:highlight w:val="none"/>
        </w:rPr>
        <w:t>.</w:t>
      </w:r>
      <w:r>
        <w:rPr>
          <w:rFonts w:hint="eastAsia" w:cs="Times New Roman"/>
          <w:b/>
          <w:color w:val="auto"/>
          <w:sz w:val="24"/>
          <w:szCs w:val="24"/>
          <w:highlight w:val="none"/>
          <w:lang w:val="en-US" w:eastAsia="zh-CN"/>
        </w:rPr>
        <w:t>1</w:t>
      </w:r>
      <w:r>
        <w:rPr>
          <w:rFonts w:cs="Times New Roman"/>
          <w:b/>
          <w:color w:val="auto"/>
          <w:sz w:val="24"/>
          <w:szCs w:val="24"/>
          <w:highlight w:val="none"/>
        </w:rPr>
        <w:t xml:space="preserve">  </w:t>
      </w:r>
      <w:r>
        <w:rPr>
          <w:rFonts w:cs="Times New Roman"/>
          <w:bCs/>
          <w:color w:val="auto"/>
          <w:sz w:val="24"/>
          <w:szCs w:val="24"/>
          <w:highlight w:val="none"/>
        </w:rPr>
        <w:t>采用预应力筋连接实测项目应符合表8</w:t>
      </w:r>
      <w:r>
        <w:rPr>
          <w:rFonts w:hint="eastAsia" w:cs="Times New Roman"/>
          <w:bCs/>
          <w:color w:val="auto"/>
          <w:sz w:val="24"/>
          <w:szCs w:val="24"/>
          <w:highlight w:val="none"/>
          <w:lang w:val="en-US" w:eastAsia="zh-CN"/>
        </w:rPr>
        <w:t>.</w:t>
      </w:r>
      <w:r>
        <w:rPr>
          <w:rFonts w:hint="eastAsia" w:cs="Times New Roman"/>
          <w:bCs/>
          <w:color w:val="auto"/>
          <w:sz w:val="24"/>
          <w:szCs w:val="24"/>
          <w:highlight w:val="none"/>
        </w:rPr>
        <w:t>5</w:t>
      </w:r>
      <w:r>
        <w:rPr>
          <w:rFonts w:cs="Times New Roman"/>
          <w:bCs/>
          <w:color w:val="auto"/>
          <w:sz w:val="24"/>
          <w:szCs w:val="24"/>
          <w:highlight w:val="none"/>
        </w:rPr>
        <w:t>.</w:t>
      </w:r>
      <w:r>
        <w:rPr>
          <w:rFonts w:hint="eastAsia" w:cs="Times New Roman"/>
          <w:bCs/>
          <w:color w:val="auto"/>
          <w:sz w:val="24"/>
          <w:szCs w:val="24"/>
          <w:highlight w:val="none"/>
          <w:lang w:val="en-US" w:eastAsia="zh-CN"/>
        </w:rPr>
        <w:t>1要求</w:t>
      </w:r>
      <w:r>
        <w:rPr>
          <w:rFonts w:cs="Times New Roman"/>
          <w:bCs/>
          <w:color w:val="auto"/>
          <w:sz w:val="24"/>
          <w:szCs w:val="24"/>
          <w:highlight w:val="none"/>
        </w:rPr>
        <w:t>。</w:t>
      </w:r>
    </w:p>
    <w:p w14:paraId="10387241">
      <w:pPr>
        <w:keepNext w:val="0"/>
        <w:keepLines w:val="0"/>
        <w:pageBreakBefore w:val="0"/>
        <w:widowControl w:val="0"/>
        <w:kinsoku/>
        <w:wordWrap/>
        <w:overflowPunct/>
        <w:topLinePunct w:val="0"/>
        <w:autoSpaceDE/>
        <w:autoSpaceDN/>
        <w:bidi w:val="0"/>
        <w:adjustRightInd w:val="0"/>
        <w:snapToGrid w:val="0"/>
        <w:spacing w:before="157" w:beforeLines="50" w:line="360" w:lineRule="auto"/>
        <w:jc w:val="center"/>
        <w:textAlignment w:val="auto"/>
        <w:rPr>
          <w:rFonts w:hint="eastAsia" w:ascii="黑体" w:hAnsi="黑体" w:eastAsia="黑体" w:cs="黑体"/>
          <w:bCs/>
          <w:color w:val="auto"/>
          <w:szCs w:val="21"/>
          <w:highlight w:val="none"/>
        </w:rPr>
      </w:pPr>
      <w:r>
        <w:rPr>
          <w:rFonts w:hint="eastAsia" w:ascii="黑体" w:hAnsi="黑体" w:eastAsia="黑体" w:cs="黑体"/>
          <w:bCs/>
          <w:color w:val="auto"/>
          <w:szCs w:val="21"/>
          <w:highlight w:val="none"/>
        </w:rPr>
        <w:t>表8.5.</w:t>
      </w:r>
      <w:r>
        <w:rPr>
          <w:rFonts w:hint="eastAsia" w:ascii="黑体" w:hAnsi="黑体" w:eastAsia="黑体" w:cs="黑体"/>
          <w:bCs/>
          <w:color w:val="auto"/>
          <w:szCs w:val="21"/>
          <w:highlight w:val="none"/>
          <w:lang w:val="en-US" w:eastAsia="zh-CN"/>
        </w:rPr>
        <w:t>1</w:t>
      </w:r>
      <w:r>
        <w:rPr>
          <w:rFonts w:hint="eastAsia" w:ascii="黑体" w:hAnsi="黑体" w:eastAsia="黑体" w:cs="黑体"/>
          <w:bCs/>
          <w:color w:val="auto"/>
          <w:szCs w:val="21"/>
          <w:highlight w:val="none"/>
        </w:rPr>
        <w:t xml:space="preserve"> 预应力筋连接实测项目</w:t>
      </w:r>
    </w:p>
    <w:tbl>
      <w:tblPr>
        <w:tblStyle w:val="39"/>
        <w:tblW w:w="865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40"/>
        <w:gridCol w:w="2576"/>
        <w:gridCol w:w="2003"/>
        <w:gridCol w:w="3338"/>
      </w:tblGrid>
      <w:tr w14:paraId="0960D3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atLeast"/>
          <w:jc w:val="center"/>
        </w:trPr>
        <w:tc>
          <w:tcPr>
            <w:tcW w:w="740" w:type="dxa"/>
            <w:tcBorders>
              <w:tl2br w:val="nil"/>
              <w:tr2bl w:val="nil"/>
            </w:tcBorders>
            <w:vAlign w:val="center"/>
          </w:tcPr>
          <w:p w14:paraId="1D08B66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项次</w:t>
            </w:r>
          </w:p>
        </w:tc>
        <w:tc>
          <w:tcPr>
            <w:tcW w:w="2576" w:type="dxa"/>
            <w:tcBorders>
              <w:tl2br w:val="nil"/>
              <w:tr2bl w:val="nil"/>
            </w:tcBorders>
            <w:vAlign w:val="center"/>
          </w:tcPr>
          <w:p w14:paraId="7C18F91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检查项目</w:t>
            </w:r>
          </w:p>
        </w:tc>
        <w:tc>
          <w:tcPr>
            <w:tcW w:w="2003" w:type="dxa"/>
            <w:tcBorders>
              <w:tl2br w:val="nil"/>
              <w:tr2bl w:val="nil"/>
            </w:tcBorders>
            <w:vAlign w:val="center"/>
          </w:tcPr>
          <w:p w14:paraId="243E441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规定值或允许偏差</w:t>
            </w:r>
          </w:p>
        </w:tc>
        <w:tc>
          <w:tcPr>
            <w:tcW w:w="3338" w:type="dxa"/>
            <w:tcBorders>
              <w:tl2br w:val="nil"/>
              <w:tr2bl w:val="nil"/>
            </w:tcBorders>
            <w:vAlign w:val="center"/>
          </w:tcPr>
          <w:p w14:paraId="7AF17D7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检查方法和频率</w:t>
            </w:r>
          </w:p>
        </w:tc>
      </w:tr>
      <w:tr w14:paraId="74A3CC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0" w:hRule="atLeast"/>
          <w:jc w:val="center"/>
        </w:trPr>
        <w:tc>
          <w:tcPr>
            <w:tcW w:w="740" w:type="dxa"/>
            <w:tcBorders>
              <w:tl2br w:val="nil"/>
              <w:tr2bl w:val="nil"/>
            </w:tcBorders>
            <w:vAlign w:val="center"/>
          </w:tcPr>
          <w:p w14:paraId="0653E9B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1</w:t>
            </w:r>
          </w:p>
        </w:tc>
        <w:tc>
          <w:tcPr>
            <w:tcW w:w="2576" w:type="dxa"/>
            <w:tcBorders>
              <w:tl2br w:val="nil"/>
              <w:tr2bl w:val="nil"/>
            </w:tcBorders>
            <w:vAlign w:val="center"/>
          </w:tcPr>
          <w:p w14:paraId="33E7F412">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轴线偏移量（mm）</w:t>
            </w:r>
          </w:p>
        </w:tc>
        <w:tc>
          <w:tcPr>
            <w:tcW w:w="2003" w:type="dxa"/>
            <w:tcBorders>
              <w:tl2br w:val="nil"/>
              <w:tr2bl w:val="nil"/>
            </w:tcBorders>
            <w:vAlign w:val="center"/>
          </w:tcPr>
          <w:p w14:paraId="1EBF4B3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bCs/>
                <w:color w:val="auto"/>
                <w:sz w:val="21"/>
                <w:szCs w:val="21"/>
                <w:highlight w:val="none"/>
              </w:rPr>
              <w:t>±3mm</w:t>
            </w:r>
          </w:p>
        </w:tc>
        <w:tc>
          <w:tcPr>
            <w:tcW w:w="3338" w:type="dxa"/>
            <w:tcBorders>
              <w:tl2br w:val="nil"/>
              <w:tr2bl w:val="nil"/>
            </w:tcBorders>
            <w:vAlign w:val="center"/>
          </w:tcPr>
          <w:p w14:paraId="33B3D107">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经纬仪：每跨（墩）3个点</w:t>
            </w:r>
          </w:p>
        </w:tc>
      </w:tr>
      <w:tr w14:paraId="172093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atLeast"/>
          <w:jc w:val="center"/>
        </w:trPr>
        <w:tc>
          <w:tcPr>
            <w:tcW w:w="740" w:type="dxa"/>
            <w:tcBorders>
              <w:tl2br w:val="nil"/>
              <w:tr2bl w:val="nil"/>
            </w:tcBorders>
            <w:vAlign w:val="center"/>
          </w:tcPr>
          <w:p w14:paraId="17342C8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2</w:t>
            </w:r>
          </w:p>
        </w:tc>
        <w:tc>
          <w:tcPr>
            <w:tcW w:w="2576" w:type="dxa"/>
            <w:tcBorders>
              <w:tl2br w:val="nil"/>
              <w:tr2bl w:val="nil"/>
            </w:tcBorders>
            <w:vAlign w:val="center"/>
          </w:tcPr>
          <w:p w14:paraId="731928D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相邻梁节段间顶面高差（mm）</w:t>
            </w:r>
          </w:p>
        </w:tc>
        <w:tc>
          <w:tcPr>
            <w:tcW w:w="2003" w:type="dxa"/>
            <w:tcBorders>
              <w:tl2br w:val="nil"/>
              <w:tr2bl w:val="nil"/>
            </w:tcBorders>
            <w:vAlign w:val="center"/>
          </w:tcPr>
          <w:p w14:paraId="0D56CB3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bCs/>
                <w:color w:val="auto"/>
                <w:sz w:val="21"/>
                <w:szCs w:val="21"/>
                <w:highlight w:val="none"/>
              </w:rPr>
              <w:t>±3mm</w:t>
            </w:r>
          </w:p>
        </w:tc>
        <w:tc>
          <w:tcPr>
            <w:tcW w:w="3338" w:type="dxa"/>
            <w:tcBorders>
              <w:tl2br w:val="nil"/>
              <w:tr2bl w:val="nil"/>
            </w:tcBorders>
            <w:vAlign w:val="center"/>
          </w:tcPr>
          <w:p w14:paraId="0003BC7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直尺：每条接缝2个点</w:t>
            </w:r>
          </w:p>
        </w:tc>
      </w:tr>
      <w:tr w14:paraId="15DE9F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atLeast"/>
          <w:jc w:val="center"/>
        </w:trPr>
        <w:tc>
          <w:tcPr>
            <w:tcW w:w="740" w:type="dxa"/>
            <w:tcBorders>
              <w:tl2br w:val="nil"/>
              <w:tr2bl w:val="nil"/>
            </w:tcBorders>
            <w:vAlign w:val="center"/>
          </w:tcPr>
          <w:p w14:paraId="7EF0ED0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3</w:t>
            </w:r>
          </w:p>
        </w:tc>
        <w:tc>
          <w:tcPr>
            <w:tcW w:w="2576" w:type="dxa"/>
            <w:tcBorders>
              <w:tl2br w:val="nil"/>
              <w:tr2bl w:val="nil"/>
            </w:tcBorders>
            <w:vAlign w:val="center"/>
          </w:tcPr>
          <w:p w14:paraId="448DDC0C">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节段间错台（mm）</w:t>
            </w:r>
          </w:p>
        </w:tc>
        <w:tc>
          <w:tcPr>
            <w:tcW w:w="2003" w:type="dxa"/>
            <w:tcBorders>
              <w:tl2br w:val="nil"/>
              <w:tr2bl w:val="nil"/>
            </w:tcBorders>
            <w:vAlign w:val="center"/>
          </w:tcPr>
          <w:p w14:paraId="3413BB8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bCs/>
                <w:color w:val="auto"/>
                <w:sz w:val="21"/>
                <w:szCs w:val="21"/>
                <w:highlight w:val="none"/>
              </w:rPr>
              <w:t>±3mm</w:t>
            </w:r>
          </w:p>
        </w:tc>
        <w:tc>
          <w:tcPr>
            <w:tcW w:w="3338" w:type="dxa"/>
            <w:tcBorders>
              <w:tl2br w:val="nil"/>
              <w:tr2bl w:val="nil"/>
            </w:tcBorders>
            <w:vAlign w:val="center"/>
          </w:tcPr>
          <w:p w14:paraId="21B6C851">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bCs/>
                <w:color w:val="auto"/>
                <w:sz w:val="21"/>
                <w:szCs w:val="21"/>
                <w:highlight w:val="none"/>
              </w:rPr>
              <w:t>全站仪及尺量:每个墩柱检查1个点</w:t>
            </w:r>
          </w:p>
        </w:tc>
      </w:tr>
      <w:tr w14:paraId="452AC0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atLeast"/>
          <w:jc w:val="center"/>
        </w:trPr>
        <w:tc>
          <w:tcPr>
            <w:tcW w:w="740" w:type="dxa"/>
            <w:tcBorders>
              <w:tl2br w:val="nil"/>
              <w:tr2bl w:val="nil"/>
            </w:tcBorders>
            <w:vAlign w:val="center"/>
          </w:tcPr>
          <w:p w14:paraId="764B024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4</w:t>
            </w:r>
          </w:p>
        </w:tc>
        <w:tc>
          <w:tcPr>
            <w:tcW w:w="2576" w:type="dxa"/>
            <w:tcBorders>
              <w:tl2br w:val="nil"/>
              <w:tr2bl w:val="nil"/>
            </w:tcBorders>
            <w:vAlign w:val="center"/>
          </w:tcPr>
          <w:p w14:paraId="11BA7CC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bCs/>
                <w:color w:val="auto"/>
                <w:sz w:val="21"/>
                <w:szCs w:val="21"/>
                <w:highlight w:val="none"/>
              </w:rPr>
              <w:t>顶面高程</w:t>
            </w:r>
          </w:p>
        </w:tc>
        <w:tc>
          <w:tcPr>
            <w:tcW w:w="2003" w:type="dxa"/>
            <w:tcBorders>
              <w:tl2br w:val="nil"/>
              <w:tr2bl w:val="nil"/>
            </w:tcBorders>
            <w:vAlign w:val="center"/>
          </w:tcPr>
          <w:p w14:paraId="1657538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color w:val="auto"/>
                <w:sz w:val="21"/>
                <w:szCs w:val="21"/>
                <w:highlight w:val="none"/>
              </w:rPr>
              <w:t>±2</w:t>
            </w:r>
            <w:r>
              <w:rPr>
                <w:bCs/>
                <w:color w:val="auto"/>
                <w:sz w:val="21"/>
                <w:szCs w:val="21"/>
                <w:highlight w:val="none"/>
              </w:rPr>
              <w:t xml:space="preserve"> mm</w:t>
            </w:r>
          </w:p>
        </w:tc>
        <w:tc>
          <w:tcPr>
            <w:tcW w:w="3338" w:type="dxa"/>
            <w:tcBorders>
              <w:tl2br w:val="nil"/>
              <w:tr2bl w:val="nil"/>
            </w:tcBorders>
            <w:vAlign w:val="center"/>
          </w:tcPr>
          <w:p w14:paraId="2C4AC203">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color w:val="auto"/>
                <w:sz w:val="21"/>
                <w:szCs w:val="21"/>
                <w:highlight w:val="none"/>
              </w:rPr>
            </w:pPr>
            <w:r>
              <w:rPr>
                <w:bCs/>
                <w:color w:val="auto"/>
                <w:sz w:val="21"/>
                <w:szCs w:val="21"/>
                <w:highlight w:val="none"/>
              </w:rPr>
              <w:t>水准仪:盖梁两端及中间各1个点；梁</w:t>
            </w:r>
            <w:r>
              <w:rPr>
                <w:color w:val="auto"/>
                <w:sz w:val="21"/>
                <w:szCs w:val="21"/>
                <w:highlight w:val="none"/>
              </w:rPr>
              <w:t>每跨3个点</w:t>
            </w:r>
          </w:p>
        </w:tc>
      </w:tr>
    </w:tbl>
    <w:p w14:paraId="2D59ADAC">
      <w:pPr>
        <w:rPr>
          <w:color w:val="auto"/>
          <w:szCs w:val="21"/>
          <w:highlight w:val="none"/>
        </w:rPr>
      </w:pPr>
      <w:r>
        <w:rPr>
          <w:color w:val="auto"/>
          <w:szCs w:val="21"/>
          <w:highlight w:val="none"/>
        </w:rPr>
        <w:br w:type="page"/>
      </w:r>
    </w:p>
    <w:p w14:paraId="1A5DF0FF">
      <w:pPr>
        <w:spacing w:line="360" w:lineRule="auto"/>
        <w:jc w:val="center"/>
        <w:outlineLvl w:val="0"/>
        <w:rPr>
          <w:rFonts w:ascii="Times New Roman" w:hAnsi="Times New Roman"/>
          <w:b/>
          <w:sz w:val="36"/>
          <w:szCs w:val="36"/>
        </w:rPr>
      </w:pPr>
      <w:bookmarkStart w:id="147" w:name="_Toc17827"/>
      <w:bookmarkStart w:id="148" w:name="_Toc114512230"/>
      <w:bookmarkStart w:id="149" w:name="_Toc1735"/>
      <w:bookmarkStart w:id="150" w:name="_Toc15191"/>
      <w:bookmarkStart w:id="151" w:name="_Toc27984"/>
      <w:bookmarkStart w:id="152" w:name="_Toc24273"/>
      <w:r>
        <w:rPr>
          <w:rFonts w:hint="eastAsia" w:ascii="Times New Roman" w:hAnsi="Times New Roman"/>
          <w:b/>
          <w:sz w:val="36"/>
          <w:szCs w:val="36"/>
        </w:rPr>
        <w:t>本标准用词说明</w:t>
      </w:r>
      <w:bookmarkEnd w:id="147"/>
      <w:bookmarkEnd w:id="148"/>
      <w:bookmarkEnd w:id="149"/>
      <w:bookmarkEnd w:id="150"/>
      <w:bookmarkEnd w:id="151"/>
      <w:bookmarkEnd w:id="152"/>
    </w:p>
    <w:p w14:paraId="0AA1940B">
      <w:pPr>
        <w:spacing w:line="360" w:lineRule="auto"/>
        <w:ind w:firstLine="477" w:firstLineChars="199"/>
        <w:jc w:val="left"/>
        <w:rPr>
          <w:rFonts w:ascii="宋体"/>
          <w:sz w:val="24"/>
          <w:szCs w:val="24"/>
        </w:rPr>
      </w:pPr>
      <w:r>
        <w:rPr>
          <w:rFonts w:ascii="宋体" w:hAnsi="宋体"/>
          <w:sz w:val="24"/>
          <w:szCs w:val="24"/>
        </w:rPr>
        <w:t xml:space="preserve">1  </w:t>
      </w:r>
      <w:r>
        <w:rPr>
          <w:rFonts w:hint="eastAsia" w:ascii="宋体" w:hAnsi="宋体"/>
          <w:sz w:val="24"/>
          <w:szCs w:val="24"/>
        </w:rPr>
        <w:t>为便于在执行本标准条文时区别对待，对要求严格程度不同的用词，说明如下：</w:t>
      </w:r>
      <w:r>
        <w:rPr>
          <w:rFonts w:ascii="宋体" w:hAnsi="宋体"/>
          <w:sz w:val="24"/>
          <w:szCs w:val="24"/>
        </w:rPr>
        <w:t xml:space="preserve"> </w:t>
      </w:r>
    </w:p>
    <w:p w14:paraId="758CFDD6">
      <w:pPr>
        <w:numPr>
          <w:ilvl w:val="0"/>
          <w:numId w:val="21"/>
        </w:numPr>
        <w:spacing w:line="360" w:lineRule="auto"/>
        <w:jc w:val="left"/>
        <w:rPr>
          <w:rFonts w:ascii="宋体"/>
          <w:sz w:val="24"/>
          <w:szCs w:val="24"/>
        </w:rPr>
      </w:pPr>
      <w:r>
        <w:rPr>
          <w:rFonts w:hint="eastAsia" w:ascii="宋体" w:hAnsi="宋体"/>
          <w:sz w:val="24"/>
          <w:szCs w:val="24"/>
        </w:rPr>
        <w:t>表示很严格，非这样不可的：</w:t>
      </w:r>
      <w:r>
        <w:rPr>
          <w:rFonts w:ascii="宋体" w:hAnsi="宋体"/>
          <w:sz w:val="24"/>
          <w:szCs w:val="24"/>
        </w:rPr>
        <w:t xml:space="preserve"> </w:t>
      </w:r>
    </w:p>
    <w:p w14:paraId="15E5F8C6">
      <w:pPr>
        <w:spacing w:line="360" w:lineRule="auto"/>
        <w:ind w:firstLine="477" w:firstLineChars="199"/>
        <w:jc w:val="left"/>
        <w:rPr>
          <w:rFonts w:ascii="宋体"/>
          <w:sz w:val="24"/>
          <w:szCs w:val="24"/>
        </w:rPr>
      </w:pPr>
      <w:r>
        <w:rPr>
          <w:rFonts w:hint="eastAsia" w:ascii="宋体" w:hAnsi="宋体"/>
          <w:sz w:val="24"/>
          <w:szCs w:val="24"/>
        </w:rPr>
        <w:t>　　正面词采用</w:t>
      </w:r>
      <w:r>
        <w:rPr>
          <w:rFonts w:hint="eastAsia" w:ascii="宋体"/>
          <w:sz w:val="24"/>
          <w:szCs w:val="24"/>
        </w:rPr>
        <w:t>“</w:t>
      </w:r>
      <w:r>
        <w:rPr>
          <w:rFonts w:hint="eastAsia" w:ascii="宋体" w:hAnsi="宋体"/>
          <w:sz w:val="24"/>
          <w:szCs w:val="24"/>
        </w:rPr>
        <w:t>必须</w:t>
      </w:r>
      <w:r>
        <w:rPr>
          <w:rFonts w:hint="eastAsia" w:ascii="宋体"/>
          <w:sz w:val="24"/>
          <w:szCs w:val="24"/>
        </w:rPr>
        <w:t>”</w:t>
      </w:r>
      <w:r>
        <w:rPr>
          <w:rFonts w:hint="eastAsia" w:ascii="宋体" w:hAnsi="宋体"/>
          <w:sz w:val="24"/>
          <w:szCs w:val="24"/>
        </w:rPr>
        <w:t>；</w:t>
      </w:r>
      <w:r>
        <w:rPr>
          <w:rFonts w:ascii="宋体" w:hAnsi="宋体"/>
          <w:sz w:val="24"/>
          <w:szCs w:val="24"/>
        </w:rPr>
        <w:t xml:space="preserve"> </w:t>
      </w:r>
    </w:p>
    <w:p w14:paraId="63C32A92">
      <w:pPr>
        <w:spacing w:line="360" w:lineRule="auto"/>
        <w:ind w:firstLine="477" w:firstLineChars="199"/>
        <w:jc w:val="left"/>
        <w:rPr>
          <w:rFonts w:ascii="宋体"/>
          <w:sz w:val="24"/>
          <w:szCs w:val="24"/>
        </w:rPr>
      </w:pPr>
      <w:r>
        <w:rPr>
          <w:rFonts w:hint="eastAsia" w:ascii="宋体" w:hAnsi="宋体"/>
          <w:sz w:val="24"/>
          <w:szCs w:val="24"/>
        </w:rPr>
        <w:t>　　反面词采用</w:t>
      </w:r>
      <w:r>
        <w:rPr>
          <w:rFonts w:hint="eastAsia" w:ascii="宋体"/>
          <w:sz w:val="24"/>
          <w:szCs w:val="24"/>
        </w:rPr>
        <w:t>“</w:t>
      </w:r>
      <w:r>
        <w:rPr>
          <w:rFonts w:hint="eastAsia" w:ascii="宋体" w:hAnsi="宋体"/>
          <w:sz w:val="24"/>
          <w:szCs w:val="24"/>
        </w:rPr>
        <w:t>严禁</w:t>
      </w:r>
      <w:r>
        <w:rPr>
          <w:rFonts w:hint="eastAsia" w:ascii="宋体"/>
          <w:sz w:val="24"/>
          <w:szCs w:val="24"/>
        </w:rPr>
        <w:t>”</w:t>
      </w:r>
      <w:r>
        <w:rPr>
          <w:rFonts w:hint="eastAsia" w:ascii="宋体" w:hAnsi="宋体"/>
          <w:sz w:val="24"/>
          <w:szCs w:val="24"/>
        </w:rPr>
        <w:t>。</w:t>
      </w:r>
      <w:r>
        <w:rPr>
          <w:rFonts w:ascii="宋体" w:hAnsi="宋体"/>
          <w:sz w:val="24"/>
          <w:szCs w:val="24"/>
        </w:rPr>
        <w:t xml:space="preserve"> </w:t>
      </w:r>
    </w:p>
    <w:p w14:paraId="7AC68345">
      <w:pPr>
        <w:numPr>
          <w:ilvl w:val="0"/>
          <w:numId w:val="22"/>
        </w:numPr>
        <w:spacing w:line="360" w:lineRule="auto"/>
        <w:jc w:val="left"/>
        <w:rPr>
          <w:rFonts w:ascii="宋体"/>
          <w:sz w:val="24"/>
          <w:szCs w:val="24"/>
        </w:rPr>
      </w:pPr>
      <w:r>
        <w:rPr>
          <w:rFonts w:hint="eastAsia" w:ascii="宋体" w:hAnsi="宋体"/>
          <w:sz w:val="24"/>
          <w:szCs w:val="24"/>
        </w:rPr>
        <w:t>表示严格，在正常情况下均应这样做的：</w:t>
      </w:r>
      <w:r>
        <w:rPr>
          <w:rFonts w:ascii="宋体" w:hAnsi="宋体"/>
          <w:sz w:val="24"/>
          <w:szCs w:val="24"/>
        </w:rPr>
        <w:t xml:space="preserve"> </w:t>
      </w:r>
    </w:p>
    <w:p w14:paraId="5D6422D9">
      <w:pPr>
        <w:spacing w:line="360" w:lineRule="auto"/>
        <w:ind w:firstLine="477" w:firstLineChars="199"/>
        <w:jc w:val="left"/>
        <w:rPr>
          <w:rFonts w:ascii="宋体"/>
          <w:sz w:val="24"/>
          <w:szCs w:val="24"/>
        </w:rPr>
      </w:pPr>
      <w:r>
        <w:rPr>
          <w:rFonts w:hint="eastAsia" w:ascii="宋体" w:hAnsi="宋体"/>
          <w:sz w:val="24"/>
          <w:szCs w:val="24"/>
        </w:rPr>
        <w:t>　　正面词采用</w:t>
      </w:r>
      <w:r>
        <w:rPr>
          <w:rFonts w:hint="eastAsia" w:ascii="宋体"/>
          <w:sz w:val="24"/>
          <w:szCs w:val="24"/>
        </w:rPr>
        <w:t>“</w:t>
      </w:r>
      <w:r>
        <w:rPr>
          <w:rFonts w:hint="eastAsia" w:ascii="宋体" w:hAnsi="宋体"/>
          <w:sz w:val="24"/>
          <w:szCs w:val="24"/>
        </w:rPr>
        <w:t>应</w:t>
      </w:r>
      <w:r>
        <w:rPr>
          <w:rFonts w:hint="eastAsia" w:ascii="宋体"/>
          <w:sz w:val="24"/>
          <w:szCs w:val="24"/>
        </w:rPr>
        <w:t>”</w:t>
      </w:r>
      <w:r>
        <w:rPr>
          <w:rFonts w:hint="eastAsia" w:ascii="宋体" w:hAnsi="宋体"/>
          <w:sz w:val="24"/>
          <w:szCs w:val="24"/>
        </w:rPr>
        <w:t>；</w:t>
      </w:r>
      <w:r>
        <w:rPr>
          <w:rFonts w:ascii="宋体" w:hAnsi="宋体"/>
          <w:sz w:val="24"/>
          <w:szCs w:val="24"/>
        </w:rPr>
        <w:t xml:space="preserve"> </w:t>
      </w:r>
    </w:p>
    <w:p w14:paraId="7F5E57BB">
      <w:pPr>
        <w:spacing w:line="360" w:lineRule="auto"/>
        <w:ind w:firstLine="477" w:firstLineChars="199"/>
        <w:jc w:val="left"/>
        <w:rPr>
          <w:rFonts w:ascii="宋体"/>
          <w:sz w:val="24"/>
          <w:szCs w:val="24"/>
        </w:rPr>
      </w:pPr>
      <w:r>
        <w:rPr>
          <w:rFonts w:hint="eastAsia" w:ascii="宋体" w:hAnsi="宋体"/>
          <w:sz w:val="24"/>
          <w:szCs w:val="24"/>
        </w:rPr>
        <w:t>　　反面词采用</w:t>
      </w:r>
      <w:r>
        <w:rPr>
          <w:rFonts w:hint="eastAsia" w:ascii="宋体"/>
          <w:sz w:val="24"/>
          <w:szCs w:val="24"/>
        </w:rPr>
        <w:t>“</w:t>
      </w:r>
      <w:r>
        <w:rPr>
          <w:rFonts w:hint="eastAsia" w:ascii="宋体" w:hAnsi="宋体"/>
          <w:sz w:val="24"/>
          <w:szCs w:val="24"/>
        </w:rPr>
        <w:t>不应</w:t>
      </w:r>
      <w:r>
        <w:rPr>
          <w:rFonts w:hint="eastAsia" w:ascii="宋体"/>
          <w:sz w:val="24"/>
          <w:szCs w:val="24"/>
        </w:rPr>
        <w:t>”</w:t>
      </w:r>
      <w:r>
        <w:rPr>
          <w:rFonts w:hint="eastAsia" w:ascii="宋体" w:hAnsi="宋体"/>
          <w:sz w:val="24"/>
          <w:szCs w:val="24"/>
        </w:rPr>
        <w:t>或</w:t>
      </w:r>
      <w:r>
        <w:rPr>
          <w:rFonts w:hint="eastAsia" w:ascii="宋体"/>
          <w:sz w:val="24"/>
          <w:szCs w:val="24"/>
        </w:rPr>
        <w:t>“</w:t>
      </w:r>
      <w:r>
        <w:rPr>
          <w:rFonts w:hint="eastAsia" w:ascii="宋体" w:hAnsi="宋体"/>
          <w:sz w:val="24"/>
          <w:szCs w:val="24"/>
        </w:rPr>
        <w:t>不得</w:t>
      </w:r>
      <w:r>
        <w:rPr>
          <w:rFonts w:hint="eastAsia" w:ascii="宋体"/>
          <w:sz w:val="24"/>
          <w:szCs w:val="24"/>
        </w:rPr>
        <w:t>”</w:t>
      </w:r>
      <w:r>
        <w:rPr>
          <w:rFonts w:hint="eastAsia" w:ascii="宋体" w:hAnsi="宋体"/>
          <w:sz w:val="24"/>
          <w:szCs w:val="24"/>
        </w:rPr>
        <w:t>。</w:t>
      </w:r>
      <w:r>
        <w:rPr>
          <w:rFonts w:ascii="宋体" w:hAnsi="宋体"/>
          <w:sz w:val="24"/>
          <w:szCs w:val="24"/>
        </w:rPr>
        <w:t xml:space="preserve"> </w:t>
      </w:r>
    </w:p>
    <w:p w14:paraId="3CB11524">
      <w:pPr>
        <w:numPr>
          <w:ilvl w:val="0"/>
          <w:numId w:val="23"/>
        </w:numPr>
        <w:spacing w:line="360" w:lineRule="auto"/>
        <w:jc w:val="left"/>
        <w:rPr>
          <w:rFonts w:ascii="宋体"/>
          <w:sz w:val="24"/>
          <w:szCs w:val="24"/>
        </w:rPr>
      </w:pPr>
      <w:r>
        <w:rPr>
          <w:rFonts w:hint="eastAsia" w:ascii="宋体" w:hAnsi="宋体"/>
          <w:sz w:val="24"/>
          <w:szCs w:val="24"/>
        </w:rPr>
        <w:t>表示允许稍有选择，在条件许可时首先应这样做的：</w:t>
      </w:r>
      <w:r>
        <w:rPr>
          <w:rFonts w:ascii="宋体" w:hAnsi="宋体"/>
          <w:sz w:val="24"/>
          <w:szCs w:val="24"/>
        </w:rPr>
        <w:t xml:space="preserve"> </w:t>
      </w:r>
    </w:p>
    <w:p w14:paraId="5AA46ED3">
      <w:pPr>
        <w:spacing w:line="360" w:lineRule="auto"/>
        <w:ind w:firstLine="477" w:firstLineChars="199"/>
        <w:jc w:val="left"/>
        <w:rPr>
          <w:rFonts w:ascii="宋体"/>
          <w:sz w:val="24"/>
          <w:szCs w:val="24"/>
        </w:rPr>
      </w:pPr>
      <w:r>
        <w:rPr>
          <w:rFonts w:hint="eastAsia" w:ascii="宋体" w:hAnsi="宋体"/>
          <w:sz w:val="24"/>
          <w:szCs w:val="24"/>
        </w:rPr>
        <w:t>　　正面词采用</w:t>
      </w:r>
      <w:r>
        <w:rPr>
          <w:rFonts w:hint="eastAsia" w:ascii="宋体"/>
          <w:sz w:val="24"/>
          <w:szCs w:val="24"/>
        </w:rPr>
        <w:t>“</w:t>
      </w:r>
      <w:r>
        <w:rPr>
          <w:rFonts w:hint="eastAsia" w:ascii="宋体" w:hAnsi="宋体"/>
          <w:sz w:val="24"/>
          <w:szCs w:val="24"/>
        </w:rPr>
        <w:t>宜</w:t>
      </w:r>
      <w:r>
        <w:rPr>
          <w:rFonts w:hint="eastAsia" w:ascii="宋体"/>
          <w:sz w:val="24"/>
          <w:szCs w:val="24"/>
        </w:rPr>
        <w:t>”</w:t>
      </w:r>
      <w:r>
        <w:rPr>
          <w:rFonts w:hint="eastAsia" w:ascii="宋体" w:hAnsi="宋体"/>
          <w:sz w:val="24"/>
          <w:szCs w:val="24"/>
        </w:rPr>
        <w:t>；</w:t>
      </w:r>
      <w:r>
        <w:rPr>
          <w:rFonts w:ascii="宋体" w:hAnsi="宋体"/>
          <w:sz w:val="24"/>
          <w:szCs w:val="24"/>
        </w:rPr>
        <w:t xml:space="preserve"> </w:t>
      </w:r>
    </w:p>
    <w:p w14:paraId="71A256E2">
      <w:pPr>
        <w:spacing w:line="360" w:lineRule="auto"/>
        <w:ind w:firstLine="477" w:firstLineChars="199"/>
        <w:jc w:val="left"/>
        <w:rPr>
          <w:rFonts w:ascii="宋体"/>
          <w:sz w:val="24"/>
          <w:szCs w:val="24"/>
        </w:rPr>
      </w:pPr>
      <w:r>
        <w:rPr>
          <w:rFonts w:hint="eastAsia" w:ascii="宋体" w:hAnsi="宋体"/>
          <w:sz w:val="24"/>
          <w:szCs w:val="24"/>
        </w:rPr>
        <w:t>　　反面词采用</w:t>
      </w:r>
      <w:r>
        <w:rPr>
          <w:rFonts w:hint="eastAsia" w:ascii="宋体"/>
          <w:sz w:val="24"/>
          <w:szCs w:val="24"/>
        </w:rPr>
        <w:t>“</w:t>
      </w:r>
      <w:r>
        <w:rPr>
          <w:rFonts w:hint="eastAsia" w:ascii="宋体" w:hAnsi="宋体"/>
          <w:sz w:val="24"/>
          <w:szCs w:val="24"/>
        </w:rPr>
        <w:t>不宜</w:t>
      </w:r>
      <w:r>
        <w:rPr>
          <w:rFonts w:hint="eastAsia" w:ascii="宋体"/>
          <w:sz w:val="24"/>
          <w:szCs w:val="24"/>
        </w:rPr>
        <w:t>”</w:t>
      </w:r>
      <w:r>
        <w:rPr>
          <w:rFonts w:hint="eastAsia" w:ascii="宋体" w:hAnsi="宋体"/>
          <w:sz w:val="24"/>
          <w:szCs w:val="24"/>
        </w:rPr>
        <w:t>。</w:t>
      </w:r>
      <w:r>
        <w:rPr>
          <w:rFonts w:ascii="宋体" w:hAnsi="宋体"/>
          <w:sz w:val="24"/>
          <w:szCs w:val="24"/>
        </w:rPr>
        <w:t xml:space="preserve"> </w:t>
      </w:r>
    </w:p>
    <w:p w14:paraId="004DEE45">
      <w:pPr>
        <w:spacing w:line="360" w:lineRule="auto"/>
        <w:ind w:firstLine="360" w:firstLineChars="150"/>
        <w:jc w:val="left"/>
        <w:rPr>
          <w:rFonts w:ascii="宋体"/>
          <w:sz w:val="24"/>
          <w:szCs w:val="24"/>
        </w:rPr>
      </w:pPr>
      <w:r>
        <w:rPr>
          <w:rFonts w:ascii="宋体" w:hAnsi="宋体"/>
          <w:sz w:val="24"/>
          <w:szCs w:val="24"/>
        </w:rPr>
        <w:t xml:space="preserve">4) </w:t>
      </w:r>
      <w:r>
        <w:rPr>
          <w:rFonts w:hint="eastAsia" w:ascii="宋体" w:hAnsi="宋体"/>
          <w:sz w:val="24"/>
          <w:szCs w:val="24"/>
        </w:rPr>
        <w:t>表示有选择，在一定条件下可以这样做的用词，采用</w:t>
      </w:r>
      <w:r>
        <w:rPr>
          <w:rFonts w:hint="eastAsia" w:ascii="宋体"/>
          <w:sz w:val="24"/>
          <w:szCs w:val="24"/>
        </w:rPr>
        <w:t>“</w:t>
      </w:r>
      <w:r>
        <w:rPr>
          <w:rFonts w:hint="eastAsia" w:ascii="宋体" w:hAnsi="宋体"/>
          <w:sz w:val="24"/>
          <w:szCs w:val="24"/>
        </w:rPr>
        <w:t>可</w:t>
      </w:r>
      <w:r>
        <w:rPr>
          <w:rFonts w:hint="eastAsia" w:ascii="宋体"/>
          <w:sz w:val="24"/>
          <w:szCs w:val="24"/>
        </w:rPr>
        <w:t>”</w:t>
      </w:r>
      <w:r>
        <w:rPr>
          <w:rFonts w:hint="eastAsia" w:ascii="宋体" w:hAnsi="宋体"/>
          <w:sz w:val="24"/>
          <w:szCs w:val="24"/>
        </w:rPr>
        <w:t>。</w:t>
      </w:r>
    </w:p>
    <w:p w14:paraId="0800A7BE">
      <w:pPr>
        <w:spacing w:line="360" w:lineRule="auto"/>
        <w:ind w:firstLine="360" w:firstLineChars="150"/>
        <w:jc w:val="left"/>
        <w:rPr>
          <w:rFonts w:ascii="宋体"/>
          <w:sz w:val="24"/>
          <w:szCs w:val="24"/>
        </w:rPr>
      </w:pPr>
      <w:r>
        <w:rPr>
          <w:rFonts w:ascii="宋体" w:hAnsi="宋体"/>
          <w:sz w:val="24"/>
          <w:szCs w:val="24"/>
        </w:rPr>
        <w:t xml:space="preserve">2  </w:t>
      </w:r>
      <w:r>
        <w:rPr>
          <w:rFonts w:hint="eastAsia" w:ascii="宋体" w:hAnsi="宋体"/>
          <w:sz w:val="24"/>
          <w:szCs w:val="24"/>
        </w:rPr>
        <w:t>条文中指定应按其他有关标准、规范执行时的写法为</w:t>
      </w:r>
      <w:r>
        <w:rPr>
          <w:rFonts w:hint="eastAsia" w:ascii="宋体"/>
          <w:sz w:val="24"/>
          <w:szCs w:val="24"/>
        </w:rPr>
        <w:t>“</w:t>
      </w:r>
      <w:r>
        <w:rPr>
          <w:rFonts w:hint="eastAsia" w:ascii="宋体" w:hAnsi="宋体"/>
          <w:sz w:val="24"/>
          <w:szCs w:val="24"/>
        </w:rPr>
        <w:t>应按</w:t>
      </w:r>
      <w:r>
        <w:rPr>
          <w:rFonts w:hint="eastAsia" w:ascii="宋体"/>
          <w:sz w:val="24"/>
          <w:szCs w:val="24"/>
        </w:rPr>
        <w:t>……</w:t>
      </w:r>
      <w:r>
        <w:rPr>
          <w:rFonts w:hint="eastAsia" w:ascii="宋体" w:hAnsi="宋体"/>
          <w:sz w:val="24"/>
          <w:szCs w:val="24"/>
        </w:rPr>
        <w:t>执行</w:t>
      </w:r>
      <w:r>
        <w:rPr>
          <w:rFonts w:hint="eastAsia" w:ascii="宋体"/>
          <w:sz w:val="24"/>
          <w:szCs w:val="24"/>
        </w:rPr>
        <w:t>”</w:t>
      </w:r>
      <w:r>
        <w:rPr>
          <w:rFonts w:hint="eastAsia" w:ascii="宋体" w:hAnsi="宋体"/>
          <w:sz w:val="24"/>
          <w:szCs w:val="24"/>
        </w:rPr>
        <w:t>或</w:t>
      </w:r>
      <w:r>
        <w:rPr>
          <w:rFonts w:hint="eastAsia" w:ascii="宋体"/>
          <w:sz w:val="24"/>
          <w:szCs w:val="24"/>
        </w:rPr>
        <w:t>“</w:t>
      </w:r>
      <w:r>
        <w:rPr>
          <w:rFonts w:hint="eastAsia" w:ascii="宋体" w:hAnsi="宋体"/>
          <w:sz w:val="24"/>
          <w:szCs w:val="24"/>
        </w:rPr>
        <w:t>应符合</w:t>
      </w:r>
      <w:r>
        <w:rPr>
          <w:rFonts w:hint="eastAsia" w:ascii="宋体"/>
          <w:sz w:val="24"/>
          <w:szCs w:val="24"/>
        </w:rPr>
        <w:t>……</w:t>
      </w:r>
      <w:r>
        <w:rPr>
          <w:rFonts w:hint="eastAsia" w:ascii="宋体" w:hAnsi="宋体"/>
          <w:sz w:val="24"/>
          <w:szCs w:val="24"/>
        </w:rPr>
        <w:t>的要求（规定）</w:t>
      </w:r>
      <w:r>
        <w:rPr>
          <w:rFonts w:hint="eastAsia" w:ascii="宋体"/>
          <w:sz w:val="24"/>
          <w:szCs w:val="24"/>
        </w:rPr>
        <w:t>”</w:t>
      </w:r>
      <w:r>
        <w:rPr>
          <w:rFonts w:hint="eastAsia" w:ascii="宋体" w:hAnsi="宋体"/>
          <w:sz w:val="24"/>
          <w:szCs w:val="24"/>
        </w:rPr>
        <w:t>。非应按所指定的标准执行时，写法为</w:t>
      </w:r>
      <w:r>
        <w:rPr>
          <w:rFonts w:hint="eastAsia" w:ascii="宋体"/>
          <w:sz w:val="24"/>
          <w:szCs w:val="24"/>
        </w:rPr>
        <w:t>“</w:t>
      </w:r>
      <w:r>
        <w:rPr>
          <w:rFonts w:hint="eastAsia" w:ascii="宋体" w:hAnsi="宋体"/>
          <w:sz w:val="24"/>
          <w:szCs w:val="24"/>
        </w:rPr>
        <w:t>可参照</w:t>
      </w:r>
      <w:r>
        <w:rPr>
          <w:rFonts w:hint="eastAsia" w:ascii="宋体"/>
          <w:sz w:val="24"/>
          <w:szCs w:val="24"/>
        </w:rPr>
        <w:t>……</w:t>
      </w:r>
      <w:r>
        <w:rPr>
          <w:rFonts w:hint="eastAsia" w:ascii="宋体" w:hAnsi="宋体"/>
          <w:sz w:val="24"/>
          <w:szCs w:val="24"/>
        </w:rPr>
        <w:t>执行</w:t>
      </w:r>
      <w:r>
        <w:rPr>
          <w:rFonts w:hint="eastAsia" w:ascii="宋体"/>
          <w:sz w:val="24"/>
          <w:szCs w:val="24"/>
        </w:rPr>
        <w:t>”</w:t>
      </w:r>
      <w:r>
        <w:rPr>
          <w:rFonts w:hint="eastAsia" w:ascii="宋体" w:hAnsi="宋体"/>
          <w:sz w:val="24"/>
          <w:szCs w:val="24"/>
        </w:rPr>
        <w:t>。</w:t>
      </w:r>
    </w:p>
    <w:p w14:paraId="65773795">
      <w:pPr>
        <w:rPr>
          <w:rFonts w:eastAsiaTheme="minorEastAsia"/>
          <w:color w:val="auto"/>
          <w:highlight w:val="none"/>
        </w:rPr>
      </w:pPr>
      <w:r>
        <w:rPr>
          <w:rFonts w:hint="default" w:ascii="Times New Roman" w:hAnsi="Times New Roman" w:cs="Times New Roman"/>
          <w:bCs/>
          <w:color w:val="auto"/>
          <w:szCs w:val="21"/>
          <w:highlight w:val="none"/>
        </w:rPr>
        <w:br w:type="page"/>
      </w:r>
    </w:p>
    <w:p w14:paraId="6202D532">
      <w:pPr>
        <w:spacing w:line="360" w:lineRule="auto"/>
        <w:jc w:val="center"/>
        <w:outlineLvl w:val="0"/>
        <w:rPr>
          <w:rFonts w:ascii="Times New Roman" w:hAnsi="Times New Roman"/>
          <w:b/>
          <w:sz w:val="36"/>
          <w:szCs w:val="36"/>
        </w:rPr>
      </w:pPr>
      <w:bookmarkStart w:id="153" w:name="_Toc114512231"/>
      <w:bookmarkStart w:id="154" w:name="_Toc20046"/>
      <w:bookmarkStart w:id="155" w:name="_Toc4699"/>
      <w:bookmarkStart w:id="156" w:name="_Toc8893"/>
      <w:bookmarkStart w:id="157" w:name="_Toc13831"/>
      <w:bookmarkStart w:id="158" w:name="_Toc12443"/>
      <w:bookmarkStart w:id="159" w:name="_Toc5745"/>
      <w:bookmarkStart w:id="160" w:name="_Toc13185"/>
      <w:bookmarkStart w:id="161" w:name="_Toc30672"/>
      <w:r>
        <w:rPr>
          <w:rFonts w:hint="eastAsia" w:ascii="Times New Roman" w:hAnsi="Times New Roman"/>
          <w:b/>
          <w:sz w:val="36"/>
          <w:szCs w:val="36"/>
        </w:rPr>
        <w:t>引用标准名录</w:t>
      </w:r>
      <w:bookmarkEnd w:id="153"/>
      <w:bookmarkEnd w:id="154"/>
      <w:bookmarkEnd w:id="155"/>
      <w:bookmarkEnd w:id="156"/>
      <w:bookmarkEnd w:id="157"/>
      <w:bookmarkEnd w:id="158"/>
      <w:bookmarkEnd w:id="159"/>
      <w:bookmarkEnd w:id="160"/>
      <w:bookmarkEnd w:id="161"/>
    </w:p>
    <w:p w14:paraId="5885C018">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ascii="Times New Roman" w:hAnsi="Times New Roman" w:cs="Times New Roman"/>
          <w:bCs/>
          <w:color w:val="auto"/>
          <w:sz w:val="24"/>
          <w:szCs w:val="24"/>
          <w:highlight w:val="none"/>
        </w:rPr>
      </w:pPr>
      <w:r>
        <w:rPr>
          <w:rFonts w:hint="default" w:ascii="Times New Roman" w:hAnsi="Times New Roman" w:cs="Times New Roman"/>
          <w:bCs/>
          <w:color w:val="auto"/>
          <w:sz w:val="24"/>
          <w:szCs w:val="24"/>
          <w:highlight w:val="none"/>
        </w:rPr>
        <w:t>下列文件中的条款通过本规程的引用而成为本规程的条款，引用文件均不录入发布年份，均以采用本规程实施时的最新版本为准。</w:t>
      </w:r>
    </w:p>
    <w:p w14:paraId="01B3E717">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1.</w:t>
      </w:r>
      <w:r>
        <w:rPr>
          <w:bCs/>
          <w:color w:val="auto"/>
          <w:sz w:val="24"/>
          <w:szCs w:val="24"/>
          <w:highlight w:val="none"/>
        </w:rPr>
        <w:t xml:space="preserve">《球墨铸铁件》 GB / T1348 </w:t>
      </w:r>
    </w:p>
    <w:p w14:paraId="2C8DCAF1">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bookmarkStart w:id="162" w:name="OLE_LINK1"/>
      <w:r>
        <w:rPr>
          <w:rFonts w:hint="eastAsia"/>
          <w:b/>
          <w:bCs w:val="0"/>
          <w:color w:val="auto"/>
          <w:sz w:val="24"/>
          <w:szCs w:val="24"/>
          <w:highlight w:val="none"/>
          <w:lang w:val="en-US" w:eastAsia="zh-CN"/>
        </w:rPr>
        <w:t>2.</w:t>
      </w:r>
      <w:r>
        <w:rPr>
          <w:bCs/>
          <w:color w:val="auto"/>
          <w:sz w:val="24"/>
          <w:szCs w:val="24"/>
          <w:highlight w:val="none"/>
        </w:rPr>
        <w:t>《优质碳素结构钢》GB / T699</w:t>
      </w:r>
      <w:bookmarkEnd w:id="162"/>
      <w:r>
        <w:rPr>
          <w:bCs/>
          <w:color w:val="auto"/>
          <w:sz w:val="24"/>
          <w:szCs w:val="24"/>
          <w:highlight w:val="none"/>
        </w:rPr>
        <w:t xml:space="preserve"> </w:t>
      </w:r>
    </w:p>
    <w:p w14:paraId="442B8FBE">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3</w:t>
      </w:r>
      <w:r>
        <w:rPr>
          <w:rFonts w:hint="eastAsia"/>
          <w:bCs/>
          <w:color w:val="auto"/>
          <w:sz w:val="24"/>
          <w:szCs w:val="24"/>
          <w:highlight w:val="none"/>
          <w:lang w:val="en-US" w:eastAsia="zh-CN"/>
        </w:rPr>
        <w:t>.</w:t>
      </w:r>
      <w:r>
        <w:rPr>
          <w:bCs/>
          <w:color w:val="auto"/>
          <w:sz w:val="24"/>
          <w:szCs w:val="24"/>
          <w:highlight w:val="none"/>
        </w:rPr>
        <w:t>《碳素结构钢》GB/T 700</w:t>
      </w:r>
    </w:p>
    <w:p w14:paraId="5C0A4BD1">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4.</w:t>
      </w:r>
      <w:r>
        <w:rPr>
          <w:bCs/>
          <w:color w:val="auto"/>
          <w:sz w:val="24"/>
          <w:szCs w:val="24"/>
          <w:highlight w:val="none"/>
        </w:rPr>
        <w:t>《低合金高强度结构钢》GB/T 1591</w:t>
      </w:r>
    </w:p>
    <w:p w14:paraId="7CD994D0">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5.</w:t>
      </w:r>
      <w:r>
        <w:rPr>
          <w:bCs/>
          <w:color w:val="auto"/>
          <w:sz w:val="24"/>
          <w:szCs w:val="24"/>
          <w:highlight w:val="none"/>
        </w:rPr>
        <w:t>《合金结构钢》GB/T 3077</w:t>
      </w:r>
    </w:p>
    <w:p w14:paraId="0A828F67">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6.</w:t>
      </w:r>
      <w:r>
        <w:rPr>
          <w:bCs/>
          <w:color w:val="auto"/>
          <w:sz w:val="24"/>
          <w:szCs w:val="24"/>
          <w:highlight w:val="none"/>
        </w:rPr>
        <w:t xml:space="preserve">《直缝电焊钢管》GB / T13793 </w:t>
      </w:r>
    </w:p>
    <w:p w14:paraId="5D434123">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7.</w:t>
      </w:r>
      <w:r>
        <w:rPr>
          <w:bCs/>
          <w:color w:val="auto"/>
          <w:sz w:val="24"/>
          <w:szCs w:val="24"/>
          <w:highlight w:val="none"/>
        </w:rPr>
        <w:t xml:space="preserve">《结构用无缝钢管》 GB / T8162 </w:t>
      </w:r>
    </w:p>
    <w:p w14:paraId="3A1919D7">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bookmarkStart w:id="163" w:name="OLE_LINK4"/>
      <w:r>
        <w:rPr>
          <w:rFonts w:hint="eastAsia"/>
          <w:b/>
          <w:bCs w:val="0"/>
          <w:color w:val="auto"/>
          <w:sz w:val="24"/>
          <w:szCs w:val="24"/>
          <w:highlight w:val="none"/>
          <w:lang w:val="en-US" w:eastAsia="zh-CN"/>
        </w:rPr>
        <w:t>8.</w:t>
      </w:r>
      <w:r>
        <w:rPr>
          <w:bCs/>
          <w:color w:val="auto"/>
          <w:sz w:val="24"/>
          <w:szCs w:val="24"/>
          <w:highlight w:val="none"/>
        </w:rPr>
        <w:t xml:space="preserve">《预应力钢筋用锚具、夹具和连接器》GB / T14370 </w:t>
      </w:r>
    </w:p>
    <w:p w14:paraId="69532331">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9.</w:t>
      </w:r>
      <w:r>
        <w:rPr>
          <w:bCs/>
          <w:color w:val="auto"/>
          <w:sz w:val="24"/>
          <w:szCs w:val="24"/>
          <w:highlight w:val="none"/>
        </w:rPr>
        <w:t xml:space="preserve">《水泥基灌浆材料应用技术规范》GB/ T 50448 </w:t>
      </w:r>
      <w:bookmarkEnd w:id="163"/>
    </w:p>
    <w:p w14:paraId="5E0BC0A2">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10.</w:t>
      </w:r>
      <w:r>
        <w:rPr>
          <w:rFonts w:hint="eastAsia"/>
          <w:bCs/>
          <w:color w:val="auto"/>
          <w:sz w:val="24"/>
          <w:szCs w:val="24"/>
          <w:highlight w:val="none"/>
        </w:rPr>
        <w:t>《节段预制混凝土桥梁技术标准》CJJ_T 111</w:t>
      </w:r>
    </w:p>
    <w:p w14:paraId="37E28541">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11.</w:t>
      </w:r>
      <w:r>
        <w:rPr>
          <w:bCs/>
          <w:color w:val="auto"/>
          <w:sz w:val="24"/>
          <w:szCs w:val="24"/>
          <w:highlight w:val="none"/>
        </w:rPr>
        <w:t>《城市桥梁设计规范》CJJ11</w:t>
      </w:r>
    </w:p>
    <w:p w14:paraId="31937E31">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12.</w:t>
      </w:r>
      <w:r>
        <w:rPr>
          <w:bCs/>
          <w:color w:val="auto"/>
          <w:sz w:val="24"/>
          <w:szCs w:val="24"/>
          <w:highlight w:val="none"/>
        </w:rPr>
        <w:t>《城市桥梁抗震设计规范》CJJ 166</w:t>
      </w:r>
    </w:p>
    <w:p w14:paraId="3225AE42">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color w:val="auto"/>
          <w:sz w:val="24"/>
          <w:szCs w:val="24"/>
          <w:highlight w:val="none"/>
        </w:rPr>
      </w:pPr>
      <w:r>
        <w:rPr>
          <w:rFonts w:hint="eastAsia"/>
          <w:b/>
          <w:bCs w:val="0"/>
          <w:color w:val="auto"/>
          <w:sz w:val="24"/>
          <w:szCs w:val="24"/>
          <w:highlight w:val="none"/>
          <w:lang w:val="en-US" w:eastAsia="zh-CN"/>
        </w:rPr>
        <w:t>13.</w:t>
      </w:r>
      <w:r>
        <w:rPr>
          <w:bCs/>
          <w:color w:val="auto"/>
          <w:sz w:val="24"/>
          <w:szCs w:val="24"/>
          <w:highlight w:val="none"/>
        </w:rPr>
        <w:t>《城市桥梁工程施工与质量验收规范》CJJ 2</w:t>
      </w:r>
    </w:p>
    <w:p w14:paraId="7E0AE0B0">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14.</w:t>
      </w:r>
      <w:r>
        <w:rPr>
          <w:bCs/>
          <w:color w:val="auto"/>
          <w:sz w:val="24"/>
          <w:szCs w:val="24"/>
          <w:highlight w:val="none"/>
        </w:rPr>
        <w:t>《预应力混凝土用金属波纹管》JG 225</w:t>
      </w:r>
    </w:p>
    <w:p w14:paraId="0FDCB197">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15.</w:t>
      </w:r>
      <w:r>
        <w:rPr>
          <w:bCs/>
          <w:color w:val="auto"/>
          <w:sz w:val="24"/>
          <w:szCs w:val="24"/>
          <w:highlight w:val="none"/>
        </w:rPr>
        <w:t>《钢筋连接用套筒灌浆料》 JG / T408</w:t>
      </w:r>
    </w:p>
    <w:p w14:paraId="177ACA1A">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color w:val="auto"/>
          <w:sz w:val="24"/>
          <w:szCs w:val="24"/>
          <w:highlight w:val="none"/>
        </w:rPr>
      </w:pPr>
      <w:r>
        <w:rPr>
          <w:rFonts w:hint="eastAsia"/>
          <w:b/>
          <w:bCs w:val="0"/>
          <w:color w:val="auto"/>
          <w:sz w:val="24"/>
          <w:szCs w:val="24"/>
          <w:highlight w:val="none"/>
          <w:lang w:val="en-US" w:eastAsia="zh-CN"/>
        </w:rPr>
        <w:t>16.</w:t>
      </w:r>
      <w:r>
        <w:rPr>
          <w:bCs/>
          <w:color w:val="auto"/>
          <w:sz w:val="24"/>
          <w:szCs w:val="24"/>
          <w:highlight w:val="none"/>
        </w:rPr>
        <w:t>《钢筋连接用灌浆套筒》JG/T 398</w:t>
      </w:r>
    </w:p>
    <w:p w14:paraId="2317E501">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color w:val="auto"/>
          <w:sz w:val="24"/>
          <w:szCs w:val="24"/>
          <w:highlight w:val="none"/>
        </w:rPr>
      </w:pPr>
      <w:r>
        <w:rPr>
          <w:rFonts w:hint="eastAsia"/>
          <w:b/>
          <w:bCs w:val="0"/>
          <w:color w:val="auto"/>
          <w:sz w:val="24"/>
          <w:szCs w:val="24"/>
          <w:highlight w:val="none"/>
          <w:lang w:val="en-US" w:eastAsia="zh-CN"/>
        </w:rPr>
        <w:t>17.</w:t>
      </w:r>
      <w:r>
        <w:rPr>
          <w:bCs/>
          <w:color w:val="auto"/>
          <w:sz w:val="24"/>
          <w:szCs w:val="24"/>
          <w:highlight w:val="none"/>
        </w:rPr>
        <w:t>《钢筋套筒灌浆连接应用技术规程》JGJ355</w:t>
      </w:r>
    </w:p>
    <w:p w14:paraId="4D49CBDB">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18.</w:t>
      </w:r>
      <w:r>
        <w:rPr>
          <w:bCs/>
          <w:color w:val="auto"/>
          <w:sz w:val="24"/>
          <w:szCs w:val="24"/>
          <w:highlight w:val="none"/>
        </w:rPr>
        <w:t>《公路钢筋混凝土及预应力混凝土桥涵设计规范》JTG 3362</w:t>
      </w:r>
    </w:p>
    <w:p w14:paraId="423A20AA">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19.</w:t>
      </w:r>
      <w:r>
        <w:rPr>
          <w:bCs/>
          <w:color w:val="auto"/>
          <w:sz w:val="24"/>
          <w:szCs w:val="24"/>
          <w:highlight w:val="none"/>
        </w:rPr>
        <w:t>《公路装配式混凝土桥梁设计规范》JTGT 3365-05</w:t>
      </w:r>
    </w:p>
    <w:p w14:paraId="6654A6FB">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20.</w:t>
      </w:r>
      <w:r>
        <w:rPr>
          <w:bCs/>
          <w:color w:val="auto"/>
          <w:sz w:val="24"/>
          <w:szCs w:val="24"/>
          <w:highlight w:val="none"/>
        </w:rPr>
        <w:t>《公路装配式混凝土桥梁施工规范》JTGT 3654</w:t>
      </w:r>
    </w:p>
    <w:p w14:paraId="2BB573FF">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21.</w:t>
      </w:r>
      <w:r>
        <w:rPr>
          <w:bCs/>
          <w:color w:val="auto"/>
          <w:sz w:val="24"/>
          <w:szCs w:val="24"/>
          <w:highlight w:val="none"/>
        </w:rPr>
        <w:t>《公路工程混凝土结构耐久性设计规范》（JTG / T3310）</w:t>
      </w:r>
    </w:p>
    <w:p w14:paraId="074945EF">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22.</w:t>
      </w:r>
      <w:r>
        <w:rPr>
          <w:bCs/>
          <w:color w:val="auto"/>
          <w:sz w:val="24"/>
          <w:szCs w:val="24"/>
          <w:highlight w:val="none"/>
        </w:rPr>
        <w:t>《公路钢结构桥梁设计规范》(JTGD64 )</w:t>
      </w:r>
    </w:p>
    <w:p w14:paraId="6C9933F3">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23.</w:t>
      </w:r>
      <w:r>
        <w:rPr>
          <w:bCs/>
          <w:color w:val="auto"/>
          <w:sz w:val="24"/>
          <w:szCs w:val="24"/>
          <w:highlight w:val="none"/>
        </w:rPr>
        <w:t>《公路工程质量检验评定标准》JTGF80/1</w:t>
      </w:r>
    </w:p>
    <w:p w14:paraId="7DC52FB3">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 w:val="24"/>
          <w:szCs w:val="24"/>
          <w:highlight w:val="none"/>
        </w:rPr>
      </w:pPr>
      <w:r>
        <w:rPr>
          <w:rFonts w:hint="eastAsia"/>
          <w:b/>
          <w:bCs w:val="0"/>
          <w:color w:val="auto"/>
          <w:sz w:val="24"/>
          <w:szCs w:val="24"/>
          <w:highlight w:val="none"/>
          <w:lang w:val="en-US" w:eastAsia="zh-CN"/>
        </w:rPr>
        <w:t>24.</w:t>
      </w:r>
      <w:r>
        <w:rPr>
          <w:bCs/>
          <w:color w:val="auto"/>
          <w:sz w:val="24"/>
          <w:szCs w:val="24"/>
          <w:highlight w:val="none"/>
        </w:rPr>
        <w:t>《预制拼装桥墩技术规范》DGTJ 08-2160</w:t>
      </w:r>
    </w:p>
    <w:p w14:paraId="14727EEC">
      <w:pPr>
        <w:keepNext w:val="0"/>
        <w:keepLines w:val="0"/>
        <w:pageBreakBefore w:val="0"/>
        <w:widowControl w:val="0"/>
        <w:kinsoku/>
        <w:wordWrap/>
        <w:overflowPunct/>
        <w:topLinePunct w:val="0"/>
        <w:autoSpaceDE/>
        <w:autoSpaceDN/>
        <w:bidi w:val="0"/>
        <w:adjustRightInd/>
        <w:snapToGrid w:val="0"/>
        <w:spacing w:line="360" w:lineRule="auto"/>
        <w:ind w:firstLine="482" w:firstLineChars="200"/>
        <w:textAlignment w:val="auto"/>
        <w:rPr>
          <w:bCs/>
          <w:color w:val="auto"/>
          <w:szCs w:val="21"/>
          <w:highlight w:val="none"/>
        </w:rPr>
      </w:pPr>
      <w:r>
        <w:rPr>
          <w:rFonts w:hint="eastAsia"/>
          <w:b/>
          <w:bCs w:val="0"/>
          <w:color w:val="auto"/>
          <w:sz w:val="24"/>
          <w:szCs w:val="24"/>
          <w:highlight w:val="none"/>
          <w:lang w:val="en-US" w:eastAsia="zh-CN"/>
        </w:rPr>
        <w:t>25.</w:t>
      </w:r>
      <w:r>
        <w:rPr>
          <w:bCs/>
          <w:color w:val="auto"/>
          <w:sz w:val="24"/>
          <w:szCs w:val="24"/>
          <w:highlight w:val="none"/>
        </w:rPr>
        <w:t>《超高性能混凝土现场浇筑施工技术规程》T/CBMF 128</w:t>
      </w:r>
    </w:p>
    <w:p w14:paraId="2FBEE5CD">
      <w:pPr>
        <w:rPr>
          <w:b/>
          <w:color w:val="auto"/>
          <w:highlight w:val="none"/>
        </w:rPr>
      </w:pPr>
      <w:r>
        <w:rPr>
          <w:b/>
          <w:color w:val="auto"/>
          <w:highlight w:val="none"/>
        </w:rPr>
        <w:br w:type="page"/>
      </w:r>
    </w:p>
    <w:p w14:paraId="35DAA173">
      <w:pPr>
        <w:spacing w:line="360" w:lineRule="auto"/>
        <w:jc w:val="center"/>
        <w:outlineLvl w:val="0"/>
        <w:rPr>
          <w:rFonts w:ascii="Times New Roman" w:hAnsi="Times New Roman"/>
          <w:b/>
          <w:sz w:val="36"/>
          <w:szCs w:val="36"/>
        </w:rPr>
      </w:pPr>
      <w:bookmarkStart w:id="164" w:name="_Toc29216"/>
      <w:bookmarkStart w:id="165" w:name="_Toc21799"/>
      <w:bookmarkStart w:id="166" w:name="_Toc114512232"/>
      <w:bookmarkStart w:id="167" w:name="_Toc18627"/>
      <w:bookmarkStart w:id="168" w:name="_Toc19599"/>
      <w:r>
        <w:rPr>
          <w:rFonts w:hint="eastAsia" w:ascii="Times New Roman" w:hAnsi="Times New Roman"/>
          <w:b/>
          <w:sz w:val="36"/>
          <w:szCs w:val="36"/>
        </w:rPr>
        <w:t>条</w:t>
      </w:r>
      <w:r>
        <w:rPr>
          <w:rFonts w:ascii="Times New Roman" w:hAnsi="Times New Roman"/>
          <w:b/>
          <w:sz w:val="36"/>
          <w:szCs w:val="36"/>
        </w:rPr>
        <w:t xml:space="preserve"> </w:t>
      </w:r>
      <w:r>
        <w:rPr>
          <w:rFonts w:hint="eastAsia" w:ascii="Times New Roman" w:hAnsi="Times New Roman"/>
          <w:b/>
          <w:sz w:val="36"/>
          <w:szCs w:val="36"/>
        </w:rPr>
        <w:t>文</w:t>
      </w:r>
      <w:r>
        <w:rPr>
          <w:rFonts w:ascii="Times New Roman" w:hAnsi="Times New Roman"/>
          <w:b/>
          <w:sz w:val="36"/>
          <w:szCs w:val="36"/>
        </w:rPr>
        <w:t xml:space="preserve"> </w:t>
      </w:r>
      <w:r>
        <w:rPr>
          <w:rFonts w:hint="eastAsia" w:ascii="Times New Roman" w:hAnsi="Times New Roman"/>
          <w:b/>
          <w:sz w:val="36"/>
          <w:szCs w:val="36"/>
        </w:rPr>
        <w:t>说</w:t>
      </w:r>
      <w:r>
        <w:rPr>
          <w:rFonts w:ascii="Times New Roman" w:hAnsi="Times New Roman"/>
          <w:b/>
          <w:sz w:val="36"/>
          <w:szCs w:val="36"/>
        </w:rPr>
        <w:t xml:space="preserve"> </w:t>
      </w:r>
      <w:r>
        <w:rPr>
          <w:rFonts w:hint="eastAsia" w:ascii="Times New Roman" w:hAnsi="Times New Roman"/>
          <w:b/>
          <w:sz w:val="36"/>
          <w:szCs w:val="36"/>
        </w:rPr>
        <w:t>明</w:t>
      </w:r>
      <w:bookmarkEnd w:id="164"/>
      <w:bookmarkEnd w:id="165"/>
      <w:bookmarkEnd w:id="166"/>
      <w:bookmarkEnd w:id="167"/>
      <w:bookmarkEnd w:id="168"/>
    </w:p>
    <w:p w14:paraId="1379AC22">
      <w:r>
        <w:br w:type="page"/>
      </w:r>
    </w:p>
    <w:sdt>
      <w:sdtPr>
        <w:rPr>
          <w:rFonts w:ascii="Times New Roman" w:hAnsi="Times New Roman" w:cs="Times New Roman"/>
          <w:sz w:val="32"/>
          <w:szCs w:val="32"/>
          <w:lang w:val="en-US" w:eastAsia="zh-CN"/>
        </w:rPr>
        <w:id w:val="147471522"/>
        <w15:color w:val="DBDBDB"/>
        <w:docPartObj>
          <w:docPartGallery w:val="Table of Contents"/>
          <w:docPartUnique/>
        </w:docPartObj>
      </w:sdtPr>
      <w:sdtEndPr>
        <w:rPr>
          <w:rFonts w:ascii="Times New Roman" w:hAnsi="Times New Roman" w:eastAsia="仿宋_GB2312" w:cs="Times New Roman"/>
          <w:kern w:val="2"/>
          <w:sz w:val="28"/>
          <w:szCs w:val="24"/>
          <w:lang w:val="en-US" w:eastAsia="zh-CN" w:bidi="ar-SA"/>
        </w:rPr>
      </w:sdtEndPr>
      <w:sdtContent>
        <w:p w14:paraId="437D1D01">
          <w:pPr>
            <w:pStyle w:val="135"/>
            <w:spacing w:line="360" w:lineRule="auto"/>
            <w:jc w:val="center"/>
          </w:pPr>
          <w:r>
            <w:rPr>
              <w:rFonts w:hint="eastAsia" w:ascii="Times New Roman" w:hAnsi="Times New Roman"/>
              <w:b/>
              <w:bCs/>
              <w:color w:val="auto"/>
              <w:sz w:val="32"/>
              <w:szCs w:val="32"/>
              <w:lang w:val="zh-CN"/>
            </w:rPr>
            <w:t>目</w:t>
          </w:r>
          <w:r>
            <w:rPr>
              <w:rFonts w:ascii="Times New Roman" w:hAnsi="Times New Roman"/>
              <w:b/>
              <w:bCs/>
              <w:color w:val="auto"/>
              <w:sz w:val="32"/>
              <w:szCs w:val="32"/>
              <w:lang w:val="zh-CN"/>
            </w:rPr>
            <w:t xml:space="preserve">   </w:t>
          </w:r>
          <w:r>
            <w:rPr>
              <w:rFonts w:hint="eastAsia" w:ascii="Times New Roman" w:hAnsi="Times New Roman"/>
              <w:b/>
              <w:bCs/>
              <w:color w:val="auto"/>
              <w:sz w:val="32"/>
              <w:szCs w:val="32"/>
              <w:lang w:val="zh-CN"/>
            </w:rPr>
            <w:t>次</w:t>
          </w:r>
          <w:r>
            <w:fldChar w:fldCharType="begin"/>
          </w:r>
          <w:r>
            <w:instrText xml:space="preserve">TOC \o "1-2" \h \u </w:instrText>
          </w:r>
          <w:r>
            <w:fldChar w:fldCharType="separate"/>
          </w:r>
        </w:p>
        <w:p w14:paraId="45741B88">
          <w:pPr>
            <w:pStyle w:val="26"/>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_Toc28583 </w:instrText>
          </w:r>
          <w:r>
            <w:rPr>
              <w:sz w:val="24"/>
              <w:szCs w:val="24"/>
            </w:rPr>
            <w:fldChar w:fldCharType="separate"/>
          </w:r>
          <w:r>
            <w:rPr>
              <w:rFonts w:ascii="Times New Roman" w:hAnsi="Times New Roman"/>
              <w:sz w:val="24"/>
              <w:szCs w:val="24"/>
            </w:rPr>
            <w:t>1</w:t>
          </w:r>
          <w:r>
            <w:rPr>
              <w:rFonts w:hint="eastAsia" w:ascii="Times New Roman" w:hAnsi="Times New Roman"/>
              <w:sz w:val="24"/>
              <w:szCs w:val="24"/>
            </w:rPr>
            <w:t>总</w:t>
          </w:r>
          <w:r>
            <w:rPr>
              <w:rFonts w:ascii="Times New Roman" w:hAnsi="Times New Roman"/>
              <w:sz w:val="24"/>
              <w:szCs w:val="24"/>
            </w:rPr>
            <w:t xml:space="preserve"> </w:t>
          </w:r>
          <w:r>
            <w:rPr>
              <w:rFonts w:hint="eastAsia" w:ascii="Times New Roman" w:hAnsi="Times New Roman"/>
              <w:sz w:val="24"/>
              <w:szCs w:val="24"/>
            </w:rPr>
            <w:t>则</w:t>
          </w:r>
          <w:r>
            <w:rPr>
              <w:sz w:val="24"/>
              <w:szCs w:val="24"/>
            </w:rPr>
            <w:tab/>
          </w:r>
          <w:r>
            <w:rPr>
              <w:sz w:val="24"/>
              <w:szCs w:val="24"/>
            </w:rPr>
            <w:fldChar w:fldCharType="begin"/>
          </w:r>
          <w:r>
            <w:rPr>
              <w:sz w:val="24"/>
              <w:szCs w:val="24"/>
            </w:rPr>
            <w:instrText xml:space="preserve"> PAGEREF _Toc28583 \h </w:instrText>
          </w:r>
          <w:r>
            <w:rPr>
              <w:sz w:val="24"/>
              <w:szCs w:val="24"/>
            </w:rPr>
            <w:fldChar w:fldCharType="separate"/>
          </w:r>
          <w:r>
            <w:rPr>
              <w:sz w:val="24"/>
              <w:szCs w:val="24"/>
            </w:rPr>
            <w:t>37</w:t>
          </w:r>
          <w:r>
            <w:rPr>
              <w:sz w:val="24"/>
              <w:szCs w:val="24"/>
            </w:rPr>
            <w:fldChar w:fldCharType="end"/>
          </w:r>
          <w:r>
            <w:rPr>
              <w:sz w:val="24"/>
              <w:szCs w:val="24"/>
            </w:rPr>
            <w:fldChar w:fldCharType="end"/>
          </w:r>
        </w:p>
        <w:p w14:paraId="131A5E41">
          <w:pPr>
            <w:pStyle w:val="26"/>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_Toc11413 </w:instrText>
          </w:r>
          <w:r>
            <w:rPr>
              <w:sz w:val="24"/>
              <w:szCs w:val="24"/>
            </w:rPr>
            <w:fldChar w:fldCharType="separate"/>
          </w:r>
          <w:r>
            <w:rPr>
              <w:rFonts w:ascii="Times New Roman" w:hAnsi="Times New Roman"/>
              <w:sz w:val="24"/>
              <w:szCs w:val="24"/>
            </w:rPr>
            <w:t>2</w:t>
          </w:r>
          <w:r>
            <w:rPr>
              <w:rFonts w:hint="eastAsia" w:ascii="Times New Roman" w:hAnsi="Times New Roman"/>
              <w:sz w:val="24"/>
              <w:szCs w:val="24"/>
            </w:rPr>
            <w:t>术语</w:t>
          </w:r>
          <w:r>
            <w:rPr>
              <w:rFonts w:hint="eastAsia" w:ascii="Times New Roman" w:hAnsi="Times New Roman"/>
              <w:sz w:val="24"/>
              <w:szCs w:val="24"/>
              <w:lang w:eastAsia="zh-CN"/>
            </w:rPr>
            <w:t>和符号</w:t>
          </w:r>
          <w:r>
            <w:rPr>
              <w:sz w:val="24"/>
              <w:szCs w:val="24"/>
            </w:rPr>
            <w:tab/>
          </w:r>
          <w:r>
            <w:rPr>
              <w:sz w:val="24"/>
              <w:szCs w:val="24"/>
            </w:rPr>
            <w:fldChar w:fldCharType="begin"/>
          </w:r>
          <w:r>
            <w:rPr>
              <w:sz w:val="24"/>
              <w:szCs w:val="24"/>
            </w:rPr>
            <w:instrText xml:space="preserve"> PAGEREF _Toc11413 \h </w:instrText>
          </w:r>
          <w:r>
            <w:rPr>
              <w:sz w:val="24"/>
              <w:szCs w:val="24"/>
            </w:rPr>
            <w:fldChar w:fldCharType="separate"/>
          </w:r>
          <w:r>
            <w:rPr>
              <w:sz w:val="24"/>
              <w:szCs w:val="24"/>
            </w:rPr>
            <w:t>38</w:t>
          </w:r>
          <w:r>
            <w:rPr>
              <w:sz w:val="24"/>
              <w:szCs w:val="24"/>
            </w:rPr>
            <w:fldChar w:fldCharType="end"/>
          </w:r>
          <w:r>
            <w:rPr>
              <w:sz w:val="24"/>
              <w:szCs w:val="24"/>
            </w:rPr>
            <w:fldChar w:fldCharType="end"/>
          </w:r>
        </w:p>
        <w:p w14:paraId="496ECB8A">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_Toc8680 </w:instrText>
          </w:r>
          <w:r>
            <w:rPr>
              <w:sz w:val="24"/>
              <w:szCs w:val="24"/>
            </w:rPr>
            <w:fldChar w:fldCharType="separate"/>
          </w:r>
          <w:r>
            <w:rPr>
              <w:rFonts w:hint="eastAsia" w:ascii="Times New Roman" w:hAnsi="Times New Roman" w:cs="Times New Roman"/>
              <w:kern w:val="0"/>
              <w:sz w:val="24"/>
              <w:szCs w:val="24"/>
            </w:rPr>
            <w:t>2.1 术语</w:t>
          </w:r>
          <w:r>
            <w:rPr>
              <w:sz w:val="24"/>
              <w:szCs w:val="24"/>
            </w:rPr>
            <w:tab/>
          </w:r>
          <w:r>
            <w:rPr>
              <w:sz w:val="24"/>
              <w:szCs w:val="24"/>
            </w:rPr>
            <w:fldChar w:fldCharType="begin"/>
          </w:r>
          <w:r>
            <w:rPr>
              <w:sz w:val="24"/>
              <w:szCs w:val="24"/>
            </w:rPr>
            <w:instrText xml:space="preserve"> PAGEREF _Toc8680 \h </w:instrText>
          </w:r>
          <w:r>
            <w:rPr>
              <w:sz w:val="24"/>
              <w:szCs w:val="24"/>
            </w:rPr>
            <w:fldChar w:fldCharType="separate"/>
          </w:r>
          <w:r>
            <w:rPr>
              <w:sz w:val="24"/>
              <w:szCs w:val="24"/>
            </w:rPr>
            <w:t>38</w:t>
          </w:r>
          <w:r>
            <w:rPr>
              <w:sz w:val="24"/>
              <w:szCs w:val="24"/>
            </w:rPr>
            <w:fldChar w:fldCharType="end"/>
          </w:r>
          <w:r>
            <w:rPr>
              <w:sz w:val="24"/>
              <w:szCs w:val="24"/>
            </w:rPr>
            <w:fldChar w:fldCharType="end"/>
          </w:r>
        </w:p>
        <w:p w14:paraId="44BA93F3">
          <w:pPr>
            <w:pStyle w:val="26"/>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_Toc15048 </w:instrText>
          </w:r>
          <w:r>
            <w:rPr>
              <w:sz w:val="24"/>
              <w:szCs w:val="24"/>
            </w:rPr>
            <w:fldChar w:fldCharType="separate"/>
          </w:r>
          <w:r>
            <w:rPr>
              <w:rFonts w:hint="eastAsia" w:ascii="Times New Roman" w:hAnsi="Times New Roman"/>
              <w:sz w:val="24"/>
              <w:szCs w:val="24"/>
              <w:lang w:val="en-US" w:eastAsia="zh-CN"/>
            </w:rPr>
            <w:t xml:space="preserve">4 </w:t>
          </w:r>
          <w:r>
            <w:rPr>
              <w:rFonts w:hint="eastAsia" w:ascii="Times New Roman" w:hAnsi="Times New Roman"/>
              <w:sz w:val="24"/>
              <w:szCs w:val="24"/>
              <w:lang w:eastAsia="zh-CN"/>
            </w:rPr>
            <w:t>材料</w:t>
          </w:r>
          <w:r>
            <w:rPr>
              <w:sz w:val="24"/>
              <w:szCs w:val="24"/>
            </w:rPr>
            <w:tab/>
          </w:r>
          <w:r>
            <w:rPr>
              <w:sz w:val="24"/>
              <w:szCs w:val="24"/>
            </w:rPr>
            <w:fldChar w:fldCharType="begin"/>
          </w:r>
          <w:r>
            <w:rPr>
              <w:sz w:val="24"/>
              <w:szCs w:val="24"/>
            </w:rPr>
            <w:instrText xml:space="preserve"> PAGEREF _Toc15048 \h </w:instrText>
          </w:r>
          <w:r>
            <w:rPr>
              <w:sz w:val="24"/>
              <w:szCs w:val="24"/>
            </w:rPr>
            <w:fldChar w:fldCharType="separate"/>
          </w:r>
          <w:r>
            <w:rPr>
              <w:sz w:val="24"/>
              <w:szCs w:val="24"/>
            </w:rPr>
            <w:t>39</w:t>
          </w:r>
          <w:r>
            <w:rPr>
              <w:sz w:val="24"/>
              <w:szCs w:val="24"/>
            </w:rPr>
            <w:fldChar w:fldCharType="end"/>
          </w:r>
          <w:r>
            <w:rPr>
              <w:sz w:val="24"/>
              <w:szCs w:val="24"/>
            </w:rPr>
            <w:fldChar w:fldCharType="end"/>
          </w:r>
        </w:p>
        <w:p w14:paraId="2508C9DF">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_Toc19984 </w:instrText>
          </w:r>
          <w:r>
            <w:rPr>
              <w:sz w:val="24"/>
              <w:szCs w:val="24"/>
            </w:rPr>
            <w:fldChar w:fldCharType="separate"/>
          </w:r>
          <w:r>
            <w:rPr>
              <w:rFonts w:hint="eastAsia" w:ascii="Times New Roman" w:hAnsi="Times New Roman" w:cs="Times New Roman"/>
              <w:kern w:val="0"/>
              <w:sz w:val="24"/>
              <w:szCs w:val="24"/>
            </w:rPr>
            <w:t>4.2 灌浆套筒</w:t>
          </w:r>
          <w:r>
            <w:rPr>
              <w:sz w:val="24"/>
              <w:szCs w:val="24"/>
            </w:rPr>
            <w:tab/>
          </w:r>
          <w:r>
            <w:rPr>
              <w:sz w:val="24"/>
              <w:szCs w:val="24"/>
            </w:rPr>
            <w:fldChar w:fldCharType="begin"/>
          </w:r>
          <w:r>
            <w:rPr>
              <w:sz w:val="24"/>
              <w:szCs w:val="24"/>
            </w:rPr>
            <w:instrText xml:space="preserve"> PAGEREF _Toc19984 \h </w:instrText>
          </w:r>
          <w:r>
            <w:rPr>
              <w:sz w:val="24"/>
              <w:szCs w:val="24"/>
            </w:rPr>
            <w:fldChar w:fldCharType="separate"/>
          </w:r>
          <w:r>
            <w:rPr>
              <w:sz w:val="24"/>
              <w:szCs w:val="24"/>
            </w:rPr>
            <w:t>39</w:t>
          </w:r>
          <w:r>
            <w:rPr>
              <w:sz w:val="24"/>
              <w:szCs w:val="24"/>
            </w:rPr>
            <w:fldChar w:fldCharType="end"/>
          </w:r>
          <w:r>
            <w:rPr>
              <w:sz w:val="24"/>
              <w:szCs w:val="24"/>
            </w:rPr>
            <w:fldChar w:fldCharType="end"/>
          </w:r>
        </w:p>
        <w:p w14:paraId="1E612C96">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_Toc24875 </w:instrText>
          </w:r>
          <w:r>
            <w:rPr>
              <w:sz w:val="24"/>
              <w:szCs w:val="24"/>
            </w:rPr>
            <w:fldChar w:fldCharType="separate"/>
          </w:r>
          <w:r>
            <w:rPr>
              <w:rFonts w:hint="eastAsia" w:ascii="Times New Roman" w:hAnsi="Times New Roman" w:cs="Times New Roman"/>
              <w:kern w:val="0"/>
              <w:sz w:val="24"/>
              <w:szCs w:val="24"/>
            </w:rPr>
            <w:t xml:space="preserve">4.5 </w:t>
          </w:r>
          <w:r>
            <w:rPr>
              <w:rFonts w:hint="default" w:ascii="Times New Roman" w:hAnsi="Times New Roman" w:cs="Times New Roman"/>
              <w:kern w:val="0"/>
              <w:sz w:val="24"/>
              <w:szCs w:val="24"/>
            </w:rPr>
            <w:t>灌浆料与接缝材料</w:t>
          </w:r>
          <w:r>
            <w:rPr>
              <w:sz w:val="24"/>
              <w:szCs w:val="24"/>
            </w:rPr>
            <w:tab/>
          </w:r>
          <w:r>
            <w:rPr>
              <w:sz w:val="24"/>
              <w:szCs w:val="24"/>
            </w:rPr>
            <w:fldChar w:fldCharType="begin"/>
          </w:r>
          <w:r>
            <w:rPr>
              <w:sz w:val="24"/>
              <w:szCs w:val="24"/>
            </w:rPr>
            <w:instrText xml:space="preserve"> PAGEREF _Toc24875 \h </w:instrText>
          </w:r>
          <w:r>
            <w:rPr>
              <w:sz w:val="24"/>
              <w:szCs w:val="24"/>
            </w:rPr>
            <w:fldChar w:fldCharType="separate"/>
          </w:r>
          <w:r>
            <w:rPr>
              <w:sz w:val="24"/>
              <w:szCs w:val="24"/>
            </w:rPr>
            <w:t>39</w:t>
          </w:r>
          <w:r>
            <w:rPr>
              <w:sz w:val="24"/>
              <w:szCs w:val="24"/>
            </w:rPr>
            <w:fldChar w:fldCharType="end"/>
          </w:r>
          <w:r>
            <w:rPr>
              <w:sz w:val="24"/>
              <w:szCs w:val="24"/>
            </w:rPr>
            <w:fldChar w:fldCharType="end"/>
          </w:r>
        </w:p>
        <w:p w14:paraId="7E2A0EAC">
          <w:pPr>
            <w:pStyle w:val="26"/>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_Toc19699 </w:instrText>
          </w:r>
          <w:r>
            <w:rPr>
              <w:sz w:val="24"/>
              <w:szCs w:val="24"/>
            </w:rPr>
            <w:fldChar w:fldCharType="separate"/>
          </w:r>
          <w:r>
            <w:rPr>
              <w:rFonts w:hint="eastAsia" w:ascii="Times New Roman" w:hAnsi="Times New Roman"/>
              <w:sz w:val="24"/>
              <w:szCs w:val="24"/>
              <w:lang w:val="en-US" w:eastAsia="zh-CN"/>
            </w:rPr>
            <w:t xml:space="preserve">5 </w:t>
          </w:r>
          <w:r>
            <w:rPr>
              <w:rFonts w:hint="eastAsia" w:ascii="Times New Roman" w:hAnsi="Times New Roman"/>
              <w:sz w:val="24"/>
              <w:szCs w:val="24"/>
              <w:lang w:eastAsia="zh-CN"/>
            </w:rPr>
            <w:t>结构计算</w:t>
          </w:r>
          <w:r>
            <w:rPr>
              <w:sz w:val="24"/>
              <w:szCs w:val="24"/>
            </w:rPr>
            <w:tab/>
          </w:r>
          <w:r>
            <w:rPr>
              <w:sz w:val="24"/>
              <w:szCs w:val="24"/>
            </w:rPr>
            <w:fldChar w:fldCharType="begin"/>
          </w:r>
          <w:r>
            <w:rPr>
              <w:sz w:val="24"/>
              <w:szCs w:val="24"/>
            </w:rPr>
            <w:instrText xml:space="preserve"> PAGEREF _Toc19699 \h </w:instrText>
          </w:r>
          <w:r>
            <w:rPr>
              <w:sz w:val="24"/>
              <w:szCs w:val="24"/>
            </w:rPr>
            <w:fldChar w:fldCharType="separate"/>
          </w:r>
          <w:r>
            <w:rPr>
              <w:sz w:val="24"/>
              <w:szCs w:val="24"/>
            </w:rPr>
            <w:t>42</w:t>
          </w:r>
          <w:r>
            <w:rPr>
              <w:sz w:val="24"/>
              <w:szCs w:val="24"/>
            </w:rPr>
            <w:fldChar w:fldCharType="end"/>
          </w:r>
          <w:r>
            <w:rPr>
              <w:sz w:val="24"/>
              <w:szCs w:val="24"/>
            </w:rPr>
            <w:fldChar w:fldCharType="end"/>
          </w:r>
        </w:p>
        <w:p w14:paraId="6D483CEE">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_Toc13951 </w:instrText>
          </w:r>
          <w:r>
            <w:rPr>
              <w:sz w:val="24"/>
              <w:szCs w:val="24"/>
            </w:rPr>
            <w:fldChar w:fldCharType="separate"/>
          </w:r>
          <w:r>
            <w:rPr>
              <w:rFonts w:hint="eastAsia" w:ascii="Times New Roman" w:hAnsi="Times New Roman" w:cs="Times New Roman"/>
              <w:kern w:val="0"/>
              <w:sz w:val="24"/>
              <w:szCs w:val="24"/>
            </w:rPr>
            <w:t>5.1</w:t>
          </w:r>
          <w:r>
            <w:rPr>
              <w:rFonts w:ascii="Times New Roman" w:hAnsi="Times New Roman" w:cs="Times New Roman"/>
              <w:kern w:val="0"/>
              <w:sz w:val="24"/>
              <w:szCs w:val="24"/>
            </w:rPr>
            <w:t xml:space="preserve"> </w:t>
          </w:r>
          <w:r>
            <w:rPr>
              <w:rFonts w:hint="eastAsia" w:ascii="Times New Roman" w:hAnsi="Times New Roman" w:cs="Times New Roman"/>
              <w:kern w:val="0"/>
              <w:sz w:val="24"/>
              <w:szCs w:val="24"/>
            </w:rPr>
            <w:t>一般规定</w:t>
          </w:r>
          <w:r>
            <w:rPr>
              <w:sz w:val="24"/>
              <w:szCs w:val="24"/>
            </w:rPr>
            <w:tab/>
          </w:r>
          <w:r>
            <w:rPr>
              <w:sz w:val="24"/>
              <w:szCs w:val="24"/>
            </w:rPr>
            <w:fldChar w:fldCharType="begin"/>
          </w:r>
          <w:r>
            <w:rPr>
              <w:sz w:val="24"/>
              <w:szCs w:val="24"/>
            </w:rPr>
            <w:instrText xml:space="preserve"> PAGEREF _Toc13951 \h </w:instrText>
          </w:r>
          <w:r>
            <w:rPr>
              <w:sz w:val="24"/>
              <w:szCs w:val="24"/>
            </w:rPr>
            <w:fldChar w:fldCharType="separate"/>
          </w:r>
          <w:r>
            <w:rPr>
              <w:sz w:val="24"/>
              <w:szCs w:val="24"/>
            </w:rPr>
            <w:t>42</w:t>
          </w:r>
          <w:r>
            <w:rPr>
              <w:sz w:val="24"/>
              <w:szCs w:val="24"/>
            </w:rPr>
            <w:fldChar w:fldCharType="end"/>
          </w:r>
          <w:r>
            <w:rPr>
              <w:sz w:val="24"/>
              <w:szCs w:val="24"/>
            </w:rPr>
            <w:fldChar w:fldCharType="end"/>
          </w:r>
        </w:p>
        <w:p w14:paraId="26DCB8F8">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_Toc24225 </w:instrText>
          </w:r>
          <w:r>
            <w:rPr>
              <w:sz w:val="24"/>
              <w:szCs w:val="24"/>
            </w:rPr>
            <w:fldChar w:fldCharType="separate"/>
          </w:r>
          <w:r>
            <w:rPr>
              <w:rFonts w:hint="default" w:ascii="Times New Roman" w:hAnsi="Times New Roman" w:cs="Times New Roman"/>
              <w:kern w:val="0"/>
              <w:sz w:val="24"/>
              <w:szCs w:val="24"/>
              <w:lang w:val="en-US" w:eastAsia="zh-CN"/>
            </w:rPr>
            <w:t>5.2 持久状况承载能力极限状态计算</w:t>
          </w:r>
          <w:r>
            <w:rPr>
              <w:sz w:val="24"/>
              <w:szCs w:val="24"/>
            </w:rPr>
            <w:tab/>
          </w:r>
          <w:r>
            <w:rPr>
              <w:sz w:val="24"/>
              <w:szCs w:val="24"/>
            </w:rPr>
            <w:fldChar w:fldCharType="begin"/>
          </w:r>
          <w:r>
            <w:rPr>
              <w:sz w:val="24"/>
              <w:szCs w:val="24"/>
            </w:rPr>
            <w:instrText xml:space="preserve"> PAGEREF _Toc24225 \h </w:instrText>
          </w:r>
          <w:r>
            <w:rPr>
              <w:sz w:val="24"/>
              <w:szCs w:val="24"/>
            </w:rPr>
            <w:fldChar w:fldCharType="separate"/>
          </w:r>
          <w:r>
            <w:rPr>
              <w:sz w:val="24"/>
              <w:szCs w:val="24"/>
            </w:rPr>
            <w:t>42</w:t>
          </w:r>
          <w:r>
            <w:rPr>
              <w:sz w:val="24"/>
              <w:szCs w:val="24"/>
            </w:rPr>
            <w:fldChar w:fldCharType="end"/>
          </w:r>
          <w:r>
            <w:rPr>
              <w:sz w:val="24"/>
              <w:szCs w:val="24"/>
            </w:rPr>
            <w:fldChar w:fldCharType="end"/>
          </w:r>
        </w:p>
        <w:p w14:paraId="0FD2DC44">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_Toc13727 </w:instrText>
          </w:r>
          <w:r>
            <w:rPr>
              <w:sz w:val="24"/>
              <w:szCs w:val="24"/>
            </w:rPr>
            <w:fldChar w:fldCharType="separate"/>
          </w:r>
          <w:r>
            <w:rPr>
              <w:rFonts w:hint="default" w:ascii="Times New Roman" w:hAnsi="Times New Roman" w:cs="Times New Roman"/>
              <w:kern w:val="0"/>
              <w:sz w:val="24"/>
              <w:szCs w:val="24"/>
              <w:lang w:val="en-US" w:eastAsia="zh-CN"/>
            </w:rPr>
            <w:t>5.3 持久状况正常使用极限状态计算</w:t>
          </w:r>
          <w:r>
            <w:rPr>
              <w:sz w:val="24"/>
              <w:szCs w:val="24"/>
            </w:rPr>
            <w:tab/>
          </w:r>
          <w:r>
            <w:rPr>
              <w:sz w:val="24"/>
              <w:szCs w:val="24"/>
            </w:rPr>
            <w:fldChar w:fldCharType="begin"/>
          </w:r>
          <w:r>
            <w:rPr>
              <w:sz w:val="24"/>
              <w:szCs w:val="24"/>
            </w:rPr>
            <w:instrText xml:space="preserve"> PAGEREF _Toc13727 \h </w:instrText>
          </w:r>
          <w:r>
            <w:rPr>
              <w:sz w:val="24"/>
              <w:szCs w:val="24"/>
            </w:rPr>
            <w:fldChar w:fldCharType="separate"/>
          </w:r>
          <w:r>
            <w:rPr>
              <w:sz w:val="24"/>
              <w:szCs w:val="24"/>
            </w:rPr>
            <w:t>42</w:t>
          </w:r>
          <w:r>
            <w:rPr>
              <w:sz w:val="24"/>
              <w:szCs w:val="24"/>
            </w:rPr>
            <w:fldChar w:fldCharType="end"/>
          </w:r>
          <w:r>
            <w:rPr>
              <w:sz w:val="24"/>
              <w:szCs w:val="24"/>
            </w:rPr>
            <w:fldChar w:fldCharType="end"/>
          </w:r>
        </w:p>
        <w:p w14:paraId="737FAC86">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_Toc2405 </w:instrText>
          </w:r>
          <w:r>
            <w:rPr>
              <w:sz w:val="24"/>
              <w:szCs w:val="24"/>
            </w:rPr>
            <w:fldChar w:fldCharType="separate"/>
          </w:r>
          <w:r>
            <w:rPr>
              <w:rFonts w:hint="default" w:ascii="Times New Roman" w:hAnsi="Times New Roman" w:cs="Times New Roman"/>
              <w:kern w:val="0"/>
              <w:sz w:val="24"/>
              <w:szCs w:val="24"/>
              <w:lang w:val="en-US" w:eastAsia="zh-CN"/>
            </w:rPr>
            <w:t>5.5 地震状况计算</w:t>
          </w:r>
          <w:r>
            <w:rPr>
              <w:sz w:val="24"/>
              <w:szCs w:val="24"/>
            </w:rPr>
            <w:tab/>
          </w:r>
          <w:r>
            <w:rPr>
              <w:sz w:val="24"/>
              <w:szCs w:val="24"/>
            </w:rPr>
            <w:fldChar w:fldCharType="begin"/>
          </w:r>
          <w:r>
            <w:rPr>
              <w:sz w:val="24"/>
              <w:szCs w:val="24"/>
            </w:rPr>
            <w:instrText xml:space="preserve"> PAGEREF _Toc2405 \h </w:instrText>
          </w:r>
          <w:r>
            <w:rPr>
              <w:sz w:val="24"/>
              <w:szCs w:val="24"/>
            </w:rPr>
            <w:fldChar w:fldCharType="separate"/>
          </w:r>
          <w:r>
            <w:rPr>
              <w:sz w:val="24"/>
              <w:szCs w:val="24"/>
            </w:rPr>
            <w:t>43</w:t>
          </w:r>
          <w:r>
            <w:rPr>
              <w:sz w:val="24"/>
              <w:szCs w:val="24"/>
            </w:rPr>
            <w:fldChar w:fldCharType="end"/>
          </w:r>
          <w:r>
            <w:rPr>
              <w:sz w:val="24"/>
              <w:szCs w:val="24"/>
            </w:rPr>
            <w:fldChar w:fldCharType="end"/>
          </w:r>
        </w:p>
        <w:p w14:paraId="4378084D">
          <w:pPr>
            <w:pStyle w:val="26"/>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_Toc28415 </w:instrText>
          </w:r>
          <w:r>
            <w:rPr>
              <w:sz w:val="24"/>
              <w:szCs w:val="24"/>
            </w:rPr>
            <w:fldChar w:fldCharType="separate"/>
          </w:r>
          <w:r>
            <w:rPr>
              <w:rFonts w:hint="default" w:ascii="Times New Roman" w:hAnsi="Times New Roman" w:cs="Times New Roman"/>
              <w:sz w:val="24"/>
              <w:szCs w:val="24"/>
            </w:rPr>
            <w:t>6 构造设计</w:t>
          </w:r>
          <w:r>
            <w:rPr>
              <w:sz w:val="24"/>
              <w:szCs w:val="24"/>
            </w:rPr>
            <w:tab/>
          </w:r>
          <w:r>
            <w:rPr>
              <w:sz w:val="24"/>
              <w:szCs w:val="24"/>
            </w:rPr>
            <w:fldChar w:fldCharType="begin"/>
          </w:r>
          <w:r>
            <w:rPr>
              <w:sz w:val="24"/>
              <w:szCs w:val="24"/>
            </w:rPr>
            <w:instrText xml:space="preserve"> PAGEREF _Toc28415 \h </w:instrText>
          </w:r>
          <w:r>
            <w:rPr>
              <w:sz w:val="24"/>
              <w:szCs w:val="24"/>
            </w:rPr>
            <w:fldChar w:fldCharType="separate"/>
          </w:r>
          <w:r>
            <w:rPr>
              <w:sz w:val="24"/>
              <w:szCs w:val="24"/>
            </w:rPr>
            <w:t>44</w:t>
          </w:r>
          <w:r>
            <w:rPr>
              <w:sz w:val="24"/>
              <w:szCs w:val="24"/>
            </w:rPr>
            <w:fldChar w:fldCharType="end"/>
          </w:r>
          <w:r>
            <w:rPr>
              <w:sz w:val="24"/>
              <w:szCs w:val="24"/>
            </w:rPr>
            <w:fldChar w:fldCharType="end"/>
          </w:r>
        </w:p>
        <w:p w14:paraId="662CAA0F">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_Toc6618 </w:instrText>
          </w:r>
          <w:r>
            <w:rPr>
              <w:sz w:val="24"/>
              <w:szCs w:val="24"/>
            </w:rPr>
            <w:fldChar w:fldCharType="separate"/>
          </w:r>
          <w:r>
            <w:rPr>
              <w:rFonts w:hint="eastAsia" w:ascii="Times New Roman" w:hAnsi="Times New Roman" w:cs="Times New Roman"/>
              <w:kern w:val="0"/>
              <w:sz w:val="24"/>
              <w:szCs w:val="24"/>
            </w:rPr>
            <w:t>6.1 一般规定</w:t>
          </w:r>
          <w:r>
            <w:rPr>
              <w:sz w:val="24"/>
              <w:szCs w:val="24"/>
            </w:rPr>
            <w:tab/>
          </w:r>
          <w:r>
            <w:rPr>
              <w:sz w:val="24"/>
              <w:szCs w:val="24"/>
            </w:rPr>
            <w:fldChar w:fldCharType="begin"/>
          </w:r>
          <w:r>
            <w:rPr>
              <w:sz w:val="24"/>
              <w:szCs w:val="24"/>
            </w:rPr>
            <w:instrText xml:space="preserve"> PAGEREF _Toc6618 \h </w:instrText>
          </w:r>
          <w:r>
            <w:rPr>
              <w:sz w:val="24"/>
              <w:szCs w:val="24"/>
            </w:rPr>
            <w:fldChar w:fldCharType="separate"/>
          </w:r>
          <w:r>
            <w:rPr>
              <w:sz w:val="24"/>
              <w:szCs w:val="24"/>
            </w:rPr>
            <w:t>44</w:t>
          </w:r>
          <w:r>
            <w:rPr>
              <w:sz w:val="24"/>
              <w:szCs w:val="24"/>
            </w:rPr>
            <w:fldChar w:fldCharType="end"/>
          </w:r>
          <w:r>
            <w:rPr>
              <w:sz w:val="24"/>
              <w:szCs w:val="24"/>
            </w:rPr>
            <w:fldChar w:fldCharType="end"/>
          </w:r>
        </w:p>
        <w:p w14:paraId="50D3E0B7">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_Toc19197 </w:instrText>
          </w:r>
          <w:r>
            <w:rPr>
              <w:sz w:val="24"/>
              <w:szCs w:val="24"/>
            </w:rPr>
            <w:fldChar w:fldCharType="separate"/>
          </w:r>
          <w:r>
            <w:rPr>
              <w:rFonts w:hint="eastAsia" w:ascii="Times New Roman" w:hAnsi="Times New Roman" w:cs="Times New Roman"/>
              <w:kern w:val="0"/>
              <w:sz w:val="24"/>
              <w:szCs w:val="24"/>
            </w:rPr>
            <w:t>6.2 灌浆套筒连接</w:t>
          </w:r>
          <w:r>
            <w:rPr>
              <w:sz w:val="24"/>
              <w:szCs w:val="24"/>
            </w:rPr>
            <w:tab/>
          </w:r>
          <w:r>
            <w:rPr>
              <w:sz w:val="24"/>
              <w:szCs w:val="24"/>
            </w:rPr>
            <w:fldChar w:fldCharType="begin"/>
          </w:r>
          <w:r>
            <w:rPr>
              <w:sz w:val="24"/>
              <w:szCs w:val="24"/>
            </w:rPr>
            <w:instrText xml:space="preserve"> PAGEREF _Toc19197 \h </w:instrText>
          </w:r>
          <w:r>
            <w:rPr>
              <w:sz w:val="24"/>
              <w:szCs w:val="24"/>
            </w:rPr>
            <w:fldChar w:fldCharType="separate"/>
          </w:r>
          <w:r>
            <w:rPr>
              <w:sz w:val="24"/>
              <w:szCs w:val="24"/>
            </w:rPr>
            <w:t>44</w:t>
          </w:r>
          <w:r>
            <w:rPr>
              <w:sz w:val="24"/>
              <w:szCs w:val="24"/>
            </w:rPr>
            <w:fldChar w:fldCharType="end"/>
          </w:r>
          <w:r>
            <w:rPr>
              <w:sz w:val="24"/>
              <w:szCs w:val="24"/>
            </w:rPr>
            <w:fldChar w:fldCharType="end"/>
          </w:r>
        </w:p>
        <w:p w14:paraId="5A24AA01">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_Toc5226 </w:instrText>
          </w:r>
          <w:r>
            <w:rPr>
              <w:sz w:val="24"/>
              <w:szCs w:val="24"/>
            </w:rPr>
            <w:fldChar w:fldCharType="separate"/>
          </w:r>
          <w:r>
            <w:rPr>
              <w:rFonts w:hint="eastAsia" w:ascii="Times New Roman" w:hAnsi="Times New Roman" w:cs="Times New Roman"/>
              <w:kern w:val="0"/>
              <w:sz w:val="24"/>
              <w:szCs w:val="24"/>
            </w:rPr>
            <w:t xml:space="preserve">6.3 </w:t>
          </w:r>
          <w:r>
            <w:rPr>
              <w:rFonts w:hint="default" w:ascii="Times New Roman" w:hAnsi="Times New Roman" w:cs="Times New Roman"/>
              <w:kern w:val="0"/>
              <w:sz w:val="24"/>
              <w:szCs w:val="24"/>
            </w:rPr>
            <w:t>灌浆波纹钢管</w:t>
          </w:r>
          <w:r>
            <w:rPr>
              <w:rFonts w:hint="eastAsia" w:ascii="Times New Roman" w:hAnsi="Times New Roman" w:cs="Times New Roman"/>
              <w:kern w:val="0"/>
              <w:sz w:val="24"/>
              <w:szCs w:val="24"/>
            </w:rPr>
            <w:t>连接</w:t>
          </w:r>
          <w:r>
            <w:rPr>
              <w:sz w:val="24"/>
              <w:szCs w:val="24"/>
            </w:rPr>
            <w:tab/>
          </w:r>
          <w:r>
            <w:rPr>
              <w:sz w:val="24"/>
              <w:szCs w:val="24"/>
            </w:rPr>
            <w:fldChar w:fldCharType="begin"/>
          </w:r>
          <w:r>
            <w:rPr>
              <w:sz w:val="24"/>
              <w:szCs w:val="24"/>
            </w:rPr>
            <w:instrText xml:space="preserve"> PAGEREF _Toc5226 \h </w:instrText>
          </w:r>
          <w:r>
            <w:rPr>
              <w:sz w:val="24"/>
              <w:szCs w:val="24"/>
            </w:rPr>
            <w:fldChar w:fldCharType="separate"/>
          </w:r>
          <w:r>
            <w:rPr>
              <w:sz w:val="24"/>
              <w:szCs w:val="24"/>
            </w:rPr>
            <w:t>44</w:t>
          </w:r>
          <w:r>
            <w:rPr>
              <w:sz w:val="24"/>
              <w:szCs w:val="24"/>
            </w:rPr>
            <w:fldChar w:fldCharType="end"/>
          </w:r>
          <w:r>
            <w:rPr>
              <w:sz w:val="24"/>
              <w:szCs w:val="24"/>
            </w:rPr>
            <w:fldChar w:fldCharType="end"/>
          </w:r>
        </w:p>
        <w:p w14:paraId="6B3F83D9">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_Toc3029 </w:instrText>
          </w:r>
          <w:r>
            <w:rPr>
              <w:sz w:val="24"/>
              <w:szCs w:val="24"/>
            </w:rPr>
            <w:fldChar w:fldCharType="separate"/>
          </w:r>
          <w:r>
            <w:rPr>
              <w:rFonts w:hint="eastAsia" w:ascii="Times New Roman" w:hAnsi="Times New Roman" w:cs="Times New Roman"/>
              <w:kern w:val="0"/>
              <w:sz w:val="24"/>
              <w:szCs w:val="24"/>
            </w:rPr>
            <w:t>6.7 湿接缝连接</w:t>
          </w:r>
          <w:r>
            <w:rPr>
              <w:sz w:val="24"/>
              <w:szCs w:val="24"/>
            </w:rPr>
            <w:tab/>
          </w:r>
          <w:r>
            <w:rPr>
              <w:sz w:val="24"/>
              <w:szCs w:val="24"/>
            </w:rPr>
            <w:fldChar w:fldCharType="begin"/>
          </w:r>
          <w:r>
            <w:rPr>
              <w:sz w:val="24"/>
              <w:szCs w:val="24"/>
            </w:rPr>
            <w:instrText xml:space="preserve"> PAGEREF _Toc3029 \h </w:instrText>
          </w:r>
          <w:r>
            <w:rPr>
              <w:sz w:val="24"/>
              <w:szCs w:val="24"/>
            </w:rPr>
            <w:fldChar w:fldCharType="separate"/>
          </w:r>
          <w:r>
            <w:rPr>
              <w:sz w:val="24"/>
              <w:szCs w:val="24"/>
            </w:rPr>
            <w:t>45</w:t>
          </w:r>
          <w:r>
            <w:rPr>
              <w:sz w:val="24"/>
              <w:szCs w:val="24"/>
            </w:rPr>
            <w:fldChar w:fldCharType="end"/>
          </w:r>
          <w:r>
            <w:rPr>
              <w:sz w:val="24"/>
              <w:szCs w:val="24"/>
            </w:rPr>
            <w:fldChar w:fldCharType="end"/>
          </w:r>
        </w:p>
        <w:p w14:paraId="1C7F13BA">
          <w:pPr>
            <w:pStyle w:val="26"/>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_Toc11246 </w:instrText>
          </w:r>
          <w:r>
            <w:rPr>
              <w:sz w:val="24"/>
              <w:szCs w:val="24"/>
            </w:rPr>
            <w:fldChar w:fldCharType="separate"/>
          </w:r>
          <w:r>
            <w:rPr>
              <w:rFonts w:hint="default" w:ascii="Times New Roman" w:hAnsi="Times New Roman" w:cs="Times New Roman"/>
              <w:sz w:val="24"/>
              <w:szCs w:val="24"/>
            </w:rPr>
            <w:t xml:space="preserve">7 </w:t>
          </w:r>
          <w:r>
            <w:rPr>
              <w:rFonts w:hint="default" w:ascii="Times New Roman" w:hAnsi="Times New Roman" w:cs="Times New Roman"/>
              <w:sz w:val="24"/>
              <w:szCs w:val="24"/>
              <w:lang w:val="zh-CN"/>
            </w:rPr>
            <w:t>施工</w:t>
          </w:r>
          <w:r>
            <w:rPr>
              <w:sz w:val="24"/>
              <w:szCs w:val="24"/>
            </w:rPr>
            <w:tab/>
          </w:r>
          <w:r>
            <w:rPr>
              <w:sz w:val="24"/>
              <w:szCs w:val="24"/>
            </w:rPr>
            <w:fldChar w:fldCharType="begin"/>
          </w:r>
          <w:r>
            <w:rPr>
              <w:sz w:val="24"/>
              <w:szCs w:val="24"/>
            </w:rPr>
            <w:instrText xml:space="preserve"> PAGEREF _Toc11246 \h </w:instrText>
          </w:r>
          <w:r>
            <w:rPr>
              <w:sz w:val="24"/>
              <w:szCs w:val="24"/>
            </w:rPr>
            <w:fldChar w:fldCharType="separate"/>
          </w:r>
          <w:r>
            <w:rPr>
              <w:sz w:val="24"/>
              <w:szCs w:val="24"/>
            </w:rPr>
            <w:t>46</w:t>
          </w:r>
          <w:r>
            <w:rPr>
              <w:sz w:val="24"/>
              <w:szCs w:val="24"/>
            </w:rPr>
            <w:fldChar w:fldCharType="end"/>
          </w:r>
          <w:r>
            <w:rPr>
              <w:sz w:val="24"/>
              <w:szCs w:val="24"/>
            </w:rPr>
            <w:fldChar w:fldCharType="end"/>
          </w:r>
        </w:p>
        <w:p w14:paraId="4883F1AF">
          <w:pPr>
            <w:pStyle w:val="35"/>
            <w:keepNext w:val="0"/>
            <w:keepLines w:val="0"/>
            <w:pageBreakBefore w:val="0"/>
            <w:widowControl w:val="0"/>
            <w:tabs>
              <w:tab w:val="right" w:leader="dot" w:pos="9070"/>
              <w:tab w:val="clear" w:pos="9241"/>
            </w:tabs>
            <w:kinsoku/>
            <w:wordWrap/>
            <w:overflowPunct/>
            <w:topLinePunct w:val="0"/>
            <w:autoSpaceDE/>
            <w:autoSpaceDN/>
            <w:bidi w:val="0"/>
            <w:adjustRightInd/>
            <w:snapToGrid/>
            <w:spacing w:line="360" w:lineRule="auto"/>
            <w:textAlignment w:val="auto"/>
            <w:rPr>
              <w:sz w:val="24"/>
              <w:szCs w:val="24"/>
            </w:rPr>
          </w:pPr>
          <w:r>
            <w:rPr>
              <w:sz w:val="24"/>
              <w:szCs w:val="24"/>
            </w:rPr>
            <w:fldChar w:fldCharType="begin"/>
          </w:r>
          <w:r>
            <w:rPr>
              <w:sz w:val="24"/>
              <w:szCs w:val="24"/>
            </w:rPr>
            <w:instrText xml:space="preserve"> HYPERLINK \l _Toc29763 </w:instrText>
          </w:r>
          <w:r>
            <w:rPr>
              <w:sz w:val="24"/>
              <w:szCs w:val="24"/>
            </w:rPr>
            <w:fldChar w:fldCharType="separate"/>
          </w:r>
          <w:r>
            <w:rPr>
              <w:rFonts w:hint="eastAsia" w:ascii="Times New Roman" w:hAnsi="Times New Roman" w:cs="Times New Roman"/>
              <w:kern w:val="0"/>
              <w:sz w:val="24"/>
              <w:szCs w:val="24"/>
            </w:rPr>
            <w:t>7.4 现场施工</w:t>
          </w:r>
          <w:r>
            <w:rPr>
              <w:sz w:val="24"/>
              <w:szCs w:val="24"/>
            </w:rPr>
            <w:tab/>
          </w:r>
          <w:r>
            <w:rPr>
              <w:sz w:val="24"/>
              <w:szCs w:val="24"/>
            </w:rPr>
            <w:fldChar w:fldCharType="begin"/>
          </w:r>
          <w:r>
            <w:rPr>
              <w:sz w:val="24"/>
              <w:szCs w:val="24"/>
            </w:rPr>
            <w:instrText xml:space="preserve"> PAGEREF _Toc29763 \h </w:instrText>
          </w:r>
          <w:r>
            <w:rPr>
              <w:sz w:val="24"/>
              <w:szCs w:val="24"/>
            </w:rPr>
            <w:fldChar w:fldCharType="separate"/>
          </w:r>
          <w:r>
            <w:rPr>
              <w:sz w:val="24"/>
              <w:szCs w:val="24"/>
            </w:rPr>
            <w:t>46</w:t>
          </w:r>
          <w:r>
            <w:rPr>
              <w:sz w:val="24"/>
              <w:szCs w:val="24"/>
            </w:rPr>
            <w:fldChar w:fldCharType="end"/>
          </w:r>
          <w:r>
            <w:rPr>
              <w:sz w:val="24"/>
              <w:szCs w:val="24"/>
            </w:rPr>
            <w:fldChar w:fldCharType="end"/>
          </w:r>
        </w:p>
        <w:p w14:paraId="5FE554F3">
          <w:pPr>
            <w:pStyle w:val="2"/>
            <w:rPr>
              <w:rFonts w:ascii="Times New Roman" w:hAnsi="Times New Roman" w:eastAsia="仿宋_GB2312" w:cs="Times New Roman"/>
              <w:kern w:val="2"/>
              <w:sz w:val="28"/>
              <w:szCs w:val="24"/>
              <w:lang w:val="en-US" w:eastAsia="zh-CN" w:bidi="ar-SA"/>
            </w:rPr>
          </w:pPr>
          <w:r>
            <w:fldChar w:fldCharType="end"/>
          </w:r>
        </w:p>
      </w:sdtContent>
    </w:sdt>
    <w:p w14:paraId="7DC3968D">
      <w:pPr>
        <w:rPr>
          <w:rFonts w:ascii="Times New Roman" w:hAnsi="Times New Roman" w:eastAsia="仿宋_GB2312" w:cs="Times New Roman"/>
          <w:kern w:val="2"/>
          <w:sz w:val="28"/>
          <w:szCs w:val="24"/>
          <w:lang w:val="en-US" w:eastAsia="zh-CN" w:bidi="ar-SA"/>
        </w:rPr>
      </w:pPr>
      <w:r>
        <w:rPr>
          <w:rFonts w:ascii="Times New Roman" w:hAnsi="Times New Roman" w:eastAsia="仿宋_GB2312" w:cs="Times New Roman"/>
          <w:kern w:val="2"/>
          <w:sz w:val="28"/>
          <w:szCs w:val="24"/>
          <w:lang w:val="en-US" w:eastAsia="zh-CN" w:bidi="ar-SA"/>
        </w:rPr>
        <w:br w:type="page"/>
      </w:r>
    </w:p>
    <w:p w14:paraId="18B05FE1">
      <w:pPr>
        <w:spacing w:line="360" w:lineRule="auto"/>
        <w:jc w:val="center"/>
        <w:rPr>
          <w:rFonts w:ascii="Times New Roman" w:hAnsi="Times New Roman"/>
          <w:b/>
          <w:sz w:val="36"/>
          <w:szCs w:val="36"/>
        </w:rPr>
      </w:pPr>
      <w:r>
        <w:rPr>
          <w:rFonts w:hint="eastAsia" w:ascii="Times New Roman" w:hAnsi="Times New Roman"/>
          <w:b/>
          <w:sz w:val="36"/>
          <w:szCs w:val="36"/>
        </w:rPr>
        <w:t>制定说明</w:t>
      </w:r>
    </w:p>
    <w:p w14:paraId="12171283">
      <w:pPr>
        <w:spacing w:line="360" w:lineRule="auto"/>
        <w:ind w:firstLine="480" w:firstLineChars="200"/>
        <w:rPr>
          <w:rFonts w:ascii="Times New Roman" w:hAnsi="Times New Roman"/>
          <w:bCs/>
          <w:sz w:val="24"/>
          <w:szCs w:val="24"/>
        </w:rPr>
      </w:pPr>
      <w:r>
        <w:rPr>
          <w:rFonts w:hint="eastAsia" w:ascii="Times New Roman" w:hAnsi="Times New Roman"/>
          <w:bCs/>
          <w:sz w:val="24"/>
          <w:szCs w:val="24"/>
        </w:rPr>
        <w:t>本标准修订过程中，编制组进行了大量公园绿地的调查研究，总结了安徽省公园绿地常见问题及解决的实践经验，同时参考了国内外先进技术法规、技术标准，通过试验取得了重要技术参数。</w:t>
      </w:r>
    </w:p>
    <w:p w14:paraId="590D5B61">
      <w:pPr>
        <w:spacing w:line="360" w:lineRule="auto"/>
        <w:ind w:firstLine="480" w:firstLineChars="200"/>
        <w:rPr>
          <w:rFonts w:hint="eastAsia" w:ascii="Times New Roman" w:hAnsi="Times New Roman"/>
          <w:bCs/>
          <w:sz w:val="24"/>
          <w:szCs w:val="24"/>
        </w:rPr>
      </w:pPr>
      <w:r>
        <w:rPr>
          <w:rFonts w:hint="eastAsia" w:ascii="Times New Roman" w:hAnsi="Times New Roman"/>
          <w:bCs/>
          <w:sz w:val="24"/>
          <w:szCs w:val="24"/>
        </w:rPr>
        <w:t>为便于广大设计、施工、科研、学校等单位有关人员在使用本标准时能正确理解和执行条文规定，《公园绿地改造技术标准》编制组按章、节、条顺序编制了本标准的条文说明，对条文规定的目的、依据、执行中需要注意的有关事项进行了说明。但是条文说明不具备与标准正文同等的法律效力，仅供读者作为理解和把握标准规定的参考。</w:t>
      </w:r>
    </w:p>
    <w:p w14:paraId="3624A63F">
      <w:pPr>
        <w:rPr>
          <w:rFonts w:hint="eastAsia"/>
        </w:rPr>
      </w:pPr>
      <w:r>
        <w:rPr>
          <w:rFonts w:hint="eastAsia"/>
        </w:rPr>
        <w:br w:type="page"/>
      </w:r>
    </w:p>
    <w:p w14:paraId="7B3BE617">
      <w:pPr>
        <w:pStyle w:val="17"/>
        <w:spacing w:before="312" w:beforeLines="100" w:after="312" w:afterLines="100" w:line="360" w:lineRule="auto"/>
        <w:jc w:val="center"/>
        <w:outlineLvl w:val="0"/>
        <w:rPr>
          <w:rFonts w:ascii="Times New Roman" w:hAnsi="Times New Roman"/>
          <w:b/>
          <w:sz w:val="36"/>
          <w:szCs w:val="36"/>
        </w:rPr>
      </w:pPr>
      <w:bookmarkStart w:id="169" w:name="_Toc28583"/>
      <w:bookmarkStart w:id="170" w:name="_Toc114512233"/>
      <w:bookmarkStart w:id="171" w:name="_Toc17832"/>
      <w:r>
        <w:rPr>
          <w:rFonts w:ascii="Times New Roman" w:hAnsi="Times New Roman"/>
          <w:b/>
          <w:sz w:val="36"/>
          <w:szCs w:val="36"/>
        </w:rPr>
        <w:t>1</w:t>
      </w:r>
      <w:r>
        <w:rPr>
          <w:rFonts w:hint="eastAsia" w:ascii="Times New Roman" w:hAnsi="Times New Roman"/>
          <w:b/>
          <w:sz w:val="36"/>
          <w:szCs w:val="36"/>
        </w:rPr>
        <w:t>总</w:t>
      </w:r>
      <w:r>
        <w:rPr>
          <w:rFonts w:ascii="Times New Roman" w:hAnsi="Times New Roman"/>
          <w:b/>
          <w:sz w:val="36"/>
          <w:szCs w:val="36"/>
        </w:rPr>
        <w:t xml:space="preserve"> </w:t>
      </w:r>
      <w:r>
        <w:rPr>
          <w:rFonts w:hint="eastAsia" w:ascii="Times New Roman" w:hAnsi="Times New Roman"/>
          <w:b/>
          <w:sz w:val="36"/>
          <w:szCs w:val="36"/>
        </w:rPr>
        <w:t>则</w:t>
      </w:r>
      <w:bookmarkEnd w:id="169"/>
      <w:bookmarkEnd w:id="170"/>
      <w:bookmarkEnd w:id="171"/>
    </w:p>
    <w:p w14:paraId="18911D3A">
      <w:pPr>
        <w:pStyle w:val="30"/>
        <w:keepNext w:val="0"/>
        <w:keepLines w:val="0"/>
        <w:pageBreakBefore w:val="0"/>
        <w:widowControl/>
        <w:kinsoku/>
        <w:wordWrap/>
        <w:overflowPunct/>
        <w:topLinePunct w:val="0"/>
        <w:autoSpaceDE w:val="0"/>
        <w:autoSpaceDN w:val="0"/>
        <w:bidi w:val="0"/>
        <w:adjustRightInd/>
        <w:snapToGrid/>
        <w:spacing w:line="360" w:lineRule="auto"/>
        <w:ind w:left="0" w:leftChars="0" w:firstLine="0" w:firstLineChars="0"/>
        <w:textAlignment w:val="auto"/>
        <w:rPr>
          <w:rFonts w:hint="eastAsia" w:ascii="Times New Roman" w:hAnsi="Times New Roman" w:cs="Times New Roman"/>
          <w:color w:val="auto"/>
          <w:sz w:val="24"/>
          <w:szCs w:val="24"/>
          <w:highlight w:val="none"/>
          <w:lang w:eastAsia="zh-CN"/>
        </w:rPr>
      </w:pPr>
      <w:r>
        <w:rPr>
          <w:rFonts w:ascii="Times New Roman" w:hAnsi="Times New Roman"/>
          <w:b/>
          <w:bCs/>
          <w:sz w:val="24"/>
          <w:szCs w:val="24"/>
        </w:rPr>
        <w:t>1.0.</w:t>
      </w:r>
      <w:r>
        <w:rPr>
          <w:rFonts w:hint="eastAsia" w:ascii="Times New Roman" w:hAnsi="Times New Roman"/>
          <w:b/>
          <w:bCs/>
          <w:sz w:val="24"/>
          <w:szCs w:val="24"/>
          <w:lang w:val="en-US" w:eastAsia="zh-CN"/>
        </w:rPr>
        <w:t xml:space="preserve">2 </w:t>
      </w:r>
      <w:r>
        <w:rPr>
          <w:rFonts w:hint="default" w:ascii="Times New Roman" w:hAnsi="Times New Roman" w:cs="Times New Roman"/>
          <w:color w:val="auto"/>
          <w:sz w:val="24"/>
          <w:szCs w:val="24"/>
          <w:highlight w:val="none"/>
        </w:rPr>
        <w:t>本规程适用于市政装配式混凝土桥梁连接的设计、施工与质量检验，其他桥梁混凝土构件之间的连接可参考使用。</w:t>
      </w:r>
      <w:r>
        <w:rPr>
          <w:rFonts w:hint="eastAsia" w:ascii="Times New Roman" w:cs="Times New Roman"/>
          <w:color w:val="auto"/>
          <w:sz w:val="24"/>
          <w:szCs w:val="24"/>
          <w:highlight w:val="none"/>
          <w:lang w:eastAsia="zh-CN"/>
        </w:rPr>
        <w:t>本规程主要适用于</w:t>
      </w:r>
      <w:r>
        <w:rPr>
          <w:rFonts w:hint="default" w:ascii="Times New Roman" w:hAnsi="Times New Roman" w:cs="Times New Roman"/>
          <w:color w:val="auto"/>
          <w:sz w:val="24"/>
          <w:szCs w:val="24"/>
          <w:highlight w:val="none"/>
        </w:rPr>
        <w:t>混凝土桥梁</w:t>
      </w:r>
      <w:r>
        <w:rPr>
          <w:rFonts w:hint="eastAsia" w:ascii="Times New Roman" w:hAnsi="Times New Roman" w:cs="Times New Roman"/>
          <w:color w:val="auto"/>
          <w:sz w:val="24"/>
          <w:szCs w:val="24"/>
          <w:highlight w:val="none"/>
          <w:lang w:eastAsia="zh-CN"/>
        </w:rPr>
        <w:t>构件之间连接的技术规定，其他</w:t>
      </w:r>
      <w:r>
        <w:rPr>
          <w:rFonts w:hint="default" w:ascii="Times New Roman" w:hAnsi="Times New Roman" w:cs="Times New Roman"/>
          <w:color w:val="auto"/>
          <w:sz w:val="24"/>
          <w:szCs w:val="24"/>
          <w:highlight w:val="none"/>
        </w:rPr>
        <w:t>桥梁</w:t>
      </w:r>
      <w:r>
        <w:rPr>
          <w:rFonts w:hint="eastAsia" w:ascii="Times New Roman" w:hAnsi="Times New Roman" w:cs="Times New Roman"/>
          <w:color w:val="auto"/>
          <w:sz w:val="24"/>
          <w:szCs w:val="24"/>
          <w:highlight w:val="none"/>
          <w:lang w:eastAsia="zh-CN"/>
        </w:rPr>
        <w:t>诸如钢混组合结构的混凝土桥面板构件之间的连接、其他类型桥梁混凝土下部结构构件之间的连接均可参照本规范相应规定执行。</w:t>
      </w:r>
    </w:p>
    <w:p w14:paraId="5510FA4F">
      <w:pPr>
        <w:pStyle w:val="30"/>
        <w:keepNext w:val="0"/>
        <w:keepLines w:val="0"/>
        <w:pageBreakBefore w:val="0"/>
        <w:widowControl/>
        <w:kinsoku/>
        <w:wordWrap/>
        <w:overflowPunct/>
        <w:topLinePunct w:val="0"/>
        <w:autoSpaceDE w:val="0"/>
        <w:autoSpaceDN w:val="0"/>
        <w:bidi w:val="0"/>
        <w:adjustRightInd/>
        <w:snapToGrid/>
        <w:spacing w:line="360" w:lineRule="auto"/>
        <w:ind w:left="0" w:leftChars="0" w:firstLine="0" w:firstLineChars="0"/>
        <w:textAlignment w:val="auto"/>
        <w:rPr>
          <w:rFonts w:hint="eastAsia" w:ascii="Times New Roman" w:hAnsi="Times New Roman" w:cs="Times New Roman"/>
          <w:b w:val="0"/>
          <w:bCs w:val="0"/>
          <w:sz w:val="24"/>
          <w:szCs w:val="24"/>
          <w:lang w:eastAsia="zh-CN"/>
        </w:rPr>
      </w:pPr>
      <w:r>
        <w:rPr>
          <w:rFonts w:hint="default" w:ascii="Times New Roman" w:hAnsi="Times New Roman" w:cs="Times New Roman"/>
          <w:b/>
          <w:bCs/>
          <w:sz w:val="24"/>
          <w:szCs w:val="24"/>
          <w:lang w:val="en-US" w:eastAsia="zh-CN"/>
        </w:rPr>
        <w:t>1.0.3</w:t>
      </w:r>
      <w:r>
        <w:rPr>
          <w:rFonts w:hint="eastAsia" w:ascii="Times New Roman" w:hAnsi="Times New Roman" w:cs="Times New Roman"/>
          <w:b/>
          <w:bCs/>
          <w:sz w:val="24"/>
          <w:szCs w:val="24"/>
          <w:lang w:val="en-US" w:eastAsia="zh-CN"/>
        </w:rPr>
        <w:t xml:space="preserve"> </w:t>
      </w:r>
      <w:r>
        <w:rPr>
          <w:rFonts w:hint="eastAsia" w:ascii="Times New Roman" w:hAnsi="Times New Roman" w:cs="Times New Roman"/>
          <w:b w:val="0"/>
          <w:bCs w:val="0"/>
          <w:sz w:val="24"/>
          <w:szCs w:val="24"/>
          <w:lang w:eastAsia="zh-CN"/>
        </w:rPr>
        <w:t>装配式桥梁建议用于低烈度地区，安徽绝大部分地区地震烈度</w:t>
      </w:r>
      <w:r>
        <w:rPr>
          <w:rFonts w:hint="default" w:ascii="Times New Roman" w:hAnsi="Times New Roman" w:cs="Times New Roman"/>
          <w:b w:val="0"/>
          <w:bCs w:val="0"/>
          <w:sz w:val="24"/>
          <w:szCs w:val="24"/>
          <w:lang w:eastAsia="zh-CN"/>
        </w:rPr>
        <w:t>小</w:t>
      </w:r>
      <w:r>
        <w:rPr>
          <w:rFonts w:hint="default" w:ascii="Times New Roman" w:hAnsi="Times New Roman" w:cs="Times New Roman"/>
          <w:b w:val="0"/>
          <w:bCs w:val="0"/>
          <w:sz w:val="24"/>
          <w:szCs w:val="24"/>
        </w:rPr>
        <w:t>于0.15g</w:t>
      </w:r>
      <w:r>
        <w:rPr>
          <w:rFonts w:hint="eastAsia" w:ascii="Times New Roman" w:hAnsi="Times New Roman" w:cs="Times New Roman"/>
          <w:b w:val="0"/>
          <w:bCs w:val="0"/>
          <w:sz w:val="24"/>
          <w:szCs w:val="24"/>
          <w:lang w:eastAsia="zh-CN"/>
        </w:rPr>
        <w:t>，均适用于本规范的规定范围，极个别地区如五河县、泗县、霍山县地震烈度为</w:t>
      </w:r>
      <w:r>
        <w:rPr>
          <w:rFonts w:hint="eastAsia" w:ascii="Times New Roman" w:hAnsi="Times New Roman" w:cs="Times New Roman"/>
          <w:b w:val="0"/>
          <w:bCs w:val="0"/>
          <w:sz w:val="24"/>
          <w:szCs w:val="24"/>
          <w:lang w:val="en-US" w:eastAsia="zh-CN"/>
        </w:rPr>
        <w:t>0.15</w:t>
      </w:r>
      <w:r>
        <w:rPr>
          <w:rFonts w:hint="default" w:ascii="Times New Roman" w:hAnsi="Times New Roman" w:cs="Times New Roman"/>
          <w:b w:val="0"/>
          <w:bCs w:val="0"/>
          <w:sz w:val="24"/>
          <w:szCs w:val="24"/>
        </w:rPr>
        <w:t>g</w:t>
      </w:r>
      <w:r>
        <w:rPr>
          <w:rFonts w:hint="eastAsia" w:ascii="Times New Roman" w:hAnsi="Times New Roman" w:cs="Times New Roman"/>
          <w:b w:val="0"/>
          <w:bCs w:val="0"/>
          <w:sz w:val="24"/>
          <w:szCs w:val="24"/>
          <w:lang w:eastAsia="zh-CN"/>
        </w:rPr>
        <w:t>，需要进行</w:t>
      </w:r>
      <w:r>
        <w:rPr>
          <w:rFonts w:hint="default" w:ascii="Times New Roman" w:hAnsi="Times New Roman" w:cs="Times New Roman"/>
          <w:b w:val="0"/>
          <w:bCs w:val="0"/>
          <w:sz w:val="24"/>
          <w:szCs w:val="24"/>
        </w:rPr>
        <w:t>专项抗震设计</w:t>
      </w:r>
      <w:r>
        <w:rPr>
          <w:rFonts w:hint="eastAsia" w:ascii="Times New Roman" w:hAnsi="Times New Roman" w:cs="Times New Roman"/>
          <w:b w:val="0"/>
          <w:bCs w:val="0"/>
          <w:sz w:val="24"/>
          <w:szCs w:val="24"/>
          <w:lang w:eastAsia="zh-CN"/>
        </w:rPr>
        <w:t>。</w:t>
      </w:r>
    </w:p>
    <w:p w14:paraId="72D1213D">
      <w:pPr>
        <w:rPr>
          <w:rFonts w:hint="eastAsia" w:ascii="Times New Roman" w:hAnsi="Times New Roman" w:cs="Times New Roman"/>
          <w:b w:val="0"/>
          <w:bCs w:val="0"/>
          <w:sz w:val="24"/>
          <w:szCs w:val="24"/>
          <w:lang w:eastAsia="zh-CN"/>
        </w:rPr>
      </w:pPr>
      <w:r>
        <w:rPr>
          <w:rFonts w:hint="eastAsia" w:ascii="Times New Roman" w:hAnsi="Times New Roman" w:cs="Times New Roman"/>
          <w:b w:val="0"/>
          <w:bCs w:val="0"/>
          <w:sz w:val="24"/>
          <w:szCs w:val="24"/>
          <w:lang w:eastAsia="zh-CN"/>
        </w:rPr>
        <w:br w:type="page"/>
      </w:r>
    </w:p>
    <w:p w14:paraId="2058B05A">
      <w:pPr>
        <w:pStyle w:val="17"/>
        <w:spacing w:before="312" w:beforeLines="100" w:after="312" w:afterLines="100" w:line="360" w:lineRule="auto"/>
        <w:jc w:val="center"/>
        <w:outlineLvl w:val="0"/>
        <w:rPr>
          <w:rFonts w:hint="eastAsia" w:ascii="Times New Roman" w:hAnsi="Times New Roman" w:eastAsia="宋体"/>
          <w:b/>
          <w:sz w:val="36"/>
          <w:szCs w:val="36"/>
          <w:lang w:eastAsia="zh-CN"/>
        </w:rPr>
      </w:pPr>
      <w:bookmarkStart w:id="172" w:name="_Toc114512234"/>
      <w:bookmarkStart w:id="173" w:name="_Toc11413"/>
      <w:bookmarkStart w:id="174" w:name="_Toc12463"/>
      <w:r>
        <w:rPr>
          <w:rFonts w:ascii="Times New Roman" w:hAnsi="Times New Roman"/>
          <w:b/>
          <w:sz w:val="36"/>
          <w:szCs w:val="36"/>
        </w:rPr>
        <w:t>2</w:t>
      </w:r>
      <w:r>
        <w:rPr>
          <w:rFonts w:hint="eastAsia" w:ascii="Times New Roman" w:hAnsi="Times New Roman"/>
          <w:b/>
          <w:sz w:val="36"/>
          <w:szCs w:val="36"/>
        </w:rPr>
        <w:t>术语</w:t>
      </w:r>
      <w:bookmarkEnd w:id="172"/>
      <w:r>
        <w:rPr>
          <w:rFonts w:hint="eastAsia" w:ascii="Times New Roman" w:hAnsi="Times New Roman"/>
          <w:b/>
          <w:sz w:val="36"/>
          <w:szCs w:val="36"/>
          <w:lang w:eastAsia="zh-CN"/>
        </w:rPr>
        <w:t>和符号</w:t>
      </w:r>
      <w:bookmarkEnd w:id="173"/>
      <w:bookmarkEnd w:id="174"/>
    </w:p>
    <w:p w14:paraId="07169208">
      <w:pPr>
        <w:spacing w:before="156" w:beforeLines="50" w:after="156" w:afterLines="50" w:line="360" w:lineRule="auto"/>
        <w:jc w:val="center"/>
        <w:outlineLvl w:val="1"/>
        <w:rPr>
          <w:rFonts w:hint="eastAsia" w:ascii="Times New Roman" w:hAnsi="Times New Roman" w:eastAsia="宋体" w:cs="Times New Roman"/>
          <w:b/>
          <w:bCs/>
          <w:kern w:val="0"/>
          <w:sz w:val="24"/>
          <w:szCs w:val="24"/>
          <w:lang w:val="en-US" w:eastAsia="zh-CN" w:bidi="ar-SA"/>
        </w:rPr>
      </w:pPr>
      <w:bookmarkStart w:id="175" w:name="_Toc17493"/>
      <w:bookmarkStart w:id="176" w:name="_Toc8680"/>
      <w:r>
        <w:rPr>
          <w:rFonts w:hint="eastAsia" w:ascii="Times New Roman" w:hAnsi="Times New Roman" w:cs="Times New Roman"/>
          <w:b/>
          <w:kern w:val="0"/>
          <w:sz w:val="28"/>
          <w:szCs w:val="28"/>
        </w:rPr>
        <w:t>2.1 术语</w:t>
      </w:r>
      <w:bookmarkEnd w:id="175"/>
      <w:bookmarkEnd w:id="176"/>
    </w:p>
    <w:p w14:paraId="43B6630B">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Times New Roman" w:eastAsia="宋体" w:cs="Times New Roman"/>
          <w:bCs/>
          <w:color w:val="auto"/>
          <w:kern w:val="2"/>
          <w:sz w:val="24"/>
          <w:szCs w:val="24"/>
          <w:highlight w:val="none"/>
          <w:lang w:val="en-US" w:eastAsia="zh-CN" w:bidi="ar-SA"/>
        </w:rPr>
      </w:pPr>
      <w:r>
        <w:rPr>
          <w:rFonts w:hint="eastAsia" w:ascii="Times New Roman" w:hAnsi="Times New Roman" w:eastAsia="宋体" w:cs="Times New Roman"/>
          <w:b/>
          <w:bCs/>
          <w:kern w:val="0"/>
          <w:sz w:val="24"/>
          <w:szCs w:val="24"/>
          <w:lang w:val="en-US" w:eastAsia="zh-CN" w:bidi="ar-SA"/>
        </w:rPr>
        <w:t xml:space="preserve">2.1.6 </w:t>
      </w:r>
      <w:r>
        <w:rPr>
          <w:rFonts w:hint="eastAsia" w:ascii="Times New Roman" w:hAnsi="Calibri" w:eastAsia="宋体" w:cs="Times New Roman"/>
          <w:bCs/>
          <w:color w:val="auto"/>
          <w:kern w:val="2"/>
          <w:sz w:val="24"/>
          <w:szCs w:val="24"/>
          <w:highlight w:val="none"/>
          <w:lang w:val="en-US" w:eastAsia="zh-CN" w:bidi="ar-SA"/>
        </w:rPr>
        <w:t>壳式连接</w:t>
      </w:r>
      <w:r>
        <w:rPr>
          <w:rFonts w:hint="eastAsia" w:ascii="Times New Roman" w:eastAsia="宋体" w:cs="Times New Roman"/>
          <w:bCs/>
          <w:color w:val="auto"/>
          <w:kern w:val="2"/>
          <w:sz w:val="24"/>
          <w:szCs w:val="24"/>
          <w:highlight w:val="none"/>
          <w:lang w:val="en-US" w:eastAsia="zh-CN" w:bidi="ar-SA"/>
        </w:rPr>
        <w:t>是一种适用于一柱一桩的装配式桥梁下部结构连接方式，通过墩柱与桩基连接范围内绑扎钢筋浇筑混凝土壳壁连接成整体，为了加强连接的受力性能同时减小壁厚，壳壁建议采用超高性能混凝土。</w:t>
      </w:r>
    </w:p>
    <w:p w14:paraId="4A30E4A4">
      <w:pPr>
        <w:rPr>
          <w:rFonts w:hint="eastAsia" w:ascii="Times New Roman" w:eastAsia="宋体" w:cs="Times New Roman"/>
          <w:bCs/>
          <w:color w:val="auto"/>
          <w:kern w:val="2"/>
          <w:sz w:val="24"/>
          <w:szCs w:val="24"/>
          <w:highlight w:val="none"/>
          <w:lang w:val="en-US" w:eastAsia="zh-CN" w:bidi="ar-SA"/>
        </w:rPr>
      </w:pPr>
      <w:r>
        <w:rPr>
          <w:rFonts w:hint="eastAsia" w:ascii="Times New Roman" w:eastAsia="宋体" w:cs="Times New Roman"/>
          <w:bCs/>
          <w:color w:val="auto"/>
          <w:kern w:val="2"/>
          <w:sz w:val="24"/>
          <w:szCs w:val="24"/>
          <w:highlight w:val="none"/>
          <w:lang w:val="en-US" w:eastAsia="zh-CN" w:bidi="ar-SA"/>
        </w:rPr>
        <w:br w:type="page"/>
      </w:r>
    </w:p>
    <w:p w14:paraId="68729A0F">
      <w:pPr>
        <w:pStyle w:val="17"/>
        <w:spacing w:before="312" w:beforeLines="100" w:after="312" w:afterLines="100" w:line="360" w:lineRule="auto"/>
        <w:jc w:val="center"/>
        <w:outlineLvl w:val="0"/>
        <w:rPr>
          <w:rFonts w:hint="eastAsia" w:ascii="Times New Roman" w:hAnsi="Times New Roman" w:eastAsia="宋体"/>
          <w:b/>
          <w:sz w:val="36"/>
          <w:szCs w:val="36"/>
          <w:lang w:eastAsia="zh-CN"/>
        </w:rPr>
      </w:pPr>
      <w:bookmarkStart w:id="177" w:name="_Toc114512235"/>
      <w:bookmarkStart w:id="178" w:name="_Toc15048"/>
      <w:bookmarkStart w:id="179" w:name="_Toc17447"/>
      <w:r>
        <w:rPr>
          <w:rFonts w:hint="eastAsia" w:ascii="Times New Roman" w:hAnsi="Times New Roman"/>
          <w:b/>
          <w:sz w:val="36"/>
          <w:szCs w:val="36"/>
          <w:lang w:val="en-US" w:eastAsia="zh-CN"/>
        </w:rPr>
        <w:t xml:space="preserve">4 </w:t>
      </w:r>
      <w:bookmarkEnd w:id="177"/>
      <w:r>
        <w:rPr>
          <w:rFonts w:hint="eastAsia" w:ascii="Times New Roman" w:hAnsi="Times New Roman"/>
          <w:b/>
          <w:sz w:val="36"/>
          <w:szCs w:val="36"/>
          <w:lang w:eastAsia="zh-CN"/>
        </w:rPr>
        <w:t>材料</w:t>
      </w:r>
      <w:bookmarkEnd w:id="178"/>
      <w:bookmarkEnd w:id="179"/>
    </w:p>
    <w:p w14:paraId="09807A33">
      <w:pPr>
        <w:spacing w:before="156" w:beforeLines="50" w:after="156" w:afterLines="50" w:line="360" w:lineRule="auto"/>
        <w:jc w:val="center"/>
        <w:outlineLvl w:val="1"/>
        <w:rPr>
          <w:rFonts w:hint="eastAsia" w:ascii="Times New Roman" w:hAnsi="Times New Roman" w:eastAsia="宋体" w:cs="Times New Roman"/>
          <w:b/>
          <w:bCs/>
          <w:kern w:val="0"/>
          <w:sz w:val="24"/>
          <w:szCs w:val="24"/>
          <w:lang w:val="en-US" w:eastAsia="zh-CN" w:bidi="ar-SA"/>
        </w:rPr>
      </w:pPr>
      <w:bookmarkStart w:id="180" w:name="_Toc10646"/>
      <w:bookmarkStart w:id="181" w:name="_Toc19984"/>
      <w:r>
        <w:rPr>
          <w:rFonts w:hint="eastAsia" w:ascii="Times New Roman" w:hAnsi="Times New Roman" w:cs="Times New Roman"/>
          <w:b/>
          <w:kern w:val="0"/>
          <w:sz w:val="28"/>
          <w:szCs w:val="28"/>
        </w:rPr>
        <w:t>4.2 灌浆套筒</w:t>
      </w:r>
      <w:bookmarkEnd w:id="180"/>
      <w:bookmarkEnd w:id="181"/>
    </w:p>
    <w:p w14:paraId="17EE9304">
      <w:pPr>
        <w:pStyle w:val="2"/>
        <w:keepNext w:val="0"/>
        <w:keepLines w:val="0"/>
        <w:pageBreakBefore w:val="0"/>
        <w:widowControl w:val="0"/>
        <w:kinsoku/>
        <w:wordWrap/>
        <w:overflowPunct/>
        <w:topLinePunct w:val="0"/>
        <w:autoSpaceDE/>
        <w:autoSpaceDN/>
        <w:bidi w:val="0"/>
        <w:spacing w:line="360" w:lineRule="auto"/>
        <w:textAlignment w:val="auto"/>
        <w:rPr>
          <w:rFonts w:hint="eastAsia" w:ascii="Times New Roman" w:hAnsi="Times New Roman" w:eastAsia="宋体" w:cs="Times New Roman"/>
          <w:b w:val="0"/>
          <w:bCs w:val="0"/>
          <w:kern w:val="0"/>
          <w:sz w:val="24"/>
          <w:szCs w:val="24"/>
          <w:lang w:val="en-US" w:eastAsia="zh-CN" w:bidi="ar-SA"/>
        </w:rPr>
      </w:pPr>
      <w:r>
        <w:rPr>
          <w:rFonts w:hint="eastAsia" w:ascii="Times New Roman" w:hAnsi="Times New Roman" w:eastAsia="宋体" w:cs="Times New Roman"/>
          <w:b/>
          <w:bCs/>
          <w:kern w:val="0"/>
          <w:sz w:val="24"/>
          <w:szCs w:val="24"/>
          <w:lang w:val="en-US" w:eastAsia="zh-CN" w:bidi="ar-SA"/>
        </w:rPr>
        <w:t xml:space="preserve">4.2.1 </w:t>
      </w:r>
      <w:r>
        <w:rPr>
          <w:rFonts w:hint="eastAsia" w:ascii="Times New Roman" w:hAnsi="Times New Roman" w:eastAsia="宋体" w:cs="Times New Roman"/>
          <w:b w:val="0"/>
          <w:bCs w:val="0"/>
          <w:kern w:val="0"/>
          <w:sz w:val="24"/>
          <w:szCs w:val="24"/>
          <w:lang w:val="en-US" w:eastAsia="zh-CN" w:bidi="ar-SA"/>
        </w:rPr>
        <w:t>灌浆连接套筒是目前预制拼装下部结构较常采用的一种连接方式，其作用是将一根钢筋的力传递至另一根钢筋。全灌浆套筒一端为预制安装端，另一端为现场拼装端，套筒中间设置钢筋限位挡板，套筒下端设置压浆口，套筒上端设置出浆口。半灌浆套筒的钢筋机械连接端为预制安装端，另一端为现场拼装端，套筒下端设置压浆口，上端设置出浆口。</w:t>
      </w:r>
    </w:p>
    <w:p w14:paraId="463E429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bCs/>
          <w:sz w:val="24"/>
          <w:szCs w:val="24"/>
        </w:rPr>
      </w:pPr>
      <w:r>
        <w:rPr>
          <w:rFonts w:hint="eastAsia" w:ascii="Times New Roman" w:hAnsi="Times New Roman" w:eastAsia="宋体" w:cs="Times New Roman"/>
          <w:b/>
          <w:bCs/>
          <w:kern w:val="0"/>
          <w:sz w:val="24"/>
          <w:szCs w:val="24"/>
          <w:lang w:val="en-US" w:eastAsia="zh-CN" w:bidi="ar-SA"/>
        </w:rPr>
        <w:t xml:space="preserve">4.2.4 </w:t>
      </w:r>
      <w:r>
        <w:rPr>
          <w:rFonts w:hint="eastAsia" w:ascii="宋体" w:hAnsi="宋体" w:cs="宋体"/>
          <w:bCs/>
          <w:sz w:val="24"/>
          <w:szCs w:val="24"/>
        </w:rPr>
        <w:t>考虑到塑性铰区反复地震荷载下套筒内钢筋存在拔出的风险，这会导致墩柱承载力和延性能力降低，因此灌浆套筒连接接头要能经受规定的高应力和大变形反复拉压循环检验。</w:t>
      </w:r>
    </w:p>
    <w:p w14:paraId="059EE218">
      <w:pPr>
        <w:spacing w:before="156" w:beforeLines="50" w:after="156" w:afterLines="50" w:line="360" w:lineRule="auto"/>
        <w:jc w:val="center"/>
        <w:outlineLvl w:val="1"/>
        <w:rPr>
          <w:rFonts w:hint="eastAsia"/>
        </w:rPr>
      </w:pPr>
      <w:bookmarkStart w:id="182" w:name="_Toc24875"/>
      <w:bookmarkStart w:id="183" w:name="_Toc19207"/>
      <w:r>
        <w:rPr>
          <w:rFonts w:hint="eastAsia" w:ascii="Times New Roman" w:hAnsi="Times New Roman" w:cs="Times New Roman"/>
          <w:b/>
          <w:kern w:val="0"/>
          <w:sz w:val="28"/>
          <w:szCs w:val="28"/>
        </w:rPr>
        <w:t xml:space="preserve">4.5 </w:t>
      </w:r>
      <w:r>
        <w:rPr>
          <w:rFonts w:hint="default" w:ascii="Times New Roman" w:hAnsi="Times New Roman" w:cs="Times New Roman"/>
          <w:b/>
          <w:kern w:val="0"/>
          <w:sz w:val="28"/>
          <w:szCs w:val="28"/>
        </w:rPr>
        <w:t>灌浆料与接缝材料</w:t>
      </w:r>
      <w:bookmarkEnd w:id="182"/>
      <w:bookmarkEnd w:id="183"/>
    </w:p>
    <w:p w14:paraId="789374D9">
      <w:pPr>
        <w:pStyle w:val="2"/>
        <w:keepNext w:val="0"/>
        <w:keepLines w:val="0"/>
        <w:pageBreakBefore w:val="0"/>
        <w:widowControl w:val="0"/>
        <w:kinsoku/>
        <w:wordWrap/>
        <w:overflowPunct/>
        <w:topLinePunct w:val="0"/>
        <w:autoSpaceDE/>
        <w:autoSpaceDN/>
        <w:bidi w:val="0"/>
        <w:spacing w:line="360" w:lineRule="auto"/>
        <w:textAlignment w:val="auto"/>
        <w:rPr>
          <w:rFonts w:hint="eastAsia" w:ascii="宋体" w:hAnsi="宋体" w:eastAsia="宋体" w:cs="宋体"/>
          <w:bCs/>
          <w:kern w:val="2"/>
          <w:sz w:val="24"/>
          <w:szCs w:val="24"/>
          <w:lang w:val="en-US" w:eastAsia="zh-CN" w:bidi="ar-SA"/>
        </w:rPr>
      </w:pPr>
      <w:r>
        <w:rPr>
          <w:rFonts w:hint="eastAsia" w:ascii="Times New Roman" w:hAnsi="Times New Roman" w:eastAsia="宋体" w:cs="Times New Roman"/>
          <w:b/>
          <w:bCs/>
          <w:kern w:val="0"/>
          <w:sz w:val="24"/>
          <w:szCs w:val="24"/>
          <w:lang w:val="en-US" w:eastAsia="zh-CN" w:bidi="ar-SA"/>
        </w:rPr>
        <w:t>4.5.4</w:t>
      </w:r>
      <w:r>
        <w:rPr>
          <w:rFonts w:hint="eastAsia"/>
          <w:sz w:val="24"/>
          <w:szCs w:val="24"/>
          <w:lang w:val="en-US" w:eastAsia="zh-CN"/>
        </w:rPr>
        <w:t xml:space="preserve"> </w:t>
      </w:r>
      <w:r>
        <w:rPr>
          <w:rFonts w:hint="eastAsia" w:ascii="宋体" w:hAnsi="宋体" w:eastAsia="宋体" w:cs="宋体"/>
          <w:bCs/>
          <w:kern w:val="2"/>
          <w:sz w:val="24"/>
          <w:szCs w:val="24"/>
          <w:lang w:val="en-US" w:eastAsia="zh-CN" w:bidi="ar-SA"/>
        </w:rPr>
        <w:t>超高性能混凝土又称活性粉末混凝土，我国的相应标准《活性粉末混凝土》GB/T 31387。根据GB50204《混凝土结构工程施工质量验收规范》，普通混凝土立方体抗压强度标准值当试件尺寸为100mm立方体或骨料最大粒径≤31.5mm时，应乘以强度尺寸换算系数0.95。当试件尺寸为200mm立方体或骨料最大粒径≤63mm时，应乘以强度尺寸换算系数1.05。国内外研究结果表明，活性粉末混凝土立方体抗压强度的尺寸效应不明显。因此，本规范沿用《活性粉末混凝土》GB/T 31387 第 9 条规定,立方体抗压强度标准值的测定采用边长 100mm 的立方体试件作为标准试件。活性粉末混凝土强度等级的保证率取为 95%。</w:t>
      </w:r>
    </w:p>
    <w:p w14:paraId="0F5C4CDE">
      <w:pPr>
        <w:keepNext w:val="0"/>
        <w:keepLines w:val="0"/>
        <w:pageBreakBefore w:val="0"/>
        <w:widowControl w:val="0"/>
        <w:kinsoku/>
        <w:wordWrap/>
        <w:overflowPunct/>
        <w:topLinePunct w:val="0"/>
        <w:autoSpaceDE/>
        <w:autoSpaceDN/>
        <w:bidi w:val="0"/>
        <w:spacing w:line="360" w:lineRule="auto"/>
        <w:ind w:firstLine="480"/>
        <w:textAlignment w:val="auto"/>
        <w:rPr>
          <w:rFonts w:hint="eastAsia" w:ascii="宋体" w:hAnsi="宋体" w:eastAsia="宋体" w:cs="宋体"/>
          <w:bCs/>
          <w:kern w:val="2"/>
          <w:sz w:val="24"/>
          <w:szCs w:val="24"/>
          <w:lang w:val="en-US" w:eastAsia="zh-CN" w:bidi="ar-SA"/>
        </w:rPr>
      </w:pPr>
      <w:r>
        <w:rPr>
          <w:rFonts w:hint="eastAsia" w:ascii="宋体" w:hAnsi="宋体" w:cs="宋体"/>
          <w:bCs/>
          <w:kern w:val="2"/>
          <w:sz w:val="24"/>
          <w:szCs w:val="24"/>
          <w:lang w:val="en-US" w:eastAsia="zh-CN" w:bidi="ar-SA"/>
        </w:rPr>
        <w:t>（1）</w:t>
      </w:r>
      <w:r>
        <w:rPr>
          <w:rFonts w:hint="eastAsia" w:ascii="宋体" w:hAnsi="宋体" w:eastAsia="宋体" w:cs="宋体"/>
          <w:bCs/>
          <w:kern w:val="2"/>
          <w:sz w:val="24"/>
          <w:szCs w:val="24"/>
          <w:lang w:val="en-US" w:eastAsia="zh-CN" w:bidi="ar-SA"/>
        </w:rPr>
        <w:t>参照《公路钢筋混凝土及预应力混凝土桥涵设计规范》JTG 3362、《活性粉末混凝土结构技术规程》DBJ43/T325中混凝土轴心抗压强度的计算方法，活性粉末混凝土轴心抗压强度f</w:t>
      </w:r>
      <w:r>
        <w:rPr>
          <w:rFonts w:hint="eastAsia" w:ascii="宋体" w:hAnsi="宋体" w:cs="宋体"/>
          <w:bCs/>
          <w:kern w:val="2"/>
          <w:sz w:val="24"/>
          <w:szCs w:val="24"/>
          <w:vertAlign w:val="subscript"/>
          <w:lang w:val="en-US" w:eastAsia="zh-CN" w:bidi="ar-SA"/>
        </w:rPr>
        <w:t>uc</w:t>
      </w:r>
      <w:r>
        <w:rPr>
          <w:rFonts w:hint="eastAsia" w:ascii="宋体" w:hAnsi="宋体" w:eastAsia="宋体" w:cs="宋体"/>
          <w:bCs/>
          <w:kern w:val="2"/>
          <w:sz w:val="24"/>
          <w:szCs w:val="24"/>
          <w:vertAlign w:val="subscript"/>
          <w:lang w:val="en-US" w:eastAsia="zh-CN" w:bidi="ar-SA"/>
        </w:rPr>
        <w:t>k</w:t>
      </w:r>
      <w:r>
        <w:rPr>
          <w:rFonts w:hint="eastAsia" w:ascii="宋体" w:hAnsi="宋体" w:eastAsia="宋体" w:cs="宋体"/>
          <w:bCs/>
          <w:kern w:val="2"/>
          <w:sz w:val="24"/>
          <w:szCs w:val="24"/>
          <w:lang w:val="en-US" w:eastAsia="zh-CN" w:bidi="ar-SA"/>
        </w:rPr>
        <w:t>按下式计算确定：</w:t>
      </w:r>
    </w:p>
    <w:p w14:paraId="1E41EFD6">
      <w:pPr>
        <w:keepNext w:val="0"/>
        <w:keepLines w:val="0"/>
        <w:pageBreakBefore w:val="0"/>
        <w:widowControl w:val="0"/>
        <w:kinsoku/>
        <w:wordWrap/>
        <w:overflowPunct/>
        <w:topLinePunct w:val="0"/>
        <w:autoSpaceDE/>
        <w:autoSpaceDN/>
        <w:bidi w:val="0"/>
        <w:spacing w:line="360" w:lineRule="auto"/>
        <w:ind w:firstLine="480"/>
        <w:textAlignment w:val="auto"/>
        <w:rPr>
          <w:rFonts w:hint="eastAsia" w:ascii="宋体" w:hAnsi="宋体" w:eastAsia="宋体" w:cs="宋体"/>
          <w:bCs/>
          <w:kern w:val="2"/>
          <w:sz w:val="24"/>
          <w:szCs w:val="24"/>
          <w:lang w:val="en-US" w:eastAsia="zh-CN" w:bidi="ar-SA"/>
        </w:rPr>
      </w:pPr>
      <m:oMathPara>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default" w:ascii="Cambria Math" w:hAnsi="Cambria Math" w:cs="宋体"/>
                  <w:kern w:val="2"/>
                  <w:sz w:val="24"/>
                  <w:szCs w:val="24"/>
                  <w:lang w:val="en-US" w:eastAsia="zh-CN" w:bidi="ar-SA"/>
                </w:rPr>
                <m:t>uc</m:t>
              </m:r>
              <m:r>
                <m:rPr>
                  <m:sty m:val="p"/>
                </m:rPr>
                <w:rPr>
                  <w:rFonts w:hint="eastAsia" w:ascii="Cambria Math" w:hAnsi="Cambria Math" w:eastAsia="宋体" w:cs="宋体"/>
                  <w:kern w:val="2"/>
                  <w:sz w:val="24"/>
                  <w:szCs w:val="24"/>
                  <w:lang w:val="en-US" w:eastAsia="zh-CN" w:bidi="ar-SA"/>
                </w:rPr>
                <m:t>k</m:t>
              </m:r>
              <m:ctrlPr>
                <w:rPr>
                  <w:rFonts w:hint="eastAsia" w:ascii="Cambria Math" w:hAnsi="Cambria Math" w:eastAsia="宋体" w:cs="宋体"/>
                  <w:bCs/>
                  <w:kern w:val="2"/>
                  <w:sz w:val="24"/>
                  <w:szCs w:val="24"/>
                  <w:lang w:val="en-US" w:eastAsia="zh-CN" w:bidi="ar-SA"/>
                </w:rPr>
              </m:ctrlPr>
            </m:sub>
          </m:sSub>
          <m:r>
            <m:rPr>
              <m:sty m:val="p"/>
            </m:rPr>
            <w:rPr>
              <w:rFonts w:hint="eastAsia" w:ascii="Cambria Math" w:hAnsi="Cambria Math" w:eastAsia="宋体" w:cs="宋体"/>
              <w:kern w:val="2"/>
              <w:sz w:val="24"/>
              <w:szCs w:val="24"/>
              <w:lang w:val="en-US" w:eastAsia="zh-CN" w:bidi="ar-SA"/>
            </w:rPr>
            <m:t>=0.88</m:t>
          </m:r>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α</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1</m:t>
              </m:r>
              <m:ctrlPr>
                <w:rPr>
                  <w:rFonts w:hint="eastAsia" w:ascii="Cambria Math" w:hAnsi="Cambria Math" w:eastAsia="宋体" w:cs="宋体"/>
                  <w:bCs/>
                  <w:kern w:val="2"/>
                  <w:sz w:val="24"/>
                  <w:szCs w:val="24"/>
                  <w:lang w:val="en-US" w:eastAsia="zh-CN" w:bidi="ar-SA"/>
                </w:rPr>
              </m:ctrlPr>
            </m:sub>
          </m:sSub>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α</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2</m:t>
              </m:r>
              <m:ctrlPr>
                <w:rPr>
                  <w:rFonts w:hint="eastAsia" w:ascii="Cambria Math" w:hAnsi="Cambria Math" w:eastAsia="宋体" w:cs="宋体"/>
                  <w:bCs/>
                  <w:kern w:val="2"/>
                  <w:sz w:val="24"/>
                  <w:szCs w:val="24"/>
                  <w:lang w:val="en-US" w:eastAsia="zh-CN" w:bidi="ar-SA"/>
                </w:rPr>
              </m:ctrlPr>
            </m:sub>
          </m:sSub>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cu,k</m:t>
              </m:r>
              <m:ctrlPr>
                <w:rPr>
                  <w:rFonts w:hint="eastAsia" w:ascii="Cambria Math" w:hAnsi="Cambria Math" w:eastAsia="宋体" w:cs="宋体"/>
                  <w:bCs/>
                  <w:kern w:val="2"/>
                  <w:sz w:val="24"/>
                  <w:szCs w:val="24"/>
                  <w:lang w:val="en-US" w:eastAsia="zh-CN" w:bidi="ar-SA"/>
                </w:rPr>
              </m:ctrlPr>
            </m:sub>
          </m:sSub>
        </m:oMath>
      </m:oMathPara>
    </w:p>
    <w:p w14:paraId="6E0A7CC0">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其中，系数0.88为考虑实际工程构件与立方体试件活性粉末混凝土强度之间差异的折减系数；</w:t>
      </w:r>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α</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1</m:t>
            </m:r>
            <m:ctrlPr>
              <w:rPr>
                <w:rFonts w:hint="eastAsia" w:ascii="Cambria Math" w:hAnsi="Cambria Math" w:eastAsia="宋体" w:cs="宋体"/>
                <w:bCs/>
                <w:kern w:val="2"/>
                <w:sz w:val="24"/>
                <w:szCs w:val="24"/>
                <w:lang w:val="en-US" w:eastAsia="zh-CN" w:bidi="ar-SA"/>
              </w:rPr>
            </m:ctrlPr>
          </m:sub>
        </m:sSub>
      </m:oMath>
      <w:r>
        <w:rPr>
          <w:rFonts w:hint="eastAsia" w:ascii="宋体" w:hAnsi="宋体" w:eastAsia="宋体" w:cs="宋体"/>
          <w:bCs/>
          <w:kern w:val="2"/>
          <w:sz w:val="24"/>
          <w:szCs w:val="24"/>
          <w:lang w:val="en-US" w:eastAsia="zh-CN" w:bidi="ar-SA"/>
        </w:rPr>
        <w:t>为脆性折减系数，活性粉末混凝土掺入了2%左右的钢纤维，其脆性明显低于普通混凝土，故取为1.0；</w:t>
      </w:r>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α</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2</m:t>
            </m:r>
            <m:ctrlPr>
              <w:rPr>
                <w:rFonts w:hint="eastAsia" w:ascii="Cambria Math" w:hAnsi="Cambria Math" w:eastAsia="宋体" w:cs="宋体"/>
                <w:bCs/>
                <w:kern w:val="2"/>
                <w:sz w:val="24"/>
                <w:szCs w:val="24"/>
                <w:lang w:val="en-US" w:eastAsia="zh-CN" w:bidi="ar-SA"/>
              </w:rPr>
            </m:ctrlPr>
          </m:sub>
        </m:sSub>
      </m:oMath>
      <w:r>
        <w:rPr>
          <w:rFonts w:hint="eastAsia" w:ascii="宋体" w:hAnsi="宋体" w:eastAsia="宋体" w:cs="宋体"/>
          <w:bCs/>
          <w:kern w:val="2"/>
          <w:sz w:val="24"/>
          <w:szCs w:val="24"/>
          <w:lang w:val="en-US" w:eastAsia="zh-CN" w:bidi="ar-SA"/>
        </w:rPr>
        <w:t>为棱柱体与立方体试件强度的比值，已有研究表明，其取值范围为0.78~0.82，本规程近似取中值0.80。可得活性粉末凝土轴心抗压强度计算公式：</w:t>
      </w:r>
    </w:p>
    <w:p w14:paraId="4556C9AB">
      <w:pPr>
        <w:keepNext w:val="0"/>
        <w:keepLines w:val="0"/>
        <w:pageBreakBefore w:val="0"/>
        <w:widowControl w:val="0"/>
        <w:kinsoku/>
        <w:wordWrap/>
        <w:overflowPunct/>
        <w:topLinePunct w:val="0"/>
        <w:autoSpaceDE/>
        <w:autoSpaceDN/>
        <w:bidi w:val="0"/>
        <w:spacing w:line="360" w:lineRule="auto"/>
        <w:ind w:firstLine="480"/>
        <w:textAlignment w:val="auto"/>
        <w:rPr>
          <w:rFonts w:hint="eastAsia" w:hAnsi="Cambria Math" w:eastAsia="宋体" w:cs="宋体"/>
          <w:bCs/>
          <w:i w:val="0"/>
          <w:kern w:val="2"/>
          <w:sz w:val="24"/>
          <w:szCs w:val="24"/>
          <w:lang w:val="en-US" w:eastAsia="zh-CN" w:bidi="ar-SA"/>
        </w:rPr>
      </w:pPr>
      <m:oMathPara>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default" w:ascii="Cambria Math" w:hAnsi="Cambria Math" w:cs="宋体"/>
                  <w:kern w:val="2"/>
                  <w:sz w:val="24"/>
                  <w:szCs w:val="24"/>
                  <w:lang w:val="en-US" w:eastAsia="zh-CN" w:bidi="ar-SA"/>
                </w:rPr>
                <m:t>uc</m:t>
              </m:r>
              <m:r>
                <m:rPr>
                  <m:sty m:val="p"/>
                </m:rPr>
                <w:rPr>
                  <w:rFonts w:hint="eastAsia" w:ascii="Cambria Math" w:hAnsi="Cambria Math" w:eastAsia="宋体" w:cs="宋体"/>
                  <w:kern w:val="2"/>
                  <w:sz w:val="24"/>
                  <w:szCs w:val="24"/>
                  <w:lang w:val="en-US" w:eastAsia="zh-CN" w:bidi="ar-SA"/>
                </w:rPr>
                <m:t>k</m:t>
              </m:r>
              <m:ctrlPr>
                <w:rPr>
                  <w:rFonts w:hint="eastAsia" w:ascii="Cambria Math" w:hAnsi="Cambria Math" w:eastAsia="宋体" w:cs="宋体"/>
                  <w:bCs/>
                  <w:kern w:val="2"/>
                  <w:sz w:val="24"/>
                  <w:szCs w:val="24"/>
                  <w:lang w:val="en-US" w:eastAsia="zh-CN" w:bidi="ar-SA"/>
                </w:rPr>
              </m:ctrlPr>
            </m:sub>
          </m:sSub>
          <m:r>
            <m:rPr>
              <m:sty m:val="p"/>
            </m:rPr>
            <w:rPr>
              <w:rFonts w:hint="eastAsia" w:ascii="Cambria Math" w:hAnsi="Cambria Math" w:eastAsia="宋体" w:cs="宋体"/>
              <w:kern w:val="2"/>
              <w:sz w:val="24"/>
              <w:szCs w:val="24"/>
              <w:lang w:val="en-US" w:eastAsia="zh-CN" w:bidi="ar-SA"/>
            </w:rPr>
            <m:t>=0.7</m:t>
          </m:r>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cu,k</m:t>
              </m:r>
              <m:ctrlPr>
                <w:rPr>
                  <w:rFonts w:hint="eastAsia" w:ascii="Cambria Math" w:hAnsi="Cambria Math" w:eastAsia="宋体" w:cs="宋体"/>
                  <w:bCs/>
                  <w:kern w:val="2"/>
                  <w:sz w:val="24"/>
                  <w:szCs w:val="24"/>
                  <w:lang w:val="en-US" w:eastAsia="zh-CN" w:bidi="ar-SA"/>
                </w:rPr>
              </m:ctrlPr>
            </m:sub>
          </m:sSub>
        </m:oMath>
      </m:oMathPara>
    </w:p>
    <w:p w14:paraId="117A8381">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left="0" w:leftChars="0"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w:t>
      </w:r>
      <w:r>
        <w:rPr>
          <w:rFonts w:hint="eastAsia" w:ascii="宋体" w:hAnsi="宋体" w:cs="宋体"/>
          <w:bCs/>
          <w:kern w:val="2"/>
          <w:sz w:val="24"/>
          <w:szCs w:val="24"/>
          <w:lang w:val="en-US" w:eastAsia="zh-CN" w:bidi="ar-SA"/>
        </w:rPr>
        <w:t>2</w:t>
      </w:r>
      <w:r>
        <w:rPr>
          <w:rFonts w:hint="eastAsia" w:ascii="宋体" w:hAnsi="宋体" w:eastAsia="宋体" w:cs="宋体"/>
          <w:bCs/>
          <w:kern w:val="2"/>
          <w:sz w:val="24"/>
          <w:szCs w:val="24"/>
          <w:lang w:val="en-US" w:eastAsia="zh-CN" w:bidi="ar-SA"/>
        </w:rPr>
        <w:t>）活性粉末混凝土轴心抗压强度设计值f</w:t>
      </w:r>
      <w:r>
        <w:rPr>
          <w:rFonts w:hint="eastAsia" w:ascii="宋体" w:hAnsi="宋体" w:cs="宋体"/>
          <w:bCs/>
          <w:kern w:val="2"/>
          <w:sz w:val="24"/>
          <w:szCs w:val="24"/>
          <w:lang w:val="en-US" w:eastAsia="zh-CN" w:bidi="ar-SA"/>
        </w:rPr>
        <w:t>uc</w:t>
      </w:r>
      <w:r>
        <w:rPr>
          <w:rFonts w:hint="eastAsia" w:ascii="宋体" w:hAnsi="宋体" w:eastAsia="宋体" w:cs="宋体"/>
          <w:bCs/>
          <w:kern w:val="2"/>
          <w:sz w:val="24"/>
          <w:szCs w:val="24"/>
          <w:lang w:val="en-US" w:eastAsia="zh-CN" w:bidi="ar-SA"/>
        </w:rPr>
        <w:t>d，由混凝土轴心抗压强度标准值除以混凝土材料分项系数</w:t>
      </w:r>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γ</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fc</m:t>
            </m:r>
            <m:ctrlPr>
              <w:rPr>
                <w:rFonts w:hint="eastAsia" w:ascii="Cambria Math" w:hAnsi="Cambria Math" w:eastAsia="宋体" w:cs="宋体"/>
                <w:bCs/>
                <w:kern w:val="2"/>
                <w:sz w:val="24"/>
                <w:szCs w:val="24"/>
                <w:lang w:val="en-US" w:eastAsia="zh-CN" w:bidi="ar-SA"/>
              </w:rPr>
            </m:ctrlPr>
          </m:sub>
        </m:sSub>
      </m:oMath>
      <w:r>
        <w:rPr>
          <w:rFonts w:hint="eastAsia" w:ascii="宋体" w:hAnsi="宋体" w:eastAsia="宋体" w:cs="宋体"/>
          <w:bCs/>
          <w:kern w:val="2"/>
          <w:sz w:val="24"/>
          <w:szCs w:val="24"/>
          <w:lang w:val="en-US" w:eastAsia="zh-CN" w:bidi="ar-SA"/>
        </w:rPr>
        <w:t>=1.45获得。混凝土材料分项系数的取值，接近于按二级安全等级结构分析的脆性破坏构件目标可靠指标的要求。</w:t>
      </w:r>
    </w:p>
    <w:p w14:paraId="73DA6C72">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（3）参照《公路钢筋混凝土及预应力混凝土桥涵设计规范》JTG 3362、《纤维混凝土结构技术规程》CECS38及《活性粉末混凝土结构技术规程》DBJ43/T325，以活性粉末混凝土轴心抗拉时基体的抗拉强度为其抗拉开裂强度，峰值强度为其轴心抗拉强度。由于实际工程中所采用钢纤维、混凝土原材料品种和养护方法较多，难以标准化，且抗拉强度测试时的离散性较大，故规定活性粉末混凝土轴心抗拉开裂强度宜根据工程所采用的材料由试验确定，当无试验数据时，给出了近似建议值。</w:t>
      </w:r>
    </w:p>
    <w:p w14:paraId="25358261">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已有研究结果表明活性粉末混凝土试件轴心抗拉开裂强度与边长100mm立方体试件抗压强度平均值之间的统计关系可取为：</w:t>
      </w:r>
    </w:p>
    <w:p w14:paraId="25038EEB">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m:oMathPara>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μ</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t0</m:t>
              </m:r>
              <m:ctrlPr>
                <w:rPr>
                  <w:rFonts w:hint="eastAsia" w:ascii="Cambria Math" w:hAnsi="Cambria Math" w:eastAsia="宋体" w:cs="宋体"/>
                  <w:bCs/>
                  <w:kern w:val="2"/>
                  <w:sz w:val="24"/>
                  <w:szCs w:val="24"/>
                  <w:lang w:val="en-US" w:eastAsia="zh-CN" w:bidi="ar-SA"/>
                </w:rPr>
              </m:ctrlPr>
            </m:sub>
          </m:sSub>
          <m:r>
            <m:rPr>
              <m:sty m:val="p"/>
            </m:rPr>
            <w:rPr>
              <w:rFonts w:hint="eastAsia" w:ascii="Cambria Math" w:hAnsi="Cambria Math" w:eastAsia="宋体" w:cs="宋体"/>
              <w:kern w:val="2"/>
              <w:sz w:val="24"/>
              <w:szCs w:val="24"/>
              <w:lang w:val="en-US" w:eastAsia="zh-CN" w:bidi="ar-SA"/>
            </w:rPr>
            <m:t>=0.053</m:t>
          </m:r>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μ</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f100</m:t>
              </m:r>
              <m:ctrlPr>
                <w:rPr>
                  <w:rFonts w:hint="eastAsia" w:ascii="Cambria Math" w:hAnsi="Cambria Math" w:eastAsia="宋体" w:cs="宋体"/>
                  <w:bCs/>
                  <w:kern w:val="2"/>
                  <w:sz w:val="24"/>
                  <w:szCs w:val="24"/>
                  <w:lang w:val="en-US" w:eastAsia="zh-CN" w:bidi="ar-SA"/>
                </w:rPr>
              </m:ctrlPr>
            </m:sub>
          </m:sSub>
        </m:oMath>
      </m:oMathPara>
    </w:p>
    <w:p w14:paraId="742F59BB">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μ</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t0</m:t>
            </m:r>
            <m:ctrlPr>
              <w:rPr>
                <w:rFonts w:hint="eastAsia" w:ascii="Cambria Math" w:hAnsi="Cambria Math" w:eastAsia="宋体" w:cs="宋体"/>
                <w:bCs/>
                <w:kern w:val="2"/>
                <w:sz w:val="24"/>
                <w:szCs w:val="24"/>
                <w:lang w:val="en-US" w:eastAsia="zh-CN" w:bidi="ar-SA"/>
              </w:rPr>
            </m:ctrlPr>
          </m:sub>
        </m:sSub>
      </m:oMath>
      <w:r>
        <w:rPr>
          <w:rFonts w:hint="eastAsia" w:ascii="宋体" w:hAnsi="宋体" w:eastAsia="宋体" w:cs="宋体"/>
          <w:bCs/>
          <w:kern w:val="2"/>
          <w:sz w:val="24"/>
          <w:szCs w:val="24"/>
          <w:lang w:val="en-US" w:eastAsia="zh-CN" w:bidi="ar-SA"/>
        </w:rPr>
        <w:t>为实测活性粉末混凝土轴心抗拉开裂强度的平均值，</w:t>
      </w:r>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μ</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f100</m:t>
            </m:r>
            <m:ctrlPr>
              <w:rPr>
                <w:rFonts w:hint="eastAsia" w:ascii="Cambria Math" w:hAnsi="Cambria Math" w:eastAsia="宋体" w:cs="宋体"/>
                <w:bCs/>
                <w:kern w:val="2"/>
                <w:sz w:val="24"/>
                <w:szCs w:val="24"/>
                <w:lang w:val="en-US" w:eastAsia="zh-CN" w:bidi="ar-SA"/>
              </w:rPr>
            </m:ctrlPr>
          </m:sub>
        </m:sSub>
      </m:oMath>
      <w:r>
        <w:rPr>
          <w:rFonts w:hint="eastAsia" w:ascii="宋体" w:hAnsi="宋体" w:eastAsia="宋体" w:cs="宋体"/>
          <w:bCs/>
          <w:kern w:val="2"/>
          <w:sz w:val="24"/>
          <w:szCs w:val="24"/>
          <w:lang w:val="en-US" w:eastAsia="zh-CN" w:bidi="ar-SA"/>
        </w:rPr>
        <w:t>为实测活性粉末混凝土抗压强度的平均值。</w:t>
      </w:r>
    </w:p>
    <w:p w14:paraId="319AA043">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目前尚无工程实际结构中活性粉末混凝土实体轴拉强度与试件轴拉强度之间差异的测试数据，仍近似沿用抗压强度的相应系数值0.88，则构件混凝土轴心抗拉开裂强度标准值（保证率为95%）为：</w:t>
      </w:r>
    </w:p>
    <w:p w14:paraId="4ADFBFD3">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m:oMathPara>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default" w:ascii="Times New Roman" w:eastAsia="宋体"/>
                  <w:color w:val="auto"/>
                  <w:sz w:val="24"/>
                  <w:szCs w:val="24"/>
                  <w:highlight w:val="none"/>
                  <w:vertAlign w:val="subscript"/>
                </w:rPr>
                <m:t>ut0</m:t>
              </m:r>
              <m:r>
                <m:rPr>
                  <m:sty m:val="p"/>
                </m:rPr>
                <w:rPr>
                  <w:rFonts w:hint="eastAsia" w:ascii="Cambria Math" w:hAnsi="Cambria Math" w:eastAsia="宋体" w:cs="宋体"/>
                  <w:kern w:val="2"/>
                  <w:sz w:val="24"/>
                  <w:szCs w:val="24"/>
                  <w:lang w:val="en-US" w:eastAsia="zh-CN" w:bidi="ar-SA"/>
                </w:rPr>
                <m:t>,k</m:t>
              </m:r>
              <m:ctrlPr>
                <w:rPr>
                  <w:rFonts w:hint="eastAsia" w:ascii="Cambria Math" w:hAnsi="Cambria Math" w:eastAsia="宋体" w:cs="宋体"/>
                  <w:bCs/>
                  <w:kern w:val="2"/>
                  <w:sz w:val="24"/>
                  <w:szCs w:val="24"/>
                  <w:lang w:val="en-US" w:eastAsia="zh-CN" w:bidi="ar-SA"/>
                </w:rPr>
              </m:ctrlPr>
            </m:sub>
          </m:sSub>
          <m:r>
            <m:rPr>
              <m:sty m:val="p"/>
            </m:rPr>
            <w:rPr>
              <w:rFonts w:hint="eastAsia" w:ascii="Cambria Math" w:hAnsi="Cambria Math" w:eastAsia="宋体" w:cs="宋体"/>
              <w:kern w:val="2"/>
              <w:sz w:val="24"/>
              <w:szCs w:val="24"/>
              <w:lang w:val="en-US" w:eastAsia="zh-CN" w:bidi="ar-SA"/>
            </w:rPr>
            <m:t>=0.88×0.053</m:t>
          </m:r>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μ</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f100</m:t>
              </m:r>
              <m:ctrlPr>
                <w:rPr>
                  <w:rFonts w:hint="eastAsia" w:ascii="Cambria Math" w:hAnsi="Cambria Math" w:eastAsia="宋体" w:cs="宋体"/>
                  <w:bCs/>
                  <w:kern w:val="2"/>
                  <w:sz w:val="24"/>
                  <w:szCs w:val="24"/>
                  <w:lang w:val="en-US" w:eastAsia="zh-CN" w:bidi="ar-SA"/>
                </w:rPr>
              </m:ctrlPr>
            </m:sub>
          </m:sSub>
          <m:r>
            <m:rPr>
              <m:sty m:val="p"/>
            </m:rPr>
            <w:rPr>
              <w:rFonts w:hint="eastAsia" w:ascii="Cambria Math" w:hAnsi="Cambria Math" w:eastAsia="宋体" w:cs="宋体"/>
              <w:kern w:val="2"/>
              <w:sz w:val="24"/>
              <w:szCs w:val="24"/>
              <w:lang w:val="en-US" w:eastAsia="zh-CN" w:bidi="ar-SA"/>
            </w:rPr>
            <m:t>(1−1.645</m:t>
          </m:r>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δ</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ft0</m:t>
              </m:r>
              <m:ctrlPr>
                <w:rPr>
                  <w:rFonts w:hint="eastAsia" w:ascii="Cambria Math" w:hAnsi="Cambria Math" w:eastAsia="宋体" w:cs="宋体"/>
                  <w:bCs/>
                  <w:kern w:val="2"/>
                  <w:sz w:val="24"/>
                  <w:szCs w:val="24"/>
                  <w:lang w:val="en-US" w:eastAsia="zh-CN" w:bidi="ar-SA"/>
                </w:rPr>
              </m:ctrlPr>
            </m:sub>
          </m:sSub>
          <m:r>
            <m:rPr>
              <m:sty m:val="p"/>
            </m:rPr>
            <w:rPr>
              <w:rFonts w:hint="eastAsia" w:ascii="Cambria Math" w:hAnsi="Cambria Math" w:eastAsia="宋体" w:cs="宋体"/>
              <w:kern w:val="2"/>
              <w:sz w:val="24"/>
              <w:szCs w:val="24"/>
              <w:lang w:val="en-US" w:eastAsia="zh-CN" w:bidi="ar-SA"/>
            </w:rPr>
            <m:t>)</m:t>
          </m:r>
        </m:oMath>
      </m:oMathPara>
    </w:p>
    <w:p w14:paraId="05D79079">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δ</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ft0</m:t>
            </m:r>
            <m:ctrlPr>
              <w:rPr>
                <w:rFonts w:hint="eastAsia" w:ascii="Cambria Math" w:hAnsi="Cambria Math" w:eastAsia="宋体" w:cs="宋体"/>
                <w:bCs/>
                <w:kern w:val="2"/>
                <w:sz w:val="24"/>
                <w:szCs w:val="24"/>
                <w:lang w:val="en-US" w:eastAsia="zh-CN" w:bidi="ar-SA"/>
              </w:rPr>
            </m:ctrlPr>
          </m:sub>
        </m:sSub>
      </m:oMath>
      <w:r>
        <w:rPr>
          <w:rFonts w:hint="eastAsia" w:ascii="宋体" w:hAnsi="宋体" w:eastAsia="宋体" w:cs="宋体"/>
          <w:bCs/>
          <w:kern w:val="2"/>
          <w:sz w:val="24"/>
          <w:szCs w:val="24"/>
          <w:lang w:val="en-US" w:eastAsia="zh-CN" w:bidi="ar-SA"/>
        </w:rPr>
        <w:t>为轴心抗拉开裂强度的变异系数，这里近似取为与立方体抗压强度的相同，则</w:t>
      </w:r>
    </w:p>
    <w:p w14:paraId="454D4A5D">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m:oMathPara>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default" w:ascii="Times New Roman" w:eastAsia="宋体"/>
                  <w:color w:val="auto"/>
                  <w:sz w:val="24"/>
                  <w:szCs w:val="24"/>
                  <w:highlight w:val="none"/>
                  <w:vertAlign w:val="subscript"/>
                </w:rPr>
                <m:t>ut0</m:t>
              </m:r>
              <m:r>
                <m:rPr>
                  <m:sty m:val="p"/>
                </m:rPr>
                <w:rPr>
                  <w:rFonts w:hint="eastAsia" w:ascii="Cambria Math" w:hAnsi="Cambria Math" w:eastAsia="宋体" w:cs="宋体"/>
                  <w:kern w:val="2"/>
                  <w:sz w:val="24"/>
                  <w:szCs w:val="24"/>
                  <w:lang w:val="en-US" w:eastAsia="zh-CN" w:bidi="ar-SA"/>
                </w:rPr>
                <m:t>,k</m:t>
              </m:r>
              <m:ctrlPr>
                <w:rPr>
                  <w:rFonts w:hint="eastAsia" w:ascii="Cambria Math" w:hAnsi="Cambria Math" w:eastAsia="宋体" w:cs="宋体"/>
                  <w:bCs/>
                  <w:kern w:val="2"/>
                  <w:sz w:val="24"/>
                  <w:szCs w:val="24"/>
                  <w:lang w:val="en-US" w:eastAsia="zh-CN" w:bidi="ar-SA"/>
                </w:rPr>
              </m:ctrlPr>
            </m:sub>
          </m:sSub>
          <m:r>
            <m:rPr>
              <m:sty m:val="p"/>
            </m:rPr>
            <w:rPr>
              <w:rFonts w:hint="eastAsia" w:ascii="Cambria Math" w:hAnsi="Cambria Math" w:eastAsia="宋体" w:cs="宋体"/>
              <w:kern w:val="2"/>
              <w:sz w:val="24"/>
              <w:szCs w:val="24"/>
              <w:lang w:val="en-US" w:eastAsia="zh-CN" w:bidi="ar-SA"/>
            </w:rPr>
            <m:t>=0.88×0.053</m:t>
          </m:r>
          <m:d>
            <m:dPr>
              <m:ctrlPr>
                <w:rPr>
                  <w:rFonts w:hint="eastAsia" w:ascii="Cambria Math" w:hAnsi="Cambria Math" w:eastAsia="宋体" w:cs="宋体"/>
                  <w:bCs/>
                  <w:kern w:val="2"/>
                  <w:sz w:val="24"/>
                  <w:szCs w:val="24"/>
                  <w:lang w:val="en-US" w:eastAsia="zh-CN" w:bidi="ar-SA"/>
                </w:rPr>
              </m:ctrlPr>
            </m:dPr>
            <m:e>
              <m:f>
                <m:fPr>
                  <m:ctrlPr>
                    <w:rPr>
                      <w:rFonts w:hint="eastAsia" w:ascii="Cambria Math" w:hAnsi="Cambria Math" w:eastAsia="宋体" w:cs="宋体"/>
                      <w:bCs/>
                      <w:kern w:val="2"/>
                      <w:sz w:val="24"/>
                      <w:szCs w:val="24"/>
                      <w:lang w:val="en-US" w:eastAsia="zh-CN" w:bidi="ar-SA"/>
                    </w:rPr>
                  </m:ctrlPr>
                </m:fPr>
                <m:num>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cu,k</m:t>
                      </m:r>
                      <m:ctrlPr>
                        <w:rPr>
                          <w:rFonts w:hint="eastAsia" w:ascii="Cambria Math" w:hAnsi="Cambria Math" w:eastAsia="宋体" w:cs="宋体"/>
                          <w:bCs/>
                          <w:kern w:val="2"/>
                          <w:sz w:val="24"/>
                          <w:szCs w:val="24"/>
                          <w:lang w:val="en-US" w:eastAsia="zh-CN" w:bidi="ar-SA"/>
                        </w:rPr>
                      </m:ctrlPr>
                    </m:sub>
                  </m:sSub>
                  <m:ctrlPr>
                    <w:rPr>
                      <w:rFonts w:hint="eastAsia" w:ascii="Cambria Math" w:hAnsi="Cambria Math" w:eastAsia="宋体" w:cs="宋体"/>
                      <w:bCs/>
                      <w:kern w:val="2"/>
                      <w:sz w:val="24"/>
                      <w:szCs w:val="24"/>
                      <w:lang w:val="en-US" w:eastAsia="zh-CN" w:bidi="ar-SA"/>
                    </w:rPr>
                  </m:ctrlPr>
                </m:num>
                <m:den>
                  <m:r>
                    <m:rPr>
                      <m:sty m:val="p"/>
                    </m:rPr>
                    <w:rPr>
                      <w:rFonts w:hint="eastAsia" w:ascii="Cambria Math" w:hAnsi="Cambria Math" w:eastAsia="宋体" w:cs="宋体"/>
                      <w:kern w:val="2"/>
                      <w:sz w:val="24"/>
                      <w:szCs w:val="24"/>
                      <w:lang w:val="en-US" w:eastAsia="zh-CN" w:bidi="ar-SA"/>
                    </w:rPr>
                    <m:t>1−1.645</m:t>
                  </m:r>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δ</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fc</m:t>
                      </m:r>
                      <m:ctrlPr>
                        <w:rPr>
                          <w:rFonts w:hint="eastAsia" w:ascii="Cambria Math" w:hAnsi="Cambria Math" w:eastAsia="宋体" w:cs="宋体"/>
                          <w:bCs/>
                          <w:kern w:val="2"/>
                          <w:sz w:val="24"/>
                          <w:szCs w:val="24"/>
                          <w:lang w:val="en-US" w:eastAsia="zh-CN" w:bidi="ar-SA"/>
                        </w:rPr>
                      </m:ctrlPr>
                    </m:sub>
                  </m:sSub>
                  <m:ctrlPr>
                    <w:rPr>
                      <w:rFonts w:hint="eastAsia" w:ascii="Cambria Math" w:hAnsi="Cambria Math" w:eastAsia="宋体" w:cs="宋体"/>
                      <w:bCs/>
                      <w:kern w:val="2"/>
                      <w:sz w:val="24"/>
                      <w:szCs w:val="24"/>
                      <w:lang w:val="en-US" w:eastAsia="zh-CN" w:bidi="ar-SA"/>
                    </w:rPr>
                  </m:ctrlPr>
                </m:den>
              </m:f>
              <m:ctrlPr>
                <w:rPr>
                  <w:rFonts w:hint="eastAsia" w:ascii="Cambria Math" w:hAnsi="Cambria Math" w:eastAsia="宋体" w:cs="宋体"/>
                  <w:bCs/>
                  <w:kern w:val="2"/>
                  <w:sz w:val="24"/>
                  <w:szCs w:val="24"/>
                  <w:lang w:val="en-US" w:eastAsia="zh-CN" w:bidi="ar-SA"/>
                </w:rPr>
              </m:ctrlPr>
            </m:e>
          </m:d>
          <m:d>
            <m:dPr>
              <m:ctrlPr>
                <w:rPr>
                  <w:rFonts w:hint="eastAsia" w:ascii="Cambria Math" w:hAnsi="Cambria Math" w:eastAsia="宋体" w:cs="宋体"/>
                  <w:bCs/>
                  <w:kern w:val="2"/>
                  <w:sz w:val="24"/>
                  <w:szCs w:val="24"/>
                  <w:lang w:val="en-US" w:eastAsia="zh-CN" w:bidi="ar-SA"/>
                </w:rPr>
              </m:ctrlPr>
            </m:dPr>
            <m:e>
              <m:r>
                <m:rPr>
                  <m:sty m:val="p"/>
                </m:rPr>
                <w:rPr>
                  <w:rFonts w:hint="eastAsia" w:ascii="Cambria Math" w:hAnsi="Cambria Math" w:eastAsia="宋体" w:cs="宋体"/>
                  <w:kern w:val="2"/>
                  <w:sz w:val="24"/>
                  <w:szCs w:val="24"/>
                  <w:lang w:val="en-US" w:eastAsia="zh-CN" w:bidi="ar-SA"/>
                </w:rPr>
                <m:t>1−1.645</m:t>
              </m:r>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δ</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fc</m:t>
                  </m:r>
                  <m:ctrlPr>
                    <w:rPr>
                      <w:rFonts w:hint="eastAsia" w:ascii="Cambria Math" w:hAnsi="Cambria Math" w:eastAsia="宋体" w:cs="宋体"/>
                      <w:bCs/>
                      <w:kern w:val="2"/>
                      <w:sz w:val="24"/>
                      <w:szCs w:val="24"/>
                      <w:lang w:val="en-US" w:eastAsia="zh-CN" w:bidi="ar-SA"/>
                    </w:rPr>
                  </m:ctrlPr>
                </m:sub>
              </m:sSub>
              <m:ctrlPr>
                <w:rPr>
                  <w:rFonts w:hint="eastAsia" w:ascii="Cambria Math" w:hAnsi="Cambria Math" w:eastAsia="宋体" w:cs="宋体"/>
                  <w:bCs/>
                  <w:kern w:val="2"/>
                  <w:sz w:val="24"/>
                  <w:szCs w:val="24"/>
                  <w:lang w:val="en-US" w:eastAsia="zh-CN" w:bidi="ar-SA"/>
                </w:rPr>
              </m:ctrlPr>
            </m:e>
          </m:d>
          <m:r>
            <m:rPr>
              <m:sty m:val="p"/>
            </m:rPr>
            <w:rPr>
              <w:rFonts w:hint="eastAsia" w:ascii="Cambria Math" w:hAnsi="Cambria Math" w:eastAsia="宋体" w:cs="宋体"/>
              <w:kern w:val="2"/>
              <w:sz w:val="24"/>
              <w:szCs w:val="24"/>
              <w:lang w:val="en-US" w:eastAsia="zh-CN" w:bidi="ar-SA"/>
            </w:rPr>
            <m:t>=0.047</m:t>
          </m:r>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cu,k</m:t>
              </m:r>
              <m:ctrlPr>
                <w:rPr>
                  <w:rFonts w:hint="eastAsia" w:ascii="Cambria Math" w:hAnsi="Cambria Math" w:eastAsia="宋体" w:cs="宋体"/>
                  <w:bCs/>
                  <w:kern w:val="2"/>
                  <w:sz w:val="24"/>
                  <w:szCs w:val="24"/>
                  <w:lang w:val="en-US" w:eastAsia="zh-CN" w:bidi="ar-SA"/>
                </w:rPr>
              </m:ctrlPr>
            </m:sub>
          </m:sSub>
        </m:oMath>
      </m:oMathPara>
    </w:p>
    <w:p w14:paraId="54EAE99B">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以活性粉末混凝土轴心抗拉时基体的抗拉强度为其抗拉开裂强度，峰值强度为其轴心抗拉强度。由于实际工程中所采用钢纤维、混凝土原材料品种和养护方法较多，难以标准化，故规定活性粉末混凝土轴心抗拉强度宜由试验确定，当无试验数据时，给出了近似计算公式。</w:t>
      </w:r>
    </w:p>
    <w:p w14:paraId="434EDE92">
      <w:pPr>
        <w:keepNext w:val="0"/>
        <w:keepLines w:val="0"/>
        <w:pageBreakBefore w:val="0"/>
        <w:widowControl w:val="0"/>
        <w:numPr>
          <w:ilvl w:val="0"/>
          <w:numId w:val="24"/>
        </w:numPr>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活性粉末混凝土轴心抗拉强度设计值</w:t>
      </w:r>
      <m:oMath>
        <m:sSub>
          <m:sSubPr>
            <m:ctrlPr>
              <w:rPr>
                <w:rFonts w:hint="eastAsia" w:ascii="Cambria Math" w:hAnsi="Cambria Math" w:eastAsia="宋体" w:cs="宋体"/>
                <w:bCs/>
                <w:kern w:val="2"/>
                <w:sz w:val="24"/>
                <w:szCs w:val="24"/>
                <w:lang w:val="en-US" w:eastAsia="zh-CN" w:bidi="ar-SA"/>
              </w:rPr>
            </m:ctrlPr>
          </m:sSubPr>
          <m:e>
            <m:r>
              <m:rPr>
                <m:sty m:val="p"/>
              </m:rPr>
              <w:rPr>
                <w:rFonts w:hint="default" w:ascii="Cambria Math" w:hAnsi="Cambria Math"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default" w:ascii="Times New Roman" w:eastAsia="宋体"/>
                <w:color w:val="auto"/>
                <w:sz w:val="24"/>
                <w:szCs w:val="24"/>
                <w:highlight w:val="none"/>
                <w:vertAlign w:val="subscript"/>
              </w:rPr>
              <m:t>ut0</m:t>
            </m:r>
            <m:r>
              <m:rPr>
                <m:sty m:val="p"/>
              </m:rPr>
              <w:rPr>
                <w:rFonts w:hint="eastAsia" w:ascii="Cambria Math" w:hAnsi="Cambria Math" w:eastAsia="宋体" w:cs="宋体"/>
                <w:kern w:val="2"/>
                <w:sz w:val="24"/>
                <w:szCs w:val="24"/>
                <w:lang w:val="en-US" w:eastAsia="zh-CN" w:bidi="ar-SA"/>
              </w:rPr>
              <m:t>,k</m:t>
            </m:r>
            <m:ctrlPr>
              <w:rPr>
                <w:rFonts w:hint="eastAsia" w:ascii="Cambria Math" w:hAnsi="Cambria Math" w:eastAsia="宋体" w:cs="宋体"/>
                <w:bCs/>
                <w:kern w:val="2"/>
                <w:sz w:val="24"/>
                <w:szCs w:val="24"/>
                <w:lang w:val="en-US" w:eastAsia="zh-CN" w:bidi="ar-SA"/>
              </w:rPr>
            </m:ctrlPr>
          </m:sub>
        </m:sSub>
      </m:oMath>
      <w:r>
        <w:rPr>
          <w:rFonts w:hint="eastAsia" w:ascii="宋体" w:hAnsi="宋体" w:eastAsia="宋体" w:cs="宋体"/>
          <w:bCs/>
          <w:kern w:val="2"/>
          <w:sz w:val="24"/>
          <w:szCs w:val="24"/>
          <w:lang w:val="en-US" w:eastAsia="zh-CN" w:bidi="ar-SA"/>
        </w:rPr>
        <w:t>，由轴心抗拉强度标准值除以混凝土材料分项系数</w:t>
      </w:r>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γ</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fc</m:t>
            </m:r>
            <m:ctrlPr>
              <w:rPr>
                <w:rFonts w:hint="eastAsia" w:ascii="Cambria Math" w:hAnsi="Cambria Math" w:eastAsia="宋体" w:cs="宋体"/>
                <w:bCs/>
                <w:kern w:val="2"/>
                <w:sz w:val="24"/>
                <w:szCs w:val="24"/>
                <w:lang w:val="en-US" w:eastAsia="zh-CN" w:bidi="ar-SA"/>
              </w:rPr>
            </m:ctrlPr>
          </m:sub>
        </m:sSub>
      </m:oMath>
      <w:r>
        <w:rPr>
          <w:rFonts w:hint="eastAsia" w:ascii="宋体" w:hAnsi="宋体" w:eastAsia="宋体" w:cs="宋体"/>
          <w:bCs/>
          <w:kern w:val="2"/>
          <w:sz w:val="24"/>
          <w:szCs w:val="24"/>
          <w:lang w:val="en-US" w:eastAsia="zh-CN" w:bidi="ar-SA"/>
        </w:rPr>
        <w:t>=1.45计算。</w:t>
      </w:r>
    </w:p>
    <w:p w14:paraId="2BFF5738">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活性粉末混凝土弹性模量</w:t>
      </w:r>
      <w:r>
        <w:rPr>
          <w:rFonts w:hint="eastAsia" w:ascii="宋体" w:hAnsi="宋体" w:eastAsia="宋体" w:cs="宋体"/>
          <w:bCs/>
          <w:kern w:val="2"/>
          <w:sz w:val="24"/>
          <w:szCs w:val="24"/>
          <w:lang w:val="en-US" w:eastAsia="zh-CN" w:bidi="ar-SA"/>
        </w:rPr>
        <w:object>
          <v:shape id="_x0000_i1075" o:spt="75" type="#_x0000_t75" style="height:19.15pt;width:15.3pt;" o:ole="t" filled="f" o:preferrelative="t" stroked="f" coordsize="21600,21600">
            <v:path/>
            <v:fill on="f" focussize="0,0"/>
            <v:stroke on="f"/>
            <v:imagedata r:id="rId124" o:title=""/>
            <o:lock v:ext="edit" aspectratio="t"/>
            <w10:wrap type="none"/>
            <w10:anchorlock/>
          </v:shape>
          <o:OLEObject Type="Embed" ProgID="Equation.DSMT4" ShapeID="_x0000_i1075" DrawAspect="Content" ObjectID="_1468075775" r:id="rId123">
            <o:LockedField>false</o:LockedField>
          </o:OLEObject>
        </w:object>
      </w:r>
      <w:r>
        <w:rPr>
          <w:rFonts w:hint="eastAsia" w:ascii="宋体" w:hAnsi="宋体" w:eastAsia="宋体" w:cs="宋体"/>
          <w:bCs/>
          <w:kern w:val="2"/>
          <w:sz w:val="24"/>
          <w:szCs w:val="24"/>
          <w:lang w:val="en-US" w:eastAsia="zh-CN" w:bidi="ar-SA"/>
        </w:rPr>
        <w:t>宜根据现行国家标准《活性粉末混凝土》（GB/T 31387）的相应规定进行测试，在没有测试结果的情况下可按本规范表采用。剪切变形模量</w:t>
      </w:r>
      <w:r>
        <w:rPr>
          <w:rFonts w:hint="eastAsia" w:ascii="宋体" w:hAnsi="宋体" w:eastAsia="宋体" w:cs="宋体"/>
          <w:bCs/>
          <w:kern w:val="2"/>
          <w:sz w:val="24"/>
          <w:szCs w:val="24"/>
          <w:lang w:val="en-US" w:eastAsia="zh-CN" w:bidi="ar-SA"/>
        </w:rPr>
        <w:object>
          <v:shape id="_x0000_i1076" o:spt="75" type="#_x0000_t75" style="height:19.15pt;width:15.3pt;" o:ole="t" filled="f" o:preferrelative="t" stroked="f" coordsize="21600,21600">
            <v:path/>
            <v:fill on="f" focussize="0,0"/>
            <v:stroke on="f"/>
            <v:imagedata r:id="rId126" o:title=""/>
            <o:lock v:ext="edit" aspectratio="t"/>
            <w10:wrap type="none"/>
            <w10:anchorlock/>
          </v:shape>
          <o:OLEObject Type="Embed" ProgID="Equation.DSMT4" ShapeID="_x0000_i1076" DrawAspect="Content" ObjectID="_1468075776" r:id="rId125">
            <o:LockedField>false</o:LockedField>
          </o:OLEObject>
        </w:object>
      </w:r>
      <w:r>
        <w:rPr>
          <w:rFonts w:hint="eastAsia" w:ascii="宋体" w:hAnsi="宋体" w:eastAsia="宋体" w:cs="宋体"/>
          <w:bCs/>
          <w:kern w:val="2"/>
          <w:sz w:val="24"/>
          <w:szCs w:val="24"/>
          <w:lang w:val="en-US" w:eastAsia="zh-CN" w:bidi="ar-SA"/>
        </w:rPr>
        <w:t>可取相应弹性模量值的0.4 倍。泊松比按0.2采用。</w:t>
      </w:r>
    </w:p>
    <w:p w14:paraId="4F5F5087">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对《公路钢筋混凝土及预应力混凝土桥涵设计规范》JTG 3362建议的普通混凝土弹性模量计算公式对比分析表明，其计算弹性模量值不随混凝土强度等级变化（稳定在41GPa左右）与实际差异较大，参考《活性粉末混凝土结构技术规程》DBJ43/T325-2017，活性粉末混凝土受压和受拉的弹性模量Ec的值根据强度等级fcu,k按下式计算。</w:t>
      </w:r>
    </w:p>
    <w:p w14:paraId="39294D29">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m:oMathPara>
        <m:oMath>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E</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c</m:t>
              </m:r>
              <m:ctrlPr>
                <w:rPr>
                  <w:rFonts w:hint="eastAsia" w:ascii="Cambria Math" w:hAnsi="Cambria Math" w:eastAsia="宋体" w:cs="宋体"/>
                  <w:bCs/>
                  <w:kern w:val="2"/>
                  <w:sz w:val="24"/>
                  <w:szCs w:val="24"/>
                  <w:lang w:val="en-US" w:eastAsia="zh-CN" w:bidi="ar-SA"/>
                </w:rPr>
              </m:ctrlPr>
            </m:sub>
          </m:sSub>
          <m:r>
            <m:rPr>
              <m:sty m:val="p"/>
            </m:rPr>
            <w:rPr>
              <w:rFonts w:hint="eastAsia" w:ascii="Cambria Math" w:hAnsi="Cambria Math" w:eastAsia="宋体" w:cs="宋体"/>
              <w:kern w:val="2"/>
              <w:sz w:val="24"/>
              <w:szCs w:val="24"/>
              <w:lang w:val="en-US" w:eastAsia="zh-CN" w:bidi="ar-SA"/>
            </w:rPr>
            <m:t>=</m:t>
          </m:r>
          <m:f>
            <m:fPr>
              <m:ctrlPr>
                <w:rPr>
                  <w:rFonts w:hint="eastAsia" w:ascii="Cambria Math" w:hAnsi="Cambria Math" w:eastAsia="宋体" w:cs="宋体"/>
                  <w:bCs/>
                  <w:kern w:val="2"/>
                  <w:sz w:val="24"/>
                  <w:szCs w:val="24"/>
                  <w:lang w:val="en-US" w:eastAsia="zh-CN" w:bidi="ar-SA"/>
                </w:rPr>
              </m:ctrlPr>
            </m:fPr>
            <m:num>
              <m:sSup>
                <m:sSupPr>
                  <m:ctrlPr>
                    <w:rPr>
                      <w:rFonts w:hint="eastAsia" w:ascii="Cambria Math" w:hAnsi="Cambria Math" w:eastAsia="宋体" w:cs="宋体"/>
                      <w:bCs/>
                      <w:kern w:val="2"/>
                      <w:sz w:val="24"/>
                      <w:szCs w:val="24"/>
                      <w:lang w:val="en-US" w:eastAsia="zh-CN" w:bidi="ar-SA"/>
                    </w:rPr>
                  </m:ctrlPr>
                </m:sSupPr>
                <m:e>
                  <m:r>
                    <m:rPr>
                      <m:sty m:val="p"/>
                    </m:rPr>
                    <w:rPr>
                      <w:rFonts w:hint="eastAsia" w:ascii="Cambria Math" w:hAnsi="Cambria Math" w:eastAsia="宋体" w:cs="宋体"/>
                      <w:kern w:val="2"/>
                      <w:sz w:val="24"/>
                      <w:szCs w:val="24"/>
                      <w:lang w:val="en-US" w:eastAsia="zh-CN" w:bidi="ar-SA"/>
                    </w:rPr>
                    <m:t>10</m:t>
                  </m:r>
                  <m:ctrlPr>
                    <w:rPr>
                      <w:rFonts w:hint="eastAsia" w:ascii="Cambria Math" w:hAnsi="Cambria Math" w:eastAsia="宋体" w:cs="宋体"/>
                      <w:bCs/>
                      <w:kern w:val="2"/>
                      <w:sz w:val="24"/>
                      <w:szCs w:val="24"/>
                      <w:lang w:val="en-US" w:eastAsia="zh-CN" w:bidi="ar-SA"/>
                    </w:rPr>
                  </m:ctrlPr>
                </m:e>
                <m:sup>
                  <m:r>
                    <m:rPr>
                      <m:sty m:val="p"/>
                    </m:rPr>
                    <w:rPr>
                      <w:rFonts w:hint="eastAsia" w:ascii="Cambria Math" w:hAnsi="Cambria Math" w:eastAsia="宋体" w:cs="宋体"/>
                      <w:kern w:val="2"/>
                      <w:sz w:val="24"/>
                      <w:szCs w:val="24"/>
                      <w:lang w:val="en-US" w:eastAsia="zh-CN" w:bidi="ar-SA"/>
                    </w:rPr>
                    <m:t>5</m:t>
                  </m:r>
                  <m:ctrlPr>
                    <w:rPr>
                      <w:rFonts w:hint="eastAsia" w:ascii="Cambria Math" w:hAnsi="Cambria Math" w:eastAsia="宋体" w:cs="宋体"/>
                      <w:bCs/>
                      <w:kern w:val="2"/>
                      <w:sz w:val="24"/>
                      <w:szCs w:val="24"/>
                      <w:lang w:val="en-US" w:eastAsia="zh-CN" w:bidi="ar-SA"/>
                    </w:rPr>
                  </m:ctrlPr>
                </m:sup>
              </m:sSup>
              <m:ctrlPr>
                <w:rPr>
                  <w:rFonts w:hint="eastAsia" w:ascii="Cambria Math" w:hAnsi="Cambria Math" w:eastAsia="宋体" w:cs="宋体"/>
                  <w:bCs/>
                  <w:kern w:val="2"/>
                  <w:sz w:val="24"/>
                  <w:szCs w:val="24"/>
                  <w:lang w:val="en-US" w:eastAsia="zh-CN" w:bidi="ar-SA"/>
                </w:rPr>
              </m:ctrlPr>
            </m:num>
            <m:den>
              <m:r>
                <m:rPr>
                  <m:sty m:val="p"/>
                </m:rPr>
                <w:rPr>
                  <w:rFonts w:hint="eastAsia" w:ascii="Cambria Math" w:hAnsi="Cambria Math" w:eastAsia="宋体" w:cs="宋体"/>
                  <w:kern w:val="2"/>
                  <w:sz w:val="24"/>
                  <w:szCs w:val="24"/>
                  <w:lang w:val="en-US" w:eastAsia="zh-CN" w:bidi="ar-SA"/>
                </w:rPr>
                <m:t>1.5+</m:t>
              </m:r>
              <m:f>
                <m:fPr>
                  <m:ctrlPr>
                    <w:rPr>
                      <w:rFonts w:hint="eastAsia" w:ascii="Cambria Math" w:hAnsi="Cambria Math" w:eastAsia="宋体" w:cs="宋体"/>
                      <w:bCs/>
                      <w:kern w:val="2"/>
                      <w:sz w:val="24"/>
                      <w:szCs w:val="24"/>
                      <w:lang w:val="en-US" w:eastAsia="zh-CN" w:bidi="ar-SA"/>
                    </w:rPr>
                  </m:ctrlPr>
                </m:fPr>
                <m:num>
                  <m:r>
                    <m:rPr>
                      <m:sty m:val="p"/>
                    </m:rPr>
                    <w:rPr>
                      <w:rFonts w:hint="eastAsia" w:ascii="Cambria Math" w:hAnsi="Cambria Math" w:eastAsia="宋体" w:cs="宋体"/>
                      <w:kern w:val="2"/>
                      <w:sz w:val="24"/>
                      <w:szCs w:val="24"/>
                      <w:lang w:val="en-US" w:eastAsia="zh-CN" w:bidi="ar-SA"/>
                    </w:rPr>
                    <m:t>100</m:t>
                  </m:r>
                  <m:ctrlPr>
                    <w:rPr>
                      <w:rFonts w:hint="eastAsia" w:ascii="Cambria Math" w:hAnsi="Cambria Math" w:eastAsia="宋体" w:cs="宋体"/>
                      <w:bCs/>
                      <w:kern w:val="2"/>
                      <w:sz w:val="24"/>
                      <w:szCs w:val="24"/>
                      <w:lang w:val="en-US" w:eastAsia="zh-CN" w:bidi="ar-SA"/>
                    </w:rPr>
                  </m:ctrlPr>
                </m:num>
                <m:den>
                  <m:sSub>
                    <m:sSubPr>
                      <m:ctrlPr>
                        <w:rPr>
                          <w:rFonts w:hint="eastAsia" w:ascii="Cambria Math" w:hAnsi="Cambria Math" w:eastAsia="宋体" w:cs="宋体"/>
                          <w:bCs/>
                          <w:kern w:val="2"/>
                          <w:sz w:val="24"/>
                          <w:szCs w:val="24"/>
                          <w:lang w:val="en-US" w:eastAsia="zh-CN" w:bidi="ar-SA"/>
                        </w:rPr>
                      </m:ctrlPr>
                    </m:sSubPr>
                    <m:e>
                      <m:r>
                        <m:rPr>
                          <m:sty m:val="p"/>
                        </m:rPr>
                        <w:rPr>
                          <w:rFonts w:hint="eastAsia" w:ascii="Cambria Math" w:hAnsi="Cambria Math" w:eastAsia="宋体" w:cs="宋体"/>
                          <w:kern w:val="2"/>
                          <w:sz w:val="24"/>
                          <w:szCs w:val="24"/>
                          <w:lang w:val="en-US" w:eastAsia="zh-CN" w:bidi="ar-SA"/>
                        </w:rPr>
                        <m:t>f</m:t>
                      </m:r>
                      <m:ctrlPr>
                        <w:rPr>
                          <w:rFonts w:hint="eastAsia" w:ascii="Cambria Math" w:hAnsi="Cambria Math" w:eastAsia="宋体" w:cs="宋体"/>
                          <w:bCs/>
                          <w:kern w:val="2"/>
                          <w:sz w:val="24"/>
                          <w:szCs w:val="24"/>
                          <w:lang w:val="en-US" w:eastAsia="zh-CN" w:bidi="ar-SA"/>
                        </w:rPr>
                      </m:ctrlPr>
                    </m:e>
                    <m:sub>
                      <m:r>
                        <m:rPr>
                          <m:sty m:val="p"/>
                        </m:rPr>
                        <w:rPr>
                          <w:rFonts w:hint="eastAsia" w:ascii="Cambria Math" w:hAnsi="Cambria Math" w:eastAsia="宋体" w:cs="宋体"/>
                          <w:kern w:val="2"/>
                          <w:sz w:val="24"/>
                          <w:szCs w:val="24"/>
                          <w:lang w:val="en-US" w:eastAsia="zh-CN" w:bidi="ar-SA"/>
                        </w:rPr>
                        <m:t>cu,k</m:t>
                      </m:r>
                      <m:ctrlPr>
                        <w:rPr>
                          <w:rFonts w:hint="eastAsia" w:ascii="Cambria Math" w:hAnsi="Cambria Math" w:eastAsia="宋体" w:cs="宋体"/>
                          <w:bCs/>
                          <w:kern w:val="2"/>
                          <w:sz w:val="24"/>
                          <w:szCs w:val="24"/>
                          <w:lang w:val="en-US" w:eastAsia="zh-CN" w:bidi="ar-SA"/>
                        </w:rPr>
                      </m:ctrlPr>
                    </m:sub>
                  </m:sSub>
                  <m:ctrlPr>
                    <w:rPr>
                      <w:rFonts w:hint="eastAsia" w:ascii="Cambria Math" w:hAnsi="Cambria Math" w:eastAsia="宋体" w:cs="宋体"/>
                      <w:bCs/>
                      <w:kern w:val="2"/>
                      <w:sz w:val="24"/>
                      <w:szCs w:val="24"/>
                      <w:lang w:val="en-US" w:eastAsia="zh-CN" w:bidi="ar-SA"/>
                    </w:rPr>
                  </m:ctrlPr>
                </m:den>
              </m:f>
              <m:ctrlPr>
                <w:rPr>
                  <w:rFonts w:hint="eastAsia" w:ascii="Cambria Math" w:hAnsi="Cambria Math" w:eastAsia="宋体" w:cs="宋体"/>
                  <w:bCs/>
                  <w:kern w:val="2"/>
                  <w:sz w:val="24"/>
                  <w:szCs w:val="24"/>
                  <w:lang w:val="en-US" w:eastAsia="zh-CN" w:bidi="ar-SA"/>
                </w:rPr>
              </m:ctrlPr>
            </m:den>
          </m:f>
          <m:r>
            <m:rPr>
              <m:sty m:val="p"/>
            </m:rPr>
            <w:rPr>
              <w:rFonts w:hint="eastAsia" w:ascii="Cambria Math" w:hAnsi="Cambria Math" w:eastAsia="宋体" w:cs="宋体"/>
              <w:kern w:val="2"/>
              <w:sz w:val="24"/>
              <w:szCs w:val="24"/>
              <w:lang w:val="en-US" w:eastAsia="zh-CN" w:bidi="ar-SA"/>
            </w:rPr>
            <m:t xml:space="preserve">  </m:t>
          </m:r>
        </m:oMath>
      </m:oMathPara>
    </w:p>
    <w:p w14:paraId="24C07E19">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国内外研究结果表明，活性粉末混凝土的泊松比不随轴心抗压强度变化，取与普通混凝土泊松比的值相同；根据弹性材料力学，剪切模量约为相应弹性模量的0.42倍，参照《公路钢筋混凝土及预应力混凝土桥涵设计规范》JTG 3362近似取为0.4。</w:t>
      </w:r>
    </w:p>
    <w:p w14:paraId="5C3D9F26">
      <w:pPr>
        <w:rPr>
          <w:rFonts w:hint="eastAsia" w:ascii="Times New Roman" w:eastAsia="宋体" w:cs="Times New Roman"/>
          <w:bCs/>
          <w:color w:val="auto"/>
          <w:kern w:val="2"/>
          <w:sz w:val="24"/>
          <w:szCs w:val="24"/>
          <w:highlight w:val="none"/>
          <w:lang w:val="en-US" w:eastAsia="zh-CN" w:bidi="ar-SA"/>
        </w:rPr>
      </w:pPr>
      <w:r>
        <w:rPr>
          <w:rFonts w:hint="eastAsia" w:ascii="Times New Roman" w:eastAsia="宋体" w:cs="Times New Roman"/>
          <w:bCs/>
          <w:color w:val="auto"/>
          <w:kern w:val="2"/>
          <w:sz w:val="24"/>
          <w:szCs w:val="24"/>
          <w:highlight w:val="none"/>
          <w:lang w:val="en-US" w:eastAsia="zh-CN" w:bidi="ar-SA"/>
        </w:rPr>
        <w:br w:type="page"/>
      </w:r>
    </w:p>
    <w:p w14:paraId="51AD95AC">
      <w:pPr>
        <w:pStyle w:val="17"/>
        <w:spacing w:before="312" w:beforeLines="100" w:after="312" w:afterLines="100" w:line="360" w:lineRule="auto"/>
        <w:jc w:val="center"/>
        <w:outlineLvl w:val="0"/>
        <w:rPr>
          <w:rFonts w:hint="eastAsia" w:ascii="Times New Roman" w:hAnsi="Times New Roman" w:eastAsia="宋体"/>
          <w:b/>
          <w:sz w:val="36"/>
          <w:szCs w:val="36"/>
          <w:lang w:eastAsia="zh-CN"/>
        </w:rPr>
      </w:pPr>
      <w:bookmarkStart w:id="184" w:name="_Toc19699"/>
      <w:bookmarkStart w:id="185" w:name="_Toc12325"/>
      <w:r>
        <w:rPr>
          <w:rFonts w:hint="eastAsia" w:ascii="Times New Roman" w:hAnsi="Times New Roman"/>
          <w:b/>
          <w:sz w:val="36"/>
          <w:szCs w:val="36"/>
          <w:lang w:val="en-US" w:eastAsia="zh-CN"/>
        </w:rPr>
        <w:t xml:space="preserve">5 </w:t>
      </w:r>
      <w:r>
        <w:rPr>
          <w:rFonts w:hint="eastAsia" w:ascii="Times New Roman" w:hAnsi="Times New Roman"/>
          <w:b/>
          <w:sz w:val="36"/>
          <w:szCs w:val="36"/>
          <w:lang w:eastAsia="zh-CN"/>
        </w:rPr>
        <w:t>结构计算</w:t>
      </w:r>
      <w:bookmarkEnd w:id="184"/>
      <w:bookmarkEnd w:id="185"/>
    </w:p>
    <w:p w14:paraId="4ACF3F34">
      <w:pPr>
        <w:spacing w:before="156" w:beforeLines="50" w:after="156" w:afterLines="50" w:line="360" w:lineRule="auto"/>
        <w:jc w:val="center"/>
        <w:outlineLvl w:val="1"/>
        <w:rPr>
          <w:rFonts w:hint="eastAsia" w:ascii="Times New Roman" w:hAnsi="Times New Roman" w:cs="Times New Roman"/>
          <w:b/>
          <w:kern w:val="0"/>
          <w:sz w:val="28"/>
          <w:szCs w:val="28"/>
          <w:lang w:val="en-US" w:eastAsia="zh-CN"/>
        </w:rPr>
      </w:pPr>
      <w:bookmarkStart w:id="186" w:name="_Toc13951"/>
      <w:bookmarkStart w:id="187" w:name="_Toc10347"/>
      <w:r>
        <w:rPr>
          <w:rFonts w:hint="eastAsia" w:ascii="Times New Roman" w:hAnsi="Times New Roman" w:cs="Times New Roman"/>
          <w:b/>
          <w:kern w:val="0"/>
          <w:sz w:val="28"/>
          <w:szCs w:val="28"/>
        </w:rPr>
        <w:t>5.1</w:t>
      </w:r>
      <w:r>
        <w:rPr>
          <w:rFonts w:ascii="Times New Roman" w:hAnsi="Times New Roman" w:cs="Times New Roman"/>
          <w:b/>
          <w:kern w:val="0"/>
          <w:sz w:val="28"/>
          <w:szCs w:val="28"/>
        </w:rPr>
        <w:t xml:space="preserve"> </w:t>
      </w:r>
      <w:r>
        <w:rPr>
          <w:rFonts w:hint="eastAsia" w:ascii="Times New Roman" w:hAnsi="Times New Roman" w:cs="Times New Roman"/>
          <w:b/>
          <w:kern w:val="0"/>
          <w:sz w:val="28"/>
          <w:szCs w:val="28"/>
        </w:rPr>
        <w:t>一般规定</w:t>
      </w:r>
      <w:bookmarkEnd w:id="186"/>
      <w:bookmarkEnd w:id="187"/>
    </w:p>
    <w:p w14:paraId="6B8A3278">
      <w:pPr>
        <w:keepNext w:val="0"/>
        <w:keepLines w:val="0"/>
        <w:pageBreakBefore w:val="0"/>
        <w:widowControl w:val="0"/>
        <w:kinsoku/>
        <w:wordWrap/>
        <w:overflowPunct/>
        <w:topLinePunct w:val="0"/>
        <w:autoSpaceDE/>
        <w:autoSpaceDN/>
        <w:bidi w:val="0"/>
        <w:adjustRightInd w:val="0"/>
        <w:snapToGrid/>
        <w:spacing w:line="360" w:lineRule="auto"/>
        <w:ind w:firstLine="482" w:firstLineChars="200"/>
        <w:textAlignment w:val="auto"/>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
          <w:bCs w:val="0"/>
          <w:kern w:val="2"/>
          <w:sz w:val="24"/>
          <w:szCs w:val="24"/>
          <w:lang w:val="en-US" w:eastAsia="zh-CN" w:bidi="ar-SA"/>
        </w:rPr>
        <w:t>5.1.1</w:t>
      </w:r>
      <w:r>
        <w:rPr>
          <w:rFonts w:hint="default" w:ascii="Times New Roman" w:hAnsi="Times New Roman" w:eastAsia="宋体" w:cs="Times New Roman"/>
          <w:bCs/>
          <w:kern w:val="2"/>
          <w:sz w:val="24"/>
          <w:szCs w:val="24"/>
          <w:lang w:val="en-US" w:eastAsia="zh-CN" w:bidi="ar-SA"/>
        </w:rPr>
        <w:t xml:space="preserve"> 试验和理论研究表明，接缝对截面承载力存在不可忽略的不利影响,因此计算要计入该影响。</w:t>
      </w:r>
    </w:p>
    <w:p w14:paraId="306D8C45">
      <w:pPr>
        <w:keepNext w:val="0"/>
        <w:keepLines w:val="0"/>
        <w:pageBreakBefore w:val="0"/>
        <w:widowControl w:val="0"/>
        <w:kinsoku/>
        <w:wordWrap/>
        <w:overflowPunct/>
        <w:topLinePunct w:val="0"/>
        <w:autoSpaceDE/>
        <w:autoSpaceDN/>
        <w:bidi w:val="0"/>
        <w:adjustRightInd w:val="0"/>
        <w:snapToGrid/>
        <w:spacing w:line="360" w:lineRule="auto"/>
        <w:ind w:firstLine="482" w:firstLineChars="200"/>
        <w:textAlignment w:val="auto"/>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
          <w:bCs w:val="0"/>
          <w:kern w:val="2"/>
          <w:sz w:val="24"/>
          <w:szCs w:val="24"/>
          <w:lang w:val="en-US" w:eastAsia="zh-CN" w:bidi="ar-SA"/>
        </w:rPr>
        <w:t>5.1.2</w:t>
      </w:r>
      <w:r>
        <w:rPr>
          <w:rFonts w:hint="default" w:ascii="Times New Roman" w:hAnsi="Times New Roman" w:eastAsia="宋体" w:cs="Times New Roman"/>
          <w:bCs/>
          <w:kern w:val="2"/>
          <w:sz w:val="24"/>
          <w:szCs w:val="24"/>
          <w:lang w:val="en-US" w:eastAsia="zh-CN" w:bidi="ar-SA"/>
        </w:rPr>
        <w:t xml:space="preserve"> 在预制构件之间及预制构件与现浇混凝土的接缝处，当受力钢筋采用可靠连接，且接缝处新旧混凝土之间采用粗糙面、键槽等构造措施时，结构的整体性能与现浇混凝土结构类同，设计中采用与现浇结构相同的方法进行结构分析。</w:t>
      </w:r>
    </w:p>
    <w:p w14:paraId="2BDA83AA">
      <w:pPr>
        <w:spacing w:before="156" w:beforeLines="50" w:after="156" w:afterLines="50" w:line="360" w:lineRule="auto"/>
        <w:jc w:val="center"/>
        <w:outlineLvl w:val="1"/>
        <w:rPr>
          <w:rFonts w:hint="default" w:ascii="Times New Roman" w:hAnsi="Times New Roman" w:cs="Times New Roman"/>
          <w:b/>
          <w:kern w:val="0"/>
          <w:sz w:val="28"/>
          <w:szCs w:val="28"/>
          <w:lang w:val="en-US" w:eastAsia="zh-CN"/>
        </w:rPr>
      </w:pPr>
      <w:bookmarkStart w:id="188" w:name="_Toc31980"/>
      <w:bookmarkStart w:id="189" w:name="_Toc24225"/>
      <w:r>
        <w:rPr>
          <w:rFonts w:hint="default" w:ascii="Times New Roman" w:hAnsi="Times New Roman" w:cs="Times New Roman"/>
          <w:b/>
          <w:kern w:val="0"/>
          <w:sz w:val="28"/>
          <w:szCs w:val="28"/>
          <w:lang w:val="en-US" w:eastAsia="zh-CN"/>
        </w:rPr>
        <w:t>5.2 持久状况承载能力极限状态计算</w:t>
      </w:r>
      <w:bookmarkEnd w:id="188"/>
      <w:bookmarkEnd w:id="189"/>
    </w:p>
    <w:p w14:paraId="0E88A0B6">
      <w:pPr>
        <w:keepNext w:val="0"/>
        <w:keepLines w:val="0"/>
        <w:pageBreakBefore w:val="0"/>
        <w:widowControl w:val="0"/>
        <w:kinsoku/>
        <w:wordWrap/>
        <w:overflowPunct/>
        <w:topLinePunct w:val="0"/>
        <w:autoSpaceDE/>
        <w:autoSpaceDN/>
        <w:bidi w:val="0"/>
        <w:adjustRightInd w:val="0"/>
        <w:snapToGrid/>
        <w:spacing w:line="360" w:lineRule="auto"/>
        <w:ind w:firstLine="482" w:firstLineChars="200"/>
        <w:textAlignment w:val="auto"/>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
          <w:bCs w:val="0"/>
          <w:kern w:val="2"/>
          <w:sz w:val="24"/>
          <w:szCs w:val="24"/>
          <w:lang w:val="en-US" w:eastAsia="zh-CN" w:bidi="ar-SA"/>
        </w:rPr>
        <w:t>5.2.1</w:t>
      </w:r>
      <w:r>
        <w:rPr>
          <w:rFonts w:hint="default" w:ascii="Times New Roman" w:hAnsi="Times New Roman" w:eastAsia="宋体" w:cs="Times New Roman"/>
          <w:bCs/>
          <w:kern w:val="2"/>
          <w:sz w:val="24"/>
          <w:szCs w:val="24"/>
          <w:lang w:val="en-US" w:eastAsia="zh-CN" w:bidi="ar-SA"/>
        </w:rPr>
        <w:t xml:space="preserve"> 预制拼装混凝土构件相比于现浇构件，接缝位置除进行抗弯、抗剪、压弯等常规承载力计算外，需要进行抗剪弯承载力计算。预制拼装受弯构件到达剪弯极限受力状态时，也可能出现沿着接缝的破坏裂缝，但其与整体浇筑构件的破坏形态完全不同。这种在弯剪段出现的破坏形态虽与受弯构件正截面破坏形态相似，但截面相应的抗弯承载力却低于受弯构件正截面抗弯承载力。目前，国外规范通常采用一个剪切强度折减系数考虑接缝对抗剪承载力的影响，这样导致了即使箍筋没有起任何作用但计算时仍被计入进去了。同济大学混凝土桥梁研究室及国内外大量试验结果表明，在剪力和弯矩共同作用下，由于接缝处纵向普通钢筋不连续及拼接界面缺陷，构件在接缝消压后将会最先开裂，主裂缝在接缝处集中发展，接缝一旦开展到一定高度后，腹板不再可能出现破坏斜裂缝。因此，受弯构件可能以接缝开展的形式发生剪切（剪弯）破坏，在这种情况下剪弯区的混凝土将在剪压应力作用下达到其极限强度，传统设计方法已无法对该破坏形态下的截面承载力进行计算。</w:t>
      </w:r>
    </w:p>
    <w:p w14:paraId="211EFCB7">
      <w:pPr>
        <w:spacing w:before="156" w:beforeLines="50" w:after="156" w:afterLines="50" w:line="360" w:lineRule="auto"/>
        <w:jc w:val="center"/>
        <w:outlineLvl w:val="1"/>
        <w:rPr>
          <w:rFonts w:hint="default" w:ascii="Times New Roman" w:hAnsi="Times New Roman" w:cs="Times New Roman"/>
          <w:b/>
          <w:kern w:val="0"/>
          <w:sz w:val="28"/>
          <w:szCs w:val="28"/>
          <w:lang w:val="en-US" w:eastAsia="zh-CN"/>
        </w:rPr>
      </w:pPr>
      <w:bookmarkStart w:id="190" w:name="_Toc13727"/>
      <w:bookmarkStart w:id="191" w:name="_Toc27361"/>
      <w:r>
        <w:rPr>
          <w:rFonts w:hint="default" w:ascii="Times New Roman" w:hAnsi="Times New Roman" w:cs="Times New Roman"/>
          <w:b/>
          <w:kern w:val="0"/>
          <w:sz w:val="28"/>
          <w:szCs w:val="28"/>
          <w:lang w:val="en-US" w:eastAsia="zh-CN"/>
        </w:rPr>
        <w:t>5.3 持久状况正常使用极限状态计算</w:t>
      </w:r>
      <w:bookmarkEnd w:id="190"/>
      <w:bookmarkEnd w:id="191"/>
    </w:p>
    <w:p w14:paraId="7FC1AE1A">
      <w:pPr>
        <w:keepNext w:val="0"/>
        <w:keepLines w:val="0"/>
        <w:pageBreakBefore w:val="0"/>
        <w:widowControl w:val="0"/>
        <w:kinsoku/>
        <w:wordWrap/>
        <w:overflowPunct/>
        <w:topLinePunct w:val="0"/>
        <w:autoSpaceDE/>
        <w:autoSpaceDN/>
        <w:bidi w:val="0"/>
        <w:adjustRightInd w:val="0"/>
        <w:snapToGrid/>
        <w:spacing w:line="360" w:lineRule="auto"/>
        <w:ind w:firstLine="482" w:firstLineChars="200"/>
        <w:textAlignment w:val="auto"/>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
          <w:bCs w:val="0"/>
          <w:kern w:val="2"/>
          <w:sz w:val="24"/>
          <w:szCs w:val="24"/>
          <w:lang w:val="en-US" w:eastAsia="zh-CN" w:bidi="ar-SA"/>
        </w:rPr>
        <w:t xml:space="preserve">5.3.3 </w:t>
      </w:r>
      <w:r>
        <w:rPr>
          <w:rFonts w:hint="default" w:ascii="Times New Roman" w:hAnsi="Times New Roman" w:eastAsia="宋体" w:cs="Times New Roman"/>
          <w:bCs/>
          <w:kern w:val="2"/>
          <w:sz w:val="24"/>
          <w:szCs w:val="24"/>
          <w:lang w:val="en-US" w:eastAsia="zh-CN" w:bidi="ar-SA"/>
        </w:rPr>
        <w:t>对裂缝宽度的限制，主从保证结构耐久性、钢筋不被锈蚀及过宽的裂缝影响结构外观引起人们心理上的不安等因素考虑。安徽省内大部分区域属于一般环境，JTG 3362裂缝宽度限制为0.2mm，但因接缝的存在是结构耐久性的薄弱点，因此将裂缝宽度限值提高至0.15mm。</w:t>
      </w:r>
    </w:p>
    <w:p w14:paraId="41CB3070">
      <w:pPr>
        <w:spacing w:before="156" w:beforeLines="50" w:after="156" w:afterLines="50" w:line="360" w:lineRule="auto"/>
        <w:jc w:val="center"/>
        <w:outlineLvl w:val="1"/>
        <w:rPr>
          <w:rFonts w:hint="default" w:ascii="Times New Roman" w:hAnsi="Times New Roman" w:cs="Times New Roman"/>
          <w:b/>
          <w:kern w:val="0"/>
          <w:sz w:val="28"/>
          <w:szCs w:val="28"/>
          <w:lang w:val="en-US" w:eastAsia="zh-CN"/>
        </w:rPr>
      </w:pPr>
      <w:bookmarkStart w:id="192" w:name="_Toc2405"/>
      <w:bookmarkStart w:id="193" w:name="_Toc13380"/>
      <w:r>
        <w:rPr>
          <w:rFonts w:hint="default" w:ascii="Times New Roman" w:hAnsi="Times New Roman" w:cs="Times New Roman"/>
          <w:b/>
          <w:kern w:val="0"/>
          <w:sz w:val="28"/>
          <w:szCs w:val="28"/>
          <w:lang w:val="en-US" w:eastAsia="zh-CN"/>
        </w:rPr>
        <w:t>5.5 地震状况计算</w:t>
      </w:r>
      <w:bookmarkEnd w:id="192"/>
      <w:bookmarkEnd w:id="193"/>
    </w:p>
    <w:p w14:paraId="0776A4BA">
      <w:pPr>
        <w:keepNext w:val="0"/>
        <w:keepLines w:val="0"/>
        <w:pageBreakBefore w:val="0"/>
        <w:widowControl w:val="0"/>
        <w:kinsoku/>
        <w:wordWrap/>
        <w:overflowPunct/>
        <w:topLinePunct w:val="0"/>
        <w:autoSpaceDE/>
        <w:autoSpaceDN/>
        <w:bidi w:val="0"/>
        <w:adjustRightInd w:val="0"/>
        <w:snapToGrid/>
        <w:spacing w:line="360" w:lineRule="auto"/>
        <w:ind w:firstLine="482" w:firstLineChars="200"/>
        <w:textAlignment w:val="auto"/>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
          <w:bCs w:val="0"/>
          <w:kern w:val="2"/>
          <w:sz w:val="24"/>
          <w:szCs w:val="24"/>
          <w:lang w:val="en-US" w:eastAsia="zh-CN" w:bidi="ar-SA"/>
        </w:rPr>
        <w:t>5.5.2</w:t>
      </w:r>
      <w:r>
        <w:rPr>
          <w:rFonts w:hint="default" w:ascii="Times New Roman" w:hAnsi="Times New Roman" w:eastAsia="宋体" w:cs="Times New Roman"/>
          <w:bCs/>
          <w:kern w:val="2"/>
          <w:sz w:val="24"/>
          <w:szCs w:val="24"/>
          <w:lang w:val="en-US" w:eastAsia="zh-CN" w:bidi="ar-SA"/>
        </w:rPr>
        <w:t xml:space="preserve"> 装配式混凝土桥墩采用除湿接缝和承插式以外的连接形式时，在地震作用下墩底破坏主要集中在接缝的张开闭合以及接缝处混凝土的局部压碎破坏，因此装配式桥墩模拟的重点包括对接缝力学特性的模拟。</w:t>
      </w:r>
    </w:p>
    <w:p w14:paraId="37A40AF2">
      <w:pPr>
        <w:keepNext w:val="0"/>
        <w:keepLines w:val="0"/>
        <w:pageBreakBefore w:val="0"/>
        <w:widowControl w:val="0"/>
        <w:kinsoku/>
        <w:wordWrap/>
        <w:overflowPunct/>
        <w:topLinePunct w:val="0"/>
        <w:autoSpaceDE/>
        <w:autoSpaceDN/>
        <w:bidi w:val="0"/>
        <w:adjustRightInd w:val="0"/>
        <w:snapToGrid/>
        <w:spacing w:line="360" w:lineRule="auto"/>
        <w:ind w:firstLine="482" w:firstLineChars="200"/>
        <w:textAlignment w:val="auto"/>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
          <w:bCs w:val="0"/>
          <w:kern w:val="2"/>
          <w:sz w:val="24"/>
          <w:szCs w:val="24"/>
          <w:lang w:val="en-US" w:eastAsia="zh-CN" w:bidi="ar-SA"/>
        </w:rPr>
        <w:t xml:space="preserve">5.5.3 </w:t>
      </w:r>
      <w:r>
        <w:rPr>
          <w:rFonts w:hint="default" w:ascii="Times New Roman" w:hAnsi="Times New Roman" w:eastAsia="宋体" w:cs="Times New Roman"/>
          <w:bCs/>
          <w:kern w:val="2"/>
          <w:sz w:val="24"/>
          <w:szCs w:val="24"/>
          <w:lang w:val="en-US" w:eastAsia="zh-CN" w:bidi="ar-SA"/>
        </w:rPr>
        <w:t>E1 地震作用下结构在弹性范围工作，关注的是结构的承载力，在此情况下可以近似偏于安全地取桥墩的全截面刚度进行抗震分析，因为取全截面刚度计算出的结构周期相对较短、计算出的地震力偏大，对抗震设计来说是偏安全的。当预制混凝土桥墩采用灌浆套筒连接时，考虑到密集布置的套筒对接缝附近区域刚度有增大影响，因此建议E1 下偏保守地采用换算截面法计入套筒的影响。而E2 地震作用下，容许结构进入弹塑性工作状态，关注的是结构的变形，此时延性构件采用开裂后的有效截面抗弯刚度，以保证不会过低估计结构的变形，建议忽略灌浆连接套筒对墩柱刚度的影响。</w:t>
      </w:r>
    </w:p>
    <w:p w14:paraId="3BD77A28">
      <w:pPr>
        <w:keepNext w:val="0"/>
        <w:keepLines w:val="0"/>
        <w:pageBreakBefore w:val="0"/>
        <w:widowControl w:val="0"/>
        <w:kinsoku/>
        <w:wordWrap/>
        <w:overflowPunct/>
        <w:topLinePunct w:val="0"/>
        <w:autoSpaceDE/>
        <w:autoSpaceDN/>
        <w:bidi w:val="0"/>
        <w:adjustRightInd w:val="0"/>
        <w:snapToGrid/>
        <w:spacing w:line="360" w:lineRule="auto"/>
        <w:ind w:firstLine="482" w:firstLineChars="200"/>
        <w:textAlignment w:val="auto"/>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
          <w:bCs w:val="0"/>
          <w:kern w:val="2"/>
          <w:sz w:val="24"/>
          <w:szCs w:val="24"/>
          <w:lang w:val="en-US" w:eastAsia="zh-CN" w:bidi="ar-SA"/>
        </w:rPr>
        <w:t>5.5.4</w:t>
      </w:r>
      <w:r>
        <w:rPr>
          <w:rFonts w:hint="default" w:ascii="Times New Roman" w:hAnsi="Times New Roman" w:eastAsia="宋体" w:cs="Times New Roman"/>
          <w:bCs/>
          <w:kern w:val="2"/>
          <w:sz w:val="24"/>
          <w:szCs w:val="24"/>
          <w:lang w:val="en-US" w:eastAsia="zh-CN" w:bidi="ar-SA"/>
        </w:rPr>
        <w:t xml:space="preserve"> 试验研究表明，装配式桥墩抗剪校核包含预制墩柱节段自身和拼接缝的校核。根据文献（套筒连接的预制拼装桥墩抗剪性能试验，王志强等，同济大学学报（自然科技板），2018 年第46 卷第6 期），当剪跨比小于2 时，采用钢筋灌浆套筒连接且套筒预埋于承台的预制试件进行拟静力试验最终破坏模式为弯剪破坏，且实测抗剪承载能力与现浇试件较为接近，可以参照现行《公路桥梁抗震设计规范》（JTG/T 2231-01）中的方法进行E2 地震作用下预制墩柱斜截面抗剪承载能力计算。根据国内外采用承插式连接的预制桥墩试件拟静力试验结果，当剪跨比为3~5.83，墩柱埋入深度以及接缝承载力使得破坏仅出现在墩柱，并且其抗震性能与传统意义的现浇桥墩保持相同或相近，可以采用参照现行《公路桥梁抗震设计规范》（JTG/T 2231-01）中的方法进行E2 地震作用下预制墩柱斜截面抗剪承载能力计算。</w:t>
      </w:r>
    </w:p>
    <w:p w14:paraId="0F438C68">
      <w:pPr>
        <w:keepNext w:val="0"/>
        <w:keepLines w:val="0"/>
        <w:pageBreakBefore w:val="0"/>
        <w:widowControl w:val="0"/>
        <w:kinsoku/>
        <w:wordWrap/>
        <w:overflowPunct/>
        <w:topLinePunct w:val="0"/>
        <w:autoSpaceDE/>
        <w:autoSpaceDN/>
        <w:bidi w:val="0"/>
        <w:adjustRightInd w:val="0"/>
        <w:snapToGrid/>
        <w:spacing w:line="360" w:lineRule="auto"/>
        <w:ind w:firstLine="482" w:firstLineChars="200"/>
        <w:textAlignment w:val="auto"/>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
          <w:bCs w:val="0"/>
          <w:kern w:val="2"/>
          <w:sz w:val="24"/>
          <w:szCs w:val="24"/>
          <w:lang w:val="en-US" w:eastAsia="zh-CN" w:bidi="ar-SA"/>
        </w:rPr>
        <w:t>5.5.5</w:t>
      </w:r>
      <w:r>
        <w:rPr>
          <w:rFonts w:hint="default" w:ascii="Times New Roman" w:hAnsi="Times New Roman" w:eastAsia="宋体" w:cs="Times New Roman"/>
          <w:bCs/>
          <w:kern w:val="2"/>
          <w:sz w:val="24"/>
          <w:szCs w:val="24"/>
          <w:lang w:val="en-US" w:eastAsia="zh-CN" w:bidi="ar-SA"/>
        </w:rPr>
        <w:t xml:space="preserve"> 预应力连接节点的非线性行为（如预应力筋的松弛、接缝滑移、接缝张开）与传统现浇结构存在显著差异，需通过精细化建模或试验补充验证。</w:t>
      </w:r>
    </w:p>
    <w:p w14:paraId="536A1585">
      <w:r>
        <w:br w:type="page"/>
      </w:r>
    </w:p>
    <w:p w14:paraId="15958BE7">
      <w:pPr>
        <w:pStyle w:val="17"/>
        <w:spacing w:before="312" w:beforeLines="100" w:after="312" w:afterLines="100" w:line="360" w:lineRule="auto"/>
        <w:jc w:val="center"/>
        <w:outlineLvl w:val="0"/>
        <w:rPr>
          <w:rFonts w:ascii="Times New Roman" w:hAnsi="Times New Roman" w:cs="Times New Roman"/>
          <w:b/>
          <w:sz w:val="36"/>
          <w:szCs w:val="36"/>
        </w:rPr>
      </w:pPr>
      <w:bookmarkStart w:id="194" w:name="_Toc23876"/>
      <w:bookmarkStart w:id="195" w:name="_Toc28415"/>
      <w:r>
        <w:rPr>
          <w:rFonts w:hint="default" w:ascii="Times New Roman" w:hAnsi="Times New Roman" w:cs="Times New Roman"/>
          <w:b/>
          <w:sz w:val="36"/>
          <w:szCs w:val="36"/>
        </w:rPr>
        <w:t>6 构造设计</w:t>
      </w:r>
      <w:bookmarkEnd w:id="194"/>
      <w:bookmarkEnd w:id="195"/>
    </w:p>
    <w:p w14:paraId="3E531670">
      <w:pPr>
        <w:spacing w:before="156" w:beforeLines="50" w:after="156" w:afterLines="50" w:line="360" w:lineRule="auto"/>
        <w:jc w:val="center"/>
        <w:outlineLvl w:val="1"/>
        <w:rPr>
          <w:rFonts w:hint="eastAsia" w:ascii="Times New Roman" w:hAnsi="Times New Roman" w:eastAsia="宋体" w:cs="Times New Roman"/>
          <w:b/>
          <w:bCs/>
          <w:kern w:val="0"/>
          <w:sz w:val="24"/>
          <w:szCs w:val="24"/>
          <w:lang w:val="en-US" w:eastAsia="zh-CN" w:bidi="ar-SA"/>
        </w:rPr>
      </w:pPr>
      <w:bookmarkStart w:id="196" w:name="_Toc6618"/>
      <w:bookmarkStart w:id="197" w:name="_Toc22013"/>
      <w:r>
        <w:rPr>
          <w:rFonts w:hint="eastAsia" w:ascii="Times New Roman" w:hAnsi="Times New Roman" w:cs="Times New Roman"/>
          <w:b/>
          <w:kern w:val="0"/>
          <w:sz w:val="28"/>
          <w:szCs w:val="28"/>
        </w:rPr>
        <w:t>6.1 一般规定</w:t>
      </w:r>
      <w:bookmarkEnd w:id="196"/>
      <w:bookmarkEnd w:id="197"/>
    </w:p>
    <w:p w14:paraId="1FE88240">
      <w:pPr>
        <w:keepNext w:val="0"/>
        <w:keepLines w:val="0"/>
        <w:pageBreakBefore w:val="0"/>
        <w:widowControl w:val="0"/>
        <w:kinsoku/>
        <w:wordWrap/>
        <w:overflowPunct/>
        <w:topLinePunct w:val="0"/>
        <w:autoSpaceDE/>
        <w:autoSpaceDN/>
        <w:bidi w:val="0"/>
        <w:adjustRightInd w:val="0"/>
        <w:snapToGrid/>
        <w:spacing w:line="360" w:lineRule="auto"/>
        <w:textAlignment w:val="auto"/>
        <w:rPr>
          <w:rFonts w:hint="eastAsia"/>
          <w:bCs/>
          <w:color w:val="auto"/>
          <w:sz w:val="24"/>
          <w:szCs w:val="24"/>
          <w:highlight w:val="none"/>
          <w:lang w:eastAsia="zh-CN"/>
        </w:rPr>
      </w:pPr>
      <w:r>
        <w:rPr>
          <w:rFonts w:hint="eastAsia" w:ascii="Times New Roman" w:hAnsi="Times New Roman" w:eastAsia="宋体" w:cs="Times New Roman"/>
          <w:b/>
          <w:bCs/>
          <w:kern w:val="0"/>
          <w:sz w:val="24"/>
          <w:szCs w:val="24"/>
          <w:lang w:val="en-US" w:eastAsia="zh-CN" w:bidi="ar-SA"/>
        </w:rPr>
        <w:t>6.1.1</w:t>
      </w:r>
      <w:r>
        <w:rPr>
          <w:rFonts w:hint="eastAsia" w:ascii="Times New Roman" w:hAnsi="Times New Roman" w:cs="Times New Roman"/>
          <w:b/>
          <w:bCs/>
          <w:kern w:val="0"/>
          <w:sz w:val="24"/>
          <w:szCs w:val="24"/>
          <w:lang w:val="en-US" w:eastAsia="zh-CN" w:bidi="ar-SA"/>
        </w:rPr>
        <w:t xml:space="preserve"> </w:t>
      </w:r>
      <w:r>
        <w:rPr>
          <w:rFonts w:hint="eastAsia"/>
          <w:bCs/>
          <w:color w:val="auto"/>
          <w:sz w:val="24"/>
          <w:szCs w:val="24"/>
          <w:highlight w:val="none"/>
        </w:rPr>
        <w:t>装配式桥梁连接位置的选择</w:t>
      </w:r>
      <w:r>
        <w:rPr>
          <w:rFonts w:hint="eastAsia"/>
          <w:bCs/>
          <w:color w:val="auto"/>
          <w:sz w:val="24"/>
          <w:szCs w:val="24"/>
          <w:highlight w:val="none"/>
          <w:lang w:eastAsia="zh-CN"/>
        </w:rPr>
        <w:t>主要要考虑接缝位置在结构整体的受力，以及构件分块大小对于城市预制、运输和安装的要求。应尽量避免结构整体受力的较大的位置，构件分块要便于城市运输和安装；同时考虑搭配水位变动区域干湿交替变化，对结构耐久性影响大，接缝应尽量避免在此区域设置。</w:t>
      </w:r>
    </w:p>
    <w:p w14:paraId="21C63C99">
      <w:pPr>
        <w:spacing w:before="156" w:beforeLines="50" w:after="156" w:afterLines="50" w:line="360" w:lineRule="auto"/>
        <w:jc w:val="center"/>
        <w:outlineLvl w:val="1"/>
        <w:rPr>
          <w:rFonts w:hint="eastAsia" w:ascii="Times New Roman" w:hAnsi="Times New Roman" w:cs="Times New Roman"/>
          <w:b/>
          <w:kern w:val="0"/>
          <w:sz w:val="28"/>
          <w:szCs w:val="28"/>
        </w:rPr>
      </w:pPr>
      <w:bookmarkStart w:id="198" w:name="_Toc18194"/>
      <w:bookmarkStart w:id="199" w:name="_Toc19197"/>
      <w:r>
        <w:rPr>
          <w:rFonts w:hint="eastAsia" w:ascii="Times New Roman" w:hAnsi="Times New Roman" w:cs="Times New Roman"/>
          <w:b/>
          <w:kern w:val="0"/>
          <w:sz w:val="28"/>
          <w:szCs w:val="28"/>
        </w:rPr>
        <w:t>6.2 灌浆套筒连接</w:t>
      </w:r>
      <w:bookmarkEnd w:id="198"/>
      <w:bookmarkEnd w:id="199"/>
    </w:p>
    <w:p w14:paraId="60FB37D9">
      <w:pPr>
        <w:keepNext w:val="0"/>
        <w:keepLines w:val="0"/>
        <w:pageBreakBefore w:val="0"/>
        <w:widowControl w:val="0"/>
        <w:kinsoku/>
        <w:wordWrap/>
        <w:overflowPunct/>
        <w:topLinePunct w:val="0"/>
        <w:autoSpaceDE/>
        <w:autoSpaceDN/>
        <w:bidi w:val="0"/>
        <w:adjustRightInd w:val="0"/>
        <w:snapToGrid/>
        <w:spacing w:line="360" w:lineRule="auto"/>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 xml:space="preserve">6.2.1 </w:t>
      </w:r>
      <w:r>
        <w:rPr>
          <w:rFonts w:hint="eastAsia" w:ascii="宋体" w:hAnsi="宋体" w:eastAsia="宋体" w:cs="宋体"/>
          <w:sz w:val="24"/>
          <w:szCs w:val="24"/>
          <w:lang w:eastAsia="zh-CN"/>
        </w:rPr>
        <w:t>行标《节段预制混凝土桥梁技术标准》</w:t>
      </w:r>
      <w:r>
        <w:rPr>
          <w:rFonts w:hint="eastAsia" w:ascii="宋体" w:hAnsi="宋体" w:eastAsia="宋体" w:cs="宋体"/>
          <w:sz w:val="24"/>
          <w:szCs w:val="24"/>
          <w:lang w:val="en-US" w:eastAsia="zh-CN"/>
        </w:rPr>
        <w:t>CJJ/T 111</w:t>
      </w:r>
      <w:r>
        <w:rPr>
          <w:rFonts w:hint="eastAsia" w:ascii="宋体" w:hAnsi="宋体" w:cs="宋体"/>
          <w:sz w:val="24"/>
          <w:szCs w:val="24"/>
          <w:lang w:val="en-US" w:eastAsia="zh-CN"/>
        </w:rPr>
        <w:t>中</w:t>
      </w:r>
      <w:r>
        <w:rPr>
          <w:rFonts w:hint="eastAsia" w:ascii="宋体" w:hAnsi="宋体" w:eastAsia="宋体" w:cs="宋体"/>
          <w:sz w:val="24"/>
          <w:szCs w:val="24"/>
          <w:lang w:val="en-US" w:eastAsia="zh-CN"/>
        </w:rPr>
        <w:t>8.4.6条</w:t>
      </w:r>
      <w:r>
        <w:rPr>
          <w:rFonts w:hint="eastAsia" w:ascii="宋体" w:hAnsi="宋体" w:cs="宋体"/>
          <w:sz w:val="24"/>
          <w:szCs w:val="24"/>
          <w:lang w:val="en-US" w:eastAsia="zh-CN"/>
        </w:rPr>
        <w:t>规定墩柱钢筋采用灌浆套筒或灌浆波纹钢管锚固连接时，套筒或波纹钢管之间净距不宜小于骨料最大粒径1.3倍，且不小于50mm；</w:t>
      </w:r>
      <w:r>
        <w:rPr>
          <w:rFonts w:hint="eastAsia" w:ascii="宋体" w:hAnsi="宋体" w:eastAsia="宋体" w:cs="宋体"/>
          <w:sz w:val="24"/>
          <w:szCs w:val="24"/>
          <w:lang w:val="en-US" w:eastAsia="zh-CN"/>
        </w:rPr>
        <w:t>行标</w:t>
      </w:r>
      <w:r>
        <w:rPr>
          <w:rFonts w:hint="eastAsia" w:ascii="宋体" w:hAnsi="宋体" w:cs="宋体"/>
          <w:sz w:val="24"/>
          <w:szCs w:val="24"/>
          <w:highlight w:val="none"/>
          <w:lang w:val="en-US" w:eastAsia="zh-CN"/>
        </w:rPr>
        <w:t>《公路装配式混凝土桥梁设计规范》</w:t>
      </w:r>
      <w:r>
        <w:rPr>
          <w:rFonts w:hint="eastAsia" w:ascii="宋体" w:hAnsi="宋体" w:eastAsia="宋体" w:cs="宋体"/>
          <w:sz w:val="24"/>
          <w:szCs w:val="24"/>
          <w:lang w:val="en-US" w:eastAsia="zh-CN"/>
        </w:rPr>
        <w:t xml:space="preserve">JTGT3365 </w:t>
      </w:r>
      <w:r>
        <w:rPr>
          <w:rFonts w:hint="eastAsia" w:ascii="宋体" w:hAnsi="宋体" w:cs="宋体"/>
          <w:sz w:val="24"/>
          <w:szCs w:val="24"/>
          <w:lang w:val="en-US" w:eastAsia="zh-CN"/>
        </w:rPr>
        <w:t>中</w:t>
      </w:r>
      <w:r>
        <w:rPr>
          <w:rFonts w:hint="eastAsia" w:ascii="宋体" w:hAnsi="宋体" w:eastAsia="宋体" w:cs="宋体"/>
          <w:sz w:val="24"/>
          <w:szCs w:val="24"/>
          <w:lang w:val="en-US" w:eastAsia="zh-CN"/>
        </w:rPr>
        <w:t>6.</w:t>
      </w:r>
      <w:r>
        <w:rPr>
          <w:rFonts w:hint="eastAsia" w:ascii="宋体" w:hAnsi="宋体" w:eastAsia="宋体" w:cs="宋体"/>
          <w:color w:val="auto"/>
          <w:sz w:val="24"/>
          <w:szCs w:val="24"/>
          <w:lang w:val="en-US" w:eastAsia="zh-CN"/>
        </w:rPr>
        <w:t>2.3条</w:t>
      </w:r>
      <w:r>
        <w:rPr>
          <w:rFonts w:hint="eastAsia" w:ascii="宋体" w:hAnsi="宋体" w:cs="宋体"/>
          <w:color w:val="auto"/>
          <w:sz w:val="24"/>
          <w:szCs w:val="24"/>
          <w:lang w:val="en-US" w:eastAsia="zh-CN"/>
        </w:rPr>
        <w:t>规定套筒之间净距宜大于25mm、集料粒径的1.4倍及被连接钢筋直径中的最大值，综合考虑取保守值，本规程规定</w:t>
      </w:r>
      <w:r>
        <w:rPr>
          <w:rFonts w:hint="eastAsia"/>
          <w:bCs/>
          <w:color w:val="auto"/>
          <w:sz w:val="24"/>
          <w:szCs w:val="24"/>
        </w:rPr>
        <w:t>灌浆</w:t>
      </w:r>
      <w:r>
        <w:rPr>
          <w:bCs/>
          <w:color w:val="auto"/>
          <w:sz w:val="24"/>
          <w:szCs w:val="24"/>
          <w:highlight w:val="none"/>
        </w:rPr>
        <w:t>套筒之间净距不宜小于</w:t>
      </w:r>
      <w:r>
        <w:rPr>
          <w:rFonts w:hint="eastAsia"/>
          <w:bCs/>
          <w:color w:val="auto"/>
          <w:sz w:val="24"/>
          <w:szCs w:val="24"/>
          <w:highlight w:val="none"/>
          <w:lang w:eastAsia="zh-CN"/>
        </w:rPr>
        <w:t>骨料</w:t>
      </w:r>
      <w:r>
        <w:rPr>
          <w:bCs/>
          <w:color w:val="auto"/>
          <w:sz w:val="24"/>
          <w:szCs w:val="24"/>
          <w:highlight w:val="none"/>
        </w:rPr>
        <w:t>最大粒径的1.4 倍</w:t>
      </w:r>
      <w:r>
        <w:rPr>
          <w:rFonts w:hint="eastAsia"/>
          <w:bCs/>
          <w:color w:val="auto"/>
          <w:sz w:val="24"/>
          <w:szCs w:val="24"/>
          <w:highlight w:val="none"/>
          <w:lang w:eastAsia="zh-CN"/>
        </w:rPr>
        <w:t>，且不宜小于</w:t>
      </w:r>
      <w:r>
        <w:rPr>
          <w:rFonts w:hint="eastAsia"/>
          <w:bCs/>
          <w:color w:val="auto"/>
          <w:sz w:val="24"/>
          <w:szCs w:val="24"/>
          <w:highlight w:val="none"/>
          <w:lang w:val="en-US" w:eastAsia="zh-CN"/>
        </w:rPr>
        <w:t>50</w:t>
      </w:r>
      <w:r>
        <w:rPr>
          <w:bCs/>
          <w:color w:val="auto"/>
          <w:sz w:val="24"/>
          <w:szCs w:val="24"/>
          <w:highlight w:val="none"/>
        </w:rPr>
        <w:t>mm。</w:t>
      </w:r>
    </w:p>
    <w:p w14:paraId="2061DB21">
      <w:pPr>
        <w:keepNext w:val="0"/>
        <w:keepLines w:val="0"/>
        <w:pageBreakBefore w:val="0"/>
        <w:widowControl w:val="0"/>
        <w:kinsoku/>
        <w:wordWrap/>
        <w:overflowPunct/>
        <w:topLinePunct w:val="0"/>
        <w:autoSpaceDE/>
        <w:autoSpaceDN/>
        <w:bidi w:val="0"/>
        <w:adjustRightInd w:val="0"/>
        <w:snapToGrid/>
        <w:spacing w:line="360" w:lineRule="auto"/>
        <w:textAlignment w:val="auto"/>
        <w:rPr>
          <w:rFonts w:hint="eastAsia" w:ascii="宋体" w:hAnsi="宋体" w:cs="宋体"/>
          <w:sz w:val="24"/>
          <w:szCs w:val="24"/>
          <w:highlight w:val="none"/>
          <w:lang w:val="en-US" w:eastAsia="zh-CN"/>
        </w:rPr>
      </w:pPr>
      <w:r>
        <w:rPr>
          <w:rFonts w:hint="eastAsia" w:ascii="Times New Roman" w:hAnsi="Times New Roman" w:eastAsia="宋体" w:cs="Times New Roman"/>
          <w:b/>
          <w:bCs/>
          <w:kern w:val="0"/>
          <w:sz w:val="24"/>
          <w:szCs w:val="24"/>
          <w:lang w:val="en-US" w:eastAsia="zh-CN" w:bidi="ar-SA"/>
        </w:rPr>
        <w:t xml:space="preserve">6.2.3 </w:t>
      </w:r>
      <w:r>
        <w:rPr>
          <w:rFonts w:hint="eastAsia" w:ascii="宋体" w:hAnsi="宋体" w:eastAsia="宋体" w:cs="宋体"/>
          <w:sz w:val="24"/>
          <w:szCs w:val="24"/>
        </w:rPr>
        <w:t>纵向钢筋间中心距</w:t>
      </w:r>
      <w:r>
        <w:rPr>
          <w:rFonts w:hint="eastAsia" w:ascii="宋体" w:hAnsi="宋体" w:cs="宋体"/>
          <w:sz w:val="24"/>
          <w:szCs w:val="24"/>
          <w:lang w:eastAsia="zh-CN"/>
        </w:rPr>
        <w:t>不宜过大也不宜过小，</w:t>
      </w:r>
      <w:r>
        <w:rPr>
          <w:rFonts w:hint="eastAsia" w:ascii="宋体" w:hAnsi="宋体" w:eastAsia="宋体" w:cs="宋体"/>
          <w:sz w:val="24"/>
          <w:szCs w:val="24"/>
        </w:rPr>
        <w:t>钢筋中心距过小会导致灌浆套筒安装及混凝土浇筑困难。</w:t>
      </w:r>
      <w:r>
        <w:rPr>
          <w:rFonts w:hint="eastAsia" w:ascii="宋体" w:hAnsi="宋体" w:eastAsia="宋体" w:cs="宋体"/>
          <w:sz w:val="24"/>
          <w:szCs w:val="24"/>
          <w:highlight w:val="none"/>
          <w:lang w:val="en-US" w:eastAsia="zh-CN"/>
        </w:rPr>
        <w:t>《钢筋套筒灌浆连接应用技术规程》JGJ355中3.1.2条</w:t>
      </w:r>
      <w:r>
        <w:rPr>
          <w:rFonts w:hint="eastAsia" w:ascii="宋体" w:hAnsi="宋体" w:cs="宋体"/>
          <w:sz w:val="24"/>
          <w:szCs w:val="24"/>
          <w:highlight w:val="none"/>
          <w:lang w:val="en-US" w:eastAsia="zh-CN"/>
        </w:rPr>
        <w:t>规定灌浆套筒最小内径与连接钢筋公称直径差最小值对于12~25直径的钢筋应为10mm，对于28~40直径的钢筋应为15mm；</w:t>
      </w:r>
      <w:r>
        <w:rPr>
          <w:rFonts w:hint="eastAsia" w:ascii="宋体" w:hAnsi="宋体" w:eastAsia="宋体" w:cs="宋体"/>
          <w:sz w:val="24"/>
          <w:szCs w:val="24"/>
          <w:highlight w:val="none"/>
          <w:lang w:val="en-US" w:eastAsia="zh-CN"/>
        </w:rPr>
        <w:t>行标</w:t>
      </w:r>
      <w:r>
        <w:rPr>
          <w:rFonts w:hint="eastAsia" w:ascii="宋体" w:hAnsi="宋体" w:cs="宋体"/>
          <w:sz w:val="24"/>
          <w:szCs w:val="24"/>
          <w:highlight w:val="none"/>
          <w:lang w:val="en-US" w:eastAsia="zh-CN"/>
        </w:rPr>
        <w:t>《公路装配式混凝土桥梁设计规范》</w:t>
      </w:r>
      <w:r>
        <w:rPr>
          <w:rFonts w:hint="eastAsia" w:ascii="宋体" w:hAnsi="宋体" w:eastAsia="宋体" w:cs="宋体"/>
          <w:sz w:val="24"/>
          <w:szCs w:val="24"/>
          <w:highlight w:val="none"/>
          <w:lang w:val="en-US" w:eastAsia="zh-CN"/>
        </w:rPr>
        <w:t>3365</w:t>
      </w:r>
      <w:r>
        <w:rPr>
          <w:rFonts w:hint="eastAsia" w:ascii="宋体" w:hAnsi="宋体" w:cs="宋体"/>
          <w:sz w:val="24"/>
          <w:szCs w:val="24"/>
          <w:highlight w:val="none"/>
          <w:lang w:val="en-US" w:eastAsia="zh-CN"/>
        </w:rPr>
        <w:t>中</w:t>
      </w:r>
      <w:r>
        <w:rPr>
          <w:rFonts w:hint="eastAsia" w:ascii="宋体" w:hAnsi="宋体" w:eastAsia="宋体" w:cs="宋体"/>
          <w:sz w:val="24"/>
          <w:szCs w:val="24"/>
          <w:highlight w:val="none"/>
          <w:lang w:val="en-US" w:eastAsia="zh-CN"/>
        </w:rPr>
        <w:t>6.2.3 条</w:t>
      </w:r>
      <w:r>
        <w:rPr>
          <w:rFonts w:hint="eastAsia" w:ascii="宋体" w:hAnsi="宋体" w:cs="宋体"/>
          <w:sz w:val="24"/>
          <w:szCs w:val="24"/>
          <w:highlight w:val="none"/>
          <w:lang w:val="en-US" w:eastAsia="zh-CN"/>
        </w:rPr>
        <w:t>规定预制墩柱纵向手里钢筋之间中心距宜小于350mm。结合两本规范，规定纵向钢筋之间中心距在</w:t>
      </w:r>
      <w:r>
        <w:rPr>
          <w:rFonts w:hint="eastAsia"/>
          <w:bCs/>
          <w:color w:val="auto"/>
          <w:sz w:val="24"/>
          <w:szCs w:val="24"/>
          <w:highlight w:val="none"/>
        </w:rPr>
        <w:t>d+40mm</w:t>
      </w:r>
      <w:r>
        <w:rPr>
          <w:rFonts w:hint="eastAsia"/>
          <w:bCs/>
          <w:color w:val="auto"/>
          <w:sz w:val="24"/>
          <w:szCs w:val="24"/>
          <w:highlight w:val="none"/>
          <w:lang w:val="en-US" w:eastAsia="zh-CN"/>
        </w:rPr>
        <w:t>~</w:t>
      </w:r>
      <w:r>
        <w:rPr>
          <w:rFonts w:hint="eastAsia" w:ascii="宋体" w:hAnsi="宋体" w:cs="宋体"/>
          <w:sz w:val="24"/>
          <w:szCs w:val="24"/>
          <w:highlight w:val="none"/>
          <w:lang w:val="en-US" w:eastAsia="zh-CN"/>
        </w:rPr>
        <w:t>350mm。</w:t>
      </w:r>
    </w:p>
    <w:p w14:paraId="06FC72DD">
      <w:pPr>
        <w:keepNext w:val="0"/>
        <w:keepLines w:val="0"/>
        <w:pageBreakBefore w:val="0"/>
        <w:widowControl w:val="0"/>
        <w:kinsoku/>
        <w:wordWrap/>
        <w:overflowPunct/>
        <w:topLinePunct w:val="0"/>
        <w:autoSpaceDE/>
        <w:autoSpaceDN/>
        <w:bidi w:val="0"/>
        <w:adjustRightInd w:val="0"/>
        <w:snapToGrid/>
        <w:spacing w:line="360" w:lineRule="auto"/>
        <w:textAlignment w:val="auto"/>
        <w:rPr>
          <w:rFonts w:hint="eastAsia" w:ascii="Times New Roman" w:hAnsi="Times New Roman" w:eastAsia="宋体" w:cs="Times New Roman"/>
          <w:b w:val="0"/>
          <w:bCs w:val="0"/>
          <w:kern w:val="0"/>
          <w:sz w:val="24"/>
          <w:szCs w:val="24"/>
          <w:lang w:val="en-US" w:eastAsia="zh-CN" w:bidi="ar-SA"/>
        </w:rPr>
      </w:pPr>
      <w:r>
        <w:rPr>
          <w:rFonts w:hint="eastAsia" w:ascii="Times New Roman" w:hAnsi="Times New Roman" w:eastAsia="宋体" w:cs="Times New Roman"/>
          <w:b/>
          <w:bCs/>
          <w:kern w:val="0"/>
          <w:sz w:val="24"/>
          <w:szCs w:val="24"/>
          <w:lang w:val="en-US" w:eastAsia="zh-CN" w:bidi="ar-SA"/>
        </w:rPr>
        <w:t xml:space="preserve">6.2.8 </w:t>
      </w:r>
      <w:r>
        <w:rPr>
          <w:rFonts w:hint="eastAsia" w:ascii="Times New Roman" w:hAnsi="Times New Roman" w:eastAsia="宋体" w:cs="Times New Roman"/>
          <w:b w:val="0"/>
          <w:bCs w:val="0"/>
          <w:kern w:val="0"/>
          <w:sz w:val="24"/>
          <w:szCs w:val="24"/>
          <w:lang w:val="en-US" w:eastAsia="zh-CN" w:bidi="ar-SA"/>
        </w:rPr>
        <w:t>预制构件采用预埋灌浆套筒后，由于灌浆套筒需要有一定的保护层厚度，这样使得预制构件纵向主筋的保护层厚度会有所增大，大于</w:t>
      </w:r>
      <w:r>
        <w:rPr>
          <w:rFonts w:hint="default" w:ascii="Times New Roman" w:hAnsi="Times New Roman" w:eastAsia="宋体" w:cs="Times New Roman"/>
          <w:b w:val="0"/>
          <w:bCs w:val="0"/>
          <w:kern w:val="0"/>
          <w:sz w:val="24"/>
          <w:szCs w:val="24"/>
          <w:lang w:val="en-US" w:eastAsia="zh-CN" w:bidi="ar-SA"/>
        </w:rPr>
        <w:t xml:space="preserve">50mm </w:t>
      </w:r>
      <w:r>
        <w:rPr>
          <w:rFonts w:hint="eastAsia" w:ascii="Times New Roman" w:hAnsi="Times New Roman" w:eastAsia="宋体" w:cs="Times New Roman"/>
          <w:b w:val="0"/>
          <w:bCs w:val="0"/>
          <w:kern w:val="0"/>
          <w:sz w:val="24"/>
          <w:szCs w:val="24"/>
          <w:lang w:val="en-US" w:eastAsia="zh-CN" w:bidi="ar-SA"/>
        </w:rPr>
        <w:t>时需要在保护层内增设一定的抗裂措施。当构件在频遇值组合下未出现拉应力时，也可不增设抗裂措施；或通过增大灌浆套筒埋置段墩柱截面尺寸的方法，协调灌浆套筒和纵向主筋的保护层厚度，使其均小于</w:t>
      </w:r>
      <w:r>
        <w:rPr>
          <w:rFonts w:hint="default" w:ascii="Times New Roman" w:hAnsi="Times New Roman" w:eastAsia="宋体" w:cs="Times New Roman"/>
          <w:b w:val="0"/>
          <w:bCs w:val="0"/>
          <w:kern w:val="0"/>
          <w:sz w:val="24"/>
          <w:szCs w:val="24"/>
          <w:lang w:val="en-US" w:eastAsia="zh-CN" w:bidi="ar-SA"/>
        </w:rPr>
        <w:t>50mm</w:t>
      </w:r>
      <w:r>
        <w:rPr>
          <w:rFonts w:hint="eastAsia" w:ascii="Times New Roman" w:hAnsi="Times New Roman" w:eastAsia="宋体" w:cs="Times New Roman"/>
          <w:b w:val="0"/>
          <w:bCs w:val="0"/>
          <w:kern w:val="0"/>
          <w:sz w:val="24"/>
          <w:szCs w:val="24"/>
          <w:lang w:val="en-US" w:eastAsia="zh-CN" w:bidi="ar-SA"/>
        </w:rPr>
        <w:t>。</w:t>
      </w:r>
    </w:p>
    <w:p w14:paraId="4B86ADB5">
      <w:pPr>
        <w:spacing w:before="156" w:beforeLines="50" w:after="156" w:afterLines="50" w:line="360" w:lineRule="auto"/>
        <w:jc w:val="center"/>
        <w:outlineLvl w:val="1"/>
        <w:rPr>
          <w:rFonts w:hint="eastAsia"/>
          <w:lang w:eastAsia="zh-CN"/>
        </w:rPr>
      </w:pPr>
      <w:bookmarkStart w:id="200" w:name="_Toc32455"/>
      <w:bookmarkStart w:id="201" w:name="_Toc5226"/>
      <w:r>
        <w:rPr>
          <w:rFonts w:hint="eastAsia" w:ascii="Times New Roman" w:hAnsi="Times New Roman" w:cs="Times New Roman"/>
          <w:b/>
          <w:kern w:val="0"/>
          <w:sz w:val="28"/>
          <w:szCs w:val="28"/>
        </w:rPr>
        <w:t xml:space="preserve">6.3 </w:t>
      </w:r>
      <w:r>
        <w:rPr>
          <w:rFonts w:hint="default" w:ascii="Times New Roman" w:hAnsi="Times New Roman" w:cs="Times New Roman"/>
          <w:b/>
          <w:kern w:val="0"/>
          <w:sz w:val="28"/>
          <w:szCs w:val="28"/>
        </w:rPr>
        <w:t>灌浆波纹钢管</w:t>
      </w:r>
      <w:r>
        <w:rPr>
          <w:rFonts w:hint="eastAsia" w:ascii="Times New Roman" w:hAnsi="Times New Roman" w:cs="Times New Roman"/>
          <w:b/>
          <w:kern w:val="0"/>
          <w:sz w:val="28"/>
          <w:szCs w:val="28"/>
        </w:rPr>
        <w:t>连接</w:t>
      </w:r>
      <w:bookmarkEnd w:id="200"/>
      <w:bookmarkEnd w:id="201"/>
    </w:p>
    <w:p w14:paraId="06D1E98A">
      <w:pPr>
        <w:keepNext w:val="0"/>
        <w:keepLines w:val="0"/>
        <w:pageBreakBefore w:val="0"/>
        <w:widowControl w:val="0"/>
        <w:kinsoku/>
        <w:wordWrap/>
        <w:overflowPunct/>
        <w:topLinePunct w:val="0"/>
        <w:autoSpaceDE/>
        <w:autoSpaceDN/>
        <w:bidi w:val="0"/>
        <w:adjustRightInd w:val="0"/>
        <w:snapToGrid/>
        <w:spacing w:line="360" w:lineRule="auto"/>
        <w:textAlignment w:val="auto"/>
        <w:rPr>
          <w:rFonts w:hint="eastAsia" w:ascii="Times New Roman" w:hAnsi="Times New Roman" w:eastAsia="宋体" w:cs="Times New Roman"/>
          <w:b w:val="0"/>
          <w:bCs w:val="0"/>
          <w:kern w:val="0"/>
          <w:sz w:val="24"/>
          <w:szCs w:val="24"/>
          <w:lang w:val="en-US" w:eastAsia="zh-CN" w:bidi="ar-SA"/>
        </w:rPr>
      </w:pPr>
      <w:r>
        <w:rPr>
          <w:rFonts w:hint="eastAsia" w:ascii="Times New Roman" w:hAnsi="Times New Roman" w:eastAsia="宋体" w:cs="Times New Roman"/>
          <w:b/>
          <w:bCs/>
          <w:kern w:val="0"/>
          <w:sz w:val="24"/>
          <w:szCs w:val="24"/>
          <w:lang w:val="en-US" w:eastAsia="zh-CN" w:bidi="ar-SA"/>
        </w:rPr>
        <w:t xml:space="preserve">6.3.3 </w:t>
      </w:r>
      <w:r>
        <w:rPr>
          <w:rFonts w:hint="eastAsia" w:ascii="Times New Roman" w:hAnsi="Times New Roman" w:eastAsia="宋体" w:cs="Times New Roman"/>
          <w:b w:val="0"/>
          <w:bCs w:val="0"/>
          <w:kern w:val="0"/>
          <w:sz w:val="24"/>
          <w:szCs w:val="24"/>
          <w:lang w:val="en-US" w:eastAsia="zh-CN" w:bidi="ar-SA"/>
        </w:rPr>
        <w:t>武汉理工大学胡志坚进行了一系列墩柱钢筋灌浆波纹钢管连接的锚固性能试验分析，进行了20组荷载拉拔试验和18组有限元分析，混凝土强度等级均为C50，钢筋直径10~22mm，波纹钢管直径分布35~70mm，锚固长度300mm、50mm、600mm，灌浆料选择普通砂浆和超高性能混凝土。在拉拔荷载作用下，部分试件加载端未出现锥形破坏，波纹管对灌浆料有较好的加劲作用，一</w:t>
      </w:r>
      <w:r>
        <w:rPr>
          <w:rFonts w:hint="default" w:ascii="Times New Roman" w:hAnsi="Times New Roman" w:eastAsia="宋体" w:cs="Times New Roman"/>
          <w:b w:val="0"/>
          <w:bCs w:val="0"/>
          <w:kern w:val="0"/>
          <w:sz w:val="24"/>
          <w:szCs w:val="24"/>
          <w:lang w:val="en-US" w:eastAsia="zh-CN" w:bidi="ar-SA"/>
        </w:rPr>
        <w:t>定程度上提升了钢筋与灌浆料之间的粘结性能。自由端钢筋与灌浆、灌浆料与波纹管以及波纹管与外部普通混凝土之间均未发现明显破坏和滑移现象。</w:t>
      </w:r>
      <w:r>
        <w:rPr>
          <w:rFonts w:hint="eastAsia" w:ascii="Times New Roman" w:hAnsi="Times New Roman" w:eastAsia="宋体" w:cs="Times New Roman"/>
          <w:b w:val="0"/>
          <w:bCs w:val="0"/>
          <w:kern w:val="0"/>
          <w:sz w:val="24"/>
          <w:szCs w:val="24"/>
          <w:lang w:val="en-US" w:eastAsia="zh-CN" w:bidi="ar-SA"/>
        </w:rPr>
        <w:t>试验结果表明随着钢</w:t>
      </w:r>
      <w:r>
        <w:rPr>
          <w:rFonts w:hint="default" w:ascii="Times New Roman" w:hAnsi="Times New Roman" w:eastAsia="宋体" w:cs="Times New Roman"/>
          <w:b w:val="0"/>
          <w:bCs w:val="0"/>
          <w:kern w:val="0"/>
          <w:sz w:val="24"/>
          <w:szCs w:val="24"/>
          <w:lang w:val="en-US" w:eastAsia="zh-CN" w:bidi="ar-SA"/>
        </w:rPr>
        <w:t>筋直径的增加，试件</w:t>
      </w:r>
      <w:r>
        <w:rPr>
          <w:rFonts w:hint="eastAsia" w:ascii="Times New Roman" w:hAnsi="Times New Roman" w:eastAsia="宋体" w:cs="Times New Roman"/>
          <w:b w:val="0"/>
          <w:bCs w:val="0"/>
          <w:kern w:val="0"/>
          <w:sz w:val="24"/>
          <w:szCs w:val="24"/>
          <w:lang w:val="en-US" w:eastAsia="zh-CN" w:bidi="ar-SA"/>
        </w:rPr>
        <w:t>的</w:t>
      </w:r>
      <w:r>
        <w:rPr>
          <w:rFonts w:hint="default" w:ascii="Times New Roman" w:hAnsi="Times New Roman" w:eastAsia="宋体" w:cs="Times New Roman"/>
          <w:b w:val="0"/>
          <w:bCs w:val="0"/>
          <w:kern w:val="0"/>
          <w:sz w:val="24"/>
          <w:szCs w:val="24"/>
          <w:lang w:val="en-US" w:eastAsia="zh-CN" w:bidi="ar-SA"/>
        </w:rPr>
        <w:t>极限荷载逐渐增加</w:t>
      </w:r>
      <w:r>
        <w:rPr>
          <w:rFonts w:hint="eastAsia" w:ascii="Times New Roman" w:hAnsi="Times New Roman" w:eastAsia="宋体" w:cs="Times New Roman"/>
          <w:b w:val="0"/>
          <w:bCs w:val="0"/>
          <w:kern w:val="0"/>
          <w:sz w:val="24"/>
          <w:szCs w:val="24"/>
          <w:lang w:val="en-US" w:eastAsia="zh-CN" w:bidi="ar-SA"/>
        </w:rPr>
        <w:t>，随着波纹管直径的增大，试件的极限承载力提升，破坏模式由波纹管拔出破坏转为钢</w:t>
      </w:r>
      <w:r>
        <w:rPr>
          <w:rFonts w:hint="default" w:ascii="Times New Roman" w:hAnsi="Times New Roman" w:eastAsia="宋体" w:cs="Times New Roman"/>
          <w:b w:val="0"/>
          <w:bCs w:val="0"/>
          <w:kern w:val="0"/>
          <w:sz w:val="24"/>
          <w:szCs w:val="24"/>
          <w:lang w:val="en-US" w:eastAsia="zh-CN" w:bidi="ar-SA"/>
        </w:rPr>
        <w:t>筋拉断破坏或钢筋拔出破坏，粘结失效界面由波纹管-混凝土界面转为钢筋-灌浆料界面。</w:t>
      </w:r>
      <w:r>
        <w:rPr>
          <w:rFonts w:hint="eastAsia" w:ascii="Times New Roman" w:hAnsi="Times New Roman" w:eastAsia="宋体" w:cs="Times New Roman"/>
          <w:b w:val="0"/>
          <w:bCs w:val="0"/>
          <w:kern w:val="0"/>
          <w:sz w:val="24"/>
          <w:szCs w:val="24"/>
          <w:lang w:val="en-US" w:eastAsia="zh-CN" w:bidi="ar-SA"/>
        </w:rPr>
        <w:t>钢筋与三种材料</w:t>
      </w:r>
      <w:r>
        <w:rPr>
          <w:rFonts w:hint="default" w:ascii="Times New Roman" w:hAnsi="Times New Roman" w:eastAsia="宋体" w:cs="Times New Roman"/>
          <w:b w:val="0"/>
          <w:bCs w:val="0"/>
          <w:kern w:val="0"/>
          <w:sz w:val="24"/>
          <w:szCs w:val="24"/>
          <w:lang w:val="en-US" w:eastAsia="zh-CN" w:bidi="ar-SA"/>
        </w:rPr>
        <w:t>的粘结强度从高到低依次是：UHPC、高强砂浆和普通混凝土。</w:t>
      </w:r>
      <w:r>
        <w:rPr>
          <w:rFonts w:hint="eastAsia" w:ascii="Times New Roman" w:hAnsi="Times New Roman" w:eastAsia="宋体" w:cs="Times New Roman"/>
          <w:b w:val="0"/>
          <w:bCs w:val="0"/>
          <w:kern w:val="0"/>
          <w:sz w:val="24"/>
          <w:szCs w:val="24"/>
          <w:lang w:val="en-US" w:eastAsia="zh-CN" w:bidi="ar-SA"/>
        </w:rPr>
        <w:t>对于连接钢筋锚固长度的取值建议：当钢</w:t>
      </w:r>
      <w:r>
        <w:rPr>
          <w:rFonts w:hint="default" w:ascii="Times New Roman" w:hAnsi="Times New Roman" w:eastAsia="宋体" w:cs="Times New Roman"/>
          <w:b w:val="0"/>
          <w:bCs w:val="0"/>
          <w:kern w:val="0"/>
          <w:sz w:val="24"/>
          <w:szCs w:val="24"/>
          <w:lang w:val="en-US" w:eastAsia="zh-CN" w:bidi="ar-SA"/>
        </w:rPr>
        <w:t>筋直径不大于16mm，建议波纹管灌浆钢筋的锚固长度为15d，</w:t>
      </w:r>
      <w:r>
        <w:rPr>
          <w:rFonts w:hint="eastAsia" w:ascii="Times New Roman" w:hAnsi="Times New Roman" w:eastAsia="宋体" w:cs="Times New Roman"/>
          <w:b w:val="0"/>
          <w:bCs w:val="0"/>
          <w:kern w:val="0"/>
          <w:sz w:val="24"/>
          <w:szCs w:val="24"/>
          <w:lang w:val="en-US" w:eastAsia="zh-CN" w:bidi="ar-SA"/>
        </w:rPr>
        <w:t>当钢筋直径不小于20mm时，</w:t>
      </w:r>
      <w:r>
        <w:rPr>
          <w:rFonts w:hint="default" w:ascii="Times New Roman" w:hAnsi="Times New Roman" w:eastAsia="宋体" w:cs="Times New Roman"/>
          <w:b w:val="0"/>
          <w:bCs w:val="0"/>
          <w:kern w:val="0"/>
          <w:sz w:val="24"/>
          <w:szCs w:val="24"/>
          <w:lang w:val="en-US" w:eastAsia="zh-CN" w:bidi="ar-SA"/>
        </w:rPr>
        <w:t>建议波纹管灌浆搭接钢筋的锚固长度不小于12d。</w:t>
      </w:r>
    </w:p>
    <w:p w14:paraId="5107B92E">
      <w:pPr>
        <w:spacing w:before="156" w:beforeLines="50" w:after="156" w:afterLines="50" w:line="360" w:lineRule="auto"/>
        <w:jc w:val="center"/>
        <w:outlineLvl w:val="1"/>
        <w:rPr>
          <w:rFonts w:hint="eastAsia" w:ascii="Times New Roman" w:hAnsi="Times New Roman" w:cs="Times New Roman"/>
          <w:b/>
          <w:bCs/>
          <w:kern w:val="0"/>
          <w:sz w:val="21"/>
          <w:szCs w:val="21"/>
          <w:lang w:val="en-US" w:eastAsia="zh-CN" w:bidi="ar-SA"/>
        </w:rPr>
      </w:pPr>
      <w:bookmarkStart w:id="202" w:name="_Toc3029"/>
      <w:bookmarkStart w:id="203" w:name="_Toc8386"/>
      <w:r>
        <w:rPr>
          <w:rFonts w:hint="eastAsia" w:ascii="Times New Roman" w:hAnsi="Times New Roman" w:cs="Times New Roman"/>
          <w:b/>
          <w:kern w:val="0"/>
          <w:sz w:val="28"/>
          <w:szCs w:val="28"/>
        </w:rPr>
        <w:t>6.7 湿接缝连接</w:t>
      </w:r>
      <w:bookmarkEnd w:id="202"/>
      <w:bookmarkEnd w:id="203"/>
    </w:p>
    <w:p w14:paraId="7EA9BC29">
      <w:pPr>
        <w:keepNext w:val="0"/>
        <w:keepLines w:val="0"/>
        <w:pageBreakBefore w:val="0"/>
        <w:widowControl w:val="0"/>
        <w:kinsoku/>
        <w:wordWrap/>
        <w:overflowPunct/>
        <w:topLinePunct w:val="0"/>
        <w:autoSpaceDE/>
        <w:autoSpaceDN/>
        <w:bidi w:val="0"/>
        <w:adjustRightInd w:val="0"/>
        <w:snapToGrid/>
        <w:spacing w:line="360" w:lineRule="auto"/>
        <w:textAlignment w:val="auto"/>
        <w:rPr>
          <w:rFonts w:hint="eastAsia" w:ascii="Times New Roman" w:hAnsi="Times New Roman" w:eastAsia="宋体" w:cs="Times New Roman"/>
          <w:b w:val="0"/>
          <w:bCs w:val="0"/>
          <w:kern w:val="0"/>
          <w:sz w:val="24"/>
          <w:szCs w:val="24"/>
          <w:lang w:val="en-US" w:eastAsia="zh-CN" w:bidi="ar-SA"/>
        </w:rPr>
      </w:pPr>
      <w:r>
        <w:rPr>
          <w:rFonts w:hint="eastAsia" w:ascii="Times New Roman" w:hAnsi="Times New Roman" w:eastAsia="宋体" w:cs="Times New Roman"/>
          <w:b/>
          <w:bCs/>
          <w:kern w:val="0"/>
          <w:sz w:val="24"/>
          <w:szCs w:val="24"/>
          <w:lang w:val="en-US" w:eastAsia="zh-CN" w:bidi="ar-SA"/>
        </w:rPr>
        <w:t xml:space="preserve">6.7.6 </w:t>
      </w:r>
      <w:r>
        <w:rPr>
          <w:rFonts w:hint="eastAsia" w:ascii="Times New Roman" w:hAnsi="Times New Roman" w:eastAsia="宋体" w:cs="Times New Roman"/>
          <w:b w:val="0"/>
          <w:bCs w:val="0"/>
          <w:kern w:val="0"/>
          <w:sz w:val="24"/>
          <w:szCs w:val="24"/>
          <w:lang w:val="en-US" w:eastAsia="zh-CN" w:bidi="ar-SA"/>
        </w:rPr>
        <w:t>U型钢筋带底托湿接缝连接形式无需搭设模板，相邻两片预制桥面板在连接段均有向外悬挑底托，由于底托为悬挑结构且厚度较薄，不宜长度太长，因此对该类型连接的湿接缝宽度有所限制,两侧U型钢筋交叉搭接。整体施工较为便利。</w:t>
      </w:r>
    </w:p>
    <w:tbl>
      <w:tblPr>
        <w:tblStyle w:val="40"/>
        <w:tblW w:w="8912" w:type="dxa"/>
        <w:jc w:val="right"/>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456"/>
        <w:gridCol w:w="4456"/>
      </w:tblGrid>
      <w:tr w14:paraId="6408F7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right"/>
        </w:trPr>
        <w:tc>
          <w:tcPr>
            <w:tcW w:w="4456" w:type="dxa"/>
          </w:tcPr>
          <w:p w14:paraId="6C668AF2">
            <w:pPr>
              <w:keepNext w:val="0"/>
              <w:keepLines w:val="0"/>
              <w:pageBreakBefore w:val="0"/>
              <w:widowControl w:val="0"/>
              <w:kinsoku/>
              <w:wordWrap/>
              <w:overflowPunct/>
              <w:topLinePunct w:val="0"/>
              <w:autoSpaceDE/>
              <w:autoSpaceDN/>
              <w:bidi w:val="0"/>
              <w:adjustRightInd w:val="0"/>
              <w:snapToGrid/>
              <w:spacing w:line="240" w:lineRule="auto"/>
              <w:ind w:firstLine="0" w:firstLineChars="0"/>
              <w:textAlignment w:val="auto"/>
              <w:rPr>
                <w:szCs w:val="21"/>
              </w:rPr>
            </w:pPr>
            <w:r>
              <w:rPr>
                <w:rFonts w:ascii="宋体" w:hAnsi="宋体"/>
                <w:szCs w:val="21"/>
              </w:rPr>
              <w:drawing>
                <wp:inline distT="0" distB="0" distL="0" distR="0">
                  <wp:extent cx="2446020" cy="1657985"/>
                  <wp:effectExtent l="46355" t="28575" r="60325" b="66040"/>
                  <wp:docPr id="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6"/>
                          <pic:cNvPicPr>
                            <a:picLocks noChangeAspect="1"/>
                          </pic:cNvPicPr>
                        </pic:nvPicPr>
                        <pic:blipFill>
                          <a:blip r:embed="rId127"/>
                          <a:srcRect l="22477" r="25201"/>
                          <a:stretch>
                            <a:fillRect/>
                          </a:stretch>
                        </pic:blipFill>
                        <pic:spPr>
                          <a:xfrm>
                            <a:off x="0" y="0"/>
                            <a:ext cx="2448512" cy="1659667"/>
                          </a:xfrm>
                          <a:prstGeom prst="rect">
                            <a:avLst/>
                          </a:prstGeom>
                          <a:solidFill>
                            <a:srgbClr val="FFFFFF">
                              <a:shade val="85000"/>
                            </a:srgbClr>
                          </a:solidFill>
                          <a:ln w="88900" cap="sq">
                            <a:noFill/>
                            <a:miter lim="800000"/>
                            <a:headEnd/>
                            <a:tailEnd/>
                          </a:ln>
                          <a:effectLst>
                            <a:outerShdw blurRad="55000" dist="18000" dir="5400000" algn="tl" rotWithShape="0">
                              <a:srgbClr val="000000">
                                <a:alpha val="40000"/>
                              </a:srgbClr>
                            </a:outerShdw>
                          </a:effectLst>
                        </pic:spPr>
                      </pic:pic>
                    </a:graphicData>
                  </a:graphic>
                </wp:inline>
              </w:drawing>
            </w:r>
          </w:p>
        </w:tc>
        <w:tc>
          <w:tcPr>
            <w:tcW w:w="4456" w:type="dxa"/>
          </w:tcPr>
          <w:p w14:paraId="224F8F04">
            <w:pPr>
              <w:keepNext w:val="0"/>
              <w:keepLines w:val="0"/>
              <w:pageBreakBefore w:val="0"/>
              <w:widowControl w:val="0"/>
              <w:kinsoku/>
              <w:wordWrap/>
              <w:overflowPunct/>
              <w:topLinePunct w:val="0"/>
              <w:autoSpaceDE/>
              <w:autoSpaceDN/>
              <w:bidi w:val="0"/>
              <w:adjustRightInd w:val="0"/>
              <w:snapToGrid/>
              <w:spacing w:line="240" w:lineRule="auto"/>
              <w:ind w:firstLine="482"/>
              <w:textAlignment w:val="auto"/>
              <w:rPr>
                <w:szCs w:val="21"/>
              </w:rPr>
            </w:pPr>
            <w:r>
              <w:rPr>
                <w:szCs w:val="21"/>
              </w:rPr>
              <w:drawing>
                <wp:inline distT="0" distB="0" distL="0" distR="0">
                  <wp:extent cx="2116455" cy="1659255"/>
                  <wp:effectExtent l="0" t="0" r="17145" b="17145"/>
                  <wp:docPr id="485" name="图片 5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图片 53604"/>
                          <pic:cNvPicPr>
                            <a:picLocks noChangeAspect="1" noChangeArrowheads="1"/>
                          </pic:cNvPicPr>
                        </pic:nvPicPr>
                        <pic:blipFill>
                          <a:blip r:embed="rId128" cstate="print"/>
                          <a:srcRect t="6178" b="3474"/>
                          <a:stretch>
                            <a:fillRect/>
                          </a:stretch>
                        </pic:blipFill>
                        <pic:spPr>
                          <a:xfrm>
                            <a:off x="0" y="0"/>
                            <a:ext cx="2116492" cy="1659600"/>
                          </a:xfrm>
                          <a:prstGeom prst="rect">
                            <a:avLst/>
                          </a:prstGeom>
                          <a:noFill/>
                          <a:ln w="9525">
                            <a:noFill/>
                            <a:miter lim="800000"/>
                            <a:headEnd/>
                            <a:tailEnd/>
                          </a:ln>
                        </pic:spPr>
                      </pic:pic>
                    </a:graphicData>
                  </a:graphic>
                </wp:inline>
              </w:drawing>
            </w:r>
          </w:p>
        </w:tc>
      </w:tr>
    </w:tbl>
    <w:p w14:paraId="40321377">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eastAsia" w:ascii="Times New Roman" w:hAnsi="Times New Roman" w:eastAsia="宋体" w:cs="Times New Roman"/>
          <w:b w:val="0"/>
          <w:bCs w:val="0"/>
          <w:kern w:val="0"/>
          <w:sz w:val="24"/>
          <w:szCs w:val="24"/>
          <w:lang w:val="en-US" w:eastAsia="zh-CN" w:bidi="ar-SA"/>
        </w:rPr>
      </w:pPr>
      <w:r>
        <w:rPr>
          <w:rFonts w:hint="eastAsia" w:ascii="Times New Roman" w:hAnsi="Times New Roman" w:eastAsia="宋体" w:cs="Times New Roman"/>
          <w:b w:val="0"/>
          <w:bCs w:val="0"/>
          <w:kern w:val="0"/>
          <w:sz w:val="24"/>
          <w:szCs w:val="24"/>
          <w:lang w:val="en-US" w:eastAsia="zh-CN" w:bidi="ar-SA"/>
        </w:rPr>
        <w:t>图1  U型钢筋带底托连接三维图            图2  U型钢筋带底托连接实图</w:t>
      </w:r>
    </w:p>
    <w:p w14:paraId="611BA317">
      <w:pPr>
        <w:keepNext w:val="0"/>
        <w:keepLines w:val="0"/>
        <w:pageBreakBefore w:val="0"/>
        <w:widowControl w:val="0"/>
        <w:kinsoku/>
        <w:wordWrap/>
        <w:overflowPunct/>
        <w:topLinePunct w:val="0"/>
        <w:autoSpaceDE/>
        <w:autoSpaceDN/>
        <w:bidi w:val="0"/>
        <w:adjustRightInd w:val="0"/>
        <w:snapToGrid/>
        <w:spacing w:line="360" w:lineRule="auto"/>
        <w:textAlignment w:val="auto"/>
        <w:rPr>
          <w:rFonts w:hint="eastAsia" w:ascii="Times New Roman" w:hAnsi="Times New Roman" w:eastAsia="宋体" w:cs="Times New Roman"/>
          <w:b w:val="0"/>
          <w:bCs w:val="0"/>
          <w:kern w:val="0"/>
          <w:sz w:val="24"/>
          <w:szCs w:val="24"/>
          <w:lang w:val="en-US" w:eastAsia="zh-CN" w:bidi="ar-SA"/>
        </w:rPr>
      </w:pPr>
      <w:r>
        <w:rPr>
          <w:rFonts w:hint="eastAsia" w:ascii="Times New Roman" w:hAnsi="Times New Roman" w:eastAsia="宋体" w:cs="Times New Roman"/>
          <w:b/>
          <w:bCs/>
          <w:kern w:val="0"/>
          <w:sz w:val="24"/>
          <w:szCs w:val="24"/>
          <w:lang w:val="en-US" w:eastAsia="zh-CN" w:bidi="ar-SA"/>
        </w:rPr>
        <w:t xml:space="preserve">6.8.1~6.8.3 </w:t>
      </w:r>
      <w:r>
        <w:rPr>
          <w:rFonts w:hint="eastAsia" w:ascii="Times New Roman" w:hAnsi="Times New Roman" w:eastAsia="宋体" w:cs="Times New Roman"/>
          <w:b w:val="0"/>
          <w:bCs w:val="0"/>
          <w:kern w:val="0"/>
          <w:sz w:val="24"/>
          <w:szCs w:val="24"/>
          <w:lang w:val="en-US" w:eastAsia="zh-CN" w:bidi="ar-SA"/>
        </w:rPr>
        <w:t>后张预应力筋连接是指预制梁段间不采用任何粘结剂,借助预应力将各梁段拼装成整体，也称干接缝。相对于其它类型裂缝,后张预应力筋连接避免了接缝间环氧树脂胶的涂抹工作以及胶的固化时间,从而加快了拼装时间；同时,后张预应力筋连接节段式桥梁为体外预应力结构,不仅加快了施工速度还能对预应力钢束进行定期检测、调整以及更换,从而可以明确的监控其工作状态。因此,在一些对周围环境影响控制严格,施工进度要求高,以及对体内预应力体系的安全性以及耐久性掌握不明确的工程中,后张预应力筋连接体外预应力施工技术具有较大的优势。但由于后张预应力筋连接的截面混凝土直接接触,使接缝截面不能承受拉应力,其抗弯和抗剪承载力均低于湿接缝及胶接缝,抗震作用下混凝土剪力键可能出现脆性破坏,在不良环境地区,水和有害物质易从接缝渗入梁体,引起混凝土和预应力束的耐久性病害。这些缺陷在一定程度上限制了其在工程中的应用，美国AASHTO《节段式混凝土桥梁设计和施工指导性规范》2003年修改版中指出,所有的新建桥梁结构只允许使用A类接缝,即干接缝不允许在新建桥梁结构中使用。对于全体外预应力的桥梁，由于无体内束防护需要，在保证桥梁接缝处有良好防水处理的前提下，则拼装有条件考虑采用后张预应力筋连接。</w:t>
      </w:r>
    </w:p>
    <w:p w14:paraId="0669610E">
      <w:pPr>
        <w:pStyle w:val="170"/>
        <w:spacing w:before="0" w:after="0" w:line="400" w:lineRule="exact"/>
        <w:ind w:firstLine="480"/>
        <w:rPr>
          <w:rFonts w:hint="eastAsia" w:ascii="Times New Roman" w:hAnsi="Times New Roman" w:eastAsia="宋体" w:cs="Times New Roman"/>
          <w:b w:val="0"/>
          <w:bCs w:val="0"/>
          <w:kern w:val="0"/>
          <w:sz w:val="24"/>
          <w:szCs w:val="24"/>
          <w:lang w:val="en-US" w:eastAsia="zh-CN" w:bidi="ar-SA"/>
        </w:rPr>
      </w:pPr>
      <w:r>
        <w:rPr>
          <w:rFonts w:hint="eastAsia" w:ascii="Times New Roman" w:hAnsi="Times New Roman" w:eastAsia="宋体" w:cs="Times New Roman"/>
          <w:b w:val="0"/>
          <w:bCs w:val="0"/>
          <w:kern w:val="0"/>
          <w:sz w:val="24"/>
          <w:szCs w:val="24"/>
          <w:lang w:val="en-US" w:eastAsia="zh-CN" w:bidi="ar-SA"/>
        </w:rPr>
        <w:t>表1 AASHTO（2004）抗力系数</w:t>
      </w:r>
      <w:r>
        <w:rPr>
          <w:rFonts w:hint="eastAsia" w:ascii="Times New Roman" w:hAnsi="Times New Roman" w:eastAsia="宋体" w:cs="Times New Roman"/>
          <w:b w:val="0"/>
          <w:bCs w:val="0"/>
          <w:kern w:val="0"/>
          <w:sz w:val="24"/>
          <w:szCs w:val="24"/>
          <w:lang w:val="en-US" w:eastAsia="zh-CN" w:bidi="ar-SA"/>
        </w:rPr>
        <w:object>
          <v:shape id="_x0000_i1077" o:spt="75" type="#_x0000_t75" style="height:13.75pt;width:8.75pt;" o:ole="t" filled="f" o:preferrelative="t" stroked="f" coordsize="21600,21600">
            <v:path/>
            <v:fill on="f" focussize="0,0"/>
            <v:stroke on="f"/>
            <v:imagedata r:id="rId130" o:title=""/>
            <o:lock v:ext="edit" aspectratio="t"/>
            <w10:wrap type="none"/>
            <w10:anchorlock/>
          </v:shape>
          <o:OLEObject Type="Embed" ProgID="Equation.DSMT4" ShapeID="_x0000_i1077" DrawAspect="Content" ObjectID="_1468075777" r:id="rId129">
            <o:LockedField>false</o:LockedField>
          </o:OLEObject>
        </w:object>
      </w:r>
      <w:r>
        <w:rPr>
          <w:rFonts w:hint="eastAsia" w:ascii="Times New Roman" w:hAnsi="Times New Roman" w:eastAsia="宋体" w:cs="Times New Roman"/>
          <w:b w:val="0"/>
          <w:bCs w:val="0"/>
          <w:kern w:val="0"/>
          <w:sz w:val="24"/>
          <w:szCs w:val="24"/>
          <w:lang w:val="en-US" w:eastAsia="zh-CN" w:bidi="ar-SA"/>
        </w:rPr>
        <w:t>的规定</w:t>
      </w:r>
    </w:p>
    <w:tbl>
      <w:tblPr>
        <w:tblStyle w:val="40"/>
        <w:tblW w:w="9003"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74"/>
        <w:gridCol w:w="1730"/>
        <w:gridCol w:w="2256"/>
        <w:gridCol w:w="2443"/>
      </w:tblGrid>
      <w:tr w14:paraId="18931E1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2574" w:type="dxa"/>
          </w:tcPr>
          <w:p w14:paraId="0EAD2D3D">
            <w:pPr>
              <w:spacing w:line="400" w:lineRule="exact"/>
              <w:jc w:val="center"/>
              <w:rPr>
                <w:sz w:val="21"/>
                <w:szCs w:val="21"/>
              </w:rPr>
            </w:pPr>
            <w:r>
              <w:rPr>
                <w:rFonts w:hint="eastAsia"/>
                <w:sz w:val="21"/>
                <w:szCs w:val="21"/>
              </w:rPr>
              <w:t>梁类型</w:t>
            </w:r>
          </w:p>
        </w:tc>
        <w:tc>
          <w:tcPr>
            <w:tcW w:w="1730" w:type="dxa"/>
          </w:tcPr>
          <w:p w14:paraId="7CC541F3">
            <w:pPr>
              <w:spacing w:line="400" w:lineRule="exact"/>
              <w:jc w:val="center"/>
              <w:rPr>
                <w:sz w:val="21"/>
                <w:szCs w:val="21"/>
              </w:rPr>
            </w:pPr>
            <w:r>
              <w:rPr>
                <w:rFonts w:hint="eastAsia"/>
                <w:sz w:val="21"/>
                <w:szCs w:val="21"/>
              </w:rPr>
              <w:t>接缝类型</w:t>
            </w:r>
          </w:p>
        </w:tc>
        <w:tc>
          <w:tcPr>
            <w:tcW w:w="2256" w:type="dxa"/>
          </w:tcPr>
          <w:p w14:paraId="6ACB2ADA">
            <w:pPr>
              <w:spacing w:line="400" w:lineRule="exact"/>
              <w:jc w:val="center"/>
              <w:rPr>
                <w:sz w:val="21"/>
                <w:szCs w:val="21"/>
              </w:rPr>
            </w:pPr>
            <w:r>
              <w:rPr>
                <w:rFonts w:hint="eastAsia"/>
                <w:sz w:val="21"/>
                <w:szCs w:val="21"/>
              </w:rPr>
              <w:t>抗弯</w:t>
            </w:r>
          </w:p>
        </w:tc>
        <w:tc>
          <w:tcPr>
            <w:tcW w:w="2443" w:type="dxa"/>
          </w:tcPr>
          <w:p w14:paraId="12F7D3D0">
            <w:pPr>
              <w:spacing w:line="400" w:lineRule="exact"/>
              <w:jc w:val="center"/>
              <w:rPr>
                <w:sz w:val="21"/>
                <w:szCs w:val="21"/>
              </w:rPr>
            </w:pPr>
            <w:r>
              <w:rPr>
                <w:rFonts w:hint="eastAsia"/>
                <w:sz w:val="21"/>
                <w:szCs w:val="21"/>
              </w:rPr>
              <w:t>抗剪</w:t>
            </w:r>
          </w:p>
        </w:tc>
      </w:tr>
      <w:tr w14:paraId="0C08581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2574" w:type="dxa"/>
          </w:tcPr>
          <w:p w14:paraId="5C5A4A93">
            <w:pPr>
              <w:spacing w:line="400" w:lineRule="exact"/>
              <w:jc w:val="center"/>
              <w:rPr>
                <w:sz w:val="21"/>
                <w:szCs w:val="21"/>
              </w:rPr>
            </w:pPr>
            <w:r>
              <w:rPr>
                <w:rFonts w:hint="eastAsia"/>
                <w:sz w:val="21"/>
                <w:szCs w:val="21"/>
              </w:rPr>
              <w:t>整体梁</w:t>
            </w:r>
          </w:p>
        </w:tc>
        <w:tc>
          <w:tcPr>
            <w:tcW w:w="1730" w:type="dxa"/>
          </w:tcPr>
          <w:p w14:paraId="1C717E33">
            <w:pPr>
              <w:spacing w:line="400" w:lineRule="exact"/>
              <w:jc w:val="center"/>
              <w:rPr>
                <w:sz w:val="21"/>
                <w:szCs w:val="21"/>
              </w:rPr>
            </w:pPr>
            <w:r>
              <w:rPr>
                <w:rFonts w:hint="eastAsia"/>
                <w:sz w:val="21"/>
                <w:szCs w:val="21"/>
              </w:rPr>
              <w:t>——</w:t>
            </w:r>
          </w:p>
        </w:tc>
        <w:tc>
          <w:tcPr>
            <w:tcW w:w="2256" w:type="dxa"/>
          </w:tcPr>
          <w:p w14:paraId="7D5A66B4">
            <w:pPr>
              <w:adjustRightInd w:val="0"/>
              <w:spacing w:line="400" w:lineRule="exact"/>
              <w:jc w:val="center"/>
              <w:rPr>
                <w:sz w:val="21"/>
                <w:szCs w:val="21"/>
              </w:rPr>
            </w:pPr>
            <w:r>
              <w:rPr>
                <w:rFonts w:hint="eastAsia"/>
                <w:sz w:val="21"/>
                <w:szCs w:val="21"/>
              </w:rPr>
              <w:t>1</w:t>
            </w:r>
            <w:r>
              <w:rPr>
                <w:sz w:val="21"/>
                <w:szCs w:val="21"/>
              </w:rPr>
              <w:t>.00</w:t>
            </w:r>
          </w:p>
        </w:tc>
        <w:tc>
          <w:tcPr>
            <w:tcW w:w="2443" w:type="dxa"/>
          </w:tcPr>
          <w:p w14:paraId="790DF871">
            <w:pPr>
              <w:spacing w:line="400" w:lineRule="exact"/>
              <w:jc w:val="center"/>
              <w:rPr>
                <w:sz w:val="21"/>
                <w:szCs w:val="21"/>
              </w:rPr>
            </w:pPr>
            <w:r>
              <w:rPr>
                <w:rFonts w:hint="eastAsia"/>
                <w:sz w:val="21"/>
                <w:szCs w:val="21"/>
              </w:rPr>
              <w:t>0</w:t>
            </w:r>
            <w:r>
              <w:rPr>
                <w:sz w:val="21"/>
                <w:szCs w:val="21"/>
              </w:rPr>
              <w:t>.90</w:t>
            </w:r>
          </w:p>
        </w:tc>
      </w:tr>
      <w:tr w14:paraId="687FEF9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2574" w:type="dxa"/>
            <w:vMerge w:val="restart"/>
          </w:tcPr>
          <w:p w14:paraId="2398D2CE">
            <w:pPr>
              <w:spacing w:line="400" w:lineRule="exact"/>
              <w:jc w:val="center"/>
              <w:rPr>
                <w:sz w:val="21"/>
                <w:szCs w:val="21"/>
              </w:rPr>
            </w:pPr>
            <w:r>
              <w:rPr>
                <w:rFonts w:hint="eastAsia"/>
                <w:sz w:val="21"/>
                <w:szCs w:val="21"/>
              </w:rPr>
              <w:t>全粘结阶段预应力筋梁</w:t>
            </w:r>
          </w:p>
        </w:tc>
        <w:tc>
          <w:tcPr>
            <w:tcW w:w="1730" w:type="dxa"/>
          </w:tcPr>
          <w:p w14:paraId="3DD0D325">
            <w:pPr>
              <w:spacing w:line="400" w:lineRule="exact"/>
              <w:jc w:val="center"/>
              <w:rPr>
                <w:sz w:val="21"/>
                <w:szCs w:val="21"/>
              </w:rPr>
            </w:pPr>
            <w:r>
              <w:rPr>
                <w:rFonts w:hint="eastAsia"/>
                <w:sz w:val="21"/>
                <w:szCs w:val="21"/>
              </w:rPr>
              <w:t>A类接缝</w:t>
            </w:r>
          </w:p>
        </w:tc>
        <w:tc>
          <w:tcPr>
            <w:tcW w:w="2256" w:type="dxa"/>
          </w:tcPr>
          <w:p w14:paraId="672FC5D4">
            <w:pPr>
              <w:adjustRightInd w:val="0"/>
              <w:spacing w:line="400" w:lineRule="exact"/>
              <w:jc w:val="center"/>
              <w:rPr>
                <w:sz w:val="21"/>
                <w:szCs w:val="21"/>
              </w:rPr>
            </w:pPr>
            <w:r>
              <w:rPr>
                <w:rFonts w:hint="eastAsia"/>
                <w:sz w:val="21"/>
                <w:szCs w:val="21"/>
              </w:rPr>
              <w:t>0</w:t>
            </w:r>
            <w:r>
              <w:rPr>
                <w:sz w:val="21"/>
                <w:szCs w:val="21"/>
              </w:rPr>
              <w:t>.95</w:t>
            </w:r>
          </w:p>
        </w:tc>
        <w:tc>
          <w:tcPr>
            <w:tcW w:w="2443" w:type="dxa"/>
          </w:tcPr>
          <w:p w14:paraId="5D3F4183">
            <w:pPr>
              <w:spacing w:line="400" w:lineRule="exact"/>
              <w:jc w:val="center"/>
              <w:rPr>
                <w:sz w:val="21"/>
                <w:szCs w:val="21"/>
              </w:rPr>
            </w:pPr>
            <w:r>
              <w:rPr>
                <w:rFonts w:hint="eastAsia"/>
                <w:sz w:val="21"/>
                <w:szCs w:val="21"/>
              </w:rPr>
              <w:t>0</w:t>
            </w:r>
            <w:r>
              <w:rPr>
                <w:sz w:val="21"/>
                <w:szCs w:val="21"/>
              </w:rPr>
              <w:t>.85</w:t>
            </w:r>
          </w:p>
        </w:tc>
      </w:tr>
      <w:tr w14:paraId="77FB3CF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2574" w:type="dxa"/>
            <w:vMerge w:val="continue"/>
          </w:tcPr>
          <w:p w14:paraId="19150F55">
            <w:pPr>
              <w:spacing w:line="400" w:lineRule="exact"/>
              <w:jc w:val="center"/>
              <w:rPr>
                <w:sz w:val="21"/>
                <w:szCs w:val="21"/>
              </w:rPr>
            </w:pPr>
          </w:p>
        </w:tc>
        <w:tc>
          <w:tcPr>
            <w:tcW w:w="1730" w:type="dxa"/>
          </w:tcPr>
          <w:p w14:paraId="254DC53C">
            <w:pPr>
              <w:spacing w:line="400" w:lineRule="exact"/>
              <w:jc w:val="center"/>
              <w:rPr>
                <w:sz w:val="21"/>
                <w:szCs w:val="21"/>
              </w:rPr>
            </w:pPr>
            <w:r>
              <w:rPr>
                <w:rFonts w:hint="eastAsia"/>
                <w:sz w:val="21"/>
                <w:szCs w:val="21"/>
              </w:rPr>
              <w:t>B类接缝</w:t>
            </w:r>
          </w:p>
        </w:tc>
        <w:tc>
          <w:tcPr>
            <w:tcW w:w="2256" w:type="dxa"/>
          </w:tcPr>
          <w:p w14:paraId="2E2A675A">
            <w:pPr>
              <w:adjustRightInd w:val="0"/>
              <w:spacing w:line="400" w:lineRule="exact"/>
              <w:jc w:val="center"/>
              <w:rPr>
                <w:sz w:val="21"/>
                <w:szCs w:val="21"/>
              </w:rPr>
            </w:pPr>
            <w:r>
              <w:rPr>
                <w:rFonts w:hint="eastAsia"/>
                <w:sz w:val="21"/>
                <w:szCs w:val="21"/>
              </w:rPr>
              <w:t>0</w:t>
            </w:r>
            <w:r>
              <w:rPr>
                <w:sz w:val="21"/>
                <w:szCs w:val="21"/>
              </w:rPr>
              <w:t>.90</w:t>
            </w:r>
          </w:p>
        </w:tc>
        <w:tc>
          <w:tcPr>
            <w:tcW w:w="2443" w:type="dxa"/>
          </w:tcPr>
          <w:p w14:paraId="60CE8261">
            <w:pPr>
              <w:spacing w:line="400" w:lineRule="exact"/>
              <w:jc w:val="center"/>
              <w:rPr>
                <w:sz w:val="21"/>
                <w:szCs w:val="21"/>
              </w:rPr>
            </w:pPr>
            <w:r>
              <w:rPr>
                <w:rFonts w:hint="eastAsia"/>
                <w:sz w:val="21"/>
                <w:szCs w:val="21"/>
              </w:rPr>
              <w:t>0</w:t>
            </w:r>
            <w:r>
              <w:rPr>
                <w:sz w:val="21"/>
                <w:szCs w:val="21"/>
              </w:rPr>
              <w:t>.70</w:t>
            </w:r>
          </w:p>
        </w:tc>
      </w:tr>
      <w:tr w14:paraId="36BD5FD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2574" w:type="dxa"/>
            <w:vMerge w:val="restart"/>
          </w:tcPr>
          <w:p w14:paraId="04CEDF03">
            <w:pPr>
              <w:spacing w:line="400" w:lineRule="exact"/>
              <w:jc w:val="center"/>
              <w:rPr>
                <w:sz w:val="21"/>
                <w:szCs w:val="21"/>
              </w:rPr>
            </w:pPr>
            <w:r>
              <w:rPr>
                <w:rFonts w:hint="eastAsia"/>
                <w:sz w:val="21"/>
                <w:szCs w:val="21"/>
              </w:rPr>
              <w:t>非粘结或部分粘结预应力筋梁</w:t>
            </w:r>
          </w:p>
        </w:tc>
        <w:tc>
          <w:tcPr>
            <w:tcW w:w="1730" w:type="dxa"/>
          </w:tcPr>
          <w:p w14:paraId="483C4CDD">
            <w:pPr>
              <w:spacing w:line="400" w:lineRule="exact"/>
              <w:jc w:val="center"/>
              <w:rPr>
                <w:sz w:val="21"/>
                <w:szCs w:val="21"/>
              </w:rPr>
            </w:pPr>
            <w:r>
              <w:rPr>
                <w:rFonts w:hint="eastAsia"/>
                <w:sz w:val="21"/>
                <w:szCs w:val="21"/>
              </w:rPr>
              <w:t>A类接缝</w:t>
            </w:r>
          </w:p>
        </w:tc>
        <w:tc>
          <w:tcPr>
            <w:tcW w:w="2256" w:type="dxa"/>
          </w:tcPr>
          <w:p w14:paraId="70F7C660">
            <w:pPr>
              <w:adjustRightInd w:val="0"/>
              <w:spacing w:line="400" w:lineRule="exact"/>
              <w:jc w:val="center"/>
              <w:rPr>
                <w:sz w:val="21"/>
                <w:szCs w:val="21"/>
              </w:rPr>
            </w:pPr>
            <w:r>
              <w:rPr>
                <w:rFonts w:hint="eastAsia"/>
                <w:sz w:val="21"/>
                <w:szCs w:val="21"/>
              </w:rPr>
              <w:t>0</w:t>
            </w:r>
            <w:r>
              <w:rPr>
                <w:sz w:val="21"/>
                <w:szCs w:val="21"/>
              </w:rPr>
              <w:t>.90</w:t>
            </w:r>
          </w:p>
        </w:tc>
        <w:tc>
          <w:tcPr>
            <w:tcW w:w="2443" w:type="dxa"/>
          </w:tcPr>
          <w:p w14:paraId="31095EFA">
            <w:pPr>
              <w:spacing w:line="400" w:lineRule="exact"/>
              <w:jc w:val="center"/>
              <w:rPr>
                <w:sz w:val="21"/>
                <w:szCs w:val="21"/>
              </w:rPr>
            </w:pPr>
            <w:r>
              <w:rPr>
                <w:rFonts w:hint="eastAsia"/>
                <w:sz w:val="21"/>
                <w:szCs w:val="21"/>
              </w:rPr>
              <w:t>0</w:t>
            </w:r>
            <w:r>
              <w:rPr>
                <w:sz w:val="21"/>
                <w:szCs w:val="21"/>
              </w:rPr>
              <w:t>.80</w:t>
            </w:r>
          </w:p>
        </w:tc>
      </w:tr>
      <w:tr w14:paraId="5D8215D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2574" w:type="dxa"/>
            <w:vMerge w:val="continue"/>
          </w:tcPr>
          <w:p w14:paraId="4F794E88">
            <w:pPr>
              <w:spacing w:line="400" w:lineRule="exact"/>
              <w:ind w:firstLine="420"/>
              <w:jc w:val="center"/>
              <w:rPr>
                <w:sz w:val="21"/>
                <w:szCs w:val="21"/>
              </w:rPr>
            </w:pPr>
          </w:p>
        </w:tc>
        <w:tc>
          <w:tcPr>
            <w:tcW w:w="1730" w:type="dxa"/>
          </w:tcPr>
          <w:p w14:paraId="3BE90C9E">
            <w:pPr>
              <w:spacing w:line="400" w:lineRule="exact"/>
              <w:jc w:val="center"/>
              <w:rPr>
                <w:sz w:val="21"/>
                <w:szCs w:val="21"/>
              </w:rPr>
            </w:pPr>
            <w:r>
              <w:rPr>
                <w:rFonts w:hint="eastAsia"/>
                <w:sz w:val="21"/>
                <w:szCs w:val="21"/>
              </w:rPr>
              <w:t>B类接缝</w:t>
            </w:r>
          </w:p>
        </w:tc>
        <w:tc>
          <w:tcPr>
            <w:tcW w:w="2256" w:type="dxa"/>
          </w:tcPr>
          <w:p w14:paraId="5C0B8D62">
            <w:pPr>
              <w:adjustRightInd w:val="0"/>
              <w:spacing w:line="400" w:lineRule="exact"/>
              <w:jc w:val="center"/>
              <w:rPr>
                <w:sz w:val="21"/>
                <w:szCs w:val="21"/>
              </w:rPr>
            </w:pPr>
            <w:r>
              <w:rPr>
                <w:rFonts w:hint="eastAsia"/>
                <w:sz w:val="21"/>
                <w:szCs w:val="21"/>
              </w:rPr>
              <w:t>0</w:t>
            </w:r>
            <w:r>
              <w:rPr>
                <w:sz w:val="21"/>
                <w:szCs w:val="21"/>
              </w:rPr>
              <w:t>.85</w:t>
            </w:r>
          </w:p>
        </w:tc>
        <w:tc>
          <w:tcPr>
            <w:tcW w:w="2443" w:type="dxa"/>
          </w:tcPr>
          <w:p w14:paraId="4A322552">
            <w:pPr>
              <w:spacing w:line="400" w:lineRule="exact"/>
              <w:jc w:val="center"/>
              <w:rPr>
                <w:sz w:val="21"/>
                <w:szCs w:val="21"/>
              </w:rPr>
            </w:pPr>
            <w:r>
              <w:rPr>
                <w:rFonts w:hint="eastAsia"/>
                <w:sz w:val="21"/>
                <w:szCs w:val="21"/>
              </w:rPr>
              <w:t>0</w:t>
            </w:r>
            <w:r>
              <w:rPr>
                <w:sz w:val="21"/>
                <w:szCs w:val="21"/>
              </w:rPr>
              <w:t>.65</w:t>
            </w:r>
          </w:p>
        </w:tc>
      </w:tr>
    </w:tbl>
    <w:p w14:paraId="29E05D36">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b w:val="0"/>
          <w:bCs w:val="0"/>
          <w:kern w:val="0"/>
          <w:sz w:val="24"/>
          <w:szCs w:val="24"/>
          <w:lang w:val="en-US" w:eastAsia="zh-CN" w:bidi="ar-SA"/>
        </w:rPr>
      </w:pPr>
      <w:r>
        <w:rPr>
          <w:rFonts w:hint="eastAsia" w:ascii="Times New Roman" w:hAnsi="Times New Roman" w:eastAsia="宋体" w:cs="Times New Roman"/>
          <w:b w:val="0"/>
          <w:bCs w:val="0"/>
          <w:kern w:val="0"/>
          <w:sz w:val="24"/>
          <w:szCs w:val="24"/>
          <w:lang w:val="en-US" w:eastAsia="zh-CN" w:bidi="ar-SA"/>
        </w:rPr>
        <w:t>拼接缝设置均匀匹配剪力键的作用主要包括：1.承受与传递接缝截面的剪力；2.上部结构节段拼装时的对接定位；3.增加接缝的粘结界面。</w:t>
      </w:r>
    </w:p>
    <w:p w14:paraId="612FA41C">
      <w:pPr>
        <w:pStyle w:val="17"/>
        <w:spacing w:before="312" w:beforeLines="100" w:after="312" w:afterLines="100" w:line="360" w:lineRule="auto"/>
        <w:jc w:val="center"/>
        <w:outlineLvl w:val="0"/>
        <w:rPr>
          <w:rFonts w:hint="default" w:ascii="Times New Roman" w:hAnsi="Times New Roman" w:cs="Times New Roman"/>
          <w:b/>
          <w:sz w:val="36"/>
          <w:szCs w:val="36"/>
          <w:lang w:val="zh-CN"/>
        </w:rPr>
      </w:pPr>
      <w:bookmarkStart w:id="204" w:name="_Toc11246"/>
      <w:bookmarkStart w:id="205" w:name="_Toc25007"/>
      <w:r>
        <w:rPr>
          <w:rFonts w:hint="default" w:ascii="Times New Roman" w:hAnsi="Times New Roman" w:cs="Times New Roman"/>
          <w:b/>
          <w:sz w:val="36"/>
          <w:szCs w:val="36"/>
        </w:rPr>
        <w:t xml:space="preserve">7 </w:t>
      </w:r>
      <w:r>
        <w:rPr>
          <w:rFonts w:hint="default" w:ascii="Times New Roman" w:hAnsi="Times New Roman" w:cs="Times New Roman"/>
          <w:b/>
          <w:sz w:val="36"/>
          <w:szCs w:val="36"/>
          <w:lang w:val="zh-CN"/>
        </w:rPr>
        <w:t>施工</w:t>
      </w:r>
      <w:bookmarkEnd w:id="204"/>
      <w:bookmarkEnd w:id="205"/>
    </w:p>
    <w:p w14:paraId="79C09FD9">
      <w:pPr>
        <w:spacing w:before="156" w:beforeLines="50" w:after="156" w:afterLines="50" w:line="360" w:lineRule="auto"/>
        <w:jc w:val="center"/>
        <w:outlineLvl w:val="1"/>
        <w:rPr>
          <w:rFonts w:hint="eastAsia" w:ascii="Times New Roman" w:hAnsi="Times New Roman" w:cs="Times New Roman"/>
          <w:b/>
          <w:sz w:val="36"/>
          <w:szCs w:val="36"/>
          <w:lang w:val="en-US" w:eastAsia="zh-CN"/>
        </w:rPr>
      </w:pPr>
      <w:bookmarkStart w:id="206" w:name="_Toc29763"/>
      <w:bookmarkStart w:id="207" w:name="_Toc25530"/>
      <w:r>
        <w:rPr>
          <w:rFonts w:hint="eastAsia" w:ascii="Times New Roman" w:hAnsi="Times New Roman" w:cs="Times New Roman"/>
          <w:b/>
          <w:kern w:val="0"/>
          <w:sz w:val="28"/>
          <w:szCs w:val="28"/>
        </w:rPr>
        <w:t>7.4 现场施工</w:t>
      </w:r>
      <w:bookmarkEnd w:id="206"/>
      <w:bookmarkEnd w:id="207"/>
    </w:p>
    <w:p w14:paraId="1AD0C5D7">
      <w:pPr>
        <w:keepNext w:val="0"/>
        <w:keepLines w:val="0"/>
        <w:pageBreakBefore w:val="0"/>
        <w:widowControl w:val="0"/>
        <w:kinsoku/>
        <w:wordWrap/>
        <w:overflowPunct/>
        <w:topLinePunct w:val="0"/>
        <w:autoSpaceDE/>
        <w:autoSpaceDN/>
        <w:bidi w:val="0"/>
        <w:adjustRightInd w:val="0"/>
        <w:snapToGrid/>
        <w:spacing w:line="360" w:lineRule="auto"/>
        <w:ind w:firstLine="482" w:firstLineChars="200"/>
        <w:textAlignment w:val="auto"/>
        <w:rPr>
          <w:rFonts w:hint="eastAsia" w:ascii="Times New Roman" w:hAnsi="Times New Roman" w:eastAsia="宋体" w:cs="Times New Roman"/>
          <w:b w:val="0"/>
          <w:bCs w:val="0"/>
          <w:kern w:val="0"/>
          <w:sz w:val="24"/>
          <w:szCs w:val="24"/>
          <w:lang w:val="en-US" w:eastAsia="zh-CN" w:bidi="ar-SA"/>
        </w:rPr>
      </w:pPr>
      <w:r>
        <w:rPr>
          <w:rFonts w:hint="eastAsia" w:ascii="Times New Roman" w:hAnsi="Times New Roman" w:eastAsia="宋体" w:cs="Times New Roman"/>
          <w:b/>
          <w:bCs/>
          <w:kern w:val="0"/>
          <w:sz w:val="24"/>
          <w:szCs w:val="24"/>
          <w:lang w:val="en-US" w:eastAsia="zh-CN" w:bidi="ar-SA"/>
        </w:rPr>
        <w:t>7.4.6</w:t>
      </w:r>
      <w:r>
        <w:rPr>
          <w:rFonts w:hint="eastAsia" w:ascii="Times New Roman" w:hAnsi="Times New Roman" w:eastAsia="宋体" w:cs="Times New Roman"/>
          <w:b w:val="0"/>
          <w:bCs w:val="0"/>
          <w:kern w:val="0"/>
          <w:sz w:val="24"/>
          <w:szCs w:val="24"/>
          <w:lang w:val="en-US" w:eastAsia="zh-CN" w:bidi="ar-SA"/>
        </w:rPr>
        <w:t xml:space="preserve"> 参照《混凝土结构工程施工规范》</w:t>
      </w:r>
      <w:r>
        <w:rPr>
          <w:rFonts w:hint="eastAsia" w:ascii="Times New Roman" w:hAnsi="Times New Roman" w:cs="Times New Roman"/>
          <w:b w:val="0"/>
          <w:bCs w:val="0"/>
          <w:kern w:val="0"/>
          <w:sz w:val="24"/>
          <w:szCs w:val="24"/>
          <w:lang w:val="en-US" w:eastAsia="zh-CN" w:bidi="ar-SA"/>
        </w:rPr>
        <w:t>（</w:t>
      </w:r>
      <w:r>
        <w:rPr>
          <w:rFonts w:hint="eastAsia" w:ascii="Times New Roman" w:hAnsi="Times New Roman" w:eastAsia="宋体" w:cs="Times New Roman"/>
          <w:b w:val="0"/>
          <w:bCs w:val="0"/>
          <w:kern w:val="0"/>
          <w:sz w:val="24"/>
          <w:szCs w:val="24"/>
          <w:lang w:val="en-US" w:eastAsia="zh-CN" w:bidi="ar-SA"/>
        </w:rPr>
        <w:t>GB50666</w:t>
      </w:r>
      <w:r>
        <w:rPr>
          <w:rFonts w:hint="eastAsia" w:ascii="Times New Roman" w:hAnsi="Times New Roman" w:cs="Times New Roman"/>
          <w:b w:val="0"/>
          <w:bCs w:val="0"/>
          <w:kern w:val="0"/>
          <w:sz w:val="24"/>
          <w:szCs w:val="24"/>
          <w:lang w:val="en-US" w:eastAsia="zh-CN" w:bidi="ar-SA"/>
        </w:rPr>
        <w:t>）</w:t>
      </w:r>
      <w:r>
        <w:rPr>
          <w:rFonts w:hint="eastAsia" w:ascii="Times New Roman" w:hAnsi="Times New Roman" w:eastAsia="宋体" w:cs="Times New Roman"/>
          <w:b w:val="0"/>
          <w:bCs w:val="0"/>
          <w:kern w:val="0"/>
          <w:sz w:val="24"/>
          <w:szCs w:val="24"/>
          <w:lang w:val="en-US" w:eastAsia="zh-CN" w:bidi="ar-SA"/>
        </w:rPr>
        <w:t xml:space="preserve"> 8.5.2条第4款、《现浇混凝土养护技术规范》、《湿接缝施工标准工艺》、《湿接缝验收规范》和《混凝土结构工程施工规范》，规定养护时间不应少于14天。</w:t>
      </w:r>
    </w:p>
    <w:p w14:paraId="2AB0777B">
      <w:pPr>
        <w:pStyle w:val="2"/>
        <w:rPr>
          <w:rFonts w:ascii="Times New Roman" w:hAnsi="Times New Roman" w:eastAsia="仿宋_GB2312" w:cs="Times New Roman"/>
          <w:kern w:val="2"/>
          <w:sz w:val="28"/>
          <w:szCs w:val="24"/>
          <w:lang w:val="en-US" w:eastAsia="zh-CN" w:bidi="ar-SA"/>
        </w:rPr>
      </w:pPr>
    </w:p>
    <w:sectPr>
      <w:footerReference r:id="rId11" w:type="default"/>
      <w:footerReference r:id="rId12" w:type="even"/>
      <w:pgSz w:w="11906" w:h="16838"/>
      <w:pgMar w:top="1440" w:right="1418" w:bottom="1440" w:left="1418" w:header="1418" w:footer="1134" w:gutter="0"/>
      <w:pgNumType w:fmt="decimal" w:start="1"/>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MS Mincho">
    <w:altName w:val="Yu Gothic UI"/>
    <w:panose1 w:val="02020609040205080304"/>
    <w:charset w:val="80"/>
    <w:family w:val="modern"/>
    <w:pitch w:val="default"/>
    <w:sig w:usb0="00000000" w:usb1="00000000" w:usb2="00000012" w:usb3="00000000" w:csb0="4002009F" w:csb1="DFD70000"/>
  </w:font>
  <w:font w:name="Helvetica">
    <w:altName w:val="Arial"/>
    <w:panose1 w:val="020B0604020202020204"/>
    <w:charset w:val="00"/>
    <w:family w:val="swiss"/>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4DACA">
    <w:pPr>
      <w:pStyle w:val="123"/>
      <w:jc w:val="both"/>
    </w:pPr>
    <w:r>
      <w:rPr>
        <w:sz w:val="18"/>
      </w:rPr>
      <mc:AlternateContent>
        <mc:Choice Requires="wps">
          <w:drawing>
            <wp:anchor distT="0" distB="0" distL="114300" distR="114300" simplePos="0" relativeHeight="251675648"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60396E">
                          <w:pPr>
                            <w:pStyle w:val="23"/>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1960396E">
                    <w:pPr>
                      <w:pStyle w:val="23"/>
                    </w:pPr>
                    <w:r>
                      <w:fldChar w:fldCharType="begin"/>
                    </w:r>
                    <w:r>
                      <w:instrText xml:space="preserve"> PAGE  \* MERGEFORMAT </w:instrText>
                    </w:r>
                    <w:r>
                      <w:fldChar w:fldCharType="separate"/>
                    </w:r>
                    <w:r>
                      <w:t>I</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14935" cy="153035"/>
              <wp:effectExtent l="635" t="3810" r="0" b="0"/>
              <wp:wrapNone/>
              <wp:docPr id="20" name="文本框 1030"/>
              <wp:cNvGraphicFramePr/>
              <a:graphic xmlns:a="http://schemas.openxmlformats.org/drawingml/2006/main">
                <a:graphicData uri="http://schemas.microsoft.com/office/word/2010/wordprocessingShape">
                  <wps:wsp>
                    <wps:cNvSpPr txBox="1">
                      <a:spLocks noChangeArrowheads="1"/>
                    </wps:cNvSpPr>
                    <wps:spPr bwMode="auto">
                      <a:xfrm>
                        <a:off x="0" y="0"/>
                        <a:ext cx="114935" cy="153035"/>
                      </a:xfrm>
                      <a:prstGeom prst="rect">
                        <a:avLst/>
                      </a:prstGeom>
                      <a:noFill/>
                      <a:ln>
                        <a:noFill/>
                      </a:ln>
                    </wps:spPr>
                    <wps:txbx>
                      <w:txbxContent>
                        <w:p w14:paraId="681F6007"/>
                      </w:txbxContent>
                    </wps:txbx>
                    <wps:bodyPr rot="0" vert="horz" wrap="none" lIns="0" tIns="0" rIns="0" bIns="0" anchor="t" anchorCtr="0" upright="1">
                      <a:spAutoFit/>
                    </wps:bodyPr>
                  </wps:wsp>
                </a:graphicData>
              </a:graphic>
            </wp:anchor>
          </w:drawing>
        </mc:Choice>
        <mc:Fallback>
          <w:pict>
            <v:shape id="文本框 1030" o:spid="_x0000_s1026" o:spt="202" type="#_x0000_t202" style="position:absolute;left:0pt;margin-top:0pt;height:12.05pt;width:9.05pt;mso-position-horizontal:right;mso-position-horizontal-relative:margin;mso-wrap-style:none;z-index:251660288;mso-width-relative:page;mso-height-relative:page;" filled="f" stroked="f" coordsize="21600,21600" o:gfxdata="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BU+a0AAAAAMBAAAPAAAAAAAAAAEAIAAAACIAAABkcnMv&#10;ZG93bnJldi54bWxQSwECFAAUAAAACACHTuJAcVhwFwsCAAAGBAAADgAAAAAAAAABACAAAAAfAQAA&#10;ZHJzL2Uyb0RvYy54bWxQSwUGAAAAAAYABgBZAQAAnAUAAAAA&#10;">
              <v:fill on="f" focussize="0,0"/>
              <v:stroke on="f"/>
              <v:imagedata o:title=""/>
              <o:lock v:ext="edit" aspectratio="f"/>
              <v:textbox inset="0mm,0mm,0mm,0mm" style="mso-fit-shape-to-text:t;">
                <w:txbxContent>
                  <w:p w14:paraId="681F6007"/>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14935" cy="153035"/>
              <wp:effectExtent l="635" t="3810" r="0" b="0"/>
              <wp:wrapNone/>
              <wp:docPr id="19" name="文本框 1026"/>
              <wp:cNvGraphicFramePr/>
              <a:graphic xmlns:a="http://schemas.openxmlformats.org/drawingml/2006/main">
                <a:graphicData uri="http://schemas.microsoft.com/office/word/2010/wordprocessingShape">
                  <wps:wsp>
                    <wps:cNvSpPr txBox="1">
                      <a:spLocks noChangeArrowheads="1"/>
                    </wps:cNvSpPr>
                    <wps:spPr bwMode="auto">
                      <a:xfrm>
                        <a:off x="0" y="0"/>
                        <a:ext cx="114935" cy="153035"/>
                      </a:xfrm>
                      <a:prstGeom prst="rect">
                        <a:avLst/>
                      </a:prstGeom>
                      <a:noFill/>
                      <a:ln>
                        <a:noFill/>
                      </a:ln>
                    </wps:spPr>
                    <wps:txbx>
                      <w:txbxContent>
                        <w:p w14:paraId="535BFCFA"/>
                      </w:txbxContent>
                    </wps:txbx>
                    <wps:bodyPr rot="0" vert="horz" wrap="none" lIns="0" tIns="0" rIns="0" bIns="0" anchor="t" anchorCtr="0" upright="1">
                      <a:spAutoFit/>
                    </wps:bodyPr>
                  </wps:wsp>
                </a:graphicData>
              </a:graphic>
            </wp:anchor>
          </w:drawing>
        </mc:Choice>
        <mc:Fallback>
          <w:pict>
            <v:shape id="文本框 1026" o:spid="_x0000_s1026" o:spt="202" type="#_x0000_t202" style="position:absolute;left:0pt;margin-top:0pt;height:12.05pt;width:9.05pt;mso-position-horizontal:right;mso-position-horizontal-relative:margin;mso-wrap-style:none;z-index:251659264;mso-width-relative:page;mso-height-relative:page;" filled="f" stroked="f" coordsize="21600,21600" o:gfxdata="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QVPmtAAAAADAQAADwAAAAAAAAABACAAAAAiAAAAZHJz&#10;L2Rvd25yZXYueG1sUEsBAhQAFAAAAAgAh07iQIH/qsAMAgAABgQAAA4AAAAAAAAAAQAgAAAAHwEA&#10;AGRycy9lMm9Eb2MueG1sUEsFBgAAAAAGAAYAWQEAAJ0FAAAAAA==&#10;">
              <v:fill on="f" focussize="0,0"/>
              <v:stroke on="f"/>
              <v:imagedata o:title=""/>
              <o:lock v:ext="edit" aspectratio="f"/>
              <v:textbox inset="0mm,0mm,0mm,0mm" style="mso-fit-shape-to-text:t;">
                <w:txbxContent>
                  <w:p w14:paraId="535BFCFA"/>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91C095">
    <w:pPr>
      <w:pStyle w:val="23"/>
    </w:pPr>
    <w:r>
      <w:rPr>
        <w:sz w:val="18"/>
      </w:rPr>
      <mc:AlternateContent>
        <mc:Choice Requires="wps">
          <w:drawing>
            <wp:anchor distT="0" distB="0" distL="114300" distR="114300" simplePos="0" relativeHeight="251676672" behindDoc="0" locked="0" layoutInCell="1" allowOverlap="1">
              <wp:simplePos x="0" y="0"/>
              <wp:positionH relativeFrom="margin">
                <wp:align>outside</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F2A47F">
                          <w:pPr>
                            <w:pStyle w:val="23"/>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5EF2A47F">
                    <w:pPr>
                      <w:pStyle w:val="23"/>
                    </w:pPr>
                    <w:r>
                      <w:fldChar w:fldCharType="begin"/>
                    </w:r>
                    <w:r>
                      <w:instrText xml:space="preserve"> PAGE  \* MERGEFORMAT </w:instrText>
                    </w:r>
                    <w:r>
                      <w:fldChar w:fldCharType="separate"/>
                    </w:r>
                    <w:r>
                      <w:t>I</w:t>
                    </w:r>
                    <w:r>
                      <w:fldChar w:fldCharType="end"/>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margin">
                <wp:align>right</wp:align>
              </wp:positionH>
              <wp:positionV relativeFrom="paragraph">
                <wp:posOffset>0</wp:posOffset>
              </wp:positionV>
              <wp:extent cx="114935" cy="153035"/>
              <wp:effectExtent l="0" t="0" r="0" b="0"/>
              <wp:wrapNone/>
              <wp:docPr id="22" name="文本框 1032"/>
              <wp:cNvGraphicFramePr/>
              <a:graphic xmlns:a="http://schemas.openxmlformats.org/drawingml/2006/main">
                <a:graphicData uri="http://schemas.microsoft.com/office/word/2010/wordprocessingShape">
                  <wps:wsp>
                    <wps:cNvSpPr txBox="1">
                      <a:spLocks noChangeArrowheads="1"/>
                    </wps:cNvSpPr>
                    <wps:spPr bwMode="auto">
                      <a:xfrm>
                        <a:off x="0" y="0"/>
                        <a:ext cx="114935" cy="153035"/>
                      </a:xfrm>
                      <a:prstGeom prst="rect">
                        <a:avLst/>
                      </a:prstGeom>
                      <a:noFill/>
                      <a:ln>
                        <a:noFill/>
                      </a:ln>
                    </wps:spPr>
                    <wps:txbx>
                      <w:txbxContent>
                        <w:p w14:paraId="48665D77"/>
                      </w:txbxContent>
                    </wps:txbx>
                    <wps:bodyPr rot="0" vert="horz" wrap="none" lIns="0" tIns="0" rIns="0" bIns="0" anchor="t" anchorCtr="0" upright="1">
                      <a:spAutoFit/>
                    </wps:bodyPr>
                  </wps:wsp>
                </a:graphicData>
              </a:graphic>
            </wp:anchor>
          </w:drawing>
        </mc:Choice>
        <mc:Fallback>
          <w:pict>
            <v:shape id="文本框 1032" o:spid="_x0000_s1026" o:spt="202" type="#_x0000_t202" style="position:absolute;left:0pt;margin-top:0pt;height:12.05pt;width:9.05pt;mso-position-horizontal:right;mso-position-horizontal-relative:margin;mso-wrap-style:none;z-index:251662336;mso-width-relative:page;mso-height-relative:page;" filled="f" stroked="f" coordsize="21600,21600" o:gfxdata="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QVPmtAAAAADAQAADwAAAAAAAAABACAAAAAiAAAAZHJz&#10;L2Rvd25yZXYueG1sUEsBAhQAFAAAAAgAh07iQCXoAEIMAgAABgQAAA4AAAAAAAAAAQAgAAAAHwEA&#10;AGRycy9lMm9Eb2MueG1sUEsFBgAAAAAGAAYAWQEAAJ0FAAAAAA==&#10;">
              <v:fill on="f" focussize="0,0"/>
              <v:stroke on="f"/>
              <v:imagedata o:title=""/>
              <o:lock v:ext="edit" aspectratio="f"/>
              <v:textbox inset="0mm,0mm,0mm,0mm" style="mso-fit-shape-to-text:t;">
                <w:txbxContent>
                  <w:p w14:paraId="48665D77"/>
                </w:txbxContent>
              </v:textbox>
            </v:shape>
          </w:pict>
        </mc:Fallback>
      </mc:AlternateContent>
    </w:r>
    <w:r>
      <mc:AlternateContent>
        <mc:Choice Requires="wps">
          <w:drawing>
            <wp:anchor distT="0" distB="0" distL="114300" distR="114300" simplePos="0" relativeHeight="251661312" behindDoc="0" locked="0" layoutInCell="1" allowOverlap="1">
              <wp:simplePos x="0" y="0"/>
              <wp:positionH relativeFrom="margin">
                <wp:align>left</wp:align>
              </wp:positionH>
              <wp:positionV relativeFrom="paragraph">
                <wp:posOffset>0</wp:posOffset>
              </wp:positionV>
              <wp:extent cx="248285" cy="131445"/>
              <wp:effectExtent l="0" t="0" r="0" b="1905"/>
              <wp:wrapNone/>
              <wp:docPr id="21" name="文本框 1033"/>
              <wp:cNvGraphicFramePr/>
              <a:graphic xmlns:a="http://schemas.openxmlformats.org/drawingml/2006/main">
                <a:graphicData uri="http://schemas.microsoft.com/office/word/2010/wordprocessingShape">
                  <wps:wsp>
                    <wps:cNvSpPr txBox="1">
                      <a:spLocks noChangeArrowheads="1"/>
                    </wps:cNvSpPr>
                    <wps:spPr bwMode="auto">
                      <a:xfrm>
                        <a:off x="0" y="0"/>
                        <a:ext cx="248285" cy="131445"/>
                      </a:xfrm>
                      <a:prstGeom prst="rect">
                        <a:avLst/>
                      </a:prstGeom>
                      <a:noFill/>
                      <a:ln>
                        <a:noFill/>
                      </a:ln>
                    </wps:spPr>
                    <wps:txbx>
                      <w:txbxContent>
                        <w:p w14:paraId="573FD499">
                          <w:pPr>
                            <w:pStyle w:val="23"/>
                          </w:pPr>
                        </w:p>
                      </w:txbxContent>
                    </wps:txbx>
                    <wps:bodyPr rot="0" vert="horz" wrap="none" lIns="0" tIns="0" rIns="0" bIns="0" anchor="t" anchorCtr="0" upright="1">
                      <a:spAutoFit/>
                    </wps:bodyPr>
                  </wps:wsp>
                </a:graphicData>
              </a:graphic>
            </wp:anchor>
          </w:drawing>
        </mc:Choice>
        <mc:Fallback>
          <w:pict>
            <v:shape id="文本框 1033" o:spid="_x0000_s1026" o:spt="202" type="#_x0000_t202" style="position:absolute;left:0pt;margin-top:0pt;height:10.35pt;width:19.55pt;mso-position-horizontal:left;mso-position-horizontal-relative:margin;mso-wrap-style:none;z-index:251661312;mso-width-relative:page;mso-height-relative:page;" filled="f" stroked="f" coordsize="21600,21600" o:gfxdata="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qrEjtEAAAADAQAADwAAAAAAAAABACAAAAAiAAAA&#10;ZHJzL2Rvd25yZXYueG1sUEsBAhQAFAAAAAgAh07iQH0BLd4OAgAABgQAAA4AAAAAAAAAAQAgAAAA&#10;IAEAAGRycy9lMm9Eb2MueG1sUEsFBgAAAAAGAAYAWQEAAKAFAAAAAA==&#10;">
              <v:fill on="f" focussize="0,0"/>
              <v:stroke on="f"/>
              <v:imagedata o:title=""/>
              <o:lock v:ext="edit" aspectratio="f"/>
              <v:textbox inset="0mm,0mm,0mm,0mm" style="mso-fit-shape-to-text:t;">
                <w:txbxContent>
                  <w:p w14:paraId="573FD499">
                    <w:pPr>
                      <w:pStyle w:val="23"/>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21DBF0">
    <w:pPr>
      <w:pStyle w:val="123"/>
      <w:jc w:val="both"/>
    </w:pPr>
    <w:r>
      <mc:AlternateContent>
        <mc:Choice Requires="wps">
          <w:drawing>
            <wp:anchor distT="0" distB="0" distL="114300" distR="114300" simplePos="0" relativeHeight="251667456" behindDoc="0" locked="0" layoutInCell="1" allowOverlap="1">
              <wp:simplePos x="0" y="0"/>
              <wp:positionH relativeFrom="margin">
                <wp:align>outside</wp:align>
              </wp:positionH>
              <wp:positionV relativeFrom="paragraph">
                <wp:posOffset>0</wp:posOffset>
              </wp:positionV>
              <wp:extent cx="247650" cy="131445"/>
              <wp:effectExtent l="1270" t="3810" r="0" b="0"/>
              <wp:wrapNone/>
              <wp:docPr id="15" name="文本框 1103"/>
              <wp:cNvGraphicFramePr/>
              <a:graphic xmlns:a="http://schemas.openxmlformats.org/drawingml/2006/main">
                <a:graphicData uri="http://schemas.microsoft.com/office/word/2010/wordprocessingShape">
                  <wps:wsp>
                    <wps:cNvSpPr txBox="1">
                      <a:spLocks noChangeArrowheads="1"/>
                    </wps:cNvSpPr>
                    <wps:spPr bwMode="auto">
                      <a:xfrm>
                        <a:off x="0" y="0"/>
                        <a:ext cx="247650" cy="131445"/>
                      </a:xfrm>
                      <a:prstGeom prst="rect">
                        <a:avLst/>
                      </a:prstGeom>
                      <a:noFill/>
                      <a:ln>
                        <a:noFill/>
                      </a:ln>
                    </wps:spPr>
                    <wps:txbx>
                      <w:txbxContent>
                        <w:p w14:paraId="0A645ED6">
                          <w:pPr>
                            <w:pStyle w:val="23"/>
                          </w:pPr>
                          <w:r>
                            <w:rPr>
                              <w:rFonts w:hint="eastAsia"/>
                            </w:rPr>
                            <w:fldChar w:fldCharType="begin"/>
                          </w:r>
                          <w:r>
                            <w:rPr>
                              <w:rFonts w:hint="eastAsia"/>
                            </w:rPr>
                            <w:instrText xml:space="preserve"> PAGE  \* MERGEFORMAT </w:instrText>
                          </w:r>
                          <w:r>
                            <w:rPr>
                              <w:rFonts w:hint="eastAsia"/>
                            </w:rPr>
                            <w:fldChar w:fldCharType="separate"/>
                          </w:r>
                          <w:r>
                            <w:t>III</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文本框 1103" o:spid="_x0000_s1026" o:spt="202" type="#_x0000_t202" style="position:absolute;left:0pt;margin-top:0pt;height:10.35pt;width:19.5pt;mso-position-horizontal:outside;mso-position-horizontal-relative:margin;mso-wrap-style:none;z-index:251667456;mso-width-relative:page;mso-height-relative:page;" filled="f" stroked="f" coordsize="21600,21600" o:gfxdata="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&#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exSODQAAAAAwEAAA8AAAAAAAAAAQAgAAAAIgAAAGRy&#10;cy9kb3ducmV2LnhtbFBLAQIUABQAAAAIAIdO4kBhLfToDQIAAAYEAAAOAAAAAAAAAAEAIAAAAB8B&#10;AABkcnMvZTJvRG9jLnhtbFBLBQYAAAAABgAGAFkBAACeBQAAAAA=&#10;">
              <v:fill on="f" focussize="0,0"/>
              <v:stroke on="f"/>
              <v:imagedata o:title=""/>
              <o:lock v:ext="edit" aspectratio="f"/>
              <v:textbox inset="0mm,0mm,0mm,0mm" style="mso-fit-shape-to-text:t;">
                <w:txbxContent>
                  <w:p w14:paraId="0A645ED6">
                    <w:pPr>
                      <w:pStyle w:val="23"/>
                    </w:pPr>
                    <w:r>
                      <w:rPr>
                        <w:rFonts w:hint="eastAsia"/>
                      </w:rPr>
                      <w:fldChar w:fldCharType="begin"/>
                    </w:r>
                    <w:r>
                      <w:rPr>
                        <w:rFonts w:hint="eastAsia"/>
                      </w:rPr>
                      <w:instrText xml:space="preserve"> PAGE  \* MERGEFORMAT </w:instrText>
                    </w:r>
                    <w:r>
                      <w:rPr>
                        <w:rFonts w:hint="eastAsia"/>
                      </w:rPr>
                      <w:fldChar w:fldCharType="separate"/>
                    </w:r>
                    <w:r>
                      <w:t>III</w:t>
                    </w:r>
                    <w:r>
                      <w:rPr>
                        <w:rFonts w:hint="eastAsia"/>
                      </w:rPr>
                      <w:fldChar w:fldCharType="end"/>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margin">
                <wp:align>right</wp:align>
              </wp:positionH>
              <wp:positionV relativeFrom="paragraph">
                <wp:posOffset>0</wp:posOffset>
              </wp:positionV>
              <wp:extent cx="114935" cy="153035"/>
              <wp:effectExtent l="635" t="3810" r="0" b="0"/>
              <wp:wrapNone/>
              <wp:docPr id="14" name="文本框 1052"/>
              <wp:cNvGraphicFramePr/>
              <a:graphic xmlns:a="http://schemas.openxmlformats.org/drawingml/2006/main">
                <a:graphicData uri="http://schemas.microsoft.com/office/word/2010/wordprocessingShape">
                  <wps:wsp>
                    <wps:cNvSpPr txBox="1">
                      <a:spLocks noChangeArrowheads="1"/>
                    </wps:cNvSpPr>
                    <wps:spPr bwMode="auto">
                      <a:xfrm>
                        <a:off x="0" y="0"/>
                        <a:ext cx="114935" cy="153035"/>
                      </a:xfrm>
                      <a:prstGeom prst="rect">
                        <a:avLst/>
                      </a:prstGeom>
                      <a:noFill/>
                      <a:ln>
                        <a:noFill/>
                      </a:ln>
                    </wps:spPr>
                    <wps:txbx>
                      <w:txbxContent>
                        <w:p w14:paraId="1A748196"/>
                      </w:txbxContent>
                    </wps:txbx>
                    <wps:bodyPr rot="0" vert="horz" wrap="none" lIns="0" tIns="0" rIns="0" bIns="0" anchor="t" anchorCtr="0" upright="1">
                      <a:spAutoFit/>
                    </wps:bodyPr>
                  </wps:wsp>
                </a:graphicData>
              </a:graphic>
            </wp:anchor>
          </w:drawing>
        </mc:Choice>
        <mc:Fallback>
          <w:pict>
            <v:shape id="文本框 1052" o:spid="_x0000_s1026" o:spt="202" type="#_x0000_t202" style="position:absolute;left:0pt;margin-top:0pt;height:12.05pt;width:9.05pt;mso-position-horizontal:right;mso-position-horizontal-relative:margin;mso-wrap-style:none;z-index:251664384;mso-width-relative:page;mso-height-relative:page;" filled="f" stroked="f" coordsize="21600,21600" o:gfxdata="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QVPmtAAAAADAQAADwAAAAAAAAABACAAAAAiAAAAZHJz&#10;L2Rvd25yZXYueG1sUEsBAhQAFAAAAAgAh07iQKR9K+EMAgAABgQAAA4AAAAAAAAAAQAgAAAAHwEA&#10;AGRycy9lMm9Eb2MueG1sUEsFBgAAAAAGAAYAWQEAAJ0FAAAAAA==&#10;">
              <v:fill on="f" focussize="0,0"/>
              <v:stroke on="f"/>
              <v:imagedata o:title=""/>
              <o:lock v:ext="edit" aspectratio="f"/>
              <v:textbox inset="0mm,0mm,0mm,0mm" style="mso-fit-shape-to-text:t;">
                <w:txbxContent>
                  <w:p w14:paraId="1A748196"/>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margin">
                <wp:align>right</wp:align>
              </wp:positionH>
              <wp:positionV relativeFrom="paragraph">
                <wp:posOffset>0</wp:posOffset>
              </wp:positionV>
              <wp:extent cx="114935" cy="153035"/>
              <wp:effectExtent l="635" t="3810" r="0" b="0"/>
              <wp:wrapNone/>
              <wp:docPr id="13" name="文本框 1053"/>
              <wp:cNvGraphicFramePr/>
              <a:graphic xmlns:a="http://schemas.openxmlformats.org/drawingml/2006/main">
                <a:graphicData uri="http://schemas.microsoft.com/office/word/2010/wordprocessingShape">
                  <wps:wsp>
                    <wps:cNvSpPr txBox="1">
                      <a:spLocks noChangeArrowheads="1"/>
                    </wps:cNvSpPr>
                    <wps:spPr bwMode="auto">
                      <a:xfrm>
                        <a:off x="0" y="0"/>
                        <a:ext cx="114935" cy="153035"/>
                      </a:xfrm>
                      <a:prstGeom prst="rect">
                        <a:avLst/>
                      </a:prstGeom>
                      <a:noFill/>
                      <a:ln>
                        <a:noFill/>
                      </a:ln>
                    </wps:spPr>
                    <wps:txbx>
                      <w:txbxContent>
                        <w:p w14:paraId="6C88B6AC"/>
                      </w:txbxContent>
                    </wps:txbx>
                    <wps:bodyPr rot="0" vert="horz" wrap="none" lIns="0" tIns="0" rIns="0" bIns="0" anchor="t" anchorCtr="0" upright="1">
                      <a:spAutoFit/>
                    </wps:bodyPr>
                  </wps:wsp>
                </a:graphicData>
              </a:graphic>
            </wp:anchor>
          </w:drawing>
        </mc:Choice>
        <mc:Fallback>
          <w:pict>
            <v:shape id="文本框 1053" o:spid="_x0000_s1026" o:spt="202" type="#_x0000_t202" style="position:absolute;left:0pt;margin-top:0pt;height:12.05pt;width:9.05pt;mso-position-horizontal:right;mso-position-horizontal-relative:margin;mso-wrap-style:none;z-index:251663360;mso-width-relative:page;mso-height-relative:page;" filled="f" stroked="f" coordsize="21600,21600" o:gfxdata="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BU+a0AAAAAMBAAAPAAAAAAAAAAEAIAAAACIAAABkcnMv&#10;ZG93bnJldi54bWxQSwECFAAUAAAACACHTuJABGymOgsCAAAGBAAADgAAAAAAAAABACAAAAAfAQAA&#10;ZHJzL2Uyb0RvYy54bWxQSwUGAAAAAAYABgBZAQAAnAUAAAAA&#10;">
              <v:fill on="f" focussize="0,0"/>
              <v:stroke on="f"/>
              <v:imagedata o:title=""/>
              <o:lock v:ext="edit" aspectratio="f"/>
              <v:textbox inset="0mm,0mm,0mm,0mm" style="mso-fit-shape-to-text:t;">
                <w:txbxContent>
                  <w:p w14:paraId="6C88B6AC"/>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72FB3">
    <w:pPr>
      <w:pStyle w:val="23"/>
    </w:pPr>
  </w:p>
  <w:p w14:paraId="3DD93361">
    <w:pPr>
      <w:pStyle w:val="23"/>
    </w:pPr>
    <w:r>
      <mc:AlternateContent>
        <mc:Choice Requires="wps">
          <w:drawing>
            <wp:anchor distT="0" distB="0" distL="114300" distR="114300" simplePos="0" relativeHeight="251668480" behindDoc="0" locked="0" layoutInCell="1" allowOverlap="1">
              <wp:simplePos x="0" y="0"/>
              <wp:positionH relativeFrom="margin">
                <wp:align>outside</wp:align>
              </wp:positionH>
              <wp:positionV relativeFrom="paragraph">
                <wp:posOffset>0</wp:posOffset>
              </wp:positionV>
              <wp:extent cx="209550" cy="131445"/>
              <wp:effectExtent l="0" t="1270" r="4445" b="635"/>
              <wp:wrapNone/>
              <wp:docPr id="18" name="文本框 1104"/>
              <wp:cNvGraphicFramePr/>
              <a:graphic xmlns:a="http://schemas.openxmlformats.org/drawingml/2006/main">
                <a:graphicData uri="http://schemas.microsoft.com/office/word/2010/wordprocessingShape">
                  <wps:wsp>
                    <wps:cNvSpPr txBox="1">
                      <a:spLocks noChangeArrowheads="1"/>
                    </wps:cNvSpPr>
                    <wps:spPr bwMode="auto">
                      <a:xfrm>
                        <a:off x="0" y="0"/>
                        <a:ext cx="209550" cy="131445"/>
                      </a:xfrm>
                      <a:prstGeom prst="rect">
                        <a:avLst/>
                      </a:prstGeom>
                      <a:noFill/>
                      <a:ln>
                        <a:noFill/>
                      </a:ln>
                    </wps:spPr>
                    <wps:txbx>
                      <w:txbxContent>
                        <w:p w14:paraId="70F502BF">
                          <w:pPr>
                            <w:pStyle w:val="23"/>
                          </w:pPr>
                          <w:r>
                            <w:rPr>
                              <w:rFonts w:hint="eastAsia"/>
                            </w:rPr>
                            <w:fldChar w:fldCharType="begin"/>
                          </w:r>
                          <w:r>
                            <w:rPr>
                              <w:rFonts w:hint="eastAsia"/>
                            </w:rPr>
                            <w:instrText xml:space="preserve"> PAGE  \* MERGEFORMAT </w:instrText>
                          </w:r>
                          <w:r>
                            <w:rPr>
                              <w:rFonts w:hint="eastAsia"/>
                            </w:rPr>
                            <w:fldChar w:fldCharType="separate"/>
                          </w:r>
                          <w:r>
                            <w:t>II</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文本框 1104" o:spid="_x0000_s1026" o:spt="202" type="#_x0000_t202" style="position:absolute;left:0pt;margin-top:0pt;height:10.35pt;width:16.5pt;mso-position-horizontal:outside;mso-position-horizontal-relative:margin;mso-wrap-style:none;z-index:251668480;mso-width-relative:page;mso-height-relative:page;" filled="f" stroked="f" coordsize="21600,21600" o:gfxdata="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&#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WjjO7QAAAAAwEAAA8AAAAAAAAAAQAgAAAAIgAAAGRy&#10;cy9kb3ducmV2LnhtbFBLAQIUABQAAAAIAIdO4kATBY7fDQIAAAYEAAAOAAAAAAAAAAEAIAAAAB8B&#10;AABkcnMvZTJvRG9jLnhtbFBLBQYAAAAABgAGAFkBAACeBQAAAAA=&#10;">
              <v:fill on="f" focussize="0,0"/>
              <v:stroke on="f"/>
              <v:imagedata o:title=""/>
              <o:lock v:ext="edit" aspectratio="f"/>
              <v:textbox inset="0mm,0mm,0mm,0mm" style="mso-fit-shape-to-text:t;">
                <w:txbxContent>
                  <w:p w14:paraId="70F502BF">
                    <w:pPr>
                      <w:pStyle w:val="23"/>
                    </w:pPr>
                    <w:r>
                      <w:rPr>
                        <w:rFonts w:hint="eastAsia"/>
                      </w:rPr>
                      <w:fldChar w:fldCharType="begin"/>
                    </w:r>
                    <w:r>
                      <w:rPr>
                        <w:rFonts w:hint="eastAsia"/>
                      </w:rPr>
                      <w:instrText xml:space="preserve"> PAGE  \* MERGEFORMAT </w:instrText>
                    </w:r>
                    <w:r>
                      <w:rPr>
                        <w:rFonts w:hint="eastAsia"/>
                      </w:rPr>
                      <w:fldChar w:fldCharType="separate"/>
                    </w:r>
                    <w:r>
                      <w:t>II</w:t>
                    </w:r>
                    <w:r>
                      <w:rPr>
                        <w:rFonts w:hint="eastAsia"/>
                      </w:rPr>
                      <w:fldChar w:fldCharType="end"/>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margin">
                <wp:align>right</wp:align>
              </wp:positionH>
              <wp:positionV relativeFrom="paragraph">
                <wp:posOffset>0</wp:posOffset>
              </wp:positionV>
              <wp:extent cx="114935" cy="153035"/>
              <wp:effectExtent l="635" t="1270" r="0" b="0"/>
              <wp:wrapNone/>
              <wp:docPr id="17" name="文本框 1055"/>
              <wp:cNvGraphicFramePr/>
              <a:graphic xmlns:a="http://schemas.openxmlformats.org/drawingml/2006/main">
                <a:graphicData uri="http://schemas.microsoft.com/office/word/2010/wordprocessingShape">
                  <wps:wsp>
                    <wps:cNvSpPr txBox="1">
                      <a:spLocks noChangeArrowheads="1"/>
                    </wps:cNvSpPr>
                    <wps:spPr bwMode="auto">
                      <a:xfrm>
                        <a:off x="0" y="0"/>
                        <a:ext cx="114935" cy="153035"/>
                      </a:xfrm>
                      <a:prstGeom prst="rect">
                        <a:avLst/>
                      </a:prstGeom>
                      <a:noFill/>
                      <a:ln>
                        <a:noFill/>
                      </a:ln>
                    </wps:spPr>
                    <wps:txbx>
                      <w:txbxContent>
                        <w:p w14:paraId="6F0C42B7"/>
                      </w:txbxContent>
                    </wps:txbx>
                    <wps:bodyPr rot="0" vert="horz" wrap="none" lIns="0" tIns="0" rIns="0" bIns="0" anchor="t" anchorCtr="0" upright="1">
                      <a:spAutoFit/>
                    </wps:bodyPr>
                  </wps:wsp>
                </a:graphicData>
              </a:graphic>
            </wp:anchor>
          </w:drawing>
        </mc:Choice>
        <mc:Fallback>
          <w:pict>
            <v:shape id="文本框 1055" o:spid="_x0000_s1026" o:spt="202" type="#_x0000_t202" style="position:absolute;left:0pt;margin-top:0pt;height:12.05pt;width:9.05pt;mso-position-horizontal:right;mso-position-horizontal-relative:margin;mso-wrap-style:none;z-index:251666432;mso-width-relative:page;mso-height-relative:page;" filled="f" stroked="f" coordsize="21600,21600" o:gfxdata="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QVPmtAAAAADAQAADwAAAAAAAAABACAAAAAiAAAAZHJz&#10;L2Rvd25yZXYueG1sUEsBAhQAFAAAAAgAh07iQEGGCyMMAgAABgQAAA4AAAAAAAAAAQAgAAAAHwEA&#10;AGRycy9lMm9Eb2MueG1sUEsFBgAAAAAGAAYAWQEAAJ0FAAAAAA==&#10;">
              <v:fill on="f" focussize="0,0"/>
              <v:stroke on="f"/>
              <v:imagedata o:title=""/>
              <o:lock v:ext="edit" aspectratio="f"/>
              <v:textbox inset="0mm,0mm,0mm,0mm" style="mso-fit-shape-to-text:t;">
                <w:txbxContent>
                  <w:p w14:paraId="6F0C42B7"/>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margin">
                <wp:align>left</wp:align>
              </wp:positionH>
              <wp:positionV relativeFrom="paragraph">
                <wp:posOffset>0</wp:posOffset>
              </wp:positionV>
              <wp:extent cx="248285" cy="131445"/>
              <wp:effectExtent l="0" t="1270" r="3810" b="635"/>
              <wp:wrapNone/>
              <wp:docPr id="16" name="文本框 1056"/>
              <wp:cNvGraphicFramePr/>
              <a:graphic xmlns:a="http://schemas.openxmlformats.org/drawingml/2006/main">
                <a:graphicData uri="http://schemas.microsoft.com/office/word/2010/wordprocessingShape">
                  <wps:wsp>
                    <wps:cNvSpPr txBox="1">
                      <a:spLocks noChangeArrowheads="1"/>
                    </wps:cNvSpPr>
                    <wps:spPr bwMode="auto">
                      <a:xfrm>
                        <a:off x="0" y="0"/>
                        <a:ext cx="248285" cy="131445"/>
                      </a:xfrm>
                      <a:prstGeom prst="rect">
                        <a:avLst/>
                      </a:prstGeom>
                      <a:noFill/>
                      <a:ln>
                        <a:noFill/>
                      </a:ln>
                    </wps:spPr>
                    <wps:txbx>
                      <w:txbxContent>
                        <w:p w14:paraId="34D86645">
                          <w:pPr>
                            <w:pStyle w:val="23"/>
                          </w:pPr>
                        </w:p>
                      </w:txbxContent>
                    </wps:txbx>
                    <wps:bodyPr rot="0" vert="horz" wrap="none" lIns="0" tIns="0" rIns="0" bIns="0" anchor="t" anchorCtr="0" upright="1">
                      <a:spAutoFit/>
                    </wps:bodyPr>
                  </wps:wsp>
                </a:graphicData>
              </a:graphic>
            </wp:anchor>
          </w:drawing>
        </mc:Choice>
        <mc:Fallback>
          <w:pict>
            <v:shape id="文本框 1056" o:spid="_x0000_s1026" o:spt="202" type="#_x0000_t202" style="position:absolute;left:0pt;margin-top:0pt;height:10.35pt;width:19.55pt;mso-position-horizontal:left;mso-position-horizontal-relative:margin;mso-wrap-style:none;z-index:251665408;mso-width-relative:page;mso-height-relative:page;" filled="f" stroked="f" coordsize="21600,21600" o:gfxdata="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WqsSO0QAAAAMBAAAPAAAAAAAAAAEAIAAAACIAAABk&#10;cnMvZG93bnJldi54bWxQSwECFAAUAAAACACHTuJATd9W6g0CAAAGBAAADgAAAAAAAAABACAAAAAg&#10;AQAAZHJzL2Uyb0RvYy54bWxQSwUGAAAAAAYABgBZAQAAnwUAAAAA&#10;">
              <v:fill on="f" focussize="0,0"/>
              <v:stroke on="f"/>
              <v:imagedata o:title=""/>
              <o:lock v:ext="edit" aspectratio="f"/>
              <v:textbox inset="0mm,0mm,0mm,0mm" style="mso-fit-shape-to-text:t;">
                <w:txbxContent>
                  <w:p w14:paraId="34D86645">
                    <w:pPr>
                      <w:pStyle w:val="23"/>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0DEA5">
    <w:pPr>
      <w:pStyle w:val="23"/>
      <w:jc w:val="left"/>
    </w:pPr>
    <w:r>
      <mc:AlternateContent>
        <mc:Choice Requires="wps">
          <w:drawing>
            <wp:anchor distT="0" distB="0" distL="114300" distR="114300" simplePos="0" relativeHeight="251669504" behindDoc="0" locked="0" layoutInCell="1" allowOverlap="1">
              <wp:simplePos x="0" y="0"/>
              <wp:positionH relativeFrom="margin">
                <wp:align>inside</wp:align>
              </wp:positionH>
              <wp:positionV relativeFrom="paragraph">
                <wp:posOffset>0</wp:posOffset>
              </wp:positionV>
              <wp:extent cx="191135" cy="131445"/>
              <wp:effectExtent l="3175" t="0" r="0" b="0"/>
              <wp:wrapNone/>
              <wp:docPr id="1" name="文本框 1110"/>
              <wp:cNvGraphicFramePr/>
              <a:graphic xmlns:a="http://schemas.openxmlformats.org/drawingml/2006/main">
                <a:graphicData uri="http://schemas.microsoft.com/office/word/2010/wordprocessingShape">
                  <wps:wsp>
                    <wps:cNvSpPr txBox="1">
                      <a:spLocks noChangeArrowheads="1"/>
                    </wps:cNvSpPr>
                    <wps:spPr bwMode="auto">
                      <a:xfrm>
                        <a:off x="0" y="0"/>
                        <a:ext cx="191135" cy="131445"/>
                      </a:xfrm>
                      <a:prstGeom prst="rect">
                        <a:avLst/>
                      </a:prstGeom>
                      <a:noFill/>
                      <a:ln>
                        <a:noFill/>
                      </a:ln>
                    </wps:spPr>
                    <wps:txbx>
                      <w:txbxContent>
                        <w:p w14:paraId="2B9E589D">
                          <w:pPr>
                            <w:pStyle w:val="23"/>
                          </w:pPr>
                          <w:r>
                            <w:rPr>
                              <w:rFonts w:hint="eastAsia"/>
                            </w:rPr>
                            <w:fldChar w:fldCharType="begin"/>
                          </w:r>
                          <w:r>
                            <w:rPr>
                              <w:rFonts w:hint="eastAsia"/>
                            </w:rPr>
                            <w:instrText xml:space="preserve"> PAGE  \* MERGEFORMAT </w:instrText>
                          </w:r>
                          <w:r>
                            <w:rPr>
                              <w:rFonts w:hint="eastAsia"/>
                            </w:rPr>
                            <w:fldChar w:fldCharType="separate"/>
                          </w:r>
                          <w:r>
                            <w:t>31</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文本框 1110" o:spid="_x0000_s1026" o:spt="202" type="#_x0000_t202" style="position:absolute;left:0pt;margin-top:0pt;height:10.35pt;width:15.05pt;mso-position-horizontal:inside;mso-position-horizontal-relative:margin;mso-wrap-style:none;z-index:251669504;mso-width-relative:page;mso-height-relative:page;" filled="f" stroked="f" coordsize="21600,21600" o:gfxdata="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&#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O/3oLRAAAAAwEAAA8AAAAAAAAAAQAgAAAAIgAAAGRy&#10;cy9kb3ducmV2LnhtbFBLAQIUABQAAAAIAIdO4kAIO7Z1DAIAAAUEAAAOAAAAAAAAAAEAIAAAACAB&#10;AABkcnMvZTJvRG9jLnhtbFBLBQYAAAAABgAGAFkBAACeBQAAAAA=&#10;">
              <v:fill on="f" focussize="0,0"/>
              <v:stroke on="f"/>
              <v:imagedata o:title=""/>
              <o:lock v:ext="edit" aspectratio="f"/>
              <v:textbox inset="0mm,0mm,0mm,0mm" style="mso-fit-shape-to-text:t;">
                <w:txbxContent>
                  <w:p w14:paraId="2B9E589D">
                    <w:pPr>
                      <w:pStyle w:val="23"/>
                    </w:pPr>
                    <w:r>
                      <w:rPr>
                        <w:rFonts w:hint="eastAsia"/>
                      </w:rPr>
                      <w:fldChar w:fldCharType="begin"/>
                    </w:r>
                    <w:r>
                      <w:rPr>
                        <w:rFonts w:hint="eastAsia"/>
                      </w:rPr>
                      <w:instrText xml:space="preserve"> PAGE  \* MERGEFORMAT </w:instrText>
                    </w:r>
                    <w:r>
                      <w:rPr>
                        <w:rFonts w:hint="eastAsia"/>
                      </w:rPr>
                      <w:fldChar w:fldCharType="separate"/>
                    </w:r>
                    <w:r>
                      <w:t>31</w:t>
                    </w:r>
                    <w:r>
                      <w:rPr>
                        <w:rFonts w:hint="eastAsia"/>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2A52EF">
    <w:pPr>
      <w:pStyle w:val="23"/>
    </w:pPr>
    <w:r>
      <mc:AlternateContent>
        <mc:Choice Requires="wps">
          <w:drawing>
            <wp:anchor distT="0" distB="0" distL="114300" distR="114300" simplePos="0" relativeHeight="251670528" behindDoc="0" locked="0" layoutInCell="1" allowOverlap="1">
              <wp:simplePos x="0" y="0"/>
              <wp:positionH relativeFrom="margin">
                <wp:align>inside</wp:align>
              </wp:positionH>
              <wp:positionV relativeFrom="paragraph">
                <wp:posOffset>0</wp:posOffset>
              </wp:positionV>
              <wp:extent cx="191135" cy="131445"/>
              <wp:effectExtent l="0" t="0" r="3810" b="2540"/>
              <wp:wrapNone/>
              <wp:docPr id="2" name="文本框 1111"/>
              <wp:cNvGraphicFramePr/>
              <a:graphic xmlns:a="http://schemas.openxmlformats.org/drawingml/2006/main">
                <a:graphicData uri="http://schemas.microsoft.com/office/word/2010/wordprocessingShape">
                  <wps:wsp>
                    <wps:cNvSpPr txBox="1">
                      <a:spLocks noChangeArrowheads="1"/>
                    </wps:cNvSpPr>
                    <wps:spPr bwMode="auto">
                      <a:xfrm>
                        <a:off x="0" y="0"/>
                        <a:ext cx="191135" cy="131445"/>
                      </a:xfrm>
                      <a:prstGeom prst="rect">
                        <a:avLst/>
                      </a:prstGeom>
                      <a:noFill/>
                      <a:ln>
                        <a:noFill/>
                      </a:ln>
                    </wps:spPr>
                    <wps:txbx>
                      <w:txbxContent>
                        <w:p w14:paraId="7418D8EA">
                          <w:pPr>
                            <w:pStyle w:val="23"/>
                          </w:pPr>
                          <w:r>
                            <w:rPr>
                              <w:rFonts w:hint="eastAsia"/>
                            </w:rPr>
                            <w:fldChar w:fldCharType="begin"/>
                          </w:r>
                          <w:r>
                            <w:rPr>
                              <w:rFonts w:hint="eastAsia"/>
                            </w:rPr>
                            <w:instrText xml:space="preserve"> PAGE  \* MERGEFORMAT </w:instrText>
                          </w:r>
                          <w:r>
                            <w:rPr>
                              <w:rFonts w:hint="eastAsia"/>
                            </w:rPr>
                            <w:fldChar w:fldCharType="separate"/>
                          </w:r>
                          <w:r>
                            <w:t>32</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文本框 1111" o:spid="_x0000_s1026" o:spt="202" type="#_x0000_t202" style="position:absolute;left:0pt;margin-top:0pt;height:10.35pt;width:15.05pt;mso-position-horizontal:inside;mso-position-horizontal-relative:margin;mso-wrap-style:none;z-index:251670528;mso-width-relative:page;mso-height-relative:page;" filled="f" stroked="f" coordsize="21600,21600" o:gfxdata="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47/egtEAAAADAQAADwAAAAAAAAABACAAAAAiAAAAZHJz&#10;L2Rvd25yZXYueG1sUEsBAhQAFAAAAAgAh07iQJtZMrkLAgAABQQAAA4AAAAAAAAAAQAgAAAAIAEA&#10;AGRycy9lMm9Eb2MueG1sUEsFBgAAAAAGAAYAWQEAAJ0FAAAAAA==&#10;">
              <v:fill on="f" focussize="0,0"/>
              <v:stroke on="f"/>
              <v:imagedata o:title=""/>
              <o:lock v:ext="edit" aspectratio="f"/>
              <v:textbox inset="0mm,0mm,0mm,0mm" style="mso-fit-shape-to-text:t;">
                <w:txbxContent>
                  <w:p w14:paraId="7418D8EA">
                    <w:pPr>
                      <w:pStyle w:val="23"/>
                    </w:pPr>
                    <w:r>
                      <w:rPr>
                        <w:rFonts w:hint="eastAsia"/>
                      </w:rPr>
                      <w:fldChar w:fldCharType="begin"/>
                    </w:r>
                    <w:r>
                      <w:rPr>
                        <w:rFonts w:hint="eastAsia"/>
                      </w:rPr>
                      <w:instrText xml:space="preserve"> PAGE  \* MERGEFORMAT </w:instrText>
                    </w:r>
                    <w:r>
                      <w:rPr>
                        <w:rFonts w:hint="eastAsia"/>
                      </w:rPr>
                      <w:fldChar w:fldCharType="separate"/>
                    </w:r>
                    <w:r>
                      <w:t>32</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48D67B">
    <w:pPr>
      <w:pStyle w:val="2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93986">
    <w:pPr>
      <w:pStyle w:val="91"/>
    </w:pPr>
    <w:r>
      <w:t>DB34/</w:t>
    </w:r>
    <w:r>
      <w:rPr>
        <w:rFonts w:hint="eastAsia"/>
      </w:rPr>
      <w:t>T</w:t>
    </w:r>
    <w:r>
      <w:t xml:space="preserve"> —XXXX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A27670">
    <w:pPr>
      <w:pStyle w:val="91"/>
      <w:spacing w:after="120" w:afterLines="50"/>
    </w:pPr>
    <w:r>
      <w:t>DB34/</w:t>
    </w:r>
    <w:r>
      <w:rPr>
        <w:rFonts w:hint="eastAsia"/>
      </w:rPr>
      <w:t>T</w:t>
    </w:r>
    <w:r>
      <w:t xml:space="preserve"> —XXXX</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A76DF">
    <w:pPr>
      <w:pStyle w:val="2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87EE70"/>
    <w:multiLevelType w:val="singleLevel"/>
    <w:tmpl w:val="9087EE70"/>
    <w:lvl w:ilvl="0" w:tentative="0">
      <w:start w:val="3"/>
      <w:numFmt w:val="decimal"/>
      <w:suff w:val="space"/>
      <w:lvlText w:val="%1)"/>
      <w:lvlJc w:val="left"/>
      <w:pPr>
        <w:ind w:left="838"/>
      </w:pPr>
      <w:rPr>
        <w:rFonts w:cs="Times New Roman"/>
      </w:rPr>
    </w:lvl>
  </w:abstractNum>
  <w:abstractNum w:abstractNumId="1">
    <w:nsid w:val="DE9679BE"/>
    <w:multiLevelType w:val="singleLevel"/>
    <w:tmpl w:val="DE9679BE"/>
    <w:lvl w:ilvl="0" w:tentative="0">
      <w:start w:val="2"/>
      <w:numFmt w:val="decimal"/>
      <w:suff w:val="space"/>
      <w:lvlText w:val="%1)"/>
      <w:lvlJc w:val="left"/>
      <w:pPr>
        <w:ind w:left="838"/>
      </w:pPr>
      <w:rPr>
        <w:rFonts w:cs="Times New Roman"/>
      </w:rPr>
    </w:lvl>
  </w:abstractNum>
  <w:abstractNum w:abstractNumId="2">
    <w:nsid w:val="E039D927"/>
    <w:multiLevelType w:val="singleLevel"/>
    <w:tmpl w:val="E039D927"/>
    <w:lvl w:ilvl="0" w:tentative="0">
      <w:start w:val="1"/>
      <w:numFmt w:val="lowerLetter"/>
      <w:suff w:val="nothing"/>
      <w:lvlText w:val="%1）"/>
      <w:lvlJc w:val="left"/>
    </w:lvl>
  </w:abstractNum>
  <w:abstractNum w:abstractNumId="3">
    <w:nsid w:val="EC3E3B70"/>
    <w:multiLevelType w:val="singleLevel"/>
    <w:tmpl w:val="EC3E3B70"/>
    <w:lvl w:ilvl="0" w:tentative="0">
      <w:start w:val="1"/>
      <w:numFmt w:val="lowerLetter"/>
      <w:suff w:val="space"/>
      <w:lvlText w:val="(%1)"/>
      <w:lvlJc w:val="left"/>
    </w:lvl>
  </w:abstractNum>
  <w:abstractNum w:abstractNumId="4">
    <w:nsid w:val="079102AD"/>
    <w:multiLevelType w:val="multilevel"/>
    <w:tmpl w:val="079102AD"/>
    <w:lvl w:ilvl="0" w:tentative="0">
      <w:start w:val="1"/>
      <w:numFmt w:val="decimal"/>
      <w:pStyle w:val="93"/>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5">
    <w:nsid w:val="093C6778"/>
    <w:multiLevelType w:val="multilevel"/>
    <w:tmpl w:val="093C6778"/>
    <w:lvl w:ilvl="0" w:tentative="0">
      <w:start w:val="1"/>
      <w:numFmt w:val="decimal"/>
      <w:pStyle w:val="54"/>
      <w:suff w:val="nothing"/>
      <w:lvlText w:val="示例%1："/>
      <w:lvlJc w:val="left"/>
      <w:pPr>
        <w:ind w:left="0" w:firstLine="397"/>
      </w:pPr>
      <w:rPr>
        <w:rFonts w:hint="eastAsia" w:ascii="黑体" w:eastAsia="黑体"/>
        <w:sz w:val="18"/>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
    <w:nsid w:val="0AE367E9"/>
    <w:multiLevelType w:val="multilevel"/>
    <w:tmpl w:val="0AE367E9"/>
    <w:lvl w:ilvl="0" w:tentative="0">
      <w:start w:val="1"/>
      <w:numFmt w:val="none"/>
      <w:pStyle w:val="106"/>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7">
    <w:nsid w:val="0D441211"/>
    <w:multiLevelType w:val="multilevel"/>
    <w:tmpl w:val="0D441211"/>
    <w:lvl w:ilvl="0" w:tentative="0">
      <w:start w:val="1"/>
      <w:numFmt w:val="lowerLetter"/>
      <w:pStyle w:val="92"/>
      <w:lvlText w:val="%1)"/>
      <w:lvlJc w:val="left"/>
      <w:pPr>
        <w:tabs>
          <w:tab w:val="left" w:pos="840"/>
        </w:tabs>
        <w:ind w:left="839" w:hanging="419"/>
      </w:pPr>
      <w:rPr>
        <w:rFonts w:hint="eastAsia" w:ascii="宋体" w:eastAsia="宋体"/>
        <w:b w:val="0"/>
        <w:i w:val="0"/>
        <w:sz w:val="21"/>
        <w:szCs w:val="21"/>
      </w:rPr>
    </w:lvl>
    <w:lvl w:ilvl="1" w:tentative="0">
      <w:start w:val="1"/>
      <w:numFmt w:val="decimal"/>
      <w:pStyle w:val="101"/>
      <w:lvlText w:val="%2)"/>
      <w:lvlJc w:val="left"/>
      <w:pPr>
        <w:tabs>
          <w:tab w:val="left" w:pos="1260"/>
        </w:tabs>
        <w:ind w:left="1259" w:hanging="419"/>
      </w:pPr>
      <w:rPr>
        <w:rFonts w:hint="eastAsia"/>
      </w:rPr>
    </w:lvl>
    <w:lvl w:ilvl="2" w:tentative="0">
      <w:start w:val="1"/>
      <w:numFmt w:val="decimal"/>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8">
    <w:nsid w:val="0D983844"/>
    <w:multiLevelType w:val="multilevel"/>
    <w:tmpl w:val="0D983844"/>
    <w:lvl w:ilvl="0" w:tentative="0">
      <w:start w:val="1"/>
      <w:numFmt w:val="decimal"/>
      <w:pStyle w:val="133"/>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0DDE2B46"/>
    <w:multiLevelType w:val="multilevel"/>
    <w:tmpl w:val="0DDE2B46"/>
    <w:lvl w:ilvl="0" w:tentative="0">
      <w:start w:val="1"/>
      <w:numFmt w:val="lowerLetter"/>
      <w:pStyle w:val="124"/>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10">
    <w:nsid w:val="1DBF583A"/>
    <w:multiLevelType w:val="multilevel"/>
    <w:tmpl w:val="1DBF583A"/>
    <w:lvl w:ilvl="0" w:tentative="0">
      <w:start w:val="1"/>
      <w:numFmt w:val="decimal"/>
      <w:pStyle w:val="134"/>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11">
    <w:nsid w:val="1FC91163"/>
    <w:multiLevelType w:val="multilevel"/>
    <w:tmpl w:val="1FC91163"/>
    <w:lvl w:ilvl="0" w:tentative="0">
      <w:start w:val="1"/>
      <w:numFmt w:val="decimal"/>
      <w:pStyle w:val="113"/>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81"/>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80"/>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pStyle w:val="78"/>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2">
    <w:nsid w:val="22827D5B"/>
    <w:multiLevelType w:val="multilevel"/>
    <w:tmpl w:val="22827D5B"/>
    <w:lvl w:ilvl="0" w:tentative="0">
      <w:start w:val="1"/>
      <w:numFmt w:val="none"/>
      <w:pStyle w:val="131"/>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13">
    <w:nsid w:val="2A8F7113"/>
    <w:multiLevelType w:val="multilevel"/>
    <w:tmpl w:val="2A8F7113"/>
    <w:lvl w:ilvl="0" w:tentative="0">
      <w:start w:val="1"/>
      <w:numFmt w:val="upperLetter"/>
      <w:pStyle w:val="104"/>
      <w:suff w:val="space"/>
      <w:lvlText w:val="%1"/>
      <w:lvlJc w:val="left"/>
      <w:pPr>
        <w:ind w:left="623" w:hanging="425"/>
      </w:pPr>
      <w:rPr>
        <w:rFonts w:hint="eastAsia"/>
      </w:rPr>
    </w:lvl>
    <w:lvl w:ilvl="1" w:tentative="0">
      <w:start w:val="1"/>
      <w:numFmt w:val="decimal"/>
      <w:pStyle w:val="111"/>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14">
    <w:nsid w:val="2C5917C3"/>
    <w:multiLevelType w:val="multilevel"/>
    <w:tmpl w:val="2C5917C3"/>
    <w:lvl w:ilvl="0" w:tentative="0">
      <w:start w:val="1"/>
      <w:numFmt w:val="none"/>
      <w:pStyle w:val="107"/>
      <w:suff w:val="nothing"/>
      <w:lvlText w:val="%1——"/>
      <w:lvlJc w:val="left"/>
      <w:pPr>
        <w:ind w:left="2677" w:hanging="408"/>
      </w:pPr>
      <w:rPr>
        <w:rFonts w:hint="eastAsia"/>
      </w:rPr>
    </w:lvl>
    <w:lvl w:ilvl="1" w:tentative="0">
      <w:start w:val="1"/>
      <w:numFmt w:val="bullet"/>
      <w:pStyle w:val="73"/>
      <w:lvlText w:val=""/>
      <w:lvlJc w:val="left"/>
      <w:pPr>
        <w:tabs>
          <w:tab w:val="left" w:pos="760"/>
        </w:tabs>
        <w:ind w:left="1264" w:hanging="413"/>
      </w:pPr>
      <w:rPr>
        <w:rFonts w:hint="default" w:ascii="Symbol" w:hAnsi="Symbol"/>
        <w:color w:val="auto"/>
      </w:rPr>
    </w:lvl>
    <w:lvl w:ilvl="2" w:tentative="0">
      <w:start w:val="1"/>
      <w:numFmt w:val="bullet"/>
      <w:pStyle w:val="136"/>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5">
    <w:nsid w:val="3D733618"/>
    <w:multiLevelType w:val="multilevel"/>
    <w:tmpl w:val="3D733618"/>
    <w:lvl w:ilvl="0" w:tentative="0">
      <w:start w:val="1"/>
      <w:numFmt w:val="decimal"/>
      <w:pStyle w:val="31"/>
      <w:lvlText w:val="%1)"/>
      <w:lvlJc w:val="left"/>
      <w:pPr>
        <w:tabs>
          <w:tab w:val="left" w:pos="0"/>
        </w:tabs>
        <w:ind w:left="720" w:hanging="357"/>
      </w:pPr>
      <w:rPr>
        <w:rFonts w:hint="eastAsia"/>
      </w:rPr>
    </w:lvl>
    <w:lvl w:ilvl="1" w:tentative="0">
      <w:start w:val="1"/>
      <w:numFmt w:val="lowerLetter"/>
      <w:lvlText w:val="%2)"/>
      <w:lvlJc w:val="left"/>
      <w:pPr>
        <w:tabs>
          <w:tab w:val="left" w:pos="504"/>
        </w:tabs>
        <w:ind w:left="544" w:hanging="544"/>
      </w:pPr>
      <w:rPr>
        <w:rFonts w:hint="eastAsia"/>
      </w:rPr>
    </w:lvl>
    <w:lvl w:ilvl="2" w:tentative="0">
      <w:start w:val="1"/>
      <w:numFmt w:val="lowerRoman"/>
      <w:lvlText w:val="%3."/>
      <w:lvlJc w:val="right"/>
      <w:pPr>
        <w:tabs>
          <w:tab w:val="left" w:pos="532"/>
        </w:tabs>
        <w:ind w:left="544" w:hanging="544"/>
      </w:pPr>
      <w:rPr>
        <w:rFonts w:hint="eastAsia"/>
      </w:rPr>
    </w:lvl>
    <w:lvl w:ilvl="3" w:tentative="0">
      <w:start w:val="1"/>
      <w:numFmt w:val="decimal"/>
      <w:lvlText w:val="%4."/>
      <w:lvlJc w:val="left"/>
      <w:pPr>
        <w:tabs>
          <w:tab w:val="left" w:pos="560"/>
        </w:tabs>
        <w:ind w:left="544" w:hanging="544"/>
      </w:pPr>
      <w:rPr>
        <w:rFonts w:hint="eastAsia"/>
      </w:rPr>
    </w:lvl>
    <w:lvl w:ilvl="4" w:tentative="0">
      <w:start w:val="1"/>
      <w:numFmt w:val="lowerLetter"/>
      <w:lvlText w:val="%5)"/>
      <w:lvlJc w:val="left"/>
      <w:pPr>
        <w:tabs>
          <w:tab w:val="left" w:pos="588"/>
        </w:tabs>
        <w:ind w:left="544" w:hanging="544"/>
      </w:pPr>
      <w:rPr>
        <w:rFonts w:hint="eastAsia"/>
      </w:rPr>
    </w:lvl>
    <w:lvl w:ilvl="5" w:tentative="0">
      <w:start w:val="1"/>
      <w:numFmt w:val="lowerRoman"/>
      <w:lvlText w:val="%6."/>
      <w:lvlJc w:val="right"/>
      <w:pPr>
        <w:tabs>
          <w:tab w:val="left" w:pos="616"/>
        </w:tabs>
        <w:ind w:left="544" w:hanging="544"/>
      </w:pPr>
      <w:rPr>
        <w:rFonts w:hint="eastAsia"/>
      </w:rPr>
    </w:lvl>
    <w:lvl w:ilvl="6" w:tentative="0">
      <w:start w:val="1"/>
      <w:numFmt w:val="decimal"/>
      <w:lvlText w:val="%7."/>
      <w:lvlJc w:val="left"/>
      <w:pPr>
        <w:tabs>
          <w:tab w:val="left" w:pos="644"/>
        </w:tabs>
        <w:ind w:left="544" w:hanging="544"/>
      </w:pPr>
      <w:rPr>
        <w:rFonts w:hint="eastAsia"/>
      </w:rPr>
    </w:lvl>
    <w:lvl w:ilvl="7" w:tentative="0">
      <w:start w:val="1"/>
      <w:numFmt w:val="lowerLetter"/>
      <w:lvlText w:val="%8)"/>
      <w:lvlJc w:val="left"/>
      <w:pPr>
        <w:tabs>
          <w:tab w:val="left" w:pos="672"/>
        </w:tabs>
        <w:ind w:left="544" w:hanging="544"/>
      </w:pPr>
      <w:rPr>
        <w:rFonts w:hint="eastAsia"/>
      </w:rPr>
    </w:lvl>
    <w:lvl w:ilvl="8" w:tentative="0">
      <w:start w:val="1"/>
      <w:numFmt w:val="lowerRoman"/>
      <w:lvlText w:val="%9."/>
      <w:lvlJc w:val="right"/>
      <w:pPr>
        <w:tabs>
          <w:tab w:val="left" w:pos="700"/>
        </w:tabs>
        <w:ind w:left="544" w:hanging="544"/>
      </w:pPr>
      <w:rPr>
        <w:rFonts w:hint="eastAsia"/>
      </w:rPr>
    </w:lvl>
  </w:abstractNum>
  <w:abstractNum w:abstractNumId="16">
    <w:nsid w:val="4B733A5F"/>
    <w:multiLevelType w:val="multilevel"/>
    <w:tmpl w:val="4B733A5F"/>
    <w:lvl w:ilvl="0" w:tentative="0">
      <w:start w:val="1"/>
      <w:numFmt w:val="decimal"/>
      <w:pStyle w:val="149"/>
      <w:suff w:val="nothing"/>
      <w:lvlText w:val="示例%1："/>
      <w:lvlJc w:val="left"/>
      <w:pPr>
        <w:ind w:left="0" w:firstLine="363"/>
      </w:pPr>
      <w:rPr>
        <w:rFonts w:hint="eastAsia" w:ascii="黑体" w:hAnsi="Times New Roman" w:eastAsia="黑体"/>
        <w:b w:val="0"/>
        <w:i w:val="0"/>
        <w:sz w:val="18"/>
        <w:szCs w:val="18"/>
        <w:vertAlign w:val="baseline"/>
      </w:rPr>
    </w:lvl>
    <w:lvl w:ilvl="1" w:tentative="0">
      <w:start w:val="1"/>
      <w:numFmt w:val="none"/>
      <w:suff w:val="space"/>
      <w:lvlText w:val=""/>
      <w:lvlJc w:val="left"/>
      <w:pPr>
        <w:ind w:left="0" w:firstLine="0"/>
      </w:pPr>
      <w:rPr>
        <w:rFonts w:hint="eastAsia"/>
        <w:vertAlign w:val="baseline"/>
      </w:rPr>
    </w:lvl>
    <w:lvl w:ilvl="2" w:tentative="0">
      <w:start w:val="1"/>
      <w:numFmt w:val="decimal"/>
      <w:suff w:val="space"/>
      <w:lvlText w:val="2.2.%3"/>
      <w:lvlJc w:val="left"/>
      <w:pPr>
        <w:ind w:left="0" w:firstLine="0"/>
      </w:pPr>
      <w:rPr>
        <w:rFonts w:hint="eastAsia"/>
        <w:vertAlign w:val="baseline"/>
      </w:rPr>
    </w:lvl>
    <w:lvl w:ilvl="3" w:tentative="0">
      <w:start w:val="1"/>
      <w:numFmt w:val="decimal"/>
      <w:lvlText w:val="%4."/>
      <w:lvlJc w:val="left"/>
      <w:pPr>
        <w:tabs>
          <w:tab w:val="left" w:pos="0"/>
        </w:tabs>
        <w:ind w:left="992" w:hanging="629"/>
      </w:pPr>
      <w:rPr>
        <w:rFonts w:hint="eastAsia"/>
        <w:vertAlign w:val="baseline"/>
      </w:rPr>
    </w:lvl>
    <w:lvl w:ilvl="4" w:tentative="0">
      <w:start w:val="1"/>
      <w:numFmt w:val="lowerLetter"/>
      <w:lvlText w:val="%5)"/>
      <w:lvlJc w:val="left"/>
      <w:pPr>
        <w:tabs>
          <w:tab w:val="left" w:pos="0"/>
        </w:tabs>
        <w:ind w:left="992" w:hanging="629"/>
      </w:pPr>
      <w:rPr>
        <w:rFonts w:hint="eastAsia"/>
        <w:vertAlign w:val="baseline"/>
      </w:rPr>
    </w:lvl>
    <w:lvl w:ilvl="5" w:tentative="0">
      <w:start w:val="1"/>
      <w:numFmt w:val="lowerRoman"/>
      <w:lvlText w:val="%6."/>
      <w:lvlJc w:val="right"/>
      <w:pPr>
        <w:tabs>
          <w:tab w:val="left" w:pos="0"/>
        </w:tabs>
        <w:ind w:left="992" w:hanging="629"/>
      </w:pPr>
      <w:rPr>
        <w:rFonts w:hint="eastAsia"/>
        <w:vertAlign w:val="baseline"/>
      </w:rPr>
    </w:lvl>
    <w:lvl w:ilvl="6" w:tentative="0">
      <w:start w:val="1"/>
      <w:numFmt w:val="decimal"/>
      <w:lvlText w:val="%7."/>
      <w:lvlJc w:val="left"/>
      <w:pPr>
        <w:tabs>
          <w:tab w:val="left" w:pos="0"/>
        </w:tabs>
        <w:ind w:left="992" w:hanging="629"/>
      </w:pPr>
      <w:rPr>
        <w:rFonts w:hint="eastAsia"/>
        <w:vertAlign w:val="baseline"/>
      </w:rPr>
    </w:lvl>
    <w:lvl w:ilvl="7" w:tentative="0">
      <w:start w:val="1"/>
      <w:numFmt w:val="lowerLetter"/>
      <w:lvlText w:val="%8)"/>
      <w:lvlJc w:val="left"/>
      <w:pPr>
        <w:tabs>
          <w:tab w:val="left" w:pos="0"/>
        </w:tabs>
        <w:ind w:left="992" w:hanging="629"/>
      </w:pPr>
      <w:rPr>
        <w:rFonts w:hint="eastAsia"/>
        <w:vertAlign w:val="baseline"/>
      </w:rPr>
    </w:lvl>
    <w:lvl w:ilvl="8" w:tentative="0">
      <w:start w:val="1"/>
      <w:numFmt w:val="lowerRoman"/>
      <w:lvlText w:val="%9."/>
      <w:lvlJc w:val="right"/>
      <w:pPr>
        <w:tabs>
          <w:tab w:val="left" w:pos="0"/>
        </w:tabs>
        <w:ind w:left="992" w:hanging="629"/>
      </w:pPr>
      <w:rPr>
        <w:rFonts w:hint="eastAsia"/>
        <w:vertAlign w:val="baseline"/>
      </w:rPr>
    </w:lvl>
  </w:abstractNum>
  <w:abstractNum w:abstractNumId="17">
    <w:nsid w:val="60B55DC2"/>
    <w:multiLevelType w:val="multilevel"/>
    <w:tmpl w:val="60B55DC2"/>
    <w:lvl w:ilvl="0" w:tentative="0">
      <w:start w:val="1"/>
      <w:numFmt w:val="upperLetter"/>
      <w:pStyle w:val="114"/>
      <w:lvlText w:val="%1"/>
      <w:lvlJc w:val="left"/>
      <w:pPr>
        <w:tabs>
          <w:tab w:val="left" w:pos="0"/>
        </w:tabs>
        <w:ind w:left="0" w:hanging="425"/>
      </w:pPr>
      <w:rPr>
        <w:rFonts w:hint="eastAsia"/>
      </w:rPr>
    </w:lvl>
    <w:lvl w:ilvl="1" w:tentative="0">
      <w:start w:val="1"/>
      <w:numFmt w:val="decimal"/>
      <w:pStyle w:val="89"/>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18">
    <w:nsid w:val="646260FA"/>
    <w:multiLevelType w:val="multilevel"/>
    <w:tmpl w:val="646260FA"/>
    <w:lvl w:ilvl="0" w:tentative="0">
      <w:start w:val="1"/>
      <w:numFmt w:val="decimal"/>
      <w:pStyle w:val="151"/>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9">
    <w:nsid w:val="657D3FBC"/>
    <w:multiLevelType w:val="multilevel"/>
    <w:tmpl w:val="657D3FBC"/>
    <w:lvl w:ilvl="0" w:tentative="0">
      <w:start w:val="1"/>
      <w:numFmt w:val="upperLetter"/>
      <w:pStyle w:val="150"/>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99"/>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pStyle w:val="69"/>
      <w:suff w:val="nothing"/>
      <w:lvlText w:val="%1.%2.%3.%4　"/>
      <w:lvlJc w:val="left"/>
      <w:pPr>
        <w:ind w:left="0" w:firstLine="0"/>
      </w:pPr>
      <w:rPr>
        <w:rFonts w:hint="eastAsia" w:ascii="黑体" w:hAnsi="Times New Roman" w:eastAsia="黑体"/>
        <w:b w:val="0"/>
        <w:i w:val="0"/>
        <w:sz w:val="21"/>
      </w:rPr>
    </w:lvl>
    <w:lvl w:ilvl="4" w:tentative="0">
      <w:start w:val="1"/>
      <w:numFmt w:val="decimal"/>
      <w:pStyle w:val="68"/>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0">
    <w:nsid w:val="659EF5A5"/>
    <w:multiLevelType w:val="singleLevel"/>
    <w:tmpl w:val="659EF5A5"/>
    <w:lvl w:ilvl="0" w:tentative="0">
      <w:start w:val="4"/>
      <w:numFmt w:val="decimal"/>
      <w:suff w:val="nothing"/>
      <w:lvlText w:val="（%1）"/>
      <w:lvlJc w:val="left"/>
    </w:lvl>
  </w:abstractNum>
  <w:abstractNum w:abstractNumId="21">
    <w:nsid w:val="682CEA08"/>
    <w:multiLevelType w:val="singleLevel"/>
    <w:tmpl w:val="682CEA08"/>
    <w:lvl w:ilvl="0" w:tentative="0">
      <w:start w:val="1"/>
      <w:numFmt w:val="decimal"/>
      <w:suff w:val="space"/>
      <w:lvlText w:val="%1)"/>
      <w:lvlJc w:val="left"/>
      <w:pPr>
        <w:ind w:left="838"/>
      </w:pPr>
      <w:rPr>
        <w:rFonts w:cs="Times New Roman"/>
      </w:rPr>
    </w:lvl>
  </w:abstractNum>
  <w:abstractNum w:abstractNumId="22">
    <w:nsid w:val="6D6C07CD"/>
    <w:multiLevelType w:val="multilevel"/>
    <w:tmpl w:val="6D6C07CD"/>
    <w:lvl w:ilvl="0" w:tentative="0">
      <w:start w:val="1"/>
      <w:numFmt w:val="lowerLetter"/>
      <w:pStyle w:val="120"/>
      <w:lvlText w:val="%1)"/>
      <w:lvlJc w:val="left"/>
      <w:pPr>
        <w:tabs>
          <w:tab w:val="left" w:pos="839"/>
        </w:tabs>
        <w:ind w:left="839" w:hanging="419"/>
      </w:pPr>
      <w:rPr>
        <w:rFonts w:hint="eastAsia" w:ascii="宋体" w:eastAsia="宋体"/>
        <w:b w:val="0"/>
        <w:i w:val="0"/>
        <w:sz w:val="21"/>
      </w:rPr>
    </w:lvl>
    <w:lvl w:ilvl="1" w:tentative="0">
      <w:start w:val="1"/>
      <w:numFmt w:val="decimal"/>
      <w:pStyle w:val="85"/>
      <w:lvlText w:val="%2)"/>
      <w:lvlJc w:val="left"/>
      <w:pPr>
        <w:tabs>
          <w:tab w:val="left" w:pos="840"/>
        </w:tabs>
        <w:ind w:left="839" w:hanging="419"/>
      </w:pPr>
      <w:rPr>
        <w:rFonts w:hint="eastAsia" w:ascii="宋体" w:eastAsia="宋体"/>
        <w:b w:val="0"/>
        <w:i w:val="0"/>
        <w:sz w:val="21"/>
      </w:rPr>
    </w:lvl>
    <w:lvl w:ilvl="2" w:tentative="0">
      <w:start w:val="1"/>
      <w:numFmt w:val="lowerRoman"/>
      <w:lvlText w:val="%3."/>
      <w:lvlJc w:val="right"/>
      <w:pPr>
        <w:tabs>
          <w:tab w:val="left" w:pos="1260"/>
        </w:tabs>
        <w:ind w:left="1259" w:hanging="419"/>
      </w:pPr>
      <w:rPr>
        <w:rFonts w:hint="eastAsia"/>
      </w:rPr>
    </w:lvl>
    <w:lvl w:ilvl="3" w:tentative="0">
      <w:start w:val="1"/>
      <w:numFmt w:val="decimal"/>
      <w:lvlText w:val="%4."/>
      <w:lvlJc w:val="left"/>
      <w:pPr>
        <w:tabs>
          <w:tab w:val="left" w:pos="1680"/>
        </w:tabs>
        <w:ind w:left="1679" w:hanging="419"/>
      </w:pPr>
      <w:rPr>
        <w:rFonts w:hint="eastAsia"/>
      </w:rPr>
    </w:lvl>
    <w:lvl w:ilvl="4" w:tentative="0">
      <w:start w:val="1"/>
      <w:numFmt w:val="lowerLetter"/>
      <w:lvlText w:val="%5)"/>
      <w:lvlJc w:val="left"/>
      <w:pPr>
        <w:tabs>
          <w:tab w:val="left" w:pos="2100"/>
        </w:tabs>
        <w:ind w:left="2099" w:hanging="419"/>
      </w:pPr>
      <w:rPr>
        <w:rFonts w:hint="eastAsia"/>
      </w:rPr>
    </w:lvl>
    <w:lvl w:ilvl="5" w:tentative="0">
      <w:start w:val="1"/>
      <w:numFmt w:val="lowerRoman"/>
      <w:lvlText w:val="%6."/>
      <w:lvlJc w:val="right"/>
      <w:pPr>
        <w:tabs>
          <w:tab w:val="left" w:pos="2520"/>
        </w:tabs>
        <w:ind w:left="2519" w:hanging="419"/>
      </w:pPr>
      <w:rPr>
        <w:rFonts w:hint="eastAsia"/>
      </w:rPr>
    </w:lvl>
    <w:lvl w:ilvl="6" w:tentative="0">
      <w:start w:val="1"/>
      <w:numFmt w:val="decimal"/>
      <w:lvlText w:val="%7."/>
      <w:lvlJc w:val="left"/>
      <w:pPr>
        <w:tabs>
          <w:tab w:val="left" w:pos="2940"/>
        </w:tabs>
        <w:ind w:left="2939" w:hanging="419"/>
      </w:pPr>
      <w:rPr>
        <w:rFonts w:hint="eastAsia"/>
      </w:rPr>
    </w:lvl>
    <w:lvl w:ilvl="7" w:tentative="0">
      <w:start w:val="1"/>
      <w:numFmt w:val="lowerLetter"/>
      <w:lvlText w:val="%8)"/>
      <w:lvlJc w:val="left"/>
      <w:pPr>
        <w:tabs>
          <w:tab w:val="left" w:pos="3360"/>
        </w:tabs>
        <w:ind w:left="3359" w:hanging="419"/>
      </w:pPr>
      <w:rPr>
        <w:rFonts w:hint="eastAsia"/>
      </w:rPr>
    </w:lvl>
    <w:lvl w:ilvl="8" w:tentative="0">
      <w:start w:val="1"/>
      <w:numFmt w:val="lowerRoman"/>
      <w:lvlText w:val="%9."/>
      <w:lvlJc w:val="right"/>
      <w:pPr>
        <w:tabs>
          <w:tab w:val="left" w:pos="3780"/>
        </w:tabs>
        <w:ind w:left="3779" w:hanging="419"/>
      </w:pPr>
      <w:rPr>
        <w:rFonts w:hint="eastAsia"/>
      </w:rPr>
    </w:lvl>
  </w:abstractNum>
  <w:abstractNum w:abstractNumId="23">
    <w:nsid w:val="6DBF04F4"/>
    <w:multiLevelType w:val="multilevel"/>
    <w:tmpl w:val="6DBF04F4"/>
    <w:lvl w:ilvl="0" w:tentative="0">
      <w:start w:val="1"/>
      <w:numFmt w:val="none"/>
      <w:pStyle w:val="95"/>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15"/>
  </w:num>
  <w:num w:numId="2">
    <w:abstractNumId w:val="5"/>
  </w:num>
  <w:num w:numId="3">
    <w:abstractNumId w:val="19"/>
  </w:num>
  <w:num w:numId="4">
    <w:abstractNumId w:val="14"/>
  </w:num>
  <w:num w:numId="5">
    <w:abstractNumId w:val="11"/>
  </w:num>
  <w:num w:numId="6">
    <w:abstractNumId w:val="22"/>
  </w:num>
  <w:num w:numId="7">
    <w:abstractNumId w:val="17"/>
  </w:num>
  <w:num w:numId="8">
    <w:abstractNumId w:val="7"/>
  </w:num>
  <w:num w:numId="9">
    <w:abstractNumId w:val="4"/>
  </w:num>
  <w:num w:numId="10">
    <w:abstractNumId w:val="23"/>
  </w:num>
  <w:num w:numId="11">
    <w:abstractNumId w:val="13"/>
  </w:num>
  <w:num w:numId="12">
    <w:abstractNumId w:val="6"/>
  </w:num>
  <w:num w:numId="13">
    <w:abstractNumId w:val="9"/>
  </w:num>
  <w:num w:numId="14">
    <w:abstractNumId w:val="12"/>
  </w:num>
  <w:num w:numId="15">
    <w:abstractNumId w:val="8"/>
  </w:num>
  <w:num w:numId="16">
    <w:abstractNumId w:val="10"/>
  </w:num>
  <w:num w:numId="17">
    <w:abstractNumId w:val="16"/>
  </w:num>
  <w:num w:numId="18">
    <w:abstractNumId w:val="18"/>
  </w:num>
  <w:num w:numId="19">
    <w:abstractNumId w:val="3"/>
  </w:num>
  <w:num w:numId="20">
    <w:abstractNumId w:val="2"/>
  </w:num>
  <w:num w:numId="21">
    <w:abstractNumId w:val="21"/>
  </w:num>
  <w:num w:numId="22">
    <w:abstractNumId w:val="1"/>
  </w:num>
  <w:num w:numId="23">
    <w:abstractNumId w:val="0"/>
  </w:num>
  <w:num w:numId="2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5925"/>
    <w:rsid w:val="00000244"/>
    <w:rsid w:val="0000185F"/>
    <w:rsid w:val="0000586F"/>
    <w:rsid w:val="00010C95"/>
    <w:rsid w:val="00012959"/>
    <w:rsid w:val="00013D86"/>
    <w:rsid w:val="00013E02"/>
    <w:rsid w:val="000154E5"/>
    <w:rsid w:val="00020B85"/>
    <w:rsid w:val="0002143C"/>
    <w:rsid w:val="00021E05"/>
    <w:rsid w:val="00022979"/>
    <w:rsid w:val="00023B02"/>
    <w:rsid w:val="00024A20"/>
    <w:rsid w:val="00025A65"/>
    <w:rsid w:val="00026C31"/>
    <w:rsid w:val="00026F2D"/>
    <w:rsid w:val="00027280"/>
    <w:rsid w:val="00030806"/>
    <w:rsid w:val="000320A7"/>
    <w:rsid w:val="00032715"/>
    <w:rsid w:val="000331FE"/>
    <w:rsid w:val="00035925"/>
    <w:rsid w:val="0004282E"/>
    <w:rsid w:val="00044207"/>
    <w:rsid w:val="000460DC"/>
    <w:rsid w:val="00046699"/>
    <w:rsid w:val="00046BED"/>
    <w:rsid w:val="000528F0"/>
    <w:rsid w:val="00055DC5"/>
    <w:rsid w:val="0005778E"/>
    <w:rsid w:val="00062E35"/>
    <w:rsid w:val="000635E6"/>
    <w:rsid w:val="00067CDF"/>
    <w:rsid w:val="00074FBE"/>
    <w:rsid w:val="000800E8"/>
    <w:rsid w:val="00083A09"/>
    <w:rsid w:val="0009005E"/>
    <w:rsid w:val="00092857"/>
    <w:rsid w:val="000A003B"/>
    <w:rsid w:val="000A20A9"/>
    <w:rsid w:val="000A3628"/>
    <w:rsid w:val="000A48B1"/>
    <w:rsid w:val="000A6691"/>
    <w:rsid w:val="000B142F"/>
    <w:rsid w:val="000B3143"/>
    <w:rsid w:val="000C18D5"/>
    <w:rsid w:val="000C2B42"/>
    <w:rsid w:val="000C2FF7"/>
    <w:rsid w:val="000C6B05"/>
    <w:rsid w:val="000C6DD6"/>
    <w:rsid w:val="000C73D4"/>
    <w:rsid w:val="000D046E"/>
    <w:rsid w:val="000D11A9"/>
    <w:rsid w:val="000D2CF3"/>
    <w:rsid w:val="000D3D4C"/>
    <w:rsid w:val="000D41C1"/>
    <w:rsid w:val="000D4F51"/>
    <w:rsid w:val="000D718B"/>
    <w:rsid w:val="000E0C46"/>
    <w:rsid w:val="000E2414"/>
    <w:rsid w:val="000E2798"/>
    <w:rsid w:val="000E38C4"/>
    <w:rsid w:val="000E521A"/>
    <w:rsid w:val="000F030C"/>
    <w:rsid w:val="000F0783"/>
    <w:rsid w:val="000F129C"/>
    <w:rsid w:val="001056DE"/>
    <w:rsid w:val="001118CA"/>
    <w:rsid w:val="001124C0"/>
    <w:rsid w:val="00114FEA"/>
    <w:rsid w:val="001259DF"/>
    <w:rsid w:val="00126615"/>
    <w:rsid w:val="0013175F"/>
    <w:rsid w:val="001353F5"/>
    <w:rsid w:val="00142C71"/>
    <w:rsid w:val="00147891"/>
    <w:rsid w:val="001512B4"/>
    <w:rsid w:val="00154C14"/>
    <w:rsid w:val="001620A5"/>
    <w:rsid w:val="00162E49"/>
    <w:rsid w:val="00164E53"/>
    <w:rsid w:val="0016699D"/>
    <w:rsid w:val="00170593"/>
    <w:rsid w:val="0017144B"/>
    <w:rsid w:val="00174600"/>
    <w:rsid w:val="00175159"/>
    <w:rsid w:val="00176208"/>
    <w:rsid w:val="001808AE"/>
    <w:rsid w:val="0018211B"/>
    <w:rsid w:val="001840D3"/>
    <w:rsid w:val="00184326"/>
    <w:rsid w:val="001855C6"/>
    <w:rsid w:val="00186122"/>
    <w:rsid w:val="0019007C"/>
    <w:rsid w:val="001900F8"/>
    <w:rsid w:val="00191258"/>
    <w:rsid w:val="001913AA"/>
    <w:rsid w:val="00191846"/>
    <w:rsid w:val="00192680"/>
    <w:rsid w:val="00193037"/>
    <w:rsid w:val="00193A2C"/>
    <w:rsid w:val="00195FB7"/>
    <w:rsid w:val="001963A1"/>
    <w:rsid w:val="00197D0B"/>
    <w:rsid w:val="001A288E"/>
    <w:rsid w:val="001A3ED1"/>
    <w:rsid w:val="001B0105"/>
    <w:rsid w:val="001B3101"/>
    <w:rsid w:val="001B482D"/>
    <w:rsid w:val="001B565E"/>
    <w:rsid w:val="001B6DC2"/>
    <w:rsid w:val="001B7303"/>
    <w:rsid w:val="001C003B"/>
    <w:rsid w:val="001C149C"/>
    <w:rsid w:val="001C21AC"/>
    <w:rsid w:val="001C47BA"/>
    <w:rsid w:val="001C59EA"/>
    <w:rsid w:val="001D075F"/>
    <w:rsid w:val="001D406C"/>
    <w:rsid w:val="001D41EE"/>
    <w:rsid w:val="001D73DC"/>
    <w:rsid w:val="001E0380"/>
    <w:rsid w:val="001E13B1"/>
    <w:rsid w:val="001E5DF1"/>
    <w:rsid w:val="001E7AD7"/>
    <w:rsid w:val="001F1DFD"/>
    <w:rsid w:val="001F3A19"/>
    <w:rsid w:val="001F712A"/>
    <w:rsid w:val="0020260C"/>
    <w:rsid w:val="00202F0E"/>
    <w:rsid w:val="002148D9"/>
    <w:rsid w:val="0021601C"/>
    <w:rsid w:val="0022350C"/>
    <w:rsid w:val="00225ACC"/>
    <w:rsid w:val="0022638A"/>
    <w:rsid w:val="0022715C"/>
    <w:rsid w:val="00234467"/>
    <w:rsid w:val="00237D8D"/>
    <w:rsid w:val="00241DA2"/>
    <w:rsid w:val="0024411E"/>
    <w:rsid w:val="00247CF5"/>
    <w:rsid w:val="00247FEE"/>
    <w:rsid w:val="00250E7D"/>
    <w:rsid w:val="002565D5"/>
    <w:rsid w:val="00257B6B"/>
    <w:rsid w:val="0026156A"/>
    <w:rsid w:val="002622C0"/>
    <w:rsid w:val="00276BC4"/>
    <w:rsid w:val="002778AE"/>
    <w:rsid w:val="00277EB7"/>
    <w:rsid w:val="00280E4E"/>
    <w:rsid w:val="0028186F"/>
    <w:rsid w:val="0028269A"/>
    <w:rsid w:val="00283590"/>
    <w:rsid w:val="00286973"/>
    <w:rsid w:val="00291633"/>
    <w:rsid w:val="00292EDA"/>
    <w:rsid w:val="00294E70"/>
    <w:rsid w:val="002A1924"/>
    <w:rsid w:val="002A63E0"/>
    <w:rsid w:val="002A7420"/>
    <w:rsid w:val="002B0F12"/>
    <w:rsid w:val="002B1308"/>
    <w:rsid w:val="002B4554"/>
    <w:rsid w:val="002C0ED4"/>
    <w:rsid w:val="002C1641"/>
    <w:rsid w:val="002C4350"/>
    <w:rsid w:val="002C4BB3"/>
    <w:rsid w:val="002C6793"/>
    <w:rsid w:val="002C72D8"/>
    <w:rsid w:val="002D0D12"/>
    <w:rsid w:val="002D11FA"/>
    <w:rsid w:val="002D1C07"/>
    <w:rsid w:val="002D7B1C"/>
    <w:rsid w:val="002E0750"/>
    <w:rsid w:val="002E0C6B"/>
    <w:rsid w:val="002E0DDF"/>
    <w:rsid w:val="002E1265"/>
    <w:rsid w:val="002E2906"/>
    <w:rsid w:val="002E363B"/>
    <w:rsid w:val="002E5635"/>
    <w:rsid w:val="002E64C3"/>
    <w:rsid w:val="002E6A2C"/>
    <w:rsid w:val="002F0DE2"/>
    <w:rsid w:val="002F1010"/>
    <w:rsid w:val="002F1D8C"/>
    <w:rsid w:val="002F21DA"/>
    <w:rsid w:val="002F28E9"/>
    <w:rsid w:val="002F4C0F"/>
    <w:rsid w:val="002F6417"/>
    <w:rsid w:val="002F7B32"/>
    <w:rsid w:val="00301F39"/>
    <w:rsid w:val="0030605E"/>
    <w:rsid w:val="00317B7C"/>
    <w:rsid w:val="00325926"/>
    <w:rsid w:val="00327A8A"/>
    <w:rsid w:val="00333A07"/>
    <w:rsid w:val="00336610"/>
    <w:rsid w:val="00336669"/>
    <w:rsid w:val="0034319B"/>
    <w:rsid w:val="00343F73"/>
    <w:rsid w:val="00345060"/>
    <w:rsid w:val="0035090D"/>
    <w:rsid w:val="0035323B"/>
    <w:rsid w:val="0035591C"/>
    <w:rsid w:val="003609D2"/>
    <w:rsid w:val="00362182"/>
    <w:rsid w:val="0036229B"/>
    <w:rsid w:val="003623FD"/>
    <w:rsid w:val="00362B4E"/>
    <w:rsid w:val="00363F22"/>
    <w:rsid w:val="00364E19"/>
    <w:rsid w:val="00375564"/>
    <w:rsid w:val="00375AED"/>
    <w:rsid w:val="00375DB8"/>
    <w:rsid w:val="00383191"/>
    <w:rsid w:val="00386DED"/>
    <w:rsid w:val="00387F10"/>
    <w:rsid w:val="003912E7"/>
    <w:rsid w:val="00393947"/>
    <w:rsid w:val="003A1C9D"/>
    <w:rsid w:val="003A217A"/>
    <w:rsid w:val="003A2275"/>
    <w:rsid w:val="003A6482"/>
    <w:rsid w:val="003A6A4F"/>
    <w:rsid w:val="003A7088"/>
    <w:rsid w:val="003A7FE6"/>
    <w:rsid w:val="003B00DF"/>
    <w:rsid w:val="003B1275"/>
    <w:rsid w:val="003B1778"/>
    <w:rsid w:val="003B5CC1"/>
    <w:rsid w:val="003C11CB"/>
    <w:rsid w:val="003C663F"/>
    <w:rsid w:val="003C75F3"/>
    <w:rsid w:val="003C78A3"/>
    <w:rsid w:val="003D65C5"/>
    <w:rsid w:val="003D7885"/>
    <w:rsid w:val="003D79B1"/>
    <w:rsid w:val="003E1867"/>
    <w:rsid w:val="003E5729"/>
    <w:rsid w:val="003F2E3C"/>
    <w:rsid w:val="003F4EE0"/>
    <w:rsid w:val="003F66E4"/>
    <w:rsid w:val="0040163C"/>
    <w:rsid w:val="00402153"/>
    <w:rsid w:val="00402FC1"/>
    <w:rsid w:val="00405B59"/>
    <w:rsid w:val="00405F36"/>
    <w:rsid w:val="0041584C"/>
    <w:rsid w:val="00416C60"/>
    <w:rsid w:val="00416FC3"/>
    <w:rsid w:val="004230B9"/>
    <w:rsid w:val="00425082"/>
    <w:rsid w:val="00425827"/>
    <w:rsid w:val="00427F36"/>
    <w:rsid w:val="00430E08"/>
    <w:rsid w:val="00431DEB"/>
    <w:rsid w:val="00432CCB"/>
    <w:rsid w:val="00434004"/>
    <w:rsid w:val="00436E07"/>
    <w:rsid w:val="00441421"/>
    <w:rsid w:val="00443051"/>
    <w:rsid w:val="00444B28"/>
    <w:rsid w:val="00444EA5"/>
    <w:rsid w:val="00446B29"/>
    <w:rsid w:val="00453F9A"/>
    <w:rsid w:val="00465D72"/>
    <w:rsid w:val="004664EF"/>
    <w:rsid w:val="00466708"/>
    <w:rsid w:val="00470CCA"/>
    <w:rsid w:val="00471E91"/>
    <w:rsid w:val="004728CF"/>
    <w:rsid w:val="00473CB0"/>
    <w:rsid w:val="00474675"/>
    <w:rsid w:val="0047470C"/>
    <w:rsid w:val="00474D45"/>
    <w:rsid w:val="00476701"/>
    <w:rsid w:val="004830F7"/>
    <w:rsid w:val="00484A07"/>
    <w:rsid w:val="00495337"/>
    <w:rsid w:val="004A35F9"/>
    <w:rsid w:val="004A5DFE"/>
    <w:rsid w:val="004A7CF9"/>
    <w:rsid w:val="004B24C1"/>
    <w:rsid w:val="004C099B"/>
    <w:rsid w:val="004C15CF"/>
    <w:rsid w:val="004C292F"/>
    <w:rsid w:val="004E1B8B"/>
    <w:rsid w:val="004F5102"/>
    <w:rsid w:val="004F5662"/>
    <w:rsid w:val="00505DA1"/>
    <w:rsid w:val="005063E5"/>
    <w:rsid w:val="00510280"/>
    <w:rsid w:val="0051162E"/>
    <w:rsid w:val="00512D91"/>
    <w:rsid w:val="00513D73"/>
    <w:rsid w:val="00514975"/>
    <w:rsid w:val="00514A43"/>
    <w:rsid w:val="005174E5"/>
    <w:rsid w:val="00522393"/>
    <w:rsid w:val="00522620"/>
    <w:rsid w:val="00525656"/>
    <w:rsid w:val="00534C02"/>
    <w:rsid w:val="0053621F"/>
    <w:rsid w:val="00536538"/>
    <w:rsid w:val="00540AF1"/>
    <w:rsid w:val="00540B90"/>
    <w:rsid w:val="0054264B"/>
    <w:rsid w:val="00543786"/>
    <w:rsid w:val="005467F0"/>
    <w:rsid w:val="0054700D"/>
    <w:rsid w:val="005533D7"/>
    <w:rsid w:val="00555FA6"/>
    <w:rsid w:val="00560B17"/>
    <w:rsid w:val="00561F57"/>
    <w:rsid w:val="00564135"/>
    <w:rsid w:val="00566774"/>
    <w:rsid w:val="005703DE"/>
    <w:rsid w:val="00575421"/>
    <w:rsid w:val="00577D9D"/>
    <w:rsid w:val="0058390E"/>
    <w:rsid w:val="005839C1"/>
    <w:rsid w:val="0058464E"/>
    <w:rsid w:val="00593B48"/>
    <w:rsid w:val="005973D7"/>
    <w:rsid w:val="005A01CB"/>
    <w:rsid w:val="005A58FF"/>
    <w:rsid w:val="005A5EAF"/>
    <w:rsid w:val="005A64C0"/>
    <w:rsid w:val="005B04C8"/>
    <w:rsid w:val="005B1F67"/>
    <w:rsid w:val="005B35C9"/>
    <w:rsid w:val="005B3C11"/>
    <w:rsid w:val="005B6419"/>
    <w:rsid w:val="005C1C28"/>
    <w:rsid w:val="005C55E0"/>
    <w:rsid w:val="005C6DB5"/>
    <w:rsid w:val="005D15F6"/>
    <w:rsid w:val="005D1D2E"/>
    <w:rsid w:val="005E1086"/>
    <w:rsid w:val="005E19E7"/>
    <w:rsid w:val="005E6CFB"/>
    <w:rsid w:val="005F0D35"/>
    <w:rsid w:val="005F4393"/>
    <w:rsid w:val="005F528B"/>
    <w:rsid w:val="005F543A"/>
    <w:rsid w:val="006147B0"/>
    <w:rsid w:val="006160C1"/>
    <w:rsid w:val="0061716C"/>
    <w:rsid w:val="00622BF4"/>
    <w:rsid w:val="00623FFA"/>
    <w:rsid w:val="006243A1"/>
    <w:rsid w:val="00632E56"/>
    <w:rsid w:val="00635CBA"/>
    <w:rsid w:val="006360BD"/>
    <w:rsid w:val="00640FA7"/>
    <w:rsid w:val="00641776"/>
    <w:rsid w:val="0064277C"/>
    <w:rsid w:val="0064338B"/>
    <w:rsid w:val="00646318"/>
    <w:rsid w:val="00646542"/>
    <w:rsid w:val="006504F4"/>
    <w:rsid w:val="00651B26"/>
    <w:rsid w:val="00654BC9"/>
    <w:rsid w:val="006552FD"/>
    <w:rsid w:val="00663AF3"/>
    <w:rsid w:val="00666B6C"/>
    <w:rsid w:val="00671C32"/>
    <w:rsid w:val="0067445D"/>
    <w:rsid w:val="0067572C"/>
    <w:rsid w:val="006773F5"/>
    <w:rsid w:val="00677F56"/>
    <w:rsid w:val="00682383"/>
    <w:rsid w:val="00682682"/>
    <w:rsid w:val="00682702"/>
    <w:rsid w:val="00682CAE"/>
    <w:rsid w:val="006835D4"/>
    <w:rsid w:val="00684A63"/>
    <w:rsid w:val="0069166C"/>
    <w:rsid w:val="00692368"/>
    <w:rsid w:val="00693504"/>
    <w:rsid w:val="006A295F"/>
    <w:rsid w:val="006A2EBC"/>
    <w:rsid w:val="006A5EA0"/>
    <w:rsid w:val="006A6037"/>
    <w:rsid w:val="006A783B"/>
    <w:rsid w:val="006A7B33"/>
    <w:rsid w:val="006B4E13"/>
    <w:rsid w:val="006B6253"/>
    <w:rsid w:val="006B75DD"/>
    <w:rsid w:val="006B7D0B"/>
    <w:rsid w:val="006C2804"/>
    <w:rsid w:val="006C5E05"/>
    <w:rsid w:val="006C5F16"/>
    <w:rsid w:val="006C67E0"/>
    <w:rsid w:val="006C7ABA"/>
    <w:rsid w:val="006D0D60"/>
    <w:rsid w:val="006D1122"/>
    <w:rsid w:val="006D3C00"/>
    <w:rsid w:val="006D6CF4"/>
    <w:rsid w:val="006E3675"/>
    <w:rsid w:val="006E3906"/>
    <w:rsid w:val="006E4A7F"/>
    <w:rsid w:val="006E54AD"/>
    <w:rsid w:val="006F76E9"/>
    <w:rsid w:val="006F7F49"/>
    <w:rsid w:val="00704DF6"/>
    <w:rsid w:val="00705E5C"/>
    <w:rsid w:val="0070651C"/>
    <w:rsid w:val="00710243"/>
    <w:rsid w:val="00710C77"/>
    <w:rsid w:val="007132A3"/>
    <w:rsid w:val="00713369"/>
    <w:rsid w:val="00716421"/>
    <w:rsid w:val="00722961"/>
    <w:rsid w:val="00724520"/>
    <w:rsid w:val="00724EFB"/>
    <w:rsid w:val="00731A0E"/>
    <w:rsid w:val="00735581"/>
    <w:rsid w:val="007419C3"/>
    <w:rsid w:val="0074479F"/>
    <w:rsid w:val="00744F22"/>
    <w:rsid w:val="00745C78"/>
    <w:rsid w:val="007467A7"/>
    <w:rsid w:val="007469DD"/>
    <w:rsid w:val="0074741B"/>
    <w:rsid w:val="0074759E"/>
    <w:rsid w:val="007478EA"/>
    <w:rsid w:val="00751918"/>
    <w:rsid w:val="00752C94"/>
    <w:rsid w:val="0075415C"/>
    <w:rsid w:val="00754FD9"/>
    <w:rsid w:val="0076227C"/>
    <w:rsid w:val="00763502"/>
    <w:rsid w:val="007648DD"/>
    <w:rsid w:val="00766DCD"/>
    <w:rsid w:val="0077773D"/>
    <w:rsid w:val="0078179E"/>
    <w:rsid w:val="00784A23"/>
    <w:rsid w:val="007854B4"/>
    <w:rsid w:val="00785DB8"/>
    <w:rsid w:val="00786177"/>
    <w:rsid w:val="007913AB"/>
    <w:rsid w:val="007914F7"/>
    <w:rsid w:val="00791BBB"/>
    <w:rsid w:val="00792250"/>
    <w:rsid w:val="00792822"/>
    <w:rsid w:val="00793AE2"/>
    <w:rsid w:val="007A4B0B"/>
    <w:rsid w:val="007B1625"/>
    <w:rsid w:val="007B187B"/>
    <w:rsid w:val="007B2B29"/>
    <w:rsid w:val="007B4E9D"/>
    <w:rsid w:val="007B706E"/>
    <w:rsid w:val="007B71EB"/>
    <w:rsid w:val="007C0842"/>
    <w:rsid w:val="007C0C12"/>
    <w:rsid w:val="007C6205"/>
    <w:rsid w:val="007C686A"/>
    <w:rsid w:val="007C728E"/>
    <w:rsid w:val="007D2C53"/>
    <w:rsid w:val="007D3D60"/>
    <w:rsid w:val="007E0B18"/>
    <w:rsid w:val="007E1980"/>
    <w:rsid w:val="007E4B76"/>
    <w:rsid w:val="007E5EA8"/>
    <w:rsid w:val="007F0CF1"/>
    <w:rsid w:val="007F12A5"/>
    <w:rsid w:val="007F3C3B"/>
    <w:rsid w:val="007F4015"/>
    <w:rsid w:val="007F4CF1"/>
    <w:rsid w:val="007F72D0"/>
    <w:rsid w:val="007F758D"/>
    <w:rsid w:val="007F7D52"/>
    <w:rsid w:val="0080654C"/>
    <w:rsid w:val="008071C6"/>
    <w:rsid w:val="00812D8C"/>
    <w:rsid w:val="008136A1"/>
    <w:rsid w:val="00817353"/>
    <w:rsid w:val="00817A00"/>
    <w:rsid w:val="00824EBA"/>
    <w:rsid w:val="00825C2C"/>
    <w:rsid w:val="00827137"/>
    <w:rsid w:val="00832524"/>
    <w:rsid w:val="00834C35"/>
    <w:rsid w:val="00835DB3"/>
    <w:rsid w:val="0083617B"/>
    <w:rsid w:val="00836247"/>
    <w:rsid w:val="00837186"/>
    <w:rsid w:val="008371BD"/>
    <w:rsid w:val="008451D8"/>
    <w:rsid w:val="00845755"/>
    <w:rsid w:val="00846FD9"/>
    <w:rsid w:val="008504A8"/>
    <w:rsid w:val="0085282E"/>
    <w:rsid w:val="00855975"/>
    <w:rsid w:val="00865749"/>
    <w:rsid w:val="00865930"/>
    <w:rsid w:val="0087198C"/>
    <w:rsid w:val="00872C1F"/>
    <w:rsid w:val="00873B42"/>
    <w:rsid w:val="0087738D"/>
    <w:rsid w:val="00880E00"/>
    <w:rsid w:val="00884C56"/>
    <w:rsid w:val="008856D8"/>
    <w:rsid w:val="008911C1"/>
    <w:rsid w:val="00892E82"/>
    <w:rsid w:val="00893F39"/>
    <w:rsid w:val="008A43E7"/>
    <w:rsid w:val="008A4B19"/>
    <w:rsid w:val="008A6BAF"/>
    <w:rsid w:val="008C1B58"/>
    <w:rsid w:val="008C35B8"/>
    <w:rsid w:val="008C39AE"/>
    <w:rsid w:val="008C590D"/>
    <w:rsid w:val="008D2443"/>
    <w:rsid w:val="008D397B"/>
    <w:rsid w:val="008D44BA"/>
    <w:rsid w:val="008E031B"/>
    <w:rsid w:val="008E2B4F"/>
    <w:rsid w:val="008E376C"/>
    <w:rsid w:val="008E3B2D"/>
    <w:rsid w:val="008E6317"/>
    <w:rsid w:val="008E7029"/>
    <w:rsid w:val="008E7EF6"/>
    <w:rsid w:val="008F1F98"/>
    <w:rsid w:val="008F3353"/>
    <w:rsid w:val="008F3FC3"/>
    <w:rsid w:val="008F6758"/>
    <w:rsid w:val="00900561"/>
    <w:rsid w:val="00903008"/>
    <w:rsid w:val="0090376B"/>
    <w:rsid w:val="009040DD"/>
    <w:rsid w:val="00905B47"/>
    <w:rsid w:val="009108F9"/>
    <w:rsid w:val="00911B61"/>
    <w:rsid w:val="00911DDC"/>
    <w:rsid w:val="0091331C"/>
    <w:rsid w:val="00916DAA"/>
    <w:rsid w:val="009279DE"/>
    <w:rsid w:val="00930116"/>
    <w:rsid w:val="00931DA9"/>
    <w:rsid w:val="00935046"/>
    <w:rsid w:val="00936B78"/>
    <w:rsid w:val="0094212C"/>
    <w:rsid w:val="00945784"/>
    <w:rsid w:val="00954689"/>
    <w:rsid w:val="00955FCF"/>
    <w:rsid w:val="009608AD"/>
    <w:rsid w:val="00960DCC"/>
    <w:rsid w:val="009617C9"/>
    <w:rsid w:val="00961C93"/>
    <w:rsid w:val="00963CA5"/>
    <w:rsid w:val="00964EED"/>
    <w:rsid w:val="00964F76"/>
    <w:rsid w:val="00965324"/>
    <w:rsid w:val="0097091E"/>
    <w:rsid w:val="00970AC2"/>
    <w:rsid w:val="00971C3A"/>
    <w:rsid w:val="00971DCA"/>
    <w:rsid w:val="00972519"/>
    <w:rsid w:val="00974F4F"/>
    <w:rsid w:val="009760D3"/>
    <w:rsid w:val="00977132"/>
    <w:rsid w:val="00977445"/>
    <w:rsid w:val="00980846"/>
    <w:rsid w:val="00980E9D"/>
    <w:rsid w:val="0098127D"/>
    <w:rsid w:val="00981A4B"/>
    <w:rsid w:val="00982501"/>
    <w:rsid w:val="00983290"/>
    <w:rsid w:val="009861E2"/>
    <w:rsid w:val="009877D3"/>
    <w:rsid w:val="00987BB5"/>
    <w:rsid w:val="00987C1D"/>
    <w:rsid w:val="00987F11"/>
    <w:rsid w:val="0099036B"/>
    <w:rsid w:val="00994D46"/>
    <w:rsid w:val="00994E8F"/>
    <w:rsid w:val="009951DC"/>
    <w:rsid w:val="009959BB"/>
    <w:rsid w:val="009963B8"/>
    <w:rsid w:val="00997158"/>
    <w:rsid w:val="009A19AF"/>
    <w:rsid w:val="009A3A7C"/>
    <w:rsid w:val="009A6F6C"/>
    <w:rsid w:val="009B2ADB"/>
    <w:rsid w:val="009B3FB0"/>
    <w:rsid w:val="009B603A"/>
    <w:rsid w:val="009B61F4"/>
    <w:rsid w:val="009B789D"/>
    <w:rsid w:val="009B7A56"/>
    <w:rsid w:val="009C2D0E"/>
    <w:rsid w:val="009C3DAC"/>
    <w:rsid w:val="009C42E0"/>
    <w:rsid w:val="009D5362"/>
    <w:rsid w:val="009D70DE"/>
    <w:rsid w:val="009E0A6F"/>
    <w:rsid w:val="009E1415"/>
    <w:rsid w:val="009E6116"/>
    <w:rsid w:val="009F6045"/>
    <w:rsid w:val="00A025A9"/>
    <w:rsid w:val="00A02E43"/>
    <w:rsid w:val="00A02E5C"/>
    <w:rsid w:val="00A065F9"/>
    <w:rsid w:val="00A07F34"/>
    <w:rsid w:val="00A14E93"/>
    <w:rsid w:val="00A161F2"/>
    <w:rsid w:val="00A1702E"/>
    <w:rsid w:val="00A209C8"/>
    <w:rsid w:val="00A2181B"/>
    <w:rsid w:val="00A22154"/>
    <w:rsid w:val="00A235B8"/>
    <w:rsid w:val="00A2521B"/>
    <w:rsid w:val="00A25C38"/>
    <w:rsid w:val="00A25C85"/>
    <w:rsid w:val="00A269F3"/>
    <w:rsid w:val="00A27C76"/>
    <w:rsid w:val="00A30517"/>
    <w:rsid w:val="00A332AE"/>
    <w:rsid w:val="00A33F78"/>
    <w:rsid w:val="00A36BBE"/>
    <w:rsid w:val="00A407CB"/>
    <w:rsid w:val="00A4307A"/>
    <w:rsid w:val="00A46ABC"/>
    <w:rsid w:val="00A47EBB"/>
    <w:rsid w:val="00A50BEA"/>
    <w:rsid w:val="00A51CDD"/>
    <w:rsid w:val="00A65D7B"/>
    <w:rsid w:val="00A6730D"/>
    <w:rsid w:val="00A70AFF"/>
    <w:rsid w:val="00A71625"/>
    <w:rsid w:val="00A71B9B"/>
    <w:rsid w:val="00A73424"/>
    <w:rsid w:val="00A751C7"/>
    <w:rsid w:val="00A87844"/>
    <w:rsid w:val="00A9064A"/>
    <w:rsid w:val="00A91BF1"/>
    <w:rsid w:val="00A92A50"/>
    <w:rsid w:val="00A943F9"/>
    <w:rsid w:val="00AA038C"/>
    <w:rsid w:val="00AA7A09"/>
    <w:rsid w:val="00AB13AA"/>
    <w:rsid w:val="00AB3B50"/>
    <w:rsid w:val="00AC05B1"/>
    <w:rsid w:val="00AC112F"/>
    <w:rsid w:val="00AD3061"/>
    <w:rsid w:val="00AD356C"/>
    <w:rsid w:val="00AD5AAF"/>
    <w:rsid w:val="00AE19DB"/>
    <w:rsid w:val="00AE2914"/>
    <w:rsid w:val="00AE377B"/>
    <w:rsid w:val="00AE3CD7"/>
    <w:rsid w:val="00AE3F7C"/>
    <w:rsid w:val="00AE6D15"/>
    <w:rsid w:val="00AE6FA4"/>
    <w:rsid w:val="00B02A34"/>
    <w:rsid w:val="00B04182"/>
    <w:rsid w:val="00B05434"/>
    <w:rsid w:val="00B07AE3"/>
    <w:rsid w:val="00B11430"/>
    <w:rsid w:val="00B1770D"/>
    <w:rsid w:val="00B204F8"/>
    <w:rsid w:val="00B20BBD"/>
    <w:rsid w:val="00B3524F"/>
    <w:rsid w:val="00B353EB"/>
    <w:rsid w:val="00B36434"/>
    <w:rsid w:val="00B37E10"/>
    <w:rsid w:val="00B439C4"/>
    <w:rsid w:val="00B4535E"/>
    <w:rsid w:val="00B52A8C"/>
    <w:rsid w:val="00B54C98"/>
    <w:rsid w:val="00B636A8"/>
    <w:rsid w:val="00B660D7"/>
    <w:rsid w:val="00B665C6"/>
    <w:rsid w:val="00B66A35"/>
    <w:rsid w:val="00B70D50"/>
    <w:rsid w:val="00B7124C"/>
    <w:rsid w:val="00B713EC"/>
    <w:rsid w:val="00B805AF"/>
    <w:rsid w:val="00B8443A"/>
    <w:rsid w:val="00B84460"/>
    <w:rsid w:val="00B869EC"/>
    <w:rsid w:val="00B86DD7"/>
    <w:rsid w:val="00B9207C"/>
    <w:rsid w:val="00B92F1C"/>
    <w:rsid w:val="00B9397A"/>
    <w:rsid w:val="00B95466"/>
    <w:rsid w:val="00B9633D"/>
    <w:rsid w:val="00B96730"/>
    <w:rsid w:val="00BA0587"/>
    <w:rsid w:val="00BA0B75"/>
    <w:rsid w:val="00BA0BBB"/>
    <w:rsid w:val="00BA2EBE"/>
    <w:rsid w:val="00BB0F28"/>
    <w:rsid w:val="00BB270B"/>
    <w:rsid w:val="00BB406F"/>
    <w:rsid w:val="00BB458A"/>
    <w:rsid w:val="00BB7275"/>
    <w:rsid w:val="00BC7DE0"/>
    <w:rsid w:val="00BD00D3"/>
    <w:rsid w:val="00BD1659"/>
    <w:rsid w:val="00BD397D"/>
    <w:rsid w:val="00BD3AA9"/>
    <w:rsid w:val="00BD4A18"/>
    <w:rsid w:val="00BD6DB2"/>
    <w:rsid w:val="00BE11CF"/>
    <w:rsid w:val="00BE1B81"/>
    <w:rsid w:val="00BE1D2E"/>
    <w:rsid w:val="00BE21AB"/>
    <w:rsid w:val="00BE2B06"/>
    <w:rsid w:val="00BE4720"/>
    <w:rsid w:val="00BE55CB"/>
    <w:rsid w:val="00BE5F37"/>
    <w:rsid w:val="00BF617A"/>
    <w:rsid w:val="00BF6FCE"/>
    <w:rsid w:val="00C02B1E"/>
    <w:rsid w:val="00C0379D"/>
    <w:rsid w:val="00C03931"/>
    <w:rsid w:val="00C05FE3"/>
    <w:rsid w:val="00C143F4"/>
    <w:rsid w:val="00C164B4"/>
    <w:rsid w:val="00C179DB"/>
    <w:rsid w:val="00C2136D"/>
    <w:rsid w:val="00C214EE"/>
    <w:rsid w:val="00C22B28"/>
    <w:rsid w:val="00C2314B"/>
    <w:rsid w:val="00C24971"/>
    <w:rsid w:val="00C267D6"/>
    <w:rsid w:val="00C26BE5"/>
    <w:rsid w:val="00C26E4D"/>
    <w:rsid w:val="00C27909"/>
    <w:rsid w:val="00C27B03"/>
    <w:rsid w:val="00C314E1"/>
    <w:rsid w:val="00C32BAA"/>
    <w:rsid w:val="00C33336"/>
    <w:rsid w:val="00C33B9B"/>
    <w:rsid w:val="00C33BE8"/>
    <w:rsid w:val="00C34397"/>
    <w:rsid w:val="00C3788B"/>
    <w:rsid w:val="00C4095D"/>
    <w:rsid w:val="00C40F0C"/>
    <w:rsid w:val="00C42A5E"/>
    <w:rsid w:val="00C43E1D"/>
    <w:rsid w:val="00C472CC"/>
    <w:rsid w:val="00C528B3"/>
    <w:rsid w:val="00C56A02"/>
    <w:rsid w:val="00C57A71"/>
    <w:rsid w:val="00C601D2"/>
    <w:rsid w:val="00C65BCC"/>
    <w:rsid w:val="00C66045"/>
    <w:rsid w:val="00C66970"/>
    <w:rsid w:val="00C712DC"/>
    <w:rsid w:val="00C743A0"/>
    <w:rsid w:val="00C748E5"/>
    <w:rsid w:val="00C74DDE"/>
    <w:rsid w:val="00C85CE4"/>
    <w:rsid w:val="00C8691C"/>
    <w:rsid w:val="00C91241"/>
    <w:rsid w:val="00C91EEF"/>
    <w:rsid w:val="00C928B3"/>
    <w:rsid w:val="00C92D15"/>
    <w:rsid w:val="00C946DC"/>
    <w:rsid w:val="00C97A8C"/>
    <w:rsid w:val="00CA168A"/>
    <w:rsid w:val="00CA357E"/>
    <w:rsid w:val="00CA44F9"/>
    <w:rsid w:val="00CA4A69"/>
    <w:rsid w:val="00CB0153"/>
    <w:rsid w:val="00CB598A"/>
    <w:rsid w:val="00CC348F"/>
    <w:rsid w:val="00CC36EF"/>
    <w:rsid w:val="00CC3E0C"/>
    <w:rsid w:val="00CC58D3"/>
    <w:rsid w:val="00CC784D"/>
    <w:rsid w:val="00CC7BDD"/>
    <w:rsid w:val="00CD1916"/>
    <w:rsid w:val="00CE27B4"/>
    <w:rsid w:val="00CE37D0"/>
    <w:rsid w:val="00CE5C79"/>
    <w:rsid w:val="00CF7FB0"/>
    <w:rsid w:val="00D00723"/>
    <w:rsid w:val="00D01697"/>
    <w:rsid w:val="00D03026"/>
    <w:rsid w:val="00D0337B"/>
    <w:rsid w:val="00D05600"/>
    <w:rsid w:val="00D079B2"/>
    <w:rsid w:val="00D10FC1"/>
    <w:rsid w:val="00D114E9"/>
    <w:rsid w:val="00D14EB3"/>
    <w:rsid w:val="00D150E8"/>
    <w:rsid w:val="00D20657"/>
    <w:rsid w:val="00D33305"/>
    <w:rsid w:val="00D34620"/>
    <w:rsid w:val="00D35DE1"/>
    <w:rsid w:val="00D41683"/>
    <w:rsid w:val="00D429C6"/>
    <w:rsid w:val="00D42FD8"/>
    <w:rsid w:val="00D430D5"/>
    <w:rsid w:val="00D44A83"/>
    <w:rsid w:val="00D47748"/>
    <w:rsid w:val="00D54502"/>
    <w:rsid w:val="00D54CC3"/>
    <w:rsid w:val="00D55065"/>
    <w:rsid w:val="00D55480"/>
    <w:rsid w:val="00D6041A"/>
    <w:rsid w:val="00D633EB"/>
    <w:rsid w:val="00D63910"/>
    <w:rsid w:val="00D65687"/>
    <w:rsid w:val="00D72CC7"/>
    <w:rsid w:val="00D76F58"/>
    <w:rsid w:val="00D82FF7"/>
    <w:rsid w:val="00D847FE"/>
    <w:rsid w:val="00D84C41"/>
    <w:rsid w:val="00D863E9"/>
    <w:rsid w:val="00D86F37"/>
    <w:rsid w:val="00D871D2"/>
    <w:rsid w:val="00D91499"/>
    <w:rsid w:val="00D93B8E"/>
    <w:rsid w:val="00D941B0"/>
    <w:rsid w:val="00D95C67"/>
    <w:rsid w:val="00D964EA"/>
    <w:rsid w:val="00D966D0"/>
    <w:rsid w:val="00D97E84"/>
    <w:rsid w:val="00DA0C59"/>
    <w:rsid w:val="00DA3991"/>
    <w:rsid w:val="00DA5743"/>
    <w:rsid w:val="00DB0990"/>
    <w:rsid w:val="00DB11E7"/>
    <w:rsid w:val="00DB5145"/>
    <w:rsid w:val="00DB7E6C"/>
    <w:rsid w:val="00DC16A7"/>
    <w:rsid w:val="00DD08F9"/>
    <w:rsid w:val="00DD22DE"/>
    <w:rsid w:val="00DD472A"/>
    <w:rsid w:val="00DD5A29"/>
    <w:rsid w:val="00DD5D9D"/>
    <w:rsid w:val="00DE3247"/>
    <w:rsid w:val="00DE35CB"/>
    <w:rsid w:val="00DE3645"/>
    <w:rsid w:val="00DE48D3"/>
    <w:rsid w:val="00DE6957"/>
    <w:rsid w:val="00DE71F7"/>
    <w:rsid w:val="00DF0BB1"/>
    <w:rsid w:val="00DF21E9"/>
    <w:rsid w:val="00E00F14"/>
    <w:rsid w:val="00E01C5B"/>
    <w:rsid w:val="00E06386"/>
    <w:rsid w:val="00E07663"/>
    <w:rsid w:val="00E171B9"/>
    <w:rsid w:val="00E24C47"/>
    <w:rsid w:val="00E24EB4"/>
    <w:rsid w:val="00E25F77"/>
    <w:rsid w:val="00E273F7"/>
    <w:rsid w:val="00E27C6B"/>
    <w:rsid w:val="00E320ED"/>
    <w:rsid w:val="00E33AFB"/>
    <w:rsid w:val="00E34218"/>
    <w:rsid w:val="00E345D8"/>
    <w:rsid w:val="00E365C9"/>
    <w:rsid w:val="00E42284"/>
    <w:rsid w:val="00E423FF"/>
    <w:rsid w:val="00E4470F"/>
    <w:rsid w:val="00E46282"/>
    <w:rsid w:val="00E47671"/>
    <w:rsid w:val="00E5216E"/>
    <w:rsid w:val="00E55ACF"/>
    <w:rsid w:val="00E575A5"/>
    <w:rsid w:val="00E65B6F"/>
    <w:rsid w:val="00E65E79"/>
    <w:rsid w:val="00E729C5"/>
    <w:rsid w:val="00E82344"/>
    <w:rsid w:val="00E84C82"/>
    <w:rsid w:val="00E84D64"/>
    <w:rsid w:val="00E864D0"/>
    <w:rsid w:val="00E86822"/>
    <w:rsid w:val="00E86B3F"/>
    <w:rsid w:val="00E87408"/>
    <w:rsid w:val="00E914C4"/>
    <w:rsid w:val="00E934F5"/>
    <w:rsid w:val="00E96961"/>
    <w:rsid w:val="00EA1A8D"/>
    <w:rsid w:val="00EA22F7"/>
    <w:rsid w:val="00EA6F4D"/>
    <w:rsid w:val="00EA72EC"/>
    <w:rsid w:val="00EB11CB"/>
    <w:rsid w:val="00EB275A"/>
    <w:rsid w:val="00EB786A"/>
    <w:rsid w:val="00EB7E89"/>
    <w:rsid w:val="00EC1578"/>
    <w:rsid w:val="00EC1C72"/>
    <w:rsid w:val="00EC3CC9"/>
    <w:rsid w:val="00EC680A"/>
    <w:rsid w:val="00ED7185"/>
    <w:rsid w:val="00EE2BED"/>
    <w:rsid w:val="00EE374B"/>
    <w:rsid w:val="00EE630D"/>
    <w:rsid w:val="00EF4E55"/>
    <w:rsid w:val="00F02968"/>
    <w:rsid w:val="00F06A6E"/>
    <w:rsid w:val="00F06DAD"/>
    <w:rsid w:val="00F118DC"/>
    <w:rsid w:val="00F11BB5"/>
    <w:rsid w:val="00F13CCB"/>
    <w:rsid w:val="00F1417B"/>
    <w:rsid w:val="00F142E5"/>
    <w:rsid w:val="00F268BF"/>
    <w:rsid w:val="00F34B99"/>
    <w:rsid w:val="00F36573"/>
    <w:rsid w:val="00F369ED"/>
    <w:rsid w:val="00F50D4B"/>
    <w:rsid w:val="00F5238C"/>
    <w:rsid w:val="00F52DAB"/>
    <w:rsid w:val="00F543F0"/>
    <w:rsid w:val="00F56A5D"/>
    <w:rsid w:val="00F66111"/>
    <w:rsid w:val="00F6669C"/>
    <w:rsid w:val="00F772BC"/>
    <w:rsid w:val="00F81C13"/>
    <w:rsid w:val="00F81D29"/>
    <w:rsid w:val="00F83C73"/>
    <w:rsid w:val="00F849A6"/>
    <w:rsid w:val="00F863D9"/>
    <w:rsid w:val="00F86B7F"/>
    <w:rsid w:val="00F91C4D"/>
    <w:rsid w:val="00F92FD9"/>
    <w:rsid w:val="00F93B50"/>
    <w:rsid w:val="00F9450A"/>
    <w:rsid w:val="00FA003E"/>
    <w:rsid w:val="00FA6684"/>
    <w:rsid w:val="00FA731E"/>
    <w:rsid w:val="00FA743C"/>
    <w:rsid w:val="00FB0A3D"/>
    <w:rsid w:val="00FB2B38"/>
    <w:rsid w:val="00FB6398"/>
    <w:rsid w:val="00FB699A"/>
    <w:rsid w:val="00FC6358"/>
    <w:rsid w:val="00FC7BAA"/>
    <w:rsid w:val="00FD01CF"/>
    <w:rsid w:val="00FD0E71"/>
    <w:rsid w:val="00FD320D"/>
    <w:rsid w:val="00FD48C8"/>
    <w:rsid w:val="00FD53A3"/>
    <w:rsid w:val="00FE23DE"/>
    <w:rsid w:val="00FE79A8"/>
    <w:rsid w:val="00FF0534"/>
    <w:rsid w:val="00FF25D1"/>
    <w:rsid w:val="011D736E"/>
    <w:rsid w:val="017101FF"/>
    <w:rsid w:val="018711AD"/>
    <w:rsid w:val="01A65669"/>
    <w:rsid w:val="01D37272"/>
    <w:rsid w:val="01D905E9"/>
    <w:rsid w:val="01F97176"/>
    <w:rsid w:val="02070CCA"/>
    <w:rsid w:val="0208387B"/>
    <w:rsid w:val="02134FC9"/>
    <w:rsid w:val="021A56E1"/>
    <w:rsid w:val="021F7DE4"/>
    <w:rsid w:val="025D2EC3"/>
    <w:rsid w:val="02716C63"/>
    <w:rsid w:val="02BF3827"/>
    <w:rsid w:val="02CF7A3A"/>
    <w:rsid w:val="02DC59B4"/>
    <w:rsid w:val="02F6136E"/>
    <w:rsid w:val="031F5573"/>
    <w:rsid w:val="03485BA2"/>
    <w:rsid w:val="03584C59"/>
    <w:rsid w:val="039F043D"/>
    <w:rsid w:val="03C52BEB"/>
    <w:rsid w:val="03CD7F78"/>
    <w:rsid w:val="03D07010"/>
    <w:rsid w:val="04011F1D"/>
    <w:rsid w:val="04226695"/>
    <w:rsid w:val="046A78E3"/>
    <w:rsid w:val="046F3084"/>
    <w:rsid w:val="047A0F18"/>
    <w:rsid w:val="047B1C45"/>
    <w:rsid w:val="048E1FF6"/>
    <w:rsid w:val="048F1CA8"/>
    <w:rsid w:val="04A44EF6"/>
    <w:rsid w:val="04D43580"/>
    <w:rsid w:val="04DA0918"/>
    <w:rsid w:val="05121743"/>
    <w:rsid w:val="05451B9E"/>
    <w:rsid w:val="05B2719F"/>
    <w:rsid w:val="05C40203"/>
    <w:rsid w:val="05E17D55"/>
    <w:rsid w:val="05EB7A7F"/>
    <w:rsid w:val="062157F3"/>
    <w:rsid w:val="0625379B"/>
    <w:rsid w:val="063E3BE7"/>
    <w:rsid w:val="066725B2"/>
    <w:rsid w:val="066E67C6"/>
    <w:rsid w:val="06711A14"/>
    <w:rsid w:val="06726DC5"/>
    <w:rsid w:val="068670D5"/>
    <w:rsid w:val="068723D9"/>
    <w:rsid w:val="06D30283"/>
    <w:rsid w:val="06EC398D"/>
    <w:rsid w:val="06F947FE"/>
    <w:rsid w:val="07001A2A"/>
    <w:rsid w:val="07114AE6"/>
    <w:rsid w:val="073D05D8"/>
    <w:rsid w:val="07801191"/>
    <w:rsid w:val="07892FB2"/>
    <w:rsid w:val="07A74228"/>
    <w:rsid w:val="080A2A2C"/>
    <w:rsid w:val="08D6334C"/>
    <w:rsid w:val="08E46983"/>
    <w:rsid w:val="093C3614"/>
    <w:rsid w:val="09865F9F"/>
    <w:rsid w:val="09BB14DC"/>
    <w:rsid w:val="09DB3A4C"/>
    <w:rsid w:val="09F216E2"/>
    <w:rsid w:val="0A062AFE"/>
    <w:rsid w:val="0A6A7C91"/>
    <w:rsid w:val="0A7503DF"/>
    <w:rsid w:val="0A8C69CF"/>
    <w:rsid w:val="0ABB045F"/>
    <w:rsid w:val="0AD3681D"/>
    <w:rsid w:val="0B262B42"/>
    <w:rsid w:val="0B455081"/>
    <w:rsid w:val="0B731539"/>
    <w:rsid w:val="0B7E2571"/>
    <w:rsid w:val="0B902470"/>
    <w:rsid w:val="0BD15E8E"/>
    <w:rsid w:val="0BE53247"/>
    <w:rsid w:val="0C0E514E"/>
    <w:rsid w:val="0C3C74BC"/>
    <w:rsid w:val="0C6B09F3"/>
    <w:rsid w:val="0C7E1063"/>
    <w:rsid w:val="0CB164D9"/>
    <w:rsid w:val="0CD14E64"/>
    <w:rsid w:val="0CF73F0B"/>
    <w:rsid w:val="0D205B0E"/>
    <w:rsid w:val="0D292255"/>
    <w:rsid w:val="0D6D5D1A"/>
    <w:rsid w:val="0DA675E9"/>
    <w:rsid w:val="0DB66121"/>
    <w:rsid w:val="0DBD41D7"/>
    <w:rsid w:val="0DC011AA"/>
    <w:rsid w:val="0DDA3A2C"/>
    <w:rsid w:val="0DDA653B"/>
    <w:rsid w:val="0DFB67F2"/>
    <w:rsid w:val="0E427EEA"/>
    <w:rsid w:val="0E6E08C6"/>
    <w:rsid w:val="0E925DBF"/>
    <w:rsid w:val="0E9C7F4D"/>
    <w:rsid w:val="0EAA3109"/>
    <w:rsid w:val="0ECF1201"/>
    <w:rsid w:val="0F314F7A"/>
    <w:rsid w:val="0F715F74"/>
    <w:rsid w:val="0F81332A"/>
    <w:rsid w:val="0F900551"/>
    <w:rsid w:val="0FAD3BCD"/>
    <w:rsid w:val="0FB029A1"/>
    <w:rsid w:val="0FBC6BCF"/>
    <w:rsid w:val="0FC9641C"/>
    <w:rsid w:val="0FDB13DF"/>
    <w:rsid w:val="0FDC60EC"/>
    <w:rsid w:val="0FEB1C2B"/>
    <w:rsid w:val="0FF00FEF"/>
    <w:rsid w:val="103E0BAD"/>
    <w:rsid w:val="1042463D"/>
    <w:rsid w:val="107C4044"/>
    <w:rsid w:val="108F6A5A"/>
    <w:rsid w:val="109B7FA1"/>
    <w:rsid w:val="10DF6B4C"/>
    <w:rsid w:val="10E23D5D"/>
    <w:rsid w:val="10FA0ECA"/>
    <w:rsid w:val="11015C79"/>
    <w:rsid w:val="11032FA4"/>
    <w:rsid w:val="11526A9C"/>
    <w:rsid w:val="115B01C1"/>
    <w:rsid w:val="117E6C9B"/>
    <w:rsid w:val="11A36919"/>
    <w:rsid w:val="11BA18B5"/>
    <w:rsid w:val="11EE3475"/>
    <w:rsid w:val="120772DB"/>
    <w:rsid w:val="122A6EEF"/>
    <w:rsid w:val="12481370"/>
    <w:rsid w:val="131C4C70"/>
    <w:rsid w:val="133E171D"/>
    <w:rsid w:val="13536754"/>
    <w:rsid w:val="137256A6"/>
    <w:rsid w:val="138E7747"/>
    <w:rsid w:val="13945ECF"/>
    <w:rsid w:val="13995A34"/>
    <w:rsid w:val="13E94F87"/>
    <w:rsid w:val="13ED194A"/>
    <w:rsid w:val="13FE3636"/>
    <w:rsid w:val="14066F8F"/>
    <w:rsid w:val="140846F8"/>
    <w:rsid w:val="142D5F77"/>
    <w:rsid w:val="144B00FF"/>
    <w:rsid w:val="146F16D7"/>
    <w:rsid w:val="1475759D"/>
    <w:rsid w:val="14811F29"/>
    <w:rsid w:val="148C5A94"/>
    <w:rsid w:val="14AA3E63"/>
    <w:rsid w:val="14AF7819"/>
    <w:rsid w:val="150F2857"/>
    <w:rsid w:val="151574CE"/>
    <w:rsid w:val="15495113"/>
    <w:rsid w:val="154D115E"/>
    <w:rsid w:val="15502E58"/>
    <w:rsid w:val="155104C4"/>
    <w:rsid w:val="155A12E5"/>
    <w:rsid w:val="1562774E"/>
    <w:rsid w:val="156C736A"/>
    <w:rsid w:val="15B72BBD"/>
    <w:rsid w:val="15E24D9A"/>
    <w:rsid w:val="161708D3"/>
    <w:rsid w:val="161A7033"/>
    <w:rsid w:val="16303A43"/>
    <w:rsid w:val="16331C36"/>
    <w:rsid w:val="166377E0"/>
    <w:rsid w:val="1666252F"/>
    <w:rsid w:val="16900C14"/>
    <w:rsid w:val="169E0AF0"/>
    <w:rsid w:val="16AB7A1E"/>
    <w:rsid w:val="16B335DE"/>
    <w:rsid w:val="16DE0DCA"/>
    <w:rsid w:val="16E35184"/>
    <w:rsid w:val="17243AB0"/>
    <w:rsid w:val="1726482B"/>
    <w:rsid w:val="174A36DB"/>
    <w:rsid w:val="179F49B8"/>
    <w:rsid w:val="17AE1EA7"/>
    <w:rsid w:val="17D80F82"/>
    <w:rsid w:val="17EE0FBD"/>
    <w:rsid w:val="1820443C"/>
    <w:rsid w:val="187929E4"/>
    <w:rsid w:val="18813404"/>
    <w:rsid w:val="18AB1BE3"/>
    <w:rsid w:val="18C64FE3"/>
    <w:rsid w:val="18CC7CA0"/>
    <w:rsid w:val="190702F5"/>
    <w:rsid w:val="19197809"/>
    <w:rsid w:val="192F4936"/>
    <w:rsid w:val="19AC7FC2"/>
    <w:rsid w:val="19C91603"/>
    <w:rsid w:val="19E33973"/>
    <w:rsid w:val="1A137973"/>
    <w:rsid w:val="1A364008"/>
    <w:rsid w:val="1A380B42"/>
    <w:rsid w:val="1A53019C"/>
    <w:rsid w:val="1AB06C39"/>
    <w:rsid w:val="1AD37E82"/>
    <w:rsid w:val="1BA60D4B"/>
    <w:rsid w:val="1BDC0517"/>
    <w:rsid w:val="1C181D5A"/>
    <w:rsid w:val="1C9E6AA5"/>
    <w:rsid w:val="1CB25CB8"/>
    <w:rsid w:val="1CC133FE"/>
    <w:rsid w:val="1D167BBB"/>
    <w:rsid w:val="1D1E40DF"/>
    <w:rsid w:val="1D2167BA"/>
    <w:rsid w:val="1DA43005"/>
    <w:rsid w:val="1DD1475F"/>
    <w:rsid w:val="1DFC0602"/>
    <w:rsid w:val="1E002A5B"/>
    <w:rsid w:val="1E335AA7"/>
    <w:rsid w:val="1E6D1071"/>
    <w:rsid w:val="1E936799"/>
    <w:rsid w:val="1E9D5A13"/>
    <w:rsid w:val="1EAF364B"/>
    <w:rsid w:val="1F3349F8"/>
    <w:rsid w:val="1F3D7AD9"/>
    <w:rsid w:val="1F3F008E"/>
    <w:rsid w:val="1F7E1C87"/>
    <w:rsid w:val="1F871A91"/>
    <w:rsid w:val="1FA76034"/>
    <w:rsid w:val="1FCE0B24"/>
    <w:rsid w:val="1FEB3937"/>
    <w:rsid w:val="1FFE08D4"/>
    <w:rsid w:val="20486A63"/>
    <w:rsid w:val="20612FF2"/>
    <w:rsid w:val="206B01C4"/>
    <w:rsid w:val="207928D9"/>
    <w:rsid w:val="20836C71"/>
    <w:rsid w:val="20AA47BD"/>
    <w:rsid w:val="20AE2645"/>
    <w:rsid w:val="20C51A8F"/>
    <w:rsid w:val="20DE48E5"/>
    <w:rsid w:val="210B5090"/>
    <w:rsid w:val="21222B90"/>
    <w:rsid w:val="212C4311"/>
    <w:rsid w:val="21336F8E"/>
    <w:rsid w:val="214C269E"/>
    <w:rsid w:val="21A56123"/>
    <w:rsid w:val="21D40771"/>
    <w:rsid w:val="21E3320A"/>
    <w:rsid w:val="22196184"/>
    <w:rsid w:val="226A7914"/>
    <w:rsid w:val="2271533D"/>
    <w:rsid w:val="228973AA"/>
    <w:rsid w:val="22BD23AD"/>
    <w:rsid w:val="22C25899"/>
    <w:rsid w:val="22D14261"/>
    <w:rsid w:val="22FC70EB"/>
    <w:rsid w:val="23042E9A"/>
    <w:rsid w:val="23526843"/>
    <w:rsid w:val="239E4C0D"/>
    <w:rsid w:val="241B46FF"/>
    <w:rsid w:val="243E5105"/>
    <w:rsid w:val="246C1812"/>
    <w:rsid w:val="248C4C96"/>
    <w:rsid w:val="24B81A8E"/>
    <w:rsid w:val="25004F8B"/>
    <w:rsid w:val="250A0AAD"/>
    <w:rsid w:val="25166E25"/>
    <w:rsid w:val="25440D9F"/>
    <w:rsid w:val="25806CEC"/>
    <w:rsid w:val="25983900"/>
    <w:rsid w:val="25A678F0"/>
    <w:rsid w:val="25B56ADF"/>
    <w:rsid w:val="25BD0267"/>
    <w:rsid w:val="25D4250D"/>
    <w:rsid w:val="260742CB"/>
    <w:rsid w:val="266B698F"/>
    <w:rsid w:val="266C5273"/>
    <w:rsid w:val="26A175B1"/>
    <w:rsid w:val="26A526B3"/>
    <w:rsid w:val="26D6239D"/>
    <w:rsid w:val="271F0105"/>
    <w:rsid w:val="273152D7"/>
    <w:rsid w:val="27414C85"/>
    <w:rsid w:val="275E6F07"/>
    <w:rsid w:val="27613DCD"/>
    <w:rsid w:val="27B91FCD"/>
    <w:rsid w:val="27C060AD"/>
    <w:rsid w:val="27C75F49"/>
    <w:rsid w:val="28195E97"/>
    <w:rsid w:val="281F201A"/>
    <w:rsid w:val="285F71CA"/>
    <w:rsid w:val="28CF7DD3"/>
    <w:rsid w:val="28D75DF2"/>
    <w:rsid w:val="28F94D58"/>
    <w:rsid w:val="29144B48"/>
    <w:rsid w:val="293576AF"/>
    <w:rsid w:val="29454DA1"/>
    <w:rsid w:val="29D97D78"/>
    <w:rsid w:val="29F65763"/>
    <w:rsid w:val="29FA0F90"/>
    <w:rsid w:val="29FF340B"/>
    <w:rsid w:val="2A1A50FF"/>
    <w:rsid w:val="2A631B68"/>
    <w:rsid w:val="2A9A4CC2"/>
    <w:rsid w:val="2AA56539"/>
    <w:rsid w:val="2AD24852"/>
    <w:rsid w:val="2ADB42B9"/>
    <w:rsid w:val="2AF179C8"/>
    <w:rsid w:val="2B0B4AD7"/>
    <w:rsid w:val="2B0E14CA"/>
    <w:rsid w:val="2B225CB9"/>
    <w:rsid w:val="2B51170F"/>
    <w:rsid w:val="2B555334"/>
    <w:rsid w:val="2B675F98"/>
    <w:rsid w:val="2B75442B"/>
    <w:rsid w:val="2B7A35FF"/>
    <w:rsid w:val="2BBE55AE"/>
    <w:rsid w:val="2BC50988"/>
    <w:rsid w:val="2BC52128"/>
    <w:rsid w:val="2BC978DA"/>
    <w:rsid w:val="2BCC2EAB"/>
    <w:rsid w:val="2BEF5C1C"/>
    <w:rsid w:val="2C050E9B"/>
    <w:rsid w:val="2C106FDC"/>
    <w:rsid w:val="2C1218EF"/>
    <w:rsid w:val="2C30256C"/>
    <w:rsid w:val="2C36115F"/>
    <w:rsid w:val="2C3C5304"/>
    <w:rsid w:val="2C3D2EAE"/>
    <w:rsid w:val="2C69621E"/>
    <w:rsid w:val="2C7E12A7"/>
    <w:rsid w:val="2C97695E"/>
    <w:rsid w:val="2CBC03D0"/>
    <w:rsid w:val="2CD33941"/>
    <w:rsid w:val="2CE83F28"/>
    <w:rsid w:val="2CEC2FAB"/>
    <w:rsid w:val="2CF23379"/>
    <w:rsid w:val="2D0637A8"/>
    <w:rsid w:val="2D1058F4"/>
    <w:rsid w:val="2D2B2091"/>
    <w:rsid w:val="2D48638D"/>
    <w:rsid w:val="2D653E29"/>
    <w:rsid w:val="2D6B22C9"/>
    <w:rsid w:val="2D6D51DF"/>
    <w:rsid w:val="2D895BC8"/>
    <w:rsid w:val="2DB86C8F"/>
    <w:rsid w:val="2DC81D71"/>
    <w:rsid w:val="2DD626FE"/>
    <w:rsid w:val="2DE65F4A"/>
    <w:rsid w:val="2DEB7CB0"/>
    <w:rsid w:val="2DFB7D5F"/>
    <w:rsid w:val="2E224612"/>
    <w:rsid w:val="2E297A95"/>
    <w:rsid w:val="2E6B4E87"/>
    <w:rsid w:val="2E793BD7"/>
    <w:rsid w:val="2E930FD5"/>
    <w:rsid w:val="2EAE6619"/>
    <w:rsid w:val="2F200D61"/>
    <w:rsid w:val="2FB1267B"/>
    <w:rsid w:val="2FD31D78"/>
    <w:rsid w:val="30087837"/>
    <w:rsid w:val="301F7B60"/>
    <w:rsid w:val="304B4E38"/>
    <w:rsid w:val="30803872"/>
    <w:rsid w:val="30911CF5"/>
    <w:rsid w:val="31065ACE"/>
    <w:rsid w:val="31601379"/>
    <w:rsid w:val="316B59DA"/>
    <w:rsid w:val="3170769D"/>
    <w:rsid w:val="31876E44"/>
    <w:rsid w:val="3193675F"/>
    <w:rsid w:val="31EB6A09"/>
    <w:rsid w:val="31F94B42"/>
    <w:rsid w:val="31FF2DE2"/>
    <w:rsid w:val="320C1861"/>
    <w:rsid w:val="32282AF7"/>
    <w:rsid w:val="322B3182"/>
    <w:rsid w:val="3234736A"/>
    <w:rsid w:val="324018BA"/>
    <w:rsid w:val="327651BB"/>
    <w:rsid w:val="328F2583"/>
    <w:rsid w:val="3299150E"/>
    <w:rsid w:val="32D72BDD"/>
    <w:rsid w:val="32E27122"/>
    <w:rsid w:val="32FD2697"/>
    <w:rsid w:val="33332A31"/>
    <w:rsid w:val="337517CA"/>
    <w:rsid w:val="338E6EEF"/>
    <w:rsid w:val="33E136A3"/>
    <w:rsid w:val="342F7A89"/>
    <w:rsid w:val="344A2DB1"/>
    <w:rsid w:val="34740C75"/>
    <w:rsid w:val="34AA710F"/>
    <w:rsid w:val="34AD12AD"/>
    <w:rsid w:val="34C957E7"/>
    <w:rsid w:val="34F011E0"/>
    <w:rsid w:val="34FD07FA"/>
    <w:rsid w:val="352E0C3B"/>
    <w:rsid w:val="35417A73"/>
    <w:rsid w:val="35546AFC"/>
    <w:rsid w:val="35AB1391"/>
    <w:rsid w:val="35AE7C02"/>
    <w:rsid w:val="35BE4538"/>
    <w:rsid w:val="35CE1922"/>
    <w:rsid w:val="35D501BC"/>
    <w:rsid w:val="35D74EDF"/>
    <w:rsid w:val="362058DB"/>
    <w:rsid w:val="36414657"/>
    <w:rsid w:val="364E7C55"/>
    <w:rsid w:val="366C1380"/>
    <w:rsid w:val="36803773"/>
    <w:rsid w:val="36A21A3B"/>
    <w:rsid w:val="36C070BE"/>
    <w:rsid w:val="36D5282C"/>
    <w:rsid w:val="37055C1D"/>
    <w:rsid w:val="371F2036"/>
    <w:rsid w:val="376143FD"/>
    <w:rsid w:val="37741103"/>
    <w:rsid w:val="37DD5308"/>
    <w:rsid w:val="37DE13F0"/>
    <w:rsid w:val="38452EF0"/>
    <w:rsid w:val="3867189F"/>
    <w:rsid w:val="387D355A"/>
    <w:rsid w:val="388C3840"/>
    <w:rsid w:val="38A8335B"/>
    <w:rsid w:val="38BC26C1"/>
    <w:rsid w:val="38D1493A"/>
    <w:rsid w:val="38DF22D6"/>
    <w:rsid w:val="39434A30"/>
    <w:rsid w:val="394A1B54"/>
    <w:rsid w:val="39541AC8"/>
    <w:rsid w:val="395F2D4E"/>
    <w:rsid w:val="39830B60"/>
    <w:rsid w:val="399F4AC8"/>
    <w:rsid w:val="39D13674"/>
    <w:rsid w:val="3A055F4B"/>
    <w:rsid w:val="3A2D50FE"/>
    <w:rsid w:val="3A326B41"/>
    <w:rsid w:val="3A342A33"/>
    <w:rsid w:val="3A816990"/>
    <w:rsid w:val="3AB94550"/>
    <w:rsid w:val="3B3D25CC"/>
    <w:rsid w:val="3B6220EA"/>
    <w:rsid w:val="3BB048EC"/>
    <w:rsid w:val="3BCC4534"/>
    <w:rsid w:val="3BD41AAE"/>
    <w:rsid w:val="3BE63123"/>
    <w:rsid w:val="3C0473B1"/>
    <w:rsid w:val="3C1163E4"/>
    <w:rsid w:val="3C4219A4"/>
    <w:rsid w:val="3C4922D5"/>
    <w:rsid w:val="3C70262A"/>
    <w:rsid w:val="3C7F6DF1"/>
    <w:rsid w:val="3CA0710B"/>
    <w:rsid w:val="3CAB7EC8"/>
    <w:rsid w:val="3CC30249"/>
    <w:rsid w:val="3D140148"/>
    <w:rsid w:val="3D4C1082"/>
    <w:rsid w:val="3DEF2B45"/>
    <w:rsid w:val="3E070CEC"/>
    <w:rsid w:val="3E075C67"/>
    <w:rsid w:val="3E55633E"/>
    <w:rsid w:val="3E916F61"/>
    <w:rsid w:val="3EA21121"/>
    <w:rsid w:val="3EAB5E8B"/>
    <w:rsid w:val="3EE43014"/>
    <w:rsid w:val="3F20271D"/>
    <w:rsid w:val="3F2A152B"/>
    <w:rsid w:val="3F445238"/>
    <w:rsid w:val="3F600C78"/>
    <w:rsid w:val="3F61173D"/>
    <w:rsid w:val="3F76598A"/>
    <w:rsid w:val="3F870779"/>
    <w:rsid w:val="3F8A6036"/>
    <w:rsid w:val="3FFA3A89"/>
    <w:rsid w:val="4000129A"/>
    <w:rsid w:val="400575B4"/>
    <w:rsid w:val="401948AC"/>
    <w:rsid w:val="404D02BF"/>
    <w:rsid w:val="407B52D5"/>
    <w:rsid w:val="408C04A3"/>
    <w:rsid w:val="40C2042C"/>
    <w:rsid w:val="40D2591E"/>
    <w:rsid w:val="40E632C2"/>
    <w:rsid w:val="41CE6B33"/>
    <w:rsid w:val="41DD6B33"/>
    <w:rsid w:val="41E111CE"/>
    <w:rsid w:val="41F904FA"/>
    <w:rsid w:val="41FB20DA"/>
    <w:rsid w:val="42127EF3"/>
    <w:rsid w:val="421E3072"/>
    <w:rsid w:val="429D5044"/>
    <w:rsid w:val="42CB2B14"/>
    <w:rsid w:val="42E15F21"/>
    <w:rsid w:val="431C3D49"/>
    <w:rsid w:val="433272FA"/>
    <w:rsid w:val="435A3B42"/>
    <w:rsid w:val="435A585F"/>
    <w:rsid w:val="43897887"/>
    <w:rsid w:val="43B9368E"/>
    <w:rsid w:val="43BE76BF"/>
    <w:rsid w:val="447E59E2"/>
    <w:rsid w:val="44B813D4"/>
    <w:rsid w:val="452C57DA"/>
    <w:rsid w:val="45346F8B"/>
    <w:rsid w:val="4543695F"/>
    <w:rsid w:val="45506772"/>
    <w:rsid w:val="4577303D"/>
    <w:rsid w:val="45A161F0"/>
    <w:rsid w:val="45B2630E"/>
    <w:rsid w:val="45B56DBA"/>
    <w:rsid w:val="45BB3ACF"/>
    <w:rsid w:val="45CE3F94"/>
    <w:rsid w:val="45F84582"/>
    <w:rsid w:val="461C4844"/>
    <w:rsid w:val="4636447B"/>
    <w:rsid w:val="465F54D3"/>
    <w:rsid w:val="4667568E"/>
    <w:rsid w:val="46B87C15"/>
    <w:rsid w:val="46D946DB"/>
    <w:rsid w:val="46F25BD0"/>
    <w:rsid w:val="47296DD8"/>
    <w:rsid w:val="47670F5C"/>
    <w:rsid w:val="47786C86"/>
    <w:rsid w:val="477B4104"/>
    <w:rsid w:val="477F02CC"/>
    <w:rsid w:val="478C6AFB"/>
    <w:rsid w:val="47AE0CB2"/>
    <w:rsid w:val="47B70069"/>
    <w:rsid w:val="47E66258"/>
    <w:rsid w:val="48114A28"/>
    <w:rsid w:val="481C4FE4"/>
    <w:rsid w:val="48244BC4"/>
    <w:rsid w:val="48356B5F"/>
    <w:rsid w:val="486C2C02"/>
    <w:rsid w:val="48924168"/>
    <w:rsid w:val="48957AC0"/>
    <w:rsid w:val="48B03FE0"/>
    <w:rsid w:val="49201EB4"/>
    <w:rsid w:val="492A4864"/>
    <w:rsid w:val="49A43DA1"/>
    <w:rsid w:val="49A563CB"/>
    <w:rsid w:val="4A1C5F58"/>
    <w:rsid w:val="4A392FB7"/>
    <w:rsid w:val="4A3A5030"/>
    <w:rsid w:val="4A603341"/>
    <w:rsid w:val="4A642264"/>
    <w:rsid w:val="4A9810D8"/>
    <w:rsid w:val="4ADE7E21"/>
    <w:rsid w:val="4B38799E"/>
    <w:rsid w:val="4B7A5428"/>
    <w:rsid w:val="4B904D55"/>
    <w:rsid w:val="4B92472D"/>
    <w:rsid w:val="4BA41EA2"/>
    <w:rsid w:val="4BCD6A4E"/>
    <w:rsid w:val="4C1814DD"/>
    <w:rsid w:val="4C200B2D"/>
    <w:rsid w:val="4C275C1A"/>
    <w:rsid w:val="4C4E3621"/>
    <w:rsid w:val="4C5C6FE8"/>
    <w:rsid w:val="4C604669"/>
    <w:rsid w:val="4C6751C0"/>
    <w:rsid w:val="4C68615C"/>
    <w:rsid w:val="4C7F3DEF"/>
    <w:rsid w:val="4C8D3147"/>
    <w:rsid w:val="4CB23CB8"/>
    <w:rsid w:val="4CCF477E"/>
    <w:rsid w:val="4CE049C6"/>
    <w:rsid w:val="4CE976AF"/>
    <w:rsid w:val="4CFF31D3"/>
    <w:rsid w:val="4CFF3793"/>
    <w:rsid w:val="4D0D573F"/>
    <w:rsid w:val="4D502AF2"/>
    <w:rsid w:val="4D5802E3"/>
    <w:rsid w:val="4D61732B"/>
    <w:rsid w:val="4D7744D8"/>
    <w:rsid w:val="4DFC4A28"/>
    <w:rsid w:val="4E0833CC"/>
    <w:rsid w:val="4E3C64A2"/>
    <w:rsid w:val="4E411725"/>
    <w:rsid w:val="4E49274C"/>
    <w:rsid w:val="4E5543E7"/>
    <w:rsid w:val="4E6543BE"/>
    <w:rsid w:val="4E712A30"/>
    <w:rsid w:val="4E871977"/>
    <w:rsid w:val="4E884CB8"/>
    <w:rsid w:val="4E8B1179"/>
    <w:rsid w:val="4EA46F5C"/>
    <w:rsid w:val="4EB64D99"/>
    <w:rsid w:val="4EBC27E4"/>
    <w:rsid w:val="4EEB6A18"/>
    <w:rsid w:val="4F02197B"/>
    <w:rsid w:val="4F165AE8"/>
    <w:rsid w:val="4F865D82"/>
    <w:rsid w:val="4F9E0681"/>
    <w:rsid w:val="4FDE1159"/>
    <w:rsid w:val="500C6ED2"/>
    <w:rsid w:val="50462D3C"/>
    <w:rsid w:val="509B7CC6"/>
    <w:rsid w:val="50AF3E6E"/>
    <w:rsid w:val="50CE449B"/>
    <w:rsid w:val="50D136E9"/>
    <w:rsid w:val="50EA5464"/>
    <w:rsid w:val="50FD4D3F"/>
    <w:rsid w:val="511436F8"/>
    <w:rsid w:val="511C2F1E"/>
    <w:rsid w:val="5167040A"/>
    <w:rsid w:val="51937451"/>
    <w:rsid w:val="51DD247A"/>
    <w:rsid w:val="51DF179F"/>
    <w:rsid w:val="520026D5"/>
    <w:rsid w:val="520C1C45"/>
    <w:rsid w:val="524F2B79"/>
    <w:rsid w:val="52842BD3"/>
    <w:rsid w:val="529E5FED"/>
    <w:rsid w:val="52DB5215"/>
    <w:rsid w:val="52DE294E"/>
    <w:rsid w:val="5318167B"/>
    <w:rsid w:val="53211D1E"/>
    <w:rsid w:val="53224004"/>
    <w:rsid w:val="533C7790"/>
    <w:rsid w:val="53426F51"/>
    <w:rsid w:val="537218C3"/>
    <w:rsid w:val="53763D57"/>
    <w:rsid w:val="537900A1"/>
    <w:rsid w:val="5379661E"/>
    <w:rsid w:val="53BD0AA8"/>
    <w:rsid w:val="53CA5891"/>
    <w:rsid w:val="53CB5F11"/>
    <w:rsid w:val="53D56962"/>
    <w:rsid w:val="53FE4D9A"/>
    <w:rsid w:val="541263DF"/>
    <w:rsid w:val="54641DFF"/>
    <w:rsid w:val="5468364F"/>
    <w:rsid w:val="547B1252"/>
    <w:rsid w:val="547C47A5"/>
    <w:rsid w:val="549A714A"/>
    <w:rsid w:val="54C842AE"/>
    <w:rsid w:val="55051369"/>
    <w:rsid w:val="55851B99"/>
    <w:rsid w:val="55871288"/>
    <w:rsid w:val="55E8347F"/>
    <w:rsid w:val="55F856B5"/>
    <w:rsid w:val="560D0BDE"/>
    <w:rsid w:val="56334671"/>
    <w:rsid w:val="565A338E"/>
    <w:rsid w:val="57263685"/>
    <w:rsid w:val="576B6355"/>
    <w:rsid w:val="57832C2A"/>
    <w:rsid w:val="578968DD"/>
    <w:rsid w:val="57B647B0"/>
    <w:rsid w:val="57FB65B0"/>
    <w:rsid w:val="58695EC5"/>
    <w:rsid w:val="58900685"/>
    <w:rsid w:val="58A15169"/>
    <w:rsid w:val="58AB6DAE"/>
    <w:rsid w:val="58C61F50"/>
    <w:rsid w:val="58C625B2"/>
    <w:rsid w:val="58CE4DB3"/>
    <w:rsid w:val="58D52D51"/>
    <w:rsid w:val="58DE33C6"/>
    <w:rsid w:val="58E0782B"/>
    <w:rsid w:val="590A0998"/>
    <w:rsid w:val="594358F8"/>
    <w:rsid w:val="5947124D"/>
    <w:rsid w:val="59557426"/>
    <w:rsid w:val="595C7CD6"/>
    <w:rsid w:val="595E2165"/>
    <w:rsid w:val="59726A34"/>
    <w:rsid w:val="597F514C"/>
    <w:rsid w:val="5A006D6A"/>
    <w:rsid w:val="5A157F45"/>
    <w:rsid w:val="5A3016D7"/>
    <w:rsid w:val="5A3B6F6D"/>
    <w:rsid w:val="5A5D65BF"/>
    <w:rsid w:val="5AD06145"/>
    <w:rsid w:val="5B22565C"/>
    <w:rsid w:val="5B48169E"/>
    <w:rsid w:val="5B817E69"/>
    <w:rsid w:val="5B9B7F1B"/>
    <w:rsid w:val="5B9D3A21"/>
    <w:rsid w:val="5B9F1572"/>
    <w:rsid w:val="5BAB3687"/>
    <w:rsid w:val="5BB077CC"/>
    <w:rsid w:val="5BB2432F"/>
    <w:rsid w:val="5BE22014"/>
    <w:rsid w:val="5BFF0D4A"/>
    <w:rsid w:val="5C3519E9"/>
    <w:rsid w:val="5C5B6DBD"/>
    <w:rsid w:val="5C7D5D19"/>
    <w:rsid w:val="5C80667E"/>
    <w:rsid w:val="5C9A0B56"/>
    <w:rsid w:val="5CA72002"/>
    <w:rsid w:val="5CD51AC7"/>
    <w:rsid w:val="5CDB76EE"/>
    <w:rsid w:val="5D1E6ACC"/>
    <w:rsid w:val="5D215911"/>
    <w:rsid w:val="5D351EC6"/>
    <w:rsid w:val="5D9205BD"/>
    <w:rsid w:val="5DEE6BD7"/>
    <w:rsid w:val="5DEF422B"/>
    <w:rsid w:val="5DEF5A0F"/>
    <w:rsid w:val="5E021BE6"/>
    <w:rsid w:val="5E070FAB"/>
    <w:rsid w:val="5E3C079A"/>
    <w:rsid w:val="5E427DA3"/>
    <w:rsid w:val="5E7D301B"/>
    <w:rsid w:val="5E8458DA"/>
    <w:rsid w:val="5EAC56AE"/>
    <w:rsid w:val="5EEE5753"/>
    <w:rsid w:val="5F1F40D2"/>
    <w:rsid w:val="5F2C1C1C"/>
    <w:rsid w:val="5F2E5799"/>
    <w:rsid w:val="5F4051EF"/>
    <w:rsid w:val="5F4C79BB"/>
    <w:rsid w:val="5F70266A"/>
    <w:rsid w:val="5F750A06"/>
    <w:rsid w:val="5F871E65"/>
    <w:rsid w:val="5FB339D7"/>
    <w:rsid w:val="5FBD2E4B"/>
    <w:rsid w:val="5FD94120"/>
    <w:rsid w:val="5FE14EC9"/>
    <w:rsid w:val="60185E41"/>
    <w:rsid w:val="606F0041"/>
    <w:rsid w:val="60785D60"/>
    <w:rsid w:val="60824919"/>
    <w:rsid w:val="608C0EFA"/>
    <w:rsid w:val="608F5D34"/>
    <w:rsid w:val="60B05C7F"/>
    <w:rsid w:val="60CD789C"/>
    <w:rsid w:val="60F61BA2"/>
    <w:rsid w:val="60FD0443"/>
    <w:rsid w:val="61005B89"/>
    <w:rsid w:val="610577A4"/>
    <w:rsid w:val="611F521E"/>
    <w:rsid w:val="61452923"/>
    <w:rsid w:val="61614E76"/>
    <w:rsid w:val="617A1083"/>
    <w:rsid w:val="61E0630A"/>
    <w:rsid w:val="62021CFF"/>
    <w:rsid w:val="623D1B72"/>
    <w:rsid w:val="62C05BCC"/>
    <w:rsid w:val="62D04DE5"/>
    <w:rsid w:val="63293771"/>
    <w:rsid w:val="63560B42"/>
    <w:rsid w:val="635A7DCF"/>
    <w:rsid w:val="63754C08"/>
    <w:rsid w:val="63770981"/>
    <w:rsid w:val="63981BC6"/>
    <w:rsid w:val="63BE035D"/>
    <w:rsid w:val="63C27722"/>
    <w:rsid w:val="63C77D26"/>
    <w:rsid w:val="641D1FE2"/>
    <w:rsid w:val="642378CF"/>
    <w:rsid w:val="64326CB3"/>
    <w:rsid w:val="644C0B5B"/>
    <w:rsid w:val="64505750"/>
    <w:rsid w:val="647D70EF"/>
    <w:rsid w:val="6480211B"/>
    <w:rsid w:val="64837F44"/>
    <w:rsid w:val="64AC7D63"/>
    <w:rsid w:val="64FB2F7B"/>
    <w:rsid w:val="65466625"/>
    <w:rsid w:val="655737DE"/>
    <w:rsid w:val="655D2111"/>
    <w:rsid w:val="655D7702"/>
    <w:rsid w:val="657E2D87"/>
    <w:rsid w:val="65AB2F91"/>
    <w:rsid w:val="65BA274D"/>
    <w:rsid w:val="65F8168D"/>
    <w:rsid w:val="65FD32A1"/>
    <w:rsid w:val="661A1A97"/>
    <w:rsid w:val="661F0FF2"/>
    <w:rsid w:val="665610B2"/>
    <w:rsid w:val="66775DA7"/>
    <w:rsid w:val="66B97F29"/>
    <w:rsid w:val="67196E25"/>
    <w:rsid w:val="67241B0B"/>
    <w:rsid w:val="67345785"/>
    <w:rsid w:val="67891330"/>
    <w:rsid w:val="678D1BDD"/>
    <w:rsid w:val="67993103"/>
    <w:rsid w:val="67A26B2E"/>
    <w:rsid w:val="67B20421"/>
    <w:rsid w:val="67B3300F"/>
    <w:rsid w:val="67FF02B6"/>
    <w:rsid w:val="681355D5"/>
    <w:rsid w:val="68180334"/>
    <w:rsid w:val="6828049B"/>
    <w:rsid w:val="68301367"/>
    <w:rsid w:val="684828EC"/>
    <w:rsid w:val="6849182A"/>
    <w:rsid w:val="68646FFA"/>
    <w:rsid w:val="688D42F1"/>
    <w:rsid w:val="69081E3A"/>
    <w:rsid w:val="69985CDF"/>
    <w:rsid w:val="699A2765"/>
    <w:rsid w:val="69AA584F"/>
    <w:rsid w:val="69BA1CAE"/>
    <w:rsid w:val="69E00312"/>
    <w:rsid w:val="69E97E8E"/>
    <w:rsid w:val="6ABE57B5"/>
    <w:rsid w:val="6AC07333"/>
    <w:rsid w:val="6AF43C00"/>
    <w:rsid w:val="6B2028CD"/>
    <w:rsid w:val="6B6D29CC"/>
    <w:rsid w:val="6B77633F"/>
    <w:rsid w:val="6B833C3B"/>
    <w:rsid w:val="6B9F713E"/>
    <w:rsid w:val="6BBB1626"/>
    <w:rsid w:val="6BC23EED"/>
    <w:rsid w:val="6C0C0683"/>
    <w:rsid w:val="6C231652"/>
    <w:rsid w:val="6C585C83"/>
    <w:rsid w:val="6C631931"/>
    <w:rsid w:val="6C834628"/>
    <w:rsid w:val="6CD96208"/>
    <w:rsid w:val="6D050BD9"/>
    <w:rsid w:val="6D233B16"/>
    <w:rsid w:val="6D2819E4"/>
    <w:rsid w:val="6D2F5DC3"/>
    <w:rsid w:val="6D365D55"/>
    <w:rsid w:val="6D4C4C2C"/>
    <w:rsid w:val="6D4E12C1"/>
    <w:rsid w:val="6D9640F9"/>
    <w:rsid w:val="6DA560EA"/>
    <w:rsid w:val="6E0E0B05"/>
    <w:rsid w:val="6E154BE7"/>
    <w:rsid w:val="6E666AE3"/>
    <w:rsid w:val="6EAC7D84"/>
    <w:rsid w:val="6ECE17D3"/>
    <w:rsid w:val="6ED570A9"/>
    <w:rsid w:val="6F054C4E"/>
    <w:rsid w:val="6F161B71"/>
    <w:rsid w:val="6F293ADB"/>
    <w:rsid w:val="6FDA43E0"/>
    <w:rsid w:val="6FFD5A47"/>
    <w:rsid w:val="700B0EE6"/>
    <w:rsid w:val="701632CF"/>
    <w:rsid w:val="70384FF4"/>
    <w:rsid w:val="70413A46"/>
    <w:rsid w:val="70780B6E"/>
    <w:rsid w:val="70A15B5A"/>
    <w:rsid w:val="70BD1EB0"/>
    <w:rsid w:val="70DF36C1"/>
    <w:rsid w:val="70F829B8"/>
    <w:rsid w:val="71314E3C"/>
    <w:rsid w:val="71562819"/>
    <w:rsid w:val="71AE05E9"/>
    <w:rsid w:val="71CC5EF2"/>
    <w:rsid w:val="72534DB7"/>
    <w:rsid w:val="7256558F"/>
    <w:rsid w:val="72715B9E"/>
    <w:rsid w:val="730005D5"/>
    <w:rsid w:val="73010267"/>
    <w:rsid w:val="731352DC"/>
    <w:rsid w:val="731D6252"/>
    <w:rsid w:val="733A1083"/>
    <w:rsid w:val="73456613"/>
    <w:rsid w:val="735D0151"/>
    <w:rsid w:val="73615F3D"/>
    <w:rsid w:val="739D6372"/>
    <w:rsid w:val="73A475F2"/>
    <w:rsid w:val="73C80D84"/>
    <w:rsid w:val="741D4B35"/>
    <w:rsid w:val="744B3657"/>
    <w:rsid w:val="745C3F0D"/>
    <w:rsid w:val="74887E42"/>
    <w:rsid w:val="74A30E8D"/>
    <w:rsid w:val="74B70434"/>
    <w:rsid w:val="74D4364D"/>
    <w:rsid w:val="74E64B1C"/>
    <w:rsid w:val="74E70955"/>
    <w:rsid w:val="74FE733B"/>
    <w:rsid w:val="750963AA"/>
    <w:rsid w:val="75335E62"/>
    <w:rsid w:val="75357766"/>
    <w:rsid w:val="755E61DF"/>
    <w:rsid w:val="7565305D"/>
    <w:rsid w:val="75A960B8"/>
    <w:rsid w:val="762D22EE"/>
    <w:rsid w:val="7635383F"/>
    <w:rsid w:val="763D6603"/>
    <w:rsid w:val="76504095"/>
    <w:rsid w:val="765262F0"/>
    <w:rsid w:val="76597897"/>
    <w:rsid w:val="765F68C2"/>
    <w:rsid w:val="767D77AD"/>
    <w:rsid w:val="76990A98"/>
    <w:rsid w:val="76C01718"/>
    <w:rsid w:val="76D0242A"/>
    <w:rsid w:val="76D35A76"/>
    <w:rsid w:val="76E02A7C"/>
    <w:rsid w:val="76E42ED3"/>
    <w:rsid w:val="77244524"/>
    <w:rsid w:val="77516071"/>
    <w:rsid w:val="7767424C"/>
    <w:rsid w:val="77953AB9"/>
    <w:rsid w:val="77B8352B"/>
    <w:rsid w:val="78097A11"/>
    <w:rsid w:val="780A0295"/>
    <w:rsid w:val="780B56E4"/>
    <w:rsid w:val="781C14B2"/>
    <w:rsid w:val="781F7A87"/>
    <w:rsid w:val="7821514C"/>
    <w:rsid w:val="78406295"/>
    <w:rsid w:val="784A45D3"/>
    <w:rsid w:val="785702B2"/>
    <w:rsid w:val="78C556EE"/>
    <w:rsid w:val="794704A5"/>
    <w:rsid w:val="79621A54"/>
    <w:rsid w:val="7968194E"/>
    <w:rsid w:val="796D792E"/>
    <w:rsid w:val="79730E10"/>
    <w:rsid w:val="79892667"/>
    <w:rsid w:val="79921A6B"/>
    <w:rsid w:val="79B06CA9"/>
    <w:rsid w:val="79C913B2"/>
    <w:rsid w:val="7A16547F"/>
    <w:rsid w:val="7A1B1921"/>
    <w:rsid w:val="7A226436"/>
    <w:rsid w:val="7A2465E9"/>
    <w:rsid w:val="7A585406"/>
    <w:rsid w:val="7A691E13"/>
    <w:rsid w:val="7A797AC9"/>
    <w:rsid w:val="7A8804EB"/>
    <w:rsid w:val="7AAA1A3C"/>
    <w:rsid w:val="7AE76648"/>
    <w:rsid w:val="7B4A10B0"/>
    <w:rsid w:val="7BB107BB"/>
    <w:rsid w:val="7BBE3AED"/>
    <w:rsid w:val="7BCE1D0A"/>
    <w:rsid w:val="7BD92D8F"/>
    <w:rsid w:val="7BF6638B"/>
    <w:rsid w:val="7C4A4A2C"/>
    <w:rsid w:val="7C5820DA"/>
    <w:rsid w:val="7C680E26"/>
    <w:rsid w:val="7CCD74FB"/>
    <w:rsid w:val="7CDE05E0"/>
    <w:rsid w:val="7D106479"/>
    <w:rsid w:val="7D1A2186"/>
    <w:rsid w:val="7D4F5404"/>
    <w:rsid w:val="7DB22AA8"/>
    <w:rsid w:val="7DC45A7D"/>
    <w:rsid w:val="7DE212B3"/>
    <w:rsid w:val="7DEC5708"/>
    <w:rsid w:val="7DED7C18"/>
    <w:rsid w:val="7E096221"/>
    <w:rsid w:val="7E0A2E58"/>
    <w:rsid w:val="7E0F71C9"/>
    <w:rsid w:val="7E1C7D03"/>
    <w:rsid w:val="7E240B4B"/>
    <w:rsid w:val="7E4E1976"/>
    <w:rsid w:val="7E55081F"/>
    <w:rsid w:val="7E7264D0"/>
    <w:rsid w:val="7E877127"/>
    <w:rsid w:val="7EA23334"/>
    <w:rsid w:val="7EB43820"/>
    <w:rsid w:val="7EC537FC"/>
    <w:rsid w:val="7EE822DB"/>
    <w:rsid w:val="7EEC2295"/>
    <w:rsid w:val="7EFB3DBC"/>
    <w:rsid w:val="7F155C81"/>
    <w:rsid w:val="7F315756"/>
    <w:rsid w:val="7F4321A9"/>
    <w:rsid w:val="7FA51CD1"/>
    <w:rsid w:val="7FAE2B19"/>
    <w:rsid w:val="7FEA0817"/>
    <w:rsid w:val="7FF03A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62"/>
    <w:qFormat/>
    <w:uiPriority w:val="0"/>
    <w:pPr>
      <w:keepNext/>
      <w:keepLines/>
      <w:spacing w:before="340" w:after="330"/>
      <w:jc w:val="center"/>
      <w:outlineLvl w:val="0"/>
    </w:pPr>
    <w:rPr>
      <w:rFonts w:eastAsia="黑体"/>
      <w:b/>
      <w:bCs/>
      <w:kern w:val="44"/>
      <w:sz w:val="32"/>
      <w:szCs w:val="44"/>
    </w:rPr>
  </w:style>
  <w:style w:type="paragraph" w:styleId="5">
    <w:name w:val="heading 2"/>
    <w:basedOn w:val="1"/>
    <w:next w:val="1"/>
    <w:unhideWhenUsed/>
    <w:qFormat/>
    <w:uiPriority w:val="9"/>
    <w:pPr>
      <w:keepNext/>
      <w:keepLines/>
      <w:spacing w:before="120" w:after="120"/>
      <w:jc w:val="center"/>
      <w:outlineLvl w:val="1"/>
    </w:pPr>
    <w:rPr>
      <w:rFonts w:eastAsia="黑体" w:cstheme="majorBidi"/>
      <w:bCs/>
      <w:sz w:val="32"/>
      <w:szCs w:val="32"/>
    </w:rPr>
  </w:style>
  <w:style w:type="paragraph" w:styleId="6">
    <w:name w:val="heading 3"/>
    <w:basedOn w:val="1"/>
    <w:next w:val="1"/>
    <w:link w:val="50"/>
    <w:qFormat/>
    <w:uiPriority w:val="0"/>
    <w:pPr>
      <w:keepNext/>
      <w:keepLines/>
      <w:spacing w:before="260" w:after="260" w:line="416" w:lineRule="auto"/>
      <w:outlineLvl w:val="2"/>
    </w:pPr>
    <w:rPr>
      <w:b/>
      <w:bCs/>
      <w:sz w:val="32"/>
      <w:szCs w:val="32"/>
    </w:rPr>
  </w:style>
  <w:style w:type="character" w:default="1" w:styleId="41">
    <w:name w:val="Default Paragraph Font"/>
    <w:semiHidden/>
    <w:unhideWhenUsed/>
    <w:qFormat/>
    <w:uiPriority w:val="1"/>
  </w:style>
  <w:style w:type="table" w:default="1" w:styleId="39">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qFormat/>
    <w:uiPriority w:val="0"/>
    <w:pPr>
      <w:spacing w:after="0"/>
      <w:ind w:left="0" w:firstLine="420" w:firstLineChars="200"/>
    </w:pPr>
    <w:rPr>
      <w:rFonts w:eastAsia="仿宋_GB2312"/>
      <w:sz w:val="28"/>
    </w:rPr>
  </w:style>
  <w:style w:type="paragraph" w:styleId="3">
    <w:name w:val="Body Text Indent"/>
    <w:basedOn w:val="1"/>
    <w:qFormat/>
    <w:uiPriority w:val="0"/>
    <w:pPr>
      <w:spacing w:after="120"/>
      <w:ind w:left="420"/>
    </w:pPr>
  </w:style>
  <w:style w:type="paragraph" w:styleId="7">
    <w:name w:val="toc 7"/>
    <w:basedOn w:val="1"/>
    <w:next w:val="1"/>
    <w:semiHidden/>
    <w:qFormat/>
    <w:uiPriority w:val="0"/>
    <w:pPr>
      <w:tabs>
        <w:tab w:val="right" w:leader="dot" w:pos="9241"/>
      </w:tabs>
      <w:ind w:firstLine="505" w:firstLineChars="500"/>
      <w:jc w:val="left"/>
    </w:pPr>
    <w:rPr>
      <w:rFonts w:ascii="宋体"/>
      <w:szCs w:val="21"/>
    </w:rPr>
  </w:style>
  <w:style w:type="paragraph" w:styleId="8">
    <w:name w:val="index 8"/>
    <w:basedOn w:val="1"/>
    <w:next w:val="1"/>
    <w:qFormat/>
    <w:uiPriority w:val="0"/>
    <w:pPr>
      <w:ind w:left="1680" w:hanging="210"/>
      <w:jc w:val="left"/>
    </w:pPr>
    <w:rPr>
      <w:rFonts w:ascii="Calibri" w:hAnsi="Calibri"/>
      <w:sz w:val="20"/>
      <w:szCs w:val="20"/>
    </w:rPr>
  </w:style>
  <w:style w:type="paragraph" w:styleId="9">
    <w:name w:val="caption"/>
    <w:basedOn w:val="1"/>
    <w:next w:val="1"/>
    <w:qFormat/>
    <w:uiPriority w:val="0"/>
    <w:pPr>
      <w:spacing w:before="152" w:after="160"/>
    </w:pPr>
    <w:rPr>
      <w:rFonts w:ascii="Arial" w:hAnsi="Arial" w:eastAsia="黑体" w:cs="Arial"/>
      <w:sz w:val="20"/>
      <w:szCs w:val="20"/>
    </w:rPr>
  </w:style>
  <w:style w:type="paragraph" w:styleId="10">
    <w:name w:val="index 5"/>
    <w:basedOn w:val="1"/>
    <w:next w:val="1"/>
    <w:qFormat/>
    <w:uiPriority w:val="0"/>
    <w:pPr>
      <w:ind w:left="1050" w:hanging="210"/>
      <w:jc w:val="left"/>
    </w:pPr>
    <w:rPr>
      <w:rFonts w:ascii="Calibri" w:hAnsi="Calibri"/>
      <w:sz w:val="20"/>
      <w:szCs w:val="20"/>
    </w:rPr>
  </w:style>
  <w:style w:type="paragraph" w:styleId="11">
    <w:name w:val="Document Map"/>
    <w:basedOn w:val="1"/>
    <w:semiHidden/>
    <w:qFormat/>
    <w:uiPriority w:val="0"/>
    <w:pPr>
      <w:shd w:val="clear" w:color="auto" w:fill="000080"/>
    </w:pPr>
  </w:style>
  <w:style w:type="paragraph" w:styleId="12">
    <w:name w:val="annotation text"/>
    <w:basedOn w:val="1"/>
    <w:qFormat/>
    <w:uiPriority w:val="0"/>
    <w:pPr>
      <w:jc w:val="left"/>
    </w:pPr>
  </w:style>
  <w:style w:type="paragraph" w:styleId="13">
    <w:name w:val="index 6"/>
    <w:basedOn w:val="1"/>
    <w:next w:val="1"/>
    <w:qFormat/>
    <w:uiPriority w:val="0"/>
    <w:pPr>
      <w:ind w:left="1260" w:hanging="210"/>
      <w:jc w:val="left"/>
    </w:pPr>
    <w:rPr>
      <w:rFonts w:ascii="Calibri" w:hAnsi="Calibri"/>
      <w:sz w:val="20"/>
      <w:szCs w:val="20"/>
    </w:rPr>
  </w:style>
  <w:style w:type="paragraph" w:styleId="14">
    <w:name w:val="index 4"/>
    <w:basedOn w:val="1"/>
    <w:next w:val="1"/>
    <w:qFormat/>
    <w:uiPriority w:val="0"/>
    <w:pPr>
      <w:ind w:left="840" w:hanging="210"/>
      <w:jc w:val="left"/>
    </w:pPr>
    <w:rPr>
      <w:rFonts w:ascii="Calibri" w:hAnsi="Calibri"/>
      <w:sz w:val="20"/>
      <w:szCs w:val="20"/>
    </w:rPr>
  </w:style>
  <w:style w:type="paragraph" w:styleId="15">
    <w:name w:val="toc 5"/>
    <w:basedOn w:val="1"/>
    <w:next w:val="1"/>
    <w:semiHidden/>
    <w:qFormat/>
    <w:uiPriority w:val="0"/>
    <w:pPr>
      <w:tabs>
        <w:tab w:val="right" w:leader="dot" w:pos="9241"/>
      </w:tabs>
      <w:ind w:firstLine="300" w:firstLineChars="300"/>
      <w:jc w:val="left"/>
    </w:pPr>
    <w:rPr>
      <w:rFonts w:ascii="宋体"/>
      <w:szCs w:val="21"/>
    </w:rPr>
  </w:style>
  <w:style w:type="paragraph" w:styleId="16">
    <w:name w:val="toc 3"/>
    <w:basedOn w:val="1"/>
    <w:next w:val="1"/>
    <w:qFormat/>
    <w:uiPriority w:val="39"/>
    <w:pPr>
      <w:tabs>
        <w:tab w:val="right" w:leader="dot" w:pos="9241"/>
      </w:tabs>
      <w:ind w:firstLine="102" w:firstLineChars="100"/>
      <w:jc w:val="left"/>
    </w:pPr>
    <w:rPr>
      <w:rFonts w:ascii="宋体"/>
      <w:szCs w:val="21"/>
    </w:rPr>
  </w:style>
  <w:style w:type="paragraph" w:styleId="17">
    <w:name w:val="Plain Text"/>
    <w:basedOn w:val="1"/>
    <w:qFormat/>
    <w:uiPriority w:val="99"/>
    <w:pPr>
      <w:adjustRightInd w:val="0"/>
      <w:spacing w:line="312" w:lineRule="atLeast"/>
      <w:textAlignment w:val="baseline"/>
    </w:pPr>
    <w:rPr>
      <w:rFonts w:ascii="宋体" w:hAnsi="Courier New"/>
      <w:kern w:val="0"/>
      <w:szCs w:val="20"/>
    </w:rPr>
  </w:style>
  <w:style w:type="paragraph" w:styleId="18">
    <w:name w:val="toc 8"/>
    <w:basedOn w:val="1"/>
    <w:next w:val="1"/>
    <w:semiHidden/>
    <w:qFormat/>
    <w:uiPriority w:val="0"/>
    <w:pPr>
      <w:tabs>
        <w:tab w:val="right" w:leader="dot" w:pos="9241"/>
      </w:tabs>
      <w:ind w:firstLine="607" w:firstLineChars="600"/>
      <w:jc w:val="left"/>
    </w:pPr>
    <w:rPr>
      <w:rFonts w:ascii="宋体"/>
      <w:szCs w:val="21"/>
    </w:rPr>
  </w:style>
  <w:style w:type="paragraph" w:styleId="19">
    <w:name w:val="index 3"/>
    <w:basedOn w:val="1"/>
    <w:next w:val="1"/>
    <w:qFormat/>
    <w:uiPriority w:val="0"/>
    <w:pPr>
      <w:ind w:left="630" w:hanging="210"/>
      <w:jc w:val="left"/>
    </w:pPr>
    <w:rPr>
      <w:rFonts w:ascii="Calibri" w:hAnsi="Calibri"/>
      <w:sz w:val="20"/>
      <w:szCs w:val="20"/>
    </w:rPr>
  </w:style>
  <w:style w:type="paragraph" w:styleId="20">
    <w:name w:val="Date"/>
    <w:basedOn w:val="1"/>
    <w:next w:val="1"/>
    <w:link w:val="55"/>
    <w:qFormat/>
    <w:uiPriority w:val="0"/>
    <w:pPr>
      <w:ind w:left="100" w:leftChars="2500"/>
    </w:pPr>
  </w:style>
  <w:style w:type="paragraph" w:styleId="21">
    <w:name w:val="endnote text"/>
    <w:basedOn w:val="1"/>
    <w:semiHidden/>
    <w:qFormat/>
    <w:uiPriority w:val="0"/>
    <w:pPr>
      <w:snapToGrid w:val="0"/>
      <w:jc w:val="left"/>
    </w:pPr>
  </w:style>
  <w:style w:type="paragraph" w:styleId="22">
    <w:name w:val="Balloon Text"/>
    <w:basedOn w:val="1"/>
    <w:link w:val="56"/>
    <w:qFormat/>
    <w:uiPriority w:val="0"/>
    <w:rPr>
      <w:sz w:val="18"/>
      <w:szCs w:val="18"/>
    </w:rPr>
  </w:style>
  <w:style w:type="paragraph" w:styleId="23">
    <w:name w:val="footer"/>
    <w:basedOn w:val="1"/>
    <w:link w:val="58"/>
    <w:qFormat/>
    <w:uiPriority w:val="99"/>
    <w:pPr>
      <w:snapToGrid w:val="0"/>
      <w:ind w:right="210" w:rightChars="100"/>
      <w:jc w:val="right"/>
    </w:pPr>
    <w:rPr>
      <w:sz w:val="18"/>
      <w:szCs w:val="18"/>
    </w:rPr>
  </w:style>
  <w:style w:type="paragraph" w:styleId="24">
    <w:name w:val="envelope return"/>
    <w:basedOn w:val="1"/>
    <w:qFormat/>
    <w:uiPriority w:val="0"/>
    <w:pPr>
      <w:snapToGrid w:val="0"/>
    </w:pPr>
    <w:rPr>
      <w:rFonts w:ascii="Arial" w:hAnsi="Arial"/>
    </w:rPr>
  </w:style>
  <w:style w:type="paragraph" w:styleId="25">
    <w:name w:val="header"/>
    <w:basedOn w:val="1"/>
    <w:link w:val="52"/>
    <w:qFormat/>
    <w:uiPriority w:val="99"/>
    <w:pPr>
      <w:snapToGrid w:val="0"/>
      <w:jc w:val="left"/>
    </w:pPr>
    <w:rPr>
      <w:sz w:val="18"/>
      <w:szCs w:val="18"/>
    </w:rPr>
  </w:style>
  <w:style w:type="paragraph" w:styleId="26">
    <w:name w:val="toc 1"/>
    <w:basedOn w:val="1"/>
    <w:next w:val="1"/>
    <w:qFormat/>
    <w:uiPriority w:val="39"/>
    <w:pPr>
      <w:tabs>
        <w:tab w:val="right" w:leader="dot" w:pos="9241"/>
      </w:tabs>
      <w:spacing w:before="25" w:beforeLines="25" w:after="25" w:afterLines="25"/>
      <w:jc w:val="left"/>
    </w:pPr>
    <w:rPr>
      <w:rFonts w:ascii="宋体"/>
      <w:szCs w:val="21"/>
    </w:rPr>
  </w:style>
  <w:style w:type="paragraph" w:styleId="27">
    <w:name w:val="toc 4"/>
    <w:basedOn w:val="1"/>
    <w:next w:val="1"/>
    <w:semiHidden/>
    <w:qFormat/>
    <w:uiPriority w:val="0"/>
    <w:pPr>
      <w:tabs>
        <w:tab w:val="right" w:leader="dot" w:pos="9241"/>
      </w:tabs>
      <w:ind w:firstLine="198" w:firstLineChars="200"/>
      <w:jc w:val="left"/>
    </w:pPr>
    <w:rPr>
      <w:rFonts w:ascii="宋体"/>
      <w:szCs w:val="21"/>
    </w:rPr>
  </w:style>
  <w:style w:type="paragraph" w:styleId="28">
    <w:name w:val="index heading"/>
    <w:basedOn w:val="1"/>
    <w:next w:val="29"/>
    <w:qFormat/>
    <w:uiPriority w:val="0"/>
    <w:pPr>
      <w:spacing w:before="120" w:after="120"/>
      <w:jc w:val="center"/>
    </w:pPr>
    <w:rPr>
      <w:rFonts w:ascii="Calibri" w:hAnsi="Calibri"/>
      <w:b/>
      <w:bCs/>
      <w:iCs/>
      <w:szCs w:val="20"/>
    </w:rPr>
  </w:style>
  <w:style w:type="paragraph" w:styleId="29">
    <w:name w:val="index 1"/>
    <w:basedOn w:val="1"/>
    <w:next w:val="30"/>
    <w:qFormat/>
    <w:uiPriority w:val="0"/>
    <w:pPr>
      <w:tabs>
        <w:tab w:val="right" w:leader="dot" w:pos="9299"/>
      </w:tabs>
      <w:jc w:val="left"/>
    </w:pPr>
    <w:rPr>
      <w:rFonts w:ascii="宋体"/>
      <w:szCs w:val="21"/>
    </w:rPr>
  </w:style>
  <w:style w:type="paragraph" w:customStyle="1" w:styleId="30">
    <w:name w:val="段"/>
    <w:link w:val="59"/>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styleId="31">
    <w:name w:val="footnote text"/>
    <w:basedOn w:val="1"/>
    <w:qFormat/>
    <w:uiPriority w:val="0"/>
    <w:pPr>
      <w:numPr>
        <w:ilvl w:val="0"/>
        <w:numId w:val="1"/>
      </w:numPr>
      <w:snapToGrid w:val="0"/>
      <w:jc w:val="left"/>
    </w:pPr>
    <w:rPr>
      <w:rFonts w:ascii="宋体"/>
      <w:sz w:val="18"/>
      <w:szCs w:val="18"/>
    </w:rPr>
  </w:style>
  <w:style w:type="paragraph" w:styleId="32">
    <w:name w:val="toc 6"/>
    <w:basedOn w:val="1"/>
    <w:next w:val="1"/>
    <w:semiHidden/>
    <w:qFormat/>
    <w:uiPriority w:val="0"/>
    <w:pPr>
      <w:tabs>
        <w:tab w:val="right" w:leader="dot" w:pos="9241"/>
      </w:tabs>
      <w:ind w:firstLine="403" w:firstLineChars="400"/>
      <w:jc w:val="left"/>
    </w:pPr>
    <w:rPr>
      <w:rFonts w:ascii="宋体"/>
      <w:szCs w:val="21"/>
    </w:rPr>
  </w:style>
  <w:style w:type="paragraph" w:styleId="33">
    <w:name w:val="index 7"/>
    <w:basedOn w:val="1"/>
    <w:next w:val="1"/>
    <w:qFormat/>
    <w:uiPriority w:val="0"/>
    <w:pPr>
      <w:ind w:left="1470" w:hanging="210"/>
      <w:jc w:val="left"/>
    </w:pPr>
    <w:rPr>
      <w:rFonts w:ascii="Calibri" w:hAnsi="Calibri"/>
      <w:sz w:val="20"/>
      <w:szCs w:val="20"/>
    </w:rPr>
  </w:style>
  <w:style w:type="paragraph" w:styleId="34">
    <w:name w:val="index 9"/>
    <w:basedOn w:val="1"/>
    <w:next w:val="1"/>
    <w:qFormat/>
    <w:uiPriority w:val="0"/>
    <w:pPr>
      <w:ind w:left="1890" w:hanging="210"/>
      <w:jc w:val="left"/>
    </w:pPr>
    <w:rPr>
      <w:rFonts w:ascii="Calibri" w:hAnsi="Calibri"/>
      <w:sz w:val="20"/>
      <w:szCs w:val="20"/>
    </w:rPr>
  </w:style>
  <w:style w:type="paragraph" w:styleId="35">
    <w:name w:val="toc 2"/>
    <w:basedOn w:val="1"/>
    <w:next w:val="1"/>
    <w:qFormat/>
    <w:uiPriority w:val="39"/>
    <w:pPr>
      <w:tabs>
        <w:tab w:val="right" w:leader="dot" w:pos="9241"/>
      </w:tabs>
    </w:pPr>
    <w:rPr>
      <w:rFonts w:ascii="宋体"/>
      <w:szCs w:val="21"/>
    </w:rPr>
  </w:style>
  <w:style w:type="paragraph" w:styleId="36">
    <w:name w:val="toc 9"/>
    <w:basedOn w:val="1"/>
    <w:next w:val="1"/>
    <w:semiHidden/>
    <w:qFormat/>
    <w:uiPriority w:val="0"/>
    <w:pPr>
      <w:ind w:left="1470"/>
      <w:jc w:val="left"/>
    </w:pPr>
    <w:rPr>
      <w:sz w:val="20"/>
      <w:szCs w:val="20"/>
    </w:rPr>
  </w:style>
  <w:style w:type="paragraph" w:styleId="37">
    <w:name w:val="Normal (Web)"/>
    <w:basedOn w:val="1"/>
    <w:qFormat/>
    <w:uiPriority w:val="0"/>
    <w:rPr>
      <w:sz w:val="24"/>
    </w:rPr>
  </w:style>
  <w:style w:type="paragraph" w:styleId="38">
    <w:name w:val="index 2"/>
    <w:basedOn w:val="1"/>
    <w:next w:val="1"/>
    <w:qFormat/>
    <w:uiPriority w:val="0"/>
    <w:pPr>
      <w:ind w:left="420" w:hanging="210"/>
      <w:jc w:val="left"/>
    </w:pPr>
    <w:rPr>
      <w:rFonts w:ascii="Calibri" w:hAnsi="Calibri"/>
      <w:sz w:val="20"/>
      <w:szCs w:val="20"/>
    </w:rPr>
  </w:style>
  <w:style w:type="table" w:styleId="40">
    <w:name w:val="Table Grid"/>
    <w:basedOn w:val="39"/>
    <w:qFormat/>
    <w:uiPriority w:val="0"/>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2">
    <w:name w:val="Strong"/>
    <w:basedOn w:val="41"/>
    <w:qFormat/>
    <w:uiPriority w:val="0"/>
    <w:rPr>
      <w:b/>
    </w:rPr>
  </w:style>
  <w:style w:type="character" w:styleId="43">
    <w:name w:val="endnote reference"/>
    <w:semiHidden/>
    <w:qFormat/>
    <w:uiPriority w:val="0"/>
    <w:rPr>
      <w:vertAlign w:val="superscript"/>
    </w:rPr>
  </w:style>
  <w:style w:type="character" w:styleId="44">
    <w:name w:val="page number"/>
    <w:qFormat/>
    <w:uiPriority w:val="0"/>
    <w:rPr>
      <w:rFonts w:ascii="Times New Roman" w:hAnsi="Times New Roman" w:eastAsia="宋体"/>
      <w:sz w:val="18"/>
    </w:rPr>
  </w:style>
  <w:style w:type="character" w:styleId="45">
    <w:name w:val="FollowedHyperlink"/>
    <w:qFormat/>
    <w:uiPriority w:val="0"/>
    <w:rPr>
      <w:color w:val="800080"/>
      <w:u w:val="single"/>
    </w:rPr>
  </w:style>
  <w:style w:type="character" w:styleId="46">
    <w:name w:val="Emphasis"/>
    <w:qFormat/>
    <w:uiPriority w:val="20"/>
    <w:rPr>
      <w:i/>
      <w:iCs/>
    </w:rPr>
  </w:style>
  <w:style w:type="character" w:styleId="47">
    <w:name w:val="Hyperlink"/>
    <w:qFormat/>
    <w:uiPriority w:val="99"/>
    <w:rPr>
      <w:color w:val="0000FF"/>
      <w:spacing w:val="0"/>
      <w:w w:val="100"/>
      <w:szCs w:val="21"/>
      <w:u w:val="single"/>
      <w:lang w:val="en-US" w:eastAsia="zh-CN"/>
    </w:rPr>
  </w:style>
  <w:style w:type="character" w:styleId="48">
    <w:name w:val="annotation reference"/>
    <w:basedOn w:val="41"/>
    <w:qFormat/>
    <w:uiPriority w:val="0"/>
    <w:rPr>
      <w:sz w:val="21"/>
      <w:szCs w:val="21"/>
    </w:rPr>
  </w:style>
  <w:style w:type="character" w:styleId="49">
    <w:name w:val="footnote reference"/>
    <w:semiHidden/>
    <w:qFormat/>
    <w:uiPriority w:val="0"/>
    <w:rPr>
      <w:vertAlign w:val="superscript"/>
    </w:rPr>
  </w:style>
  <w:style w:type="character" w:customStyle="1" w:styleId="50">
    <w:name w:val="标题 3 Char"/>
    <w:link w:val="6"/>
    <w:qFormat/>
    <w:uiPriority w:val="0"/>
    <w:rPr>
      <w:b/>
      <w:bCs/>
      <w:kern w:val="2"/>
      <w:sz w:val="32"/>
      <w:szCs w:val="32"/>
    </w:rPr>
  </w:style>
  <w:style w:type="character" w:customStyle="1" w:styleId="51">
    <w:name w:val="发布"/>
    <w:qFormat/>
    <w:uiPriority w:val="0"/>
    <w:rPr>
      <w:rFonts w:ascii="黑体" w:eastAsia="黑体"/>
      <w:spacing w:val="85"/>
      <w:w w:val="100"/>
      <w:position w:val="3"/>
      <w:sz w:val="28"/>
      <w:szCs w:val="28"/>
    </w:rPr>
  </w:style>
  <w:style w:type="character" w:customStyle="1" w:styleId="52">
    <w:name w:val="页眉 Char"/>
    <w:link w:val="25"/>
    <w:qFormat/>
    <w:uiPriority w:val="99"/>
    <w:rPr>
      <w:kern w:val="2"/>
      <w:sz w:val="18"/>
      <w:szCs w:val="18"/>
    </w:rPr>
  </w:style>
  <w:style w:type="character" w:customStyle="1" w:styleId="53">
    <w:name w:val="首示例 Char"/>
    <w:link w:val="54"/>
    <w:qFormat/>
    <w:uiPriority w:val="0"/>
    <w:rPr>
      <w:rFonts w:ascii="宋体" w:hAnsi="宋体"/>
      <w:kern w:val="2"/>
      <w:sz w:val="18"/>
      <w:szCs w:val="18"/>
    </w:rPr>
  </w:style>
  <w:style w:type="paragraph" w:customStyle="1" w:styleId="54">
    <w:name w:val="首示例"/>
    <w:next w:val="30"/>
    <w:link w:val="53"/>
    <w:qFormat/>
    <w:uiPriority w:val="0"/>
    <w:pPr>
      <w:numPr>
        <w:ilvl w:val="0"/>
        <w:numId w:val="2"/>
      </w:numPr>
      <w:tabs>
        <w:tab w:val="left" w:pos="360"/>
      </w:tabs>
      <w:ind w:firstLine="0"/>
    </w:pPr>
    <w:rPr>
      <w:rFonts w:ascii="宋体" w:hAnsi="宋体" w:eastAsia="宋体" w:cs="Times New Roman"/>
      <w:kern w:val="2"/>
      <w:sz w:val="18"/>
      <w:szCs w:val="18"/>
      <w:lang w:val="en-US" w:eastAsia="zh-CN" w:bidi="ar-SA"/>
    </w:rPr>
  </w:style>
  <w:style w:type="character" w:customStyle="1" w:styleId="55">
    <w:name w:val="日期 Char"/>
    <w:link w:val="20"/>
    <w:qFormat/>
    <w:uiPriority w:val="0"/>
    <w:rPr>
      <w:kern w:val="2"/>
      <w:sz w:val="21"/>
      <w:szCs w:val="24"/>
    </w:rPr>
  </w:style>
  <w:style w:type="character" w:customStyle="1" w:styleId="56">
    <w:name w:val="批注框文本 Char"/>
    <w:link w:val="22"/>
    <w:qFormat/>
    <w:uiPriority w:val="0"/>
    <w:rPr>
      <w:kern w:val="2"/>
      <w:sz w:val="18"/>
      <w:szCs w:val="18"/>
    </w:rPr>
  </w:style>
  <w:style w:type="character" w:customStyle="1" w:styleId="57">
    <w:name w:val="font11"/>
    <w:qFormat/>
    <w:uiPriority w:val="0"/>
    <w:rPr>
      <w:rFonts w:hint="eastAsia" w:ascii="宋体" w:hAnsi="宋体" w:eastAsia="宋体" w:cs="宋体"/>
      <w:color w:val="000000"/>
      <w:sz w:val="24"/>
      <w:szCs w:val="24"/>
      <w:u w:val="none"/>
    </w:rPr>
  </w:style>
  <w:style w:type="character" w:customStyle="1" w:styleId="58">
    <w:name w:val="页脚 Char"/>
    <w:link w:val="23"/>
    <w:qFormat/>
    <w:uiPriority w:val="99"/>
    <w:rPr>
      <w:kern w:val="2"/>
      <w:sz w:val="18"/>
      <w:szCs w:val="18"/>
    </w:rPr>
  </w:style>
  <w:style w:type="character" w:customStyle="1" w:styleId="59">
    <w:name w:val="段 Char"/>
    <w:link w:val="30"/>
    <w:qFormat/>
    <w:uiPriority w:val="0"/>
    <w:rPr>
      <w:rFonts w:ascii="宋体"/>
      <w:sz w:val="21"/>
      <w:lang w:val="en-US" w:eastAsia="zh-CN" w:bidi="ar-SA"/>
    </w:rPr>
  </w:style>
  <w:style w:type="character" w:customStyle="1" w:styleId="60">
    <w:name w:val="附录公式 Char"/>
    <w:basedOn w:val="59"/>
    <w:link w:val="61"/>
    <w:qFormat/>
    <w:uiPriority w:val="0"/>
    <w:rPr>
      <w:rFonts w:ascii="宋体"/>
      <w:sz w:val="21"/>
      <w:lang w:val="en-US" w:eastAsia="zh-CN" w:bidi="ar-SA"/>
    </w:rPr>
  </w:style>
  <w:style w:type="paragraph" w:customStyle="1" w:styleId="61">
    <w:name w:val="附录公式"/>
    <w:basedOn w:val="30"/>
    <w:next w:val="30"/>
    <w:link w:val="60"/>
    <w:qFormat/>
    <w:uiPriority w:val="0"/>
  </w:style>
  <w:style w:type="character" w:customStyle="1" w:styleId="62">
    <w:name w:val="标题 1 Char"/>
    <w:link w:val="4"/>
    <w:qFormat/>
    <w:uiPriority w:val="0"/>
    <w:rPr>
      <w:rFonts w:eastAsia="黑体"/>
      <w:b/>
      <w:bCs/>
      <w:kern w:val="44"/>
      <w:sz w:val="32"/>
      <w:szCs w:val="44"/>
    </w:rPr>
  </w:style>
  <w:style w:type="character" w:customStyle="1" w:styleId="63">
    <w:name w:val="apple-converted-space"/>
    <w:basedOn w:val="41"/>
    <w:qFormat/>
    <w:uiPriority w:val="0"/>
  </w:style>
  <w:style w:type="paragraph" w:customStyle="1" w:styleId="64">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65">
    <w:name w:val="示例内容"/>
    <w:qFormat/>
    <w:uiPriority w:val="0"/>
    <w:pPr>
      <w:ind w:firstLine="200" w:firstLineChars="200"/>
    </w:pPr>
    <w:rPr>
      <w:rFonts w:ascii="宋体" w:hAnsi="Times New Roman" w:eastAsia="宋体" w:cs="Times New Roman"/>
      <w:sz w:val="18"/>
      <w:szCs w:val="18"/>
      <w:lang w:val="en-US" w:eastAsia="zh-CN" w:bidi="ar-SA"/>
    </w:rPr>
  </w:style>
  <w:style w:type="paragraph" w:customStyle="1" w:styleId="66">
    <w:name w:val="参考文献、索引标题"/>
    <w:basedOn w:val="1"/>
    <w:next w:val="30"/>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67">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68">
    <w:name w:val="附录三级条标题"/>
    <w:basedOn w:val="69"/>
    <w:next w:val="30"/>
    <w:qFormat/>
    <w:uiPriority w:val="0"/>
    <w:pPr>
      <w:numPr>
        <w:ilvl w:val="4"/>
      </w:numPr>
      <w:tabs>
        <w:tab w:val="left" w:pos="360"/>
      </w:tabs>
      <w:outlineLvl w:val="4"/>
    </w:pPr>
  </w:style>
  <w:style w:type="paragraph" w:customStyle="1" w:styleId="69">
    <w:name w:val="附录二级条标题"/>
    <w:basedOn w:val="1"/>
    <w:next w:val="30"/>
    <w:qFormat/>
    <w:uiPriority w:val="0"/>
    <w:pPr>
      <w:widowControl/>
      <w:numPr>
        <w:ilvl w:val="3"/>
        <w:numId w:val="3"/>
      </w:numPr>
      <w:tabs>
        <w:tab w:val="left" w:pos="360"/>
      </w:tabs>
      <w:wordWrap w:val="0"/>
      <w:overflowPunct w:val="0"/>
      <w:autoSpaceDE w:val="0"/>
      <w:autoSpaceDN w:val="0"/>
      <w:spacing w:before="50" w:beforeLines="50" w:after="50" w:afterLines="50"/>
      <w:textAlignment w:val="baseline"/>
      <w:outlineLvl w:val="3"/>
    </w:pPr>
    <w:rPr>
      <w:rFonts w:ascii="黑体" w:eastAsia="黑体"/>
      <w:kern w:val="21"/>
      <w:szCs w:val="20"/>
    </w:rPr>
  </w:style>
  <w:style w:type="paragraph" w:customStyle="1" w:styleId="70">
    <w:name w:val="正文公式编号制表符"/>
    <w:basedOn w:val="30"/>
    <w:next w:val="30"/>
    <w:qFormat/>
    <w:uiPriority w:val="0"/>
    <w:pPr>
      <w:ind w:firstLine="0" w:firstLineChars="0"/>
    </w:pPr>
  </w:style>
  <w:style w:type="paragraph" w:customStyle="1" w:styleId="71">
    <w:name w:val="标准书眉一"/>
    <w:qFormat/>
    <w:uiPriority w:val="0"/>
    <w:pPr>
      <w:jc w:val="both"/>
    </w:pPr>
    <w:rPr>
      <w:rFonts w:ascii="Times New Roman" w:hAnsi="Times New Roman" w:eastAsia="宋体" w:cs="Times New Roman"/>
      <w:lang w:val="en-US" w:eastAsia="zh-CN" w:bidi="ar-SA"/>
    </w:rPr>
  </w:style>
  <w:style w:type="paragraph" w:customStyle="1" w:styleId="72">
    <w:name w:val="文献分类号"/>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73">
    <w:name w:val="列项●（二级）"/>
    <w:qFormat/>
    <w:uiPriority w:val="0"/>
    <w:pPr>
      <w:numPr>
        <w:ilvl w:val="1"/>
        <w:numId w:val="4"/>
      </w:numPr>
      <w:tabs>
        <w:tab w:val="left" w:pos="840"/>
      </w:tabs>
      <w:jc w:val="both"/>
    </w:pPr>
    <w:rPr>
      <w:rFonts w:ascii="宋体" w:hAnsi="Times New Roman" w:eastAsia="宋体" w:cs="Times New Roman"/>
      <w:sz w:val="21"/>
      <w:lang w:val="en-US" w:eastAsia="zh-CN" w:bidi="ar-SA"/>
    </w:rPr>
  </w:style>
  <w:style w:type="paragraph" w:customStyle="1" w:styleId="74">
    <w:name w:val="图的脚注"/>
    <w:next w:val="30"/>
    <w:qFormat/>
    <w:uiPriority w:val="0"/>
    <w:pPr>
      <w:widowControl w:val="0"/>
      <w:ind w:left="840" w:leftChars="200" w:hanging="420" w:hangingChars="200"/>
      <w:jc w:val="both"/>
    </w:pPr>
    <w:rPr>
      <w:rFonts w:ascii="宋体" w:hAnsi="Times New Roman" w:eastAsia="宋体" w:cs="Times New Roman"/>
      <w:sz w:val="18"/>
      <w:lang w:val="en-US" w:eastAsia="zh-CN" w:bidi="ar-SA"/>
    </w:rPr>
  </w:style>
  <w:style w:type="paragraph" w:customStyle="1" w:styleId="75">
    <w:name w:val="终结线"/>
    <w:basedOn w:val="1"/>
    <w:qFormat/>
    <w:uiPriority w:val="0"/>
    <w:pPr>
      <w:framePr w:hSpace="181" w:vSpace="181" w:wrap="around" w:vAnchor="text" w:hAnchor="margin" w:xAlign="center" w:y="285"/>
    </w:pPr>
  </w:style>
  <w:style w:type="paragraph" w:customStyle="1" w:styleId="76">
    <w:name w:val="五级无"/>
    <w:basedOn w:val="77"/>
    <w:qFormat/>
    <w:uiPriority w:val="0"/>
    <w:rPr>
      <w:rFonts w:ascii="宋体" w:eastAsia="宋体"/>
    </w:rPr>
  </w:style>
  <w:style w:type="paragraph" w:customStyle="1" w:styleId="77">
    <w:name w:val="五级条标题"/>
    <w:basedOn w:val="78"/>
    <w:next w:val="30"/>
    <w:qFormat/>
    <w:uiPriority w:val="0"/>
    <w:pPr>
      <w:numPr>
        <w:ilvl w:val="0"/>
        <w:numId w:val="0"/>
      </w:numPr>
      <w:outlineLvl w:val="6"/>
    </w:pPr>
  </w:style>
  <w:style w:type="paragraph" w:customStyle="1" w:styleId="78">
    <w:name w:val="四级条标题"/>
    <w:basedOn w:val="79"/>
    <w:next w:val="30"/>
    <w:qFormat/>
    <w:uiPriority w:val="0"/>
    <w:pPr>
      <w:numPr>
        <w:ilvl w:val="4"/>
        <w:numId w:val="5"/>
      </w:numPr>
      <w:outlineLvl w:val="5"/>
    </w:pPr>
  </w:style>
  <w:style w:type="paragraph" w:customStyle="1" w:styleId="79">
    <w:name w:val="三级条标题"/>
    <w:basedOn w:val="80"/>
    <w:next w:val="30"/>
    <w:qFormat/>
    <w:uiPriority w:val="0"/>
    <w:pPr>
      <w:numPr>
        <w:ilvl w:val="0"/>
        <w:numId w:val="0"/>
      </w:numPr>
      <w:outlineLvl w:val="4"/>
    </w:pPr>
  </w:style>
  <w:style w:type="paragraph" w:customStyle="1" w:styleId="80">
    <w:name w:val="二级条标题"/>
    <w:basedOn w:val="81"/>
    <w:next w:val="30"/>
    <w:qFormat/>
    <w:uiPriority w:val="0"/>
    <w:pPr>
      <w:numPr>
        <w:ilvl w:val="2"/>
      </w:numPr>
      <w:spacing w:before="0" w:beforeLines="0" w:after="0" w:afterLines="0"/>
      <w:outlineLvl w:val="3"/>
    </w:pPr>
  </w:style>
  <w:style w:type="paragraph" w:customStyle="1" w:styleId="81">
    <w:name w:val="一级条标题"/>
    <w:next w:val="30"/>
    <w:qFormat/>
    <w:uiPriority w:val="0"/>
    <w:pPr>
      <w:numPr>
        <w:ilvl w:val="1"/>
        <w:numId w:val="5"/>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82">
    <w:name w:val="实施日期"/>
    <w:basedOn w:val="83"/>
    <w:qFormat/>
    <w:uiPriority w:val="0"/>
    <w:pPr>
      <w:framePr w:vAnchor="page" w:hAnchor="text"/>
      <w:jc w:val="right"/>
    </w:pPr>
  </w:style>
  <w:style w:type="paragraph" w:customStyle="1" w:styleId="83">
    <w:name w:val="发布日期"/>
    <w:qFormat/>
    <w:uiPriority w:val="0"/>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84">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85">
    <w:name w:val="附录数字编号列项（二级）"/>
    <w:qFormat/>
    <w:uiPriority w:val="0"/>
    <w:pPr>
      <w:numPr>
        <w:ilvl w:val="1"/>
        <w:numId w:val="6"/>
      </w:numPr>
    </w:pPr>
    <w:rPr>
      <w:rFonts w:ascii="宋体" w:hAnsi="Times New Roman" w:eastAsia="宋体" w:cs="Times New Roman"/>
      <w:sz w:val="21"/>
      <w:lang w:val="en-US" w:eastAsia="zh-CN" w:bidi="ar-SA"/>
    </w:rPr>
  </w:style>
  <w:style w:type="paragraph" w:customStyle="1" w:styleId="86">
    <w:name w:val="附录五级无"/>
    <w:basedOn w:val="87"/>
    <w:qFormat/>
    <w:uiPriority w:val="0"/>
    <w:pPr>
      <w:tabs>
        <w:tab w:val="left" w:pos="360"/>
      </w:tabs>
      <w:spacing w:before="0" w:beforeLines="0" w:after="0" w:afterLines="0"/>
    </w:pPr>
    <w:rPr>
      <w:rFonts w:ascii="宋体" w:eastAsia="宋体"/>
      <w:szCs w:val="21"/>
    </w:rPr>
  </w:style>
  <w:style w:type="paragraph" w:customStyle="1" w:styleId="87">
    <w:name w:val="附录五级条标题"/>
    <w:basedOn w:val="88"/>
    <w:next w:val="30"/>
    <w:qFormat/>
    <w:uiPriority w:val="0"/>
    <w:pPr>
      <w:tabs>
        <w:tab w:val="left" w:pos="360"/>
      </w:tabs>
      <w:outlineLvl w:val="6"/>
    </w:pPr>
  </w:style>
  <w:style w:type="paragraph" w:customStyle="1" w:styleId="88">
    <w:name w:val="附录四级条标题"/>
    <w:basedOn w:val="68"/>
    <w:next w:val="30"/>
    <w:qFormat/>
    <w:uiPriority w:val="0"/>
    <w:pPr>
      <w:numPr>
        <w:ilvl w:val="0"/>
        <w:numId w:val="0"/>
      </w:numPr>
      <w:outlineLvl w:val="5"/>
    </w:pPr>
  </w:style>
  <w:style w:type="paragraph" w:customStyle="1" w:styleId="89">
    <w:name w:val="附录表标题"/>
    <w:basedOn w:val="1"/>
    <w:next w:val="30"/>
    <w:qFormat/>
    <w:uiPriority w:val="0"/>
    <w:pPr>
      <w:numPr>
        <w:ilvl w:val="1"/>
        <w:numId w:val="7"/>
      </w:numPr>
      <w:tabs>
        <w:tab w:val="left" w:pos="180"/>
      </w:tabs>
      <w:spacing w:before="50" w:beforeLines="50" w:after="50" w:afterLines="50"/>
      <w:ind w:left="0" w:firstLine="0"/>
      <w:jc w:val="center"/>
    </w:pPr>
    <w:rPr>
      <w:rFonts w:ascii="黑体" w:eastAsia="黑体"/>
      <w:szCs w:val="21"/>
    </w:rPr>
  </w:style>
  <w:style w:type="paragraph" w:customStyle="1" w:styleId="90">
    <w:name w:val="封面标准名称"/>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91">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92">
    <w:name w:val="字母编号列项（一级）"/>
    <w:qFormat/>
    <w:uiPriority w:val="0"/>
    <w:pPr>
      <w:numPr>
        <w:ilvl w:val="0"/>
        <w:numId w:val="8"/>
      </w:numPr>
      <w:jc w:val="both"/>
    </w:pPr>
    <w:rPr>
      <w:rFonts w:ascii="宋体" w:hAnsi="Times New Roman" w:eastAsia="宋体" w:cs="Times New Roman"/>
      <w:sz w:val="21"/>
      <w:lang w:val="en-US" w:eastAsia="zh-CN" w:bidi="ar-SA"/>
    </w:rPr>
  </w:style>
  <w:style w:type="paragraph" w:customStyle="1" w:styleId="93">
    <w:name w:val="注×："/>
    <w:qFormat/>
    <w:uiPriority w:val="0"/>
    <w:pPr>
      <w:widowControl w:val="0"/>
      <w:numPr>
        <w:ilvl w:val="0"/>
        <w:numId w:val="9"/>
      </w:numPr>
      <w:autoSpaceDE w:val="0"/>
      <w:autoSpaceDN w:val="0"/>
      <w:jc w:val="both"/>
    </w:pPr>
    <w:rPr>
      <w:rFonts w:ascii="宋体" w:hAnsi="Times New Roman" w:eastAsia="宋体" w:cs="Times New Roman"/>
      <w:sz w:val="18"/>
      <w:szCs w:val="18"/>
      <w:lang w:val="en-US" w:eastAsia="zh-CN" w:bidi="ar-SA"/>
    </w:rPr>
  </w:style>
  <w:style w:type="paragraph" w:customStyle="1" w:styleId="94">
    <w:name w:val="列项说明数字编号"/>
    <w:qFormat/>
    <w:uiPriority w:val="0"/>
    <w:pPr>
      <w:ind w:left="600" w:leftChars="400" w:hanging="200" w:hangingChars="200"/>
    </w:pPr>
    <w:rPr>
      <w:rFonts w:ascii="宋体" w:hAnsi="Times New Roman" w:eastAsia="宋体" w:cs="Times New Roman"/>
      <w:sz w:val="21"/>
      <w:lang w:val="en-US" w:eastAsia="zh-CN" w:bidi="ar-SA"/>
    </w:rPr>
  </w:style>
  <w:style w:type="paragraph" w:customStyle="1" w:styleId="95">
    <w:name w:val="注："/>
    <w:next w:val="30"/>
    <w:qFormat/>
    <w:uiPriority w:val="0"/>
    <w:pPr>
      <w:widowControl w:val="0"/>
      <w:numPr>
        <w:ilvl w:val="0"/>
        <w:numId w:val="10"/>
      </w:numPr>
      <w:autoSpaceDE w:val="0"/>
      <w:autoSpaceDN w:val="0"/>
      <w:jc w:val="both"/>
    </w:pPr>
    <w:rPr>
      <w:rFonts w:ascii="宋体" w:hAnsi="Times New Roman" w:eastAsia="宋体" w:cs="Times New Roman"/>
      <w:sz w:val="18"/>
      <w:szCs w:val="18"/>
      <w:lang w:val="en-US" w:eastAsia="zh-CN" w:bidi="ar-SA"/>
    </w:rPr>
  </w:style>
  <w:style w:type="paragraph" w:customStyle="1" w:styleId="96">
    <w:name w:val="列项说明"/>
    <w:basedOn w:val="1"/>
    <w:qFormat/>
    <w:uiPriority w:val="0"/>
    <w:pPr>
      <w:adjustRightInd w:val="0"/>
      <w:spacing w:line="320" w:lineRule="exact"/>
      <w:ind w:left="400" w:leftChars="200" w:hanging="200" w:hangingChars="200"/>
      <w:jc w:val="left"/>
      <w:textAlignment w:val="baseline"/>
    </w:pPr>
    <w:rPr>
      <w:rFonts w:ascii="宋体"/>
      <w:kern w:val="0"/>
      <w:szCs w:val="20"/>
    </w:rPr>
  </w:style>
  <w:style w:type="paragraph" w:customStyle="1" w:styleId="97">
    <w:name w:val="条文脚注"/>
    <w:basedOn w:val="31"/>
    <w:qFormat/>
    <w:uiPriority w:val="0"/>
    <w:pPr>
      <w:numPr>
        <w:numId w:val="0"/>
      </w:numPr>
      <w:jc w:val="both"/>
    </w:pPr>
  </w:style>
  <w:style w:type="paragraph" w:customStyle="1" w:styleId="98">
    <w:name w:val="目次、标准名称标题"/>
    <w:basedOn w:val="1"/>
    <w:next w:val="30"/>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99">
    <w:name w:val="附录章标题"/>
    <w:next w:val="30"/>
    <w:qFormat/>
    <w:uiPriority w:val="0"/>
    <w:pPr>
      <w:numPr>
        <w:ilvl w:val="1"/>
        <w:numId w:val="3"/>
      </w:numPr>
      <w:tabs>
        <w:tab w:val="left" w:pos="360"/>
      </w:tabs>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100">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101">
    <w:name w:val="数字编号列项（二级）"/>
    <w:qFormat/>
    <w:uiPriority w:val="0"/>
    <w:pPr>
      <w:numPr>
        <w:ilvl w:val="1"/>
        <w:numId w:val="8"/>
      </w:numPr>
      <w:jc w:val="both"/>
    </w:pPr>
    <w:rPr>
      <w:rFonts w:ascii="宋体" w:hAnsi="Times New Roman" w:eastAsia="宋体" w:cs="Times New Roman"/>
      <w:sz w:val="21"/>
      <w:lang w:val="en-US" w:eastAsia="zh-CN" w:bidi="ar-SA"/>
    </w:rPr>
  </w:style>
  <w:style w:type="paragraph" w:customStyle="1" w:styleId="102">
    <w:name w:val="标准标志"/>
    <w:next w:val="1"/>
    <w:qFormat/>
    <w:uiPriority w:val="0"/>
    <w:pPr>
      <w:framePr w:w="2546" w:h="1389" w:hRule="exact" w:hSpace="181" w:vSpace="181" w:wrap="around" w:vAnchor="margin" w:hAnchor="margin" w:x="6522" w:y="398" w:anchorLock="1"/>
      <w:shd w:val="solid" w:color="FFFFFF" w:fill="FFFFFF"/>
      <w:spacing w:line="0" w:lineRule="atLeast"/>
      <w:jc w:val="right"/>
    </w:pPr>
    <w:rPr>
      <w:rFonts w:ascii="Times New Roman" w:hAnsi="Times New Roman" w:eastAsia="宋体" w:cs="Times New Roman"/>
      <w:b/>
      <w:w w:val="170"/>
      <w:sz w:val="96"/>
      <w:szCs w:val="96"/>
      <w:lang w:val="en-US" w:eastAsia="zh-CN" w:bidi="ar-SA"/>
    </w:rPr>
  </w:style>
  <w:style w:type="paragraph" w:customStyle="1" w:styleId="103">
    <w:name w:val="其他实施日期"/>
    <w:basedOn w:val="82"/>
    <w:qFormat/>
    <w:uiPriority w:val="0"/>
  </w:style>
  <w:style w:type="paragraph" w:customStyle="1" w:styleId="104">
    <w:name w:val="附录图标号"/>
    <w:basedOn w:val="1"/>
    <w:qFormat/>
    <w:uiPriority w:val="0"/>
    <w:pPr>
      <w:keepNext/>
      <w:pageBreakBefore/>
      <w:widowControl/>
      <w:numPr>
        <w:ilvl w:val="0"/>
        <w:numId w:val="11"/>
      </w:numPr>
      <w:spacing w:line="14" w:lineRule="exact"/>
      <w:ind w:left="0" w:firstLine="363"/>
      <w:jc w:val="center"/>
      <w:outlineLvl w:val="0"/>
    </w:pPr>
    <w:rPr>
      <w:color w:val="FFFFFF"/>
    </w:rPr>
  </w:style>
  <w:style w:type="paragraph" w:customStyle="1" w:styleId="105">
    <w:name w:val="编号列项（三级）"/>
    <w:qFormat/>
    <w:uiPriority w:val="0"/>
    <w:rPr>
      <w:rFonts w:ascii="宋体" w:hAnsi="Times New Roman" w:eastAsia="宋体" w:cs="Times New Roman"/>
      <w:sz w:val="21"/>
      <w:lang w:val="en-US" w:eastAsia="zh-CN" w:bidi="ar-SA"/>
    </w:rPr>
  </w:style>
  <w:style w:type="paragraph" w:customStyle="1" w:styleId="106">
    <w:name w:val="示例"/>
    <w:next w:val="65"/>
    <w:qFormat/>
    <w:uiPriority w:val="0"/>
    <w:pPr>
      <w:widowControl w:val="0"/>
      <w:numPr>
        <w:ilvl w:val="0"/>
        <w:numId w:val="12"/>
      </w:numPr>
      <w:jc w:val="both"/>
    </w:pPr>
    <w:rPr>
      <w:rFonts w:ascii="宋体" w:hAnsi="Times New Roman" w:eastAsia="宋体" w:cs="Times New Roman"/>
      <w:sz w:val="18"/>
      <w:szCs w:val="18"/>
      <w:lang w:val="en-US" w:eastAsia="zh-CN" w:bidi="ar-SA"/>
    </w:rPr>
  </w:style>
  <w:style w:type="paragraph" w:customStyle="1" w:styleId="107">
    <w:name w:val="列项——（一级）"/>
    <w:qFormat/>
    <w:uiPriority w:val="0"/>
    <w:pPr>
      <w:widowControl w:val="0"/>
      <w:numPr>
        <w:ilvl w:val="0"/>
        <w:numId w:val="4"/>
      </w:numPr>
      <w:ind w:left="833"/>
      <w:jc w:val="both"/>
    </w:pPr>
    <w:rPr>
      <w:rFonts w:ascii="宋体" w:hAnsi="Times New Roman" w:eastAsia="宋体" w:cs="Times New Roman"/>
      <w:sz w:val="21"/>
      <w:lang w:val="en-US" w:eastAsia="zh-CN" w:bidi="ar-SA"/>
    </w:rPr>
  </w:style>
  <w:style w:type="paragraph" w:customStyle="1" w:styleId="108">
    <w:name w:val="封面正文"/>
    <w:qFormat/>
    <w:uiPriority w:val="0"/>
    <w:pPr>
      <w:jc w:val="both"/>
    </w:pPr>
    <w:rPr>
      <w:rFonts w:ascii="Times New Roman" w:hAnsi="Times New Roman" w:eastAsia="宋体" w:cs="Times New Roman"/>
      <w:lang w:val="en-US" w:eastAsia="zh-CN" w:bidi="ar-SA"/>
    </w:rPr>
  </w:style>
  <w:style w:type="paragraph" w:customStyle="1" w:styleId="109">
    <w:name w:val="图标脚注说明"/>
    <w:basedOn w:val="30"/>
    <w:qFormat/>
    <w:uiPriority w:val="0"/>
    <w:pPr>
      <w:ind w:left="840" w:hanging="420" w:firstLineChars="0"/>
    </w:pPr>
    <w:rPr>
      <w:sz w:val="18"/>
      <w:szCs w:val="18"/>
    </w:rPr>
  </w:style>
  <w:style w:type="paragraph" w:customStyle="1" w:styleId="110">
    <w:name w:val="标准书眉_偶数页"/>
    <w:basedOn w:val="91"/>
    <w:next w:val="1"/>
    <w:qFormat/>
    <w:uiPriority w:val="0"/>
    <w:pPr>
      <w:jc w:val="left"/>
    </w:pPr>
  </w:style>
  <w:style w:type="paragraph" w:customStyle="1" w:styleId="111">
    <w:name w:val="附录图标题"/>
    <w:basedOn w:val="1"/>
    <w:next w:val="30"/>
    <w:qFormat/>
    <w:uiPriority w:val="0"/>
    <w:pPr>
      <w:numPr>
        <w:ilvl w:val="1"/>
        <w:numId w:val="11"/>
      </w:numPr>
      <w:tabs>
        <w:tab w:val="left" w:pos="363"/>
      </w:tabs>
      <w:spacing w:before="50" w:beforeLines="50" w:after="50" w:afterLines="50"/>
      <w:ind w:left="0" w:firstLine="0"/>
      <w:jc w:val="center"/>
    </w:pPr>
    <w:rPr>
      <w:rFonts w:ascii="黑体" w:eastAsia="黑体"/>
      <w:szCs w:val="21"/>
    </w:rPr>
  </w:style>
  <w:style w:type="paragraph" w:customStyle="1" w:styleId="112">
    <w:name w:val="附录公式编号制表符"/>
    <w:basedOn w:val="1"/>
    <w:next w:val="30"/>
    <w:qFormat/>
    <w:uiPriority w:val="0"/>
    <w:pPr>
      <w:widowControl/>
      <w:tabs>
        <w:tab w:val="center" w:pos="4201"/>
        <w:tab w:val="right" w:leader="dot" w:pos="9298"/>
      </w:tabs>
      <w:autoSpaceDE w:val="0"/>
      <w:autoSpaceDN w:val="0"/>
    </w:pPr>
    <w:rPr>
      <w:rFonts w:ascii="宋体"/>
      <w:kern w:val="0"/>
      <w:szCs w:val="20"/>
    </w:rPr>
  </w:style>
  <w:style w:type="paragraph" w:customStyle="1" w:styleId="113">
    <w:name w:val="章标题"/>
    <w:next w:val="30"/>
    <w:qFormat/>
    <w:uiPriority w:val="0"/>
    <w:pPr>
      <w:numPr>
        <w:ilvl w:val="0"/>
        <w:numId w:val="5"/>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114">
    <w:name w:val="附录表标号"/>
    <w:basedOn w:val="1"/>
    <w:next w:val="30"/>
    <w:qFormat/>
    <w:uiPriority w:val="0"/>
    <w:pPr>
      <w:numPr>
        <w:ilvl w:val="0"/>
        <w:numId w:val="7"/>
      </w:numPr>
      <w:tabs>
        <w:tab w:val="clear" w:pos="0"/>
      </w:tabs>
      <w:spacing w:line="14" w:lineRule="exact"/>
      <w:ind w:left="811" w:hanging="448"/>
      <w:jc w:val="center"/>
      <w:outlineLvl w:val="0"/>
    </w:pPr>
    <w:rPr>
      <w:color w:val="FFFFFF"/>
    </w:rPr>
  </w:style>
  <w:style w:type="paragraph" w:customStyle="1" w:styleId="115">
    <w:name w:val="修订1"/>
    <w:unhideWhenUsed/>
    <w:qFormat/>
    <w:uiPriority w:val="99"/>
    <w:rPr>
      <w:rFonts w:ascii="Times New Roman" w:hAnsi="Times New Roman" w:eastAsia="宋体" w:cs="Times New Roman"/>
      <w:kern w:val="2"/>
      <w:sz w:val="21"/>
      <w:szCs w:val="24"/>
      <w:lang w:val="en-US" w:eastAsia="zh-CN" w:bidi="ar-SA"/>
    </w:rPr>
  </w:style>
  <w:style w:type="paragraph" w:customStyle="1" w:styleId="116">
    <w:name w:val="其他标准称谓"/>
    <w:next w:val="1"/>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117">
    <w:name w:val="封面一致性程度标识2"/>
    <w:basedOn w:val="118"/>
    <w:qFormat/>
    <w:uiPriority w:val="0"/>
    <w:pPr>
      <w:framePr w:y="4469"/>
    </w:pPr>
  </w:style>
  <w:style w:type="paragraph" w:customStyle="1" w:styleId="118">
    <w:name w:val="封面一致性程度标识"/>
    <w:basedOn w:val="119"/>
    <w:qFormat/>
    <w:uiPriority w:val="0"/>
    <w:pPr>
      <w:spacing w:before="440"/>
    </w:pPr>
    <w:rPr>
      <w:rFonts w:ascii="宋体" w:eastAsia="宋体"/>
    </w:rPr>
  </w:style>
  <w:style w:type="paragraph" w:customStyle="1" w:styleId="119">
    <w:name w:val="封面标准英文名称"/>
    <w:basedOn w:val="90"/>
    <w:qFormat/>
    <w:uiPriority w:val="0"/>
    <w:pPr>
      <w:spacing w:before="370" w:line="400" w:lineRule="exact"/>
    </w:pPr>
    <w:rPr>
      <w:rFonts w:ascii="Times New Roman"/>
      <w:sz w:val="28"/>
      <w:szCs w:val="28"/>
    </w:rPr>
  </w:style>
  <w:style w:type="paragraph" w:customStyle="1" w:styleId="120">
    <w:name w:val="附录字母编号列项（一级）"/>
    <w:qFormat/>
    <w:uiPriority w:val="0"/>
    <w:pPr>
      <w:numPr>
        <w:ilvl w:val="0"/>
        <w:numId w:val="6"/>
      </w:numPr>
    </w:pPr>
    <w:rPr>
      <w:rFonts w:ascii="宋体" w:hAnsi="Times New Roman" w:eastAsia="宋体" w:cs="Times New Roman"/>
      <w:sz w:val="21"/>
      <w:lang w:val="en-US" w:eastAsia="zh-CN" w:bidi="ar-SA"/>
    </w:rPr>
  </w:style>
  <w:style w:type="paragraph" w:customStyle="1" w:styleId="121">
    <w:name w:val="三级无"/>
    <w:basedOn w:val="79"/>
    <w:qFormat/>
    <w:uiPriority w:val="0"/>
    <w:rPr>
      <w:rFonts w:ascii="宋体" w:eastAsia="宋体"/>
    </w:rPr>
  </w:style>
  <w:style w:type="paragraph" w:customStyle="1" w:styleId="122">
    <w:name w:val="附录三级无"/>
    <w:basedOn w:val="68"/>
    <w:qFormat/>
    <w:uiPriority w:val="0"/>
    <w:pPr>
      <w:tabs>
        <w:tab w:val="clear" w:pos="360"/>
      </w:tabs>
      <w:spacing w:before="0" w:beforeLines="0" w:after="0" w:afterLines="0"/>
    </w:pPr>
    <w:rPr>
      <w:rFonts w:ascii="宋体" w:eastAsia="宋体"/>
      <w:szCs w:val="21"/>
    </w:rPr>
  </w:style>
  <w:style w:type="paragraph" w:customStyle="1" w:styleId="123">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124">
    <w:name w:val="图表脚注说明"/>
    <w:basedOn w:val="1"/>
    <w:qFormat/>
    <w:uiPriority w:val="0"/>
    <w:pPr>
      <w:numPr>
        <w:ilvl w:val="0"/>
        <w:numId w:val="13"/>
      </w:numPr>
    </w:pPr>
    <w:rPr>
      <w:rFonts w:ascii="宋体"/>
      <w:sz w:val="18"/>
      <w:szCs w:val="18"/>
    </w:rPr>
  </w:style>
  <w:style w:type="paragraph" w:customStyle="1" w:styleId="125">
    <w:name w:val="封面标准文稿编辑信息"/>
    <w:basedOn w:val="126"/>
    <w:qFormat/>
    <w:uiPriority w:val="0"/>
    <w:pPr>
      <w:spacing w:before="180" w:line="180" w:lineRule="exact"/>
    </w:pPr>
    <w:rPr>
      <w:sz w:val="21"/>
    </w:rPr>
  </w:style>
  <w:style w:type="paragraph" w:customStyle="1" w:styleId="126">
    <w:name w:val="封面标准文稿类别"/>
    <w:basedOn w:val="118"/>
    <w:qFormat/>
    <w:uiPriority w:val="0"/>
    <w:pPr>
      <w:spacing w:after="160" w:line="240" w:lineRule="auto"/>
    </w:pPr>
    <w:rPr>
      <w:sz w:val="24"/>
    </w:rPr>
  </w:style>
  <w:style w:type="paragraph" w:customStyle="1" w:styleId="127">
    <w:name w:val="其他发布部门"/>
    <w:basedOn w:val="128"/>
    <w:qFormat/>
    <w:uiPriority w:val="0"/>
    <w:pPr>
      <w:framePr w:y="15310"/>
      <w:spacing w:line="0" w:lineRule="atLeast"/>
    </w:pPr>
    <w:rPr>
      <w:rFonts w:ascii="黑体" w:eastAsia="黑体"/>
      <w:b w:val="0"/>
    </w:rPr>
  </w:style>
  <w:style w:type="paragraph" w:customStyle="1" w:styleId="128">
    <w:name w:val="发布部门"/>
    <w:next w:val="30"/>
    <w:qFormat/>
    <w:uiPriority w:val="0"/>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129">
    <w:name w:val="二级无"/>
    <w:basedOn w:val="80"/>
    <w:qFormat/>
    <w:uiPriority w:val="0"/>
    <w:pPr>
      <w:jc w:val="center"/>
    </w:pPr>
    <w:rPr>
      <w:rFonts w:ascii="宋体"/>
    </w:rPr>
  </w:style>
  <w:style w:type="paragraph" w:customStyle="1" w:styleId="130">
    <w:name w:val="封面标准文稿编辑信息2"/>
    <w:basedOn w:val="125"/>
    <w:qFormat/>
    <w:uiPriority w:val="0"/>
    <w:pPr>
      <w:framePr w:y="4469"/>
    </w:pPr>
  </w:style>
  <w:style w:type="paragraph" w:customStyle="1" w:styleId="131">
    <w:name w:val="注：（正文）"/>
    <w:basedOn w:val="95"/>
    <w:next w:val="30"/>
    <w:qFormat/>
    <w:uiPriority w:val="0"/>
    <w:pPr>
      <w:numPr>
        <w:ilvl w:val="0"/>
        <w:numId w:val="14"/>
      </w:numPr>
    </w:pPr>
  </w:style>
  <w:style w:type="paragraph" w:customStyle="1" w:styleId="132">
    <w:name w:val="一级无"/>
    <w:basedOn w:val="81"/>
    <w:qFormat/>
    <w:uiPriority w:val="0"/>
    <w:pPr>
      <w:spacing w:before="0" w:beforeLines="0" w:after="0" w:afterLines="0"/>
    </w:pPr>
    <w:rPr>
      <w:rFonts w:ascii="宋体" w:eastAsia="宋体"/>
    </w:rPr>
  </w:style>
  <w:style w:type="paragraph" w:customStyle="1" w:styleId="133">
    <w:name w:val="正文图标题"/>
    <w:next w:val="30"/>
    <w:qFormat/>
    <w:uiPriority w:val="0"/>
    <w:pPr>
      <w:numPr>
        <w:ilvl w:val="0"/>
        <w:numId w:val="15"/>
      </w:numPr>
      <w:spacing w:before="156" w:beforeLines="50" w:after="156" w:afterLines="50"/>
      <w:jc w:val="center"/>
    </w:pPr>
    <w:rPr>
      <w:rFonts w:ascii="黑体" w:hAnsi="Times New Roman" w:eastAsia="黑体" w:cs="Times New Roman"/>
      <w:sz w:val="21"/>
      <w:lang w:val="en-US" w:eastAsia="zh-CN" w:bidi="ar-SA"/>
    </w:rPr>
  </w:style>
  <w:style w:type="paragraph" w:customStyle="1" w:styleId="134">
    <w:name w:val="注×：（正文）"/>
    <w:qFormat/>
    <w:uiPriority w:val="0"/>
    <w:pPr>
      <w:numPr>
        <w:ilvl w:val="0"/>
        <w:numId w:val="16"/>
      </w:numPr>
      <w:jc w:val="both"/>
    </w:pPr>
    <w:rPr>
      <w:rFonts w:ascii="宋体" w:hAnsi="Times New Roman" w:eastAsia="宋体" w:cs="Times New Roman"/>
      <w:sz w:val="18"/>
      <w:szCs w:val="18"/>
      <w:lang w:val="en-US" w:eastAsia="zh-CN" w:bidi="ar-SA"/>
    </w:rPr>
  </w:style>
  <w:style w:type="paragraph" w:customStyle="1" w:styleId="135">
    <w:name w:val="TOC 标题1"/>
    <w:basedOn w:val="4"/>
    <w:next w:val="1"/>
    <w:qFormat/>
    <w:uiPriority w:val="39"/>
    <w:pPr>
      <w:widowControl/>
      <w:spacing w:before="480" w:after="0" w:line="276" w:lineRule="auto"/>
      <w:jc w:val="left"/>
      <w:outlineLvl w:val="9"/>
    </w:pPr>
    <w:rPr>
      <w:rFonts w:ascii="Cambria" w:hAnsi="Cambria" w:eastAsia="宋体"/>
      <w:color w:val="365F91"/>
      <w:kern w:val="0"/>
      <w:sz w:val="28"/>
      <w:szCs w:val="28"/>
    </w:rPr>
  </w:style>
  <w:style w:type="paragraph" w:customStyle="1" w:styleId="136">
    <w:name w:val="列项◆（三级）"/>
    <w:basedOn w:val="1"/>
    <w:qFormat/>
    <w:uiPriority w:val="0"/>
    <w:pPr>
      <w:numPr>
        <w:ilvl w:val="2"/>
        <w:numId w:val="4"/>
      </w:numPr>
    </w:pPr>
    <w:rPr>
      <w:rFonts w:ascii="宋体"/>
      <w:szCs w:val="21"/>
    </w:rPr>
  </w:style>
  <w:style w:type="paragraph" w:customStyle="1" w:styleId="137">
    <w:name w:val="标准书脚_偶数页"/>
    <w:qFormat/>
    <w:uiPriority w:val="0"/>
    <w:pPr>
      <w:spacing w:before="120"/>
      <w:ind w:left="221"/>
    </w:pPr>
    <w:rPr>
      <w:rFonts w:ascii="宋体" w:hAnsi="Times New Roman" w:eastAsia="宋体" w:cs="Times New Roman"/>
      <w:sz w:val="18"/>
      <w:szCs w:val="18"/>
      <w:lang w:val="en-US" w:eastAsia="zh-CN" w:bidi="ar-SA"/>
    </w:rPr>
  </w:style>
  <w:style w:type="paragraph" w:customStyle="1" w:styleId="138">
    <w:name w:val="封面标准名称2"/>
    <w:basedOn w:val="90"/>
    <w:qFormat/>
    <w:uiPriority w:val="0"/>
    <w:pPr>
      <w:framePr w:y="4469"/>
      <w:spacing w:before="630" w:beforeLines="630"/>
    </w:pPr>
  </w:style>
  <w:style w:type="paragraph" w:customStyle="1" w:styleId="139">
    <w:name w:val="参考文献"/>
    <w:basedOn w:val="1"/>
    <w:next w:val="30"/>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140">
    <w:name w:val="标准称谓"/>
    <w:next w:val="1"/>
    <w:qFormat/>
    <w:uiPriority w:val="0"/>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sz w:val="48"/>
      <w:lang w:val="en-US" w:eastAsia="zh-CN" w:bidi="ar-SA"/>
    </w:rPr>
  </w:style>
  <w:style w:type="paragraph" w:customStyle="1" w:styleId="141">
    <w:name w:val="附录标题"/>
    <w:basedOn w:val="30"/>
    <w:next w:val="30"/>
    <w:qFormat/>
    <w:uiPriority w:val="0"/>
    <w:pPr>
      <w:ind w:firstLine="0" w:firstLineChars="0"/>
      <w:jc w:val="center"/>
    </w:pPr>
    <w:rPr>
      <w:rFonts w:ascii="黑体" w:eastAsia="黑体"/>
    </w:rPr>
  </w:style>
  <w:style w:type="paragraph" w:customStyle="1" w:styleId="142">
    <w:name w:val="附录四级无"/>
    <w:basedOn w:val="88"/>
    <w:qFormat/>
    <w:uiPriority w:val="0"/>
    <w:pPr>
      <w:tabs>
        <w:tab w:val="clear" w:pos="360"/>
      </w:tabs>
      <w:spacing w:before="0" w:beforeLines="0" w:after="0" w:afterLines="0"/>
    </w:pPr>
    <w:rPr>
      <w:rFonts w:ascii="宋体" w:eastAsia="宋体"/>
      <w:szCs w:val="21"/>
    </w:rPr>
  </w:style>
  <w:style w:type="paragraph" w:customStyle="1" w:styleId="143">
    <w:name w:val="附录一级无"/>
    <w:basedOn w:val="144"/>
    <w:qFormat/>
    <w:uiPriority w:val="0"/>
    <w:pPr>
      <w:tabs>
        <w:tab w:val="left" w:pos="360"/>
      </w:tabs>
      <w:spacing w:before="0" w:beforeLines="0" w:after="0" w:afterLines="0"/>
    </w:pPr>
    <w:rPr>
      <w:rFonts w:ascii="宋体" w:eastAsia="宋体"/>
      <w:szCs w:val="21"/>
    </w:rPr>
  </w:style>
  <w:style w:type="paragraph" w:customStyle="1" w:styleId="144">
    <w:name w:val="附录一级条标题"/>
    <w:basedOn w:val="99"/>
    <w:next w:val="30"/>
    <w:qFormat/>
    <w:uiPriority w:val="0"/>
    <w:pPr>
      <w:numPr>
        <w:ilvl w:val="0"/>
        <w:numId w:val="0"/>
      </w:numPr>
      <w:autoSpaceDN w:val="0"/>
      <w:spacing w:before="50" w:beforeLines="50" w:after="50" w:afterLines="50"/>
      <w:outlineLvl w:val="2"/>
    </w:pPr>
  </w:style>
  <w:style w:type="paragraph" w:customStyle="1" w:styleId="145">
    <w:name w:val="前言、引言标题"/>
    <w:next w:val="30"/>
    <w:qFormat/>
    <w:uiPriority w:val="0"/>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46">
    <w:name w:val="附录二级无"/>
    <w:basedOn w:val="69"/>
    <w:qFormat/>
    <w:uiPriority w:val="0"/>
    <w:pPr>
      <w:tabs>
        <w:tab w:val="clear" w:pos="360"/>
      </w:tabs>
      <w:spacing w:before="0" w:beforeLines="0" w:after="0" w:afterLines="0"/>
    </w:pPr>
    <w:rPr>
      <w:rFonts w:ascii="宋体" w:eastAsia="宋体"/>
      <w:szCs w:val="21"/>
    </w:rPr>
  </w:style>
  <w:style w:type="paragraph" w:customStyle="1" w:styleId="147">
    <w:name w:val="其他发布日期"/>
    <w:basedOn w:val="83"/>
    <w:qFormat/>
    <w:uiPriority w:val="0"/>
    <w:pPr>
      <w:framePr w:vAnchor="page" w:hAnchor="text" w:x="1419"/>
    </w:pPr>
  </w:style>
  <w:style w:type="paragraph" w:customStyle="1" w:styleId="148">
    <w:name w:val="示例后文字"/>
    <w:basedOn w:val="30"/>
    <w:next w:val="30"/>
    <w:qFormat/>
    <w:uiPriority w:val="0"/>
    <w:pPr>
      <w:ind w:firstLine="360"/>
    </w:pPr>
    <w:rPr>
      <w:sz w:val="18"/>
    </w:rPr>
  </w:style>
  <w:style w:type="paragraph" w:customStyle="1" w:styleId="149">
    <w:name w:val="示例×："/>
    <w:basedOn w:val="113"/>
    <w:qFormat/>
    <w:uiPriority w:val="0"/>
    <w:pPr>
      <w:numPr>
        <w:numId w:val="17"/>
      </w:numPr>
      <w:spacing w:before="0" w:beforeLines="0" w:after="0" w:afterLines="0"/>
      <w:outlineLvl w:val="9"/>
    </w:pPr>
    <w:rPr>
      <w:rFonts w:ascii="宋体" w:eastAsia="宋体"/>
      <w:sz w:val="18"/>
      <w:szCs w:val="18"/>
    </w:rPr>
  </w:style>
  <w:style w:type="paragraph" w:customStyle="1" w:styleId="150">
    <w:name w:val="附录标识"/>
    <w:basedOn w:val="1"/>
    <w:next w:val="30"/>
    <w:qFormat/>
    <w:uiPriority w:val="0"/>
    <w:pPr>
      <w:keepNext/>
      <w:widowControl/>
      <w:numPr>
        <w:ilvl w:val="0"/>
        <w:numId w:val="3"/>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151">
    <w:name w:val="正文表标题"/>
    <w:next w:val="30"/>
    <w:qFormat/>
    <w:uiPriority w:val="0"/>
    <w:pPr>
      <w:numPr>
        <w:ilvl w:val="0"/>
        <w:numId w:val="18"/>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152">
    <w:name w:val="表格文字"/>
    <w:basedOn w:val="1"/>
    <w:qFormat/>
    <w:uiPriority w:val="0"/>
    <w:pPr>
      <w:snapToGrid w:val="0"/>
      <w:spacing w:beforeLines="20" w:afterLines="20"/>
      <w:jc w:val="center"/>
    </w:pPr>
  </w:style>
  <w:style w:type="paragraph" w:customStyle="1" w:styleId="153">
    <w:name w:val="列出段落1"/>
    <w:basedOn w:val="1"/>
    <w:qFormat/>
    <w:uiPriority w:val="34"/>
    <w:pPr>
      <w:ind w:firstLine="420" w:firstLineChars="200"/>
    </w:pPr>
    <w:rPr>
      <w:rFonts w:ascii="Calibri" w:hAnsi="Calibri"/>
      <w:szCs w:val="22"/>
    </w:rPr>
  </w:style>
  <w:style w:type="paragraph" w:customStyle="1" w:styleId="154">
    <w:name w:val="封面标准文稿类别2"/>
    <w:basedOn w:val="126"/>
    <w:qFormat/>
    <w:uiPriority w:val="0"/>
    <w:pPr>
      <w:framePr w:y="4469"/>
    </w:pPr>
  </w:style>
  <w:style w:type="paragraph" w:customStyle="1" w:styleId="155">
    <w:name w:val="其他标准标志"/>
    <w:basedOn w:val="102"/>
    <w:qFormat/>
    <w:uiPriority w:val="0"/>
    <w:pPr>
      <w:framePr w:w="6101" w:vAnchor="page" w:hAnchor="page" w:x="4673" w:y="942"/>
    </w:pPr>
    <w:rPr>
      <w:w w:val="130"/>
    </w:rPr>
  </w:style>
  <w:style w:type="paragraph" w:customStyle="1" w:styleId="156">
    <w:name w:val="封面标准英文名称2"/>
    <w:basedOn w:val="119"/>
    <w:qFormat/>
    <w:uiPriority w:val="0"/>
    <w:pPr>
      <w:framePr w:y="4469"/>
    </w:pPr>
  </w:style>
  <w:style w:type="paragraph" w:customStyle="1" w:styleId="157">
    <w:name w:val="四级无"/>
    <w:basedOn w:val="78"/>
    <w:qFormat/>
    <w:uiPriority w:val="0"/>
    <w:rPr>
      <w:rFonts w:ascii="宋体" w:eastAsia="宋体"/>
    </w:rPr>
  </w:style>
  <w:style w:type="character" w:styleId="158">
    <w:name w:val="Placeholder Text"/>
    <w:basedOn w:val="41"/>
    <w:semiHidden/>
    <w:qFormat/>
    <w:uiPriority w:val="99"/>
    <w:rPr>
      <w:color w:val="808080"/>
    </w:rPr>
  </w:style>
  <w:style w:type="paragraph" w:styleId="159">
    <w:name w:val="List Paragraph"/>
    <w:basedOn w:val="1"/>
    <w:qFormat/>
    <w:uiPriority w:val="34"/>
    <w:pPr>
      <w:ind w:firstLine="420" w:firstLineChars="200"/>
    </w:pPr>
  </w:style>
  <w:style w:type="table" w:customStyle="1" w:styleId="160">
    <w:name w:val="网格型1"/>
    <w:basedOn w:val="3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
    <w:name w:val="网格型2"/>
    <w:basedOn w:val="3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
    <w:name w:val="网格型3"/>
    <w:basedOn w:val="3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
    <w:name w:val="网格型4"/>
    <w:basedOn w:val="3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
    <w:name w:val="网格型5"/>
    <w:basedOn w:val="3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
    <w:name w:val="网格型6"/>
    <w:basedOn w:val="3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6">
    <w:name w:val="AMDisplayEquation"/>
    <w:basedOn w:val="1"/>
    <w:next w:val="1"/>
    <w:qFormat/>
    <w:uiPriority w:val="0"/>
    <w:pPr>
      <w:tabs>
        <w:tab w:val="center" w:pos="4160"/>
        <w:tab w:val="right" w:pos="8300"/>
      </w:tabs>
      <w:spacing w:before="120" w:after="120"/>
    </w:pPr>
  </w:style>
  <w:style w:type="character" w:customStyle="1" w:styleId="167">
    <w:name w:val="AMEquationSection"/>
    <w:basedOn w:val="41"/>
    <w:qFormat/>
    <w:uiPriority w:val="0"/>
    <w:rPr>
      <w:vanish/>
      <w:color w:val="FF0000"/>
    </w:rPr>
  </w:style>
  <w:style w:type="paragraph" w:customStyle="1" w:styleId="168">
    <w:name w:val="标准正文"/>
    <w:basedOn w:val="1"/>
    <w:qFormat/>
    <w:uiPriority w:val="0"/>
    <w:pPr>
      <w:spacing w:line="360" w:lineRule="auto"/>
      <w:ind w:firstLine="200" w:firstLineChars="200"/>
      <w:jc w:val="left"/>
    </w:pPr>
    <w:rPr>
      <w:sz w:val="24"/>
    </w:rPr>
  </w:style>
  <w:style w:type="paragraph" w:customStyle="1" w:styleId="169">
    <w:name w:val="A 正文"/>
    <w:qFormat/>
    <w:uiPriority w:val="99"/>
    <w:pPr>
      <w:spacing w:afterLines="50" w:line="400" w:lineRule="exact"/>
      <w:ind w:firstLine="482"/>
    </w:pPr>
    <w:rPr>
      <w:rFonts w:ascii="Times New Roman" w:hAnsi="Times New Roman" w:eastAsia="宋体" w:cs="宋体"/>
      <w:kern w:val="2"/>
      <w:sz w:val="24"/>
      <w:szCs w:val="24"/>
      <w:lang w:val="en-US" w:eastAsia="zh-CN" w:bidi="ar-SA"/>
    </w:rPr>
  </w:style>
  <w:style w:type="paragraph" w:customStyle="1" w:styleId="170">
    <w:name w:val="A 表名"/>
    <w:basedOn w:val="1"/>
    <w:qFormat/>
    <w:uiPriority w:val="0"/>
    <w:pPr>
      <w:keepNext/>
      <w:wordWrap w:val="0"/>
      <w:spacing w:before="120" w:after="60"/>
      <w:ind w:left="567"/>
      <w:jc w:val="center"/>
    </w:pPr>
  </w:style>
  <w:style w:type="paragraph" w:styleId="171">
    <w:name w:val="No Spacing"/>
    <w:qFormat/>
    <w:uiPriority w:val="1"/>
    <w:rPr>
      <w:rFonts w:ascii="Calibri" w:hAnsi="Calibri" w:eastAsia="宋体" w:cs="Times New Roman"/>
      <w:sz w:val="22"/>
      <w:szCs w:val="22"/>
      <w:lang w:val="en-US" w:eastAsia="zh-CN" w:bidi="ar-SA"/>
    </w:rPr>
  </w:style>
  <w:style w:type="table" w:customStyle="1" w:styleId="172">
    <w:name w:val="Table Normal"/>
    <w:semiHidden/>
    <w:unhideWhenUsed/>
    <w:qFormat/>
    <w:uiPriority w:val="2"/>
    <w:pPr>
      <w:widowControl w:val="0"/>
    </w:pPr>
    <w:rPr>
      <w:sz w:val="22"/>
      <w:szCs w:val="22"/>
      <w:lang w:eastAsia="en-US"/>
    </w:rPr>
    <w:tblPr>
      <w:tblCellMar>
        <w:top w:w="0" w:type="dxa"/>
        <w:left w:w="0" w:type="dxa"/>
        <w:bottom w:w="0" w:type="dxa"/>
        <w:right w:w="0" w:type="dxa"/>
      </w:tblCellMar>
    </w:tblPr>
  </w:style>
  <w:style w:type="paragraph" w:customStyle="1" w:styleId="173">
    <w:name w:val="表格内字体"/>
    <w:basedOn w:val="1"/>
    <w:qFormat/>
    <w:uiPriority w:val="0"/>
    <w:pPr>
      <w:adjustRightInd w:val="0"/>
      <w:snapToGrid w:val="0"/>
      <w:spacing w:line="300" w:lineRule="atLeast"/>
      <w:jc w:val="center"/>
    </w:pPr>
    <w:rPr>
      <w:szCs w:val="21"/>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38.bin"/><Relationship Id="rId97" Type="http://schemas.openxmlformats.org/officeDocument/2006/relationships/image" Target="media/image47.png"/><Relationship Id="rId96" Type="http://schemas.openxmlformats.org/officeDocument/2006/relationships/image" Target="media/image46.png"/><Relationship Id="rId95" Type="http://schemas.openxmlformats.org/officeDocument/2006/relationships/image" Target="media/image45.png"/><Relationship Id="rId94" Type="http://schemas.openxmlformats.org/officeDocument/2006/relationships/image" Target="media/image44.png"/><Relationship Id="rId93" Type="http://schemas.openxmlformats.org/officeDocument/2006/relationships/image" Target="media/image43.wmf"/><Relationship Id="rId92" Type="http://schemas.openxmlformats.org/officeDocument/2006/relationships/oleObject" Target="embeddings/oleObject37.bin"/><Relationship Id="rId91" Type="http://schemas.openxmlformats.org/officeDocument/2006/relationships/image" Target="media/image42.wmf"/><Relationship Id="rId90" Type="http://schemas.openxmlformats.org/officeDocument/2006/relationships/oleObject" Target="embeddings/oleObject36.bin"/><Relationship Id="rId9" Type="http://schemas.openxmlformats.org/officeDocument/2006/relationships/footer" Target="footer3.xml"/><Relationship Id="rId89" Type="http://schemas.openxmlformats.org/officeDocument/2006/relationships/image" Target="media/image41.wmf"/><Relationship Id="rId88" Type="http://schemas.openxmlformats.org/officeDocument/2006/relationships/oleObject" Target="embeddings/oleObject35.bin"/><Relationship Id="rId87" Type="http://schemas.openxmlformats.org/officeDocument/2006/relationships/image" Target="media/image40.wmf"/><Relationship Id="rId86" Type="http://schemas.openxmlformats.org/officeDocument/2006/relationships/oleObject" Target="embeddings/oleObject34.bin"/><Relationship Id="rId85" Type="http://schemas.openxmlformats.org/officeDocument/2006/relationships/image" Target="media/image39.wmf"/><Relationship Id="rId84" Type="http://schemas.openxmlformats.org/officeDocument/2006/relationships/oleObject" Target="embeddings/oleObject33.bin"/><Relationship Id="rId83" Type="http://schemas.openxmlformats.org/officeDocument/2006/relationships/image" Target="media/image38.wmf"/><Relationship Id="rId82" Type="http://schemas.openxmlformats.org/officeDocument/2006/relationships/oleObject" Target="embeddings/oleObject32.bin"/><Relationship Id="rId81" Type="http://schemas.openxmlformats.org/officeDocument/2006/relationships/image" Target="media/image37.wmf"/><Relationship Id="rId80" Type="http://schemas.openxmlformats.org/officeDocument/2006/relationships/oleObject" Target="embeddings/oleObject31.bin"/><Relationship Id="rId8" Type="http://schemas.openxmlformats.org/officeDocument/2006/relationships/header" Target="header4.xml"/><Relationship Id="rId79" Type="http://schemas.openxmlformats.org/officeDocument/2006/relationships/image" Target="media/image36.wmf"/><Relationship Id="rId78" Type="http://schemas.openxmlformats.org/officeDocument/2006/relationships/oleObject" Target="embeddings/oleObject30.bin"/><Relationship Id="rId77" Type="http://schemas.openxmlformats.org/officeDocument/2006/relationships/image" Target="media/image35.wmf"/><Relationship Id="rId76" Type="http://schemas.openxmlformats.org/officeDocument/2006/relationships/oleObject" Target="embeddings/oleObject29.bin"/><Relationship Id="rId75" Type="http://schemas.openxmlformats.org/officeDocument/2006/relationships/image" Target="media/image34.wmf"/><Relationship Id="rId74" Type="http://schemas.openxmlformats.org/officeDocument/2006/relationships/oleObject" Target="embeddings/oleObject28.bin"/><Relationship Id="rId73" Type="http://schemas.openxmlformats.org/officeDocument/2006/relationships/image" Target="media/image33.wmf"/><Relationship Id="rId72" Type="http://schemas.openxmlformats.org/officeDocument/2006/relationships/oleObject" Target="embeddings/oleObject27.bin"/><Relationship Id="rId71" Type="http://schemas.openxmlformats.org/officeDocument/2006/relationships/image" Target="media/image32.wmf"/><Relationship Id="rId70" Type="http://schemas.openxmlformats.org/officeDocument/2006/relationships/oleObject" Target="embeddings/oleObject26.bin"/><Relationship Id="rId7" Type="http://schemas.openxmlformats.org/officeDocument/2006/relationships/header" Target="header3.xml"/><Relationship Id="rId69" Type="http://schemas.openxmlformats.org/officeDocument/2006/relationships/image" Target="media/image31.wmf"/><Relationship Id="rId68" Type="http://schemas.openxmlformats.org/officeDocument/2006/relationships/oleObject" Target="embeddings/oleObject25.bin"/><Relationship Id="rId67" Type="http://schemas.openxmlformats.org/officeDocument/2006/relationships/image" Target="media/image30.wmf"/><Relationship Id="rId66" Type="http://schemas.openxmlformats.org/officeDocument/2006/relationships/oleObject" Target="embeddings/oleObject24.bin"/><Relationship Id="rId65" Type="http://schemas.openxmlformats.org/officeDocument/2006/relationships/image" Target="media/image29.png"/><Relationship Id="rId64" Type="http://schemas.openxmlformats.org/officeDocument/2006/relationships/image" Target="media/image28.png"/><Relationship Id="rId63" Type="http://schemas.openxmlformats.org/officeDocument/2006/relationships/image" Target="media/image27.png"/><Relationship Id="rId62" Type="http://schemas.openxmlformats.org/officeDocument/2006/relationships/image" Target="media/image26.png"/><Relationship Id="rId61" Type="http://schemas.openxmlformats.org/officeDocument/2006/relationships/image" Target="media/image25.png"/><Relationship Id="rId60" Type="http://schemas.openxmlformats.org/officeDocument/2006/relationships/image" Target="media/image24.wmf"/><Relationship Id="rId6" Type="http://schemas.openxmlformats.org/officeDocument/2006/relationships/footer" Target="footer2.xml"/><Relationship Id="rId59" Type="http://schemas.openxmlformats.org/officeDocument/2006/relationships/oleObject" Target="embeddings/oleObject23.bin"/><Relationship Id="rId58" Type="http://schemas.openxmlformats.org/officeDocument/2006/relationships/image" Target="media/image23.wmf"/><Relationship Id="rId57" Type="http://schemas.openxmlformats.org/officeDocument/2006/relationships/oleObject" Target="embeddings/oleObject22.bin"/><Relationship Id="rId56" Type="http://schemas.openxmlformats.org/officeDocument/2006/relationships/image" Target="media/image22.png"/><Relationship Id="rId55" Type="http://schemas.openxmlformats.org/officeDocument/2006/relationships/image" Target="media/image21.png"/><Relationship Id="rId54" Type="http://schemas.openxmlformats.org/officeDocument/2006/relationships/image" Target="media/image20.png"/><Relationship Id="rId53" Type="http://schemas.openxmlformats.org/officeDocument/2006/relationships/oleObject" Target="embeddings/oleObject21.bin"/><Relationship Id="rId52" Type="http://schemas.openxmlformats.org/officeDocument/2006/relationships/image" Target="media/image19.wmf"/><Relationship Id="rId51" Type="http://schemas.openxmlformats.org/officeDocument/2006/relationships/oleObject" Target="embeddings/oleObject20.bin"/><Relationship Id="rId50" Type="http://schemas.openxmlformats.org/officeDocument/2006/relationships/image" Target="media/image18.w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oleObject" Target="embeddings/oleObject18.bin"/><Relationship Id="rId47" Type="http://schemas.openxmlformats.org/officeDocument/2006/relationships/image" Target="media/image17.wmf"/><Relationship Id="rId46" Type="http://schemas.openxmlformats.org/officeDocument/2006/relationships/oleObject" Target="embeddings/oleObject17.bin"/><Relationship Id="rId45" Type="http://schemas.openxmlformats.org/officeDocument/2006/relationships/image" Target="media/image16.wmf"/><Relationship Id="rId44" Type="http://schemas.openxmlformats.org/officeDocument/2006/relationships/oleObject" Target="embeddings/oleObject16.bin"/><Relationship Id="rId43" Type="http://schemas.openxmlformats.org/officeDocument/2006/relationships/image" Target="media/image15.wmf"/><Relationship Id="rId42" Type="http://schemas.openxmlformats.org/officeDocument/2006/relationships/oleObject" Target="embeddings/oleObject15.bin"/><Relationship Id="rId41" Type="http://schemas.openxmlformats.org/officeDocument/2006/relationships/image" Target="media/image14.wmf"/><Relationship Id="rId40" Type="http://schemas.openxmlformats.org/officeDocument/2006/relationships/oleObject" Target="embeddings/oleObject14.bin"/><Relationship Id="rId4" Type="http://schemas.openxmlformats.org/officeDocument/2006/relationships/header" Target="header2.xml"/><Relationship Id="rId39" Type="http://schemas.openxmlformats.org/officeDocument/2006/relationships/image" Target="media/image13.wmf"/><Relationship Id="rId38" Type="http://schemas.openxmlformats.org/officeDocument/2006/relationships/oleObject" Target="embeddings/oleObject13.bin"/><Relationship Id="rId37" Type="http://schemas.openxmlformats.org/officeDocument/2006/relationships/image" Target="media/image12.wmf"/><Relationship Id="rId36" Type="http://schemas.openxmlformats.org/officeDocument/2006/relationships/oleObject" Target="embeddings/oleObject12.bin"/><Relationship Id="rId35" Type="http://schemas.openxmlformats.org/officeDocument/2006/relationships/image" Target="media/image11.wmf"/><Relationship Id="rId34" Type="http://schemas.openxmlformats.org/officeDocument/2006/relationships/oleObject" Target="embeddings/oleObject11.bin"/><Relationship Id="rId33" Type="http://schemas.openxmlformats.org/officeDocument/2006/relationships/image" Target="media/image10.wmf"/><Relationship Id="rId32" Type="http://schemas.openxmlformats.org/officeDocument/2006/relationships/oleObject" Target="embeddings/oleObject10.bin"/><Relationship Id="rId31" Type="http://schemas.openxmlformats.org/officeDocument/2006/relationships/image" Target="media/image9.wmf"/><Relationship Id="rId30" Type="http://schemas.openxmlformats.org/officeDocument/2006/relationships/oleObject" Target="embeddings/oleObject9.bin"/><Relationship Id="rId3" Type="http://schemas.openxmlformats.org/officeDocument/2006/relationships/header" Target="header1.xml"/><Relationship Id="rId29" Type="http://schemas.openxmlformats.org/officeDocument/2006/relationships/image" Target="media/image8.wmf"/><Relationship Id="rId28" Type="http://schemas.openxmlformats.org/officeDocument/2006/relationships/oleObject" Target="embeddings/oleObject8.bin"/><Relationship Id="rId27" Type="http://schemas.openxmlformats.org/officeDocument/2006/relationships/image" Target="media/image7.wmf"/><Relationship Id="rId26" Type="http://schemas.openxmlformats.org/officeDocument/2006/relationships/oleObject" Target="embeddings/oleObject7.bin"/><Relationship Id="rId25" Type="http://schemas.openxmlformats.org/officeDocument/2006/relationships/image" Target="media/image6.wmf"/><Relationship Id="rId24" Type="http://schemas.openxmlformats.org/officeDocument/2006/relationships/oleObject" Target="embeddings/oleObject6.bin"/><Relationship Id="rId23" Type="http://schemas.openxmlformats.org/officeDocument/2006/relationships/image" Target="media/image5.wmf"/><Relationship Id="rId22" Type="http://schemas.openxmlformats.org/officeDocument/2006/relationships/oleObject" Target="embeddings/oleObject5.bin"/><Relationship Id="rId21" Type="http://schemas.openxmlformats.org/officeDocument/2006/relationships/image" Target="media/image4.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3.wmf"/><Relationship Id="rId18" Type="http://schemas.openxmlformats.org/officeDocument/2006/relationships/oleObject" Target="embeddings/oleObject3.bin"/><Relationship Id="rId17" Type="http://schemas.openxmlformats.org/officeDocument/2006/relationships/image" Target="media/image2.wmf"/><Relationship Id="rId16" Type="http://schemas.openxmlformats.org/officeDocument/2006/relationships/oleObject" Target="embeddings/oleObject2.bin"/><Relationship Id="rId15" Type="http://schemas.openxmlformats.org/officeDocument/2006/relationships/image" Target="media/image1.wmf"/><Relationship Id="rId14" Type="http://schemas.openxmlformats.org/officeDocument/2006/relationships/oleObject" Target="embeddings/oleObject1.bin"/><Relationship Id="rId134" Type="http://schemas.openxmlformats.org/officeDocument/2006/relationships/fontTable" Target="fontTable.xml"/><Relationship Id="rId133" Type="http://schemas.microsoft.com/office/2006/relationships/keyMapCustomizations" Target="customizations.xml"/><Relationship Id="rId132" Type="http://schemas.openxmlformats.org/officeDocument/2006/relationships/numbering" Target="numbering.xml"/><Relationship Id="rId131" Type="http://schemas.openxmlformats.org/officeDocument/2006/relationships/customXml" Target="../customXml/item1.xml"/><Relationship Id="rId130" Type="http://schemas.openxmlformats.org/officeDocument/2006/relationships/image" Target="media/image64.wmf"/><Relationship Id="rId13" Type="http://schemas.openxmlformats.org/officeDocument/2006/relationships/theme" Target="theme/theme1.xml"/><Relationship Id="rId129" Type="http://schemas.openxmlformats.org/officeDocument/2006/relationships/oleObject" Target="embeddings/oleObject53.bin"/><Relationship Id="rId128" Type="http://schemas.openxmlformats.org/officeDocument/2006/relationships/image" Target="media/image63.png"/><Relationship Id="rId127" Type="http://schemas.openxmlformats.org/officeDocument/2006/relationships/image" Target="media/image62.png"/><Relationship Id="rId126" Type="http://schemas.openxmlformats.org/officeDocument/2006/relationships/image" Target="media/image61.wmf"/><Relationship Id="rId125" Type="http://schemas.openxmlformats.org/officeDocument/2006/relationships/oleObject" Target="embeddings/oleObject52.bin"/><Relationship Id="rId124" Type="http://schemas.openxmlformats.org/officeDocument/2006/relationships/image" Target="media/image60.wmf"/><Relationship Id="rId123" Type="http://schemas.openxmlformats.org/officeDocument/2006/relationships/oleObject" Target="embeddings/oleObject51.bin"/><Relationship Id="rId122" Type="http://schemas.openxmlformats.org/officeDocument/2006/relationships/image" Target="media/image59.png"/><Relationship Id="rId121" Type="http://schemas.openxmlformats.org/officeDocument/2006/relationships/image" Target="media/image58.png"/><Relationship Id="rId120" Type="http://schemas.openxmlformats.org/officeDocument/2006/relationships/image" Target="media/image57.wmf"/><Relationship Id="rId12" Type="http://schemas.openxmlformats.org/officeDocument/2006/relationships/footer" Target="footer6.xml"/><Relationship Id="rId119" Type="http://schemas.openxmlformats.org/officeDocument/2006/relationships/oleObject" Target="embeddings/oleObject50.bin"/><Relationship Id="rId118" Type="http://schemas.openxmlformats.org/officeDocument/2006/relationships/image" Target="media/image56.wmf"/><Relationship Id="rId117" Type="http://schemas.openxmlformats.org/officeDocument/2006/relationships/oleObject" Target="embeddings/oleObject49.bin"/><Relationship Id="rId116" Type="http://schemas.openxmlformats.org/officeDocument/2006/relationships/image" Target="media/image55.wmf"/><Relationship Id="rId115" Type="http://schemas.openxmlformats.org/officeDocument/2006/relationships/oleObject" Target="embeddings/oleObject48.bin"/><Relationship Id="rId114" Type="http://schemas.openxmlformats.org/officeDocument/2006/relationships/image" Target="media/image54.wmf"/><Relationship Id="rId113" Type="http://schemas.openxmlformats.org/officeDocument/2006/relationships/oleObject" Target="embeddings/oleObject47.bin"/><Relationship Id="rId112" Type="http://schemas.openxmlformats.org/officeDocument/2006/relationships/image" Target="media/image53.wmf"/><Relationship Id="rId111" Type="http://schemas.openxmlformats.org/officeDocument/2006/relationships/oleObject" Target="embeddings/oleObject46.bin"/><Relationship Id="rId110" Type="http://schemas.openxmlformats.org/officeDocument/2006/relationships/image" Target="media/image52.wmf"/><Relationship Id="rId11" Type="http://schemas.openxmlformats.org/officeDocument/2006/relationships/footer" Target="footer5.xml"/><Relationship Id="rId109" Type="http://schemas.openxmlformats.org/officeDocument/2006/relationships/oleObject" Target="embeddings/oleObject45.bin"/><Relationship Id="rId108" Type="http://schemas.openxmlformats.org/officeDocument/2006/relationships/oleObject" Target="embeddings/oleObject44.bin"/><Relationship Id="rId107" Type="http://schemas.openxmlformats.org/officeDocument/2006/relationships/oleObject" Target="embeddings/oleObject43.bin"/><Relationship Id="rId106" Type="http://schemas.openxmlformats.org/officeDocument/2006/relationships/image" Target="media/image51.wmf"/><Relationship Id="rId105" Type="http://schemas.openxmlformats.org/officeDocument/2006/relationships/oleObject" Target="embeddings/oleObject42.bin"/><Relationship Id="rId104" Type="http://schemas.openxmlformats.org/officeDocument/2006/relationships/oleObject" Target="embeddings/oleObject41.bin"/><Relationship Id="rId103" Type="http://schemas.openxmlformats.org/officeDocument/2006/relationships/image" Target="media/image50.wmf"/><Relationship Id="rId102" Type="http://schemas.openxmlformats.org/officeDocument/2006/relationships/oleObject" Target="embeddings/oleObject40.bin"/><Relationship Id="rId101" Type="http://schemas.openxmlformats.org/officeDocument/2006/relationships/image" Target="media/image49.wmf"/><Relationship Id="rId100" Type="http://schemas.openxmlformats.org/officeDocument/2006/relationships/oleObject" Target="embeddings/oleObject39.bin"/><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zle</Company>
  <Pages>50</Pages>
  <Words>14066</Words>
  <Characters>16078</Characters>
  <Lines>184</Lines>
  <Paragraphs>51</Paragraphs>
  <TotalTime>30</TotalTime>
  <ScaleCrop>false</ScaleCrop>
  <LinksUpToDate>false</LinksUpToDate>
  <CharactersWithSpaces>16953</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2022-03-20T07:24:00Z</dcterms:created>
  <dc:creator>CNIS</dc:creator>
  <cp:lastModifiedBy>ying123lin163com</cp:lastModifiedBy>
  <cp:lastPrinted>2025-03-27T02:39:00Z</cp:lastPrinted>
  <dcterms:modified xsi:type="dcterms:W3CDTF">2025-04-30T02:26:47Z</dcterms:modified>
  <dc:title>标准名称</dc:title>
  <cp:revision>81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eyJoZGlkIjoiMjY2OGFlZjdiMDkyMmU3Y2M3NGEzMmY5ODE2OTJlMzAiLCJ1c2VySWQiOiI0NzU1MTkzIn0=</vt:lpwstr>
  </property>
  <property fmtid="{D5CDD505-2E9C-101B-9397-08002B2CF9AE}" pid="4" name="ICV">
    <vt:lpwstr>8EA7B50194604F0F9E6190B8D5B60279_13</vt:lpwstr>
  </property>
</Properties>
</file>