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4"/>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2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28"/>
              <w:framePr w:wrap="notBeside" w:vAnchor="page" w:hAnchor="page" w:x="1372" w:y="568"/>
              <w:tabs>
                <w:tab w:val="clear" w:pos="4153"/>
                <w:tab w:val="clear" w:pos="8306"/>
              </w:tabs>
              <w:spacing w:line="240" w:lineRule="auto"/>
              <w:jc w:val="both"/>
              <w:rPr>
                <w:rFonts w:ascii="黑体" w:hAnsi="黑体" w:eastAsia="黑体"/>
                <w:sz w:val="21"/>
                <w:szCs w:val="21"/>
              </w:rPr>
            </w:pPr>
            <w:r>
              <w:rPr>
                <w:rFonts w:hint="eastAsia" w:ascii="黑体" w:hAnsi="黑体" w:eastAsia="黑体"/>
                <w:sz w:val="21"/>
                <w:szCs w:val="21"/>
              </w:rPr>
              <w:t>35.240.99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2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44"/>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pPr>
                    <w:pStyle w:val="69"/>
                    <w:framePr w:wrap="notBeside" w:vAnchor="page" w:hAnchor="page" w:x="1372" w:y="568"/>
                    <w:ind w:left="420" w:right="624"/>
                    <w:rPr>
                      <w:rFonts w:ascii="宋体" w:hAnsi="宋体"/>
                      <w:sz w:val="28"/>
                      <w:szCs w:val="28"/>
                    </w:rPr>
                  </w:pPr>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default w:val="34"/>
                          <w:maxLength w:val="20"/>
                        </w:textInput>
                      </w:ffData>
                    </w:fldChar>
                  </w:r>
                  <w:bookmarkStart w:id="0" w:name="c1"/>
                  <w:r>
                    <w:instrText xml:space="preserve"> FORMTEXT </w:instrText>
                  </w:r>
                  <w:r>
                    <w:fldChar w:fldCharType="separate"/>
                  </w:r>
                  <w:r>
                    <w:t>34</w:t>
                  </w:r>
                  <w:r>
                    <w:fldChar w:fldCharType="end"/>
                  </w:r>
                  <w:bookmarkEnd w:id="0"/>
                </w:p>
              </w:tc>
            </w:tr>
          </w:tbl>
          <w:p>
            <w:pPr>
              <w:pStyle w:val="2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hint="eastAsia" w:ascii="黑体" w:hAnsi="黑体" w:eastAsia="黑体"/>
                <w:sz w:val="21"/>
                <w:szCs w:val="21"/>
              </w:rPr>
              <w:t>L70/84</w:t>
            </w:r>
          </w:p>
        </w:tc>
      </w:tr>
    </w:tbl>
    <w:p>
      <w:pPr>
        <w:pStyle w:val="70"/>
        <w:framePr w:w="9639" w:h="624" w:hRule="exact" w:hSpace="181" w:vSpace="181" w:wrap="around" w:hAnchor="page" w:x="1305" w:y="2269"/>
        <w:rPr>
          <w:rFonts w:ascii="黑体" w:hAnsi="黑体" w:eastAsia="黑体"/>
          <w:b w:val="0"/>
          <w:bCs w:val="0"/>
          <w:w w:val="100"/>
          <w:sz w:val="48"/>
          <w:szCs w:val="48"/>
        </w:rPr>
      </w:pPr>
      <w:bookmarkStart w:id="1" w:name="_Hlk26473981"/>
      <w:r>
        <w:rPr>
          <w:rFonts w:hint="eastAsia" w:ascii="黑体" w:eastAsia="黑体"/>
          <w:b w:val="0"/>
          <w:w w:val="100"/>
          <w:sz w:val="48"/>
        </w:rPr>
        <w:t>安徽省地方</w:t>
      </w:r>
      <w:r>
        <w:rPr>
          <w:rFonts w:hint="eastAsia" w:ascii="黑体" w:hAnsi="黑体" w:eastAsia="黑体"/>
          <w:b w:val="0"/>
          <w:bCs w:val="0"/>
          <w:w w:val="100"/>
          <w:sz w:val="48"/>
          <w:szCs w:val="48"/>
        </w:rPr>
        <w:t>标准</w:t>
      </w:r>
    </w:p>
    <w:bookmarkEnd w:id="1"/>
    <w:p>
      <w:pPr>
        <w:pStyle w:val="215"/>
      </w:pPr>
      <w:r>
        <w:t xml:space="preserve"> </w:t>
      </w:r>
      <w:r>
        <w:rPr>
          <w:rFonts w:hint="eastAsia"/>
        </w:rPr>
        <w:t>DB</w:t>
      </w:r>
      <w:r>
        <w:t xml:space="preserve"> </w:t>
      </w:r>
      <w:r>
        <w:fldChar w:fldCharType="begin">
          <w:ffData>
            <w:name w:val="文字1"/>
            <w:enabled/>
            <w:calcOnExit w:val="0"/>
            <w:textInput>
              <w:default w:val="34/T"/>
            </w:textInput>
          </w:ffData>
        </w:fldChar>
      </w:r>
      <w:bookmarkStart w:id="2" w:name="文字1"/>
      <w:r>
        <w:instrText xml:space="preserve"> FORMTEXT </w:instrText>
      </w:r>
      <w:r>
        <w:fldChar w:fldCharType="separate"/>
      </w:r>
      <w:r>
        <w:t>34/T</w:t>
      </w:r>
      <w:r>
        <w:fldChar w:fldCharType="end"/>
      </w:r>
      <w:bookmarkEnd w:id="2"/>
      <w:r>
        <w:t xml:space="preserve"> </w:t>
      </w:r>
      <w:r>
        <w:fldChar w:fldCharType="begin">
          <w:ffData>
            <w:name w:val="NSTD_CODE_F"/>
            <w:enabled/>
            <w:calcOnExit w:val="0"/>
            <w:textInput>
              <w:default w:val="XXXX"/>
            </w:textInput>
          </w:ffData>
        </w:fldChar>
      </w:r>
      <w:bookmarkStart w:id="3" w:name="NSTD_CODE_F"/>
      <w:r>
        <w:instrText xml:space="preserve"> FORMTEXT </w:instrText>
      </w:r>
      <w:r>
        <w:fldChar w:fldCharType="separate"/>
      </w:r>
      <w:r>
        <w:t>XXXX</w:t>
      </w:r>
      <w:r>
        <w:fldChar w:fldCharType="end"/>
      </w:r>
      <w:bookmarkEnd w:id="3"/>
      <w:r>
        <w:rPr>
          <w:rFonts w:hAnsi="黑体"/>
        </w:rPr>
        <w:t>—</w:t>
      </w:r>
      <w:r>
        <w:fldChar w:fldCharType="begin">
          <w:ffData>
            <w:name w:val="NSTD_CODE_B"/>
            <w:enabled/>
            <w:calcOnExit w:val="0"/>
            <w:textInput>
              <w:default w:val="202X"/>
            </w:textInput>
          </w:ffData>
        </w:fldChar>
      </w:r>
      <w:bookmarkStart w:id="4" w:name="NSTD_CODE_B"/>
      <w:r>
        <w:instrText xml:space="preserve"> FORMTEXT </w:instrText>
      </w:r>
      <w:r>
        <w:fldChar w:fldCharType="separate"/>
      </w:r>
      <w:r>
        <w:t>202X</w:t>
      </w:r>
      <w:r>
        <w:fldChar w:fldCharType="end"/>
      </w:r>
      <w:bookmarkEnd w:id="4"/>
    </w:p>
    <w:p>
      <w:pPr>
        <w:pStyle w:val="216"/>
        <w:rPr>
          <w:rFonts w:hAnsi="黑体"/>
        </w:rPr>
      </w:pPr>
      <w:r>
        <w:rPr>
          <w:rFonts w:hAnsi="黑体"/>
        </w:rPr>
        <w:fldChar w:fldCharType="begin">
          <w:ffData>
            <w:name w:val="OSTD_CODE"/>
            <w:enabled/>
            <w:calcOnExit w:val="0"/>
            <w:textInput/>
          </w:ffData>
        </w:fldChar>
      </w:r>
      <w:bookmarkStart w:id="5"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5"/>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ng0mW2AAAAAwBAAAPAAAAAAAAAAEAIAAAACIAAABkcnMv&#10;ZG93bnJldi54bWxQSwECFAAUAAAACACHTuJAeCbvfcoBAABeAwAADgAAAAAAAAABACAAAAAnAQAA&#10;ZHJzL2Uyb0RvYy54bWxQSwUGAAAAAAYABgBZAQAAYwUAAAAA&#10;">
                <v:fill on="f" focussize="0,0"/>
                <v:stroke color="#000000" joinstyle="round"/>
                <v:imagedata o:title=""/>
                <o:lock v:ext="edit" aspectratio="f"/>
              </v:line>
            </w:pict>
          </mc:Fallback>
        </mc:AlternateContent>
      </w:r>
    </w:p>
    <w:p>
      <w:pPr>
        <w:pStyle w:val="70"/>
        <w:framePr w:w="9639" w:h="6976" w:hRule="exact" w:hSpace="0" w:vSpace="0" w:wrap="around" w:hAnchor="page" w:y="6408"/>
        <w:jc w:val="center"/>
        <w:rPr>
          <w:rFonts w:ascii="黑体" w:hAnsi="黑体" w:eastAsia="黑体"/>
          <w:b w:val="0"/>
          <w:bCs w:val="0"/>
          <w:w w:val="100"/>
        </w:rPr>
      </w:pPr>
    </w:p>
    <w:p>
      <w:pPr>
        <w:pStyle w:val="217"/>
        <w:framePr w:h="6974" w:hRule="exact" w:wrap="around" w:x="1419" w:anchorLock="1"/>
      </w:pPr>
      <w:bookmarkStart w:id="6" w:name="CSTD_NAME"/>
      <w:r>
        <w:rPr>
          <w:rFonts w:hint="eastAsia"/>
        </w:rPr>
        <w:t>电动汽车公共充电站管理服务评定规范</w:t>
      </w:r>
      <w:r>
        <w:t xml:space="preserve">                                                   </w:t>
      </w:r>
      <w:bookmarkEnd w:id="6"/>
    </w:p>
    <w:p>
      <w:pPr>
        <w:framePr w:w="9639" w:h="6974" w:hRule="exact" w:wrap="around" w:vAnchor="page" w:hAnchor="page" w:x="1419" w:y="6408" w:anchorLock="1"/>
        <w:ind w:left="-1418"/>
      </w:pPr>
    </w:p>
    <w:p>
      <w:pPr>
        <w:pStyle w:val="145"/>
        <w:framePr w:w="9639" w:h="6974" w:hRule="exact" w:wrap="around" w:vAnchor="page" w:hAnchor="page" w:x="1419" w:y="6408" w:anchorLock="1"/>
        <w:textAlignment w:val="bottom"/>
        <w:rPr>
          <w:rFonts w:hint="eastAsia" w:ascii="黑体" w:hAnsi="黑体" w:eastAsia="黑体"/>
          <w:szCs w:val="28"/>
        </w:rPr>
      </w:pPr>
      <w:bookmarkStart w:id="7" w:name="ESTD_NAME"/>
      <w:r>
        <w:rPr>
          <w:rFonts w:ascii="黑体" w:hAnsi="黑体" w:eastAsia="黑体"/>
          <w:szCs w:val="28"/>
        </w:rPr>
        <w:t>Specification for</w:t>
      </w:r>
      <w:r>
        <w:rPr>
          <w:rFonts w:hint="eastAsia" w:ascii="黑体" w:hAnsi="黑体" w:eastAsia="黑体"/>
          <w:szCs w:val="28"/>
        </w:rPr>
        <w:t xml:space="preserve"> Electric </w:t>
      </w:r>
      <w:r>
        <w:rPr>
          <w:rFonts w:hint="eastAsia" w:ascii="黑体" w:hAnsi="黑体" w:eastAsia="黑体"/>
          <w:szCs w:val="28"/>
          <w:lang w:val="en-US" w:eastAsia="zh-CN"/>
        </w:rPr>
        <w:t>V</w:t>
      </w:r>
      <w:r>
        <w:rPr>
          <w:rFonts w:hint="eastAsia" w:ascii="黑体" w:hAnsi="黑体" w:eastAsia="黑体"/>
          <w:szCs w:val="28"/>
        </w:rPr>
        <w:t xml:space="preserve">ehicle </w:t>
      </w:r>
      <w:r>
        <w:rPr>
          <w:rFonts w:hint="eastAsia" w:ascii="黑体" w:hAnsi="黑体" w:eastAsia="黑体"/>
          <w:szCs w:val="28"/>
          <w:lang w:val="en-US" w:eastAsia="zh-CN"/>
        </w:rPr>
        <w:t>P</w:t>
      </w:r>
      <w:r>
        <w:rPr>
          <w:rFonts w:hint="eastAsia" w:ascii="黑体" w:hAnsi="黑体" w:eastAsia="黑体"/>
          <w:szCs w:val="28"/>
        </w:rPr>
        <w:t xml:space="preserve">ublic </w:t>
      </w:r>
      <w:r>
        <w:rPr>
          <w:rFonts w:hint="eastAsia" w:ascii="黑体" w:hAnsi="黑体" w:eastAsia="黑体"/>
          <w:szCs w:val="28"/>
          <w:lang w:val="en-US" w:eastAsia="zh-CN"/>
        </w:rPr>
        <w:t>C</w:t>
      </w:r>
      <w:r>
        <w:rPr>
          <w:rFonts w:hint="eastAsia" w:ascii="黑体" w:hAnsi="黑体" w:eastAsia="黑体"/>
          <w:szCs w:val="28"/>
        </w:rPr>
        <w:t xml:space="preserve">harging </w:t>
      </w:r>
      <w:r>
        <w:rPr>
          <w:rFonts w:hint="eastAsia" w:ascii="黑体" w:hAnsi="黑体" w:eastAsia="黑体"/>
          <w:szCs w:val="28"/>
          <w:lang w:val="en-US" w:eastAsia="zh-CN"/>
        </w:rPr>
        <w:t>S</w:t>
      </w:r>
      <w:r>
        <w:rPr>
          <w:rFonts w:hint="eastAsia" w:ascii="黑体" w:hAnsi="黑体" w:eastAsia="黑体"/>
          <w:szCs w:val="28"/>
        </w:rPr>
        <w:t xml:space="preserve">tation </w:t>
      </w:r>
      <w:r>
        <w:rPr>
          <w:rFonts w:hint="eastAsia" w:ascii="黑体" w:hAnsi="黑体" w:eastAsia="黑体"/>
          <w:szCs w:val="28"/>
          <w:lang w:val="en-US" w:eastAsia="zh-CN"/>
        </w:rPr>
        <w:t>M</w:t>
      </w:r>
      <w:r>
        <w:rPr>
          <w:rFonts w:hint="eastAsia" w:ascii="黑体" w:hAnsi="黑体" w:eastAsia="黑体"/>
          <w:szCs w:val="28"/>
        </w:rPr>
        <w:t xml:space="preserve">anagement </w:t>
      </w:r>
      <w:r>
        <w:rPr>
          <w:rFonts w:hint="eastAsia" w:ascii="黑体" w:hAnsi="黑体" w:eastAsia="黑体"/>
          <w:szCs w:val="28"/>
          <w:lang w:val="en-US" w:eastAsia="zh-CN"/>
        </w:rPr>
        <w:t>S</w:t>
      </w:r>
      <w:r>
        <w:rPr>
          <w:rFonts w:hint="eastAsia" w:ascii="黑体" w:hAnsi="黑体" w:eastAsia="黑体"/>
          <w:szCs w:val="28"/>
        </w:rPr>
        <w:t xml:space="preserve">ervice </w:t>
      </w:r>
      <w:r>
        <w:rPr>
          <w:rFonts w:hint="eastAsia" w:ascii="黑体" w:hAnsi="黑体" w:eastAsia="黑体"/>
          <w:szCs w:val="28"/>
          <w:lang w:val="en-US" w:eastAsia="zh-CN"/>
        </w:rPr>
        <w:t>E</w:t>
      </w:r>
      <w:r>
        <w:rPr>
          <w:rFonts w:hint="eastAsia" w:ascii="黑体" w:hAnsi="黑体" w:eastAsia="黑体"/>
          <w:szCs w:val="28"/>
        </w:rPr>
        <w:t>valuation</w:t>
      </w:r>
    </w:p>
    <w:p>
      <w:pPr>
        <w:pStyle w:val="145"/>
        <w:framePr w:w="9639" w:h="6974" w:hRule="exact" w:wrap="around" w:vAnchor="page" w:hAnchor="page" w:x="1419" w:y="6408" w:anchorLock="1"/>
        <w:textAlignment w:val="bottom"/>
        <w:rPr>
          <w:rFonts w:eastAsia="黑体"/>
          <w:szCs w:val="28"/>
        </w:rPr>
      </w:pPr>
      <w:r>
        <w:rPr>
          <w:rFonts w:eastAsia="黑体"/>
          <w:szCs w:val="28"/>
        </w:rPr>
        <w:t xml:space="preserve">   </w:t>
      </w:r>
      <w:bookmarkEnd w:id="7"/>
    </w:p>
    <w:p>
      <w:pPr>
        <w:pStyle w:val="145"/>
        <w:framePr w:w="9639" w:h="6974" w:hRule="exact" w:wrap="around" w:vAnchor="page" w:hAnchor="page" w:x="1419" w:y="6408" w:anchorLock="1"/>
        <w:spacing w:before="440" w:after="160"/>
        <w:textAlignment w:val="bottom"/>
        <w:rPr>
          <w:sz w:val="24"/>
          <w:szCs w:val="28"/>
        </w:rPr>
      </w:pPr>
      <w:r>
        <w:rPr>
          <w:rFonts w:hint="eastAsia"/>
          <w:sz w:val="24"/>
          <w:szCs w:val="28"/>
        </w:rPr>
        <w:t>（意见征求稿）</w:t>
      </w:r>
    </w:p>
    <w:p>
      <w:pPr>
        <w:pStyle w:val="14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8"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8"/>
    </w:p>
    <w:p>
      <w:pPr>
        <w:pStyle w:val="14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9" w:name="下拉2"/>
      <w:r>
        <w:rPr>
          <w:b/>
          <w:sz w:val="21"/>
          <w:szCs w:val="28"/>
        </w:rPr>
        <w:instrText xml:space="preserve"> FORMDROPDOWN </w:instrText>
      </w:r>
      <w:r>
        <w:rPr>
          <w:b/>
          <w:sz w:val="21"/>
          <w:szCs w:val="28"/>
        </w:rPr>
        <w:fldChar w:fldCharType="separate"/>
      </w:r>
      <w:r>
        <w:rPr>
          <w:b/>
          <w:sz w:val="21"/>
          <w:szCs w:val="28"/>
        </w:rPr>
        <w:fldChar w:fldCharType="end"/>
      </w:r>
      <w:bookmarkEnd w:id="9"/>
    </w:p>
    <w:p>
      <w:pPr>
        <w:pStyle w:val="213"/>
        <w:framePr w:wrap="around" w:y="14176"/>
      </w:pPr>
      <w:r>
        <w:rPr>
          <w:rFonts w:ascii="黑体"/>
        </w:rPr>
        <w:fldChar w:fldCharType="begin">
          <w:ffData>
            <w:name w:val="PLSH_DATE_Y"/>
            <w:enabled/>
            <w:calcOnExit w:val="0"/>
            <w:textInput>
              <w:default w:val="XXXX"/>
              <w:maxLength w:val="4"/>
            </w:textInput>
          </w:ffData>
        </w:fldChar>
      </w:r>
      <w:bookmarkStart w:id="10"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0"/>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1"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2"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rPr>
          <w:rFonts w:hint="eastAsia"/>
        </w:rPr>
        <w:t>发布</w:t>
      </w:r>
    </w:p>
    <w:p>
      <w:pPr>
        <w:pStyle w:val="214"/>
        <w:framePr w:wrap="around" w:y="14176"/>
      </w:pPr>
      <w:r>
        <w:rPr>
          <w:rFonts w:ascii="黑体"/>
        </w:rPr>
        <w:fldChar w:fldCharType="begin">
          <w:ffData>
            <w:name w:val="CROT_DATE_Y"/>
            <w:enabled/>
            <w:calcOnExit w:val="0"/>
            <w:textInput>
              <w:default w:val="XXXX"/>
              <w:maxLength w:val="4"/>
            </w:textInput>
          </w:ffData>
        </w:fldChar>
      </w:r>
      <w:bookmarkStart w:id="13"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4"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5"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实施</w:t>
      </w:r>
    </w:p>
    <w:p>
      <w:pPr>
        <w:pStyle w:val="171"/>
        <w:framePr w:h="584" w:hRule="exact" w:hSpace="181" w:vSpace="181" w:wrap="around" w:y="14800"/>
        <w:rPr>
          <w:rFonts w:hAnsi="黑体"/>
        </w:rPr>
      </w:pPr>
      <w:r>
        <w:rPr>
          <w:rFonts w:hAnsi="黑体"/>
          <w:w w:val="100"/>
          <w:sz w:val="28"/>
        </w:rPr>
        <w:fldChar w:fldCharType="begin">
          <w:ffData>
            <w:name w:val="fm"/>
            <w:enabled/>
            <w:calcOnExit w:val="0"/>
            <w:textInput>
              <w:default w:val="安徽省市场监督管理局"/>
            </w:textInput>
          </w:ffData>
        </w:fldChar>
      </w:r>
      <w:bookmarkStart w:id="16" w:name="fm"/>
      <w:r>
        <w:rPr>
          <w:rFonts w:hAnsi="黑体"/>
          <w:w w:val="100"/>
          <w:sz w:val="28"/>
        </w:rPr>
        <w:instrText xml:space="preserve"> FORMTEXT </w:instrText>
      </w:r>
      <w:r>
        <w:rPr>
          <w:rFonts w:hAnsi="黑体"/>
          <w:w w:val="100"/>
          <w:sz w:val="28"/>
        </w:rPr>
        <w:fldChar w:fldCharType="separate"/>
      </w:r>
      <w:r>
        <w:rPr>
          <w:rFonts w:hAnsi="黑体"/>
          <w:w w:val="100"/>
          <w:sz w:val="28"/>
        </w:rPr>
        <w:t>安徽省市场监督管理局</w:t>
      </w:r>
      <w:r>
        <w:rPr>
          <w:rFonts w:hAnsi="黑体"/>
          <w:w w:val="100"/>
          <w:sz w:val="28"/>
        </w:rPr>
        <w:fldChar w:fldCharType="end"/>
      </w:r>
      <w:bookmarkEnd w:id="16"/>
      <w:r>
        <w:rPr>
          <w:rFonts w:ascii="Times New Roman"/>
          <w:w w:val="100"/>
          <w:sz w:val="28"/>
        </w:rPr>
        <w:t>  </w:t>
      </w:r>
      <w:r>
        <w:rPr>
          <w:rStyle w:val="249"/>
          <w:rFonts w:hint="eastAsia" w:hAnsi="黑体"/>
          <w:position w:val="0"/>
        </w:rPr>
        <w:t>发</w:t>
      </w:r>
      <w:r>
        <w:rPr>
          <w:rStyle w:val="249"/>
          <w:rFonts w:hint="eastAsia" w:hAnsi="黑体"/>
          <w:spacing w:val="0"/>
          <w:position w:val="0"/>
        </w:rPr>
        <w:t>布</w:t>
      </w:r>
    </w:p>
    <w:p>
      <w:pPr>
        <w:rPr>
          <w:rFonts w:ascii="宋体" w:hAnsi="宋体"/>
          <w:sz w:val="28"/>
          <w:szCs w:val="28"/>
        </w:rPr>
        <w:sectPr>
          <w:headerReference r:id="rId4" w:type="first"/>
          <w:footerReference r:id="rId6" w:type="first"/>
          <w:headerReference r:id="rId3" w:type="default"/>
          <w:footerReference r:id="rId5" w:type="even"/>
          <w:type w:val="continuous"/>
          <w:pgSz w:w="11906" w:h="16838"/>
          <w:pgMar w:top="567" w:right="1134" w:bottom="1134" w:left="1134" w:header="1418" w:footer="1134" w:gutter="284"/>
          <w:pgNumType w:fmt="decimal"/>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rMxz71wAAAA4BAAAPAAAAAAAAAAEAIAAAACIAAABkcnMvZG93&#10;bnJldi54bWxQSwECFAAUAAAACACHTuJAqt0+T8gBAABcAwAADgAAAAAAAAABACAAAAAmAQAAZHJz&#10;L2Uyb0RvYy54bWxQSwUGAAAAAAYABgBZAQAAYAUAAAAA&#10;">
                <v:fill on="f" focussize="0,0"/>
                <v:stroke color="#000000" joinstyle="round"/>
                <v:imagedata o:title=""/>
                <o:lock v:ext="edit" aspectratio="f"/>
                <w10:anchorlock/>
              </v:line>
            </w:pict>
          </mc:Fallback>
        </mc:AlternateContent>
      </w:r>
    </w:p>
    <w:p>
      <w:pPr>
        <w:pStyle w:val="111"/>
        <w:spacing w:after="468"/>
      </w:pPr>
      <w:bookmarkStart w:id="17" w:name="BookMark2"/>
      <w:r>
        <w:rPr>
          <w:rFonts w:hint="eastAsia"/>
          <w:spacing w:val="320"/>
        </w:rPr>
        <w:t>目</w:t>
      </w:r>
      <w:r>
        <w:rPr>
          <w:rFonts w:hint="eastAsia"/>
        </w:rPr>
        <w:t>次</w:t>
      </w:r>
    </w:p>
    <w:p>
      <w:pPr>
        <w:pStyle w:val="29"/>
        <w:tabs>
          <w:tab w:val="right" w:leader="dot" w:pos="9354"/>
        </w:tabs>
      </w:pPr>
      <w:r>
        <w:fldChar w:fldCharType="begin"/>
      </w:r>
      <w:r>
        <w:instrText xml:space="preserve"> TOC \o "1-1" \h </w:instrText>
      </w:r>
      <w:r>
        <w:fldChar w:fldCharType="separate"/>
      </w:r>
      <w:r>
        <w:fldChar w:fldCharType="begin"/>
      </w:r>
      <w:r>
        <w:instrText xml:space="preserve"> HYPERLINK \l _Toc18913 </w:instrText>
      </w:r>
      <w:r>
        <w:fldChar w:fldCharType="separate"/>
      </w:r>
      <w:r>
        <w:rPr>
          <w:spacing w:val="320"/>
        </w:rPr>
        <w:t>前</w:t>
      </w:r>
      <w:r>
        <w:t>言</w:t>
      </w:r>
      <w:r>
        <w:tab/>
      </w:r>
      <w:r>
        <w:fldChar w:fldCharType="begin"/>
      </w:r>
      <w:r>
        <w:instrText xml:space="preserve"> PAGEREF _Toc18913 \h </w:instrText>
      </w:r>
      <w:r>
        <w:fldChar w:fldCharType="separate"/>
      </w:r>
      <w:r>
        <w:t>2</w:t>
      </w:r>
      <w:r>
        <w:fldChar w:fldCharType="end"/>
      </w:r>
      <w:r>
        <w:fldChar w:fldCharType="end"/>
      </w:r>
    </w:p>
    <w:p>
      <w:pPr>
        <w:pStyle w:val="29"/>
        <w:tabs>
          <w:tab w:val="right" w:leader="dot" w:pos="9354"/>
        </w:tabs>
      </w:pPr>
      <w:r>
        <w:fldChar w:fldCharType="begin"/>
      </w:r>
      <w:r>
        <w:instrText xml:space="preserve"> HYPERLINK \l _Toc25637 </w:instrText>
      </w:r>
      <w:r>
        <w:fldChar w:fldCharType="separate"/>
      </w:r>
      <w:r>
        <w:rPr>
          <w:rFonts w:hint="eastAsia" w:ascii="黑体" w:eastAsia="黑体"/>
          <w:i w:val="0"/>
        </w:rPr>
        <w:t xml:space="preserve">1 </w:t>
      </w:r>
      <w:r>
        <w:rPr>
          <w:rFonts w:hint="eastAsia"/>
          <w:highlight w:val="none"/>
        </w:rPr>
        <w:t>范围</w:t>
      </w:r>
      <w:r>
        <w:tab/>
      </w:r>
      <w:r>
        <w:fldChar w:fldCharType="begin"/>
      </w:r>
      <w:r>
        <w:instrText xml:space="preserve"> PAGEREF _Toc25637 \h </w:instrText>
      </w:r>
      <w:r>
        <w:fldChar w:fldCharType="separate"/>
      </w:r>
      <w:r>
        <w:t>3</w:t>
      </w:r>
      <w:r>
        <w:fldChar w:fldCharType="end"/>
      </w:r>
      <w:r>
        <w:fldChar w:fldCharType="end"/>
      </w:r>
    </w:p>
    <w:p>
      <w:pPr>
        <w:pStyle w:val="29"/>
        <w:tabs>
          <w:tab w:val="right" w:leader="dot" w:pos="9354"/>
        </w:tabs>
      </w:pPr>
      <w:r>
        <w:fldChar w:fldCharType="begin"/>
      </w:r>
      <w:r>
        <w:instrText xml:space="preserve"> HYPERLINK \l _Toc5620 </w:instrText>
      </w:r>
      <w:r>
        <w:fldChar w:fldCharType="separate"/>
      </w:r>
      <w:r>
        <w:rPr>
          <w:rFonts w:hint="eastAsia" w:ascii="黑体" w:eastAsia="黑体"/>
          <w:i w:val="0"/>
        </w:rPr>
        <w:t xml:space="preserve">2 </w:t>
      </w:r>
      <w:r>
        <w:rPr>
          <w:rFonts w:hint="eastAsia"/>
          <w:highlight w:val="none"/>
        </w:rPr>
        <w:t>规范性引用文件</w:t>
      </w:r>
      <w:r>
        <w:tab/>
      </w:r>
      <w:r>
        <w:fldChar w:fldCharType="begin"/>
      </w:r>
      <w:r>
        <w:instrText xml:space="preserve"> PAGEREF _Toc5620 \h </w:instrText>
      </w:r>
      <w:r>
        <w:fldChar w:fldCharType="separate"/>
      </w:r>
      <w:r>
        <w:t>3</w:t>
      </w:r>
      <w:r>
        <w:fldChar w:fldCharType="end"/>
      </w:r>
      <w:r>
        <w:fldChar w:fldCharType="end"/>
      </w:r>
    </w:p>
    <w:p>
      <w:pPr>
        <w:pStyle w:val="29"/>
        <w:tabs>
          <w:tab w:val="right" w:leader="dot" w:pos="9354"/>
        </w:tabs>
      </w:pPr>
      <w:r>
        <w:fldChar w:fldCharType="begin"/>
      </w:r>
      <w:r>
        <w:instrText xml:space="preserve"> HYPERLINK \l _Toc1572 </w:instrText>
      </w:r>
      <w:r>
        <w:fldChar w:fldCharType="separate"/>
      </w:r>
      <w:r>
        <w:rPr>
          <w:rFonts w:hint="eastAsia" w:ascii="黑体" w:eastAsia="黑体"/>
          <w:i w:val="0"/>
        </w:rPr>
        <w:t xml:space="preserve">3 </w:t>
      </w:r>
      <w:r>
        <w:rPr>
          <w:rFonts w:hint="eastAsia"/>
          <w:szCs w:val="21"/>
          <w:highlight w:val="none"/>
        </w:rPr>
        <w:t>术语和定义</w:t>
      </w:r>
      <w:r>
        <w:tab/>
      </w:r>
      <w:r>
        <w:fldChar w:fldCharType="begin"/>
      </w:r>
      <w:r>
        <w:instrText xml:space="preserve"> PAGEREF _Toc1572 \h </w:instrText>
      </w:r>
      <w:r>
        <w:fldChar w:fldCharType="separate"/>
      </w:r>
      <w:r>
        <w:t>3</w:t>
      </w:r>
      <w:r>
        <w:fldChar w:fldCharType="end"/>
      </w:r>
      <w:r>
        <w:fldChar w:fldCharType="end"/>
      </w:r>
    </w:p>
    <w:p>
      <w:pPr>
        <w:pStyle w:val="29"/>
        <w:tabs>
          <w:tab w:val="right" w:leader="dot" w:pos="9354"/>
        </w:tabs>
      </w:pPr>
      <w:r>
        <w:fldChar w:fldCharType="begin"/>
      </w:r>
      <w:r>
        <w:instrText xml:space="preserve"> HYPERLINK \l _Toc20073 </w:instrText>
      </w:r>
      <w:r>
        <w:fldChar w:fldCharType="separate"/>
      </w:r>
      <w:r>
        <w:rPr>
          <w:rFonts w:hint="eastAsia" w:ascii="黑体" w:eastAsia="黑体"/>
          <w:i w:val="0"/>
        </w:rPr>
        <w:t xml:space="preserve">4 </w:t>
      </w:r>
      <w:r>
        <w:rPr>
          <w:rFonts w:hint="eastAsia"/>
          <w:highlight w:val="none"/>
        </w:rPr>
        <w:t>总则</w:t>
      </w:r>
      <w:r>
        <w:tab/>
      </w:r>
      <w:r>
        <w:fldChar w:fldCharType="begin"/>
      </w:r>
      <w:r>
        <w:instrText xml:space="preserve"> PAGEREF _Toc20073 \h </w:instrText>
      </w:r>
      <w:r>
        <w:fldChar w:fldCharType="separate"/>
      </w:r>
      <w:r>
        <w:t>4</w:t>
      </w:r>
      <w:r>
        <w:fldChar w:fldCharType="end"/>
      </w:r>
      <w:r>
        <w:fldChar w:fldCharType="end"/>
      </w:r>
    </w:p>
    <w:p>
      <w:pPr>
        <w:pStyle w:val="29"/>
        <w:tabs>
          <w:tab w:val="right" w:leader="dot" w:pos="9354"/>
        </w:tabs>
      </w:pPr>
      <w:r>
        <w:fldChar w:fldCharType="begin"/>
      </w:r>
      <w:r>
        <w:instrText xml:space="preserve"> HYPERLINK \l _Toc28175 </w:instrText>
      </w:r>
      <w:r>
        <w:fldChar w:fldCharType="separate"/>
      </w:r>
      <w:r>
        <w:rPr>
          <w:rFonts w:hint="eastAsia" w:ascii="黑体" w:eastAsia="黑体"/>
          <w:i w:val="0"/>
        </w:rPr>
        <w:t xml:space="preserve">5 </w:t>
      </w:r>
      <w:r>
        <w:rPr>
          <w:rFonts w:hint="eastAsia"/>
          <w:highlight w:val="none"/>
        </w:rPr>
        <w:t>充电站建设运营服务管理要求</w:t>
      </w:r>
      <w:r>
        <w:tab/>
      </w:r>
      <w:r>
        <w:fldChar w:fldCharType="begin"/>
      </w:r>
      <w:r>
        <w:instrText xml:space="preserve"> PAGEREF _Toc28175 \h </w:instrText>
      </w:r>
      <w:r>
        <w:fldChar w:fldCharType="separate"/>
      </w:r>
      <w:r>
        <w:t>5</w:t>
      </w:r>
      <w:r>
        <w:fldChar w:fldCharType="end"/>
      </w:r>
      <w:r>
        <w:fldChar w:fldCharType="end"/>
      </w:r>
    </w:p>
    <w:p>
      <w:pPr>
        <w:pStyle w:val="29"/>
        <w:tabs>
          <w:tab w:val="right" w:leader="dot" w:pos="9354"/>
        </w:tabs>
      </w:pPr>
      <w:r>
        <w:fldChar w:fldCharType="begin"/>
      </w:r>
      <w:r>
        <w:instrText xml:space="preserve"> HYPERLINK \l _Toc7408 </w:instrText>
      </w:r>
      <w:r>
        <w:fldChar w:fldCharType="separate"/>
      </w:r>
      <w:r>
        <w:rPr>
          <w:rFonts w:hint="eastAsia" w:ascii="黑体" w:eastAsia="黑体"/>
          <w:i w:val="0"/>
        </w:rPr>
        <w:t xml:space="preserve">6 </w:t>
      </w:r>
      <w:r>
        <w:rPr>
          <w:rFonts w:hint="eastAsia"/>
          <w:highlight w:val="none"/>
        </w:rPr>
        <w:t>评价方法</w:t>
      </w:r>
      <w:r>
        <w:tab/>
      </w:r>
      <w:r>
        <w:fldChar w:fldCharType="begin"/>
      </w:r>
      <w:r>
        <w:instrText xml:space="preserve"> PAGEREF _Toc7408 \h </w:instrText>
      </w:r>
      <w:r>
        <w:fldChar w:fldCharType="separate"/>
      </w:r>
      <w:r>
        <w:t>7</w:t>
      </w:r>
      <w:r>
        <w:fldChar w:fldCharType="end"/>
      </w:r>
      <w:r>
        <w:fldChar w:fldCharType="end"/>
      </w:r>
    </w:p>
    <w:p>
      <w:pPr>
        <w:pStyle w:val="29"/>
        <w:tabs>
          <w:tab w:val="right" w:leader="dot" w:pos="9354"/>
        </w:tabs>
      </w:pPr>
      <w:r>
        <w:fldChar w:fldCharType="begin"/>
      </w:r>
      <w:r>
        <w:instrText xml:space="preserve"> HYPERLINK \l _Toc16705 </w:instrText>
      </w:r>
      <w:r>
        <w:fldChar w:fldCharType="separate"/>
      </w:r>
      <w:r>
        <w:rPr>
          <w:rFonts w:hint="eastAsia"/>
          <w:spacing w:val="100"/>
        </w:rPr>
        <w:t xml:space="preserve">附录A </w:t>
      </w:r>
      <w:r>
        <w:rPr>
          <w:highlight w:val="none"/>
        </w:rPr>
        <w:t xml:space="preserve"> </w:t>
      </w:r>
      <w:r>
        <w:rPr>
          <w:rFonts w:hint="eastAsia"/>
          <w:highlight w:val="none"/>
        </w:rPr>
        <w:t>（资料性）</w:t>
      </w:r>
      <w:r>
        <w:rPr>
          <w:highlight w:val="none"/>
        </w:rPr>
        <w:t xml:space="preserve"> </w:t>
      </w:r>
      <w:r>
        <w:rPr>
          <w:rFonts w:hint="eastAsia"/>
          <w:highlight w:val="none"/>
        </w:rPr>
        <w:t>电动汽车公共充电站管理服务评定考核标准</w:t>
      </w:r>
      <w:r>
        <w:tab/>
      </w:r>
      <w:r>
        <w:fldChar w:fldCharType="begin"/>
      </w:r>
      <w:r>
        <w:instrText xml:space="preserve"> PAGEREF _Toc16705 \h </w:instrText>
      </w:r>
      <w:r>
        <w:fldChar w:fldCharType="separate"/>
      </w:r>
      <w:r>
        <w:t>8</w:t>
      </w:r>
      <w:r>
        <w:fldChar w:fldCharType="end"/>
      </w:r>
      <w:r>
        <w:fldChar w:fldCharType="end"/>
      </w:r>
    </w:p>
    <w:p>
      <w:pPr>
        <w:pStyle w:val="109"/>
        <w:spacing w:after="468"/>
      </w:pPr>
      <w:r>
        <w:fldChar w:fldCharType="end"/>
      </w:r>
    </w:p>
    <w:p>
      <w:pPr>
        <w:pStyle w:val="109"/>
        <w:spacing w:after="468"/>
      </w:pPr>
    </w:p>
    <w:p>
      <w:pPr>
        <w:pStyle w:val="109"/>
        <w:spacing w:after="468"/>
      </w:pPr>
    </w:p>
    <w:p/>
    <w:p/>
    <w:p/>
    <w:p>
      <w:pPr>
        <w:pStyle w:val="109"/>
        <w:spacing w:after="468"/>
      </w:pPr>
    </w:p>
    <w:p/>
    <w:bookmarkEnd w:id="17"/>
    <w:p>
      <w:pPr>
        <w:pStyle w:val="109"/>
        <w:spacing w:before="900" w:after="468"/>
      </w:pPr>
      <w:bookmarkStart w:id="18" w:name="_Toc18913"/>
    </w:p>
    <w:p>
      <w:pPr>
        <w:pStyle w:val="109"/>
        <w:spacing w:before="900" w:after="468"/>
      </w:pPr>
    </w:p>
    <w:p>
      <w:pPr>
        <w:pStyle w:val="109"/>
        <w:spacing w:before="900" w:after="468"/>
      </w:pPr>
      <w:r>
        <w:rPr>
          <w:spacing w:val="320"/>
        </w:rPr>
        <w:t>前</w:t>
      </w:r>
      <w:r>
        <w:t>言</w:t>
      </w:r>
      <w:bookmarkEnd w:id="18"/>
    </w:p>
    <w:p>
      <w:pPr>
        <w:pStyle w:val="76"/>
        <w:ind w:firstLine="420"/>
      </w:pPr>
      <w:r>
        <w:rPr>
          <w:rFonts w:hint="eastAsia"/>
        </w:rPr>
        <w:t>本文件按照GB/T 1.1—2020《标准化工作导则  第1部分：标准化文件的结构和起草规则》的规定起草。</w:t>
      </w:r>
    </w:p>
    <w:p>
      <w:pPr>
        <w:pStyle w:val="76"/>
        <w:ind w:firstLine="420"/>
      </w:pPr>
      <w:r>
        <w:t>请注意本文件的某些内容可能涉及专利。本文件的发布机构不承担识别专利的责任。</w:t>
      </w:r>
    </w:p>
    <w:p>
      <w:pPr>
        <w:pStyle w:val="76"/>
        <w:ind w:firstLine="420"/>
      </w:pPr>
      <w:r>
        <w:rPr>
          <w:rFonts w:hint="eastAsia"/>
        </w:rPr>
        <w:t>本文件</w:t>
      </w:r>
      <w:r>
        <w:rPr>
          <w:rFonts w:hint="eastAsia"/>
          <w:highlight w:val="none"/>
        </w:rPr>
        <w:t>由中安能源（安徽）有限公司提</w:t>
      </w:r>
      <w:r>
        <w:rPr>
          <w:rFonts w:hint="eastAsia"/>
        </w:rPr>
        <w:t>出。</w:t>
      </w:r>
    </w:p>
    <w:p>
      <w:pPr>
        <w:pStyle w:val="76"/>
        <w:ind w:firstLine="420"/>
      </w:pPr>
      <w:r>
        <w:rPr>
          <w:rFonts w:hint="eastAsia"/>
        </w:rPr>
        <w:t>本文件由安徽省</w:t>
      </w:r>
      <w:r>
        <w:rPr>
          <w:rFonts w:hint="eastAsia"/>
          <w:lang w:val="en-US" w:eastAsia="zh-CN"/>
        </w:rPr>
        <w:t>发展改革委</w:t>
      </w:r>
      <w:r>
        <w:rPr>
          <w:rFonts w:hint="eastAsia"/>
        </w:rPr>
        <w:t>归口。</w:t>
      </w:r>
    </w:p>
    <w:p>
      <w:pPr>
        <w:pStyle w:val="76"/>
        <w:ind w:firstLine="420"/>
      </w:pPr>
      <w:r>
        <w:rPr>
          <w:rFonts w:hint="eastAsia"/>
        </w:rPr>
        <w:t>本文件起草单位：中安能源（安徽）有限公司、国网安徽省电力有限公司</w:t>
      </w:r>
      <w:r>
        <w:rPr>
          <w:rFonts w:hint="eastAsia"/>
          <w:lang w:val="en-US" w:eastAsia="zh-CN"/>
        </w:rPr>
        <w:t>、</w:t>
      </w:r>
      <w:r>
        <w:rPr>
          <w:rFonts w:hint="eastAsia"/>
        </w:rPr>
        <w:t>安徽交通职业技术学院</w:t>
      </w:r>
      <w:r>
        <w:rPr>
          <w:rFonts w:hint="eastAsia"/>
          <w:lang w:val="en-US" w:eastAsia="zh-CN"/>
        </w:rPr>
        <w:t>、</w:t>
      </w:r>
      <w:r>
        <w:rPr>
          <w:rFonts w:hint="eastAsia"/>
        </w:rPr>
        <w:t>安徽省计量科学研究院</w:t>
      </w:r>
      <w:r>
        <w:rPr>
          <w:rFonts w:hint="eastAsia"/>
          <w:lang w:val="en-US" w:eastAsia="zh-CN"/>
        </w:rPr>
        <w:t>、</w:t>
      </w:r>
      <w:r>
        <w:rPr>
          <w:rFonts w:hint="eastAsia"/>
        </w:rPr>
        <w:t>合肥蔚电科技有限公司</w:t>
      </w:r>
      <w:r>
        <w:rPr>
          <w:rFonts w:hint="eastAsia"/>
          <w:lang w:val="en-US" w:eastAsia="zh-CN"/>
        </w:rPr>
        <w:t>、</w:t>
      </w:r>
      <w:r>
        <w:rPr>
          <w:rFonts w:hint="eastAsia"/>
        </w:rPr>
        <w:t>合肥市电动汽车充电设施投资运营有限公司</w:t>
      </w:r>
      <w:r>
        <w:rPr>
          <w:rFonts w:hint="eastAsia"/>
          <w:lang w:val="en-US" w:eastAsia="zh-CN"/>
        </w:rPr>
        <w:t>、</w:t>
      </w:r>
      <w:r>
        <w:rPr>
          <w:rFonts w:hint="eastAsia"/>
        </w:rPr>
        <w:t>安徽星充新能源科技有限公司</w:t>
      </w:r>
      <w:r>
        <w:rPr>
          <w:rFonts w:hint="eastAsia"/>
          <w:lang w:val="en-US" w:eastAsia="zh-CN"/>
        </w:rPr>
        <w:t>、</w:t>
      </w:r>
      <w:r>
        <w:rPr>
          <w:rFonts w:hint="eastAsia"/>
        </w:rPr>
        <w:t>芜湖市充换电有限责任公司</w:t>
      </w:r>
      <w:r>
        <w:rPr>
          <w:rFonts w:hint="eastAsia"/>
          <w:lang w:val="en-US" w:eastAsia="zh-CN"/>
        </w:rPr>
        <w:t>、</w:t>
      </w:r>
      <w:r>
        <w:rPr>
          <w:rFonts w:hint="eastAsia"/>
        </w:rPr>
        <w:t>合肥特来电汽车充电有限公司</w:t>
      </w:r>
      <w:r>
        <w:rPr>
          <w:rFonts w:hint="eastAsia"/>
          <w:lang w:val="en-US" w:eastAsia="zh-CN"/>
        </w:rPr>
        <w:t>、</w:t>
      </w:r>
      <w:r>
        <w:rPr>
          <w:rFonts w:hint="eastAsia"/>
        </w:rPr>
        <w:t>国网安徽电动汽车服务有限公司</w:t>
      </w:r>
      <w:r>
        <w:rPr>
          <w:rFonts w:hint="eastAsia"/>
          <w:lang w:val="en-US" w:eastAsia="zh-CN"/>
        </w:rPr>
        <w:t>、</w:t>
      </w:r>
      <w:r>
        <w:rPr>
          <w:rFonts w:hint="eastAsia"/>
        </w:rPr>
        <w:t>国网安徽省电力有限公司马鞍山供电公司。</w:t>
      </w:r>
    </w:p>
    <w:p>
      <w:pPr>
        <w:pStyle w:val="76"/>
        <w:ind w:firstLine="420"/>
        <w:sectPr>
          <w:headerReference r:id="rId7" w:type="default"/>
          <w:footerReference r:id="rId9" w:type="default"/>
          <w:headerReference r:id="rId8" w:type="even"/>
          <w:pgSz w:w="11906" w:h="16838"/>
          <w:pgMar w:top="1928" w:right="1134" w:bottom="1134" w:left="1134" w:header="1418" w:footer="1134" w:gutter="284"/>
          <w:pgNumType w:fmt="decimal" w:start="1"/>
          <w:cols w:space="425" w:num="1"/>
          <w:formProt w:val="0"/>
          <w:docGrid w:type="lines" w:linePitch="312" w:charSpace="0"/>
        </w:sectPr>
      </w:pPr>
      <w:r>
        <w:rPr>
          <w:rFonts w:hint="eastAsia"/>
        </w:rPr>
        <w:t>本文件主要起草人：</w:t>
      </w:r>
      <w:r>
        <w:rPr>
          <w:rFonts w:hint="eastAsia" w:ascii="宋体" w:hAnsi="宋体"/>
          <w:color w:val="000000"/>
          <w:szCs w:val="21"/>
          <w:lang w:val="en-US" w:eastAsia="zh-CN"/>
        </w:rPr>
        <w:t>吴海、吴冠琼、戚运韬、</w:t>
      </w:r>
      <w:bookmarkStart w:id="47" w:name="_GoBack"/>
      <w:bookmarkEnd w:id="47"/>
      <w:r>
        <w:rPr>
          <w:rFonts w:hint="eastAsia" w:ascii="宋体" w:hAnsi="宋体" w:eastAsia="宋体" w:cs="宋体"/>
          <w:color w:val="000000"/>
          <w:sz w:val="21"/>
          <w:szCs w:val="21"/>
        </w:rPr>
        <w:t>张文</w:t>
      </w:r>
      <w:r>
        <w:rPr>
          <w:rFonts w:hint="eastAsia" w:hAnsi="宋体" w:cs="宋体"/>
          <w:color w:val="000000"/>
          <w:sz w:val="21"/>
          <w:szCs w:val="21"/>
          <w:lang w:eastAsia="zh-CN"/>
        </w:rPr>
        <w:t>、</w:t>
      </w:r>
      <w:r>
        <w:rPr>
          <w:rFonts w:hint="eastAsia" w:ascii="宋体" w:hAnsi="宋体" w:eastAsia="宋体" w:cs="宋体"/>
          <w:color w:val="000000"/>
          <w:sz w:val="21"/>
          <w:szCs w:val="21"/>
        </w:rPr>
        <w:t>刘辉舟</w:t>
      </w:r>
      <w:r>
        <w:rPr>
          <w:rFonts w:hint="eastAsia" w:hAnsi="宋体" w:cs="宋体"/>
          <w:color w:val="000000"/>
          <w:sz w:val="21"/>
          <w:szCs w:val="21"/>
          <w:lang w:eastAsia="zh-CN"/>
        </w:rPr>
        <w:t>、</w:t>
      </w:r>
      <w:r>
        <w:rPr>
          <w:rFonts w:hint="eastAsia" w:ascii="宋体" w:hAnsi="宋体" w:eastAsia="宋体" w:cs="宋体"/>
          <w:color w:val="000000"/>
          <w:sz w:val="21"/>
          <w:szCs w:val="21"/>
        </w:rPr>
        <w:t>叶敏</w:t>
      </w:r>
      <w:r>
        <w:rPr>
          <w:rFonts w:hint="eastAsia" w:hAnsi="宋体" w:cs="宋体"/>
          <w:color w:val="000000"/>
          <w:sz w:val="21"/>
          <w:szCs w:val="21"/>
          <w:lang w:eastAsia="zh-CN"/>
        </w:rPr>
        <w:t>、</w:t>
      </w:r>
      <w:r>
        <w:rPr>
          <w:rFonts w:hint="eastAsia" w:ascii="宋体" w:hAnsi="宋体" w:eastAsia="宋体" w:cs="宋体"/>
          <w:color w:val="000000"/>
          <w:sz w:val="21"/>
          <w:szCs w:val="21"/>
        </w:rPr>
        <w:t>吴晓燕</w:t>
      </w:r>
      <w:r>
        <w:rPr>
          <w:rFonts w:hint="eastAsia" w:hAnsi="宋体" w:cs="宋体"/>
          <w:color w:val="000000"/>
          <w:sz w:val="21"/>
          <w:szCs w:val="21"/>
          <w:lang w:eastAsia="zh-CN"/>
        </w:rPr>
        <w:t>、</w:t>
      </w:r>
      <w:r>
        <w:rPr>
          <w:rFonts w:hint="eastAsia" w:ascii="宋体" w:hAnsi="宋体" w:eastAsia="宋体" w:cs="宋体"/>
          <w:color w:val="000000"/>
          <w:sz w:val="21"/>
          <w:szCs w:val="21"/>
          <w:lang w:val="en-US" w:eastAsia="zh-CN"/>
        </w:rPr>
        <w:t>袁昭</w:t>
      </w:r>
      <w:r>
        <w:rPr>
          <w:rFonts w:hint="eastAsia" w:hAnsi="宋体" w:cs="宋体"/>
          <w:color w:val="000000"/>
          <w:sz w:val="21"/>
          <w:szCs w:val="21"/>
          <w:lang w:val="en-US" w:eastAsia="zh-CN"/>
        </w:rPr>
        <w:t>、</w:t>
      </w:r>
      <w:r>
        <w:rPr>
          <w:rFonts w:hint="eastAsia" w:ascii="宋体" w:hAnsi="宋体" w:eastAsia="宋体" w:cs="宋体"/>
          <w:color w:val="000000"/>
          <w:sz w:val="21"/>
          <w:szCs w:val="21"/>
          <w:lang w:val="en-US" w:eastAsia="zh-CN"/>
        </w:rPr>
        <w:t>张园</w:t>
      </w:r>
      <w:r>
        <w:rPr>
          <w:rFonts w:hint="eastAsia" w:hAnsi="宋体" w:cs="宋体"/>
          <w:color w:val="000000"/>
          <w:sz w:val="21"/>
          <w:szCs w:val="21"/>
          <w:lang w:val="en-US" w:eastAsia="zh-CN"/>
        </w:rPr>
        <w:t>、</w:t>
      </w:r>
      <w:r>
        <w:rPr>
          <w:rFonts w:hint="eastAsia" w:ascii="宋体" w:hAnsi="宋体" w:eastAsia="宋体" w:cs="宋体"/>
          <w:color w:val="000000"/>
          <w:sz w:val="21"/>
          <w:szCs w:val="21"/>
        </w:rPr>
        <w:t>张明懿</w:t>
      </w:r>
      <w:r>
        <w:rPr>
          <w:rFonts w:hint="eastAsia" w:hAnsi="宋体" w:cs="宋体"/>
          <w:color w:val="000000"/>
          <w:sz w:val="21"/>
          <w:szCs w:val="21"/>
          <w:lang w:eastAsia="zh-CN"/>
        </w:rPr>
        <w:t>、</w:t>
      </w:r>
      <w:r>
        <w:rPr>
          <w:rFonts w:hint="eastAsia" w:ascii="宋体" w:hAnsi="宋体" w:eastAsia="宋体" w:cs="宋体"/>
          <w:color w:val="000000"/>
          <w:sz w:val="21"/>
          <w:szCs w:val="21"/>
        </w:rPr>
        <w:t>翟龙飞</w:t>
      </w:r>
      <w:r>
        <w:rPr>
          <w:rFonts w:hint="eastAsia" w:hAnsi="宋体" w:cs="宋体"/>
          <w:color w:val="000000"/>
          <w:sz w:val="21"/>
          <w:szCs w:val="21"/>
          <w:lang w:eastAsia="zh-CN"/>
        </w:rPr>
        <w:t>、</w:t>
      </w:r>
      <w:r>
        <w:rPr>
          <w:rFonts w:hint="eastAsia" w:ascii="宋体" w:hAnsi="宋体" w:eastAsia="宋体" w:cs="宋体"/>
          <w:color w:val="000000"/>
          <w:sz w:val="21"/>
          <w:szCs w:val="21"/>
        </w:rPr>
        <w:t>李杰</w:t>
      </w:r>
      <w:r>
        <w:rPr>
          <w:rFonts w:hint="eastAsia" w:hAnsi="宋体" w:cs="宋体"/>
          <w:color w:val="000000"/>
          <w:sz w:val="21"/>
          <w:szCs w:val="21"/>
          <w:lang w:eastAsia="zh-CN"/>
        </w:rPr>
        <w:t>、</w:t>
      </w:r>
      <w:r>
        <w:rPr>
          <w:rFonts w:hint="eastAsia" w:ascii="宋体" w:hAnsi="宋体" w:eastAsia="宋体" w:cs="宋体"/>
          <w:color w:val="000000"/>
          <w:sz w:val="21"/>
          <w:szCs w:val="21"/>
        </w:rPr>
        <w:t>朱明磊</w:t>
      </w:r>
      <w:r>
        <w:rPr>
          <w:rFonts w:hint="eastAsia" w:hAnsi="宋体" w:cs="宋体"/>
          <w:color w:val="000000"/>
          <w:sz w:val="21"/>
          <w:szCs w:val="21"/>
          <w:lang w:eastAsia="zh-CN"/>
        </w:rPr>
        <w:t>、</w:t>
      </w:r>
      <w:r>
        <w:rPr>
          <w:rFonts w:hint="eastAsia" w:ascii="宋体" w:hAnsi="宋体" w:eastAsia="宋体" w:cs="宋体"/>
          <w:color w:val="000000"/>
          <w:sz w:val="21"/>
          <w:szCs w:val="21"/>
        </w:rPr>
        <w:t>王维胜</w:t>
      </w:r>
      <w:r>
        <w:rPr>
          <w:rFonts w:hint="eastAsia" w:hAnsi="宋体" w:cs="宋体"/>
          <w:color w:val="000000"/>
          <w:sz w:val="21"/>
          <w:szCs w:val="21"/>
          <w:lang w:eastAsia="zh-CN"/>
        </w:rPr>
        <w:t>、</w:t>
      </w:r>
      <w:r>
        <w:rPr>
          <w:rFonts w:hint="eastAsia" w:ascii="宋体" w:hAnsi="宋体" w:eastAsia="宋体" w:cs="宋体"/>
          <w:color w:val="000000"/>
          <w:sz w:val="21"/>
          <w:szCs w:val="21"/>
          <w:lang w:val="en-US" w:eastAsia="zh-CN"/>
        </w:rPr>
        <w:t>汪安邦</w:t>
      </w:r>
      <w:r>
        <w:rPr>
          <w:rFonts w:hint="eastAsia" w:hAnsi="宋体" w:cs="宋体"/>
          <w:color w:val="000000"/>
          <w:sz w:val="21"/>
          <w:szCs w:val="21"/>
          <w:lang w:val="en-US" w:eastAsia="zh-CN"/>
        </w:rPr>
        <w:t>、</w:t>
      </w:r>
      <w:r>
        <w:rPr>
          <w:rFonts w:hint="eastAsia" w:ascii="宋体" w:hAnsi="宋体" w:eastAsia="宋体" w:cs="宋体"/>
          <w:color w:val="000000"/>
          <w:sz w:val="21"/>
          <w:szCs w:val="21"/>
          <w:lang w:val="en-US" w:eastAsia="zh-CN"/>
        </w:rPr>
        <w:t>刘银</w:t>
      </w:r>
      <w:r>
        <w:rPr>
          <w:rFonts w:hint="eastAsia" w:hAnsi="宋体" w:cs="宋体"/>
          <w:color w:val="000000"/>
          <w:sz w:val="21"/>
          <w:szCs w:val="21"/>
          <w:lang w:val="en-US" w:eastAsia="zh-CN"/>
        </w:rPr>
        <w:t>、</w:t>
      </w:r>
      <w:r>
        <w:rPr>
          <w:rFonts w:hint="eastAsia" w:ascii="宋体" w:hAnsi="宋体" w:eastAsia="宋体" w:cs="宋体"/>
          <w:color w:val="000000"/>
          <w:sz w:val="21"/>
          <w:szCs w:val="21"/>
        </w:rPr>
        <w:t>王欧</w:t>
      </w:r>
      <w:r>
        <w:rPr>
          <w:rFonts w:hint="eastAsia" w:ascii="宋体" w:hAnsi="宋体" w:eastAsia="宋体" w:cs="宋体"/>
          <w:color w:val="000000"/>
          <w:sz w:val="21"/>
          <w:szCs w:val="21"/>
          <w:lang w:val="en-US" w:eastAsia="zh-CN"/>
        </w:rPr>
        <w:t>、</w:t>
      </w:r>
      <w:r>
        <w:rPr>
          <w:rFonts w:hint="eastAsia" w:ascii="宋体" w:hAnsi="宋体" w:eastAsia="宋体" w:cs="宋体"/>
          <w:color w:val="000000"/>
          <w:sz w:val="21"/>
          <w:szCs w:val="21"/>
        </w:rPr>
        <w:t>齐红涛</w:t>
      </w:r>
      <w:r>
        <w:rPr>
          <w:rFonts w:hint="eastAsia" w:ascii="宋体" w:hAnsi="宋体" w:eastAsia="宋体" w:cs="宋体"/>
          <w:color w:val="000000"/>
          <w:sz w:val="21"/>
          <w:szCs w:val="21"/>
          <w:lang w:val="en-US" w:eastAsia="zh-CN"/>
        </w:rPr>
        <w:t>、</w:t>
      </w:r>
      <w:r>
        <w:rPr>
          <w:rFonts w:hint="eastAsia" w:ascii="宋体" w:hAnsi="宋体" w:eastAsia="宋体" w:cs="宋体"/>
          <w:color w:val="000000"/>
          <w:sz w:val="21"/>
          <w:szCs w:val="21"/>
        </w:rPr>
        <w:t>刘金友</w:t>
      </w:r>
      <w:r>
        <w:rPr>
          <w:rFonts w:hint="eastAsia" w:ascii="宋体" w:hAnsi="宋体" w:eastAsia="宋体" w:cs="宋体"/>
          <w:color w:val="000000"/>
          <w:sz w:val="21"/>
          <w:szCs w:val="21"/>
          <w:lang w:val="en-US" w:eastAsia="zh-CN"/>
        </w:rPr>
        <w:t>、陈伟、王翀、唐素琼、刘苏徽、张泽群、陈光宇、李林、王品、常乐</w:t>
      </w:r>
      <w:r>
        <w:rPr>
          <w:rFonts w:hint="eastAsia"/>
          <w:lang w:eastAsia="zh-CN"/>
        </w:rPr>
        <w:t>。</w:t>
      </w:r>
    </w:p>
    <w:sdt>
      <w:sdtPr>
        <w:rPr>
          <w:highlight w:val="none"/>
        </w:rPr>
        <w:tag w:val="NEW_STAND_NAME"/>
        <w:id w:val="595910757"/>
        <w:lock w:val="sdtLocked"/>
        <w:placeholder>
          <w:docPart w:val="{896e900f-45d2-476d-ace4-88e6f631d970}"/>
        </w:placeholder>
      </w:sdtPr>
      <w:sdtEndPr>
        <w:rPr>
          <w:highlight w:val="none"/>
        </w:rPr>
      </w:sdtEndPr>
      <w:sdtContent>
        <w:p>
          <w:pPr>
            <w:pStyle w:val="197"/>
            <w:spacing w:before="312" w:beforeLines="100" w:after="686" w:afterLines="220"/>
            <w:rPr>
              <w:highlight w:val="none"/>
            </w:rPr>
          </w:pPr>
          <w:bookmarkStart w:id="19" w:name="NEW_STAND_NAME"/>
          <w:r>
            <w:rPr>
              <w:rFonts w:hint="eastAsia"/>
              <w:highlight w:val="none"/>
            </w:rPr>
            <w:t>电动汽车公共充电站管理服务评定规范</w:t>
          </w:r>
        </w:p>
      </w:sdtContent>
    </w:sdt>
    <w:bookmarkEnd w:id="19"/>
    <w:p>
      <w:pPr>
        <w:pStyle w:val="124"/>
        <w:spacing w:before="312" w:after="312"/>
        <w:rPr>
          <w:highlight w:val="none"/>
        </w:rPr>
      </w:pPr>
      <w:bookmarkStart w:id="20" w:name="_Toc26648465"/>
      <w:bookmarkStart w:id="21" w:name="_Toc24884218"/>
      <w:bookmarkStart w:id="22" w:name="_Toc26718930"/>
      <w:bookmarkStart w:id="23" w:name="_Toc26986530"/>
      <w:bookmarkStart w:id="24" w:name="_Toc26986771"/>
      <w:bookmarkStart w:id="25" w:name="_Toc24884211"/>
      <w:bookmarkStart w:id="26" w:name="_Toc97191423"/>
      <w:bookmarkStart w:id="27" w:name="_Toc17233325"/>
      <w:bookmarkStart w:id="28" w:name="_Toc25637"/>
      <w:bookmarkStart w:id="29" w:name="_Toc17233333"/>
      <w:r>
        <w:rPr>
          <w:rFonts w:hint="eastAsia"/>
          <w:highlight w:val="none"/>
        </w:rPr>
        <w:t>范围</w:t>
      </w:r>
      <w:bookmarkEnd w:id="20"/>
      <w:bookmarkEnd w:id="21"/>
      <w:bookmarkEnd w:id="22"/>
      <w:bookmarkEnd w:id="23"/>
      <w:bookmarkEnd w:id="24"/>
      <w:bookmarkEnd w:id="25"/>
      <w:bookmarkEnd w:id="26"/>
      <w:bookmarkEnd w:id="27"/>
      <w:bookmarkEnd w:id="28"/>
      <w:bookmarkEnd w:id="29"/>
    </w:p>
    <w:p>
      <w:pPr>
        <w:pStyle w:val="76"/>
        <w:ind w:firstLine="420"/>
        <w:rPr>
          <w:rFonts w:hint="eastAsia"/>
          <w:highlight w:val="none"/>
        </w:rPr>
      </w:pPr>
      <w:bookmarkStart w:id="30" w:name="_Toc17233334"/>
      <w:bookmarkStart w:id="31" w:name="_Toc24884212"/>
      <w:bookmarkStart w:id="32" w:name="_Toc24884219"/>
      <w:bookmarkStart w:id="33" w:name="_Toc26648466"/>
      <w:bookmarkStart w:id="34" w:name="_Toc17233326"/>
      <w:r>
        <w:rPr>
          <w:rFonts w:hint="eastAsia"/>
          <w:highlight w:val="none"/>
        </w:rPr>
        <w:t>本文件规定了电动汽车公共充电站管理服务评定方式，包括对充电设备的合规要求和公共充电站数据接入、设备可用性、充电站规模、用户规模、用户反馈及服务管理水平的评价。</w:t>
      </w:r>
    </w:p>
    <w:p>
      <w:pPr>
        <w:pStyle w:val="76"/>
        <w:ind w:firstLine="420"/>
        <w:rPr>
          <w:highlight w:val="none"/>
        </w:rPr>
      </w:pPr>
      <w:r>
        <w:rPr>
          <w:rFonts w:hint="eastAsia"/>
          <w:highlight w:val="none"/>
        </w:rPr>
        <w:t>本文件适用于安徽省行政区域内对电动汽车充电设施的评价分级活动，也适用于充电设施运营主体规范其运营活动并进行自我评价和自我声明，以及充电设施运营的相关方（如车企、主管部门等）对其符合性的确认。</w:t>
      </w:r>
    </w:p>
    <w:p>
      <w:pPr>
        <w:pStyle w:val="124"/>
        <w:spacing w:before="312" w:after="312"/>
        <w:rPr>
          <w:highlight w:val="none"/>
        </w:rPr>
      </w:pPr>
      <w:bookmarkStart w:id="35" w:name="_Toc97191424"/>
      <w:bookmarkStart w:id="36" w:name="_Toc26986531"/>
      <w:bookmarkStart w:id="37" w:name="_Toc26718931"/>
      <w:bookmarkStart w:id="38" w:name="_Toc5620"/>
      <w:bookmarkStart w:id="39" w:name="_Toc26986772"/>
      <w:r>
        <w:rPr>
          <w:rFonts w:hint="eastAsia"/>
          <w:highlight w:val="none"/>
        </w:rPr>
        <w:t>规范性引用文件</w:t>
      </w:r>
      <w:bookmarkEnd w:id="30"/>
      <w:bookmarkEnd w:id="31"/>
      <w:bookmarkEnd w:id="32"/>
      <w:bookmarkEnd w:id="33"/>
      <w:bookmarkEnd w:id="34"/>
      <w:bookmarkEnd w:id="35"/>
      <w:bookmarkEnd w:id="36"/>
      <w:bookmarkEnd w:id="37"/>
      <w:bookmarkEnd w:id="38"/>
      <w:bookmarkEnd w:id="39"/>
    </w:p>
    <w:sdt>
      <w:sdtPr>
        <w:rPr>
          <w:rFonts w:hint="eastAsia"/>
          <w:highlight w:val="none"/>
        </w:rPr>
        <w:id w:val="715848253"/>
        <w:placeholder>
          <w:docPart w:val="{2c2faee6-0a46-4941-911a-ce4498659dd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highlight w:val="none"/>
        </w:rPr>
      </w:sdtEndPr>
      <w:sdtContent>
        <w:p>
          <w:pPr>
            <w:pStyle w:val="76"/>
            <w:ind w:firstLine="420"/>
            <w:rPr>
              <w:highlight w:val="none"/>
            </w:rPr>
          </w:pPr>
          <w:r>
            <w:rPr>
              <w:rFonts w:hint="eastAsia"/>
              <w:highlight w:val="none"/>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76"/>
        <w:ind w:firstLine="420"/>
        <w:rPr>
          <w:highlight w:val="none"/>
        </w:rPr>
      </w:pPr>
      <w:r>
        <w:rPr>
          <w:rFonts w:hint="eastAsia"/>
          <w:highlight w:val="none"/>
        </w:rPr>
        <w:t>GB 26164 电业安全工作规程</w:t>
      </w:r>
    </w:p>
    <w:p>
      <w:pPr>
        <w:pStyle w:val="76"/>
        <w:ind w:firstLine="420"/>
        <w:rPr>
          <w:highlight w:val="none"/>
        </w:rPr>
      </w:pPr>
      <w:r>
        <w:rPr>
          <w:rFonts w:hint="eastAsia"/>
          <w:highlight w:val="none"/>
        </w:rPr>
        <w:t>GB 26861 电力安全工程规程</w:t>
      </w:r>
    </w:p>
    <w:p>
      <w:pPr>
        <w:pStyle w:val="76"/>
        <w:ind w:firstLine="420"/>
        <w:rPr>
          <w:rFonts w:hint="eastAsia" w:eastAsia="宋体"/>
          <w:highlight w:val="none"/>
          <w:lang w:eastAsia="zh-CN"/>
        </w:rPr>
      </w:pPr>
      <w:r>
        <w:rPr>
          <w:rFonts w:hint="eastAsia"/>
          <w:highlight w:val="none"/>
        </w:rPr>
        <w:t>GB/T 18487.1-2023  电动汽车传导充电系统 第1部分：通用要求</w:t>
      </w:r>
    </w:p>
    <w:p>
      <w:pPr>
        <w:pStyle w:val="76"/>
        <w:ind w:firstLine="420"/>
        <w:rPr>
          <w:highlight w:val="none"/>
        </w:rPr>
      </w:pPr>
      <w:r>
        <w:rPr>
          <w:rFonts w:hint="eastAsia"/>
          <w:highlight w:val="none"/>
        </w:rPr>
        <w:t>GB/T 29317—2021 电动汽车充换电设施术语</w:t>
      </w:r>
    </w:p>
    <w:p>
      <w:pPr>
        <w:pStyle w:val="76"/>
        <w:ind w:firstLine="420"/>
        <w:rPr>
          <w:highlight w:val="none"/>
        </w:rPr>
      </w:pPr>
      <w:r>
        <w:rPr>
          <w:rFonts w:hint="eastAsia"/>
          <w:highlight w:val="none"/>
        </w:rPr>
        <w:t xml:space="preserve">GB/T 29781 电动汽车充电站通用要求 </w:t>
      </w:r>
    </w:p>
    <w:p>
      <w:pPr>
        <w:pStyle w:val="76"/>
        <w:ind w:firstLine="420"/>
        <w:rPr>
          <w:rFonts w:hint="eastAsia"/>
          <w:highlight w:val="none"/>
        </w:rPr>
      </w:pPr>
      <w:r>
        <w:rPr>
          <w:rFonts w:hint="eastAsia"/>
          <w:highlight w:val="none"/>
        </w:rPr>
        <w:t>GB/T 44130.1-2024  电动汽车充换电服务信息交换</w:t>
      </w:r>
    </w:p>
    <w:p>
      <w:pPr>
        <w:pStyle w:val="76"/>
        <w:ind w:firstLine="420"/>
        <w:rPr>
          <w:rFonts w:hint="eastAsia"/>
          <w:highlight w:val="none"/>
        </w:rPr>
      </w:pPr>
      <w:r>
        <w:rPr>
          <w:rFonts w:hint="eastAsia"/>
          <w:highlight w:val="none"/>
        </w:rPr>
        <w:t>GB 39752-2024  电动汽车供电设备安全要求</w:t>
      </w:r>
    </w:p>
    <w:p>
      <w:pPr>
        <w:pStyle w:val="76"/>
        <w:ind w:firstLine="420"/>
        <w:rPr>
          <w:rFonts w:hint="eastAsia"/>
          <w:highlight w:val="none"/>
        </w:rPr>
      </w:pPr>
      <w:r>
        <w:rPr>
          <w:rFonts w:hint="eastAsia"/>
          <w:highlight w:val="none"/>
        </w:rPr>
        <w:t>GB 44263-2024  电动汽车传导充电系统安全要求</w:t>
      </w:r>
    </w:p>
    <w:p>
      <w:pPr>
        <w:pStyle w:val="76"/>
        <w:ind w:firstLine="420"/>
        <w:rPr>
          <w:highlight w:val="none"/>
        </w:rPr>
      </w:pPr>
      <w:r>
        <w:rPr>
          <w:rFonts w:hint="eastAsia"/>
          <w:highlight w:val="none"/>
        </w:rPr>
        <w:t>DB</w:t>
      </w:r>
      <w:r>
        <w:rPr>
          <w:rFonts w:hint="eastAsia"/>
          <w:highlight w:val="none"/>
          <w:lang w:val="en-US" w:eastAsia="zh-CN"/>
        </w:rPr>
        <w:t xml:space="preserve"> </w:t>
      </w:r>
      <w:r>
        <w:rPr>
          <w:rFonts w:hint="eastAsia"/>
          <w:highlight w:val="none"/>
        </w:rPr>
        <w:t xml:space="preserve">34/T 5075 电动汽车充电站及充电桩技术规范 </w:t>
      </w:r>
    </w:p>
    <w:p>
      <w:pPr>
        <w:pStyle w:val="124"/>
        <w:spacing w:before="312" w:after="312"/>
        <w:rPr>
          <w:highlight w:val="none"/>
        </w:rPr>
      </w:pPr>
      <w:bookmarkStart w:id="40" w:name="_Toc97191425"/>
      <w:bookmarkStart w:id="41" w:name="_Toc1572"/>
      <w:r>
        <w:rPr>
          <w:rFonts w:hint="eastAsia"/>
          <w:szCs w:val="21"/>
          <w:highlight w:val="none"/>
        </w:rPr>
        <w:t>术语和定义</w:t>
      </w:r>
      <w:bookmarkEnd w:id="40"/>
      <w:bookmarkEnd w:id="41"/>
    </w:p>
    <w:p>
      <w:pPr>
        <w:pStyle w:val="76"/>
        <w:ind w:firstLine="420"/>
        <w:rPr>
          <w:rFonts w:ascii="黑体" w:hAnsi="黑体" w:eastAsia="黑体"/>
          <w:szCs w:val="21"/>
          <w:highlight w:val="none"/>
        </w:rPr>
      </w:pPr>
      <w:r>
        <w:rPr>
          <w:rFonts w:hint="eastAsia"/>
          <w:highlight w:val="none"/>
        </w:rPr>
        <w:t>GB/T 29317—2021</w:t>
      </w:r>
      <w:sdt>
        <w:sdtPr>
          <w:rPr>
            <w:rFonts w:ascii="Times New Roman"/>
            <w:highlight w:val="none"/>
          </w:rPr>
          <w:id w:val="-1909835108"/>
          <w:placeholder>
            <w:docPart w:val="{88ba564b-18d7-4816-8a41-ff740857b98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Times New Roman"/>
            <w:highlight w:val="none"/>
          </w:rPr>
        </w:sdtEndPr>
        <w:sdtContent>
          <w:bookmarkStart w:id="42" w:name="_Toc26986532"/>
          <w:bookmarkEnd w:id="42"/>
          <w:r>
            <w:rPr>
              <w:rFonts w:ascii="Times New Roman"/>
              <w:highlight w:val="none"/>
            </w:rPr>
            <w:t>界定的以及下列术语和定义适用于本文件。</w:t>
          </w:r>
        </w:sdtContent>
      </w:sdt>
    </w:p>
    <w:p>
      <w:pPr>
        <w:pStyle w:val="125"/>
        <w:spacing w:before="156" w:after="156"/>
        <w:rPr>
          <w:rFonts w:hAnsi="黑体"/>
          <w:szCs w:val="21"/>
          <w:highlight w:val="none"/>
        </w:rPr>
      </w:pPr>
      <w:r>
        <w:rPr>
          <w:rFonts w:hint="eastAsia" w:hAnsi="黑体"/>
          <w:highlight w:val="none"/>
        </w:rPr>
        <w:t>充电</w:t>
      </w:r>
      <w:r>
        <w:rPr>
          <w:rFonts w:hint="eastAsia"/>
          <w:highlight w:val="none"/>
        </w:rPr>
        <w:t>设施</w:t>
      </w:r>
      <w:r>
        <w:rPr>
          <w:rFonts w:hint="eastAsia" w:hAnsi="黑体"/>
          <w:highlight w:val="none"/>
        </w:rPr>
        <w:t xml:space="preserve"> charging infrastructure</w:t>
      </w:r>
    </w:p>
    <w:p>
      <w:pPr>
        <w:pStyle w:val="76"/>
        <w:ind w:firstLine="420"/>
        <w:rPr>
          <w:highlight w:val="none"/>
        </w:rPr>
      </w:pPr>
      <w:r>
        <w:rPr>
          <w:rFonts w:hint="eastAsia"/>
          <w:highlight w:val="none"/>
        </w:rPr>
        <w:t>采用整车充电方式为电动汽车提供电能的相关设施的总称。</w:t>
      </w:r>
    </w:p>
    <w:p>
      <w:pPr>
        <w:pStyle w:val="76"/>
        <w:ind w:firstLine="420"/>
        <w:rPr>
          <w:rFonts w:ascii="黑体" w:hAnsi="黑体" w:eastAsia="黑体"/>
          <w:highlight w:val="none"/>
        </w:rPr>
      </w:pPr>
      <w:r>
        <w:rPr>
          <w:rFonts w:hint="eastAsia"/>
          <w:highlight w:val="none"/>
        </w:rPr>
        <w:t>注：充电设施包括充电站和分散充电</w:t>
      </w:r>
      <w:r>
        <w:rPr>
          <w:rFonts w:hint="eastAsia"/>
          <w:highlight w:val="none"/>
          <w:lang w:val="en-US" w:eastAsia="zh-CN"/>
        </w:rPr>
        <w:t>设备</w:t>
      </w:r>
      <w:r>
        <w:rPr>
          <w:rFonts w:hint="eastAsia"/>
          <w:highlight w:val="none"/>
        </w:rPr>
        <w:t>。</w:t>
      </w:r>
    </w:p>
    <w:p>
      <w:pPr>
        <w:pStyle w:val="125"/>
        <w:spacing w:before="156" w:after="156"/>
        <w:rPr>
          <w:rFonts w:hAnsi="黑体"/>
          <w:highlight w:val="none"/>
        </w:rPr>
      </w:pPr>
      <w:r>
        <w:rPr>
          <w:rFonts w:hint="eastAsia" w:hAnsi="黑体"/>
          <w:highlight w:val="none"/>
        </w:rPr>
        <w:t>充电站 charging station</w:t>
      </w:r>
    </w:p>
    <w:p>
      <w:pPr>
        <w:pStyle w:val="76"/>
        <w:ind w:firstLine="420"/>
        <w:rPr>
          <w:rFonts w:ascii="黑体" w:hAnsi="黑体" w:eastAsia="黑体"/>
          <w:highlight w:val="none"/>
        </w:rPr>
      </w:pPr>
      <w:r>
        <w:rPr>
          <w:rFonts w:hint="eastAsia"/>
          <w:highlight w:val="none"/>
        </w:rPr>
        <w:t>为电动汽车提供电能供给服务的专用场所，由多台集中布置、本地集中管理的充电设备，以及相关的供电设备、监控设备、配套设施等组成。</w:t>
      </w:r>
    </w:p>
    <w:p>
      <w:pPr>
        <w:pStyle w:val="125"/>
        <w:spacing w:before="156" w:after="156"/>
        <w:rPr>
          <w:rFonts w:hAnsi="黑体"/>
          <w:highlight w:val="none"/>
        </w:rPr>
      </w:pPr>
      <w:r>
        <w:rPr>
          <w:rFonts w:hint="eastAsia" w:hAnsi="黑体"/>
          <w:highlight w:val="none"/>
        </w:rPr>
        <w:t>充电设备 charging equipment</w:t>
      </w:r>
    </w:p>
    <w:p>
      <w:pPr>
        <w:pStyle w:val="76"/>
        <w:ind w:firstLine="420"/>
        <w:rPr>
          <w:rFonts w:ascii="黑体" w:hAnsi="黑体" w:eastAsia="黑体"/>
          <w:highlight w:val="none"/>
        </w:rPr>
      </w:pPr>
      <w:r>
        <w:rPr>
          <w:rFonts w:hint="eastAsia"/>
          <w:highlight w:val="none"/>
        </w:rPr>
        <w:t>以传导或无线方式与电动汽车或动力蓄电池连接，为其提供电能的设备。</w:t>
      </w:r>
    </w:p>
    <w:p>
      <w:pPr>
        <w:pStyle w:val="125"/>
        <w:spacing w:before="156" w:after="156"/>
        <w:rPr>
          <w:rFonts w:hAnsi="黑体"/>
          <w:highlight w:val="none"/>
        </w:rPr>
      </w:pPr>
      <w:r>
        <w:rPr>
          <w:rFonts w:hint="eastAsia" w:hAnsi="黑体"/>
          <w:highlight w:val="none"/>
        </w:rPr>
        <w:t>交流充电桩 AC charging spot</w:t>
      </w:r>
    </w:p>
    <w:p>
      <w:pPr>
        <w:pStyle w:val="76"/>
        <w:ind w:firstLine="420"/>
        <w:rPr>
          <w:highlight w:val="none"/>
        </w:rPr>
      </w:pPr>
      <w:r>
        <w:rPr>
          <w:rFonts w:hint="eastAsia"/>
          <w:highlight w:val="none"/>
        </w:rPr>
        <w:t>采用传导方式为具有车载充电机的电动汽车提供交流电源的专用供电装置。</w:t>
      </w:r>
    </w:p>
    <w:p>
      <w:pPr>
        <w:pStyle w:val="125"/>
        <w:spacing w:before="156" w:after="156"/>
        <w:rPr>
          <w:rFonts w:hAnsi="黑体"/>
          <w:highlight w:val="none"/>
        </w:rPr>
      </w:pPr>
      <w:r>
        <w:rPr>
          <w:rFonts w:hint="eastAsia" w:hAnsi="黑体"/>
          <w:highlight w:val="none"/>
        </w:rPr>
        <w:t>充电</w:t>
      </w:r>
      <w:r>
        <w:rPr>
          <w:rFonts w:hint="eastAsia"/>
          <w:highlight w:val="none"/>
        </w:rPr>
        <w:t>服务</w:t>
      </w:r>
      <w:r>
        <w:rPr>
          <w:rFonts w:hint="eastAsia" w:hAnsi="黑体"/>
          <w:highlight w:val="none"/>
        </w:rPr>
        <w:t xml:space="preserve"> charging service </w:t>
      </w:r>
    </w:p>
    <w:p>
      <w:pPr>
        <w:pStyle w:val="76"/>
        <w:ind w:firstLine="400"/>
        <w:rPr>
          <w:rFonts w:ascii="黑体" w:hAnsi="黑体" w:eastAsia="黑体"/>
          <w:highlight w:val="none"/>
        </w:rPr>
      </w:pPr>
      <w:r>
        <w:rPr>
          <w:rFonts w:hint="eastAsia" w:hAnsi="宋体" w:cs="宋体"/>
          <w:color w:val="000000"/>
          <w:sz w:val="20"/>
          <w:highlight w:val="none"/>
          <w:lang w:bidi="ar"/>
        </w:rPr>
        <w:t>运营商向电动汽车用户提供的，包括身份识别认证、充电、支付结算等的整个过程的服务。</w:t>
      </w:r>
    </w:p>
    <w:p>
      <w:pPr>
        <w:pStyle w:val="125"/>
        <w:spacing w:before="156" w:after="156"/>
        <w:rPr>
          <w:highlight w:val="none"/>
        </w:rPr>
      </w:pPr>
      <w:r>
        <w:rPr>
          <w:rFonts w:hint="eastAsia"/>
          <w:highlight w:val="none"/>
        </w:rPr>
        <w:t xml:space="preserve">充电服务运营机构 charging service operator </w:t>
      </w:r>
    </w:p>
    <w:p>
      <w:pPr>
        <w:pStyle w:val="76"/>
        <w:ind w:firstLine="420"/>
        <w:rPr>
          <w:highlight w:val="none"/>
        </w:rPr>
      </w:pPr>
      <w:r>
        <w:rPr>
          <w:rFonts w:hint="eastAsia"/>
          <w:highlight w:val="none"/>
        </w:rPr>
        <w:t>为电动汽车用户提供充电服务的商家简称运营商，可包括充电服务平台运营机构和充电设施运营机构。</w:t>
      </w:r>
    </w:p>
    <w:p>
      <w:pPr>
        <w:pStyle w:val="125"/>
        <w:spacing w:before="156" w:after="156"/>
        <w:rPr>
          <w:highlight w:val="none"/>
        </w:rPr>
      </w:pPr>
      <w:r>
        <w:rPr>
          <w:rFonts w:hint="eastAsia"/>
          <w:highlight w:val="none"/>
        </w:rPr>
        <w:t>有序充电 coordinated charging</w:t>
      </w:r>
    </w:p>
    <w:p>
      <w:pPr>
        <w:pStyle w:val="76"/>
        <w:ind w:firstLine="420"/>
        <w:rPr>
          <w:rFonts w:hint="eastAsia"/>
          <w:highlight w:val="none"/>
        </w:rPr>
      </w:pPr>
      <w:r>
        <w:rPr>
          <w:rFonts w:hint="eastAsia"/>
          <w:highlight w:val="none"/>
        </w:rPr>
        <w:t>运用经济或技术措施进行引导和协调，按一定策略对电动汽车进行充电。</w:t>
      </w:r>
    </w:p>
    <w:p>
      <w:pPr>
        <w:pStyle w:val="125"/>
        <w:spacing w:before="156" w:after="156"/>
        <w:rPr>
          <w:rFonts w:hint="eastAsia"/>
          <w:highlight w:val="none"/>
          <w:lang w:val="en-US" w:eastAsia="zh-CN"/>
        </w:rPr>
      </w:pPr>
      <w:r>
        <w:rPr>
          <w:rFonts w:hint="eastAsia"/>
          <w:highlight w:val="none"/>
        </w:rPr>
        <w:t>公共充电站</w:t>
      </w:r>
      <w:r>
        <w:rPr>
          <w:rFonts w:hint="eastAsia"/>
          <w:highlight w:val="none"/>
          <w:lang w:val="en-US" w:eastAsia="zh-CN"/>
        </w:rPr>
        <w:t xml:space="preserve"> public charging station</w:t>
      </w:r>
    </w:p>
    <w:p>
      <w:pPr>
        <w:pStyle w:val="76"/>
        <w:ind w:firstLine="420"/>
        <w:rPr>
          <w:rFonts w:hint="eastAsia"/>
          <w:highlight w:val="none"/>
        </w:rPr>
      </w:pPr>
      <w:r>
        <w:rPr>
          <w:rFonts w:hint="eastAsia"/>
          <w:highlight w:val="none"/>
        </w:rPr>
        <w:t>在规划的独立地块、社会公共停车场、住宅小区公共停车场、商业建筑物配建停车场、加油（气）站、高速公路服务区、机场等区域规划建设，面向社会车辆提供充电服务的充电</w:t>
      </w:r>
      <w:r>
        <w:rPr>
          <w:rFonts w:hint="eastAsia"/>
          <w:highlight w:val="none"/>
          <w:lang w:val="en-US" w:eastAsia="zh-CN"/>
        </w:rPr>
        <w:t>站</w:t>
      </w:r>
      <w:r>
        <w:rPr>
          <w:rFonts w:hint="eastAsia"/>
          <w:highlight w:val="none"/>
        </w:rPr>
        <w:t>。</w:t>
      </w:r>
    </w:p>
    <w:p>
      <w:pPr>
        <w:pStyle w:val="124"/>
        <w:spacing w:before="312" w:after="312"/>
        <w:rPr>
          <w:highlight w:val="none"/>
        </w:rPr>
      </w:pPr>
      <w:bookmarkStart w:id="43" w:name="_Toc20073"/>
      <w:r>
        <w:rPr>
          <w:rFonts w:hint="eastAsia"/>
          <w:highlight w:val="none"/>
        </w:rPr>
        <w:t>总则</w:t>
      </w:r>
      <w:bookmarkEnd w:id="43"/>
      <w:r>
        <w:rPr>
          <w:rFonts w:hint="eastAsia"/>
          <w:highlight w:val="none"/>
        </w:rPr>
        <w:t xml:space="preserve"> </w:t>
      </w:r>
    </w:p>
    <w:p>
      <w:pPr>
        <w:pStyle w:val="125"/>
        <w:spacing w:before="156" w:after="156"/>
        <w:rPr>
          <w:highlight w:val="none"/>
        </w:rPr>
      </w:pPr>
      <w:r>
        <w:rPr>
          <w:rFonts w:hint="eastAsia"/>
          <w:highlight w:val="none"/>
        </w:rPr>
        <w:t>公共充电站的平台接入</w:t>
      </w:r>
    </w:p>
    <w:p>
      <w:pPr>
        <w:pStyle w:val="76"/>
        <w:ind w:firstLine="420"/>
        <w:rPr>
          <w:highlight w:val="none"/>
        </w:rPr>
      </w:pPr>
      <w:r>
        <w:rPr>
          <w:rFonts w:hint="eastAsia"/>
          <w:highlight w:val="none"/>
        </w:rPr>
        <w:t>公共充电站运营管理系统应接入安徽省充换电基础设施综合监管服务平台（以下简称“省级平台”），数据应符合相关规定且</w:t>
      </w:r>
      <w:r>
        <w:rPr>
          <w:rFonts w:hint="eastAsia"/>
          <w:highlight w:val="none"/>
          <w:lang w:eastAsia="zh-CN"/>
        </w:rPr>
        <w:t>真实、</w:t>
      </w:r>
      <w:r>
        <w:rPr>
          <w:rFonts w:hint="eastAsia"/>
          <w:highlight w:val="none"/>
        </w:rPr>
        <w:t>准确</w:t>
      </w:r>
      <w:r>
        <w:rPr>
          <w:rFonts w:hint="eastAsia"/>
          <w:highlight w:val="none"/>
          <w:lang w:eastAsia="zh-CN"/>
        </w:rPr>
        <w:t>、及时、</w:t>
      </w:r>
      <w:r>
        <w:rPr>
          <w:rFonts w:hint="eastAsia"/>
          <w:highlight w:val="none"/>
        </w:rPr>
        <w:t>有效。</w:t>
      </w:r>
    </w:p>
    <w:p>
      <w:pPr>
        <w:pStyle w:val="125"/>
        <w:spacing w:before="156" w:after="156"/>
        <w:rPr>
          <w:highlight w:val="none"/>
        </w:rPr>
      </w:pPr>
      <w:r>
        <w:rPr>
          <w:rFonts w:hint="eastAsia"/>
          <w:highlight w:val="none"/>
        </w:rPr>
        <w:t>公共充电站的设备可用性</w:t>
      </w:r>
    </w:p>
    <w:p>
      <w:pPr>
        <w:pStyle w:val="76"/>
        <w:ind w:firstLine="420"/>
        <w:rPr>
          <w:highlight w:val="none"/>
        </w:rPr>
      </w:pPr>
      <w:r>
        <w:rPr>
          <w:rFonts w:hint="eastAsia"/>
          <w:highlight w:val="none"/>
        </w:rPr>
        <w:t>公共充电服务运营机构</w:t>
      </w:r>
      <w:r>
        <w:rPr>
          <w:rFonts w:hint="eastAsia"/>
          <w:highlight w:val="none"/>
          <w:lang w:val="en-US" w:eastAsia="zh-CN"/>
        </w:rPr>
        <w:t>应</w:t>
      </w:r>
      <w:r>
        <w:rPr>
          <w:rFonts w:hint="eastAsia"/>
          <w:highlight w:val="none"/>
        </w:rPr>
        <w:t>建立运行维护体系，加强充电站常规巡检以及定期设备维护，以有效地保证充电设施的在线率。</w:t>
      </w:r>
    </w:p>
    <w:p>
      <w:pPr>
        <w:pStyle w:val="125"/>
        <w:spacing w:before="156" w:after="156"/>
        <w:rPr>
          <w:highlight w:val="none"/>
        </w:rPr>
      </w:pPr>
      <w:r>
        <w:rPr>
          <w:rFonts w:hint="eastAsia"/>
          <w:highlight w:val="none"/>
        </w:rPr>
        <w:t>公共充电站的建设水平</w:t>
      </w:r>
    </w:p>
    <w:p>
      <w:pPr>
        <w:pStyle w:val="76"/>
        <w:ind w:firstLine="420"/>
        <w:rPr>
          <w:highlight w:val="none"/>
        </w:rPr>
      </w:pPr>
      <w:r>
        <w:rPr>
          <w:rFonts w:hint="eastAsia"/>
          <w:highlight w:val="none"/>
        </w:rPr>
        <w:t>在充电站建设方面，鼓励结合当地发展情况对充电站规模化建设。</w:t>
      </w:r>
    </w:p>
    <w:p>
      <w:pPr>
        <w:pStyle w:val="125"/>
        <w:spacing w:before="156" w:after="156"/>
        <w:rPr>
          <w:highlight w:val="none"/>
        </w:rPr>
      </w:pPr>
      <w:r>
        <w:rPr>
          <w:rFonts w:hint="eastAsia"/>
          <w:highlight w:val="none"/>
        </w:rPr>
        <w:t xml:space="preserve">公共充电站的必要设施 </w:t>
      </w:r>
    </w:p>
    <w:p>
      <w:pPr>
        <w:pStyle w:val="76"/>
        <w:ind w:firstLine="420"/>
        <w:rPr>
          <w:highlight w:val="none"/>
        </w:rPr>
      </w:pPr>
      <w:r>
        <w:rPr>
          <w:rFonts w:hint="eastAsia"/>
          <w:highlight w:val="none"/>
        </w:rPr>
        <w:t>公共充电站</w:t>
      </w:r>
      <w:r>
        <w:rPr>
          <w:rFonts w:hint="eastAsia"/>
          <w:highlight w:val="none"/>
          <w:lang w:val="en-US" w:eastAsia="zh-CN"/>
        </w:rPr>
        <w:t>应</w:t>
      </w:r>
      <w:r>
        <w:rPr>
          <w:rFonts w:hint="eastAsia"/>
          <w:highlight w:val="none"/>
        </w:rPr>
        <w:t xml:space="preserve">配备相应的设施，包括电力供应系统、充电设备、车位管理设施、监控系统、照明装置以及支付系统等，以全面覆盖充电过程中的各项需求，从而确保充电服务能够顺利进行，保障用户的安全，并提供便捷的使用体验。 </w:t>
      </w:r>
    </w:p>
    <w:p>
      <w:pPr>
        <w:pStyle w:val="125"/>
        <w:spacing w:before="156" w:after="156"/>
        <w:rPr>
          <w:highlight w:val="none"/>
        </w:rPr>
      </w:pPr>
      <w:r>
        <w:rPr>
          <w:rFonts w:hint="eastAsia"/>
          <w:highlight w:val="none"/>
        </w:rPr>
        <w:t xml:space="preserve">公共充电站的配套设施 </w:t>
      </w:r>
    </w:p>
    <w:p>
      <w:pPr>
        <w:pStyle w:val="76"/>
        <w:ind w:firstLine="420"/>
        <w:rPr>
          <w:highlight w:val="none"/>
        </w:rPr>
      </w:pPr>
      <w:r>
        <w:rPr>
          <w:rFonts w:hint="eastAsia"/>
          <w:highlight w:val="none"/>
        </w:rPr>
        <w:t>公共充电站</w:t>
      </w:r>
      <w:r>
        <w:rPr>
          <w:rFonts w:hint="eastAsia"/>
          <w:highlight w:val="none"/>
          <w:lang w:val="en-US" w:eastAsia="zh-CN"/>
        </w:rPr>
        <w:t>宜</w:t>
      </w:r>
      <w:r>
        <w:rPr>
          <w:rFonts w:hint="eastAsia"/>
          <w:highlight w:val="none"/>
        </w:rPr>
        <w:t>设置便于步行的休息室和餐饮等辅助设施，能够更好地满足多样化的用户需求。同时，充电站的电气设备、供电系统、监控设施以及土建工程等，须严格遵守国家和行业现行的电气安全、消防规范、排水处理、环境保护等相关法律法规和标准要求。</w:t>
      </w:r>
    </w:p>
    <w:p>
      <w:pPr>
        <w:pStyle w:val="125"/>
        <w:spacing w:before="156" w:after="156"/>
        <w:rPr>
          <w:highlight w:val="none"/>
        </w:rPr>
      </w:pPr>
      <w:r>
        <w:rPr>
          <w:rFonts w:hint="eastAsia"/>
          <w:highlight w:val="none"/>
        </w:rPr>
        <w:t xml:space="preserve">鼓励创新发展 </w:t>
      </w:r>
    </w:p>
    <w:p>
      <w:pPr>
        <w:pStyle w:val="76"/>
        <w:ind w:firstLine="420"/>
        <w:rPr>
          <w:highlight w:val="none"/>
        </w:rPr>
      </w:pPr>
      <w:r>
        <w:rPr>
          <w:rFonts w:hint="eastAsia"/>
          <w:highlight w:val="none"/>
        </w:rPr>
        <w:t>鼓励充电运营机构应用创新技术保障和提升公共充电站的充电能力，同时向绿色、节能、低碳方向发展。鼓励充电服务运营机构综合运用互联网、人工智能、大数据等技术开发充电站有序充电和计量性能在线监测能力。</w:t>
      </w:r>
    </w:p>
    <w:p>
      <w:pPr>
        <w:pStyle w:val="124"/>
        <w:spacing w:before="312" w:after="312"/>
        <w:rPr>
          <w:highlight w:val="none"/>
        </w:rPr>
      </w:pPr>
      <w:bookmarkStart w:id="44" w:name="_Toc28175"/>
      <w:r>
        <w:rPr>
          <w:rFonts w:hint="eastAsia"/>
          <w:highlight w:val="none"/>
        </w:rPr>
        <w:t>充电站建设运营服务管理要求</w:t>
      </w:r>
      <w:bookmarkEnd w:id="44"/>
    </w:p>
    <w:p>
      <w:pPr>
        <w:pStyle w:val="125"/>
        <w:spacing w:before="156" w:after="156"/>
        <w:rPr>
          <w:highlight w:val="none"/>
        </w:rPr>
      </w:pPr>
      <w:r>
        <w:rPr>
          <w:rFonts w:hint="eastAsia"/>
          <w:highlight w:val="none"/>
        </w:rPr>
        <w:t>基本要求</w:t>
      </w:r>
    </w:p>
    <w:p>
      <w:pPr>
        <w:pStyle w:val="185"/>
        <w:numPr>
          <w:ilvl w:val="3"/>
          <w:numId w:val="0"/>
        </w:numPr>
        <w:ind w:leftChars="0" w:firstLine="420" w:firstLineChars="0"/>
        <w:rPr>
          <w:highlight w:val="none"/>
        </w:rPr>
      </w:pPr>
      <w:r>
        <w:rPr>
          <w:rFonts w:hint="eastAsia"/>
          <w:highlight w:val="none"/>
          <w:lang w:val="en-US" w:eastAsia="zh-CN"/>
        </w:rPr>
        <w:t>充电服务运营机构所运营的充电站，接入省级监管平台后可参与</w:t>
      </w:r>
      <w:r>
        <w:rPr>
          <w:rFonts w:hint="eastAsia"/>
          <w:highlight w:val="none"/>
        </w:rPr>
        <w:t>公共充电站管理服务</w:t>
      </w:r>
      <w:r>
        <w:rPr>
          <w:rFonts w:hint="eastAsia"/>
          <w:highlight w:val="none"/>
          <w:lang w:val="en-US" w:eastAsia="zh-CN"/>
        </w:rPr>
        <w:t>评定。</w:t>
      </w:r>
    </w:p>
    <w:p>
      <w:pPr>
        <w:pStyle w:val="125"/>
        <w:spacing w:before="156" w:after="156"/>
        <w:rPr>
          <w:highlight w:val="none"/>
        </w:rPr>
      </w:pPr>
      <w:r>
        <w:rPr>
          <w:rFonts w:hint="eastAsia"/>
          <w:highlight w:val="none"/>
        </w:rPr>
        <w:t>充电设备要求</w:t>
      </w:r>
    </w:p>
    <w:p>
      <w:pPr>
        <w:pStyle w:val="185"/>
        <w:rPr>
          <w:highlight w:val="none"/>
        </w:rPr>
      </w:pPr>
      <w:r>
        <w:rPr>
          <w:rFonts w:hint="eastAsia"/>
          <w:highlight w:val="none"/>
        </w:rPr>
        <w:t>充电</w:t>
      </w:r>
      <w:r>
        <w:rPr>
          <w:rFonts w:hint="eastAsia"/>
          <w:highlight w:val="none"/>
          <w:lang w:val="en-US" w:eastAsia="zh-CN"/>
        </w:rPr>
        <w:t>设备</w:t>
      </w:r>
      <w:r>
        <w:rPr>
          <w:rFonts w:hint="eastAsia"/>
          <w:highlight w:val="none"/>
        </w:rPr>
        <w:t>应具有由检验检测机构资质认定（CMA）和中国合格评定国家认可委员会（CNAS）实验室认可资质的检测机构出具的型式试验报告。</w:t>
      </w:r>
    </w:p>
    <w:p>
      <w:pPr>
        <w:pStyle w:val="185"/>
        <w:rPr>
          <w:highlight w:val="none"/>
        </w:rPr>
      </w:pPr>
      <w:r>
        <w:rPr>
          <w:rFonts w:hint="eastAsia"/>
          <w:highlight w:val="none"/>
        </w:rPr>
        <w:t>充电设备应符合</w:t>
      </w:r>
      <w:r>
        <w:rPr>
          <w:rFonts w:hint="eastAsia"/>
          <w:highlight w:val="none"/>
          <w:lang w:val="en-US" w:eastAsia="zh-CN"/>
        </w:rPr>
        <w:t>现行的</w:t>
      </w:r>
      <w:r>
        <w:rPr>
          <w:rFonts w:hint="eastAsia"/>
          <w:highlight w:val="none"/>
        </w:rPr>
        <w:t>国家、行业和安徽省现行有关标准及规范的规定。充电设备须至少满足以下标准和规范要求：</w:t>
      </w:r>
    </w:p>
    <w:p>
      <w:pPr>
        <w:pStyle w:val="76"/>
        <w:rPr>
          <w:rFonts w:hint="eastAsia"/>
          <w:highlight w:val="none"/>
        </w:rPr>
      </w:pPr>
      <w:r>
        <w:rPr>
          <w:rFonts w:hint="eastAsia"/>
          <w:b/>
          <w:bCs/>
          <w:highlight w:val="none"/>
        </w:rPr>
        <w:t>交流充电桩：</w:t>
      </w:r>
      <w:r>
        <w:rPr>
          <w:rFonts w:hint="eastAsia"/>
          <w:highlight w:val="none"/>
        </w:rPr>
        <w:t xml:space="preserve"> </w:t>
      </w:r>
    </w:p>
    <w:p>
      <w:pPr>
        <w:pStyle w:val="76"/>
        <w:ind w:firstLine="420"/>
        <w:rPr>
          <w:rFonts w:hint="eastAsia"/>
          <w:highlight w:val="none"/>
        </w:rPr>
      </w:pPr>
      <w:r>
        <w:rPr>
          <w:rFonts w:hint="eastAsia"/>
          <w:highlight w:val="none"/>
        </w:rPr>
        <w:t>GB 39752 电动汽车供电设备安全要求</w:t>
      </w:r>
    </w:p>
    <w:p>
      <w:pPr>
        <w:pStyle w:val="76"/>
        <w:ind w:firstLine="420"/>
        <w:rPr>
          <w:rFonts w:hint="eastAsia"/>
          <w:highlight w:val="none"/>
        </w:rPr>
      </w:pPr>
      <w:r>
        <w:rPr>
          <w:rFonts w:hint="eastAsia"/>
          <w:highlight w:val="none"/>
        </w:rPr>
        <w:t>GB 44263 电动汽车传导充电系统安全要求</w:t>
      </w:r>
    </w:p>
    <w:p>
      <w:pPr>
        <w:pStyle w:val="76"/>
        <w:ind w:firstLine="420"/>
        <w:rPr>
          <w:highlight w:val="none"/>
        </w:rPr>
      </w:pPr>
      <w:r>
        <w:rPr>
          <w:rFonts w:hint="eastAsia"/>
          <w:highlight w:val="none"/>
        </w:rPr>
        <w:t>GB/T 18487.1 《电动汽车传导充电系统第1 部分通用要求》</w:t>
      </w:r>
    </w:p>
    <w:p>
      <w:pPr>
        <w:pStyle w:val="76"/>
        <w:ind w:firstLine="420"/>
        <w:rPr>
          <w:highlight w:val="none"/>
        </w:rPr>
      </w:pPr>
      <w:r>
        <w:rPr>
          <w:rFonts w:hint="eastAsia"/>
          <w:highlight w:val="none"/>
        </w:rPr>
        <w:t>GB/T 34657.1 《电动汽车传导充电互操作性测试规范第1 部分：供电设备》</w:t>
      </w:r>
    </w:p>
    <w:p>
      <w:pPr>
        <w:pStyle w:val="76"/>
        <w:ind w:firstLine="420"/>
        <w:rPr>
          <w:highlight w:val="none"/>
        </w:rPr>
      </w:pPr>
      <w:r>
        <w:rPr>
          <w:rFonts w:hint="eastAsia"/>
          <w:highlight w:val="none"/>
        </w:rPr>
        <w:t>NB/T 33002 《电动汽车交流充电桩技术条件》</w:t>
      </w:r>
    </w:p>
    <w:p>
      <w:pPr>
        <w:pStyle w:val="76"/>
        <w:ind w:firstLine="420"/>
        <w:rPr>
          <w:rFonts w:hint="eastAsia"/>
          <w:highlight w:val="none"/>
        </w:rPr>
      </w:pPr>
      <w:r>
        <w:rPr>
          <w:rFonts w:hint="eastAsia"/>
          <w:highlight w:val="none"/>
        </w:rPr>
        <w:t>NB/T 33008.2 《电动汽车充电设备检验试验规范第1部分:交流充电桩》</w:t>
      </w:r>
    </w:p>
    <w:p>
      <w:pPr>
        <w:pStyle w:val="76"/>
        <w:rPr>
          <w:rFonts w:hint="eastAsia"/>
          <w:highlight w:val="none"/>
        </w:rPr>
      </w:pPr>
      <w:r>
        <w:rPr>
          <w:rFonts w:hint="eastAsia"/>
          <w:highlight w:val="none"/>
        </w:rPr>
        <w:t>JJG 1148《电动汽车交流充电桩</w:t>
      </w:r>
      <w:r>
        <w:rPr>
          <w:rFonts w:hint="eastAsia"/>
          <w:highlight w:val="none"/>
          <w:lang w:val="en-US" w:eastAsia="zh-CN"/>
        </w:rPr>
        <w:t>检定规程</w:t>
      </w:r>
      <w:r>
        <w:rPr>
          <w:rFonts w:hint="eastAsia"/>
          <w:highlight w:val="none"/>
        </w:rPr>
        <w:t>》或JJG （皖） 138 《电动汽车充电设施在线远程</w:t>
      </w:r>
      <w:r>
        <w:rPr>
          <w:rFonts w:hint="eastAsia"/>
          <w:highlight w:val="none"/>
          <w:lang w:val="en-US" w:eastAsia="zh-CN"/>
        </w:rPr>
        <w:t>检定规程</w:t>
      </w:r>
      <w:r>
        <w:rPr>
          <w:rFonts w:hint="eastAsia"/>
          <w:highlight w:val="none"/>
        </w:rPr>
        <w:t>》</w:t>
      </w:r>
    </w:p>
    <w:p>
      <w:pPr>
        <w:pStyle w:val="76"/>
        <w:rPr>
          <w:rFonts w:hint="eastAsia"/>
          <w:highlight w:val="none"/>
        </w:rPr>
      </w:pPr>
      <w:r>
        <w:rPr>
          <w:rFonts w:hint="eastAsia"/>
          <w:b/>
          <w:bCs/>
          <w:highlight w:val="none"/>
        </w:rPr>
        <w:t>非车载充电机：</w:t>
      </w:r>
      <w:r>
        <w:rPr>
          <w:rFonts w:hint="eastAsia"/>
          <w:highlight w:val="none"/>
        </w:rPr>
        <w:t xml:space="preserve"> </w:t>
      </w:r>
    </w:p>
    <w:p>
      <w:pPr>
        <w:pStyle w:val="76"/>
        <w:ind w:firstLine="420"/>
        <w:rPr>
          <w:rFonts w:hint="eastAsia"/>
          <w:highlight w:val="none"/>
        </w:rPr>
      </w:pPr>
      <w:r>
        <w:rPr>
          <w:rFonts w:hint="eastAsia"/>
          <w:highlight w:val="none"/>
        </w:rPr>
        <w:t>GB 39752 电动汽车供电设备安全要求</w:t>
      </w:r>
    </w:p>
    <w:p>
      <w:pPr>
        <w:pStyle w:val="76"/>
        <w:ind w:firstLine="420"/>
        <w:rPr>
          <w:rFonts w:hint="eastAsia"/>
          <w:highlight w:val="none"/>
        </w:rPr>
      </w:pPr>
      <w:r>
        <w:rPr>
          <w:rFonts w:hint="eastAsia"/>
          <w:highlight w:val="none"/>
        </w:rPr>
        <w:t>GB 44263 电动汽车传导充电系统安全要求</w:t>
      </w:r>
    </w:p>
    <w:p>
      <w:pPr>
        <w:pStyle w:val="76"/>
        <w:ind w:firstLine="420"/>
        <w:rPr>
          <w:rFonts w:hint="eastAsia"/>
          <w:highlight w:val="none"/>
        </w:rPr>
      </w:pPr>
      <w:r>
        <w:rPr>
          <w:rFonts w:hint="eastAsia"/>
          <w:highlight w:val="none"/>
        </w:rPr>
        <w:t xml:space="preserve">GB/T 18487.1 《电动汽车传导充电系统 第1部分 通用要求》 </w:t>
      </w:r>
    </w:p>
    <w:p>
      <w:pPr>
        <w:pStyle w:val="76"/>
        <w:ind w:firstLine="420"/>
        <w:rPr>
          <w:rFonts w:hint="eastAsia"/>
          <w:highlight w:val="none"/>
        </w:rPr>
      </w:pPr>
      <w:r>
        <w:rPr>
          <w:rFonts w:hint="eastAsia"/>
          <w:highlight w:val="none"/>
        </w:rPr>
        <w:t xml:space="preserve">GB/T 27930 《电动汽车非车载充电机与电池管理系统之间的通信协议》 </w:t>
      </w:r>
    </w:p>
    <w:p>
      <w:pPr>
        <w:pStyle w:val="76"/>
        <w:ind w:firstLine="420"/>
        <w:rPr>
          <w:rFonts w:hint="eastAsia"/>
          <w:highlight w:val="none"/>
        </w:rPr>
      </w:pPr>
      <w:r>
        <w:rPr>
          <w:rFonts w:hint="eastAsia"/>
          <w:highlight w:val="none"/>
        </w:rPr>
        <w:t xml:space="preserve">GB/T 34657.1 《电动汽车传导充电互操作性测试规范 第1部分：供电设备》 </w:t>
      </w:r>
    </w:p>
    <w:p>
      <w:pPr>
        <w:pStyle w:val="76"/>
        <w:ind w:firstLine="420"/>
        <w:rPr>
          <w:rFonts w:hint="eastAsia"/>
          <w:highlight w:val="none"/>
        </w:rPr>
      </w:pPr>
      <w:r>
        <w:rPr>
          <w:rFonts w:hint="eastAsia"/>
          <w:highlight w:val="none"/>
        </w:rPr>
        <w:t xml:space="preserve">GB/T 34658 《电动汽车非车载传导式充电机与电池管理系统之间的通信协议一致性测试》 </w:t>
      </w:r>
    </w:p>
    <w:p>
      <w:pPr>
        <w:pStyle w:val="76"/>
        <w:ind w:firstLine="420"/>
        <w:rPr>
          <w:rFonts w:hint="eastAsia"/>
          <w:highlight w:val="none"/>
        </w:rPr>
      </w:pPr>
      <w:r>
        <w:rPr>
          <w:rFonts w:hint="eastAsia"/>
          <w:highlight w:val="none"/>
        </w:rPr>
        <w:t xml:space="preserve">NB/T 33001 《电动汽车非车载传导式充电机技术条件》 </w:t>
      </w:r>
    </w:p>
    <w:p>
      <w:pPr>
        <w:pStyle w:val="76"/>
        <w:ind w:firstLine="420"/>
        <w:rPr>
          <w:rFonts w:hint="eastAsia"/>
          <w:highlight w:val="none"/>
        </w:rPr>
      </w:pPr>
      <w:r>
        <w:rPr>
          <w:rFonts w:hint="eastAsia"/>
          <w:highlight w:val="none"/>
        </w:rPr>
        <w:t xml:space="preserve">NB/T 33008.1 《电动汽车充电设备检验试验规范第1部分:非车载充电机》 </w:t>
      </w:r>
    </w:p>
    <w:p>
      <w:pPr>
        <w:pStyle w:val="76"/>
        <w:ind w:firstLine="420"/>
        <w:rPr>
          <w:rFonts w:hint="eastAsia"/>
          <w:highlight w:val="none"/>
        </w:rPr>
      </w:pPr>
      <w:r>
        <w:rPr>
          <w:rFonts w:hint="eastAsia"/>
          <w:highlight w:val="none"/>
        </w:rPr>
        <w:t>JJG 1149《电动汽车非车载充电机</w:t>
      </w:r>
      <w:r>
        <w:rPr>
          <w:rFonts w:hint="eastAsia"/>
          <w:highlight w:val="none"/>
          <w:lang w:val="en-US" w:eastAsia="zh-CN"/>
        </w:rPr>
        <w:t>检定规程</w:t>
      </w:r>
      <w:r>
        <w:rPr>
          <w:rFonts w:hint="eastAsia"/>
          <w:highlight w:val="none"/>
        </w:rPr>
        <w:t>》或JJG （皖） 138 《电动汽车充电设施在线远程</w:t>
      </w:r>
      <w:r>
        <w:rPr>
          <w:rFonts w:hint="eastAsia"/>
          <w:highlight w:val="none"/>
          <w:lang w:val="en-US" w:eastAsia="zh-CN"/>
        </w:rPr>
        <w:t>检定规程</w:t>
      </w:r>
      <w:r>
        <w:rPr>
          <w:rFonts w:hint="eastAsia"/>
          <w:highlight w:val="none"/>
        </w:rPr>
        <w:t>》</w:t>
      </w:r>
    </w:p>
    <w:p>
      <w:pPr>
        <w:pStyle w:val="185"/>
        <w:rPr>
          <w:highlight w:val="none"/>
        </w:rPr>
      </w:pPr>
      <w:r>
        <w:rPr>
          <w:rFonts w:hint="eastAsia"/>
          <w:highlight w:val="none"/>
        </w:rPr>
        <w:t>充电服务运营机构</w:t>
      </w:r>
      <w:r>
        <w:rPr>
          <w:rFonts w:hint="eastAsia"/>
          <w:highlight w:val="none"/>
          <w:lang w:val="en-US" w:eastAsia="zh-CN"/>
        </w:rPr>
        <w:t>应</w:t>
      </w:r>
      <w:r>
        <w:rPr>
          <w:rFonts w:hint="eastAsia"/>
          <w:highlight w:val="none"/>
        </w:rPr>
        <w:t>采取多样化的管控措施，包括但不限于通过合格证验收和到货验收等方式，以确保公共充电站中实际安装的充电设备与经第三方型式测试合格的样品保持一致，以及确保设备在型号、规格、外观、内部关键电气结构以及核心零部件（如线缆、充电模块等）等方面的一致性。</w:t>
      </w:r>
    </w:p>
    <w:p>
      <w:pPr>
        <w:pStyle w:val="125"/>
        <w:spacing w:before="156" w:after="156"/>
        <w:rPr>
          <w:highlight w:val="none"/>
        </w:rPr>
      </w:pPr>
      <w:r>
        <w:rPr>
          <w:rFonts w:hint="eastAsia"/>
          <w:highlight w:val="none"/>
        </w:rPr>
        <w:t>充电站建设要求</w:t>
      </w:r>
    </w:p>
    <w:p>
      <w:pPr>
        <w:pStyle w:val="185"/>
        <w:rPr>
          <w:highlight w:val="none"/>
        </w:rPr>
      </w:pPr>
      <w:r>
        <w:rPr>
          <w:rFonts w:hint="eastAsia"/>
          <w:highlight w:val="none"/>
        </w:rPr>
        <w:t>充电站的建设投资，</w:t>
      </w:r>
      <w:r>
        <w:rPr>
          <w:rFonts w:hint="eastAsia"/>
          <w:highlight w:val="none"/>
          <w:lang w:val="en-US" w:eastAsia="zh-CN"/>
        </w:rPr>
        <w:t>应</w:t>
      </w:r>
      <w:r>
        <w:rPr>
          <w:rFonts w:hint="eastAsia"/>
          <w:highlight w:val="none"/>
        </w:rPr>
        <w:t>按照相关规定，向所在地的市（县、区）主管部门提交项目备案申请，以确保合规性。</w:t>
      </w:r>
    </w:p>
    <w:p>
      <w:pPr>
        <w:pStyle w:val="185"/>
        <w:rPr>
          <w:highlight w:val="none"/>
        </w:rPr>
      </w:pPr>
      <w:r>
        <w:rPr>
          <w:rFonts w:hint="eastAsia"/>
          <w:highlight w:val="none"/>
        </w:rPr>
        <w:t>充电站及其配套电网的建设，</w:t>
      </w:r>
      <w:r>
        <w:rPr>
          <w:rFonts w:hint="eastAsia"/>
          <w:highlight w:val="none"/>
          <w:lang w:val="en-US" w:eastAsia="zh-CN"/>
        </w:rPr>
        <w:t>应</w:t>
      </w:r>
      <w:r>
        <w:rPr>
          <w:rFonts w:hint="eastAsia"/>
          <w:highlight w:val="none"/>
        </w:rPr>
        <w:t>严格遵循国家、行业及省级的技术标准、设计规范和管理要求，需满足以下国标及行标：</w:t>
      </w:r>
    </w:p>
    <w:p>
      <w:pPr>
        <w:pStyle w:val="76"/>
        <w:ind w:firstLine="420"/>
        <w:rPr>
          <w:rFonts w:hint="eastAsia"/>
          <w:highlight w:val="none"/>
        </w:rPr>
      </w:pPr>
      <w:r>
        <w:rPr>
          <w:rFonts w:hint="eastAsia"/>
          <w:highlight w:val="none"/>
        </w:rPr>
        <w:t>GB 50966《电动汽车充电站设计规范》</w:t>
      </w:r>
    </w:p>
    <w:p>
      <w:pPr>
        <w:pStyle w:val="76"/>
        <w:ind w:firstLine="420"/>
        <w:rPr>
          <w:highlight w:val="none"/>
        </w:rPr>
      </w:pPr>
      <w:r>
        <w:rPr>
          <w:highlight w:val="none"/>
        </w:rPr>
        <w:t>NB/T 33009《电动汽车充换电设施建设技术导则》</w:t>
      </w:r>
    </w:p>
    <w:p>
      <w:pPr>
        <w:pStyle w:val="76"/>
        <w:ind w:firstLine="420"/>
        <w:rPr>
          <w:highlight w:val="none"/>
        </w:rPr>
      </w:pPr>
      <w:r>
        <w:rPr>
          <w:highlight w:val="none"/>
        </w:rPr>
        <w:t>NB/T 33018《电动汽车充换电设施供电系统技术规范》</w:t>
      </w:r>
    </w:p>
    <w:p>
      <w:pPr>
        <w:pStyle w:val="185"/>
        <w:rPr>
          <w:highlight w:val="none"/>
        </w:rPr>
      </w:pPr>
      <w:r>
        <w:rPr>
          <w:rFonts w:hint="eastAsia"/>
          <w:highlight w:val="none"/>
        </w:rPr>
        <w:t>充电站的硬件设施、环境建设以及标志标识等</w:t>
      </w:r>
      <w:r>
        <w:rPr>
          <w:rFonts w:hint="eastAsia"/>
          <w:highlight w:val="none"/>
          <w:lang w:val="en-US" w:eastAsia="zh-CN"/>
        </w:rPr>
        <w:t>应</w:t>
      </w:r>
      <w:r>
        <w:rPr>
          <w:rFonts w:hint="eastAsia"/>
          <w:highlight w:val="none"/>
        </w:rPr>
        <w:t>严格遵循GB/T 29781和DB</w:t>
      </w:r>
      <w:r>
        <w:rPr>
          <w:rFonts w:hint="eastAsia"/>
          <w:highlight w:val="none"/>
          <w:lang w:val="en-US" w:eastAsia="zh-CN"/>
        </w:rPr>
        <w:t xml:space="preserve"> </w:t>
      </w:r>
      <w:r>
        <w:rPr>
          <w:rFonts w:hint="eastAsia"/>
          <w:highlight w:val="none"/>
        </w:rPr>
        <w:t>34/T 5075所规定的技术要求，以确保其符合行业标准和地方规范。</w:t>
      </w:r>
    </w:p>
    <w:p>
      <w:pPr>
        <w:pStyle w:val="185"/>
        <w:rPr>
          <w:highlight w:val="none"/>
        </w:rPr>
      </w:pPr>
      <w:r>
        <w:rPr>
          <w:highlight w:val="none"/>
        </w:rPr>
        <w:t>充电站及其配套电网的建设</w:t>
      </w:r>
      <w:r>
        <w:rPr>
          <w:rFonts w:hint="eastAsia"/>
          <w:highlight w:val="none"/>
        </w:rPr>
        <w:t>以及</w:t>
      </w:r>
      <w:r>
        <w:rPr>
          <w:highlight w:val="none"/>
        </w:rPr>
        <w:t>工作，应由具备相应级别电力设施承装（修）资质的专业施工单位来承担</w:t>
      </w:r>
      <w:r>
        <w:rPr>
          <w:rFonts w:hint="eastAsia"/>
          <w:highlight w:val="none"/>
        </w:rPr>
        <w:t>，按照工程设计图纸和施工技术标准施工。</w:t>
      </w:r>
    </w:p>
    <w:p>
      <w:pPr>
        <w:pStyle w:val="185"/>
        <w:rPr>
          <w:highlight w:val="none"/>
        </w:rPr>
      </w:pPr>
      <w:r>
        <w:rPr>
          <w:rFonts w:hint="eastAsia"/>
          <w:highlight w:val="none"/>
        </w:rPr>
        <w:t>充电站竣工验收由项目建设管理单位应按照以下标准进行验收：</w:t>
      </w:r>
    </w:p>
    <w:p>
      <w:pPr>
        <w:pStyle w:val="76"/>
        <w:ind w:firstLine="420"/>
        <w:rPr>
          <w:highlight w:val="none"/>
        </w:rPr>
      </w:pPr>
      <w:r>
        <w:rPr>
          <w:highlight w:val="none"/>
        </w:rPr>
        <w:t>NB/T 33004《电动汽车充换电设施工程施工和竣工验收规范》</w:t>
      </w:r>
    </w:p>
    <w:p>
      <w:pPr>
        <w:pStyle w:val="76"/>
        <w:ind w:firstLine="420"/>
        <w:rPr>
          <w:highlight w:val="none"/>
        </w:rPr>
      </w:pPr>
      <w:r>
        <w:rPr>
          <w:highlight w:val="none"/>
        </w:rPr>
        <w:t>NB/T 10901《电动汽车充电设备现场验收技术规范》</w:t>
      </w:r>
    </w:p>
    <w:p>
      <w:pPr>
        <w:pStyle w:val="185"/>
        <w:rPr>
          <w:highlight w:val="none"/>
        </w:rPr>
      </w:pPr>
      <w:r>
        <w:rPr>
          <w:rFonts w:hint="eastAsia"/>
          <w:highlight w:val="none"/>
        </w:rPr>
        <w:t>充电站宜遵守电网调度指令，参与削峰填谷。鼓励充电服务运营机构综合运用互联网、人工智能、大数据等技术开发充电站有序充电能力。</w:t>
      </w:r>
    </w:p>
    <w:p>
      <w:pPr>
        <w:pStyle w:val="125"/>
        <w:spacing w:before="156" w:after="156"/>
        <w:rPr>
          <w:highlight w:val="none"/>
        </w:rPr>
      </w:pPr>
      <w:r>
        <w:rPr>
          <w:rFonts w:hint="eastAsia"/>
          <w:highlight w:val="none"/>
        </w:rPr>
        <w:t>充电站运营要求</w:t>
      </w:r>
    </w:p>
    <w:p>
      <w:pPr>
        <w:pStyle w:val="185"/>
        <w:rPr>
          <w:highlight w:val="none"/>
        </w:rPr>
      </w:pPr>
      <w:r>
        <w:rPr>
          <w:rFonts w:hint="eastAsia"/>
          <w:highlight w:val="none"/>
        </w:rPr>
        <w:t>充电服务运营机构</w:t>
      </w:r>
      <w:r>
        <w:rPr>
          <w:rFonts w:hint="eastAsia"/>
          <w:highlight w:val="none"/>
          <w:lang w:val="en-US" w:eastAsia="zh-CN"/>
        </w:rPr>
        <w:t>应</w:t>
      </w:r>
      <w:r>
        <w:rPr>
          <w:rFonts w:hint="eastAsia"/>
          <w:highlight w:val="none"/>
        </w:rPr>
        <w:t>经市场监督管理部门登记注册。</w:t>
      </w:r>
    </w:p>
    <w:p>
      <w:pPr>
        <w:pStyle w:val="185"/>
        <w:rPr>
          <w:highlight w:val="none"/>
        </w:rPr>
      </w:pPr>
      <w:r>
        <w:rPr>
          <w:rFonts w:hint="eastAsia"/>
          <w:highlight w:val="none"/>
        </w:rPr>
        <w:t>充电服务运营机构</w:t>
      </w:r>
      <w:r>
        <w:rPr>
          <w:rFonts w:hint="eastAsia"/>
          <w:highlight w:val="none"/>
          <w:lang w:val="en-US" w:eastAsia="zh-CN"/>
        </w:rPr>
        <w:t>应</w:t>
      </w:r>
      <w:r>
        <w:rPr>
          <w:rFonts w:hint="eastAsia"/>
          <w:highlight w:val="none"/>
        </w:rPr>
        <w:t>持有完备的证照，严禁出现无证无照的经营行为。</w:t>
      </w:r>
    </w:p>
    <w:p>
      <w:pPr>
        <w:pStyle w:val="185"/>
        <w:rPr>
          <w:highlight w:val="none"/>
        </w:rPr>
      </w:pPr>
      <w:r>
        <w:rPr>
          <w:rFonts w:hint="eastAsia"/>
          <w:highlight w:val="none"/>
        </w:rPr>
        <w:t>充电服务运营机构应建立健全切实可行的运营管理体系，并严格执行安全与应急管理制度，确保日常运营的顺利进行及应对突发情况的能力。</w:t>
      </w:r>
    </w:p>
    <w:p>
      <w:pPr>
        <w:pStyle w:val="185"/>
        <w:rPr>
          <w:highlight w:val="none"/>
        </w:rPr>
      </w:pPr>
      <w:r>
        <w:rPr>
          <w:rFonts w:hint="eastAsia"/>
          <w:highlight w:val="none"/>
        </w:rPr>
        <w:t>充电服务运营机构应具备充电基础设施建设运营质量保证能力，并建立充电基础设施建设运营质量保证体系</w:t>
      </w:r>
      <w:r>
        <w:rPr>
          <w:rFonts w:hint="eastAsia"/>
          <w:highlight w:val="none"/>
          <w:lang w:eastAsia="zh-CN"/>
        </w:rPr>
        <w:t>。</w:t>
      </w:r>
    </w:p>
    <w:p>
      <w:pPr>
        <w:pStyle w:val="185"/>
        <w:rPr>
          <w:highlight w:val="none"/>
        </w:rPr>
      </w:pPr>
      <w:r>
        <w:rPr>
          <w:rFonts w:hint="eastAsia"/>
          <w:highlight w:val="none"/>
        </w:rPr>
        <w:t>充电服务运营机构应履行建设运营安全主体责任，建立安全职责制度，明确安全责任人。建立完善的安全管理体系，公共充换电站的电气设备、供电系统、监控设施以及土建工程等，需严格遵守国家和行业现行的电气安全、消防规范、排水处理、环境保护等相关法律法规和标准要求，确保公共充换电站具备安全可靠的服务能力。具备突发事件应对能力，最大限度减轻可能产生的损失。</w:t>
      </w:r>
    </w:p>
    <w:p>
      <w:pPr>
        <w:pStyle w:val="185"/>
        <w:rPr>
          <w:highlight w:val="none"/>
        </w:rPr>
      </w:pPr>
      <w:r>
        <w:rPr>
          <w:rFonts w:hint="eastAsia"/>
          <w:highlight w:val="none"/>
        </w:rPr>
        <w:t>充电服务运营机构需为本机构运营的充电站购买安全责任保险，鼓励购买财产险、产品责任险、火灾险等险种，保护消费者权益。</w:t>
      </w:r>
    </w:p>
    <w:p>
      <w:pPr>
        <w:pStyle w:val="185"/>
        <w:rPr>
          <w:highlight w:val="none"/>
        </w:rPr>
      </w:pPr>
      <w:r>
        <w:rPr>
          <w:rFonts w:hint="eastAsia"/>
          <w:highlight w:val="none"/>
        </w:rPr>
        <w:t>充电服务运营机构</w:t>
      </w:r>
      <w:r>
        <w:rPr>
          <w:rFonts w:hint="eastAsia"/>
          <w:highlight w:val="none"/>
          <w:lang w:val="en-US" w:eastAsia="zh-CN"/>
        </w:rPr>
        <w:t>应</w:t>
      </w:r>
      <w:r>
        <w:rPr>
          <w:rFonts w:hint="eastAsia"/>
          <w:highlight w:val="none"/>
        </w:rPr>
        <w:t>及时</w:t>
      </w:r>
      <w:r>
        <w:rPr>
          <w:rFonts w:hint="eastAsia"/>
          <w:highlight w:val="none"/>
          <w:lang w:val="en-US" w:eastAsia="zh-CN"/>
        </w:rPr>
        <w:t>处理</w:t>
      </w:r>
      <w:r>
        <w:rPr>
          <w:highlight w:val="none"/>
        </w:rPr>
        <w:t>充电基础设施的故障，以及用户的咨询和投诉。同时，应积极开展清查治理工作，针对长期损坏且未修复、无法正常使用的充电设施进行整改，确保设备的在线率和可用性。</w:t>
      </w:r>
    </w:p>
    <w:p>
      <w:pPr>
        <w:pStyle w:val="125"/>
        <w:spacing w:before="156" w:after="156"/>
        <w:rPr>
          <w:highlight w:val="none"/>
        </w:rPr>
      </w:pPr>
      <w:r>
        <w:rPr>
          <w:rFonts w:hint="eastAsia"/>
          <w:highlight w:val="none"/>
        </w:rPr>
        <w:t>充电站信息化要求</w:t>
      </w:r>
    </w:p>
    <w:p>
      <w:pPr>
        <w:pStyle w:val="185"/>
        <w:rPr>
          <w:highlight w:val="none"/>
        </w:rPr>
      </w:pPr>
      <w:r>
        <w:rPr>
          <w:rFonts w:hint="eastAsia"/>
          <w:highlight w:val="none"/>
        </w:rPr>
        <w:t>充电服务运营机构应建立充电基础设施运营管理系统（以下简称：管理系统）。</w:t>
      </w:r>
    </w:p>
    <w:p>
      <w:pPr>
        <w:pStyle w:val="185"/>
        <w:rPr>
          <w:highlight w:val="none"/>
        </w:rPr>
      </w:pPr>
      <w:r>
        <w:rPr>
          <w:rFonts w:hint="eastAsia"/>
          <w:highlight w:val="none"/>
        </w:rPr>
        <w:t>管理系统应对其运营的充电设施进行有效管理和监控，系统应能够对运营数据进行安全监测，采集和存储，运营数据保存期限不低于3年。</w:t>
      </w:r>
    </w:p>
    <w:p>
      <w:pPr>
        <w:pStyle w:val="185"/>
        <w:rPr>
          <w:highlight w:val="none"/>
        </w:rPr>
      </w:pPr>
      <w:r>
        <w:rPr>
          <w:rFonts w:hint="eastAsia"/>
          <w:highlight w:val="none"/>
        </w:rPr>
        <w:t>管理系统应包含充电设施的运行状态、供电系统的运行状态，以及充电过程的具体数据（如充电开始和结束的时间、充电次数的累计、充电电量的总量等）等重要信息。</w:t>
      </w:r>
    </w:p>
    <w:p>
      <w:pPr>
        <w:pStyle w:val="185"/>
        <w:rPr>
          <w:highlight w:val="none"/>
        </w:rPr>
      </w:pPr>
      <w:r>
        <w:rPr>
          <w:rFonts w:hint="eastAsia"/>
          <w:highlight w:val="none"/>
        </w:rPr>
        <w:t>管理系统</w:t>
      </w:r>
      <w:r>
        <w:rPr>
          <w:rFonts w:hint="eastAsia"/>
          <w:highlight w:val="none"/>
          <w:lang w:val="en-US" w:eastAsia="zh-CN"/>
        </w:rPr>
        <w:t>应</w:t>
      </w:r>
      <w:r>
        <w:rPr>
          <w:rFonts w:hint="eastAsia"/>
          <w:highlight w:val="none"/>
        </w:rPr>
        <w:t>支持智能地锁等占位管理功能。</w:t>
      </w:r>
    </w:p>
    <w:p>
      <w:pPr>
        <w:pStyle w:val="185"/>
        <w:rPr>
          <w:highlight w:val="none"/>
        </w:rPr>
      </w:pPr>
      <w:r>
        <w:rPr>
          <w:rFonts w:hint="eastAsia"/>
          <w:highlight w:val="none"/>
        </w:rPr>
        <w:t>管理系统应具备数据输出功能和数据输出接口，并将充电基础设施建设和运营等有关数据接入省级平台，实现数据互联互通</w:t>
      </w:r>
      <w:r>
        <w:rPr>
          <w:rFonts w:hint="eastAsia"/>
          <w:highlight w:val="none"/>
          <w:lang w:eastAsia="zh-CN"/>
        </w:rPr>
        <w:t>。</w:t>
      </w:r>
    </w:p>
    <w:p>
      <w:pPr>
        <w:pStyle w:val="185"/>
        <w:rPr>
          <w:highlight w:val="none"/>
        </w:rPr>
      </w:pPr>
      <w:r>
        <w:rPr>
          <w:rFonts w:hint="eastAsia"/>
          <w:highlight w:val="none"/>
        </w:rPr>
        <w:t>管理系统应当具备防盗、防火、防人为事故的预防及报警功能。</w:t>
      </w:r>
    </w:p>
    <w:p>
      <w:pPr>
        <w:pStyle w:val="185"/>
        <w:rPr>
          <w:highlight w:val="none"/>
        </w:rPr>
      </w:pPr>
      <w:r>
        <w:rPr>
          <w:highlight w:val="none"/>
        </w:rPr>
        <w:t>充电站在网关安全、信息传输及通讯网络接入等方面，</w:t>
      </w:r>
      <w:r>
        <w:rPr>
          <w:rFonts w:hint="eastAsia"/>
          <w:highlight w:val="none"/>
          <w:lang w:val="en-US" w:eastAsia="zh-CN"/>
        </w:rPr>
        <w:t>应</w:t>
      </w:r>
      <w:r>
        <w:rPr>
          <w:highlight w:val="none"/>
        </w:rPr>
        <w:t>遵守GB/T 37024、GB/T 37025和GB/T 37093的相关规定，确保网络安全、数据传输的稳定性和通讯接入的合规性。</w:t>
      </w:r>
    </w:p>
    <w:p>
      <w:pPr>
        <w:pStyle w:val="185"/>
        <w:rPr>
          <w:highlight w:val="none"/>
        </w:rPr>
      </w:pPr>
      <w:r>
        <w:rPr>
          <w:highlight w:val="none"/>
        </w:rPr>
        <w:t>充电站应严格按照GB/T 35273的标准来规范采集和保存客户个人信息，并采取必要措施保护这些信息的安全。未经客户授权，任何第三方都不得擅自访问或使用这些个人信息。</w:t>
      </w:r>
    </w:p>
    <w:p>
      <w:pPr>
        <w:pStyle w:val="125"/>
        <w:spacing w:before="156" w:after="156"/>
        <w:rPr>
          <w:highlight w:val="none"/>
        </w:rPr>
      </w:pPr>
      <w:r>
        <w:rPr>
          <w:rFonts w:hint="eastAsia"/>
          <w:highlight w:val="none"/>
        </w:rPr>
        <w:t>充电站服务管理要求</w:t>
      </w:r>
    </w:p>
    <w:p>
      <w:pPr>
        <w:pStyle w:val="185"/>
        <w:rPr>
          <w:highlight w:val="none"/>
        </w:rPr>
      </w:pPr>
      <w:r>
        <w:rPr>
          <w:rFonts w:hint="eastAsia"/>
          <w:highlight w:val="none"/>
        </w:rPr>
        <w:t>充电服务运营机构应建立用户反馈机制。</w:t>
      </w:r>
    </w:p>
    <w:p>
      <w:pPr>
        <w:pStyle w:val="185"/>
        <w:rPr>
          <w:highlight w:val="none"/>
        </w:rPr>
      </w:pPr>
      <w:r>
        <w:rPr>
          <w:rFonts w:hint="eastAsia"/>
          <w:highlight w:val="none"/>
        </w:rPr>
        <w:t>公开设立投诉电话、邮箱、网站、意见箱以及来访接待等多元化的纠纷投诉渠道。</w:t>
      </w:r>
    </w:p>
    <w:p>
      <w:pPr>
        <w:pStyle w:val="185"/>
        <w:rPr>
          <w:highlight w:val="none"/>
        </w:rPr>
      </w:pPr>
      <w:r>
        <w:rPr>
          <w:rFonts w:hint="eastAsia"/>
          <w:highlight w:val="none"/>
        </w:rPr>
        <w:t>应确保对通过公开投诉电话、邮箱、网站、意见箱以及来访等渠道收到的投诉，在规定的时效内及时进行处理和回应，以保障用户的权益和满意度。</w:t>
      </w:r>
    </w:p>
    <w:p>
      <w:pPr>
        <w:pStyle w:val="185"/>
        <w:rPr>
          <w:highlight w:val="none"/>
        </w:rPr>
      </w:pPr>
      <w:r>
        <w:rPr>
          <w:rFonts w:hint="eastAsia"/>
          <w:highlight w:val="none"/>
        </w:rPr>
        <w:t>应构建完善的投诉处理管理体系，明确制定投诉处理的具体步骤，确保投诉的处理结果能得到妥善反馈，并保存投诉的相关记录。</w:t>
      </w:r>
    </w:p>
    <w:p>
      <w:pPr>
        <w:pStyle w:val="185"/>
        <w:rPr>
          <w:highlight w:val="none"/>
        </w:rPr>
      </w:pPr>
      <w:r>
        <w:rPr>
          <w:rFonts w:hint="eastAsia"/>
          <w:highlight w:val="none"/>
        </w:rPr>
        <w:t>充电站管理应确保设施在有效期内正常运行，外观及功能完善，安全防范措施到位，场地标识清晰，照明及消防设备完好，运行和安全管理制度明确，并设置服务电话和紧急联系人，对于无人值守的自助充电站点，需明确标识操作顺序与安全禁忌，以确保用户的安全和便利。</w:t>
      </w:r>
    </w:p>
    <w:p>
      <w:pPr>
        <w:pStyle w:val="185"/>
        <w:rPr>
          <w:highlight w:val="none"/>
        </w:rPr>
      </w:pPr>
      <w:r>
        <w:rPr>
          <w:rFonts w:hint="eastAsia"/>
          <w:highlight w:val="none"/>
        </w:rPr>
        <w:t>充电服务运营机构应积极完善充电站配套设施，如休息室、餐厅、站内卫生间和露天雨棚等附属设施。</w:t>
      </w:r>
    </w:p>
    <w:p>
      <w:pPr>
        <w:pStyle w:val="124"/>
        <w:spacing w:before="312" w:after="312"/>
        <w:rPr>
          <w:highlight w:val="none"/>
        </w:rPr>
      </w:pPr>
      <w:bookmarkStart w:id="45" w:name="_Toc7408"/>
      <w:r>
        <w:rPr>
          <w:rFonts w:hint="eastAsia"/>
          <w:highlight w:val="none"/>
        </w:rPr>
        <w:t>评价方法</w:t>
      </w:r>
      <w:bookmarkEnd w:id="45"/>
    </w:p>
    <w:p>
      <w:pPr>
        <w:pStyle w:val="125"/>
        <w:spacing w:before="156" w:after="156"/>
        <w:rPr>
          <w:highlight w:val="none"/>
        </w:rPr>
      </w:pPr>
      <w:r>
        <w:rPr>
          <w:rFonts w:hint="eastAsia"/>
          <w:highlight w:val="none"/>
        </w:rPr>
        <w:t>评价指标内容</w:t>
      </w:r>
    </w:p>
    <w:p>
      <w:pPr>
        <w:pStyle w:val="76"/>
        <w:ind w:firstLine="420"/>
        <w:rPr>
          <w:highlight w:val="none"/>
        </w:rPr>
      </w:pPr>
      <w:r>
        <w:rPr>
          <w:rFonts w:hint="eastAsia"/>
          <w:highlight w:val="none"/>
        </w:rPr>
        <w:t>电动汽车公共充电站管理服务评定内容，主要包含安全可靠性、运行经济性、用户便利性、服务高效性。分级评价指标体系由静态数据、动态数据、</w:t>
      </w:r>
      <w:r>
        <w:rPr>
          <w:rFonts w:hint="eastAsia"/>
          <w:highlight w:val="none"/>
          <w:lang w:val="en-US" w:eastAsia="zh-CN"/>
        </w:rPr>
        <w:t>在线率</w:t>
      </w:r>
      <w:r>
        <w:rPr>
          <w:rFonts w:hint="eastAsia"/>
          <w:highlight w:val="none"/>
        </w:rPr>
        <w:t>、</w:t>
      </w:r>
      <w:r>
        <w:rPr>
          <w:rFonts w:hint="eastAsia"/>
          <w:highlight w:val="none"/>
          <w:lang w:val="en-US" w:eastAsia="zh-CN"/>
        </w:rPr>
        <w:t>故障率、利用率、安徽充换电APP应用、</w:t>
      </w:r>
      <w:r>
        <w:rPr>
          <w:rFonts w:hint="eastAsia"/>
          <w:highlight w:val="none"/>
        </w:rPr>
        <w:t>站点建设</w:t>
      </w:r>
      <w:r>
        <w:rPr>
          <w:rFonts w:hint="eastAsia"/>
          <w:highlight w:val="none"/>
          <w:lang w:val="en-US" w:eastAsia="zh-CN"/>
        </w:rPr>
        <w:t>规模</w:t>
      </w:r>
      <w:r>
        <w:rPr>
          <w:rFonts w:hint="eastAsia"/>
          <w:highlight w:val="none"/>
        </w:rPr>
        <w:t>、用户反馈</w:t>
      </w:r>
      <w:r>
        <w:rPr>
          <w:rFonts w:hint="eastAsia"/>
          <w:highlight w:val="none"/>
          <w:lang w:eastAsia="zh-CN"/>
        </w:rPr>
        <w:t>、</w:t>
      </w:r>
      <w:r>
        <w:rPr>
          <w:rFonts w:hint="eastAsia"/>
          <w:highlight w:val="none"/>
        </w:rPr>
        <w:t>服务管理水平共计</w:t>
      </w:r>
      <w:r>
        <w:rPr>
          <w:rFonts w:hint="eastAsia"/>
          <w:highlight w:val="none"/>
          <w:lang w:val="en-US" w:eastAsia="zh-CN"/>
        </w:rPr>
        <w:t>9</w:t>
      </w:r>
      <w:r>
        <w:rPr>
          <w:rFonts w:hint="eastAsia"/>
          <w:highlight w:val="none"/>
        </w:rPr>
        <w:t>项指标组成，</w:t>
      </w:r>
      <w:r>
        <w:rPr>
          <w:rFonts w:hint="eastAsia"/>
          <w:highlight w:val="none"/>
          <w:lang w:val="en-US" w:eastAsia="zh-CN"/>
        </w:rPr>
        <w:t>另外包括新技术应用和特色服务2</w:t>
      </w:r>
      <w:r>
        <w:rPr>
          <w:rFonts w:hint="eastAsia"/>
          <w:highlight w:val="none"/>
        </w:rPr>
        <w:t>个附加考核项。</w:t>
      </w:r>
    </w:p>
    <w:p>
      <w:pPr>
        <w:pStyle w:val="125"/>
        <w:spacing w:before="156" w:after="156"/>
        <w:rPr>
          <w:highlight w:val="none"/>
        </w:rPr>
      </w:pPr>
      <w:r>
        <w:rPr>
          <w:rFonts w:hint="eastAsia"/>
          <w:highlight w:val="none"/>
        </w:rPr>
        <w:t>评分方式</w:t>
      </w:r>
    </w:p>
    <w:p>
      <w:pPr>
        <w:pStyle w:val="76"/>
        <w:ind w:firstLine="420"/>
        <w:rPr>
          <w:highlight w:val="none"/>
        </w:rPr>
      </w:pPr>
      <w:r>
        <w:rPr>
          <w:rFonts w:hint="eastAsia"/>
          <w:highlight w:val="none"/>
        </w:rPr>
        <w:t>各评价指标评分要求见附录A。</w:t>
      </w:r>
    </w:p>
    <w:p>
      <w:pPr>
        <w:pStyle w:val="125"/>
        <w:spacing w:before="156" w:after="156"/>
        <w:rPr>
          <w:highlight w:val="none"/>
        </w:rPr>
      </w:pPr>
      <w:r>
        <w:rPr>
          <w:rFonts w:hint="eastAsia"/>
          <w:highlight w:val="none"/>
        </w:rPr>
        <w:t>等级标准</w:t>
      </w:r>
    </w:p>
    <w:p>
      <w:pPr>
        <w:pStyle w:val="76"/>
        <w:ind w:firstLine="420"/>
        <w:rPr>
          <w:highlight w:val="none"/>
        </w:rPr>
      </w:pPr>
      <w:r>
        <w:rPr>
          <w:rFonts w:hint="eastAsia"/>
          <w:highlight w:val="none"/>
        </w:rPr>
        <w:t>电动汽车公共充电站管理服务评定规范，共分为</w:t>
      </w:r>
      <w:r>
        <w:rPr>
          <w:rFonts w:hint="eastAsia"/>
          <w:highlight w:val="none"/>
          <w:lang w:val="en-US" w:eastAsia="zh-CN"/>
        </w:rPr>
        <w:t>六</w:t>
      </w:r>
      <w:r>
        <w:rPr>
          <w:rFonts w:hint="eastAsia"/>
          <w:highlight w:val="none"/>
        </w:rPr>
        <w:t>个级别，即基础级、 一星级、 二星级、 三星级、 四星级、 五星级。 星级越高表示公共充换电站的服务质量越高。</w:t>
      </w:r>
    </w:p>
    <w:p>
      <w:pPr>
        <w:pStyle w:val="76"/>
        <w:ind w:firstLine="420"/>
        <w:rPr>
          <w:highlight w:val="none"/>
        </w:rPr>
      </w:pPr>
      <w:r>
        <w:rPr>
          <w:rFonts w:hint="eastAsia"/>
          <w:highlight w:val="none"/>
        </w:rPr>
        <w:t>星级与总分对应关系为：60分（不含）以下为基础级、60分（含）至70分（不含）为一星级、70分（含）至80分（不含）为二星级、80分（含）至90分（不含）三星级、90分（含）至95分（不含）为四星级、95分（含）及以上为五星级。</w:t>
      </w:r>
    </w:p>
    <w:p>
      <w:pPr>
        <w:pStyle w:val="125"/>
        <w:spacing w:before="156" w:after="156"/>
        <w:rPr>
          <w:highlight w:val="none"/>
        </w:rPr>
      </w:pPr>
      <w:r>
        <w:rPr>
          <w:rFonts w:hint="eastAsia"/>
          <w:highlight w:val="none"/>
        </w:rPr>
        <w:t>淘汰机制</w:t>
      </w:r>
    </w:p>
    <w:p>
      <w:pPr>
        <w:pStyle w:val="76"/>
        <w:ind w:firstLine="420"/>
        <w:rPr>
          <w:highlight w:val="none"/>
        </w:rPr>
      </w:pPr>
      <w:r>
        <w:rPr>
          <w:rFonts w:hint="eastAsia"/>
          <w:highlight w:val="none"/>
        </w:rPr>
        <w:t>充电运营服务机构所运营的</w:t>
      </w:r>
      <w:r>
        <w:rPr>
          <w:highlight w:val="none"/>
        </w:rPr>
        <w:t>充电</w:t>
      </w:r>
      <w:r>
        <w:rPr>
          <w:rFonts w:hint="eastAsia"/>
          <w:highlight w:val="none"/>
          <w:lang w:val="en-US" w:eastAsia="zh-CN"/>
        </w:rPr>
        <w:t>站</w:t>
      </w:r>
      <w:r>
        <w:rPr>
          <w:rFonts w:hint="eastAsia"/>
          <w:highlight w:val="none"/>
        </w:rPr>
        <w:t>在省级平台</w:t>
      </w:r>
      <w:r>
        <w:rPr>
          <w:highlight w:val="none"/>
        </w:rPr>
        <w:t>在线率连续三个月小于</w:t>
      </w:r>
      <w:r>
        <w:rPr>
          <w:rFonts w:hint="eastAsia"/>
          <w:highlight w:val="none"/>
        </w:rPr>
        <w:t>6</w:t>
      </w:r>
      <w:r>
        <w:rPr>
          <w:highlight w:val="none"/>
        </w:rPr>
        <w:t>0%</w:t>
      </w:r>
      <w:r>
        <w:rPr>
          <w:rFonts w:hint="eastAsia"/>
          <w:highlight w:val="none"/>
        </w:rPr>
        <w:t>，且被要求</w:t>
      </w:r>
      <w:r>
        <w:rPr>
          <w:highlight w:val="none"/>
        </w:rPr>
        <w:t>整改后在线率</w:t>
      </w:r>
      <w:r>
        <w:rPr>
          <w:rFonts w:hint="eastAsia"/>
          <w:highlight w:val="none"/>
        </w:rPr>
        <w:t>仍小于6</w:t>
      </w:r>
      <w:r>
        <w:rPr>
          <w:highlight w:val="none"/>
        </w:rPr>
        <w:t>0%</w:t>
      </w:r>
      <w:r>
        <w:rPr>
          <w:rFonts w:hint="eastAsia"/>
          <w:highlight w:val="none"/>
        </w:rPr>
        <w:t>，将禁止充电站参与评定。待充电站在线率持续3个月超过60%后，恢复参与评定资格。</w:t>
      </w:r>
    </w:p>
    <w:p>
      <w:pPr>
        <w:pStyle w:val="76"/>
        <w:ind w:firstLine="420"/>
        <w:rPr>
          <w:highlight w:val="none"/>
        </w:rPr>
      </w:pPr>
    </w:p>
    <w:p>
      <w:pPr>
        <w:pStyle w:val="76"/>
        <w:ind w:firstLine="420"/>
        <w:rPr>
          <w:highlight w:val="none"/>
        </w:rPr>
        <w:sectPr>
          <w:pgSz w:w="11906" w:h="16838"/>
          <w:pgMar w:top="1928" w:right="1134" w:bottom="1134" w:left="1134" w:header="1418" w:footer="1134" w:gutter="284"/>
          <w:pgNumType w:fmt="decimal"/>
          <w:cols w:space="425" w:num="1"/>
          <w:formProt w:val="0"/>
          <w:docGrid w:type="lines" w:linePitch="312" w:charSpace="0"/>
        </w:sectPr>
      </w:pPr>
    </w:p>
    <w:p>
      <w:pPr>
        <w:pStyle w:val="96"/>
        <w:spacing w:after="156"/>
        <w:rPr>
          <w:highlight w:val="none"/>
        </w:rPr>
      </w:pPr>
      <w:bookmarkStart w:id="46" w:name="_Toc16705"/>
      <w:r>
        <w:rPr>
          <w:highlight w:val="none"/>
        </w:rPr>
        <w:br w:type="textWrapping"/>
      </w:r>
      <w:r>
        <w:rPr>
          <w:rFonts w:hint="eastAsia"/>
          <w:highlight w:val="none"/>
        </w:rPr>
        <w:t>（资料性）</w:t>
      </w:r>
      <w:r>
        <w:rPr>
          <w:highlight w:val="none"/>
        </w:rPr>
        <w:br w:type="textWrapping"/>
      </w:r>
      <w:r>
        <w:rPr>
          <w:rFonts w:hint="eastAsia"/>
          <w:highlight w:val="none"/>
        </w:rPr>
        <w:t>电动汽车公共充电站管理服务评定考核标准</w:t>
      </w:r>
      <w:bookmarkEnd w:id="46"/>
    </w:p>
    <w:tbl>
      <w:tblPr>
        <w:tblStyle w:val="43"/>
        <w:tblW w:w="9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3"/>
        <w:gridCol w:w="964"/>
        <w:gridCol w:w="1313"/>
        <w:gridCol w:w="5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32" w:type="dxa"/>
            <w:noWrap w:val="0"/>
            <w:vAlign w:val="center"/>
          </w:tcPr>
          <w:p>
            <w:pPr>
              <w:spacing w:after="0" w:line="240" w:lineRule="auto"/>
              <w:jc w:val="center"/>
              <w:rPr>
                <w:rFonts w:hint="default" w:ascii="Times New Roman" w:hAnsi="Times New Roman" w:eastAsia="仿宋_GB2312" w:cs="Times New Roman"/>
                <w:b/>
                <w:bCs/>
                <w:kern w:val="0"/>
                <w:sz w:val="24"/>
                <w:highlight w:val="none"/>
              </w:rPr>
            </w:pPr>
            <w:r>
              <w:rPr>
                <w:rFonts w:hint="default" w:ascii="Times New Roman" w:hAnsi="Times New Roman" w:eastAsia="仿宋_GB2312" w:cs="Times New Roman"/>
                <w:b/>
                <w:bCs/>
                <w:kern w:val="0"/>
                <w:sz w:val="24"/>
                <w:highlight w:val="none"/>
              </w:rPr>
              <w:t>评定指标</w:t>
            </w:r>
          </w:p>
        </w:tc>
        <w:tc>
          <w:tcPr>
            <w:tcW w:w="904" w:type="dxa"/>
            <w:noWrap w:val="0"/>
            <w:vAlign w:val="center"/>
          </w:tcPr>
          <w:p>
            <w:pPr>
              <w:spacing w:after="0" w:line="240" w:lineRule="auto"/>
              <w:jc w:val="center"/>
              <w:rPr>
                <w:rFonts w:hint="default" w:ascii="Times New Roman" w:hAnsi="Times New Roman" w:eastAsia="仿宋_GB2312" w:cs="Times New Roman"/>
                <w:b/>
                <w:bCs/>
                <w:kern w:val="0"/>
                <w:sz w:val="24"/>
                <w:highlight w:val="none"/>
              </w:rPr>
            </w:pPr>
            <w:r>
              <w:rPr>
                <w:rFonts w:hint="default" w:ascii="Times New Roman" w:hAnsi="Times New Roman" w:eastAsia="仿宋_GB2312" w:cs="Times New Roman"/>
                <w:b/>
                <w:bCs/>
                <w:kern w:val="0"/>
                <w:sz w:val="24"/>
                <w:highlight w:val="none"/>
              </w:rPr>
              <w:t>分值</w:t>
            </w:r>
          </w:p>
        </w:tc>
        <w:tc>
          <w:tcPr>
            <w:tcW w:w="1232" w:type="dxa"/>
            <w:noWrap w:val="0"/>
            <w:vAlign w:val="center"/>
          </w:tcPr>
          <w:p>
            <w:pPr>
              <w:spacing w:after="0" w:line="240" w:lineRule="auto"/>
              <w:jc w:val="center"/>
              <w:rPr>
                <w:rFonts w:hint="default" w:ascii="Times New Roman" w:hAnsi="Times New Roman" w:eastAsia="仿宋_GB2312" w:cs="Times New Roman"/>
                <w:b/>
                <w:bCs/>
                <w:kern w:val="0"/>
                <w:sz w:val="24"/>
                <w:highlight w:val="none"/>
              </w:rPr>
            </w:pPr>
            <w:r>
              <w:rPr>
                <w:rFonts w:hint="default" w:ascii="Times New Roman" w:hAnsi="Times New Roman" w:eastAsia="仿宋_GB2312" w:cs="Times New Roman"/>
                <w:b/>
                <w:bCs/>
                <w:kern w:val="0"/>
                <w:sz w:val="24"/>
                <w:highlight w:val="none"/>
              </w:rPr>
              <w:t>评定内容</w:t>
            </w:r>
          </w:p>
        </w:tc>
        <w:tc>
          <w:tcPr>
            <w:tcW w:w="5610" w:type="dxa"/>
            <w:noWrap w:val="0"/>
            <w:vAlign w:val="center"/>
          </w:tcPr>
          <w:p>
            <w:pPr>
              <w:spacing w:after="0" w:line="240" w:lineRule="auto"/>
              <w:jc w:val="center"/>
              <w:rPr>
                <w:rFonts w:hint="default" w:ascii="Times New Roman" w:hAnsi="Times New Roman" w:eastAsia="仿宋_GB2312" w:cs="Times New Roman"/>
                <w:b/>
                <w:bCs/>
                <w:kern w:val="0"/>
                <w:sz w:val="24"/>
                <w:highlight w:val="none"/>
              </w:rPr>
            </w:pPr>
            <w:r>
              <w:rPr>
                <w:rFonts w:hint="default" w:ascii="Times New Roman" w:hAnsi="Times New Roman" w:eastAsia="仿宋_GB2312" w:cs="Times New Roman"/>
                <w:b/>
                <w:bCs/>
                <w:kern w:val="0"/>
                <w:sz w:val="24"/>
                <w:highlight w:val="none"/>
              </w:rPr>
              <w:t>评定细则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32" w:type="dxa"/>
            <w:vMerge w:val="restart"/>
            <w:noWrap w:val="0"/>
            <w:vAlign w:val="center"/>
          </w:tcPr>
          <w:p>
            <w:pPr>
              <w:spacing w:after="0" w:line="240" w:lineRule="auto"/>
              <w:jc w:val="center"/>
              <w:rPr>
                <w:rFonts w:hint="default" w:ascii="Times New Roman" w:hAnsi="Times New Roman" w:eastAsia="仿宋_GB2312" w:cs="Times New Roman"/>
                <w:b/>
                <w:bCs/>
                <w:kern w:val="0"/>
                <w:sz w:val="24"/>
                <w:highlight w:val="none"/>
              </w:rPr>
            </w:pPr>
            <w:r>
              <w:rPr>
                <w:rFonts w:hint="default" w:ascii="Times New Roman" w:hAnsi="Times New Roman" w:eastAsia="仿宋_GB2312" w:cs="Times New Roman"/>
                <w:b/>
                <w:bCs/>
                <w:kern w:val="0"/>
                <w:sz w:val="24"/>
                <w:highlight w:val="none"/>
              </w:rPr>
              <w:t>平台接入</w:t>
            </w:r>
          </w:p>
          <w:p>
            <w:pPr>
              <w:spacing w:after="0" w:line="240" w:lineRule="auto"/>
              <w:jc w:val="center"/>
              <w:rPr>
                <w:rFonts w:hint="default" w:ascii="Times New Roman" w:hAnsi="Times New Roman" w:eastAsia="仿宋_GB2312" w:cs="Times New Roman"/>
                <w:b/>
                <w:bCs/>
                <w:kern w:val="0"/>
                <w:sz w:val="24"/>
                <w:highlight w:val="none"/>
              </w:rPr>
            </w:pPr>
          </w:p>
        </w:tc>
        <w:tc>
          <w:tcPr>
            <w:tcW w:w="904" w:type="dxa"/>
            <w:noWrap w:val="0"/>
            <w:vAlign w:val="center"/>
          </w:tcPr>
          <w:p>
            <w:pPr>
              <w:spacing w:after="0" w:line="240" w:lineRule="auto"/>
              <w:jc w:val="center"/>
              <w:rPr>
                <w:rFonts w:hint="default" w:ascii="Times New Roman" w:hAnsi="Times New Roman" w:eastAsia="仿宋_GB2312" w:cs="Times New Roman"/>
                <w:b/>
                <w:bCs/>
                <w:kern w:val="0"/>
                <w:sz w:val="24"/>
                <w:highlight w:val="none"/>
              </w:rPr>
            </w:pPr>
            <w:r>
              <w:rPr>
                <w:rFonts w:hint="default" w:ascii="Times New Roman" w:hAnsi="Times New Roman" w:eastAsia="仿宋_GB2312" w:cs="Times New Roman"/>
                <w:kern w:val="0"/>
                <w:sz w:val="24"/>
                <w:highlight w:val="none"/>
              </w:rPr>
              <w:t>10</w:t>
            </w:r>
          </w:p>
        </w:tc>
        <w:tc>
          <w:tcPr>
            <w:tcW w:w="1232" w:type="dxa"/>
            <w:noWrap w:val="0"/>
            <w:vAlign w:val="center"/>
          </w:tcPr>
          <w:p>
            <w:pPr>
              <w:spacing w:after="0" w:line="240" w:lineRule="auto"/>
              <w:rPr>
                <w:rFonts w:hint="default" w:ascii="Times New Roman" w:hAnsi="Times New Roman" w:eastAsia="仿宋_GB2312" w:cs="Times New Roman"/>
                <w:b/>
                <w:bCs/>
                <w:kern w:val="0"/>
                <w:sz w:val="24"/>
                <w:highlight w:val="none"/>
              </w:rPr>
            </w:pPr>
            <w:r>
              <w:rPr>
                <w:rFonts w:hint="default" w:ascii="Times New Roman" w:hAnsi="Times New Roman" w:eastAsia="仿宋_GB2312" w:cs="Times New Roman"/>
                <w:kern w:val="0"/>
                <w:sz w:val="24"/>
                <w:highlight w:val="none"/>
              </w:rPr>
              <w:t>静态数据</w:t>
            </w:r>
          </w:p>
        </w:tc>
        <w:tc>
          <w:tcPr>
            <w:tcW w:w="5610" w:type="dxa"/>
            <w:noWrap w:val="0"/>
            <w:vAlign w:val="top"/>
          </w:tcPr>
          <w:p>
            <w:pPr>
              <w:spacing w:after="0" w:line="240" w:lineRule="auto"/>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各站点设施接入省级监管平台数据应符合相关规定且完整、准确，得分满分10分，不满足以下条件的，一条扣2分，扣完为止：</w:t>
            </w:r>
          </w:p>
          <w:p>
            <w:pPr>
              <w:spacing w:after="0" w:line="240" w:lineRule="auto"/>
              <w:jc w:val="both"/>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1.站点名称</w:t>
            </w:r>
            <w:r>
              <w:rPr>
                <w:rFonts w:hint="default" w:ascii="Times New Roman" w:hAnsi="Times New Roman" w:eastAsia="仿宋_GB2312" w:cs="Times New Roman"/>
                <w:kern w:val="0"/>
                <w:sz w:val="24"/>
                <w:highlight w:val="none"/>
                <w:lang w:eastAsia="zh-CN"/>
              </w:rPr>
              <w:t>（</w:t>
            </w:r>
            <w:r>
              <w:rPr>
                <w:rFonts w:hint="default" w:ascii="Times New Roman" w:hAnsi="Times New Roman" w:eastAsia="仿宋_GB2312" w:cs="Times New Roman"/>
                <w:kern w:val="0"/>
                <w:sz w:val="24"/>
                <w:highlight w:val="none"/>
              </w:rPr>
              <w:t>命名规范，原则应为xx站</w:t>
            </w:r>
            <w:r>
              <w:rPr>
                <w:rFonts w:hint="default" w:ascii="Times New Roman" w:hAnsi="Times New Roman" w:eastAsia="仿宋_GB2312" w:cs="Times New Roman"/>
                <w:kern w:val="0"/>
                <w:sz w:val="24"/>
                <w:highlight w:val="none"/>
                <w:lang w:eastAsia="zh-CN"/>
              </w:rPr>
              <w:t>）</w:t>
            </w:r>
            <w:r>
              <w:rPr>
                <w:rFonts w:hint="default" w:ascii="Times New Roman" w:hAnsi="Times New Roman" w:eastAsia="仿宋_GB2312" w:cs="Times New Roman"/>
                <w:kern w:val="0"/>
                <w:sz w:val="24"/>
                <w:highlight w:val="none"/>
              </w:rPr>
              <w:t>，站点编号、详细地址、场所信息、站点使用类型（公用/专用等）、站点状态、经纬度、充电车位数量。</w:t>
            </w:r>
          </w:p>
          <w:p>
            <w:pPr>
              <w:spacing w:after="0" w:line="240" w:lineRule="auto"/>
              <w:jc w:val="both"/>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2.充换电设施信息包含设备名称、设备编号、接口名称、接口编号、建设时间、设备额定功率、接口额定功率、接口状态、充换电设施类型（交流/直流/交直流一体/ 换电充电仓等）、设备生产商名称。</w:t>
            </w:r>
          </w:p>
          <w:p>
            <w:pPr>
              <w:spacing w:after="0" w:line="240" w:lineRule="auto"/>
              <w:jc w:val="both"/>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3.停车收费标准、充电收费标准。</w:t>
            </w:r>
          </w:p>
          <w:p>
            <w:pPr>
              <w:spacing w:after="0" w:line="240" w:lineRule="auto"/>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4.场站联系方式、运营商联系方式。</w:t>
            </w:r>
          </w:p>
          <w:p>
            <w:pPr>
              <w:spacing w:after="0" w:line="240" w:lineRule="auto"/>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5.数据准确率=有效数据量占全量数据比率≥80%。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32" w:type="dxa"/>
            <w:vMerge w:val="continue"/>
            <w:noWrap w:val="0"/>
            <w:vAlign w:val="center"/>
          </w:tcPr>
          <w:p>
            <w:pPr>
              <w:spacing w:after="0" w:line="240" w:lineRule="auto"/>
              <w:jc w:val="center"/>
              <w:rPr>
                <w:rFonts w:hint="default" w:ascii="Times New Roman" w:hAnsi="Times New Roman" w:eastAsia="仿宋_GB2312" w:cs="Times New Roman"/>
                <w:b/>
                <w:bCs/>
                <w:kern w:val="0"/>
                <w:sz w:val="24"/>
                <w:highlight w:val="none"/>
              </w:rPr>
            </w:pPr>
          </w:p>
        </w:tc>
        <w:tc>
          <w:tcPr>
            <w:tcW w:w="904" w:type="dxa"/>
            <w:noWrap w:val="0"/>
            <w:vAlign w:val="center"/>
          </w:tcPr>
          <w:p>
            <w:pPr>
              <w:spacing w:after="0" w:line="240" w:lineRule="auto"/>
              <w:jc w:val="center"/>
              <w:rPr>
                <w:rFonts w:hint="default" w:ascii="Times New Roman" w:hAnsi="Times New Roman" w:eastAsia="仿宋_GB2312" w:cs="Times New Roman"/>
                <w:b/>
                <w:bCs/>
                <w:kern w:val="0"/>
                <w:sz w:val="24"/>
                <w:highlight w:val="none"/>
              </w:rPr>
            </w:pPr>
            <w:r>
              <w:rPr>
                <w:rFonts w:hint="default" w:ascii="Times New Roman" w:hAnsi="Times New Roman" w:eastAsia="仿宋_GB2312" w:cs="Times New Roman"/>
                <w:kern w:val="0"/>
                <w:sz w:val="24"/>
                <w:highlight w:val="none"/>
              </w:rPr>
              <w:t>15</w:t>
            </w:r>
          </w:p>
        </w:tc>
        <w:tc>
          <w:tcPr>
            <w:tcW w:w="1232" w:type="dxa"/>
            <w:noWrap w:val="0"/>
            <w:vAlign w:val="center"/>
          </w:tcPr>
          <w:p>
            <w:pPr>
              <w:spacing w:after="0" w:line="240" w:lineRule="auto"/>
              <w:rPr>
                <w:rFonts w:hint="default" w:ascii="Times New Roman" w:hAnsi="Times New Roman" w:eastAsia="仿宋_GB2312" w:cs="Times New Roman"/>
                <w:b/>
                <w:bCs/>
                <w:kern w:val="0"/>
                <w:sz w:val="24"/>
                <w:highlight w:val="none"/>
              </w:rPr>
            </w:pPr>
            <w:r>
              <w:rPr>
                <w:rFonts w:hint="default" w:ascii="Times New Roman" w:hAnsi="Times New Roman" w:eastAsia="仿宋_GB2312" w:cs="Times New Roman"/>
                <w:kern w:val="0"/>
                <w:sz w:val="24"/>
                <w:highlight w:val="none"/>
              </w:rPr>
              <w:t>动态数据</w:t>
            </w:r>
          </w:p>
        </w:tc>
        <w:tc>
          <w:tcPr>
            <w:tcW w:w="5610" w:type="dxa"/>
            <w:noWrap w:val="0"/>
            <w:vAlign w:val="top"/>
          </w:tcPr>
          <w:p>
            <w:pPr>
              <w:spacing w:after="0" w:line="240" w:lineRule="auto"/>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各站点设施接入省级监管平台数据应符合相关规定且及时、有效，得分满分15分，扣完为止：</w:t>
            </w:r>
          </w:p>
          <w:p>
            <w:pPr>
              <w:spacing w:after="0" w:line="240" w:lineRule="auto"/>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1.充电结算信息，应包括订单编号、充电开始和结束时间、充电电量、充电总费用、停止原因等，充电设施在完成每一次充电后，应将充电结算信息及时推送至省级平台，不满足扣4分。</w:t>
            </w:r>
          </w:p>
          <w:p>
            <w:pPr>
              <w:spacing w:after="0" w:line="240" w:lineRule="auto"/>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2.充电过程中信息应有实时需求电压/输出电压、需求电流/输出电流、soc（直流设备）、累计电量、累计金额等，在每一次充电开始后应将过程信息实时推送至省级平台，不满足扣4分。</w:t>
            </w:r>
          </w:p>
          <w:p>
            <w:pPr>
              <w:spacing w:after="0" w:line="240" w:lineRule="auto"/>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3.订单完成后应及时推送至省级平台：</w:t>
            </w:r>
          </w:p>
          <w:p>
            <w:pPr>
              <w:spacing w:after="0" w:line="240" w:lineRule="auto"/>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推送时长≤0.5小时，得4分。</w:t>
            </w:r>
          </w:p>
          <w:p>
            <w:pPr>
              <w:spacing w:after="0" w:line="240" w:lineRule="auto"/>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0.5小时&lt;推送时长≤1小时，得3分。</w:t>
            </w:r>
          </w:p>
          <w:p>
            <w:pPr>
              <w:spacing w:after="0" w:line="240" w:lineRule="auto"/>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1小时&lt;推送时长≤24小时，得1分。</w:t>
            </w:r>
          </w:p>
          <w:p>
            <w:pPr>
              <w:spacing w:after="0" w:line="240" w:lineRule="auto"/>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推送时长&gt;24小时，不得分。</w:t>
            </w:r>
          </w:p>
          <w:p>
            <w:pPr>
              <w:spacing w:after="0" w:line="240" w:lineRule="auto"/>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4.充换电设施状态信息有“占用”“空闲”“离线”“故障”等，充电设施状态发生变化时，其变化信息应及时推送至省级平台，不满足扣3分。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32" w:type="dxa"/>
            <w:vMerge w:val="continue"/>
            <w:noWrap w:val="0"/>
            <w:vAlign w:val="center"/>
          </w:tcPr>
          <w:p>
            <w:pPr>
              <w:spacing w:after="0" w:line="240" w:lineRule="auto"/>
              <w:jc w:val="center"/>
              <w:rPr>
                <w:rFonts w:hint="default" w:ascii="Times New Roman" w:hAnsi="Times New Roman" w:eastAsia="仿宋_GB2312" w:cs="Times New Roman"/>
                <w:b/>
                <w:bCs/>
                <w:kern w:val="0"/>
                <w:sz w:val="24"/>
                <w:highlight w:val="none"/>
              </w:rPr>
            </w:pPr>
          </w:p>
        </w:tc>
        <w:tc>
          <w:tcPr>
            <w:tcW w:w="904" w:type="dxa"/>
            <w:noWrap w:val="0"/>
            <w:vAlign w:val="center"/>
          </w:tcPr>
          <w:p>
            <w:pPr>
              <w:spacing w:after="0" w:line="240" w:lineRule="auto"/>
              <w:jc w:val="center"/>
              <w:rPr>
                <w:rFonts w:hint="default" w:ascii="Times New Roman" w:hAnsi="Times New Roman" w:eastAsia="仿宋_GB2312" w:cs="Times New Roman"/>
                <w:b/>
                <w:bCs/>
                <w:kern w:val="0"/>
                <w:sz w:val="24"/>
                <w:highlight w:val="none"/>
              </w:rPr>
            </w:pPr>
            <w:r>
              <w:rPr>
                <w:rFonts w:hint="default" w:ascii="Times New Roman" w:hAnsi="Times New Roman" w:eastAsia="仿宋_GB2312" w:cs="Times New Roman"/>
                <w:kern w:val="0"/>
                <w:sz w:val="24"/>
                <w:highlight w:val="none"/>
              </w:rPr>
              <w:t>5</w:t>
            </w:r>
          </w:p>
        </w:tc>
        <w:tc>
          <w:tcPr>
            <w:tcW w:w="1232" w:type="dxa"/>
            <w:noWrap w:val="0"/>
            <w:vAlign w:val="center"/>
          </w:tcPr>
          <w:p>
            <w:pPr>
              <w:spacing w:after="0" w:line="240" w:lineRule="auto"/>
              <w:rPr>
                <w:rFonts w:hint="default" w:ascii="Times New Roman" w:hAnsi="Times New Roman" w:eastAsia="仿宋_GB2312" w:cs="Times New Roman"/>
                <w:b/>
                <w:bCs/>
                <w:kern w:val="0"/>
                <w:sz w:val="24"/>
                <w:highlight w:val="none"/>
              </w:rPr>
            </w:pPr>
            <w:r>
              <w:rPr>
                <w:rFonts w:hint="default" w:ascii="Times New Roman" w:hAnsi="Times New Roman" w:eastAsia="仿宋_GB2312" w:cs="Times New Roman"/>
                <w:kern w:val="0"/>
                <w:sz w:val="24"/>
                <w:highlight w:val="none"/>
              </w:rPr>
              <w:t>在线率</w:t>
            </w:r>
          </w:p>
        </w:tc>
        <w:tc>
          <w:tcPr>
            <w:tcW w:w="5610" w:type="dxa"/>
            <w:noWrap w:val="0"/>
            <w:vAlign w:val="top"/>
          </w:tcPr>
          <w:p>
            <w:pPr>
              <w:spacing w:after="0" w:line="240" w:lineRule="auto"/>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在线率得分满分5分：</w:t>
            </w:r>
          </w:p>
          <w:p>
            <w:pPr>
              <w:spacing w:after="0" w:line="240" w:lineRule="auto"/>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正常在线总时长包括空闲时长、设备占用时长、故障时长。</w:t>
            </w:r>
          </w:p>
          <w:p>
            <w:pPr>
              <w:spacing w:after="0" w:line="240" w:lineRule="auto"/>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在线率=评定期内站点设施正常在线总时长/评定期内站点设施总接入时长*100%</w:t>
            </w:r>
          </w:p>
          <w:p>
            <w:pPr>
              <w:spacing w:after="0" w:line="240" w:lineRule="auto"/>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在线率≥80%，得5分。</w:t>
            </w:r>
          </w:p>
          <w:p>
            <w:pPr>
              <w:spacing w:after="0" w:line="240" w:lineRule="auto"/>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80%&gt;在线率≥70%，得3分。</w:t>
            </w:r>
          </w:p>
          <w:p>
            <w:pPr>
              <w:spacing w:after="0" w:line="240" w:lineRule="auto"/>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70%&gt;在线率≥60%，得1分。</w:t>
            </w:r>
          </w:p>
          <w:p>
            <w:pPr>
              <w:spacing w:after="0" w:line="240" w:lineRule="auto"/>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在线率&lt;60%，不得分。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32" w:type="dxa"/>
            <w:vMerge w:val="continue"/>
            <w:noWrap w:val="0"/>
            <w:vAlign w:val="center"/>
          </w:tcPr>
          <w:p>
            <w:pPr>
              <w:spacing w:after="0" w:line="240" w:lineRule="auto"/>
              <w:jc w:val="center"/>
              <w:rPr>
                <w:rFonts w:hint="default" w:ascii="Times New Roman" w:hAnsi="Times New Roman" w:eastAsia="仿宋_GB2312" w:cs="Times New Roman"/>
                <w:b/>
                <w:bCs/>
                <w:kern w:val="0"/>
                <w:sz w:val="24"/>
                <w:highlight w:val="none"/>
              </w:rPr>
            </w:pPr>
          </w:p>
        </w:tc>
        <w:tc>
          <w:tcPr>
            <w:tcW w:w="904" w:type="dxa"/>
            <w:noWrap w:val="0"/>
            <w:vAlign w:val="center"/>
          </w:tcPr>
          <w:p>
            <w:pPr>
              <w:spacing w:after="0" w:line="240" w:lineRule="auto"/>
              <w:jc w:val="center"/>
              <w:rPr>
                <w:rFonts w:hint="default" w:ascii="Times New Roman" w:hAnsi="Times New Roman" w:eastAsia="仿宋_GB2312" w:cs="Times New Roman"/>
                <w:b/>
                <w:bCs/>
                <w:kern w:val="0"/>
                <w:sz w:val="24"/>
                <w:highlight w:val="none"/>
              </w:rPr>
            </w:pPr>
            <w:r>
              <w:rPr>
                <w:rFonts w:hint="default" w:ascii="Times New Roman" w:hAnsi="Times New Roman" w:eastAsia="仿宋_GB2312" w:cs="Times New Roman"/>
                <w:kern w:val="0"/>
                <w:sz w:val="24"/>
                <w:highlight w:val="none"/>
              </w:rPr>
              <w:t>5</w:t>
            </w:r>
          </w:p>
        </w:tc>
        <w:tc>
          <w:tcPr>
            <w:tcW w:w="1232" w:type="dxa"/>
            <w:noWrap w:val="0"/>
            <w:vAlign w:val="center"/>
          </w:tcPr>
          <w:p>
            <w:pPr>
              <w:spacing w:after="0" w:line="240" w:lineRule="auto"/>
              <w:rPr>
                <w:rFonts w:hint="default" w:ascii="Times New Roman" w:hAnsi="Times New Roman" w:eastAsia="仿宋_GB2312" w:cs="Times New Roman"/>
                <w:b/>
                <w:bCs/>
                <w:kern w:val="0"/>
                <w:sz w:val="24"/>
                <w:highlight w:val="none"/>
              </w:rPr>
            </w:pPr>
            <w:r>
              <w:rPr>
                <w:rFonts w:hint="default" w:ascii="Times New Roman" w:hAnsi="Times New Roman" w:eastAsia="仿宋_GB2312" w:cs="Times New Roman"/>
                <w:kern w:val="0"/>
                <w:sz w:val="24"/>
                <w:highlight w:val="none"/>
              </w:rPr>
              <w:t>故障率</w:t>
            </w:r>
          </w:p>
        </w:tc>
        <w:tc>
          <w:tcPr>
            <w:tcW w:w="5610" w:type="dxa"/>
            <w:noWrap w:val="0"/>
            <w:vAlign w:val="top"/>
          </w:tcPr>
          <w:p>
            <w:pPr>
              <w:spacing w:after="0" w:line="240" w:lineRule="auto"/>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故障率得分满分5分：</w:t>
            </w:r>
          </w:p>
          <w:p>
            <w:pPr>
              <w:spacing w:after="0" w:line="240" w:lineRule="auto"/>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故障率=评定期内站点设施故障时长/评定期内站点设施总接入时长*100%</w:t>
            </w:r>
          </w:p>
          <w:p>
            <w:pPr>
              <w:spacing w:after="0" w:line="240" w:lineRule="auto"/>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设备状态未及时推送则沿用上一次设备状态，直到设备故障状态解除，停止计算故障时间。</w:t>
            </w:r>
          </w:p>
          <w:p>
            <w:pPr>
              <w:spacing w:after="0" w:line="240" w:lineRule="auto"/>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故障率&lt;5%，得5分。</w:t>
            </w:r>
          </w:p>
          <w:p>
            <w:pPr>
              <w:spacing w:after="0" w:line="240" w:lineRule="auto"/>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10%&gt;故障率≥5%，得3分。</w:t>
            </w:r>
          </w:p>
          <w:p>
            <w:pPr>
              <w:spacing w:after="0" w:line="240" w:lineRule="auto"/>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15%&gt;故障率≥10%，得1分。</w:t>
            </w:r>
          </w:p>
          <w:p>
            <w:pPr>
              <w:spacing w:after="0" w:line="240" w:lineRule="auto"/>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故障率&gt;15%，不得分。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32" w:type="dxa"/>
            <w:vMerge w:val="continue"/>
            <w:noWrap w:val="0"/>
            <w:vAlign w:val="center"/>
          </w:tcPr>
          <w:p>
            <w:pPr>
              <w:spacing w:after="0" w:line="240" w:lineRule="auto"/>
              <w:jc w:val="center"/>
              <w:rPr>
                <w:rFonts w:hint="default" w:ascii="Times New Roman" w:hAnsi="Times New Roman" w:eastAsia="仿宋_GB2312" w:cs="Times New Roman"/>
                <w:b/>
                <w:bCs/>
                <w:kern w:val="0"/>
                <w:sz w:val="24"/>
                <w:highlight w:val="none"/>
              </w:rPr>
            </w:pPr>
          </w:p>
        </w:tc>
        <w:tc>
          <w:tcPr>
            <w:tcW w:w="904" w:type="dxa"/>
            <w:noWrap w:val="0"/>
            <w:vAlign w:val="center"/>
          </w:tcPr>
          <w:p>
            <w:pPr>
              <w:spacing w:after="0" w:line="240" w:lineRule="auto"/>
              <w:jc w:val="center"/>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10</w:t>
            </w:r>
          </w:p>
        </w:tc>
        <w:tc>
          <w:tcPr>
            <w:tcW w:w="1232" w:type="dxa"/>
            <w:noWrap w:val="0"/>
            <w:vAlign w:val="center"/>
          </w:tcPr>
          <w:p>
            <w:pPr>
              <w:spacing w:after="0" w:line="240" w:lineRule="auto"/>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利用率</w:t>
            </w:r>
          </w:p>
        </w:tc>
        <w:tc>
          <w:tcPr>
            <w:tcW w:w="5610" w:type="dxa"/>
            <w:noWrap w:val="0"/>
            <w:vAlign w:val="top"/>
          </w:tcPr>
          <w:p>
            <w:pPr>
              <w:spacing w:after="0" w:line="240" w:lineRule="auto"/>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利用率得分满分10分：</w:t>
            </w:r>
          </w:p>
          <w:p>
            <w:pPr>
              <w:spacing w:after="0" w:line="240" w:lineRule="auto"/>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利用率=站点设施充电总时长占设备总时长比率</w:t>
            </w:r>
          </w:p>
          <w:p>
            <w:pPr>
              <w:spacing w:after="0" w:line="240" w:lineRule="auto"/>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各类型站点利用率从高到低进行排序：</w:t>
            </w:r>
          </w:p>
          <w:p>
            <w:pPr>
              <w:spacing w:after="0" w:line="240" w:lineRule="auto"/>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前25%范围内的场站得10分。</w:t>
            </w:r>
          </w:p>
          <w:p>
            <w:pPr>
              <w:spacing w:after="0" w:line="240" w:lineRule="auto"/>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25%至50%范围内的得7.5分。</w:t>
            </w:r>
          </w:p>
          <w:p>
            <w:pPr>
              <w:spacing w:after="0" w:line="240" w:lineRule="auto"/>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50%至75%范围内得5分。</w:t>
            </w:r>
          </w:p>
          <w:p>
            <w:pPr>
              <w:spacing w:after="0" w:line="240" w:lineRule="auto"/>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75%至100%范围内得2.5分。</w:t>
            </w:r>
          </w:p>
          <w:p>
            <w:pPr>
              <w:spacing w:after="0" w:line="240" w:lineRule="auto"/>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无电量产生的不得分。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32" w:type="dxa"/>
            <w:vMerge w:val="continue"/>
            <w:noWrap w:val="0"/>
            <w:vAlign w:val="center"/>
          </w:tcPr>
          <w:p>
            <w:pPr>
              <w:spacing w:after="0" w:line="240" w:lineRule="auto"/>
              <w:jc w:val="center"/>
              <w:rPr>
                <w:rFonts w:hint="default" w:ascii="Times New Roman" w:hAnsi="Times New Roman" w:eastAsia="仿宋_GB2312" w:cs="Times New Roman"/>
                <w:b/>
                <w:bCs/>
                <w:kern w:val="0"/>
                <w:sz w:val="24"/>
                <w:highlight w:val="none"/>
              </w:rPr>
            </w:pPr>
          </w:p>
        </w:tc>
        <w:tc>
          <w:tcPr>
            <w:tcW w:w="904" w:type="dxa"/>
            <w:noWrap w:val="0"/>
            <w:vAlign w:val="center"/>
          </w:tcPr>
          <w:p>
            <w:pPr>
              <w:spacing w:after="0" w:line="240" w:lineRule="auto"/>
              <w:jc w:val="center"/>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20</w:t>
            </w:r>
          </w:p>
        </w:tc>
        <w:tc>
          <w:tcPr>
            <w:tcW w:w="1232" w:type="dxa"/>
            <w:noWrap w:val="0"/>
            <w:vAlign w:val="center"/>
          </w:tcPr>
          <w:p>
            <w:pPr>
              <w:spacing w:after="0" w:line="240" w:lineRule="auto"/>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lang w:val="en-US" w:eastAsia="zh-CN"/>
              </w:rPr>
              <w:t>安徽</w:t>
            </w:r>
            <w:r>
              <w:rPr>
                <w:rFonts w:hint="default" w:ascii="Times New Roman" w:hAnsi="Times New Roman" w:eastAsia="仿宋_GB2312" w:cs="Times New Roman"/>
                <w:kern w:val="0"/>
                <w:sz w:val="24"/>
                <w:highlight w:val="none"/>
              </w:rPr>
              <w:t>充换电APP应用</w:t>
            </w:r>
          </w:p>
        </w:tc>
        <w:tc>
          <w:tcPr>
            <w:tcW w:w="5610" w:type="dxa"/>
            <w:noWrap w:val="0"/>
            <w:vAlign w:val="top"/>
          </w:tcPr>
          <w:p>
            <w:pPr>
              <w:spacing w:after="0" w:line="240" w:lineRule="auto"/>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站点采用省“充换电一张网”综合服务移动客户端（</w:t>
            </w:r>
            <w:r>
              <w:rPr>
                <w:rFonts w:hint="default" w:ascii="Times New Roman" w:hAnsi="Times New Roman" w:eastAsia="仿宋_GB2312" w:cs="Times New Roman"/>
                <w:kern w:val="0"/>
                <w:sz w:val="24"/>
                <w:highlight w:val="none"/>
                <w:lang w:val="en-US" w:eastAsia="zh-CN"/>
              </w:rPr>
              <w:t>安徽</w:t>
            </w:r>
            <w:r>
              <w:rPr>
                <w:rFonts w:hint="default" w:ascii="Times New Roman" w:hAnsi="Times New Roman" w:eastAsia="仿宋_GB2312" w:cs="Times New Roman"/>
                <w:kern w:val="0"/>
                <w:sz w:val="24"/>
                <w:highlight w:val="none"/>
              </w:rPr>
              <w:t>充换电APP）扫码跳转充电功能，满分20分。</w:t>
            </w:r>
          </w:p>
          <w:p>
            <w:pPr>
              <w:spacing w:after="0" w:line="240" w:lineRule="auto"/>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1.与</w:t>
            </w:r>
            <w:r>
              <w:rPr>
                <w:rFonts w:hint="default" w:ascii="Times New Roman" w:hAnsi="Times New Roman" w:eastAsia="仿宋_GB2312" w:cs="Times New Roman"/>
                <w:kern w:val="0"/>
                <w:sz w:val="24"/>
                <w:highlight w:val="none"/>
                <w:lang w:val="en-US" w:eastAsia="zh-CN"/>
              </w:rPr>
              <w:t>安徽</w:t>
            </w:r>
            <w:r>
              <w:rPr>
                <w:rFonts w:hint="default" w:ascii="Times New Roman" w:hAnsi="Times New Roman" w:eastAsia="仿宋_GB2312" w:cs="Times New Roman"/>
                <w:kern w:val="0"/>
                <w:sz w:val="24"/>
                <w:highlight w:val="none"/>
              </w:rPr>
              <w:t>充换电APP完成技术对接，实现扫码跳转充电功能得10分。</w:t>
            </w:r>
          </w:p>
          <w:p>
            <w:pPr>
              <w:spacing w:after="0" w:line="240" w:lineRule="auto"/>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2.使用率=APP启动订单/监管平台总订单数*100%</w:t>
            </w:r>
          </w:p>
          <w:p>
            <w:pPr>
              <w:spacing w:after="0" w:line="240" w:lineRule="auto"/>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使用率≥50%，得10分。</w:t>
            </w:r>
          </w:p>
          <w:p>
            <w:pPr>
              <w:rPr>
                <w:highlight w:val="none"/>
              </w:rPr>
            </w:pPr>
            <w:r>
              <w:rPr>
                <w:rFonts w:hint="default" w:ascii="Times New Roman" w:hAnsi="Times New Roman" w:eastAsia="仿宋_GB2312" w:cs="Times New Roman"/>
                <w:kern w:val="0"/>
                <w:sz w:val="24"/>
                <w:highlight w:val="none"/>
              </w:rPr>
              <w:t>50%&gt;使用率≥10%，得5分。</w:t>
            </w:r>
          </w:p>
          <w:p>
            <w:pPr>
              <w:spacing w:after="0" w:line="240" w:lineRule="auto"/>
              <w:rPr>
                <w:rFonts w:hint="default" w:ascii="Times New Roman" w:hAnsi="Times New Roman" w:eastAsia="仿宋_GB2312" w:cs="Times New Roman"/>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32" w:type="dxa"/>
            <w:vMerge w:val="restart"/>
            <w:noWrap w:val="0"/>
            <w:vAlign w:val="center"/>
          </w:tcPr>
          <w:p>
            <w:pPr>
              <w:spacing w:after="0" w:line="240" w:lineRule="auto"/>
              <w:jc w:val="center"/>
              <w:rPr>
                <w:rFonts w:hint="default" w:ascii="Times New Roman" w:hAnsi="Times New Roman" w:eastAsia="仿宋_GB2312" w:cs="Times New Roman"/>
                <w:b/>
                <w:bCs/>
                <w:kern w:val="0"/>
                <w:sz w:val="24"/>
                <w:highlight w:val="none"/>
              </w:rPr>
            </w:pPr>
            <w:r>
              <w:rPr>
                <w:rFonts w:hint="default" w:ascii="Times New Roman" w:hAnsi="Times New Roman" w:eastAsia="仿宋_GB2312" w:cs="Times New Roman"/>
                <w:b/>
                <w:bCs/>
                <w:kern w:val="0"/>
                <w:sz w:val="24"/>
                <w:highlight w:val="none"/>
              </w:rPr>
              <w:t>服务管理</w:t>
            </w:r>
          </w:p>
        </w:tc>
        <w:tc>
          <w:tcPr>
            <w:tcW w:w="904" w:type="dxa"/>
            <w:noWrap w:val="0"/>
            <w:vAlign w:val="center"/>
          </w:tcPr>
          <w:p>
            <w:pPr>
              <w:spacing w:after="0" w:line="240" w:lineRule="auto"/>
              <w:jc w:val="center"/>
              <w:rPr>
                <w:rFonts w:hint="default" w:ascii="Times New Roman" w:hAnsi="Times New Roman" w:eastAsia="仿宋_GB2312" w:cs="Times New Roman"/>
                <w:b/>
                <w:bCs/>
                <w:kern w:val="0"/>
                <w:sz w:val="24"/>
                <w:highlight w:val="none"/>
              </w:rPr>
            </w:pPr>
            <w:r>
              <w:rPr>
                <w:rFonts w:hint="default" w:ascii="Times New Roman" w:hAnsi="Times New Roman" w:eastAsia="仿宋_GB2312" w:cs="Times New Roman"/>
                <w:kern w:val="0"/>
                <w:sz w:val="24"/>
                <w:highlight w:val="none"/>
              </w:rPr>
              <w:t>15</w:t>
            </w:r>
          </w:p>
        </w:tc>
        <w:tc>
          <w:tcPr>
            <w:tcW w:w="1232" w:type="dxa"/>
            <w:noWrap w:val="0"/>
            <w:vAlign w:val="center"/>
          </w:tcPr>
          <w:p>
            <w:pPr>
              <w:spacing w:after="0" w:line="240" w:lineRule="auto"/>
              <w:rPr>
                <w:rFonts w:hint="default" w:ascii="Times New Roman" w:hAnsi="Times New Roman" w:eastAsia="仿宋_GB2312" w:cs="Times New Roman"/>
                <w:b/>
                <w:bCs/>
                <w:kern w:val="0"/>
                <w:sz w:val="24"/>
                <w:highlight w:val="none"/>
              </w:rPr>
            </w:pPr>
            <w:r>
              <w:rPr>
                <w:rFonts w:hint="default" w:ascii="Times New Roman" w:hAnsi="Times New Roman" w:eastAsia="仿宋_GB2312" w:cs="Times New Roman"/>
                <w:kern w:val="0"/>
                <w:sz w:val="24"/>
                <w:highlight w:val="none"/>
              </w:rPr>
              <w:t>站点建设规模</w:t>
            </w:r>
          </w:p>
        </w:tc>
        <w:tc>
          <w:tcPr>
            <w:tcW w:w="5610" w:type="dxa"/>
            <w:noWrap w:val="0"/>
            <w:vAlign w:val="top"/>
          </w:tcPr>
          <w:p>
            <w:pPr>
              <w:spacing w:after="0" w:line="240" w:lineRule="auto"/>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综合考虑站点建设规模及所在区域，按以下情况得分，满分15分：</w:t>
            </w:r>
          </w:p>
          <w:p>
            <w:pPr>
              <w:spacing w:after="0" w:line="240" w:lineRule="auto"/>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1.</w:t>
            </w:r>
            <w:r>
              <w:rPr>
                <w:rFonts w:hint="default" w:ascii="Times New Roman" w:hAnsi="Times New Roman" w:cs="Times New Roman"/>
                <w:highlight w:val="none"/>
              </w:rPr>
              <w:t xml:space="preserve"> </w:t>
            </w:r>
            <w:r>
              <w:rPr>
                <w:rFonts w:hint="default" w:ascii="Times New Roman" w:hAnsi="Times New Roman" w:eastAsia="仿宋_GB2312" w:cs="Times New Roman"/>
                <w:kern w:val="0"/>
                <w:sz w:val="24"/>
                <w:highlight w:val="none"/>
              </w:rPr>
              <w:t>站内设备总额定功率</w:t>
            </w:r>
          </w:p>
          <w:p>
            <w:pPr>
              <w:spacing w:after="0" w:line="240" w:lineRule="auto"/>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站内设备总额定功率大于等于1200kW的站点，得10分。</w:t>
            </w:r>
          </w:p>
          <w:p>
            <w:pPr>
              <w:spacing w:after="0" w:line="240" w:lineRule="auto"/>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站内设备总额定功率在 500kW（含）至1200kW之间的站点，得8分。</w:t>
            </w:r>
          </w:p>
          <w:p>
            <w:pPr>
              <w:spacing w:after="0" w:line="240" w:lineRule="auto"/>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站内设备总额定功率在180kW（含）至500kW之间的，得4分。</w:t>
            </w:r>
          </w:p>
          <w:p>
            <w:pPr>
              <w:spacing w:after="0" w:line="240" w:lineRule="auto"/>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2.直流设备占比</w:t>
            </w:r>
          </w:p>
          <w:p>
            <w:pPr>
              <w:spacing w:after="0" w:line="240" w:lineRule="auto"/>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计算方式：直流充电设备占站总充电设备比值。</w:t>
            </w:r>
          </w:p>
          <w:p>
            <w:pPr>
              <w:rPr>
                <w:highlight w:val="none"/>
              </w:rPr>
            </w:pPr>
          </w:p>
          <w:p>
            <w:pPr>
              <w:spacing w:after="0" w:line="240" w:lineRule="auto"/>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直流设备占比≥80%，得5分。</w:t>
            </w:r>
          </w:p>
          <w:p>
            <w:pPr>
              <w:spacing w:after="0" w:line="240" w:lineRule="auto"/>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80%&gt;直流设备占比≥65%，得3分。</w:t>
            </w:r>
          </w:p>
          <w:p>
            <w:pPr>
              <w:spacing w:after="0" w:line="240" w:lineRule="auto"/>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65%&gt;直流设备占比≥50%，得2分。</w:t>
            </w:r>
          </w:p>
          <w:p>
            <w:pPr>
              <w:spacing w:after="0" w:line="240" w:lineRule="auto"/>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50%&gt;直流设备占比，得1分。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32" w:type="dxa"/>
            <w:vMerge w:val="continue"/>
            <w:noWrap w:val="0"/>
            <w:vAlign w:val="center"/>
          </w:tcPr>
          <w:p>
            <w:pPr>
              <w:spacing w:after="0" w:line="240" w:lineRule="auto"/>
              <w:jc w:val="center"/>
              <w:rPr>
                <w:rFonts w:hint="default" w:ascii="Times New Roman" w:hAnsi="Times New Roman" w:eastAsia="仿宋_GB2312" w:cs="Times New Roman"/>
                <w:b/>
                <w:bCs/>
                <w:kern w:val="0"/>
                <w:sz w:val="24"/>
                <w:highlight w:val="none"/>
              </w:rPr>
            </w:pPr>
          </w:p>
        </w:tc>
        <w:tc>
          <w:tcPr>
            <w:tcW w:w="904" w:type="dxa"/>
            <w:noWrap w:val="0"/>
            <w:vAlign w:val="center"/>
          </w:tcPr>
          <w:p>
            <w:pPr>
              <w:spacing w:after="0" w:line="240" w:lineRule="auto"/>
              <w:jc w:val="center"/>
              <w:rPr>
                <w:rFonts w:hint="default" w:ascii="Times New Roman" w:hAnsi="Times New Roman" w:eastAsia="仿宋_GB2312" w:cs="Times New Roman"/>
                <w:b/>
                <w:bCs/>
                <w:kern w:val="0"/>
                <w:sz w:val="24"/>
                <w:highlight w:val="none"/>
              </w:rPr>
            </w:pPr>
            <w:r>
              <w:rPr>
                <w:rFonts w:hint="default" w:ascii="Times New Roman" w:hAnsi="Times New Roman" w:eastAsia="仿宋_GB2312" w:cs="Times New Roman"/>
                <w:kern w:val="0"/>
                <w:sz w:val="24"/>
                <w:highlight w:val="none"/>
              </w:rPr>
              <w:t>10</w:t>
            </w:r>
          </w:p>
        </w:tc>
        <w:tc>
          <w:tcPr>
            <w:tcW w:w="1232" w:type="dxa"/>
            <w:noWrap w:val="0"/>
            <w:vAlign w:val="center"/>
          </w:tcPr>
          <w:p>
            <w:pPr>
              <w:spacing w:after="0" w:line="240" w:lineRule="auto"/>
              <w:rPr>
                <w:rFonts w:hint="default" w:ascii="Times New Roman" w:hAnsi="Times New Roman" w:eastAsia="仿宋_GB2312" w:cs="Times New Roman"/>
                <w:b/>
                <w:bCs/>
                <w:kern w:val="0"/>
                <w:sz w:val="24"/>
                <w:highlight w:val="none"/>
              </w:rPr>
            </w:pPr>
            <w:r>
              <w:rPr>
                <w:rFonts w:hint="default" w:ascii="Times New Roman" w:hAnsi="Times New Roman" w:eastAsia="仿宋_GB2312" w:cs="Times New Roman"/>
                <w:kern w:val="0"/>
                <w:sz w:val="24"/>
                <w:highlight w:val="none"/>
              </w:rPr>
              <w:t>用户反馈</w:t>
            </w:r>
          </w:p>
        </w:tc>
        <w:tc>
          <w:tcPr>
            <w:tcW w:w="5610" w:type="dxa"/>
            <w:noWrap w:val="0"/>
            <w:vAlign w:val="top"/>
          </w:tcPr>
          <w:p>
            <w:pPr>
              <w:spacing w:after="0" w:line="240" w:lineRule="auto"/>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根据省级平台收到的用户投诉情况，对充电站点的服务质量进行评定，满分10分。投诉响应时效超24小时每单扣1分，处理时效超72小时每单扣2分，扣完为止。</w:t>
            </w:r>
          </w:p>
          <w:p>
            <w:pPr>
              <w:spacing w:after="0" w:line="240" w:lineRule="auto"/>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注：</w:t>
            </w:r>
          </w:p>
          <w:p>
            <w:pPr>
              <w:spacing w:after="0" w:line="240" w:lineRule="auto"/>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1.投诉渠道包括且不限于：12345市长热线、客服电话、省级监管平台、</w:t>
            </w:r>
            <w:r>
              <w:rPr>
                <w:rFonts w:hint="default" w:ascii="Times New Roman" w:hAnsi="Times New Roman" w:eastAsia="仿宋_GB2312" w:cs="Times New Roman"/>
                <w:kern w:val="0"/>
                <w:sz w:val="24"/>
                <w:highlight w:val="none"/>
                <w:lang w:val="en-US" w:eastAsia="zh-CN"/>
              </w:rPr>
              <w:t>安徽</w:t>
            </w:r>
            <w:r>
              <w:rPr>
                <w:rFonts w:hint="default" w:ascii="Times New Roman" w:hAnsi="Times New Roman" w:eastAsia="仿宋_GB2312" w:cs="Times New Roman"/>
                <w:kern w:val="0"/>
                <w:sz w:val="24"/>
                <w:highlight w:val="none"/>
              </w:rPr>
              <w:t>充换电APP等。</w:t>
            </w:r>
          </w:p>
          <w:p>
            <w:pPr>
              <w:spacing w:after="0" w:line="240" w:lineRule="auto"/>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2.响应时效：以省级监管平台派发工单时间开始至企业首次反馈工单处理结果结束。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32" w:type="dxa"/>
            <w:vMerge w:val="continue"/>
            <w:noWrap w:val="0"/>
            <w:vAlign w:val="center"/>
          </w:tcPr>
          <w:p>
            <w:pPr>
              <w:spacing w:after="0" w:line="240" w:lineRule="auto"/>
              <w:jc w:val="center"/>
              <w:rPr>
                <w:rFonts w:hint="default" w:ascii="Times New Roman" w:hAnsi="Times New Roman" w:eastAsia="仿宋_GB2312" w:cs="Times New Roman"/>
                <w:b/>
                <w:bCs/>
                <w:kern w:val="0"/>
                <w:sz w:val="24"/>
                <w:highlight w:val="none"/>
              </w:rPr>
            </w:pPr>
          </w:p>
        </w:tc>
        <w:tc>
          <w:tcPr>
            <w:tcW w:w="904" w:type="dxa"/>
            <w:noWrap w:val="0"/>
            <w:vAlign w:val="center"/>
          </w:tcPr>
          <w:p>
            <w:pPr>
              <w:spacing w:after="0" w:line="240" w:lineRule="auto"/>
              <w:jc w:val="center"/>
              <w:rPr>
                <w:rFonts w:hint="default" w:ascii="Times New Roman" w:hAnsi="Times New Roman" w:eastAsia="仿宋_GB2312" w:cs="Times New Roman"/>
                <w:b/>
                <w:bCs/>
                <w:kern w:val="0"/>
                <w:sz w:val="24"/>
                <w:highlight w:val="none"/>
              </w:rPr>
            </w:pPr>
            <w:r>
              <w:rPr>
                <w:rFonts w:hint="default" w:ascii="Times New Roman" w:hAnsi="Times New Roman" w:eastAsia="仿宋_GB2312" w:cs="Times New Roman"/>
                <w:kern w:val="0"/>
                <w:sz w:val="24"/>
                <w:highlight w:val="none"/>
              </w:rPr>
              <w:t>10</w:t>
            </w:r>
          </w:p>
        </w:tc>
        <w:tc>
          <w:tcPr>
            <w:tcW w:w="1232" w:type="dxa"/>
            <w:noWrap w:val="0"/>
            <w:vAlign w:val="center"/>
          </w:tcPr>
          <w:p>
            <w:pPr>
              <w:spacing w:after="0" w:line="240" w:lineRule="auto"/>
              <w:rPr>
                <w:rFonts w:hint="default" w:ascii="Times New Roman" w:hAnsi="Times New Roman" w:eastAsia="仿宋_GB2312" w:cs="Times New Roman"/>
                <w:b/>
                <w:bCs/>
                <w:kern w:val="0"/>
                <w:sz w:val="24"/>
                <w:highlight w:val="none"/>
              </w:rPr>
            </w:pPr>
            <w:r>
              <w:rPr>
                <w:rFonts w:hint="default" w:ascii="Times New Roman" w:hAnsi="Times New Roman" w:eastAsia="仿宋_GB2312" w:cs="Times New Roman"/>
                <w:kern w:val="0"/>
                <w:sz w:val="24"/>
                <w:highlight w:val="none"/>
              </w:rPr>
              <w:t>服务管理水平</w:t>
            </w:r>
          </w:p>
        </w:tc>
        <w:tc>
          <w:tcPr>
            <w:tcW w:w="5610" w:type="dxa"/>
            <w:noWrap w:val="0"/>
            <w:vAlign w:val="top"/>
          </w:tcPr>
          <w:p>
            <w:pPr>
              <w:spacing w:after="0" w:line="240" w:lineRule="auto"/>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评定充换电设施运营企业对站点设施的服务管理水平，满分10分，存在一处问题扣2.5分，扣完为止。具体内容包括：</w:t>
            </w:r>
          </w:p>
          <w:p>
            <w:pPr>
              <w:spacing w:after="0" w:line="240" w:lineRule="auto"/>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1.站点有明确的运行和安全管理制度。</w:t>
            </w:r>
          </w:p>
          <w:p>
            <w:pPr>
              <w:spacing w:after="0" w:line="240" w:lineRule="auto"/>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2.充电设施在强制检定有效期内（含已申报强检的），外观、地面硬化、功能、安全防控等正常，设备底座、支架坚固完好。</w:t>
            </w:r>
          </w:p>
          <w:p>
            <w:pPr>
              <w:spacing w:after="0" w:line="240" w:lineRule="auto"/>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3.充电站设置有完备的充电设施标识标志，充电区域整洁，照明及消防设备完好，按规定摆放安全和消防器材，无堆积物，无易燃、易爆物品。</w:t>
            </w:r>
          </w:p>
          <w:p>
            <w:pPr>
              <w:spacing w:after="0" w:line="240" w:lineRule="auto"/>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4.配备地锁</w:t>
            </w:r>
            <w:r>
              <w:rPr>
                <w:rFonts w:hint="default" w:ascii="Times New Roman" w:hAnsi="Times New Roman" w:eastAsia="仿宋_GB2312" w:cs="Times New Roman"/>
                <w:kern w:val="0"/>
                <w:sz w:val="24"/>
                <w:highlight w:val="none"/>
                <w:lang w:val="en-US" w:eastAsia="zh-CN"/>
              </w:rPr>
              <w:t>或</w:t>
            </w:r>
            <w:r>
              <w:rPr>
                <w:rFonts w:hint="default" w:ascii="Times New Roman" w:hAnsi="Times New Roman" w:eastAsia="仿宋_GB2312" w:cs="Times New Roman"/>
                <w:kern w:val="0"/>
                <w:sz w:val="24"/>
                <w:highlight w:val="none"/>
              </w:rPr>
              <w:t>专用道闸等能具备油车占位管理功能设备。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32" w:type="dxa"/>
            <w:vMerge w:val="restart"/>
            <w:noWrap w:val="0"/>
            <w:vAlign w:val="center"/>
          </w:tcPr>
          <w:p>
            <w:pPr>
              <w:spacing w:after="0" w:line="240" w:lineRule="auto"/>
              <w:jc w:val="center"/>
              <w:rPr>
                <w:rFonts w:hint="default" w:ascii="Times New Roman" w:hAnsi="Times New Roman" w:eastAsia="仿宋_GB2312" w:cs="Times New Roman"/>
                <w:b/>
                <w:bCs/>
                <w:kern w:val="0"/>
                <w:sz w:val="24"/>
                <w:highlight w:val="none"/>
              </w:rPr>
            </w:pPr>
            <w:r>
              <w:rPr>
                <w:rFonts w:hint="default" w:ascii="Times New Roman" w:hAnsi="Times New Roman" w:eastAsia="仿宋_GB2312" w:cs="Times New Roman"/>
                <w:b/>
                <w:bCs/>
                <w:kern w:val="0"/>
                <w:sz w:val="24"/>
                <w:highlight w:val="none"/>
              </w:rPr>
              <w:t>附加项</w:t>
            </w:r>
          </w:p>
        </w:tc>
        <w:tc>
          <w:tcPr>
            <w:tcW w:w="904" w:type="dxa"/>
            <w:noWrap w:val="0"/>
            <w:vAlign w:val="center"/>
          </w:tcPr>
          <w:p>
            <w:pPr>
              <w:spacing w:after="0" w:line="240" w:lineRule="auto"/>
              <w:jc w:val="center"/>
              <w:rPr>
                <w:rFonts w:hint="default" w:ascii="Times New Roman" w:hAnsi="Times New Roman" w:eastAsia="仿宋_GB2312" w:cs="Times New Roman"/>
                <w:kern w:val="0"/>
                <w:sz w:val="24"/>
                <w:highlight w:val="none"/>
                <w:lang w:eastAsia="zh-CN"/>
              </w:rPr>
            </w:pPr>
            <w:r>
              <w:rPr>
                <w:rFonts w:hint="default" w:ascii="Times New Roman" w:hAnsi="Times New Roman" w:eastAsia="仿宋_GB2312" w:cs="Times New Roman"/>
                <w:kern w:val="0"/>
                <w:sz w:val="24"/>
                <w:highlight w:val="none"/>
              </w:rPr>
              <w:t>1</w:t>
            </w:r>
            <w:r>
              <w:rPr>
                <w:rFonts w:hint="default" w:ascii="Times New Roman" w:hAnsi="Times New Roman" w:eastAsia="仿宋_GB2312" w:cs="Times New Roman"/>
                <w:kern w:val="0"/>
                <w:sz w:val="24"/>
                <w:highlight w:val="none"/>
                <w:lang w:val="en-US" w:eastAsia="zh-CN"/>
              </w:rPr>
              <w:t>0</w:t>
            </w:r>
          </w:p>
        </w:tc>
        <w:tc>
          <w:tcPr>
            <w:tcW w:w="1232" w:type="dxa"/>
            <w:noWrap w:val="0"/>
            <w:vAlign w:val="center"/>
          </w:tcPr>
          <w:p>
            <w:pPr>
              <w:spacing w:after="0" w:line="240" w:lineRule="auto"/>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新技术应用</w:t>
            </w:r>
          </w:p>
        </w:tc>
        <w:tc>
          <w:tcPr>
            <w:tcW w:w="5610" w:type="dxa"/>
            <w:noWrap w:val="0"/>
            <w:vAlign w:val="top"/>
          </w:tcPr>
          <w:p>
            <w:pPr>
              <w:spacing w:after="0" w:line="240" w:lineRule="auto"/>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1.经线下审核及线上调度，上传站点负荷聚合统计数据且实现设施智能有序充电调度的站点，能提供参与安徽省内需求响应活动证明材料的，在原有得分基础上加</w:t>
            </w:r>
            <w:r>
              <w:rPr>
                <w:rFonts w:hint="default" w:ascii="Times New Roman" w:hAnsi="Times New Roman" w:eastAsia="仿宋_GB2312" w:cs="Times New Roman"/>
                <w:kern w:val="0"/>
                <w:sz w:val="24"/>
                <w:highlight w:val="none"/>
                <w:lang w:val="en-US" w:eastAsia="zh-CN"/>
              </w:rPr>
              <w:t>4</w:t>
            </w:r>
            <w:r>
              <w:rPr>
                <w:rFonts w:hint="default" w:ascii="Times New Roman" w:hAnsi="Times New Roman" w:eastAsia="仿宋_GB2312" w:cs="Times New Roman"/>
                <w:kern w:val="0"/>
                <w:sz w:val="24"/>
                <w:highlight w:val="none"/>
              </w:rPr>
              <w:t>分。</w:t>
            </w:r>
          </w:p>
          <w:p>
            <w:pPr>
              <w:spacing w:after="0" w:line="240" w:lineRule="auto"/>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2.配备超充或移动充电设施的场站，在原有得分基础上加</w:t>
            </w:r>
            <w:r>
              <w:rPr>
                <w:rFonts w:hint="default" w:ascii="Times New Roman" w:hAnsi="Times New Roman" w:eastAsia="仿宋_GB2312" w:cs="Times New Roman"/>
                <w:kern w:val="0"/>
                <w:sz w:val="24"/>
                <w:highlight w:val="none"/>
                <w:lang w:val="en-US" w:eastAsia="zh-CN"/>
              </w:rPr>
              <w:t>3</w:t>
            </w:r>
            <w:r>
              <w:rPr>
                <w:rFonts w:hint="default" w:ascii="Times New Roman" w:hAnsi="Times New Roman" w:eastAsia="仿宋_GB2312" w:cs="Times New Roman"/>
                <w:kern w:val="0"/>
                <w:sz w:val="24"/>
                <w:highlight w:val="none"/>
              </w:rPr>
              <w:t>分。</w:t>
            </w:r>
          </w:p>
          <w:p>
            <w:pPr>
              <w:spacing w:after="0" w:line="240" w:lineRule="auto"/>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3.具有可升级支付安全的能力，支持先充电后付费，支付风控安全解决方案。在原有得分基础上加</w:t>
            </w:r>
            <w:r>
              <w:rPr>
                <w:rFonts w:hint="default" w:ascii="Times New Roman" w:hAnsi="Times New Roman" w:eastAsia="仿宋_GB2312" w:cs="Times New Roman"/>
                <w:kern w:val="0"/>
                <w:sz w:val="24"/>
                <w:highlight w:val="none"/>
                <w:lang w:val="en-US" w:eastAsia="zh-CN"/>
              </w:rPr>
              <w:t>3</w:t>
            </w:r>
            <w:r>
              <w:rPr>
                <w:rFonts w:hint="default" w:ascii="Times New Roman" w:hAnsi="Times New Roman" w:eastAsia="仿宋_GB2312" w:cs="Times New Roman"/>
                <w:kern w:val="0"/>
                <w:sz w:val="24"/>
                <w:highlight w:val="none"/>
              </w:rPr>
              <w:t>分。</w:t>
            </w:r>
          </w:p>
          <w:p>
            <w:pPr>
              <w:spacing w:after="0" w:line="240" w:lineRule="auto"/>
              <w:rPr>
                <w:rFonts w:hint="eastAsia" w:ascii="Times New Roman" w:hAnsi="Times New Roman" w:eastAsia="仿宋_GB2312" w:cs="Times New Roman"/>
                <w:kern w:val="0"/>
                <w:sz w:val="24"/>
                <w:highlight w:val="none"/>
                <w:lang w:eastAsia="zh-CN"/>
              </w:rPr>
            </w:pPr>
            <w:r>
              <w:rPr>
                <w:rFonts w:hint="eastAsia" w:ascii="Times New Roman" w:hAnsi="Times New Roman" w:eastAsia="仿宋_GB2312"/>
                <w:kern w:val="0"/>
                <w:sz w:val="24"/>
                <w:highlight w:val="none"/>
              </w:rPr>
              <w:t>4.接入安徽省充电设施在线检定</w:t>
            </w:r>
            <w:r>
              <w:rPr>
                <w:rFonts w:hint="eastAsia" w:ascii="Times New Roman" w:hAnsi="Times New Roman" w:eastAsia="仿宋_GB2312"/>
                <w:kern w:val="0"/>
                <w:sz w:val="24"/>
                <w:highlight w:val="none"/>
                <w:lang w:val="en-US" w:eastAsia="zh-CN"/>
              </w:rPr>
              <w:t>监管</w:t>
            </w:r>
            <w:r>
              <w:rPr>
                <w:rFonts w:hint="eastAsia" w:ascii="Times New Roman" w:hAnsi="Times New Roman" w:eastAsia="仿宋_GB2312"/>
                <w:kern w:val="0"/>
                <w:sz w:val="24"/>
                <w:highlight w:val="none"/>
              </w:rPr>
              <w:t>平台，实现计量性能实时监测的场站，</w:t>
            </w:r>
            <w:r>
              <w:rPr>
                <w:rFonts w:ascii="Times New Roman" w:hAnsi="Times New Roman" w:eastAsia="仿宋_GB2312"/>
                <w:kern w:val="0"/>
                <w:sz w:val="24"/>
                <w:highlight w:val="none"/>
              </w:rPr>
              <w:t>在原有得分基础上加4分。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32" w:type="dxa"/>
            <w:vMerge w:val="continue"/>
            <w:noWrap w:val="0"/>
            <w:vAlign w:val="center"/>
          </w:tcPr>
          <w:p>
            <w:pPr>
              <w:spacing w:after="0" w:line="240" w:lineRule="auto"/>
              <w:jc w:val="center"/>
              <w:rPr>
                <w:rFonts w:hint="default" w:ascii="Times New Roman" w:hAnsi="Times New Roman" w:eastAsia="仿宋_GB2312" w:cs="Times New Roman"/>
                <w:b/>
                <w:bCs/>
                <w:kern w:val="0"/>
                <w:sz w:val="24"/>
                <w:highlight w:val="none"/>
              </w:rPr>
            </w:pPr>
          </w:p>
        </w:tc>
        <w:tc>
          <w:tcPr>
            <w:tcW w:w="904" w:type="dxa"/>
            <w:noWrap w:val="0"/>
            <w:vAlign w:val="center"/>
          </w:tcPr>
          <w:p>
            <w:pPr>
              <w:spacing w:after="0" w:line="240" w:lineRule="auto"/>
              <w:jc w:val="center"/>
              <w:rPr>
                <w:rFonts w:hint="default" w:ascii="Times New Roman" w:hAnsi="Times New Roman" w:eastAsia="仿宋_GB2312" w:cs="Times New Roman"/>
                <w:kern w:val="0"/>
                <w:sz w:val="24"/>
                <w:highlight w:val="none"/>
                <w:lang w:eastAsia="zh-CN"/>
              </w:rPr>
            </w:pPr>
            <w:r>
              <w:rPr>
                <w:rFonts w:hint="default" w:ascii="Times New Roman" w:hAnsi="Times New Roman" w:eastAsia="仿宋_GB2312" w:cs="Times New Roman"/>
                <w:kern w:val="0"/>
                <w:sz w:val="24"/>
                <w:highlight w:val="none"/>
              </w:rPr>
              <w:t>1</w:t>
            </w:r>
            <w:r>
              <w:rPr>
                <w:rFonts w:hint="default" w:ascii="Times New Roman" w:hAnsi="Times New Roman" w:eastAsia="仿宋_GB2312" w:cs="Times New Roman"/>
                <w:kern w:val="0"/>
                <w:sz w:val="24"/>
                <w:highlight w:val="none"/>
                <w:lang w:val="en-US" w:eastAsia="zh-CN"/>
              </w:rPr>
              <w:t>0</w:t>
            </w:r>
          </w:p>
        </w:tc>
        <w:tc>
          <w:tcPr>
            <w:tcW w:w="1232" w:type="dxa"/>
            <w:noWrap w:val="0"/>
            <w:vAlign w:val="center"/>
          </w:tcPr>
          <w:p>
            <w:pPr>
              <w:spacing w:after="0" w:line="240" w:lineRule="auto"/>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特色服务</w:t>
            </w:r>
          </w:p>
        </w:tc>
        <w:tc>
          <w:tcPr>
            <w:tcW w:w="5610" w:type="dxa"/>
            <w:noWrap w:val="0"/>
            <w:vAlign w:val="top"/>
          </w:tcPr>
          <w:p>
            <w:pPr>
              <w:spacing w:after="0" w:line="240" w:lineRule="auto"/>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1.站点提供公共休息区、公共开水间、公共卫生间，在原有得分基础上加</w:t>
            </w:r>
            <w:r>
              <w:rPr>
                <w:rFonts w:hint="default" w:ascii="Times New Roman" w:hAnsi="Times New Roman" w:eastAsia="仿宋_GB2312" w:cs="Times New Roman"/>
                <w:kern w:val="0"/>
                <w:sz w:val="24"/>
                <w:highlight w:val="none"/>
                <w:lang w:val="en-US" w:eastAsia="zh-CN"/>
              </w:rPr>
              <w:t>4</w:t>
            </w:r>
            <w:r>
              <w:rPr>
                <w:rFonts w:hint="default" w:ascii="Times New Roman" w:hAnsi="Times New Roman" w:eastAsia="仿宋_GB2312" w:cs="Times New Roman"/>
                <w:kern w:val="0"/>
                <w:sz w:val="24"/>
                <w:highlight w:val="none"/>
              </w:rPr>
              <w:t>分。</w:t>
            </w:r>
          </w:p>
          <w:p>
            <w:pPr>
              <w:spacing w:after="0" w:line="240" w:lineRule="auto"/>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2.站点提供餐食、便利购物设施、洗车服务、汽车应急服务等，在原有得分基础上加</w:t>
            </w:r>
            <w:r>
              <w:rPr>
                <w:rFonts w:hint="default" w:ascii="Times New Roman" w:hAnsi="Times New Roman" w:eastAsia="仿宋_GB2312" w:cs="Times New Roman"/>
                <w:kern w:val="0"/>
                <w:sz w:val="24"/>
                <w:highlight w:val="none"/>
                <w:lang w:val="en-US" w:eastAsia="zh-CN"/>
              </w:rPr>
              <w:t>3</w:t>
            </w:r>
            <w:r>
              <w:rPr>
                <w:rFonts w:hint="default" w:ascii="Times New Roman" w:hAnsi="Times New Roman" w:eastAsia="仿宋_GB2312" w:cs="Times New Roman"/>
                <w:kern w:val="0"/>
                <w:sz w:val="24"/>
                <w:highlight w:val="none"/>
              </w:rPr>
              <w:t>分。</w:t>
            </w:r>
          </w:p>
          <w:p>
            <w:pPr>
              <w:spacing w:after="0" w:line="240" w:lineRule="auto"/>
              <w:rPr>
                <w:rFonts w:hint="default" w:ascii="Times New Roman" w:hAnsi="Times New Roman" w:eastAsia="仿宋_GB2312" w:cs="Times New Roman"/>
                <w:kern w:val="0"/>
                <w:sz w:val="24"/>
                <w:highlight w:val="none"/>
              </w:rPr>
            </w:pPr>
            <w:r>
              <w:rPr>
                <w:rFonts w:hint="default" w:ascii="Times New Roman" w:hAnsi="Times New Roman" w:eastAsia="仿宋_GB2312" w:cs="Times New Roman"/>
                <w:kern w:val="0"/>
                <w:sz w:val="24"/>
                <w:highlight w:val="none"/>
              </w:rPr>
              <w:t>3.提供24小时客服电话，在原有得分基础上加</w:t>
            </w:r>
            <w:r>
              <w:rPr>
                <w:rFonts w:hint="default" w:ascii="Times New Roman" w:hAnsi="Times New Roman" w:eastAsia="仿宋_GB2312" w:cs="Times New Roman"/>
                <w:kern w:val="0"/>
                <w:sz w:val="24"/>
                <w:highlight w:val="none"/>
                <w:lang w:val="en-US" w:eastAsia="zh-CN"/>
              </w:rPr>
              <w:t>3</w:t>
            </w:r>
            <w:r>
              <w:rPr>
                <w:rFonts w:hint="default" w:ascii="Times New Roman" w:hAnsi="Times New Roman" w:eastAsia="仿宋_GB2312" w:cs="Times New Roman"/>
                <w:kern w:val="0"/>
                <w:sz w:val="24"/>
                <w:highlight w:val="none"/>
              </w:rPr>
              <w:t>分。</w:t>
            </w:r>
          </w:p>
        </w:tc>
      </w:tr>
    </w:tbl>
    <w:p>
      <w:pPr>
        <w:widowControl/>
        <w:spacing w:line="240" w:lineRule="auto"/>
        <w:jc w:val="left"/>
        <w:rPr>
          <w:rFonts w:ascii="宋体" w:hAnsi="宋体"/>
          <w:color w:val="000000"/>
          <w:kern w:val="0"/>
          <w:sz w:val="18"/>
          <w:szCs w:val="18"/>
          <w:highlight w:val="none"/>
        </w:rPr>
      </w:pPr>
    </w:p>
    <w:p>
      <w:pPr>
        <w:pStyle w:val="279"/>
        <w:pageBreakBefore w:val="0"/>
        <w:numPr>
          <w:ilvl w:val="0"/>
          <w:numId w:val="0"/>
        </w:numPr>
        <w:kinsoku/>
        <w:wordWrap/>
        <w:overflowPunct/>
        <w:topLinePunct w:val="0"/>
        <w:bidi w:val="0"/>
        <w:adjustRightInd/>
        <w:spacing w:line="560" w:lineRule="exact"/>
        <w:textAlignment w:val="auto"/>
      </w:pPr>
      <w:r>
        <w:rPr>
          <w:rFonts w:hint="eastAsia"/>
        </w:rPr>
        <w:t>第一起草单位：中安能源（安徽）有限公司</w:t>
      </w:r>
    </w:p>
    <w:sectPr>
      <w:headerReference r:id="rId10" w:type="default"/>
      <w:footerReference r:id="rId12" w:type="default"/>
      <w:headerReference r:id="rId11" w:type="even"/>
      <w:footerReference r:id="rId13" w:type="even"/>
      <w:pgSz w:w="11906" w:h="16838"/>
      <w:pgMar w:top="2410" w:right="1134" w:bottom="1134" w:left="1134" w:header="1418" w:footer="1134" w:gutter="284"/>
      <w:pgNumType w:fmt="decimal" w:start="8"/>
      <w:cols w:space="425" w:num="1"/>
      <w:formProt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7"/>
                          </w:pPr>
                          <w:r>
                            <w:fldChar w:fldCharType="begin"/>
                          </w:r>
                          <w:r>
                            <w:instrText xml:space="preserve">PAGE   \* MERGEFORMAT</w:instrText>
                          </w:r>
                          <w:r>
                            <w:fldChar w:fldCharType="separate"/>
                          </w:r>
                          <w:r>
                            <w:rPr>
                              <w:lang w:val="zh-CN"/>
                            </w:rP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JvSDC8VAgAAEwQAAA4AAAAAAAAA&#10;AQAgAAAAHwEAAGRycy9lMm9Eb2MueG1sUEsFBgAAAAAGAAYAWQEAAKYFAAAAAA==&#10;">
              <v:fill on="f" focussize="0,0"/>
              <v:stroke on="f" weight="0.5pt"/>
              <v:imagedata o:title=""/>
              <o:lock v:ext="edit" aspectratio="f"/>
              <v:textbox inset="0mm,0mm,0mm,0mm" style="mso-fit-shape-to-text:t;">
                <w:txbxContent>
                  <w:p>
                    <w:pPr>
                      <w:pStyle w:val="27"/>
                    </w:pPr>
                    <w:r>
                      <w:fldChar w:fldCharType="begin"/>
                    </w:r>
                    <w:r>
                      <w:instrText xml:space="preserve">PAGE   \* MERGEFORMAT</w:instrText>
                    </w:r>
                    <w:r>
                      <w:fldChar w:fldCharType="separate"/>
                    </w:r>
                    <w:r>
                      <w:rPr>
                        <w:lang w:val="zh-CN"/>
                      </w:rP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2"/>
                          </w:pPr>
                          <w:r>
                            <w:fldChar w:fldCharType="begin"/>
                          </w:r>
                          <w:r>
                            <w:instrText xml:space="preserve">PAGE   \* MERGEFORMAT</w:instrText>
                          </w:r>
                          <w:r>
                            <w:fldChar w:fldCharType="separate"/>
                          </w:r>
                          <w:r>
                            <w:rPr>
                              <w:lang w:val="zh-CN"/>
                            </w:rP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72"/>
                    </w:pPr>
                    <w:r>
                      <w:fldChar w:fldCharType="begin"/>
                    </w:r>
                    <w:r>
                      <w:instrText xml:space="preserve">PAGE   \* MERGEFORMAT</w:instrText>
                    </w:r>
                    <w:r>
                      <w:fldChar w:fldCharType="separate"/>
                    </w:r>
                    <w:r>
                      <w:rPr>
                        <w:lang w:val="zh-CN"/>
                      </w:rPr>
                      <w:t>4</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2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1"/>
    </w:pPr>
    <w:r>
      <w:fldChar w:fldCharType="begin"/>
    </w:r>
    <w:r>
      <w:instrText xml:space="preserve"> STYLEREF  标准文件_文件编号  \* MERGEFORMAT </w:instrText>
    </w:r>
    <w:r>
      <w:fldChar w:fldCharType="separate"/>
    </w:r>
    <w:r>
      <w:t xml:space="preserve"> DB 34/T XXXX—202X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 xml:space="preserve"> DB 34/T XXXX—202X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1"/>
    </w:pPr>
    <w:r>
      <w:fldChar w:fldCharType="begin"/>
    </w:r>
    <w:r>
      <w:instrText xml:space="preserve"> STYLEREF  标准文件_文件编号  \* MERGEFORMAT </w:instrText>
    </w:r>
    <w:r>
      <w:fldChar w:fldCharType="separate"/>
    </w:r>
    <w:r>
      <w:t xml:space="preserve"> DB 34/T XXXX—202X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2"/>
    </w:pPr>
    <w:r>
      <w:fldChar w:fldCharType="begin"/>
    </w:r>
    <w:r>
      <w:instrText xml:space="preserve"> STYLEREF  标准文件_文件编号 \* MERGEFORMAT </w:instrText>
    </w:r>
    <w:r>
      <w:fldChar w:fldCharType="separate"/>
    </w:r>
    <w:r>
      <w:t xml:space="preserve"> DB 34/T XXXX—202X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tentative="0">
      <w:start w:val="1"/>
      <w:numFmt w:val="decimal"/>
      <w:pStyle w:val="8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79"/>
      <w:suff w:val="nothing"/>
      <w:lvlText w:val="%1%2.%3　"/>
      <w:lvlJc w:val="left"/>
      <w:pPr>
        <w:ind w:left="0" w:firstLine="0"/>
      </w:pPr>
    </w:lvl>
    <w:lvl w:ilvl="3" w:tentative="0">
      <w:start w:val="1"/>
      <w:numFmt w:val="decimal"/>
      <w:pStyle w:val="138"/>
      <w:suff w:val="nothing"/>
      <w:lvlText w:val="%1%2.%3.%4　"/>
      <w:lvlJc w:val="left"/>
      <w:pPr>
        <w:ind w:left="0" w:firstLine="0"/>
      </w:pPr>
    </w:lvl>
    <w:lvl w:ilvl="4" w:tentative="0">
      <w:start w:val="1"/>
      <w:numFmt w:val="decimal"/>
      <w:pStyle w:val="173"/>
      <w:suff w:val="nothing"/>
      <w:lvlText w:val="%1%2.%3.%4.%5　"/>
      <w:lvlJc w:val="left"/>
      <w:pPr>
        <w:ind w:left="0" w:firstLine="0"/>
      </w:pPr>
    </w:lvl>
    <w:lvl w:ilvl="5" w:tentative="0">
      <w:start w:val="1"/>
      <w:numFmt w:val="decimal"/>
      <w:pStyle w:val="175"/>
      <w:suff w:val="nothing"/>
      <w:lvlText w:val="%1%2.%3.%4.%5.%6　"/>
      <w:lvlJc w:val="left"/>
      <w:pPr>
        <w:ind w:left="0" w:firstLine="0"/>
      </w:pPr>
    </w:lvl>
    <w:lvl w:ilvl="6" w:tentative="0">
      <w:start w:val="1"/>
      <w:numFmt w:val="decimal"/>
      <w:pStyle w:val="17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20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109"/>
      <w:lvlText w:val="%1"/>
      <w:lvlJc w:val="left"/>
      <w:pPr>
        <w:ind w:left="425" w:hanging="425"/>
      </w:pPr>
      <w:rPr>
        <w:rFonts w:hint="eastAsia"/>
      </w:rPr>
    </w:lvl>
    <w:lvl w:ilvl="1" w:tentative="0">
      <w:start w:val="1"/>
      <w:numFmt w:val="decimal"/>
      <w:pStyle w:val="220"/>
      <w:suff w:val="nothing"/>
      <w:lvlText w:val="%10.%2 "/>
      <w:lvlJc w:val="left"/>
      <w:pPr>
        <w:ind w:left="0" w:firstLine="0"/>
      </w:pPr>
      <w:rPr>
        <w:rFonts w:hint="eastAsia" w:ascii="黑体" w:eastAsia="黑体" w:hAnsiTheme="minorHAnsi"/>
        <w:b w:val="0"/>
        <w:i w:val="0"/>
        <w:sz w:val="21"/>
      </w:rPr>
    </w:lvl>
    <w:lvl w:ilvl="2" w:tentative="0">
      <w:start w:val="1"/>
      <w:numFmt w:val="decimal"/>
      <w:pStyle w:val="221"/>
      <w:suff w:val="nothing"/>
      <w:lvlText w:val="%10.%2.%3 "/>
      <w:lvlJc w:val="left"/>
      <w:pPr>
        <w:ind w:left="0" w:firstLine="0"/>
      </w:pPr>
      <w:rPr>
        <w:rFonts w:hint="eastAsia" w:ascii="黑体" w:eastAsia="黑体" w:hAnsiTheme="minorHAnsi"/>
        <w:b w:val="0"/>
        <w:i w:val="0"/>
        <w:sz w:val="21"/>
      </w:rPr>
    </w:lvl>
    <w:lvl w:ilvl="3" w:tentative="0">
      <w:start w:val="1"/>
      <w:numFmt w:val="decimal"/>
      <w:pStyle w:val="222"/>
      <w:suff w:val="nothing"/>
      <w:lvlText w:val="%10.%2.%3.%4 "/>
      <w:lvlJc w:val="left"/>
      <w:pPr>
        <w:ind w:left="0" w:firstLine="0"/>
      </w:pPr>
      <w:rPr>
        <w:rFonts w:hint="eastAsia" w:ascii="黑体" w:eastAsia="黑体" w:hAnsiTheme="minorHAnsi"/>
        <w:b w:val="0"/>
        <w:i w:val="0"/>
        <w:sz w:val="21"/>
      </w:rPr>
    </w:lvl>
    <w:lvl w:ilvl="4" w:tentative="0">
      <w:start w:val="1"/>
      <w:numFmt w:val="decimal"/>
      <w:pStyle w:val="223"/>
      <w:suff w:val="nothing"/>
      <w:lvlText w:val="%10.%2.%3.%4.%5 "/>
      <w:lvlJc w:val="left"/>
      <w:pPr>
        <w:ind w:left="0" w:firstLine="0"/>
      </w:pPr>
      <w:rPr>
        <w:rFonts w:hint="eastAsia" w:ascii="黑体" w:eastAsia="黑体" w:hAnsiTheme="minorHAnsi"/>
        <w:b w:val="0"/>
        <w:i w:val="0"/>
        <w:sz w:val="21"/>
      </w:rPr>
    </w:lvl>
    <w:lvl w:ilvl="5" w:tentative="0">
      <w:start w:val="1"/>
      <w:numFmt w:val="decimal"/>
      <w:pStyle w:val="22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20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87"/>
      <w:lvlText w:val="[%1]"/>
      <w:lvlJc w:val="left"/>
      <w:pPr>
        <w:ind w:left="823" w:hanging="420"/>
      </w:pPr>
    </w:lvl>
    <w:lvl w:ilvl="1" w:tentative="0">
      <w:start w:val="1"/>
      <w:numFmt w:val="lowerLetter"/>
      <w:pStyle w:val="265"/>
      <w:lvlText w:val="%2)"/>
      <w:lvlJc w:val="left"/>
      <w:pPr>
        <w:tabs>
          <w:tab w:val="left" w:pos="840"/>
        </w:tabs>
        <w:ind w:left="840" w:hanging="420"/>
      </w:pPr>
    </w:lvl>
    <w:lvl w:ilvl="2" w:tentative="0">
      <w:start w:val="1"/>
      <w:numFmt w:val="lowerRoman"/>
      <w:pStyle w:val="276"/>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8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30"/>
      <w:lvlText w:val="%1注："/>
      <w:lvlJc w:val="left"/>
      <w:pPr>
        <w:tabs>
          <w:tab w:val="left" w:pos="845"/>
        </w:tabs>
        <w:ind w:left="-102" w:firstLine="419"/>
      </w:pPr>
    </w:lvl>
    <w:lvl w:ilvl="1" w:tentative="0">
      <w:start w:val="1"/>
      <w:numFmt w:val="lowerLetter"/>
      <w:pStyle w:val="302"/>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10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11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54"/>
      <w:suff w:val="nothing"/>
      <w:lvlText w:val="%1.%2　"/>
      <w:lvlJc w:val="left"/>
      <w:pPr>
        <w:ind w:left="0" w:firstLine="0"/>
      </w:pPr>
      <w:rPr>
        <w:rFonts w:hint="eastAsia" w:ascii="黑体" w:hAnsi="黑体"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55"/>
      <w:suff w:val="nothing"/>
      <w:lvlText w:val="%1.%2.%3　"/>
      <w:lvlJc w:val="left"/>
      <w:pPr>
        <w:ind w:left="0" w:firstLine="0"/>
      </w:pPr>
      <w:rPr>
        <w:rFonts w:hint="eastAsia" w:ascii="黑体" w:hAnsi="黑体" w:eastAsia="黑体"/>
        <w:b w:val="0"/>
        <w:i w:val="0"/>
        <w:sz w:val="21"/>
      </w:rPr>
    </w:lvl>
    <w:lvl w:ilvl="3" w:tentative="0">
      <w:start w:val="1"/>
      <w:numFmt w:val="decimal"/>
      <w:suff w:val="nothing"/>
      <w:lvlText w:val="%1.%2.%3.%4　"/>
      <w:lvlJc w:val="left"/>
      <w:pPr>
        <w:ind w:left="0" w:firstLine="0"/>
      </w:pPr>
      <w:rPr>
        <w:rFonts w:hint="eastAsia" w:ascii="黑体" w:hAnsi="黑体" w:eastAsia="黑体"/>
        <w:b w:val="0"/>
        <w:i w:val="0"/>
        <w:sz w:val="21"/>
      </w:rPr>
    </w:lvl>
    <w:lvl w:ilvl="4" w:tentative="0">
      <w:start w:val="1"/>
      <w:numFmt w:val="decimal"/>
      <w:suff w:val="nothing"/>
      <w:lvlText w:val="%1.%2.%3.%4.%5　"/>
      <w:lvlJc w:val="left"/>
      <w:pPr>
        <w:ind w:left="0" w:firstLine="0"/>
      </w:pPr>
      <w:rPr>
        <w:rFonts w:hint="eastAsia" w:ascii="黑体" w:hAnsi="黑体"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tentative="0">
      <w:start w:val="1"/>
      <w:numFmt w:val="none"/>
      <w:pStyle w:val="15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207"/>
      <w:lvlText w:val=""/>
      <w:lvlJc w:val="left"/>
      <w:pPr>
        <w:ind w:left="851" w:hanging="431"/>
      </w:pPr>
      <w:rPr>
        <w:rFonts w:hint="default" w:ascii="Symbol" w:hAnsi="Symbol"/>
        <w:sz w:val="21"/>
      </w:rPr>
    </w:lvl>
    <w:lvl w:ilvl="2" w:tentative="0">
      <w:start w:val="1"/>
      <w:numFmt w:val="bullet"/>
      <w:pStyle w:val="19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2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pStyle w:val="290"/>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94"/>
      <w:lvlText w:val="%1)"/>
      <w:lvlJc w:val="left"/>
      <w:pPr>
        <w:tabs>
          <w:tab w:val="left" w:pos="851"/>
        </w:tabs>
        <w:ind w:left="851" w:hanging="426"/>
      </w:pPr>
      <w:rPr>
        <w:rFonts w:hint="eastAsia" w:ascii="宋体" w:hAnsi="Times New Roman" w:eastAsia="宋体"/>
        <w:sz w:val="21"/>
      </w:rPr>
    </w:lvl>
    <w:lvl w:ilvl="1" w:tentative="0">
      <w:start w:val="1"/>
      <w:numFmt w:val="decimal"/>
      <w:pStyle w:val="129"/>
      <w:lvlText w:val="%2)"/>
      <w:lvlJc w:val="left"/>
      <w:pPr>
        <w:tabs>
          <w:tab w:val="left" w:pos="1276"/>
        </w:tabs>
        <w:ind w:left="1276" w:hanging="425"/>
      </w:pPr>
      <w:rPr>
        <w:rFonts w:hint="eastAsia" w:ascii="宋体" w:hAnsi="Times New Roman" w:eastAsia="宋体"/>
        <w:sz w:val="21"/>
      </w:rPr>
    </w:lvl>
    <w:lvl w:ilvl="2" w:tentative="0">
      <w:start w:val="1"/>
      <w:numFmt w:val="decimal"/>
      <w:pStyle w:val="13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18"/>
      <w:lvlText w:val="%1"/>
      <w:lvlJc w:val="left"/>
      <w:pPr>
        <w:ind w:left="420" w:hanging="420"/>
      </w:pPr>
      <w:rPr>
        <w:rFonts w:hint="eastAsia"/>
      </w:rPr>
    </w:lvl>
    <w:lvl w:ilvl="1" w:tentative="0">
      <w:start w:val="1"/>
      <w:numFmt w:val="decimal"/>
      <w:pStyle w:val="10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20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3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11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3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19"/>
      <w:suff w:val="space"/>
      <w:lvlText w:val="%1"/>
      <w:lvlJc w:val="left"/>
      <w:pPr>
        <w:ind w:left="425" w:hanging="425"/>
      </w:pPr>
      <w:rPr>
        <w:rFonts w:hint="eastAsia"/>
      </w:rPr>
    </w:lvl>
    <w:lvl w:ilvl="1" w:tentative="0">
      <w:start w:val="1"/>
      <w:numFmt w:val="decimal"/>
      <w:pStyle w:val="9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3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8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3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20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96"/>
      <w:suff w:val="nothing"/>
      <w:lvlText w:val="附录%1"/>
      <w:lvlJc w:val="left"/>
      <w:pPr>
        <w:ind w:left="0" w:firstLine="0"/>
      </w:pPr>
      <w:rPr>
        <w:rFonts w:hint="eastAsia"/>
        <w:spacing w:val="100"/>
      </w:rPr>
    </w:lvl>
    <w:lvl w:ilvl="1" w:tentative="0">
      <w:start w:val="1"/>
      <w:numFmt w:val="decimal"/>
      <w:pStyle w:val="98"/>
      <w:suff w:val="nothing"/>
      <w:lvlText w:val="%1.%2　"/>
      <w:lvlJc w:val="left"/>
      <w:pPr>
        <w:ind w:left="0" w:firstLine="0"/>
      </w:pPr>
      <w:rPr>
        <w:rFonts w:hint="eastAsia" w:ascii="黑体" w:eastAsia="黑体"/>
        <w:b w:val="0"/>
        <w:i w:val="0"/>
        <w:sz w:val="21"/>
      </w:rPr>
    </w:lvl>
    <w:lvl w:ilvl="2" w:tentative="0">
      <w:start w:val="1"/>
      <w:numFmt w:val="decimal"/>
      <w:pStyle w:val="99"/>
      <w:suff w:val="nothing"/>
      <w:lvlText w:val="%1.%2.%3　"/>
      <w:lvlJc w:val="left"/>
      <w:pPr>
        <w:ind w:left="0" w:firstLine="0"/>
      </w:pPr>
      <w:rPr>
        <w:rFonts w:hint="eastAsia" w:ascii="黑体" w:eastAsia="黑体"/>
        <w:b w:val="0"/>
        <w:i w:val="0"/>
        <w:sz w:val="21"/>
      </w:rPr>
    </w:lvl>
    <w:lvl w:ilvl="3" w:tentative="0">
      <w:start w:val="1"/>
      <w:numFmt w:val="decimal"/>
      <w:pStyle w:val="101"/>
      <w:suff w:val="nothing"/>
      <w:lvlText w:val="%1.%2.%3.%4　"/>
      <w:lvlJc w:val="left"/>
      <w:pPr>
        <w:ind w:left="0" w:firstLine="0"/>
      </w:pPr>
      <w:rPr>
        <w:rFonts w:hint="eastAsia" w:ascii="黑体" w:eastAsia="黑体"/>
        <w:b w:val="0"/>
        <w:i w:val="0"/>
        <w:sz w:val="21"/>
      </w:rPr>
    </w:lvl>
    <w:lvl w:ilvl="4" w:tentative="0">
      <w:start w:val="1"/>
      <w:numFmt w:val="decimal"/>
      <w:pStyle w:val="102"/>
      <w:suff w:val="nothing"/>
      <w:lvlText w:val="%1.%2.%3.%4.%5　"/>
      <w:lvlJc w:val="left"/>
      <w:pPr>
        <w:ind w:left="0" w:firstLine="0"/>
      </w:pPr>
      <w:rPr>
        <w:rFonts w:hint="eastAsia" w:ascii="黑体" w:eastAsia="黑体"/>
        <w:b w:val="0"/>
        <w:i w:val="0"/>
        <w:sz w:val="21"/>
      </w:rPr>
    </w:lvl>
    <w:lvl w:ilvl="5" w:tentative="0">
      <w:start w:val="1"/>
      <w:numFmt w:val="decimal"/>
      <w:pStyle w:val="10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20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117"/>
      <w:lvlText w:val="%1)"/>
      <w:lvlJc w:val="left"/>
      <w:pPr>
        <w:tabs>
          <w:tab w:val="left" w:pos="823"/>
        </w:tabs>
        <w:ind w:left="823" w:hanging="420"/>
      </w:pPr>
    </w:lvl>
    <w:lvl w:ilvl="1" w:tentative="0">
      <w:start w:val="1"/>
      <w:numFmt w:val="lowerLetter"/>
      <w:pStyle w:val="305"/>
      <w:lvlText w:val="%2)"/>
      <w:lvlJc w:val="left"/>
      <w:pPr>
        <w:tabs>
          <w:tab w:val="left" w:pos="840"/>
        </w:tabs>
        <w:ind w:left="840" w:hanging="420"/>
      </w:pPr>
    </w:lvl>
    <w:lvl w:ilvl="2" w:tentative="0">
      <w:start w:val="1"/>
      <w:numFmt w:val="lowerRoman"/>
      <w:pStyle w:val="306"/>
      <w:lvlText w:val="%3."/>
      <w:lvlJc w:val="right"/>
      <w:pPr>
        <w:tabs>
          <w:tab w:val="left" w:pos="1260"/>
        </w:tabs>
        <w:ind w:left="1260" w:hanging="420"/>
      </w:pPr>
    </w:lvl>
    <w:lvl w:ilvl="3" w:tentative="0">
      <w:start w:val="1"/>
      <w:numFmt w:val="decimal"/>
      <w:pStyle w:val="291"/>
      <w:lvlText w:val="%4."/>
      <w:lvlJc w:val="left"/>
      <w:pPr>
        <w:tabs>
          <w:tab w:val="left" w:pos="1680"/>
        </w:tabs>
        <w:ind w:left="1680" w:hanging="420"/>
      </w:pPr>
    </w:lvl>
    <w:lvl w:ilvl="4" w:tentative="0">
      <w:start w:val="1"/>
      <w:numFmt w:val="lowerLetter"/>
      <w:pStyle w:val="296"/>
      <w:lvlText w:val="%5)"/>
      <w:lvlJc w:val="left"/>
      <w:pPr>
        <w:tabs>
          <w:tab w:val="left" w:pos="2100"/>
        </w:tabs>
        <w:ind w:left="2100" w:hanging="420"/>
      </w:pPr>
    </w:lvl>
    <w:lvl w:ilvl="5" w:tentative="0">
      <w:start w:val="1"/>
      <w:numFmt w:val="lowerRoman"/>
      <w:pStyle w:val="299"/>
      <w:lvlText w:val="%6."/>
      <w:lvlJc w:val="right"/>
      <w:pPr>
        <w:tabs>
          <w:tab w:val="left" w:pos="2520"/>
        </w:tabs>
        <w:ind w:left="2520" w:hanging="420"/>
      </w:pPr>
    </w:lvl>
    <w:lvl w:ilvl="6" w:tentative="0">
      <w:start w:val="1"/>
      <w:numFmt w:val="decimal"/>
      <w:pStyle w:val="303"/>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9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72"/>
      <w:suff w:val="nothing"/>
      <w:lvlText w:val="%1"/>
      <w:lvlJc w:val="left"/>
      <w:pPr>
        <w:ind w:left="0" w:firstLine="0"/>
      </w:pPr>
      <w:rPr>
        <w:rFonts w:hint="eastAsia"/>
      </w:rPr>
    </w:lvl>
    <w:lvl w:ilvl="1" w:tentative="0">
      <w:start w:val="1"/>
      <w:numFmt w:val="decimal"/>
      <w:pStyle w:val="124"/>
      <w:suff w:val="nothing"/>
      <w:lvlText w:val="%1%2　"/>
      <w:lvlJc w:val="left"/>
      <w:pPr>
        <w:ind w:left="0" w:firstLine="0"/>
      </w:pPr>
      <w:rPr>
        <w:rFonts w:hint="eastAsia" w:ascii="黑体" w:eastAsia="黑体"/>
        <w:b w:val="0"/>
        <w:i w:val="0"/>
        <w:sz w:val="21"/>
      </w:rPr>
    </w:lvl>
    <w:lvl w:ilvl="2" w:tentative="0">
      <w:start w:val="1"/>
      <w:numFmt w:val="decimal"/>
      <w:pStyle w:val="12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85"/>
      <w:suff w:val="nothing"/>
      <w:lvlText w:val="%1%2.%3.%4　"/>
      <w:lvlJc w:val="left"/>
      <w:pPr>
        <w:ind w:left="0" w:firstLine="0"/>
      </w:pPr>
      <w:rPr>
        <w:rFonts w:hint="eastAsia" w:ascii="黑体" w:eastAsia="黑体"/>
        <w:b w:val="0"/>
        <w:i w:val="0"/>
        <w:sz w:val="21"/>
      </w:rPr>
    </w:lvl>
    <w:lvl w:ilvl="4" w:tentative="0">
      <w:start w:val="1"/>
      <w:numFmt w:val="decimal"/>
      <w:pStyle w:val="114"/>
      <w:suff w:val="nothing"/>
      <w:lvlText w:val="%1%2.%3.%4.%5　"/>
      <w:lvlJc w:val="left"/>
      <w:pPr>
        <w:ind w:left="0" w:firstLine="0"/>
      </w:pPr>
      <w:rPr>
        <w:rFonts w:hint="eastAsia" w:ascii="黑体" w:eastAsia="黑体"/>
        <w:b w:val="0"/>
        <w:i w:val="0"/>
        <w:sz w:val="21"/>
      </w:rPr>
    </w:lvl>
    <w:lvl w:ilvl="5" w:tentative="0">
      <w:start w:val="1"/>
      <w:numFmt w:val="decimal"/>
      <w:pStyle w:val="118"/>
      <w:suff w:val="nothing"/>
      <w:lvlText w:val="%1%2.%3.%4.%5.%6　"/>
      <w:lvlJc w:val="left"/>
      <w:pPr>
        <w:ind w:left="0" w:firstLine="0"/>
      </w:pPr>
      <w:rPr>
        <w:rFonts w:hint="eastAsia" w:ascii="黑体" w:eastAsia="黑体"/>
        <w:b w:val="0"/>
        <w:i w:val="0"/>
        <w:sz w:val="21"/>
      </w:rPr>
    </w:lvl>
    <w:lvl w:ilvl="6" w:tentative="0">
      <w:start w:val="1"/>
      <w:numFmt w:val="decimal"/>
      <w:pStyle w:val="12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9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3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5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dit="forms" w:enforcement="0"/>
  <w:defaultTabStop w:val="420"/>
  <w:evenAndOddHeaders w:val="1"/>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FmNTA3M2MwOGYzYTA0NjljOTk1NDcxYTJmMGUyZjMifQ=="/>
  </w:docVars>
  <w:rsids>
    <w:rsidRoot w:val="00616F7B"/>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22C5"/>
    <w:rsid w:val="000331D3"/>
    <w:rsid w:val="000346A5"/>
    <w:rsid w:val="000359C3"/>
    <w:rsid w:val="00035A7D"/>
    <w:rsid w:val="00035D0D"/>
    <w:rsid w:val="000365ED"/>
    <w:rsid w:val="0004249A"/>
    <w:rsid w:val="00043282"/>
    <w:rsid w:val="00044286"/>
    <w:rsid w:val="000458BF"/>
    <w:rsid w:val="000466B3"/>
    <w:rsid w:val="00047F28"/>
    <w:rsid w:val="000503AA"/>
    <w:rsid w:val="000506A1"/>
    <w:rsid w:val="000511DB"/>
    <w:rsid w:val="000512A4"/>
    <w:rsid w:val="000515DD"/>
    <w:rsid w:val="0005265A"/>
    <w:rsid w:val="000539DD"/>
    <w:rsid w:val="00053BD3"/>
    <w:rsid w:val="000556ED"/>
    <w:rsid w:val="00055899"/>
    <w:rsid w:val="00055FE2"/>
    <w:rsid w:val="0005616F"/>
    <w:rsid w:val="00057240"/>
    <w:rsid w:val="00060C2E"/>
    <w:rsid w:val="00061033"/>
    <w:rsid w:val="000619E9"/>
    <w:rsid w:val="000622D4"/>
    <w:rsid w:val="0006357D"/>
    <w:rsid w:val="000658F9"/>
    <w:rsid w:val="00067F1E"/>
    <w:rsid w:val="00071CC0"/>
    <w:rsid w:val="00071CFC"/>
    <w:rsid w:val="000727F6"/>
    <w:rsid w:val="000729C6"/>
    <w:rsid w:val="00073C8C"/>
    <w:rsid w:val="00077B64"/>
    <w:rsid w:val="00080A1C"/>
    <w:rsid w:val="0008226F"/>
    <w:rsid w:val="00082317"/>
    <w:rsid w:val="00083D2C"/>
    <w:rsid w:val="00086AA1"/>
    <w:rsid w:val="00087A77"/>
    <w:rsid w:val="00090CA6"/>
    <w:rsid w:val="00091B4D"/>
    <w:rsid w:val="00092B8A"/>
    <w:rsid w:val="00092FB0"/>
    <w:rsid w:val="000934C5"/>
    <w:rsid w:val="00093D25"/>
    <w:rsid w:val="00093DAB"/>
    <w:rsid w:val="00094D73"/>
    <w:rsid w:val="00096D63"/>
    <w:rsid w:val="000A0B60"/>
    <w:rsid w:val="000A0EB8"/>
    <w:rsid w:val="000A19FC"/>
    <w:rsid w:val="000A296B"/>
    <w:rsid w:val="000A543E"/>
    <w:rsid w:val="000A7311"/>
    <w:rsid w:val="000B060F"/>
    <w:rsid w:val="000B1592"/>
    <w:rsid w:val="000B1FF2"/>
    <w:rsid w:val="000B3CDA"/>
    <w:rsid w:val="000B6A0B"/>
    <w:rsid w:val="000C0F6C"/>
    <w:rsid w:val="000C11DB"/>
    <w:rsid w:val="000C13E6"/>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3B1E"/>
    <w:rsid w:val="0011711C"/>
    <w:rsid w:val="00123410"/>
    <w:rsid w:val="0012375A"/>
    <w:rsid w:val="00124E4F"/>
    <w:rsid w:val="001260B7"/>
    <w:rsid w:val="001265CB"/>
    <w:rsid w:val="0013155F"/>
    <w:rsid w:val="001321C6"/>
    <w:rsid w:val="001325C4"/>
    <w:rsid w:val="00133010"/>
    <w:rsid w:val="001338EE"/>
    <w:rsid w:val="00133AAE"/>
    <w:rsid w:val="00135323"/>
    <w:rsid w:val="001356C4"/>
    <w:rsid w:val="00136BD2"/>
    <w:rsid w:val="00137565"/>
    <w:rsid w:val="00141114"/>
    <w:rsid w:val="00141353"/>
    <w:rsid w:val="00142969"/>
    <w:rsid w:val="001446C2"/>
    <w:rsid w:val="001457E7"/>
    <w:rsid w:val="00145D9D"/>
    <w:rsid w:val="00146388"/>
    <w:rsid w:val="001471C0"/>
    <w:rsid w:val="00150B96"/>
    <w:rsid w:val="001529E5"/>
    <w:rsid w:val="00152FB3"/>
    <w:rsid w:val="00153C7E"/>
    <w:rsid w:val="00156B25"/>
    <w:rsid w:val="00156E1A"/>
    <w:rsid w:val="00157894"/>
    <w:rsid w:val="00157B55"/>
    <w:rsid w:val="001642FA"/>
    <w:rsid w:val="001649EB"/>
    <w:rsid w:val="00164BAF"/>
    <w:rsid w:val="00164FA8"/>
    <w:rsid w:val="00165065"/>
    <w:rsid w:val="00165421"/>
    <w:rsid w:val="00165434"/>
    <w:rsid w:val="0016580B"/>
    <w:rsid w:val="00165F49"/>
    <w:rsid w:val="00166B88"/>
    <w:rsid w:val="0016770A"/>
    <w:rsid w:val="00167CBD"/>
    <w:rsid w:val="00170804"/>
    <w:rsid w:val="001708E9"/>
    <w:rsid w:val="0017340B"/>
    <w:rsid w:val="00173FB1"/>
    <w:rsid w:val="00176DFD"/>
    <w:rsid w:val="00185158"/>
    <w:rsid w:val="001852C9"/>
    <w:rsid w:val="00187A0B"/>
    <w:rsid w:val="00190087"/>
    <w:rsid w:val="001913B6"/>
    <w:rsid w:val="001913C4"/>
    <w:rsid w:val="00191985"/>
    <w:rsid w:val="0019348F"/>
    <w:rsid w:val="00193A07"/>
    <w:rsid w:val="00194C95"/>
    <w:rsid w:val="00195C34"/>
    <w:rsid w:val="00196EF5"/>
    <w:rsid w:val="001A1A53"/>
    <w:rsid w:val="001A234A"/>
    <w:rsid w:val="001A4CF3"/>
    <w:rsid w:val="001A6696"/>
    <w:rsid w:val="001B06E8"/>
    <w:rsid w:val="001B342B"/>
    <w:rsid w:val="001B71D0"/>
    <w:rsid w:val="001B71EE"/>
    <w:rsid w:val="001C04A8"/>
    <w:rsid w:val="001C05E3"/>
    <w:rsid w:val="001C2C03"/>
    <w:rsid w:val="001C42F7"/>
    <w:rsid w:val="001C49E5"/>
    <w:rsid w:val="001C680C"/>
    <w:rsid w:val="001C7FEA"/>
    <w:rsid w:val="001D0499"/>
    <w:rsid w:val="001D0BBE"/>
    <w:rsid w:val="001D0ED4"/>
    <w:rsid w:val="001D212F"/>
    <w:rsid w:val="001D29D7"/>
    <w:rsid w:val="001D2DE7"/>
    <w:rsid w:val="001D411C"/>
    <w:rsid w:val="001D44AB"/>
    <w:rsid w:val="001E1B6A"/>
    <w:rsid w:val="001E2484"/>
    <w:rsid w:val="001E3CC4"/>
    <w:rsid w:val="001E4882"/>
    <w:rsid w:val="001E73AB"/>
    <w:rsid w:val="001E7EEC"/>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4BC"/>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2F9B"/>
    <w:rsid w:val="00281BB8"/>
    <w:rsid w:val="00281E9E"/>
    <w:rsid w:val="00282405"/>
    <w:rsid w:val="00282C53"/>
    <w:rsid w:val="00285170"/>
    <w:rsid w:val="00285361"/>
    <w:rsid w:val="00292D60"/>
    <w:rsid w:val="00293B30"/>
    <w:rsid w:val="00294D34"/>
    <w:rsid w:val="00294E3B"/>
    <w:rsid w:val="00296193"/>
    <w:rsid w:val="00296C66"/>
    <w:rsid w:val="00296EBE"/>
    <w:rsid w:val="002974E3"/>
    <w:rsid w:val="002A0550"/>
    <w:rsid w:val="002A084B"/>
    <w:rsid w:val="002A1260"/>
    <w:rsid w:val="002A1589"/>
    <w:rsid w:val="002A1608"/>
    <w:rsid w:val="002A25DC"/>
    <w:rsid w:val="002A3AAB"/>
    <w:rsid w:val="002A4CEA"/>
    <w:rsid w:val="002A5977"/>
    <w:rsid w:val="002A5A13"/>
    <w:rsid w:val="002A757F"/>
    <w:rsid w:val="002A7F44"/>
    <w:rsid w:val="002B0C40"/>
    <w:rsid w:val="002B1966"/>
    <w:rsid w:val="002B1C23"/>
    <w:rsid w:val="002B29E9"/>
    <w:rsid w:val="002B4508"/>
    <w:rsid w:val="002B5779"/>
    <w:rsid w:val="002B7332"/>
    <w:rsid w:val="002B7F51"/>
    <w:rsid w:val="002C0476"/>
    <w:rsid w:val="002C09E7"/>
    <w:rsid w:val="002C1E06"/>
    <w:rsid w:val="002C2935"/>
    <w:rsid w:val="002C2E4E"/>
    <w:rsid w:val="002C3C20"/>
    <w:rsid w:val="002C3F07"/>
    <w:rsid w:val="002C5278"/>
    <w:rsid w:val="002C7EBB"/>
    <w:rsid w:val="002D06C1"/>
    <w:rsid w:val="002D42B5"/>
    <w:rsid w:val="002D4F1A"/>
    <w:rsid w:val="002D6EC6"/>
    <w:rsid w:val="002D79AC"/>
    <w:rsid w:val="002E039D"/>
    <w:rsid w:val="002E4D5A"/>
    <w:rsid w:val="002E6326"/>
    <w:rsid w:val="002F08F1"/>
    <w:rsid w:val="002F30E0"/>
    <w:rsid w:val="002F35E4"/>
    <w:rsid w:val="002F3730"/>
    <w:rsid w:val="002F38E1"/>
    <w:rsid w:val="002F7AF6"/>
    <w:rsid w:val="00300E63"/>
    <w:rsid w:val="00302F5F"/>
    <w:rsid w:val="0030441D"/>
    <w:rsid w:val="00306063"/>
    <w:rsid w:val="00313B85"/>
    <w:rsid w:val="00317988"/>
    <w:rsid w:val="00320B66"/>
    <w:rsid w:val="003221B4"/>
    <w:rsid w:val="0032258D"/>
    <w:rsid w:val="00322E62"/>
    <w:rsid w:val="003235FA"/>
    <w:rsid w:val="00324D13"/>
    <w:rsid w:val="00324EDD"/>
    <w:rsid w:val="00326418"/>
    <w:rsid w:val="003331E4"/>
    <w:rsid w:val="00336C64"/>
    <w:rsid w:val="00337162"/>
    <w:rsid w:val="00340E7A"/>
    <w:rsid w:val="0034194F"/>
    <w:rsid w:val="00344605"/>
    <w:rsid w:val="00346373"/>
    <w:rsid w:val="003474AA"/>
    <w:rsid w:val="00350D1D"/>
    <w:rsid w:val="00352C83"/>
    <w:rsid w:val="00352F1A"/>
    <w:rsid w:val="003536E1"/>
    <w:rsid w:val="0036107C"/>
    <w:rsid w:val="003615D2"/>
    <w:rsid w:val="003622FC"/>
    <w:rsid w:val="0036429C"/>
    <w:rsid w:val="00364A53"/>
    <w:rsid w:val="003654CB"/>
    <w:rsid w:val="00365AA9"/>
    <w:rsid w:val="00365F86"/>
    <w:rsid w:val="00365F87"/>
    <w:rsid w:val="00366E89"/>
    <w:rsid w:val="003705F4"/>
    <w:rsid w:val="00370D58"/>
    <w:rsid w:val="00371316"/>
    <w:rsid w:val="00372FEC"/>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5A3"/>
    <w:rsid w:val="00397CC5"/>
    <w:rsid w:val="003A1582"/>
    <w:rsid w:val="003A2BCE"/>
    <w:rsid w:val="003A3D9C"/>
    <w:rsid w:val="003A4077"/>
    <w:rsid w:val="003A4AA7"/>
    <w:rsid w:val="003B09AD"/>
    <w:rsid w:val="003B1F18"/>
    <w:rsid w:val="003B5BF0"/>
    <w:rsid w:val="003B60BF"/>
    <w:rsid w:val="003B6BE3"/>
    <w:rsid w:val="003C010C"/>
    <w:rsid w:val="003C0A6C"/>
    <w:rsid w:val="003C14F8"/>
    <w:rsid w:val="003C1959"/>
    <w:rsid w:val="003C5A43"/>
    <w:rsid w:val="003D0519"/>
    <w:rsid w:val="003D0FF6"/>
    <w:rsid w:val="003D262C"/>
    <w:rsid w:val="003D6D61"/>
    <w:rsid w:val="003E091D"/>
    <w:rsid w:val="003E180B"/>
    <w:rsid w:val="003E1C53"/>
    <w:rsid w:val="003E2A69"/>
    <w:rsid w:val="003E2D49"/>
    <w:rsid w:val="003E2FD4"/>
    <w:rsid w:val="003E49F6"/>
    <w:rsid w:val="003E660F"/>
    <w:rsid w:val="003F06E6"/>
    <w:rsid w:val="003F0841"/>
    <w:rsid w:val="003F2199"/>
    <w:rsid w:val="003F23D3"/>
    <w:rsid w:val="003F3F08"/>
    <w:rsid w:val="003F49F1"/>
    <w:rsid w:val="003F5EE6"/>
    <w:rsid w:val="003F6272"/>
    <w:rsid w:val="003F6AD4"/>
    <w:rsid w:val="00400E72"/>
    <w:rsid w:val="00401400"/>
    <w:rsid w:val="00404869"/>
    <w:rsid w:val="00405884"/>
    <w:rsid w:val="00407D39"/>
    <w:rsid w:val="0041477A"/>
    <w:rsid w:val="004167A3"/>
    <w:rsid w:val="0041683D"/>
    <w:rsid w:val="00426185"/>
    <w:rsid w:val="00431593"/>
    <w:rsid w:val="00432DAA"/>
    <w:rsid w:val="00434305"/>
    <w:rsid w:val="0043484C"/>
    <w:rsid w:val="00435DF7"/>
    <w:rsid w:val="00436B26"/>
    <w:rsid w:val="0044083F"/>
    <w:rsid w:val="00441AE7"/>
    <w:rsid w:val="00445574"/>
    <w:rsid w:val="004467FB"/>
    <w:rsid w:val="00452D6B"/>
    <w:rsid w:val="00454484"/>
    <w:rsid w:val="0045517B"/>
    <w:rsid w:val="0045747E"/>
    <w:rsid w:val="00463B77"/>
    <w:rsid w:val="00463C7B"/>
    <w:rsid w:val="004644A6"/>
    <w:rsid w:val="004659BD"/>
    <w:rsid w:val="00470775"/>
    <w:rsid w:val="004746B1"/>
    <w:rsid w:val="0047583F"/>
    <w:rsid w:val="00475DE8"/>
    <w:rsid w:val="004765B1"/>
    <w:rsid w:val="00481C44"/>
    <w:rsid w:val="00484936"/>
    <w:rsid w:val="00485C89"/>
    <w:rsid w:val="00486BE3"/>
    <w:rsid w:val="004905E4"/>
    <w:rsid w:val="00490A89"/>
    <w:rsid w:val="00490AB4"/>
    <w:rsid w:val="00490C86"/>
    <w:rsid w:val="0049140F"/>
    <w:rsid w:val="00492F02"/>
    <w:rsid w:val="00493356"/>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583F"/>
    <w:rsid w:val="004C7556"/>
    <w:rsid w:val="004C7E8B"/>
    <w:rsid w:val="004C7E9D"/>
    <w:rsid w:val="004C7F67"/>
    <w:rsid w:val="004D076D"/>
    <w:rsid w:val="004D0EF1"/>
    <w:rsid w:val="004D1ACD"/>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A16"/>
    <w:rsid w:val="004F6C71"/>
    <w:rsid w:val="00501139"/>
    <w:rsid w:val="0050363E"/>
    <w:rsid w:val="005039BC"/>
    <w:rsid w:val="005043BB"/>
    <w:rsid w:val="00504A3D"/>
    <w:rsid w:val="00505767"/>
    <w:rsid w:val="005073F0"/>
    <w:rsid w:val="00510A7B"/>
    <w:rsid w:val="00512F6E"/>
    <w:rsid w:val="00513038"/>
    <w:rsid w:val="005133EB"/>
    <w:rsid w:val="00514174"/>
    <w:rsid w:val="00514365"/>
    <w:rsid w:val="0051463F"/>
    <w:rsid w:val="00516088"/>
    <w:rsid w:val="00516B0B"/>
    <w:rsid w:val="005204D0"/>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230A"/>
    <w:rsid w:val="00555044"/>
    <w:rsid w:val="00561475"/>
    <w:rsid w:val="00562308"/>
    <w:rsid w:val="0056487B"/>
    <w:rsid w:val="00564FB9"/>
    <w:rsid w:val="00573D9E"/>
    <w:rsid w:val="00574FDE"/>
    <w:rsid w:val="005801E3"/>
    <w:rsid w:val="00581802"/>
    <w:rsid w:val="005836A8"/>
    <w:rsid w:val="0058409C"/>
    <w:rsid w:val="00584262"/>
    <w:rsid w:val="00586630"/>
    <w:rsid w:val="00587ADD"/>
    <w:rsid w:val="00593A49"/>
    <w:rsid w:val="00596160"/>
    <w:rsid w:val="005966E2"/>
    <w:rsid w:val="00597007"/>
    <w:rsid w:val="005A0966"/>
    <w:rsid w:val="005A11B7"/>
    <w:rsid w:val="005A1D8F"/>
    <w:rsid w:val="005A260B"/>
    <w:rsid w:val="005A4A1B"/>
    <w:rsid w:val="005A67CB"/>
    <w:rsid w:val="005A7830"/>
    <w:rsid w:val="005A7FCE"/>
    <w:rsid w:val="005B0F3F"/>
    <w:rsid w:val="005B191C"/>
    <w:rsid w:val="005B4903"/>
    <w:rsid w:val="005B51CE"/>
    <w:rsid w:val="005B5542"/>
    <w:rsid w:val="005B5885"/>
    <w:rsid w:val="005B5CD7"/>
    <w:rsid w:val="005B6CF6"/>
    <w:rsid w:val="005B7422"/>
    <w:rsid w:val="005C079C"/>
    <w:rsid w:val="005C29B8"/>
    <w:rsid w:val="005C548A"/>
    <w:rsid w:val="005C5F21"/>
    <w:rsid w:val="005C7156"/>
    <w:rsid w:val="005D0C75"/>
    <w:rsid w:val="005D4171"/>
    <w:rsid w:val="005D66CB"/>
    <w:rsid w:val="005D6A95"/>
    <w:rsid w:val="005D6B2C"/>
    <w:rsid w:val="005D6D9C"/>
    <w:rsid w:val="005E2335"/>
    <w:rsid w:val="005E34CA"/>
    <w:rsid w:val="005E3C18"/>
    <w:rsid w:val="005E4250"/>
    <w:rsid w:val="005E6812"/>
    <w:rsid w:val="005E7881"/>
    <w:rsid w:val="005E78E0"/>
    <w:rsid w:val="005F0C66"/>
    <w:rsid w:val="005F0D9C"/>
    <w:rsid w:val="005F284E"/>
    <w:rsid w:val="006000B7"/>
    <w:rsid w:val="006015CE"/>
    <w:rsid w:val="00604784"/>
    <w:rsid w:val="006057EC"/>
    <w:rsid w:val="00606419"/>
    <w:rsid w:val="00607D29"/>
    <w:rsid w:val="00610114"/>
    <w:rsid w:val="00612952"/>
    <w:rsid w:val="00614CC1"/>
    <w:rsid w:val="00615A9D"/>
    <w:rsid w:val="00616F7B"/>
    <w:rsid w:val="00617387"/>
    <w:rsid w:val="006205D6"/>
    <w:rsid w:val="00621CF7"/>
    <w:rsid w:val="006252D8"/>
    <w:rsid w:val="006259BC"/>
    <w:rsid w:val="0062636B"/>
    <w:rsid w:val="00627BD2"/>
    <w:rsid w:val="00632182"/>
    <w:rsid w:val="00632AE0"/>
    <w:rsid w:val="00633C17"/>
    <w:rsid w:val="00634D9E"/>
    <w:rsid w:val="00636E3E"/>
    <w:rsid w:val="006379F7"/>
    <w:rsid w:val="00637E4D"/>
    <w:rsid w:val="00640620"/>
    <w:rsid w:val="00641A1F"/>
    <w:rsid w:val="00645827"/>
    <w:rsid w:val="00645904"/>
    <w:rsid w:val="006462BA"/>
    <w:rsid w:val="00651ACB"/>
    <w:rsid w:val="00651C47"/>
    <w:rsid w:val="00652AB2"/>
    <w:rsid w:val="00653FED"/>
    <w:rsid w:val="00654EC0"/>
    <w:rsid w:val="0065525B"/>
    <w:rsid w:val="00655D4F"/>
    <w:rsid w:val="00656D29"/>
    <w:rsid w:val="00661020"/>
    <w:rsid w:val="006640E5"/>
    <w:rsid w:val="006646F1"/>
    <w:rsid w:val="00664929"/>
    <w:rsid w:val="00664F62"/>
    <w:rsid w:val="006655E1"/>
    <w:rsid w:val="00665A68"/>
    <w:rsid w:val="00670EA0"/>
    <w:rsid w:val="0067162C"/>
    <w:rsid w:val="00672060"/>
    <w:rsid w:val="00672BFD"/>
    <w:rsid w:val="0067363C"/>
    <w:rsid w:val="006770F4"/>
    <w:rsid w:val="00677A84"/>
    <w:rsid w:val="0068026D"/>
    <w:rsid w:val="00680A27"/>
    <w:rsid w:val="006816A4"/>
    <w:rsid w:val="006819B8"/>
    <w:rsid w:val="006838CA"/>
    <w:rsid w:val="006840A6"/>
    <w:rsid w:val="006850CD"/>
    <w:rsid w:val="006853A4"/>
    <w:rsid w:val="006858F7"/>
    <w:rsid w:val="00685AAB"/>
    <w:rsid w:val="00687DDD"/>
    <w:rsid w:val="006A07AA"/>
    <w:rsid w:val="006A0AAC"/>
    <w:rsid w:val="006A25E5"/>
    <w:rsid w:val="006A2B46"/>
    <w:rsid w:val="006A336D"/>
    <w:rsid w:val="006A37B9"/>
    <w:rsid w:val="006B2672"/>
    <w:rsid w:val="006B3619"/>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0E47"/>
    <w:rsid w:val="006E16B8"/>
    <w:rsid w:val="006F03A8"/>
    <w:rsid w:val="006F2ACA"/>
    <w:rsid w:val="006F2ADC"/>
    <w:rsid w:val="006F2BFE"/>
    <w:rsid w:val="006F31E9"/>
    <w:rsid w:val="006F6284"/>
    <w:rsid w:val="007002C5"/>
    <w:rsid w:val="007025AC"/>
    <w:rsid w:val="00704387"/>
    <w:rsid w:val="00707669"/>
    <w:rsid w:val="00707DF3"/>
    <w:rsid w:val="00710043"/>
    <w:rsid w:val="007107DC"/>
    <w:rsid w:val="00711CBA"/>
    <w:rsid w:val="00711E52"/>
    <w:rsid w:val="00711FB5"/>
    <w:rsid w:val="00712A01"/>
    <w:rsid w:val="00714F58"/>
    <w:rsid w:val="007208C4"/>
    <w:rsid w:val="007217EF"/>
    <w:rsid w:val="00722FBF"/>
    <w:rsid w:val="00722FC2"/>
    <w:rsid w:val="00724E1B"/>
    <w:rsid w:val="00725949"/>
    <w:rsid w:val="00726499"/>
    <w:rsid w:val="00727FA2"/>
    <w:rsid w:val="007322D9"/>
    <w:rsid w:val="00732BC0"/>
    <w:rsid w:val="00734C8C"/>
    <w:rsid w:val="0073720F"/>
    <w:rsid w:val="00737796"/>
    <w:rsid w:val="0074165C"/>
    <w:rsid w:val="00742C35"/>
    <w:rsid w:val="007432CA"/>
    <w:rsid w:val="007439EB"/>
    <w:rsid w:val="00743CB4"/>
    <w:rsid w:val="00743F0A"/>
    <w:rsid w:val="00743FE0"/>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426D"/>
    <w:rsid w:val="007959E8"/>
    <w:rsid w:val="00795E9C"/>
    <w:rsid w:val="007A0521"/>
    <w:rsid w:val="007A19D6"/>
    <w:rsid w:val="007A2E12"/>
    <w:rsid w:val="007A2E80"/>
    <w:rsid w:val="007A3475"/>
    <w:rsid w:val="007A41C8"/>
    <w:rsid w:val="007A54CE"/>
    <w:rsid w:val="007A6FD9"/>
    <w:rsid w:val="007A7FFA"/>
    <w:rsid w:val="007B03D1"/>
    <w:rsid w:val="007B04EB"/>
    <w:rsid w:val="007B0D4F"/>
    <w:rsid w:val="007B255D"/>
    <w:rsid w:val="007B5A3D"/>
    <w:rsid w:val="007B5B95"/>
    <w:rsid w:val="007B6032"/>
    <w:rsid w:val="007B68EA"/>
    <w:rsid w:val="007B7363"/>
    <w:rsid w:val="007B7453"/>
    <w:rsid w:val="007C2D89"/>
    <w:rsid w:val="007C4593"/>
    <w:rsid w:val="007C5309"/>
    <w:rsid w:val="007C6069"/>
    <w:rsid w:val="007D06C4"/>
    <w:rsid w:val="007D1352"/>
    <w:rsid w:val="007D2508"/>
    <w:rsid w:val="007D346A"/>
    <w:rsid w:val="007D4324"/>
    <w:rsid w:val="007D6518"/>
    <w:rsid w:val="007D7361"/>
    <w:rsid w:val="007D76BD"/>
    <w:rsid w:val="007D7B7B"/>
    <w:rsid w:val="007E0BF1"/>
    <w:rsid w:val="007E4273"/>
    <w:rsid w:val="007E4B3E"/>
    <w:rsid w:val="007F0ED8"/>
    <w:rsid w:val="007F0F63"/>
    <w:rsid w:val="007F75CE"/>
    <w:rsid w:val="007F7825"/>
    <w:rsid w:val="008013A4"/>
    <w:rsid w:val="008027CE"/>
    <w:rsid w:val="00802F42"/>
    <w:rsid w:val="00804383"/>
    <w:rsid w:val="00804BB7"/>
    <w:rsid w:val="00804D41"/>
    <w:rsid w:val="00810257"/>
    <w:rsid w:val="008104F5"/>
    <w:rsid w:val="00811072"/>
    <w:rsid w:val="00811369"/>
    <w:rsid w:val="008150CF"/>
    <w:rsid w:val="00815419"/>
    <w:rsid w:val="008163C8"/>
    <w:rsid w:val="008164A1"/>
    <w:rsid w:val="00817325"/>
    <w:rsid w:val="008209E6"/>
    <w:rsid w:val="00823303"/>
    <w:rsid w:val="008233B2"/>
    <w:rsid w:val="00823A9F"/>
    <w:rsid w:val="00823C85"/>
    <w:rsid w:val="00824804"/>
    <w:rsid w:val="00825138"/>
    <w:rsid w:val="008269DD"/>
    <w:rsid w:val="00830621"/>
    <w:rsid w:val="00832FE3"/>
    <w:rsid w:val="0083348C"/>
    <w:rsid w:val="008373D3"/>
    <w:rsid w:val="00840617"/>
    <w:rsid w:val="00840F84"/>
    <w:rsid w:val="00841BF6"/>
    <w:rsid w:val="00841ED8"/>
    <w:rsid w:val="00842A47"/>
    <w:rsid w:val="00843C13"/>
    <w:rsid w:val="008454F8"/>
    <w:rsid w:val="00846C41"/>
    <w:rsid w:val="0085173A"/>
    <w:rsid w:val="00853EF1"/>
    <w:rsid w:val="008603CE"/>
    <w:rsid w:val="008620FC"/>
    <w:rsid w:val="008627A5"/>
    <w:rsid w:val="00863E05"/>
    <w:rsid w:val="00865ACA"/>
    <w:rsid w:val="00865D28"/>
    <w:rsid w:val="00865F85"/>
    <w:rsid w:val="008660E5"/>
    <w:rsid w:val="00867C10"/>
    <w:rsid w:val="00870439"/>
    <w:rsid w:val="00870DA1"/>
    <w:rsid w:val="008810D2"/>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A7CDF"/>
    <w:rsid w:val="008B0C9C"/>
    <w:rsid w:val="008B166D"/>
    <w:rsid w:val="008B171F"/>
    <w:rsid w:val="008B17F4"/>
    <w:rsid w:val="008B3615"/>
    <w:rsid w:val="008B4AC4"/>
    <w:rsid w:val="008B50C8"/>
    <w:rsid w:val="008B5281"/>
    <w:rsid w:val="008B7E05"/>
    <w:rsid w:val="008C0593"/>
    <w:rsid w:val="008C1797"/>
    <w:rsid w:val="008C219C"/>
    <w:rsid w:val="008C475E"/>
    <w:rsid w:val="008C619A"/>
    <w:rsid w:val="008C6289"/>
    <w:rsid w:val="008C78C7"/>
    <w:rsid w:val="008D0CE8"/>
    <w:rsid w:val="008D2D1D"/>
    <w:rsid w:val="008D453D"/>
    <w:rsid w:val="008D53AD"/>
    <w:rsid w:val="008D55AE"/>
    <w:rsid w:val="008D562B"/>
    <w:rsid w:val="008D5733"/>
    <w:rsid w:val="008D622B"/>
    <w:rsid w:val="008D666C"/>
    <w:rsid w:val="008D7B54"/>
    <w:rsid w:val="008E0C9D"/>
    <w:rsid w:val="008E1648"/>
    <w:rsid w:val="008E1B3E"/>
    <w:rsid w:val="008E2319"/>
    <w:rsid w:val="008E4BB6"/>
    <w:rsid w:val="008E4F1D"/>
    <w:rsid w:val="008E5518"/>
    <w:rsid w:val="008E6A84"/>
    <w:rsid w:val="008F0CDC"/>
    <w:rsid w:val="008F17A3"/>
    <w:rsid w:val="008F1ED3"/>
    <w:rsid w:val="008F4C29"/>
    <w:rsid w:val="008F70BD"/>
    <w:rsid w:val="008F788F"/>
    <w:rsid w:val="008F7EA2"/>
    <w:rsid w:val="00902722"/>
    <w:rsid w:val="009027BC"/>
    <w:rsid w:val="009062E6"/>
    <w:rsid w:val="00906EB9"/>
    <w:rsid w:val="00910107"/>
    <w:rsid w:val="00911BE5"/>
    <w:rsid w:val="00913CA9"/>
    <w:rsid w:val="009145AE"/>
    <w:rsid w:val="009146CE"/>
    <w:rsid w:val="00914CA7"/>
    <w:rsid w:val="00915C3E"/>
    <w:rsid w:val="009161A8"/>
    <w:rsid w:val="00923CA7"/>
    <w:rsid w:val="009245AE"/>
    <w:rsid w:val="009245F5"/>
    <w:rsid w:val="009249EC"/>
    <w:rsid w:val="009259D1"/>
    <w:rsid w:val="009273B3"/>
    <w:rsid w:val="009305B5"/>
    <w:rsid w:val="009358A2"/>
    <w:rsid w:val="009378DD"/>
    <w:rsid w:val="00942530"/>
    <w:rsid w:val="009429D5"/>
    <w:rsid w:val="00942BF1"/>
    <w:rsid w:val="0094380C"/>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87576"/>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B769D"/>
    <w:rsid w:val="009C27F1"/>
    <w:rsid w:val="009C3152"/>
    <w:rsid w:val="009C3257"/>
    <w:rsid w:val="009C4CFA"/>
    <w:rsid w:val="009C5070"/>
    <w:rsid w:val="009D00E9"/>
    <w:rsid w:val="009D0EFC"/>
    <w:rsid w:val="009D112C"/>
    <w:rsid w:val="009D1385"/>
    <w:rsid w:val="009D47FA"/>
    <w:rsid w:val="009D4C5B"/>
    <w:rsid w:val="009D5089"/>
    <w:rsid w:val="009D50D2"/>
    <w:rsid w:val="009D6BCA"/>
    <w:rsid w:val="009E0F62"/>
    <w:rsid w:val="009E2D7F"/>
    <w:rsid w:val="009E4A58"/>
    <w:rsid w:val="009E5A2D"/>
    <w:rsid w:val="009E5AB2"/>
    <w:rsid w:val="009E6219"/>
    <w:rsid w:val="009F03B3"/>
    <w:rsid w:val="009F6941"/>
    <w:rsid w:val="00A0096C"/>
    <w:rsid w:val="00A01757"/>
    <w:rsid w:val="00A028C0"/>
    <w:rsid w:val="00A02BAE"/>
    <w:rsid w:val="00A02C98"/>
    <w:rsid w:val="00A0694C"/>
    <w:rsid w:val="00A06A6B"/>
    <w:rsid w:val="00A07E47"/>
    <w:rsid w:val="00A129D0"/>
    <w:rsid w:val="00A12C33"/>
    <w:rsid w:val="00A138BA"/>
    <w:rsid w:val="00A14C8E"/>
    <w:rsid w:val="00A153D9"/>
    <w:rsid w:val="00A15F09"/>
    <w:rsid w:val="00A169B6"/>
    <w:rsid w:val="00A2271D"/>
    <w:rsid w:val="00A23110"/>
    <w:rsid w:val="00A237D5"/>
    <w:rsid w:val="00A2748F"/>
    <w:rsid w:val="00A30EFC"/>
    <w:rsid w:val="00A31984"/>
    <w:rsid w:val="00A32D33"/>
    <w:rsid w:val="00A32D73"/>
    <w:rsid w:val="00A3367B"/>
    <w:rsid w:val="00A3597D"/>
    <w:rsid w:val="00A36DD1"/>
    <w:rsid w:val="00A4006C"/>
    <w:rsid w:val="00A40091"/>
    <w:rsid w:val="00A4030F"/>
    <w:rsid w:val="00A40DEB"/>
    <w:rsid w:val="00A41C79"/>
    <w:rsid w:val="00A41CB5"/>
    <w:rsid w:val="00A42CDF"/>
    <w:rsid w:val="00A4452E"/>
    <w:rsid w:val="00A4472C"/>
    <w:rsid w:val="00A44E69"/>
    <w:rsid w:val="00A4661E"/>
    <w:rsid w:val="00A55BD6"/>
    <w:rsid w:val="00A55D50"/>
    <w:rsid w:val="00A57142"/>
    <w:rsid w:val="00A60DD7"/>
    <w:rsid w:val="00A624D3"/>
    <w:rsid w:val="00A64244"/>
    <w:rsid w:val="00A648CD"/>
    <w:rsid w:val="00A6519A"/>
    <w:rsid w:val="00A6537A"/>
    <w:rsid w:val="00A67866"/>
    <w:rsid w:val="00A70B07"/>
    <w:rsid w:val="00A723F8"/>
    <w:rsid w:val="00A73365"/>
    <w:rsid w:val="00A77467"/>
    <w:rsid w:val="00A77CCB"/>
    <w:rsid w:val="00A83D8D"/>
    <w:rsid w:val="00A8446B"/>
    <w:rsid w:val="00A8473F"/>
    <w:rsid w:val="00A862D6"/>
    <w:rsid w:val="00A86A23"/>
    <w:rsid w:val="00A8715E"/>
    <w:rsid w:val="00A9295B"/>
    <w:rsid w:val="00A93B09"/>
    <w:rsid w:val="00A952D7"/>
    <w:rsid w:val="00A963F7"/>
    <w:rsid w:val="00A96AD8"/>
    <w:rsid w:val="00AA052C"/>
    <w:rsid w:val="00AA0657"/>
    <w:rsid w:val="00AA1E45"/>
    <w:rsid w:val="00AA4286"/>
    <w:rsid w:val="00AA456B"/>
    <w:rsid w:val="00AA57F5"/>
    <w:rsid w:val="00AA672E"/>
    <w:rsid w:val="00AA6AE8"/>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0777"/>
    <w:rsid w:val="00AE101C"/>
    <w:rsid w:val="00AE2A69"/>
    <w:rsid w:val="00AE37E5"/>
    <w:rsid w:val="00AE5EB4"/>
    <w:rsid w:val="00AF0C18"/>
    <w:rsid w:val="00AF47C5"/>
    <w:rsid w:val="00AF5398"/>
    <w:rsid w:val="00AF647C"/>
    <w:rsid w:val="00AF7B6D"/>
    <w:rsid w:val="00B049AF"/>
    <w:rsid w:val="00B07242"/>
    <w:rsid w:val="00B10534"/>
    <w:rsid w:val="00B113DB"/>
    <w:rsid w:val="00B11D8A"/>
    <w:rsid w:val="00B12981"/>
    <w:rsid w:val="00B147DD"/>
    <w:rsid w:val="00B156FD"/>
    <w:rsid w:val="00B161DA"/>
    <w:rsid w:val="00B21F61"/>
    <w:rsid w:val="00B261F1"/>
    <w:rsid w:val="00B265BC"/>
    <w:rsid w:val="00B31FB1"/>
    <w:rsid w:val="00B33952"/>
    <w:rsid w:val="00B339F6"/>
    <w:rsid w:val="00B33C5E"/>
    <w:rsid w:val="00B342F4"/>
    <w:rsid w:val="00B34369"/>
    <w:rsid w:val="00B34DC2"/>
    <w:rsid w:val="00B378E5"/>
    <w:rsid w:val="00B401B8"/>
    <w:rsid w:val="00B4346D"/>
    <w:rsid w:val="00B440F4"/>
    <w:rsid w:val="00B447A5"/>
    <w:rsid w:val="00B4654C"/>
    <w:rsid w:val="00B47293"/>
    <w:rsid w:val="00B50E50"/>
    <w:rsid w:val="00B52120"/>
    <w:rsid w:val="00B54ABC"/>
    <w:rsid w:val="00B56FBE"/>
    <w:rsid w:val="00B60ACF"/>
    <w:rsid w:val="00B62B58"/>
    <w:rsid w:val="00B6360C"/>
    <w:rsid w:val="00B63E7B"/>
    <w:rsid w:val="00B65149"/>
    <w:rsid w:val="00B66567"/>
    <w:rsid w:val="00B66F52"/>
    <w:rsid w:val="00B66FE5"/>
    <w:rsid w:val="00B72880"/>
    <w:rsid w:val="00B7379F"/>
    <w:rsid w:val="00B74EDE"/>
    <w:rsid w:val="00B758BF"/>
    <w:rsid w:val="00B77EC8"/>
    <w:rsid w:val="00B827A6"/>
    <w:rsid w:val="00B831CE"/>
    <w:rsid w:val="00B8539A"/>
    <w:rsid w:val="00B86677"/>
    <w:rsid w:val="00B86FD9"/>
    <w:rsid w:val="00B87131"/>
    <w:rsid w:val="00B939B1"/>
    <w:rsid w:val="00B96D40"/>
    <w:rsid w:val="00B970C2"/>
    <w:rsid w:val="00B9719F"/>
    <w:rsid w:val="00B97386"/>
    <w:rsid w:val="00BA263B"/>
    <w:rsid w:val="00BA42B2"/>
    <w:rsid w:val="00BA58D4"/>
    <w:rsid w:val="00BA5B9E"/>
    <w:rsid w:val="00BA7C9A"/>
    <w:rsid w:val="00BB414C"/>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0792D"/>
    <w:rsid w:val="00C103E5"/>
    <w:rsid w:val="00C12C09"/>
    <w:rsid w:val="00C13319"/>
    <w:rsid w:val="00C13EE9"/>
    <w:rsid w:val="00C14E77"/>
    <w:rsid w:val="00C21540"/>
    <w:rsid w:val="00C21906"/>
    <w:rsid w:val="00C21BFA"/>
    <w:rsid w:val="00C221D0"/>
    <w:rsid w:val="00C24C8D"/>
    <w:rsid w:val="00C25FE2"/>
    <w:rsid w:val="00C26B53"/>
    <w:rsid w:val="00C279B2"/>
    <w:rsid w:val="00C33E50"/>
    <w:rsid w:val="00C34C20"/>
    <w:rsid w:val="00C35A3E"/>
    <w:rsid w:val="00C42130"/>
    <w:rsid w:val="00C423A4"/>
    <w:rsid w:val="00C423E3"/>
    <w:rsid w:val="00C44BF5"/>
    <w:rsid w:val="00C46FFC"/>
    <w:rsid w:val="00C5215C"/>
    <w:rsid w:val="00C521D6"/>
    <w:rsid w:val="00C55232"/>
    <w:rsid w:val="00C553A4"/>
    <w:rsid w:val="00C55A06"/>
    <w:rsid w:val="00C55A2E"/>
    <w:rsid w:val="00C55D03"/>
    <w:rsid w:val="00C57BA8"/>
    <w:rsid w:val="00C601BC"/>
    <w:rsid w:val="00C6329F"/>
    <w:rsid w:val="00C63340"/>
    <w:rsid w:val="00C643F9"/>
    <w:rsid w:val="00C64E95"/>
    <w:rsid w:val="00C71372"/>
    <w:rsid w:val="00C72410"/>
    <w:rsid w:val="00C7287F"/>
    <w:rsid w:val="00C80489"/>
    <w:rsid w:val="00C80CB8"/>
    <w:rsid w:val="00C81217"/>
    <w:rsid w:val="00C819F8"/>
    <w:rsid w:val="00C8248C"/>
    <w:rsid w:val="00C83FED"/>
    <w:rsid w:val="00C84E33"/>
    <w:rsid w:val="00C85221"/>
    <w:rsid w:val="00C86D6F"/>
    <w:rsid w:val="00C905FC"/>
    <w:rsid w:val="00C929B7"/>
    <w:rsid w:val="00C92D03"/>
    <w:rsid w:val="00C9319C"/>
    <w:rsid w:val="00C93E7F"/>
    <w:rsid w:val="00C9435D"/>
    <w:rsid w:val="00C94DF2"/>
    <w:rsid w:val="00C96741"/>
    <w:rsid w:val="00CA2D1B"/>
    <w:rsid w:val="00CA375D"/>
    <w:rsid w:val="00CA662A"/>
    <w:rsid w:val="00CA71DF"/>
    <w:rsid w:val="00CA7AFD"/>
    <w:rsid w:val="00CA7C3C"/>
    <w:rsid w:val="00CB0189"/>
    <w:rsid w:val="00CB0A31"/>
    <w:rsid w:val="00CB0BA2"/>
    <w:rsid w:val="00CB1A42"/>
    <w:rsid w:val="00CB1B0C"/>
    <w:rsid w:val="00CB2C0B"/>
    <w:rsid w:val="00CB517D"/>
    <w:rsid w:val="00CB6AA2"/>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4B22"/>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7A1"/>
    <w:rsid w:val="00D1489E"/>
    <w:rsid w:val="00D17CC8"/>
    <w:rsid w:val="00D20737"/>
    <w:rsid w:val="00D21E81"/>
    <w:rsid w:val="00D223DE"/>
    <w:rsid w:val="00D23094"/>
    <w:rsid w:val="00D25E37"/>
    <w:rsid w:val="00D2661A"/>
    <w:rsid w:val="00D27582"/>
    <w:rsid w:val="00D27EC4"/>
    <w:rsid w:val="00D32719"/>
    <w:rsid w:val="00D33333"/>
    <w:rsid w:val="00D352A2"/>
    <w:rsid w:val="00D4162B"/>
    <w:rsid w:val="00D4514F"/>
    <w:rsid w:val="00D451E2"/>
    <w:rsid w:val="00D45E89"/>
    <w:rsid w:val="00D45E8D"/>
    <w:rsid w:val="00D466AE"/>
    <w:rsid w:val="00D466C4"/>
    <w:rsid w:val="00D4734F"/>
    <w:rsid w:val="00D51BF3"/>
    <w:rsid w:val="00D66846"/>
    <w:rsid w:val="00D675FB"/>
    <w:rsid w:val="00D71F25"/>
    <w:rsid w:val="00D7211C"/>
    <w:rsid w:val="00D72A9C"/>
    <w:rsid w:val="00D77031"/>
    <w:rsid w:val="00D84332"/>
    <w:rsid w:val="00D84941"/>
    <w:rsid w:val="00D84FA1"/>
    <w:rsid w:val="00D851F0"/>
    <w:rsid w:val="00D86DB7"/>
    <w:rsid w:val="00D87BF5"/>
    <w:rsid w:val="00D87E58"/>
    <w:rsid w:val="00D90721"/>
    <w:rsid w:val="00D926D0"/>
    <w:rsid w:val="00D93030"/>
    <w:rsid w:val="00D950E1"/>
    <w:rsid w:val="00D95286"/>
    <w:rsid w:val="00D952A6"/>
    <w:rsid w:val="00D97F99"/>
    <w:rsid w:val="00DA1E08"/>
    <w:rsid w:val="00DA24F8"/>
    <w:rsid w:val="00DA262C"/>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100A"/>
    <w:rsid w:val="00DC3067"/>
    <w:rsid w:val="00DC370B"/>
    <w:rsid w:val="00DC5B90"/>
    <w:rsid w:val="00DD00FF"/>
    <w:rsid w:val="00DD0619"/>
    <w:rsid w:val="00DD07FB"/>
    <w:rsid w:val="00DD25C6"/>
    <w:rsid w:val="00DD4FE5"/>
    <w:rsid w:val="00DD54B0"/>
    <w:rsid w:val="00DD57EE"/>
    <w:rsid w:val="00DD6BCC"/>
    <w:rsid w:val="00DE0A4B"/>
    <w:rsid w:val="00DE1426"/>
    <w:rsid w:val="00DE20F2"/>
    <w:rsid w:val="00DE2410"/>
    <w:rsid w:val="00DE2939"/>
    <w:rsid w:val="00DE6E81"/>
    <w:rsid w:val="00DE703F"/>
    <w:rsid w:val="00DE7595"/>
    <w:rsid w:val="00DF01C5"/>
    <w:rsid w:val="00DF1961"/>
    <w:rsid w:val="00DF44DE"/>
    <w:rsid w:val="00DF7909"/>
    <w:rsid w:val="00E01138"/>
    <w:rsid w:val="00E02DFB"/>
    <w:rsid w:val="00E030F9"/>
    <w:rsid w:val="00E0311A"/>
    <w:rsid w:val="00E03138"/>
    <w:rsid w:val="00E06404"/>
    <w:rsid w:val="00E11353"/>
    <w:rsid w:val="00E11A85"/>
    <w:rsid w:val="00E12495"/>
    <w:rsid w:val="00E15CCD"/>
    <w:rsid w:val="00E202EF"/>
    <w:rsid w:val="00E210B5"/>
    <w:rsid w:val="00E2552F"/>
    <w:rsid w:val="00E3137A"/>
    <w:rsid w:val="00E32CCF"/>
    <w:rsid w:val="00E34A98"/>
    <w:rsid w:val="00E35D1E"/>
    <w:rsid w:val="00E364F9"/>
    <w:rsid w:val="00E365FA"/>
    <w:rsid w:val="00E36789"/>
    <w:rsid w:val="00E36B74"/>
    <w:rsid w:val="00E42CA6"/>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0856"/>
    <w:rsid w:val="00EA58D1"/>
    <w:rsid w:val="00EA61BC"/>
    <w:rsid w:val="00EA681A"/>
    <w:rsid w:val="00EA735B"/>
    <w:rsid w:val="00EB1E69"/>
    <w:rsid w:val="00EB2086"/>
    <w:rsid w:val="00EB31ED"/>
    <w:rsid w:val="00EB400F"/>
    <w:rsid w:val="00EB5EDF"/>
    <w:rsid w:val="00EB60FE"/>
    <w:rsid w:val="00EB74DB"/>
    <w:rsid w:val="00EC5359"/>
    <w:rsid w:val="00EC562A"/>
    <w:rsid w:val="00ED067A"/>
    <w:rsid w:val="00ED2B50"/>
    <w:rsid w:val="00ED348F"/>
    <w:rsid w:val="00ED5BF7"/>
    <w:rsid w:val="00EE0350"/>
    <w:rsid w:val="00EE0719"/>
    <w:rsid w:val="00EE0E80"/>
    <w:rsid w:val="00EE613F"/>
    <w:rsid w:val="00EE7295"/>
    <w:rsid w:val="00EE7869"/>
    <w:rsid w:val="00EF054A"/>
    <w:rsid w:val="00EF3235"/>
    <w:rsid w:val="00EF5D24"/>
    <w:rsid w:val="00EF7E72"/>
    <w:rsid w:val="00F044A0"/>
    <w:rsid w:val="00F06D37"/>
    <w:rsid w:val="00F07B9D"/>
    <w:rsid w:val="00F11586"/>
    <w:rsid w:val="00F1183B"/>
    <w:rsid w:val="00F11C9F"/>
    <w:rsid w:val="00F12263"/>
    <w:rsid w:val="00F1409D"/>
    <w:rsid w:val="00F14214"/>
    <w:rsid w:val="00F157A9"/>
    <w:rsid w:val="00F16F00"/>
    <w:rsid w:val="00F241BF"/>
    <w:rsid w:val="00F25BB6"/>
    <w:rsid w:val="00F26B7E"/>
    <w:rsid w:val="00F27A3B"/>
    <w:rsid w:val="00F33817"/>
    <w:rsid w:val="00F33E79"/>
    <w:rsid w:val="00F348D1"/>
    <w:rsid w:val="00F3645D"/>
    <w:rsid w:val="00F420D5"/>
    <w:rsid w:val="00F42FAF"/>
    <w:rsid w:val="00F451EA"/>
    <w:rsid w:val="00F45447"/>
    <w:rsid w:val="00F456C6"/>
    <w:rsid w:val="00F4577B"/>
    <w:rsid w:val="00F46496"/>
    <w:rsid w:val="00F474D0"/>
    <w:rsid w:val="00F50179"/>
    <w:rsid w:val="00F50230"/>
    <w:rsid w:val="00F515EE"/>
    <w:rsid w:val="00F54F3E"/>
    <w:rsid w:val="00F56511"/>
    <w:rsid w:val="00F60CEA"/>
    <w:rsid w:val="00F6194E"/>
    <w:rsid w:val="00F623AC"/>
    <w:rsid w:val="00F6412A"/>
    <w:rsid w:val="00F64C56"/>
    <w:rsid w:val="00F65893"/>
    <w:rsid w:val="00F66A4A"/>
    <w:rsid w:val="00F70EF2"/>
    <w:rsid w:val="00F71E22"/>
    <w:rsid w:val="00F72142"/>
    <w:rsid w:val="00F72AE7"/>
    <w:rsid w:val="00F75A62"/>
    <w:rsid w:val="00F812EE"/>
    <w:rsid w:val="00F833BA"/>
    <w:rsid w:val="00F83A8A"/>
    <w:rsid w:val="00F84FD0"/>
    <w:rsid w:val="00F859A8"/>
    <w:rsid w:val="00F866CD"/>
    <w:rsid w:val="00F86D87"/>
    <w:rsid w:val="00F9108B"/>
    <w:rsid w:val="00F91349"/>
    <w:rsid w:val="00F93A8A"/>
    <w:rsid w:val="00F95248"/>
    <w:rsid w:val="00F953C5"/>
    <w:rsid w:val="00F956A9"/>
    <w:rsid w:val="00F963ED"/>
    <w:rsid w:val="00F966CF"/>
    <w:rsid w:val="00F96CAE"/>
    <w:rsid w:val="00F97C99"/>
    <w:rsid w:val="00FA54AE"/>
    <w:rsid w:val="00FA662D"/>
    <w:rsid w:val="00FA73B1"/>
    <w:rsid w:val="00FB0CB9"/>
    <w:rsid w:val="00FB231D"/>
    <w:rsid w:val="00FB45F1"/>
    <w:rsid w:val="00FB4A72"/>
    <w:rsid w:val="00FB54E8"/>
    <w:rsid w:val="00FB7054"/>
    <w:rsid w:val="00FC1551"/>
    <w:rsid w:val="00FC17B7"/>
    <w:rsid w:val="00FC2CB7"/>
    <w:rsid w:val="00FC4090"/>
    <w:rsid w:val="00FC4BDA"/>
    <w:rsid w:val="00FC55B4"/>
    <w:rsid w:val="00FC6D92"/>
    <w:rsid w:val="00FD00E6"/>
    <w:rsid w:val="00FD09A1"/>
    <w:rsid w:val="00FD2A7C"/>
    <w:rsid w:val="00FD59EB"/>
    <w:rsid w:val="00FD7299"/>
    <w:rsid w:val="00FE1FBE"/>
    <w:rsid w:val="00FE3901"/>
    <w:rsid w:val="00FE39D3"/>
    <w:rsid w:val="00FE4351"/>
    <w:rsid w:val="00FE4BCE"/>
    <w:rsid w:val="00FE54AE"/>
    <w:rsid w:val="00FE576A"/>
    <w:rsid w:val="00FE5A7B"/>
    <w:rsid w:val="00FE7E79"/>
    <w:rsid w:val="00FF3E7D"/>
    <w:rsid w:val="00FF5B99"/>
    <w:rsid w:val="00FF6388"/>
    <w:rsid w:val="00FF730C"/>
    <w:rsid w:val="00FF73F4"/>
    <w:rsid w:val="00FF7CE4"/>
    <w:rsid w:val="00FF7E39"/>
    <w:rsid w:val="06090362"/>
    <w:rsid w:val="1518164D"/>
    <w:rsid w:val="28F6318A"/>
    <w:rsid w:val="2A4C6E22"/>
    <w:rsid w:val="35633E8E"/>
    <w:rsid w:val="44D53D34"/>
    <w:rsid w:val="451E1352"/>
    <w:rsid w:val="4A021027"/>
    <w:rsid w:val="4F4E1434"/>
    <w:rsid w:val="53011CF7"/>
    <w:rsid w:val="554357A0"/>
    <w:rsid w:val="55E376FA"/>
    <w:rsid w:val="5C2C71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qFormat="1" w:unhideWhenUsed="0" w:uiPriority="0" w:name="footnote reference"/>
    <w:lsdException w:qFormat="1" w:unhideWhenUsed="0" w:uiPriority="99" w:semiHidden="0" w:name="annotation reference"/>
    <w:lsdException w:uiPriority="99" w:name="line number"/>
    <w:lsdException w:qFormat="1" w:unhideWhenUsed="0" w:uiPriority="0" w:semiHidden="0"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3">
    <w:name w:val="heading 1"/>
    <w:basedOn w:val="1"/>
    <w:next w:val="1"/>
    <w:link w:val="54"/>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55"/>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link w:val="56"/>
    <w:qFormat/>
    <w:uiPriority w:val="9"/>
    <w:pPr>
      <w:keepNext/>
      <w:keepLines/>
      <w:spacing w:before="260" w:after="260" w:line="416" w:lineRule="auto"/>
      <w:outlineLvl w:val="2"/>
    </w:pPr>
    <w:rPr>
      <w:b/>
      <w:bCs/>
      <w:sz w:val="32"/>
      <w:szCs w:val="32"/>
    </w:rPr>
  </w:style>
  <w:style w:type="paragraph" w:styleId="6">
    <w:name w:val="heading 4"/>
    <w:basedOn w:val="1"/>
    <w:next w:val="1"/>
    <w:link w:val="57"/>
    <w:qFormat/>
    <w:uiPriority w:val="9"/>
    <w:pPr>
      <w:keepNext/>
      <w:keepLines/>
      <w:spacing w:before="280" w:after="290" w:line="376" w:lineRule="auto"/>
      <w:outlineLvl w:val="3"/>
    </w:pPr>
    <w:rPr>
      <w:rFonts w:ascii="Arial" w:hAnsi="Arial" w:eastAsia="黑体"/>
      <w:b/>
      <w:bCs/>
      <w:sz w:val="28"/>
      <w:szCs w:val="28"/>
    </w:rPr>
  </w:style>
  <w:style w:type="paragraph" w:styleId="2">
    <w:name w:val="heading 5"/>
    <w:basedOn w:val="1"/>
    <w:next w:val="1"/>
    <w:link w:val="5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5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6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6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62"/>
    <w:qFormat/>
    <w:uiPriority w:val="0"/>
    <w:pPr>
      <w:keepNext/>
      <w:keepLines/>
      <w:adjustRightInd/>
      <w:spacing w:before="240" w:after="64" w:line="320" w:lineRule="auto"/>
      <w:outlineLvl w:val="8"/>
    </w:pPr>
    <w:rPr>
      <w:rFonts w:ascii="Arial" w:hAnsi="Arial" w:eastAsia="黑体"/>
    </w:r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index 8"/>
    <w:basedOn w:val="1"/>
    <w:next w:val="1"/>
    <w:qFormat/>
    <w:uiPriority w:val="0"/>
    <w:pPr>
      <w:adjustRightInd/>
      <w:spacing w:line="240" w:lineRule="auto"/>
      <w:ind w:left="1680" w:hanging="210"/>
      <w:jc w:val="left"/>
    </w:pPr>
    <w:rPr>
      <w:sz w:val="20"/>
      <w:szCs w:val="20"/>
    </w:rPr>
  </w:style>
  <w:style w:type="paragraph" w:styleId="13">
    <w:name w:val="Normal Indent"/>
    <w:basedOn w:val="1"/>
    <w:qFormat/>
    <w:uiPriority w:val="0"/>
    <w:pPr>
      <w:ind w:firstLine="420"/>
    </w:pPr>
  </w:style>
  <w:style w:type="paragraph" w:styleId="14">
    <w:name w:val="caption"/>
    <w:basedOn w:val="1"/>
    <w:next w:val="1"/>
    <w:qFormat/>
    <w:uiPriority w:val="0"/>
    <w:pPr>
      <w:adjustRightInd/>
      <w:spacing w:before="152" w:after="160" w:line="240" w:lineRule="auto"/>
    </w:pPr>
    <w:rPr>
      <w:rFonts w:ascii="Arial" w:hAnsi="Arial" w:eastAsia="黑体" w:cs="Arial"/>
      <w:sz w:val="20"/>
      <w:szCs w:val="20"/>
    </w:rPr>
  </w:style>
  <w:style w:type="paragraph" w:styleId="15">
    <w:name w:val="index 5"/>
    <w:basedOn w:val="1"/>
    <w:next w:val="1"/>
    <w:qFormat/>
    <w:uiPriority w:val="0"/>
    <w:pPr>
      <w:adjustRightInd/>
      <w:spacing w:line="240" w:lineRule="auto"/>
      <w:ind w:left="1050" w:hanging="210"/>
      <w:jc w:val="left"/>
    </w:pPr>
    <w:rPr>
      <w:sz w:val="20"/>
      <w:szCs w:val="20"/>
    </w:rPr>
  </w:style>
  <w:style w:type="paragraph" w:styleId="16">
    <w:name w:val="Document Map"/>
    <w:basedOn w:val="1"/>
    <w:link w:val="256"/>
    <w:semiHidden/>
    <w:qFormat/>
    <w:uiPriority w:val="0"/>
    <w:pPr>
      <w:shd w:val="clear" w:color="auto" w:fill="000080"/>
      <w:adjustRightInd/>
      <w:spacing w:line="240" w:lineRule="auto"/>
    </w:pPr>
    <w:rPr>
      <w:rFonts w:ascii="Times New Roman" w:hAnsi="Times New Roman"/>
      <w:szCs w:val="24"/>
    </w:rPr>
  </w:style>
  <w:style w:type="paragraph" w:styleId="17">
    <w:name w:val="annotation text"/>
    <w:basedOn w:val="1"/>
    <w:link w:val="257"/>
    <w:qFormat/>
    <w:uiPriority w:val="99"/>
    <w:pPr>
      <w:adjustRightInd/>
      <w:spacing w:line="240" w:lineRule="auto"/>
      <w:jc w:val="left"/>
    </w:pPr>
    <w:rPr>
      <w:rFonts w:ascii="Times New Roman" w:hAnsi="Times New Roman"/>
      <w:szCs w:val="24"/>
    </w:rPr>
  </w:style>
  <w:style w:type="paragraph" w:styleId="18">
    <w:name w:val="index 6"/>
    <w:basedOn w:val="1"/>
    <w:next w:val="1"/>
    <w:qFormat/>
    <w:uiPriority w:val="0"/>
    <w:pPr>
      <w:adjustRightInd/>
      <w:spacing w:line="240" w:lineRule="auto"/>
      <w:ind w:left="1260" w:hanging="210"/>
      <w:jc w:val="left"/>
    </w:pPr>
    <w:rPr>
      <w:sz w:val="20"/>
      <w:szCs w:val="20"/>
    </w:rPr>
  </w:style>
  <w:style w:type="paragraph" w:styleId="19">
    <w:name w:val="Body Text"/>
    <w:basedOn w:val="1"/>
    <w:link w:val="106"/>
    <w:qFormat/>
    <w:uiPriority w:val="0"/>
    <w:pPr>
      <w:spacing w:after="120"/>
    </w:pPr>
  </w:style>
  <w:style w:type="paragraph" w:styleId="20">
    <w:name w:val="index 4"/>
    <w:basedOn w:val="1"/>
    <w:next w:val="1"/>
    <w:qFormat/>
    <w:uiPriority w:val="0"/>
    <w:pPr>
      <w:adjustRightInd/>
      <w:spacing w:line="240" w:lineRule="auto"/>
      <w:ind w:left="840" w:hanging="210"/>
      <w:jc w:val="left"/>
    </w:pPr>
    <w:rPr>
      <w:sz w:val="20"/>
      <w:szCs w:val="20"/>
    </w:rPr>
  </w:style>
  <w:style w:type="paragraph" w:styleId="21">
    <w:name w:val="toc 5"/>
    <w:basedOn w:val="1"/>
    <w:next w:val="1"/>
    <w:unhideWhenUsed/>
    <w:qFormat/>
    <w:uiPriority w:val="39"/>
    <w:pPr>
      <w:ind w:left="839"/>
    </w:pPr>
    <w:rPr>
      <w:rFonts w:ascii="宋体"/>
    </w:rPr>
  </w:style>
  <w:style w:type="paragraph" w:styleId="22">
    <w:name w:val="toc 3"/>
    <w:basedOn w:val="1"/>
    <w:next w:val="1"/>
    <w:unhideWhenUsed/>
    <w:qFormat/>
    <w:uiPriority w:val="39"/>
    <w:pPr>
      <w:spacing w:line="300" w:lineRule="exact"/>
      <w:ind w:left="420"/>
    </w:pPr>
    <w:rPr>
      <w:rFonts w:ascii="宋体"/>
    </w:rPr>
  </w:style>
  <w:style w:type="paragraph" w:styleId="23">
    <w:name w:val="toc 8"/>
    <w:basedOn w:val="1"/>
    <w:next w:val="1"/>
    <w:qFormat/>
    <w:uiPriority w:val="39"/>
    <w:pPr>
      <w:tabs>
        <w:tab w:val="right" w:leader="dot" w:pos="9241"/>
      </w:tabs>
      <w:adjustRightInd/>
      <w:spacing w:line="240" w:lineRule="auto"/>
      <w:ind w:firstLine="607" w:firstLineChars="600"/>
      <w:jc w:val="left"/>
    </w:pPr>
    <w:rPr>
      <w:rFonts w:ascii="宋体" w:hAnsi="Times New Roman"/>
    </w:rPr>
  </w:style>
  <w:style w:type="paragraph" w:styleId="24">
    <w:name w:val="index 3"/>
    <w:basedOn w:val="1"/>
    <w:next w:val="1"/>
    <w:qFormat/>
    <w:uiPriority w:val="0"/>
    <w:pPr>
      <w:adjustRightInd/>
      <w:spacing w:line="240" w:lineRule="auto"/>
      <w:ind w:left="630" w:hanging="210"/>
      <w:jc w:val="left"/>
    </w:pPr>
    <w:rPr>
      <w:sz w:val="20"/>
      <w:szCs w:val="20"/>
    </w:rPr>
  </w:style>
  <w:style w:type="paragraph" w:styleId="25">
    <w:name w:val="endnote text"/>
    <w:basedOn w:val="1"/>
    <w:link w:val="258"/>
    <w:semiHidden/>
    <w:qFormat/>
    <w:uiPriority w:val="0"/>
    <w:pPr>
      <w:adjustRightInd/>
      <w:snapToGrid w:val="0"/>
      <w:spacing w:line="240" w:lineRule="auto"/>
      <w:jc w:val="left"/>
    </w:pPr>
    <w:rPr>
      <w:rFonts w:ascii="Times New Roman" w:hAnsi="Times New Roman"/>
      <w:szCs w:val="24"/>
    </w:rPr>
  </w:style>
  <w:style w:type="paragraph" w:styleId="26">
    <w:name w:val="Balloon Text"/>
    <w:basedOn w:val="1"/>
    <w:link w:val="65"/>
    <w:unhideWhenUsed/>
    <w:qFormat/>
    <w:uiPriority w:val="99"/>
    <w:rPr>
      <w:sz w:val="18"/>
      <w:szCs w:val="18"/>
    </w:rPr>
  </w:style>
  <w:style w:type="paragraph" w:styleId="27">
    <w:name w:val="footer"/>
    <w:basedOn w:val="1"/>
    <w:link w:val="64"/>
    <w:qFormat/>
    <w:uiPriority w:val="0"/>
    <w:pPr>
      <w:tabs>
        <w:tab w:val="center" w:pos="4153"/>
        <w:tab w:val="right" w:pos="8306"/>
      </w:tabs>
      <w:adjustRightInd/>
      <w:snapToGrid w:val="0"/>
      <w:spacing w:line="240" w:lineRule="auto"/>
      <w:jc w:val="right"/>
    </w:pPr>
    <w:rPr>
      <w:rFonts w:ascii="宋体"/>
      <w:sz w:val="18"/>
      <w:szCs w:val="18"/>
    </w:rPr>
  </w:style>
  <w:style w:type="paragraph" w:styleId="28">
    <w:name w:val="header"/>
    <w:basedOn w:val="1"/>
    <w:link w:val="63"/>
    <w:qFormat/>
    <w:uiPriority w:val="0"/>
    <w:pPr>
      <w:tabs>
        <w:tab w:val="center" w:pos="4153"/>
        <w:tab w:val="right" w:pos="8306"/>
      </w:tabs>
      <w:adjustRightInd/>
      <w:snapToGrid w:val="0"/>
      <w:jc w:val="center"/>
    </w:pPr>
    <w:rPr>
      <w:sz w:val="18"/>
      <w:szCs w:val="18"/>
    </w:rPr>
  </w:style>
  <w:style w:type="paragraph" w:styleId="29">
    <w:name w:val="toc 1"/>
    <w:basedOn w:val="1"/>
    <w:next w:val="1"/>
    <w:unhideWhenUsed/>
    <w:qFormat/>
    <w:uiPriority w:val="39"/>
    <w:rPr>
      <w:rFonts w:ascii="宋体"/>
    </w:rPr>
  </w:style>
  <w:style w:type="paragraph" w:styleId="30">
    <w:name w:val="toc 4"/>
    <w:basedOn w:val="1"/>
    <w:next w:val="1"/>
    <w:unhideWhenUsed/>
    <w:qFormat/>
    <w:uiPriority w:val="39"/>
    <w:pPr>
      <w:tabs>
        <w:tab w:val="right" w:leader="dot" w:pos="9344"/>
      </w:tabs>
      <w:spacing w:line="300" w:lineRule="exact"/>
      <w:ind w:left="629"/>
    </w:pPr>
    <w:rPr>
      <w:rFonts w:ascii="宋体"/>
    </w:rPr>
  </w:style>
  <w:style w:type="paragraph" w:styleId="31">
    <w:name w:val="index heading"/>
    <w:basedOn w:val="1"/>
    <w:next w:val="32"/>
    <w:qFormat/>
    <w:uiPriority w:val="0"/>
    <w:pPr>
      <w:adjustRightInd/>
      <w:spacing w:before="120" w:after="120" w:line="240" w:lineRule="auto"/>
      <w:jc w:val="center"/>
    </w:pPr>
    <w:rPr>
      <w:b/>
      <w:bCs/>
      <w:iCs/>
      <w:szCs w:val="20"/>
    </w:rPr>
  </w:style>
  <w:style w:type="paragraph" w:styleId="32">
    <w:name w:val="index 1"/>
    <w:basedOn w:val="1"/>
    <w:next w:val="1"/>
    <w:unhideWhenUsed/>
    <w:qFormat/>
    <w:uiPriority w:val="0"/>
  </w:style>
  <w:style w:type="paragraph" w:styleId="33">
    <w:name w:val="footnote text"/>
    <w:basedOn w:val="1"/>
    <w:next w:val="1"/>
    <w:link w:val="119"/>
    <w:qFormat/>
    <w:uiPriority w:val="0"/>
    <w:pPr>
      <w:adjustRightInd/>
      <w:snapToGrid w:val="0"/>
      <w:spacing w:line="300" w:lineRule="exact"/>
      <w:ind w:left="400" w:leftChars="200" w:hanging="200" w:hangingChars="200"/>
      <w:jc w:val="left"/>
    </w:pPr>
    <w:rPr>
      <w:rFonts w:ascii="宋体"/>
      <w:sz w:val="18"/>
      <w:szCs w:val="18"/>
    </w:rPr>
  </w:style>
  <w:style w:type="paragraph" w:styleId="34">
    <w:name w:val="toc 6"/>
    <w:basedOn w:val="1"/>
    <w:next w:val="1"/>
    <w:unhideWhenUsed/>
    <w:qFormat/>
    <w:uiPriority w:val="39"/>
    <w:pPr>
      <w:spacing w:line="300" w:lineRule="exact"/>
      <w:ind w:left="1049"/>
    </w:pPr>
    <w:rPr>
      <w:rFonts w:ascii="宋体"/>
    </w:rPr>
  </w:style>
  <w:style w:type="paragraph" w:styleId="35">
    <w:name w:val="index 7"/>
    <w:basedOn w:val="1"/>
    <w:next w:val="1"/>
    <w:qFormat/>
    <w:uiPriority w:val="0"/>
    <w:pPr>
      <w:adjustRightInd/>
      <w:spacing w:line="240" w:lineRule="auto"/>
      <w:ind w:left="1470" w:hanging="210"/>
      <w:jc w:val="left"/>
    </w:pPr>
    <w:rPr>
      <w:sz w:val="20"/>
      <w:szCs w:val="20"/>
    </w:rPr>
  </w:style>
  <w:style w:type="paragraph" w:styleId="36">
    <w:name w:val="index 9"/>
    <w:basedOn w:val="1"/>
    <w:next w:val="1"/>
    <w:qFormat/>
    <w:uiPriority w:val="0"/>
    <w:pPr>
      <w:adjustRightInd/>
      <w:spacing w:line="240" w:lineRule="auto"/>
      <w:ind w:left="1890" w:hanging="210"/>
      <w:jc w:val="left"/>
    </w:pPr>
    <w:rPr>
      <w:sz w:val="20"/>
      <w:szCs w:val="20"/>
    </w:rPr>
  </w:style>
  <w:style w:type="paragraph" w:styleId="37">
    <w:name w:val="table of figures"/>
    <w:basedOn w:val="1"/>
    <w:next w:val="1"/>
    <w:qFormat/>
    <w:uiPriority w:val="0"/>
    <w:pPr>
      <w:adjustRightInd/>
      <w:spacing w:line="240" w:lineRule="auto"/>
      <w:jc w:val="left"/>
    </w:pPr>
    <w:rPr>
      <w:szCs w:val="24"/>
    </w:rPr>
  </w:style>
  <w:style w:type="paragraph" w:styleId="38">
    <w:name w:val="toc 2"/>
    <w:basedOn w:val="1"/>
    <w:next w:val="1"/>
    <w:unhideWhenUsed/>
    <w:qFormat/>
    <w:uiPriority w:val="39"/>
    <w:pPr>
      <w:tabs>
        <w:tab w:val="right" w:leader="dot" w:pos="9344"/>
      </w:tabs>
      <w:spacing w:line="300" w:lineRule="exact"/>
      <w:ind w:left="210"/>
    </w:pPr>
    <w:rPr>
      <w:rFonts w:ascii="宋体"/>
    </w:rPr>
  </w:style>
  <w:style w:type="paragraph" w:styleId="39">
    <w:name w:val="toc 9"/>
    <w:basedOn w:val="1"/>
    <w:next w:val="1"/>
    <w:qFormat/>
    <w:uiPriority w:val="39"/>
    <w:pPr>
      <w:adjustRightInd/>
      <w:spacing w:line="240" w:lineRule="auto"/>
      <w:ind w:left="1470"/>
      <w:jc w:val="left"/>
    </w:pPr>
    <w:rPr>
      <w:rFonts w:ascii="Times New Roman" w:hAnsi="Times New Roman"/>
      <w:sz w:val="20"/>
      <w:szCs w:val="20"/>
    </w:rPr>
  </w:style>
  <w:style w:type="paragraph" w:styleId="40">
    <w:name w:val="index 2"/>
    <w:basedOn w:val="1"/>
    <w:next w:val="1"/>
    <w:qFormat/>
    <w:uiPriority w:val="0"/>
    <w:pPr>
      <w:adjustRightInd/>
      <w:spacing w:line="240" w:lineRule="auto"/>
      <w:ind w:left="420" w:hanging="210"/>
      <w:jc w:val="left"/>
    </w:pPr>
    <w:rPr>
      <w:sz w:val="20"/>
      <w:szCs w:val="20"/>
    </w:rPr>
  </w:style>
  <w:style w:type="paragraph" w:styleId="41">
    <w:name w:val="Title"/>
    <w:basedOn w:val="1"/>
    <w:link w:val="68"/>
    <w:qFormat/>
    <w:uiPriority w:val="0"/>
    <w:pPr>
      <w:spacing w:before="240" w:after="60"/>
      <w:jc w:val="center"/>
      <w:outlineLvl w:val="0"/>
    </w:pPr>
    <w:rPr>
      <w:rFonts w:ascii="Arial" w:hAnsi="Arial" w:cs="Arial"/>
      <w:b/>
      <w:bCs/>
      <w:sz w:val="32"/>
      <w:szCs w:val="32"/>
    </w:rPr>
  </w:style>
  <w:style w:type="paragraph" w:styleId="42">
    <w:name w:val="annotation subject"/>
    <w:basedOn w:val="17"/>
    <w:next w:val="17"/>
    <w:link w:val="259"/>
    <w:unhideWhenUsed/>
    <w:qFormat/>
    <w:uiPriority w:val="99"/>
    <w:pPr>
      <w:keepNext/>
    </w:pPr>
    <w:rPr>
      <w:b/>
      <w:bCs/>
    </w:rPr>
  </w:style>
  <w:style w:type="table" w:styleId="44">
    <w:name w:val="Table Grid"/>
    <w:basedOn w:val="4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6">
    <w:name w:val="Strong"/>
    <w:qFormat/>
    <w:uiPriority w:val="22"/>
    <w:rPr>
      <w:b/>
      <w:bCs/>
    </w:rPr>
  </w:style>
  <w:style w:type="character" w:styleId="47">
    <w:name w:val="endnote reference"/>
    <w:semiHidden/>
    <w:qFormat/>
    <w:uiPriority w:val="0"/>
    <w:rPr>
      <w:vertAlign w:val="superscript"/>
    </w:rPr>
  </w:style>
  <w:style w:type="character" w:styleId="48">
    <w:name w:val="page number"/>
    <w:qFormat/>
    <w:uiPriority w:val="0"/>
    <w:rPr>
      <w:rFonts w:ascii="宋体" w:hAnsi="Times New Roman" w:eastAsia="宋体"/>
      <w:sz w:val="18"/>
    </w:rPr>
  </w:style>
  <w:style w:type="character" w:styleId="49">
    <w:name w:val="FollowedHyperlink"/>
    <w:qFormat/>
    <w:uiPriority w:val="0"/>
    <w:rPr>
      <w:color w:val="800080"/>
      <w:u w:val="single"/>
    </w:rPr>
  </w:style>
  <w:style w:type="character" w:styleId="50">
    <w:name w:val="Emphasis"/>
    <w:qFormat/>
    <w:uiPriority w:val="20"/>
    <w:rPr>
      <w:i/>
      <w:iCs/>
    </w:rPr>
  </w:style>
  <w:style w:type="character" w:styleId="51">
    <w:name w:val="Hyperlink"/>
    <w:qFormat/>
    <w:uiPriority w:val="99"/>
    <w:rPr>
      <w:rFonts w:ascii="宋体" w:hAnsi="Times New Roman" w:eastAsia="宋体"/>
      <w:color w:val="auto"/>
      <w:spacing w:val="0"/>
      <w:w w:val="100"/>
      <w:position w:val="0"/>
      <w:sz w:val="21"/>
      <w:u w:val="none"/>
      <w:vertAlign w:val="baseline"/>
    </w:rPr>
  </w:style>
  <w:style w:type="character" w:styleId="52">
    <w:name w:val="annotation reference"/>
    <w:qFormat/>
    <w:uiPriority w:val="99"/>
    <w:rPr>
      <w:sz w:val="21"/>
      <w:szCs w:val="21"/>
    </w:rPr>
  </w:style>
  <w:style w:type="character" w:styleId="53">
    <w:name w:val="footnote reference"/>
    <w:semiHidden/>
    <w:qFormat/>
    <w:uiPriority w:val="0"/>
    <w:rPr>
      <w:rFonts w:ascii="宋体" w:hAnsi="宋体" w:eastAsia="宋体" w:cs="Times New Roman"/>
      <w:spacing w:val="0"/>
      <w:sz w:val="18"/>
      <w:vertAlign w:val="superscript"/>
    </w:rPr>
  </w:style>
  <w:style w:type="character" w:customStyle="1" w:styleId="54">
    <w:name w:val="标题 1 Char"/>
    <w:link w:val="3"/>
    <w:qFormat/>
    <w:uiPriority w:val="9"/>
    <w:rPr>
      <w:rFonts w:ascii="Times New Roman" w:hAnsi="Times New Roman" w:eastAsia="宋体" w:cs="Times New Roman"/>
      <w:b/>
      <w:bCs/>
      <w:kern w:val="44"/>
      <w:sz w:val="44"/>
      <w:szCs w:val="44"/>
    </w:rPr>
  </w:style>
  <w:style w:type="character" w:customStyle="1" w:styleId="55">
    <w:name w:val="标题 2 Char1"/>
    <w:link w:val="4"/>
    <w:qFormat/>
    <w:uiPriority w:val="0"/>
    <w:rPr>
      <w:rFonts w:ascii="Arial" w:hAnsi="Arial" w:eastAsia="黑体" w:cs="Times New Roman"/>
      <w:b/>
      <w:bCs/>
      <w:sz w:val="32"/>
      <w:szCs w:val="32"/>
    </w:rPr>
  </w:style>
  <w:style w:type="character" w:customStyle="1" w:styleId="56">
    <w:name w:val="标题 3 Char"/>
    <w:link w:val="5"/>
    <w:qFormat/>
    <w:uiPriority w:val="9"/>
    <w:rPr>
      <w:rFonts w:ascii="Times New Roman" w:hAnsi="Times New Roman" w:eastAsia="宋体" w:cs="Times New Roman"/>
      <w:b/>
      <w:bCs/>
      <w:sz w:val="32"/>
      <w:szCs w:val="32"/>
    </w:rPr>
  </w:style>
  <w:style w:type="character" w:customStyle="1" w:styleId="57">
    <w:name w:val="标题 4 Char"/>
    <w:link w:val="6"/>
    <w:qFormat/>
    <w:uiPriority w:val="9"/>
    <w:rPr>
      <w:rFonts w:ascii="Arial" w:hAnsi="Arial" w:eastAsia="黑体" w:cs="Times New Roman"/>
      <w:b/>
      <w:bCs/>
      <w:sz w:val="28"/>
      <w:szCs w:val="28"/>
    </w:rPr>
  </w:style>
  <w:style w:type="character" w:customStyle="1" w:styleId="58">
    <w:name w:val="标题 5 Char"/>
    <w:link w:val="2"/>
    <w:qFormat/>
    <w:uiPriority w:val="0"/>
    <w:rPr>
      <w:rFonts w:ascii="Times New Roman" w:hAnsi="Times New Roman" w:eastAsia="宋体" w:cs="Times New Roman"/>
      <w:b/>
      <w:bCs/>
      <w:sz w:val="28"/>
      <w:szCs w:val="28"/>
    </w:rPr>
  </w:style>
  <w:style w:type="character" w:customStyle="1" w:styleId="59">
    <w:name w:val="标题 6 Char"/>
    <w:link w:val="7"/>
    <w:qFormat/>
    <w:uiPriority w:val="0"/>
    <w:rPr>
      <w:rFonts w:ascii="Arial" w:hAnsi="Arial" w:eastAsia="黑体" w:cs="Times New Roman"/>
      <w:b/>
      <w:bCs/>
      <w:sz w:val="24"/>
      <w:szCs w:val="24"/>
    </w:rPr>
  </w:style>
  <w:style w:type="character" w:customStyle="1" w:styleId="60">
    <w:name w:val="标题 7 Char"/>
    <w:link w:val="8"/>
    <w:qFormat/>
    <w:uiPriority w:val="0"/>
    <w:rPr>
      <w:rFonts w:ascii="Times New Roman" w:hAnsi="Times New Roman" w:eastAsia="宋体" w:cs="Times New Roman"/>
      <w:b/>
      <w:bCs/>
      <w:sz w:val="24"/>
      <w:szCs w:val="24"/>
    </w:rPr>
  </w:style>
  <w:style w:type="character" w:customStyle="1" w:styleId="61">
    <w:name w:val="标题 8 Char"/>
    <w:link w:val="9"/>
    <w:qFormat/>
    <w:uiPriority w:val="0"/>
    <w:rPr>
      <w:rFonts w:ascii="Arial" w:hAnsi="Arial" w:eastAsia="黑体" w:cs="Times New Roman"/>
      <w:sz w:val="24"/>
      <w:szCs w:val="24"/>
    </w:rPr>
  </w:style>
  <w:style w:type="character" w:customStyle="1" w:styleId="62">
    <w:name w:val="标题 9 Char"/>
    <w:link w:val="10"/>
    <w:qFormat/>
    <w:uiPriority w:val="0"/>
    <w:rPr>
      <w:rFonts w:ascii="Arial" w:hAnsi="Arial" w:eastAsia="黑体" w:cs="Times New Roman"/>
      <w:szCs w:val="21"/>
    </w:rPr>
  </w:style>
  <w:style w:type="character" w:customStyle="1" w:styleId="63">
    <w:name w:val="页眉 Char"/>
    <w:link w:val="28"/>
    <w:qFormat/>
    <w:uiPriority w:val="0"/>
    <w:rPr>
      <w:rFonts w:ascii="Times New Roman" w:hAnsi="Times New Roman" w:eastAsia="宋体" w:cs="Times New Roman"/>
      <w:sz w:val="18"/>
      <w:szCs w:val="18"/>
    </w:rPr>
  </w:style>
  <w:style w:type="character" w:customStyle="1" w:styleId="64">
    <w:name w:val="页脚 Char"/>
    <w:link w:val="27"/>
    <w:qFormat/>
    <w:uiPriority w:val="0"/>
    <w:rPr>
      <w:rFonts w:ascii="宋体" w:hAnsi="Times New Roman" w:eastAsia="宋体" w:cs="Times New Roman"/>
      <w:sz w:val="18"/>
      <w:szCs w:val="18"/>
    </w:rPr>
  </w:style>
  <w:style w:type="character" w:customStyle="1" w:styleId="65">
    <w:name w:val="批注框文本 Char"/>
    <w:link w:val="26"/>
    <w:qFormat/>
    <w:uiPriority w:val="99"/>
    <w:rPr>
      <w:sz w:val="18"/>
      <w:szCs w:val="18"/>
    </w:rPr>
  </w:style>
  <w:style w:type="paragraph" w:styleId="66">
    <w:name w:val="Quote"/>
    <w:basedOn w:val="1"/>
    <w:next w:val="1"/>
    <w:link w:val="67"/>
    <w:qFormat/>
    <w:uiPriority w:val="29"/>
    <w:rPr>
      <w:i/>
      <w:iCs/>
      <w:color w:val="000000"/>
    </w:rPr>
  </w:style>
  <w:style w:type="character" w:customStyle="1" w:styleId="67">
    <w:name w:val="引用 Char"/>
    <w:link w:val="66"/>
    <w:qFormat/>
    <w:uiPriority w:val="29"/>
    <w:rPr>
      <w:i/>
      <w:iCs/>
      <w:color w:val="000000"/>
    </w:rPr>
  </w:style>
  <w:style w:type="character" w:customStyle="1" w:styleId="68">
    <w:name w:val="标题 Char"/>
    <w:link w:val="41"/>
    <w:qFormat/>
    <w:uiPriority w:val="0"/>
    <w:rPr>
      <w:rFonts w:ascii="Arial" w:hAnsi="Arial" w:eastAsia="宋体" w:cs="Arial"/>
      <w:b/>
      <w:bCs/>
      <w:sz w:val="32"/>
      <w:szCs w:val="32"/>
    </w:rPr>
  </w:style>
  <w:style w:type="paragraph" w:customStyle="1" w:styleId="6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7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7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7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73">
    <w:name w:val="标准书眉一"/>
    <w:qFormat/>
    <w:uiPriority w:val="0"/>
    <w:pPr>
      <w:jc w:val="both"/>
    </w:pPr>
    <w:rPr>
      <w:rFonts w:ascii="Times New Roman" w:hAnsi="Times New Roman" w:eastAsia="宋体" w:cs="Times New Roman"/>
      <w:lang w:val="en-US" w:eastAsia="zh-CN" w:bidi="ar-SA"/>
    </w:rPr>
  </w:style>
  <w:style w:type="paragraph" w:customStyle="1" w:styleId="74">
    <w:name w:val="标准文件_ICS"/>
    <w:basedOn w:val="1"/>
    <w:qFormat/>
    <w:uiPriority w:val="0"/>
    <w:pPr>
      <w:spacing w:line="0" w:lineRule="atLeast"/>
    </w:pPr>
    <w:rPr>
      <w:rFonts w:ascii="黑体" w:hAnsi="宋体" w:eastAsia="黑体"/>
    </w:rPr>
  </w:style>
  <w:style w:type="paragraph" w:customStyle="1" w:styleId="75">
    <w:name w:val="标准文件_标准正文"/>
    <w:basedOn w:val="1"/>
    <w:next w:val="76"/>
    <w:qFormat/>
    <w:uiPriority w:val="0"/>
    <w:pPr>
      <w:snapToGrid w:val="0"/>
      <w:ind w:firstLine="200" w:firstLineChars="200"/>
    </w:pPr>
    <w:rPr>
      <w:kern w:val="0"/>
    </w:rPr>
  </w:style>
  <w:style w:type="paragraph" w:customStyle="1" w:styleId="76">
    <w:name w:val="标准文件_段"/>
    <w:link w:val="20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77">
    <w:name w:val="标准文件_版本"/>
    <w:basedOn w:val="75"/>
    <w:qFormat/>
    <w:uiPriority w:val="0"/>
    <w:pPr>
      <w:adjustRightInd/>
      <w:snapToGrid/>
      <w:ind w:firstLine="0" w:firstLineChars="0"/>
    </w:pPr>
    <w:rPr>
      <w:rFonts w:ascii="宋体" w:hAnsi="宋体"/>
      <w:kern w:val="2"/>
    </w:rPr>
  </w:style>
  <w:style w:type="paragraph" w:customStyle="1" w:styleId="78">
    <w:name w:val="标准文件_标准部门"/>
    <w:basedOn w:val="1"/>
    <w:qFormat/>
    <w:uiPriority w:val="0"/>
    <w:pPr>
      <w:jc w:val="center"/>
    </w:pPr>
    <w:rPr>
      <w:rFonts w:ascii="黑体" w:eastAsia="黑体"/>
      <w:kern w:val="0"/>
      <w:sz w:val="44"/>
    </w:rPr>
  </w:style>
  <w:style w:type="paragraph" w:customStyle="1" w:styleId="79">
    <w:name w:val="标准文件_标准代替"/>
    <w:basedOn w:val="1"/>
    <w:next w:val="1"/>
    <w:qFormat/>
    <w:uiPriority w:val="0"/>
    <w:pPr>
      <w:spacing w:line="310" w:lineRule="exact"/>
      <w:jc w:val="right"/>
    </w:pPr>
    <w:rPr>
      <w:rFonts w:ascii="宋体" w:hAnsi="宋体"/>
      <w:kern w:val="0"/>
    </w:rPr>
  </w:style>
  <w:style w:type="paragraph" w:customStyle="1" w:styleId="8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8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82">
    <w:name w:val="标准文件_页眉偶数页"/>
    <w:basedOn w:val="81"/>
    <w:next w:val="1"/>
    <w:qFormat/>
    <w:uiPriority w:val="0"/>
    <w:pPr>
      <w:jc w:val="left"/>
    </w:pPr>
  </w:style>
  <w:style w:type="paragraph" w:customStyle="1" w:styleId="83">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8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85">
    <w:name w:val="标准文件_二级条标题"/>
    <w:next w:val="7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86">
    <w:name w:val="标准文件_发布"/>
    <w:qFormat/>
    <w:uiPriority w:val="0"/>
    <w:rPr>
      <w:rFonts w:ascii="黑体" w:eastAsia="黑体"/>
      <w:spacing w:val="0"/>
      <w:w w:val="100"/>
      <w:position w:val="3"/>
      <w:sz w:val="28"/>
    </w:rPr>
  </w:style>
  <w:style w:type="paragraph" w:customStyle="1" w:styleId="87">
    <w:name w:val="标准文件_方框数字列项"/>
    <w:basedOn w:val="76"/>
    <w:qFormat/>
    <w:uiPriority w:val="0"/>
    <w:pPr>
      <w:numPr>
        <w:ilvl w:val="0"/>
        <w:numId w:val="3"/>
      </w:numPr>
      <w:ind w:firstLine="0" w:firstLineChars="0"/>
    </w:pPr>
  </w:style>
  <w:style w:type="paragraph" w:customStyle="1" w:styleId="88">
    <w:name w:val="标准文件_封面标准编号"/>
    <w:basedOn w:val="1"/>
    <w:next w:val="79"/>
    <w:qFormat/>
    <w:uiPriority w:val="0"/>
    <w:pPr>
      <w:spacing w:line="310" w:lineRule="exact"/>
      <w:jc w:val="right"/>
    </w:pPr>
    <w:rPr>
      <w:rFonts w:ascii="黑体" w:eastAsia="黑体"/>
      <w:kern w:val="0"/>
      <w:sz w:val="28"/>
    </w:rPr>
  </w:style>
  <w:style w:type="paragraph" w:customStyle="1" w:styleId="89">
    <w:name w:val="标准文件_封面标准分类号"/>
    <w:basedOn w:val="1"/>
    <w:qFormat/>
    <w:uiPriority w:val="0"/>
    <w:rPr>
      <w:rFonts w:ascii="黑体" w:eastAsia="黑体"/>
      <w:b/>
      <w:kern w:val="0"/>
      <w:sz w:val="28"/>
    </w:rPr>
  </w:style>
  <w:style w:type="paragraph" w:customStyle="1" w:styleId="90">
    <w:name w:val="标准文件_封面标准名称"/>
    <w:basedOn w:val="1"/>
    <w:qFormat/>
    <w:uiPriority w:val="0"/>
    <w:pPr>
      <w:spacing w:line="240" w:lineRule="auto"/>
      <w:jc w:val="center"/>
    </w:pPr>
    <w:rPr>
      <w:rFonts w:ascii="黑体" w:eastAsia="黑体"/>
      <w:kern w:val="0"/>
      <w:sz w:val="52"/>
    </w:rPr>
  </w:style>
  <w:style w:type="paragraph" w:customStyle="1" w:styleId="91">
    <w:name w:val="标准文件_封面标准英文名称"/>
    <w:basedOn w:val="1"/>
    <w:qFormat/>
    <w:uiPriority w:val="0"/>
    <w:pPr>
      <w:spacing w:line="240" w:lineRule="auto"/>
      <w:jc w:val="center"/>
    </w:pPr>
    <w:rPr>
      <w:rFonts w:ascii="黑体" w:eastAsia="黑体"/>
      <w:b/>
      <w:sz w:val="28"/>
    </w:rPr>
  </w:style>
  <w:style w:type="paragraph" w:customStyle="1" w:styleId="92">
    <w:name w:val="标准文件_封面发布日期"/>
    <w:basedOn w:val="1"/>
    <w:qFormat/>
    <w:uiPriority w:val="0"/>
    <w:pPr>
      <w:spacing w:line="310" w:lineRule="exact"/>
    </w:pPr>
    <w:rPr>
      <w:rFonts w:ascii="黑体" w:eastAsia="黑体"/>
      <w:kern w:val="0"/>
      <w:sz w:val="28"/>
    </w:rPr>
  </w:style>
  <w:style w:type="paragraph" w:customStyle="1" w:styleId="93">
    <w:name w:val="标准文件_封面密级"/>
    <w:basedOn w:val="1"/>
    <w:qFormat/>
    <w:uiPriority w:val="0"/>
    <w:rPr>
      <w:rFonts w:eastAsia="黑体"/>
      <w:sz w:val="32"/>
    </w:rPr>
  </w:style>
  <w:style w:type="paragraph" w:customStyle="1" w:styleId="94">
    <w:name w:val="标准文件_封面实施日期"/>
    <w:basedOn w:val="1"/>
    <w:qFormat/>
    <w:uiPriority w:val="0"/>
    <w:pPr>
      <w:spacing w:line="310" w:lineRule="exact"/>
      <w:jc w:val="right"/>
    </w:pPr>
    <w:rPr>
      <w:rFonts w:ascii="黑体" w:eastAsia="黑体"/>
      <w:sz w:val="28"/>
    </w:rPr>
  </w:style>
  <w:style w:type="paragraph" w:customStyle="1" w:styleId="95">
    <w:name w:val="标准文件_封面抬头"/>
    <w:basedOn w:val="76"/>
    <w:qFormat/>
    <w:uiPriority w:val="0"/>
    <w:pPr>
      <w:adjustRightInd w:val="0"/>
      <w:spacing w:line="800" w:lineRule="exact"/>
      <w:ind w:firstLine="0" w:firstLineChars="0"/>
      <w:jc w:val="distribute"/>
    </w:pPr>
    <w:rPr>
      <w:rFonts w:ascii="黑体" w:eastAsia="黑体"/>
      <w:b/>
      <w:sz w:val="64"/>
    </w:rPr>
  </w:style>
  <w:style w:type="paragraph" w:customStyle="1" w:styleId="96">
    <w:name w:val="标准文件_附录标识"/>
    <w:next w:val="76"/>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97">
    <w:name w:val="标准文件_附录表标题"/>
    <w:next w:val="76"/>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98">
    <w:name w:val="标准文件_附录一级条标题"/>
    <w:next w:val="7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99">
    <w:name w:val="标准文件_附录二级条标题"/>
    <w:basedOn w:val="98"/>
    <w:next w:val="76"/>
    <w:qFormat/>
    <w:uiPriority w:val="0"/>
    <w:pPr>
      <w:widowControl/>
      <w:numPr>
        <w:ilvl w:val="2"/>
      </w:numPr>
      <w:wordWrap w:val="0"/>
      <w:overflowPunct w:val="0"/>
      <w:autoSpaceDE w:val="0"/>
      <w:autoSpaceDN w:val="0"/>
      <w:textAlignment w:val="baseline"/>
      <w:outlineLvl w:val="3"/>
    </w:pPr>
  </w:style>
  <w:style w:type="paragraph" w:customStyle="1" w:styleId="100">
    <w:name w:val="标准文件_附录公式"/>
    <w:basedOn w:val="75"/>
    <w:next w:val="7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101">
    <w:name w:val="标准文件_附录三级条标题"/>
    <w:next w:val="7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102">
    <w:name w:val="标准文件_附录四级条标题"/>
    <w:next w:val="7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103">
    <w:name w:val="标准文件_附录图标题"/>
    <w:next w:val="76"/>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104">
    <w:name w:val="标准文件_附录五级条标题"/>
    <w:next w:val="7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105">
    <w:name w:val="标准文件_附录英文标识"/>
    <w:next w:val="19"/>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106">
    <w:name w:val="正文文本 Char"/>
    <w:link w:val="19"/>
    <w:qFormat/>
    <w:uiPriority w:val="0"/>
    <w:rPr>
      <w:rFonts w:ascii="Times New Roman" w:hAnsi="Times New Roman" w:eastAsia="宋体" w:cs="Times New Roman"/>
      <w:szCs w:val="20"/>
    </w:rPr>
  </w:style>
  <w:style w:type="paragraph" w:customStyle="1" w:styleId="107">
    <w:name w:val="标准文件_附录章标题"/>
    <w:next w:val="7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108">
    <w:name w:val="标准文件_公式后的破折号"/>
    <w:basedOn w:val="76"/>
    <w:next w:val="76"/>
    <w:qFormat/>
    <w:uiPriority w:val="0"/>
    <w:pPr>
      <w:ind w:left="488" w:leftChars="200" w:hanging="289" w:hangingChars="290"/>
    </w:pPr>
  </w:style>
  <w:style w:type="paragraph" w:customStyle="1" w:styleId="109">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110">
    <w:name w:val="标准文件_目次、标准名称标题"/>
    <w:basedOn w:val="109"/>
    <w:next w:val="76"/>
    <w:qFormat/>
    <w:uiPriority w:val="0"/>
    <w:pPr>
      <w:spacing w:line="460" w:lineRule="exact"/>
    </w:pPr>
  </w:style>
  <w:style w:type="paragraph" w:customStyle="1" w:styleId="111">
    <w:name w:val="标准文件_目录标题"/>
    <w:basedOn w:val="1"/>
    <w:qFormat/>
    <w:uiPriority w:val="0"/>
    <w:pPr>
      <w:spacing w:after="150" w:afterLines="150" w:line="240" w:lineRule="auto"/>
      <w:jc w:val="center"/>
    </w:pPr>
    <w:rPr>
      <w:rFonts w:ascii="黑体" w:eastAsia="黑体"/>
      <w:sz w:val="32"/>
    </w:rPr>
  </w:style>
  <w:style w:type="paragraph" w:customStyle="1" w:styleId="112">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113">
    <w:name w:val="标准文件_破折号列项（二级）"/>
    <w:basedOn w:val="112"/>
    <w:qFormat/>
    <w:uiPriority w:val="0"/>
    <w:pPr>
      <w:numPr>
        <w:numId w:val="10"/>
      </w:numPr>
      <w:ind w:left="0" w:firstLine="200"/>
    </w:pPr>
  </w:style>
  <w:style w:type="paragraph" w:customStyle="1" w:styleId="114">
    <w:name w:val="标准文件_三级条标题"/>
    <w:basedOn w:val="85"/>
    <w:next w:val="76"/>
    <w:qFormat/>
    <w:uiPriority w:val="0"/>
    <w:pPr>
      <w:widowControl/>
      <w:numPr>
        <w:ilvl w:val="4"/>
      </w:numPr>
      <w:outlineLvl w:val="3"/>
    </w:pPr>
  </w:style>
  <w:style w:type="character" w:customStyle="1" w:styleId="115">
    <w:name w:val="不明显参考1"/>
    <w:qFormat/>
    <w:uiPriority w:val="31"/>
    <w:rPr>
      <w:smallCaps/>
      <w:color w:val="C0504D"/>
      <w:u w:val="single"/>
    </w:rPr>
  </w:style>
  <w:style w:type="paragraph" w:customStyle="1" w:styleId="116">
    <w:name w:val="标准文件_示例后续"/>
    <w:basedOn w:val="1"/>
    <w:qFormat/>
    <w:uiPriority w:val="0"/>
    <w:pPr>
      <w:adjustRightInd/>
      <w:spacing w:line="240" w:lineRule="auto"/>
      <w:ind w:firstLine="200" w:firstLineChars="200"/>
    </w:pPr>
    <w:rPr>
      <w:sz w:val="18"/>
      <w:szCs w:val="24"/>
    </w:rPr>
  </w:style>
  <w:style w:type="paragraph" w:customStyle="1" w:styleId="11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18">
    <w:name w:val="标准文件_四级条标题"/>
    <w:next w:val="7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19">
    <w:name w:val="脚注文本 Char"/>
    <w:link w:val="33"/>
    <w:qFormat/>
    <w:uiPriority w:val="0"/>
    <w:rPr>
      <w:rFonts w:ascii="宋体" w:hAnsi="Times New Roman" w:eastAsia="宋体" w:cs="Times New Roman"/>
      <w:sz w:val="18"/>
      <w:szCs w:val="18"/>
    </w:rPr>
  </w:style>
  <w:style w:type="paragraph" w:customStyle="1" w:styleId="120">
    <w:name w:val="标准文件_条文脚注"/>
    <w:basedOn w:val="33"/>
    <w:qFormat/>
    <w:uiPriority w:val="0"/>
    <w:pPr>
      <w:adjustRightInd w:val="0"/>
      <w:spacing w:line="240" w:lineRule="auto"/>
      <w:ind w:left="0" w:leftChars="0" w:firstLine="200" w:firstLineChars="200"/>
      <w:jc w:val="both"/>
    </w:pPr>
    <w:rPr>
      <w:rFonts w:hAnsi="宋体"/>
    </w:rPr>
  </w:style>
  <w:style w:type="paragraph" w:customStyle="1" w:styleId="121">
    <w:name w:val="标准文件_图表脚注"/>
    <w:basedOn w:val="1"/>
    <w:next w:val="76"/>
    <w:qFormat/>
    <w:uiPriority w:val="0"/>
    <w:pPr>
      <w:numPr>
        <w:ilvl w:val="0"/>
        <w:numId w:val="12"/>
      </w:numPr>
      <w:spacing w:line="240" w:lineRule="auto"/>
      <w:jc w:val="left"/>
    </w:pPr>
    <w:rPr>
      <w:rFonts w:ascii="宋体" w:hAnsi="宋体"/>
      <w:sz w:val="18"/>
    </w:rPr>
  </w:style>
  <w:style w:type="character" w:customStyle="1" w:styleId="122">
    <w:name w:val="标准文件_图表脚注内容"/>
    <w:qFormat/>
    <w:uiPriority w:val="0"/>
    <w:rPr>
      <w:rFonts w:ascii="宋体" w:hAnsi="宋体" w:eastAsia="宋体" w:cs="Times New Roman"/>
      <w:spacing w:val="0"/>
      <w:sz w:val="18"/>
      <w:vertAlign w:val="superscript"/>
    </w:rPr>
  </w:style>
  <w:style w:type="paragraph" w:customStyle="1" w:styleId="123">
    <w:name w:val="标准文件_五级条标题"/>
    <w:next w:val="7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24">
    <w:name w:val="标准文件_章标题"/>
    <w:next w:val="7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25">
    <w:name w:val="标准文件_一级条标题"/>
    <w:basedOn w:val="124"/>
    <w:next w:val="76"/>
    <w:qFormat/>
    <w:uiPriority w:val="0"/>
    <w:pPr>
      <w:numPr>
        <w:ilvl w:val="2"/>
      </w:numPr>
      <w:spacing w:before="50" w:beforeLines="50" w:after="50" w:afterLines="50"/>
      <w:outlineLvl w:val="1"/>
    </w:pPr>
  </w:style>
  <w:style w:type="paragraph" w:customStyle="1" w:styleId="126">
    <w:name w:val="标准文件_一致程度"/>
    <w:basedOn w:val="1"/>
    <w:qFormat/>
    <w:uiPriority w:val="0"/>
    <w:pPr>
      <w:spacing w:line="440" w:lineRule="exact"/>
      <w:jc w:val="center"/>
    </w:pPr>
    <w:rPr>
      <w:sz w:val="28"/>
    </w:rPr>
  </w:style>
  <w:style w:type="paragraph" w:customStyle="1" w:styleId="12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28">
    <w:name w:val="标准文件_英文图表脚注"/>
    <w:basedOn w:val="75"/>
    <w:qFormat/>
    <w:uiPriority w:val="0"/>
    <w:pPr>
      <w:widowControl/>
      <w:adjustRightInd/>
      <w:snapToGrid/>
      <w:spacing w:line="240" w:lineRule="auto"/>
      <w:ind w:left="79" w:hanging="79" w:hangingChars="80"/>
    </w:pPr>
    <w:rPr>
      <w:rFonts w:ascii="宋体" w:hAnsi="宋体"/>
    </w:rPr>
  </w:style>
  <w:style w:type="paragraph" w:customStyle="1" w:styleId="12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30">
    <w:name w:val="标准文件_英文注："/>
    <w:basedOn w:val="1"/>
    <w:next w:val="7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3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32">
    <w:name w:val="标准文件_正文表标题"/>
    <w:next w:val="7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33">
    <w:name w:val="标准文件_正文公式"/>
    <w:basedOn w:val="1"/>
    <w:next w:val="75"/>
    <w:qFormat/>
    <w:uiPriority w:val="0"/>
    <w:pPr>
      <w:tabs>
        <w:tab w:val="center" w:pos="4678"/>
        <w:tab w:val="right" w:leader="middleDot" w:pos="9356"/>
      </w:tabs>
      <w:spacing w:line="240" w:lineRule="auto"/>
    </w:pPr>
    <w:rPr>
      <w:rFonts w:ascii="宋体" w:hAnsi="宋体"/>
    </w:rPr>
  </w:style>
  <w:style w:type="paragraph" w:customStyle="1" w:styleId="134">
    <w:name w:val="标准文件_正文图标题"/>
    <w:next w:val="7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35">
    <w:name w:val="标准文件_正文英文表标题"/>
    <w:next w:val="7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36">
    <w:name w:val="标准文件_正文英文图标题"/>
    <w:next w:val="7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3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3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39">
    <w:name w:val="发布部门"/>
    <w:next w:val="7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4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41">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4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4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4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4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4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47">
    <w:name w:val="封面正文"/>
    <w:qFormat/>
    <w:uiPriority w:val="0"/>
    <w:pPr>
      <w:jc w:val="both"/>
    </w:pPr>
    <w:rPr>
      <w:rFonts w:ascii="Times New Roman" w:hAnsi="Times New Roman" w:eastAsia="宋体" w:cs="Times New Roman"/>
      <w:lang w:val="en-US" w:eastAsia="zh-CN" w:bidi="ar-SA"/>
    </w:rPr>
  </w:style>
  <w:style w:type="paragraph" w:customStyle="1" w:styleId="148">
    <w:name w:val="附录二级无标题条"/>
    <w:basedOn w:val="1"/>
    <w:next w:val="7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49">
    <w:name w:val="附录三级无标题条"/>
    <w:basedOn w:val="148"/>
    <w:next w:val="76"/>
    <w:qFormat/>
    <w:uiPriority w:val="0"/>
    <w:pPr>
      <w:outlineLvl w:val="4"/>
    </w:pPr>
  </w:style>
  <w:style w:type="paragraph" w:customStyle="1" w:styleId="150">
    <w:name w:val="附录四级无标题条"/>
    <w:basedOn w:val="149"/>
    <w:next w:val="76"/>
    <w:qFormat/>
    <w:uiPriority w:val="0"/>
    <w:pPr>
      <w:outlineLvl w:val="5"/>
    </w:pPr>
  </w:style>
  <w:style w:type="paragraph" w:customStyle="1" w:styleId="151">
    <w:name w:val="附录图"/>
    <w:next w:val="7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5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53">
    <w:name w:val="附录五级无标题条"/>
    <w:basedOn w:val="150"/>
    <w:next w:val="76"/>
    <w:qFormat/>
    <w:uiPriority w:val="0"/>
    <w:pPr>
      <w:outlineLvl w:val="6"/>
    </w:pPr>
  </w:style>
  <w:style w:type="paragraph" w:customStyle="1" w:styleId="154">
    <w:name w:val="附录性质"/>
    <w:basedOn w:val="1"/>
    <w:qFormat/>
    <w:uiPriority w:val="0"/>
    <w:pPr>
      <w:widowControl/>
      <w:adjustRightInd/>
      <w:jc w:val="center"/>
    </w:pPr>
    <w:rPr>
      <w:rFonts w:ascii="黑体" w:eastAsia="黑体"/>
    </w:rPr>
  </w:style>
  <w:style w:type="paragraph" w:customStyle="1" w:styleId="155">
    <w:name w:val="附录一级无标题条"/>
    <w:basedOn w:val="107"/>
    <w:next w:val="76"/>
    <w:qFormat/>
    <w:uiPriority w:val="0"/>
    <w:pPr>
      <w:autoSpaceDN w:val="0"/>
      <w:outlineLvl w:val="2"/>
    </w:pPr>
    <w:rPr>
      <w:rFonts w:ascii="宋体" w:hAnsi="宋体" w:eastAsia="宋体"/>
    </w:rPr>
  </w:style>
  <w:style w:type="character" w:customStyle="1" w:styleId="156">
    <w:name w:val="个人答复风格"/>
    <w:qFormat/>
    <w:uiPriority w:val="0"/>
    <w:rPr>
      <w:rFonts w:ascii="Arial" w:hAnsi="Arial" w:eastAsia="宋体" w:cs="Arial"/>
      <w:color w:val="auto"/>
      <w:spacing w:val="0"/>
      <w:sz w:val="20"/>
    </w:rPr>
  </w:style>
  <w:style w:type="character" w:customStyle="1" w:styleId="157">
    <w:name w:val="个人撰写风格"/>
    <w:qFormat/>
    <w:uiPriority w:val="0"/>
    <w:rPr>
      <w:rFonts w:ascii="Arial" w:hAnsi="Arial" w:eastAsia="宋体" w:cs="Arial"/>
      <w:color w:val="auto"/>
      <w:spacing w:val="0"/>
      <w:sz w:val="20"/>
    </w:rPr>
  </w:style>
  <w:style w:type="paragraph" w:customStyle="1" w:styleId="15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5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60">
    <w:name w:val="列项·"/>
    <w:basedOn w:val="76"/>
    <w:qFormat/>
    <w:uiPriority w:val="0"/>
    <w:pPr>
      <w:tabs>
        <w:tab w:val="left" w:pos="840"/>
      </w:tabs>
    </w:pPr>
  </w:style>
  <w:style w:type="paragraph" w:customStyle="1" w:styleId="16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62">
    <w:name w:val="目录 21"/>
    <w:basedOn w:val="1"/>
    <w:next w:val="1"/>
    <w:semiHidden/>
    <w:qFormat/>
    <w:uiPriority w:val="0"/>
    <w:pPr>
      <w:adjustRightInd/>
      <w:spacing w:line="240" w:lineRule="auto"/>
      <w:jc w:val="left"/>
    </w:pPr>
    <w:rPr>
      <w:bCs/>
      <w:iCs/>
    </w:rPr>
  </w:style>
  <w:style w:type="paragraph" w:customStyle="1" w:styleId="163">
    <w:name w:val="目录 31"/>
    <w:basedOn w:val="1"/>
    <w:next w:val="1"/>
    <w:semiHidden/>
    <w:qFormat/>
    <w:uiPriority w:val="0"/>
    <w:pPr>
      <w:spacing w:line="240" w:lineRule="auto"/>
    </w:pPr>
    <w:rPr>
      <w:rFonts w:ascii="宋体" w:hAnsi="宋体"/>
      <w:iCs/>
    </w:rPr>
  </w:style>
  <w:style w:type="paragraph" w:customStyle="1" w:styleId="164">
    <w:name w:val="目录 41"/>
    <w:basedOn w:val="1"/>
    <w:next w:val="1"/>
    <w:semiHidden/>
    <w:qFormat/>
    <w:uiPriority w:val="0"/>
    <w:pPr>
      <w:adjustRightInd/>
      <w:spacing w:line="240" w:lineRule="auto"/>
      <w:jc w:val="left"/>
    </w:pPr>
  </w:style>
  <w:style w:type="paragraph" w:customStyle="1" w:styleId="165">
    <w:name w:val="目录 51"/>
    <w:basedOn w:val="1"/>
    <w:next w:val="1"/>
    <w:semiHidden/>
    <w:qFormat/>
    <w:uiPriority w:val="0"/>
    <w:pPr>
      <w:spacing w:line="240" w:lineRule="auto"/>
    </w:pPr>
    <w:rPr>
      <w:rFonts w:ascii="宋体" w:hAnsi="宋体"/>
    </w:rPr>
  </w:style>
  <w:style w:type="paragraph" w:customStyle="1" w:styleId="166">
    <w:name w:val="目录 61"/>
    <w:basedOn w:val="1"/>
    <w:next w:val="1"/>
    <w:semiHidden/>
    <w:qFormat/>
    <w:uiPriority w:val="0"/>
    <w:pPr>
      <w:adjustRightInd/>
      <w:spacing w:line="240" w:lineRule="auto"/>
      <w:jc w:val="left"/>
    </w:pPr>
  </w:style>
  <w:style w:type="paragraph" w:customStyle="1" w:styleId="167">
    <w:name w:val="目录 71"/>
    <w:basedOn w:val="166"/>
    <w:semiHidden/>
    <w:qFormat/>
    <w:uiPriority w:val="0"/>
    <w:pPr>
      <w:ind w:left="1260"/>
    </w:pPr>
  </w:style>
  <w:style w:type="paragraph" w:customStyle="1" w:styleId="168">
    <w:name w:val="目录 81"/>
    <w:basedOn w:val="167"/>
    <w:semiHidden/>
    <w:qFormat/>
    <w:uiPriority w:val="0"/>
    <w:pPr>
      <w:ind w:left="1470"/>
    </w:pPr>
  </w:style>
  <w:style w:type="paragraph" w:customStyle="1" w:styleId="169">
    <w:name w:val="目录 91"/>
    <w:basedOn w:val="168"/>
    <w:semiHidden/>
    <w:qFormat/>
    <w:uiPriority w:val="0"/>
    <w:pPr>
      <w:ind w:left="1680"/>
    </w:pPr>
  </w:style>
  <w:style w:type="paragraph" w:customStyle="1" w:styleId="17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71">
    <w:name w:val="其他发布部门"/>
    <w:basedOn w:val="139"/>
    <w:qFormat/>
    <w:uiPriority w:val="0"/>
    <w:pPr>
      <w:framePr w:wrap="around"/>
      <w:spacing w:line="0" w:lineRule="atLeast"/>
    </w:pPr>
    <w:rPr>
      <w:rFonts w:ascii="黑体" w:eastAsia="黑体"/>
      <w:b w:val="0"/>
    </w:rPr>
  </w:style>
  <w:style w:type="paragraph" w:customStyle="1" w:styleId="17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7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74">
    <w:name w:val="实施日期"/>
    <w:basedOn w:val="140"/>
    <w:qFormat/>
    <w:uiPriority w:val="0"/>
    <w:pPr>
      <w:framePr w:hSpace="0" w:wrap="around" w:xAlign="right"/>
      <w:jc w:val="right"/>
    </w:pPr>
  </w:style>
  <w:style w:type="paragraph" w:customStyle="1" w:styleId="17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7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77">
    <w:name w:val="无标题条"/>
    <w:next w:val="76"/>
    <w:qFormat/>
    <w:uiPriority w:val="0"/>
    <w:pPr>
      <w:jc w:val="both"/>
    </w:pPr>
    <w:rPr>
      <w:rFonts w:ascii="宋体" w:hAnsi="宋体" w:eastAsia="宋体" w:cs="Times New Roman"/>
      <w:sz w:val="21"/>
      <w:lang w:val="en-US" w:eastAsia="zh-CN" w:bidi="ar-SA"/>
    </w:rPr>
  </w:style>
  <w:style w:type="paragraph" w:customStyle="1" w:styleId="178">
    <w:name w:val="五级无标题条"/>
    <w:basedOn w:val="1"/>
    <w:qFormat/>
    <w:uiPriority w:val="0"/>
    <w:pPr>
      <w:numPr>
        <w:ilvl w:val="6"/>
        <w:numId w:val="20"/>
      </w:numPr>
      <w:adjustRightInd/>
    </w:pPr>
    <w:rPr>
      <w:szCs w:val="24"/>
    </w:rPr>
  </w:style>
  <w:style w:type="paragraph" w:customStyle="1" w:styleId="17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8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81">
    <w:name w:val="注×:后续"/>
    <w:basedOn w:val="180"/>
    <w:qFormat/>
    <w:uiPriority w:val="0"/>
    <w:pPr>
      <w:ind w:left="1406" w:leftChars="0" w:hanging="499" w:firstLineChars="0"/>
    </w:pPr>
  </w:style>
  <w:style w:type="paragraph" w:customStyle="1" w:styleId="182">
    <w:name w:val="标准文件_一级无标题"/>
    <w:basedOn w:val="125"/>
    <w:qFormat/>
    <w:uiPriority w:val="0"/>
    <w:pPr>
      <w:spacing w:before="0" w:beforeLines="0" w:after="0" w:afterLines="0"/>
      <w:outlineLvl w:val="9"/>
    </w:pPr>
    <w:rPr>
      <w:rFonts w:ascii="宋体" w:eastAsia="宋体"/>
    </w:rPr>
  </w:style>
  <w:style w:type="paragraph" w:customStyle="1" w:styleId="183">
    <w:name w:val="标准文件_五级无标题"/>
    <w:basedOn w:val="123"/>
    <w:qFormat/>
    <w:uiPriority w:val="0"/>
    <w:pPr>
      <w:spacing w:before="0" w:beforeLines="0" w:after="0" w:afterLines="0"/>
      <w:outlineLvl w:val="9"/>
    </w:pPr>
    <w:rPr>
      <w:rFonts w:ascii="宋体" w:eastAsia="宋体"/>
    </w:rPr>
  </w:style>
  <w:style w:type="paragraph" w:customStyle="1" w:styleId="184">
    <w:name w:val="标准文件_三级无标题"/>
    <w:basedOn w:val="114"/>
    <w:qFormat/>
    <w:uiPriority w:val="0"/>
    <w:pPr>
      <w:spacing w:before="0" w:beforeLines="0" w:after="0" w:afterLines="0"/>
      <w:outlineLvl w:val="9"/>
    </w:pPr>
    <w:rPr>
      <w:rFonts w:ascii="宋体" w:eastAsia="宋体"/>
    </w:rPr>
  </w:style>
  <w:style w:type="paragraph" w:customStyle="1" w:styleId="185">
    <w:name w:val="标准文件_二级无标题"/>
    <w:basedOn w:val="85"/>
    <w:qFormat/>
    <w:uiPriority w:val="0"/>
    <w:pPr>
      <w:spacing w:before="0" w:beforeLines="0" w:after="0" w:afterLines="0"/>
      <w:outlineLvl w:val="9"/>
    </w:pPr>
    <w:rPr>
      <w:rFonts w:ascii="宋体" w:eastAsia="宋体"/>
    </w:rPr>
  </w:style>
  <w:style w:type="paragraph" w:customStyle="1" w:styleId="186">
    <w:name w:val="标准_四级无标题"/>
    <w:basedOn w:val="118"/>
    <w:next w:val="76"/>
    <w:qFormat/>
    <w:uiPriority w:val="0"/>
    <w:rPr>
      <w:rFonts w:eastAsia="宋体"/>
    </w:rPr>
  </w:style>
  <w:style w:type="paragraph" w:customStyle="1" w:styleId="187">
    <w:name w:val="标准文件_四级无标题"/>
    <w:basedOn w:val="118"/>
    <w:qFormat/>
    <w:uiPriority w:val="0"/>
    <w:pPr>
      <w:spacing w:before="0" w:beforeLines="0" w:after="0" w:afterLines="0"/>
      <w:outlineLvl w:val="9"/>
    </w:pPr>
    <w:rPr>
      <w:rFonts w:ascii="宋体" w:hAnsi="黑体" w:eastAsia="宋体"/>
      <w:szCs w:val="52"/>
    </w:rPr>
  </w:style>
  <w:style w:type="paragraph" w:customStyle="1" w:styleId="188">
    <w:name w:val="标准文件_大写罗马数字编号列项"/>
    <w:basedOn w:val="76"/>
    <w:qFormat/>
    <w:uiPriority w:val="0"/>
    <w:pPr>
      <w:numPr>
        <w:ilvl w:val="0"/>
        <w:numId w:val="23"/>
      </w:numPr>
      <w:ind w:firstLine="0" w:firstLineChars="0"/>
    </w:pPr>
    <w:rPr>
      <w:rFonts w:ascii="Times New Roman" w:cs="Arial"/>
      <w:szCs w:val="28"/>
    </w:rPr>
  </w:style>
  <w:style w:type="paragraph" w:customStyle="1" w:styleId="189">
    <w:name w:val="标准文件_小写罗马数字编号列项"/>
    <w:basedOn w:val="76"/>
    <w:qFormat/>
    <w:uiPriority w:val="0"/>
    <w:pPr>
      <w:numPr>
        <w:ilvl w:val="0"/>
        <w:numId w:val="24"/>
      </w:numPr>
      <w:ind w:firstLine="0" w:firstLineChars="0"/>
    </w:pPr>
    <w:rPr>
      <w:rFonts w:cs="Arial"/>
      <w:szCs w:val="28"/>
    </w:rPr>
  </w:style>
  <w:style w:type="paragraph" w:customStyle="1" w:styleId="190">
    <w:name w:val="标准文件_附录标题"/>
    <w:basedOn w:val="96"/>
    <w:qFormat/>
    <w:uiPriority w:val="0"/>
    <w:pPr>
      <w:numPr>
        <w:numId w:val="0"/>
      </w:numPr>
      <w:spacing w:after="280"/>
      <w:outlineLvl w:val="9"/>
    </w:pPr>
  </w:style>
  <w:style w:type="paragraph" w:customStyle="1" w:styleId="191">
    <w:name w:val="标准文件_二级项"/>
    <w:qFormat/>
    <w:uiPriority w:val="0"/>
    <w:rPr>
      <w:rFonts w:ascii="宋体" w:hAnsi="Times New Roman" w:eastAsia="宋体" w:cs="Times New Roman"/>
      <w:sz w:val="21"/>
      <w:lang w:val="en-US" w:eastAsia="zh-CN" w:bidi="ar-SA"/>
    </w:rPr>
  </w:style>
  <w:style w:type="paragraph" w:customStyle="1" w:styleId="192">
    <w:name w:val="标准文件_三级项"/>
    <w:basedOn w:val="1"/>
    <w:qFormat/>
    <w:uiPriority w:val="0"/>
    <w:pPr>
      <w:numPr>
        <w:ilvl w:val="2"/>
        <w:numId w:val="21"/>
      </w:numPr>
      <w:spacing w:line="536870612" w:lineRule="auto"/>
    </w:pPr>
    <w:rPr>
      <w:rFonts w:ascii="Times New Roman" w:hAnsi="Times New Roman"/>
    </w:rPr>
  </w:style>
  <w:style w:type="paragraph" w:customStyle="1" w:styleId="193">
    <w:name w:val="图表脚注说明"/>
    <w:basedOn w:val="1"/>
    <w:next w:val="76"/>
    <w:qFormat/>
    <w:uiPriority w:val="0"/>
    <w:pPr>
      <w:numPr>
        <w:ilvl w:val="0"/>
        <w:numId w:val="25"/>
      </w:numPr>
      <w:adjustRightInd/>
      <w:spacing w:line="240" w:lineRule="auto"/>
      <w:ind w:left="783"/>
    </w:pPr>
    <w:rPr>
      <w:rFonts w:ascii="宋体" w:hAnsi="Times New Roman"/>
      <w:sz w:val="18"/>
      <w:szCs w:val="18"/>
    </w:rPr>
  </w:style>
  <w:style w:type="paragraph" w:customStyle="1" w:styleId="19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95">
    <w:name w:val="标准文件_索引字母"/>
    <w:next w:val="76"/>
    <w:qFormat/>
    <w:uiPriority w:val="0"/>
    <w:pPr>
      <w:jc w:val="center"/>
    </w:pPr>
    <w:rPr>
      <w:rFonts w:ascii="宋体" w:hAnsi="宋体" w:eastAsia="Times New Roman" w:cs="Times New Roman"/>
      <w:b/>
      <w:kern w:val="2"/>
      <w:sz w:val="21"/>
      <w:lang w:val="en-US" w:eastAsia="zh-CN" w:bidi="ar-SA"/>
    </w:rPr>
  </w:style>
  <w:style w:type="paragraph" w:customStyle="1" w:styleId="196">
    <w:name w:val="标准文件_附录前"/>
    <w:next w:val="7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97">
    <w:name w:val="标准文件_正文标准名称"/>
    <w:qFormat/>
    <w:uiPriority w:val="0"/>
    <w:pPr>
      <w:spacing w:after="640" w:line="400" w:lineRule="exact"/>
      <w:jc w:val="center"/>
    </w:pPr>
    <w:rPr>
      <w:rFonts w:ascii="黑体" w:hAnsi="黑体" w:eastAsia="黑体" w:cs="Times New Roman"/>
      <w:kern w:val="2"/>
      <w:sz w:val="32"/>
      <w:szCs w:val="32"/>
      <w:lang w:val="en-US" w:eastAsia="zh-CN" w:bidi="ar-SA"/>
    </w:rPr>
  </w:style>
  <w:style w:type="paragraph" w:customStyle="1" w:styleId="198">
    <w:name w:val="标准文件_表格"/>
    <w:basedOn w:val="76"/>
    <w:qFormat/>
    <w:uiPriority w:val="0"/>
    <w:pPr>
      <w:ind w:firstLine="0" w:firstLineChars="0"/>
      <w:jc w:val="center"/>
    </w:pPr>
    <w:rPr>
      <w:sz w:val="18"/>
    </w:rPr>
  </w:style>
  <w:style w:type="paragraph" w:customStyle="1" w:styleId="199">
    <w:name w:val="标准文件_注："/>
    <w:next w:val="7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20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201">
    <w:name w:val="标准文件_示例："/>
    <w:next w:val="20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202">
    <w:name w:val="标准文件_示例内容"/>
    <w:basedOn w:val="76"/>
    <w:qFormat/>
    <w:uiPriority w:val="0"/>
    <w:pPr>
      <w:ind w:firstLine="420"/>
    </w:pPr>
    <w:rPr>
      <w:sz w:val="18"/>
    </w:rPr>
  </w:style>
  <w:style w:type="paragraph" w:customStyle="1" w:styleId="203">
    <w:name w:val="标准文件_示例×："/>
    <w:basedOn w:val="1"/>
    <w:next w:val="20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204">
    <w:name w:val="标准文件_段 Char"/>
    <w:link w:val="76"/>
    <w:qFormat/>
    <w:uiPriority w:val="0"/>
    <w:rPr>
      <w:rFonts w:ascii="宋体" w:hAnsi="Times New Roman"/>
      <w:sz w:val="21"/>
    </w:rPr>
  </w:style>
  <w:style w:type="paragraph" w:customStyle="1" w:styleId="205">
    <w:name w:val="标准文件_表格续"/>
    <w:basedOn w:val="76"/>
    <w:next w:val="76"/>
    <w:qFormat/>
    <w:uiPriority w:val="0"/>
    <w:pPr>
      <w:jc w:val="center"/>
    </w:pPr>
    <w:rPr>
      <w:rFonts w:ascii="黑体" w:hAnsi="黑体" w:eastAsia="黑体"/>
    </w:rPr>
  </w:style>
  <w:style w:type="character" w:styleId="206">
    <w:name w:val="Placeholder Text"/>
    <w:basedOn w:val="45"/>
    <w:semiHidden/>
    <w:qFormat/>
    <w:uiPriority w:val="99"/>
    <w:rPr>
      <w:color w:val="808080"/>
    </w:rPr>
  </w:style>
  <w:style w:type="paragraph" w:customStyle="1" w:styleId="207">
    <w:name w:val="标准文件_二级项2"/>
    <w:basedOn w:val="76"/>
    <w:qFormat/>
    <w:uiPriority w:val="0"/>
    <w:pPr>
      <w:numPr>
        <w:ilvl w:val="1"/>
        <w:numId w:val="21"/>
      </w:numPr>
      <w:ind w:left="1271" w:hanging="420" w:firstLineChars="0"/>
    </w:pPr>
  </w:style>
  <w:style w:type="paragraph" w:customStyle="1" w:styleId="208">
    <w:name w:val="标准文件_三级项2"/>
    <w:basedOn w:val="76"/>
    <w:qFormat/>
    <w:uiPriority w:val="0"/>
    <w:pPr>
      <w:numPr>
        <w:ilvl w:val="0"/>
        <w:numId w:val="30"/>
      </w:numPr>
      <w:spacing w:line="300" w:lineRule="exact"/>
      <w:ind w:left="1276" w:hanging="425" w:firstLineChars="0"/>
    </w:pPr>
    <w:rPr>
      <w:rFonts w:ascii="Times New Roman"/>
    </w:rPr>
  </w:style>
  <w:style w:type="paragraph" w:customStyle="1" w:styleId="209">
    <w:name w:val="标准文件_一级项2"/>
    <w:basedOn w:val="76"/>
    <w:qFormat/>
    <w:uiPriority w:val="0"/>
    <w:pPr>
      <w:numPr>
        <w:ilvl w:val="0"/>
        <w:numId w:val="31"/>
      </w:numPr>
      <w:spacing w:line="300" w:lineRule="exact"/>
      <w:ind w:left="1271" w:hanging="420" w:firstLineChars="0"/>
    </w:pPr>
    <w:rPr>
      <w:rFonts w:ascii="Times New Roman"/>
    </w:rPr>
  </w:style>
  <w:style w:type="paragraph" w:customStyle="1" w:styleId="210">
    <w:name w:val="标准文件_提示"/>
    <w:basedOn w:val="76"/>
    <w:next w:val="76"/>
    <w:qFormat/>
    <w:uiPriority w:val="0"/>
    <w:pPr>
      <w:ind w:firstLine="420"/>
    </w:pPr>
    <w:rPr>
      <w:rFonts w:ascii="黑体" w:eastAsia="黑体"/>
    </w:rPr>
  </w:style>
  <w:style w:type="character" w:customStyle="1" w:styleId="211">
    <w:name w:val="标准文件_来源"/>
    <w:basedOn w:val="45"/>
    <w:qFormat/>
    <w:uiPriority w:val="1"/>
    <w:rPr>
      <w:rFonts w:eastAsia="宋体"/>
      <w:sz w:val="21"/>
    </w:rPr>
  </w:style>
  <w:style w:type="paragraph" w:customStyle="1" w:styleId="21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213">
    <w:name w:val="其他发布日期"/>
    <w:basedOn w:val="140"/>
    <w:qFormat/>
    <w:uiPriority w:val="0"/>
    <w:pPr>
      <w:framePr w:w="3997" w:h="471" w:hRule="exact" w:hSpace="0" w:vSpace="181" w:wrap="around" w:vAnchor="page" w:hAnchor="page" w:x="1419" w:y="14097"/>
    </w:pPr>
  </w:style>
  <w:style w:type="paragraph" w:customStyle="1" w:styleId="214">
    <w:name w:val="其他实施日期"/>
    <w:basedOn w:val="174"/>
    <w:qFormat/>
    <w:uiPriority w:val="0"/>
    <w:pPr>
      <w:framePr w:w="3997" w:h="471" w:hRule="exact" w:vSpace="181" w:wrap="around" w:vAnchor="page" w:hAnchor="page" w:x="7089" w:y="14097"/>
    </w:pPr>
  </w:style>
  <w:style w:type="paragraph" w:customStyle="1" w:styleId="215">
    <w:name w:val="标准文件_文件编号"/>
    <w:basedOn w:val="76"/>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216">
    <w:name w:val="标准文件_替换文件编号"/>
    <w:basedOn w:val="215"/>
    <w:qFormat/>
    <w:uiPriority w:val="0"/>
    <w:pPr>
      <w:spacing w:before="57"/>
    </w:pPr>
    <w:rPr>
      <w:sz w:val="21"/>
    </w:rPr>
  </w:style>
  <w:style w:type="paragraph" w:customStyle="1" w:styleId="217">
    <w:name w:val="标准文件_文件名称"/>
    <w:basedOn w:val="76"/>
    <w:next w:val="76"/>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18">
    <w:name w:val="标准文件_附录图标号"/>
    <w:basedOn w:val="76"/>
    <w:next w:val="7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19">
    <w:name w:val="标准文件_附录表标号"/>
    <w:basedOn w:val="76"/>
    <w:next w:val="76"/>
    <w:qFormat/>
    <w:uiPriority w:val="0"/>
    <w:pPr>
      <w:numPr>
        <w:ilvl w:val="0"/>
        <w:numId w:val="5"/>
      </w:numPr>
      <w:spacing w:line="14" w:lineRule="exact"/>
      <w:ind w:firstLine="0" w:firstLineChars="0"/>
      <w:jc w:val="center"/>
    </w:pPr>
    <w:rPr>
      <w:rFonts w:eastAsia="黑体"/>
      <w:vanish/>
      <w:sz w:val="2"/>
    </w:rPr>
  </w:style>
  <w:style w:type="paragraph" w:customStyle="1" w:styleId="220">
    <w:name w:val="标准文件_引言一级条标题"/>
    <w:basedOn w:val="76"/>
    <w:next w:val="76"/>
    <w:qFormat/>
    <w:uiPriority w:val="0"/>
    <w:pPr>
      <w:numPr>
        <w:ilvl w:val="1"/>
        <w:numId w:val="8"/>
      </w:numPr>
      <w:spacing w:before="50" w:beforeLines="50" w:after="50" w:afterLines="50"/>
      <w:ind w:firstLineChars="0"/>
    </w:pPr>
    <w:rPr>
      <w:rFonts w:ascii="黑体" w:eastAsia="黑体"/>
    </w:rPr>
  </w:style>
  <w:style w:type="paragraph" w:customStyle="1" w:styleId="221">
    <w:name w:val="标准文件_引言二级条标题"/>
    <w:basedOn w:val="76"/>
    <w:next w:val="76"/>
    <w:qFormat/>
    <w:uiPriority w:val="0"/>
    <w:pPr>
      <w:numPr>
        <w:ilvl w:val="2"/>
        <w:numId w:val="8"/>
      </w:numPr>
      <w:spacing w:before="50" w:beforeLines="50" w:after="50" w:afterLines="50"/>
      <w:ind w:firstLineChars="0"/>
    </w:pPr>
    <w:rPr>
      <w:rFonts w:ascii="黑体" w:eastAsia="黑体"/>
    </w:rPr>
  </w:style>
  <w:style w:type="paragraph" w:customStyle="1" w:styleId="222">
    <w:name w:val="标准文件_引言三级条标题"/>
    <w:basedOn w:val="76"/>
    <w:next w:val="76"/>
    <w:qFormat/>
    <w:uiPriority w:val="0"/>
    <w:pPr>
      <w:numPr>
        <w:ilvl w:val="3"/>
        <w:numId w:val="8"/>
      </w:numPr>
      <w:spacing w:before="50" w:beforeLines="50" w:after="50" w:afterLines="50"/>
      <w:ind w:firstLineChars="0"/>
    </w:pPr>
    <w:rPr>
      <w:rFonts w:ascii="黑体" w:eastAsia="黑体"/>
    </w:rPr>
  </w:style>
  <w:style w:type="paragraph" w:customStyle="1" w:styleId="223">
    <w:name w:val="标准文件_引言四级条标题"/>
    <w:basedOn w:val="76"/>
    <w:next w:val="76"/>
    <w:qFormat/>
    <w:uiPriority w:val="0"/>
    <w:pPr>
      <w:numPr>
        <w:ilvl w:val="4"/>
        <w:numId w:val="8"/>
      </w:numPr>
      <w:spacing w:before="50" w:beforeLines="50" w:after="50" w:afterLines="50"/>
      <w:ind w:firstLineChars="0"/>
    </w:pPr>
    <w:rPr>
      <w:rFonts w:ascii="黑体" w:eastAsia="黑体"/>
    </w:rPr>
  </w:style>
  <w:style w:type="paragraph" w:customStyle="1" w:styleId="224">
    <w:name w:val="标准文件_引言五级条标题"/>
    <w:basedOn w:val="76"/>
    <w:next w:val="76"/>
    <w:qFormat/>
    <w:uiPriority w:val="0"/>
    <w:pPr>
      <w:numPr>
        <w:ilvl w:val="5"/>
        <w:numId w:val="8"/>
      </w:numPr>
      <w:spacing w:before="50" w:beforeLines="50" w:after="50" w:afterLines="50"/>
      <w:ind w:firstLineChars="0"/>
    </w:pPr>
    <w:rPr>
      <w:rFonts w:ascii="黑体" w:eastAsia="黑体"/>
    </w:rPr>
  </w:style>
  <w:style w:type="paragraph" w:customStyle="1" w:styleId="225">
    <w:name w:val="标准文件_注后"/>
    <w:basedOn w:val="76"/>
    <w:qFormat/>
    <w:uiPriority w:val="0"/>
    <w:pPr>
      <w:ind w:left="811" w:firstLine="0" w:firstLineChars="0"/>
    </w:pPr>
    <w:rPr>
      <w:sz w:val="18"/>
    </w:rPr>
  </w:style>
  <w:style w:type="paragraph" w:customStyle="1" w:styleId="226">
    <w:name w:val="标准文件_注X后"/>
    <w:basedOn w:val="76"/>
    <w:qFormat/>
    <w:uiPriority w:val="0"/>
    <w:pPr>
      <w:ind w:left="811" w:firstLine="0" w:firstLineChars="0"/>
    </w:pPr>
    <w:rPr>
      <w:sz w:val="18"/>
    </w:rPr>
  </w:style>
  <w:style w:type="paragraph" w:customStyle="1" w:styleId="227">
    <w:name w:val="标准文件_示例后"/>
    <w:basedOn w:val="76"/>
    <w:qFormat/>
    <w:uiPriority w:val="0"/>
    <w:pPr>
      <w:ind w:left="964" w:firstLine="0" w:firstLineChars="0"/>
    </w:pPr>
    <w:rPr>
      <w:sz w:val="18"/>
    </w:rPr>
  </w:style>
  <w:style w:type="paragraph" w:customStyle="1" w:styleId="228">
    <w:name w:val="标准文件_示例X后"/>
    <w:basedOn w:val="76"/>
    <w:link w:val="229"/>
    <w:qFormat/>
    <w:uiPriority w:val="0"/>
    <w:pPr>
      <w:ind w:left="1049" w:firstLine="0" w:firstLineChars="0"/>
    </w:pPr>
    <w:rPr>
      <w:sz w:val="18"/>
    </w:rPr>
  </w:style>
  <w:style w:type="character" w:customStyle="1" w:styleId="229">
    <w:name w:val="标准文件_示例X后 字符"/>
    <w:basedOn w:val="204"/>
    <w:link w:val="228"/>
    <w:qFormat/>
    <w:uiPriority w:val="0"/>
    <w:rPr>
      <w:rFonts w:ascii="宋体" w:hAnsi="Times New Roman"/>
      <w:sz w:val="18"/>
    </w:rPr>
  </w:style>
  <w:style w:type="paragraph" w:customStyle="1" w:styleId="230">
    <w:name w:val="标准文件_索引项"/>
    <w:basedOn w:val="76"/>
    <w:next w:val="76"/>
    <w:qFormat/>
    <w:uiPriority w:val="0"/>
    <w:pPr>
      <w:tabs>
        <w:tab w:val="right" w:leader="dot" w:pos="9356"/>
      </w:tabs>
      <w:ind w:left="210" w:hanging="210" w:firstLineChars="0"/>
      <w:jc w:val="left"/>
    </w:pPr>
  </w:style>
  <w:style w:type="paragraph" w:customStyle="1" w:styleId="231">
    <w:name w:val="标准文件_附录一级无标题"/>
    <w:basedOn w:val="98"/>
    <w:qFormat/>
    <w:uiPriority w:val="0"/>
    <w:pPr>
      <w:spacing w:before="0" w:beforeLines="0" w:after="0" w:afterLines="0" w:line="276" w:lineRule="auto"/>
      <w:outlineLvl w:val="9"/>
    </w:pPr>
    <w:rPr>
      <w:rFonts w:ascii="宋体" w:eastAsia="宋体"/>
    </w:rPr>
  </w:style>
  <w:style w:type="paragraph" w:customStyle="1" w:styleId="232">
    <w:name w:val="标准文件_附录二级无标题"/>
    <w:basedOn w:val="99"/>
    <w:qFormat/>
    <w:uiPriority w:val="0"/>
    <w:pPr>
      <w:spacing w:before="0" w:beforeLines="0" w:after="0" w:afterLines="0" w:line="276" w:lineRule="auto"/>
      <w:outlineLvl w:val="9"/>
    </w:pPr>
    <w:rPr>
      <w:rFonts w:ascii="宋体" w:eastAsia="宋体"/>
    </w:rPr>
  </w:style>
  <w:style w:type="paragraph" w:customStyle="1" w:styleId="233">
    <w:name w:val="标准文件_附录三级无标题"/>
    <w:basedOn w:val="101"/>
    <w:qFormat/>
    <w:uiPriority w:val="0"/>
    <w:pPr>
      <w:spacing w:before="0" w:beforeLines="0" w:after="0" w:afterLines="0" w:line="276" w:lineRule="auto"/>
      <w:outlineLvl w:val="9"/>
    </w:pPr>
    <w:rPr>
      <w:rFonts w:ascii="宋体" w:eastAsia="宋体"/>
    </w:rPr>
  </w:style>
  <w:style w:type="paragraph" w:customStyle="1" w:styleId="234">
    <w:name w:val="标准文件_附录四级无标题"/>
    <w:basedOn w:val="102"/>
    <w:qFormat/>
    <w:uiPriority w:val="0"/>
    <w:pPr>
      <w:spacing w:before="0" w:beforeLines="0" w:after="0" w:afterLines="0" w:line="276" w:lineRule="auto"/>
      <w:outlineLvl w:val="9"/>
    </w:pPr>
    <w:rPr>
      <w:rFonts w:ascii="宋体" w:eastAsia="宋体"/>
    </w:rPr>
  </w:style>
  <w:style w:type="paragraph" w:customStyle="1" w:styleId="235">
    <w:name w:val="标准文件_附录五级无标题"/>
    <w:basedOn w:val="104"/>
    <w:qFormat/>
    <w:uiPriority w:val="0"/>
    <w:pPr>
      <w:spacing w:before="0" w:beforeLines="0" w:after="0" w:afterLines="0" w:line="276" w:lineRule="auto"/>
      <w:outlineLvl w:val="9"/>
    </w:pPr>
    <w:rPr>
      <w:rFonts w:ascii="宋体" w:eastAsia="宋体"/>
    </w:rPr>
  </w:style>
  <w:style w:type="paragraph" w:customStyle="1" w:styleId="236">
    <w:name w:val="标准文件_引言一级无标题"/>
    <w:basedOn w:val="220"/>
    <w:next w:val="76"/>
    <w:qFormat/>
    <w:uiPriority w:val="0"/>
    <w:pPr>
      <w:spacing w:before="0" w:beforeLines="0" w:after="0" w:afterLines="0" w:line="276" w:lineRule="auto"/>
    </w:pPr>
    <w:rPr>
      <w:rFonts w:ascii="宋体" w:eastAsia="宋体"/>
    </w:rPr>
  </w:style>
  <w:style w:type="paragraph" w:customStyle="1" w:styleId="237">
    <w:name w:val="标准文件_引言二级无标题"/>
    <w:basedOn w:val="221"/>
    <w:next w:val="76"/>
    <w:qFormat/>
    <w:uiPriority w:val="0"/>
    <w:pPr>
      <w:spacing w:before="0" w:beforeLines="0" w:after="0" w:afterLines="0" w:line="276" w:lineRule="auto"/>
    </w:pPr>
    <w:rPr>
      <w:rFonts w:ascii="宋体" w:eastAsia="宋体"/>
    </w:rPr>
  </w:style>
  <w:style w:type="paragraph" w:customStyle="1" w:styleId="238">
    <w:name w:val="标准文件_引言三级无标题"/>
    <w:basedOn w:val="222"/>
    <w:next w:val="76"/>
    <w:qFormat/>
    <w:uiPriority w:val="0"/>
    <w:pPr>
      <w:spacing w:before="0" w:beforeLines="0" w:after="0" w:afterLines="0" w:line="276" w:lineRule="auto"/>
    </w:pPr>
    <w:rPr>
      <w:rFonts w:ascii="宋体" w:eastAsia="宋体"/>
    </w:rPr>
  </w:style>
  <w:style w:type="paragraph" w:customStyle="1" w:styleId="239">
    <w:name w:val="标准文件_引言四级无标题"/>
    <w:basedOn w:val="223"/>
    <w:next w:val="76"/>
    <w:qFormat/>
    <w:uiPriority w:val="0"/>
    <w:pPr>
      <w:spacing w:before="0" w:beforeLines="0" w:after="0" w:afterLines="0" w:line="276" w:lineRule="auto"/>
    </w:pPr>
    <w:rPr>
      <w:rFonts w:ascii="宋体" w:eastAsia="宋体"/>
    </w:rPr>
  </w:style>
  <w:style w:type="paragraph" w:customStyle="1" w:styleId="240">
    <w:name w:val="标准文件_引言五级无标题"/>
    <w:basedOn w:val="224"/>
    <w:next w:val="76"/>
    <w:qFormat/>
    <w:uiPriority w:val="0"/>
    <w:pPr>
      <w:spacing w:before="0" w:beforeLines="0" w:after="0" w:afterLines="0" w:line="276" w:lineRule="auto"/>
    </w:pPr>
    <w:rPr>
      <w:rFonts w:ascii="宋体" w:eastAsia="宋体"/>
    </w:rPr>
  </w:style>
  <w:style w:type="paragraph" w:customStyle="1" w:styleId="241">
    <w:name w:val="标准文件_索引标题"/>
    <w:basedOn w:val="83"/>
    <w:next w:val="76"/>
    <w:qFormat/>
    <w:uiPriority w:val="0"/>
    <w:rPr>
      <w:rFonts w:hAnsi="黑体"/>
    </w:rPr>
  </w:style>
  <w:style w:type="paragraph" w:customStyle="1" w:styleId="242">
    <w:name w:val="标准文件_脚注内容"/>
    <w:basedOn w:val="76"/>
    <w:qFormat/>
    <w:uiPriority w:val="0"/>
    <w:pPr>
      <w:ind w:left="400" w:leftChars="200" w:hanging="200" w:hangingChars="200"/>
    </w:pPr>
    <w:rPr>
      <w:sz w:val="15"/>
    </w:rPr>
  </w:style>
  <w:style w:type="paragraph" w:customStyle="1" w:styleId="243">
    <w:name w:val="标准文件_术语条一"/>
    <w:basedOn w:val="182"/>
    <w:next w:val="76"/>
    <w:qFormat/>
    <w:uiPriority w:val="0"/>
  </w:style>
  <w:style w:type="paragraph" w:customStyle="1" w:styleId="244">
    <w:name w:val="标准文件_术语条二"/>
    <w:basedOn w:val="185"/>
    <w:next w:val="76"/>
    <w:qFormat/>
    <w:uiPriority w:val="0"/>
  </w:style>
  <w:style w:type="paragraph" w:customStyle="1" w:styleId="245">
    <w:name w:val="标准文件_术语条三"/>
    <w:basedOn w:val="184"/>
    <w:next w:val="76"/>
    <w:qFormat/>
    <w:uiPriority w:val="0"/>
  </w:style>
  <w:style w:type="paragraph" w:customStyle="1" w:styleId="246">
    <w:name w:val="标准文件_术语条四"/>
    <w:basedOn w:val="187"/>
    <w:next w:val="76"/>
    <w:qFormat/>
    <w:uiPriority w:val="0"/>
  </w:style>
  <w:style w:type="paragraph" w:customStyle="1" w:styleId="247">
    <w:name w:val="标准文件_术语条五"/>
    <w:basedOn w:val="183"/>
    <w:next w:val="76"/>
    <w:qFormat/>
    <w:uiPriority w:val="0"/>
  </w:style>
  <w:style w:type="paragraph" w:customStyle="1" w:styleId="24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49">
    <w:name w:val="发布"/>
    <w:basedOn w:val="45"/>
    <w:qFormat/>
    <w:uiPriority w:val="0"/>
    <w:rPr>
      <w:rFonts w:ascii="黑体" w:eastAsia="黑体"/>
      <w:spacing w:val="85"/>
      <w:w w:val="100"/>
      <w:position w:val="3"/>
      <w:sz w:val="28"/>
      <w:szCs w:val="28"/>
    </w:rPr>
  </w:style>
  <w:style w:type="paragraph" w:customStyle="1" w:styleId="250">
    <w:name w:val="段"/>
    <w:link w:val="25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szCs w:val="22"/>
      <w:lang w:val="en-US" w:eastAsia="zh-CN" w:bidi="ar-SA"/>
    </w:rPr>
  </w:style>
  <w:style w:type="character" w:customStyle="1" w:styleId="251">
    <w:name w:val="段 Char"/>
    <w:basedOn w:val="45"/>
    <w:link w:val="250"/>
    <w:qFormat/>
    <w:uiPriority w:val="0"/>
    <w:rPr>
      <w:rFonts w:ascii="宋体" w:hAnsi="Times New Roman"/>
      <w:sz w:val="21"/>
      <w:szCs w:val="22"/>
    </w:rPr>
  </w:style>
  <w:style w:type="paragraph" w:customStyle="1" w:styleId="252">
    <w:name w:val="修订1"/>
    <w:hidden/>
    <w:semiHidden/>
    <w:qFormat/>
    <w:uiPriority w:val="99"/>
    <w:rPr>
      <w:rFonts w:ascii="Calibri" w:hAnsi="Calibri" w:eastAsia="宋体" w:cs="Times New Roman"/>
      <w:kern w:val="2"/>
      <w:sz w:val="21"/>
      <w:szCs w:val="21"/>
      <w:lang w:val="en-US" w:eastAsia="zh-CN" w:bidi="ar-SA"/>
    </w:rPr>
  </w:style>
  <w:style w:type="paragraph" w:customStyle="1" w:styleId="253">
    <w:name w:val="正文图标题"/>
    <w:next w:val="250"/>
    <w:qFormat/>
    <w:uiPriority w:val="0"/>
    <w:pPr>
      <w:spacing w:before="156" w:beforeLines="50" w:after="156" w:afterLines="50"/>
      <w:jc w:val="center"/>
    </w:pPr>
    <w:rPr>
      <w:rFonts w:ascii="黑体" w:hAnsi="Times New Roman" w:eastAsia="黑体" w:cs="Times New Roman"/>
      <w:sz w:val="21"/>
      <w:lang w:val="en-US" w:eastAsia="zh-CN" w:bidi="ar-SA"/>
    </w:rPr>
  </w:style>
  <w:style w:type="paragraph" w:customStyle="1" w:styleId="254">
    <w:name w:val="一级条标题"/>
    <w:next w:val="250"/>
    <w:qFormat/>
    <w:uiPriority w:val="0"/>
    <w:pPr>
      <w:numPr>
        <w:ilvl w:val="1"/>
        <w:numId w:val="32"/>
      </w:numPr>
      <w:tabs>
        <w:tab w:val="left" w:pos="360"/>
      </w:tabs>
      <w:spacing w:before="156" w:beforeLines="50" w:after="156" w:afterLines="50"/>
      <w:jc w:val="both"/>
      <w:outlineLvl w:val="2"/>
    </w:pPr>
    <w:rPr>
      <w:rFonts w:ascii="黑体" w:hAnsi="Times New Roman" w:eastAsia="黑体" w:cs="Times New Roman"/>
      <w:sz w:val="21"/>
      <w:szCs w:val="21"/>
      <w:lang w:val="en-US" w:eastAsia="zh-CN" w:bidi="ar-SA"/>
    </w:rPr>
  </w:style>
  <w:style w:type="paragraph" w:customStyle="1" w:styleId="255">
    <w:name w:val="二级条标题"/>
    <w:basedOn w:val="254"/>
    <w:next w:val="250"/>
    <w:qFormat/>
    <w:uiPriority w:val="0"/>
    <w:pPr>
      <w:numPr>
        <w:ilvl w:val="2"/>
      </w:numPr>
      <w:spacing w:before="50" w:after="50"/>
      <w:outlineLvl w:val="3"/>
    </w:pPr>
  </w:style>
  <w:style w:type="character" w:customStyle="1" w:styleId="256">
    <w:name w:val="文档结构图 Char"/>
    <w:basedOn w:val="45"/>
    <w:link w:val="16"/>
    <w:semiHidden/>
    <w:qFormat/>
    <w:uiPriority w:val="0"/>
    <w:rPr>
      <w:rFonts w:ascii="Times New Roman" w:hAnsi="Times New Roman"/>
      <w:kern w:val="2"/>
      <w:sz w:val="21"/>
      <w:szCs w:val="24"/>
      <w:shd w:val="clear" w:color="auto" w:fill="000080"/>
    </w:rPr>
  </w:style>
  <w:style w:type="character" w:customStyle="1" w:styleId="257">
    <w:name w:val="批注文字 Char"/>
    <w:basedOn w:val="45"/>
    <w:link w:val="17"/>
    <w:qFormat/>
    <w:uiPriority w:val="99"/>
    <w:rPr>
      <w:rFonts w:ascii="Times New Roman" w:hAnsi="Times New Roman"/>
      <w:kern w:val="2"/>
      <w:sz w:val="21"/>
      <w:szCs w:val="24"/>
    </w:rPr>
  </w:style>
  <w:style w:type="character" w:customStyle="1" w:styleId="258">
    <w:name w:val="尾注文本 Char"/>
    <w:basedOn w:val="45"/>
    <w:link w:val="25"/>
    <w:semiHidden/>
    <w:qFormat/>
    <w:uiPriority w:val="0"/>
    <w:rPr>
      <w:rFonts w:ascii="Times New Roman" w:hAnsi="Times New Roman"/>
      <w:kern w:val="2"/>
      <w:sz w:val="21"/>
      <w:szCs w:val="24"/>
    </w:rPr>
  </w:style>
  <w:style w:type="character" w:customStyle="1" w:styleId="259">
    <w:name w:val="批注主题 Char"/>
    <w:basedOn w:val="257"/>
    <w:link w:val="42"/>
    <w:qFormat/>
    <w:uiPriority w:val="99"/>
    <w:rPr>
      <w:rFonts w:ascii="Times New Roman" w:hAnsi="Times New Roman"/>
      <w:b/>
      <w:bCs/>
      <w:kern w:val="2"/>
      <w:sz w:val="21"/>
      <w:szCs w:val="24"/>
    </w:rPr>
  </w:style>
  <w:style w:type="paragraph" w:customStyle="1" w:styleId="260">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261">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262">
    <w:name w:val="章标题"/>
    <w:next w:val="250"/>
    <w:qFormat/>
    <w:uiPriority w:val="0"/>
    <w:p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63">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264">
    <w:name w:val="列项——（一级）"/>
    <w:qFormat/>
    <w:uiPriority w:val="0"/>
    <w:pPr>
      <w:widowControl w:val="0"/>
      <w:ind w:left="823" w:hanging="420"/>
      <w:jc w:val="both"/>
    </w:pPr>
    <w:rPr>
      <w:rFonts w:ascii="宋体" w:hAnsi="Times New Roman" w:eastAsia="宋体" w:cs="Times New Roman"/>
      <w:sz w:val="21"/>
      <w:lang w:val="en-US" w:eastAsia="zh-CN" w:bidi="ar-SA"/>
    </w:rPr>
  </w:style>
  <w:style w:type="paragraph" w:customStyle="1" w:styleId="265">
    <w:name w:val="列项●（二级）"/>
    <w:qFormat/>
    <w:uiPriority w:val="0"/>
    <w:pPr>
      <w:numPr>
        <w:ilvl w:val="1"/>
        <w:numId w:val="3"/>
      </w:numPr>
      <w:tabs>
        <w:tab w:val="left" w:pos="760"/>
      </w:tabs>
      <w:jc w:val="both"/>
    </w:pPr>
    <w:rPr>
      <w:rFonts w:ascii="宋体" w:hAnsi="Times New Roman" w:eastAsia="宋体" w:cs="Times New Roman"/>
      <w:sz w:val="21"/>
      <w:lang w:val="en-US" w:eastAsia="zh-CN" w:bidi="ar-SA"/>
    </w:rPr>
  </w:style>
  <w:style w:type="paragraph" w:customStyle="1" w:styleId="266">
    <w:name w:val="目次、标准名称标题"/>
    <w:basedOn w:val="1"/>
    <w:next w:val="250"/>
    <w:qFormat/>
    <w:uiPriority w:val="0"/>
    <w:pPr>
      <w:keepNext/>
      <w:pageBreakBefore/>
      <w:widowControl/>
      <w:shd w:val="clear" w:color="FFFFFF" w:fill="FFFFFF"/>
      <w:adjustRightInd/>
      <w:spacing w:before="640" w:after="560" w:line="460" w:lineRule="exact"/>
      <w:jc w:val="center"/>
      <w:outlineLvl w:val="0"/>
    </w:pPr>
    <w:rPr>
      <w:rFonts w:ascii="黑体" w:hAnsi="Times New Roman" w:eastAsia="黑体"/>
      <w:kern w:val="0"/>
      <w:sz w:val="32"/>
      <w:szCs w:val="20"/>
    </w:rPr>
  </w:style>
  <w:style w:type="paragraph" w:customStyle="1" w:styleId="267">
    <w:name w:val="三级条标题"/>
    <w:basedOn w:val="255"/>
    <w:next w:val="250"/>
    <w:qFormat/>
    <w:uiPriority w:val="0"/>
    <w:pPr>
      <w:numPr>
        <w:ilvl w:val="0"/>
        <w:numId w:val="0"/>
      </w:numPr>
      <w:jc w:val="left"/>
      <w:outlineLvl w:val="4"/>
    </w:pPr>
  </w:style>
  <w:style w:type="paragraph" w:customStyle="1" w:styleId="268">
    <w:name w:val="示例"/>
    <w:next w:val="269"/>
    <w:qFormat/>
    <w:uiPriority w:val="0"/>
    <w:pPr>
      <w:widowControl w:val="0"/>
      <w:jc w:val="both"/>
    </w:pPr>
    <w:rPr>
      <w:rFonts w:ascii="宋体" w:hAnsi="Times New Roman" w:eastAsia="宋体" w:cs="Times New Roman"/>
      <w:sz w:val="18"/>
      <w:szCs w:val="18"/>
      <w:lang w:val="en-US" w:eastAsia="zh-CN" w:bidi="ar-SA"/>
    </w:rPr>
  </w:style>
  <w:style w:type="paragraph" w:customStyle="1" w:styleId="269">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270">
    <w:name w:val="数字编号列项（二级）"/>
    <w:qFormat/>
    <w:uiPriority w:val="0"/>
    <w:pPr>
      <w:tabs>
        <w:tab w:val="left" w:pos="1260"/>
      </w:tabs>
      <w:jc w:val="both"/>
    </w:pPr>
    <w:rPr>
      <w:rFonts w:ascii="宋体" w:hAnsi="Times New Roman" w:eastAsia="宋体" w:cs="Times New Roman"/>
      <w:sz w:val="21"/>
      <w:lang w:val="en-US" w:eastAsia="zh-CN" w:bidi="ar-SA"/>
    </w:rPr>
  </w:style>
  <w:style w:type="paragraph" w:customStyle="1" w:styleId="271">
    <w:name w:val="四级条标题"/>
    <w:basedOn w:val="267"/>
    <w:next w:val="250"/>
    <w:qFormat/>
    <w:uiPriority w:val="0"/>
    <w:pPr>
      <w:outlineLvl w:val="5"/>
    </w:pPr>
  </w:style>
  <w:style w:type="paragraph" w:customStyle="1" w:styleId="272">
    <w:name w:val="五级条标题"/>
    <w:basedOn w:val="271"/>
    <w:next w:val="250"/>
    <w:qFormat/>
    <w:uiPriority w:val="0"/>
    <w:pPr>
      <w:numPr>
        <w:ilvl w:val="5"/>
      </w:numPr>
      <w:outlineLvl w:val="6"/>
    </w:pPr>
  </w:style>
  <w:style w:type="paragraph" w:customStyle="1" w:styleId="273">
    <w:name w:val="注："/>
    <w:next w:val="250"/>
    <w:qFormat/>
    <w:uiPriority w:val="0"/>
    <w:pPr>
      <w:widowControl w:val="0"/>
      <w:autoSpaceDE w:val="0"/>
      <w:autoSpaceDN w:val="0"/>
      <w:ind w:left="420" w:hanging="420"/>
      <w:jc w:val="both"/>
    </w:pPr>
    <w:rPr>
      <w:rFonts w:ascii="宋体" w:hAnsi="Times New Roman" w:eastAsia="宋体" w:cs="Times New Roman"/>
      <w:sz w:val="18"/>
      <w:szCs w:val="18"/>
      <w:lang w:val="en-US" w:eastAsia="zh-CN" w:bidi="ar-SA"/>
    </w:rPr>
  </w:style>
  <w:style w:type="paragraph" w:customStyle="1" w:styleId="274">
    <w:name w:val="注×："/>
    <w:qFormat/>
    <w:uiPriority w:val="0"/>
    <w:pPr>
      <w:widowControl w:val="0"/>
      <w:autoSpaceDE w:val="0"/>
      <w:autoSpaceDN w:val="0"/>
      <w:jc w:val="both"/>
    </w:pPr>
    <w:rPr>
      <w:rFonts w:ascii="宋体" w:hAnsi="Times New Roman" w:eastAsia="宋体" w:cs="Times New Roman"/>
      <w:sz w:val="18"/>
      <w:szCs w:val="18"/>
      <w:lang w:val="en-US" w:eastAsia="zh-CN" w:bidi="ar-SA"/>
    </w:rPr>
  </w:style>
  <w:style w:type="paragraph" w:customStyle="1" w:styleId="275">
    <w:name w:val="字母编号列项（一级）"/>
    <w:qFormat/>
    <w:uiPriority w:val="0"/>
    <w:pPr>
      <w:tabs>
        <w:tab w:val="left" w:pos="840"/>
      </w:tabs>
      <w:ind w:left="425" w:hanging="425"/>
      <w:jc w:val="both"/>
    </w:pPr>
    <w:rPr>
      <w:rFonts w:ascii="宋体" w:hAnsi="Times New Roman" w:eastAsia="宋体" w:cs="Times New Roman"/>
      <w:sz w:val="21"/>
      <w:lang w:val="en-US" w:eastAsia="zh-CN" w:bidi="ar-SA"/>
    </w:rPr>
  </w:style>
  <w:style w:type="paragraph" w:customStyle="1" w:styleId="276">
    <w:name w:val="列项◆（三级）"/>
    <w:basedOn w:val="1"/>
    <w:qFormat/>
    <w:uiPriority w:val="0"/>
    <w:pPr>
      <w:numPr>
        <w:ilvl w:val="2"/>
        <w:numId w:val="3"/>
      </w:numPr>
      <w:tabs>
        <w:tab w:val="left" w:pos="1678"/>
      </w:tabs>
      <w:adjustRightInd/>
      <w:spacing w:line="240" w:lineRule="auto"/>
    </w:pPr>
    <w:rPr>
      <w:rFonts w:ascii="宋体" w:hAnsi="Times New Roman"/>
    </w:rPr>
  </w:style>
  <w:style w:type="paragraph" w:customStyle="1" w:styleId="277">
    <w:name w:val="编号列项（三级）"/>
    <w:qFormat/>
    <w:uiPriority w:val="0"/>
    <w:rPr>
      <w:rFonts w:ascii="宋体" w:hAnsi="Times New Roman" w:eastAsia="宋体" w:cs="Times New Roman"/>
      <w:sz w:val="21"/>
      <w:lang w:val="en-US" w:eastAsia="zh-CN" w:bidi="ar-SA"/>
    </w:rPr>
  </w:style>
  <w:style w:type="paragraph" w:customStyle="1" w:styleId="278">
    <w:name w:val="示例×："/>
    <w:basedOn w:val="262"/>
    <w:qFormat/>
    <w:uiPriority w:val="0"/>
    <w:pPr>
      <w:spacing w:before="0" w:beforeLines="0" w:after="0" w:afterLines="0"/>
      <w:ind w:left="425" w:hanging="425"/>
      <w:outlineLvl w:val="9"/>
    </w:pPr>
    <w:rPr>
      <w:rFonts w:ascii="宋体" w:eastAsia="宋体"/>
      <w:sz w:val="18"/>
      <w:szCs w:val="18"/>
    </w:rPr>
  </w:style>
  <w:style w:type="paragraph" w:customStyle="1" w:styleId="279">
    <w:name w:val="二级无"/>
    <w:basedOn w:val="255"/>
    <w:qFormat/>
    <w:uiPriority w:val="0"/>
    <w:pPr>
      <w:numPr>
        <w:ilvl w:val="0"/>
        <w:numId w:val="0"/>
      </w:numPr>
      <w:spacing w:before="0" w:beforeLines="0" w:after="0" w:afterLines="0"/>
      <w:jc w:val="left"/>
    </w:pPr>
    <w:rPr>
      <w:rFonts w:ascii="宋体" w:eastAsia="宋体"/>
    </w:rPr>
  </w:style>
  <w:style w:type="paragraph" w:customStyle="1" w:styleId="280">
    <w:name w:val="注：（正文）"/>
    <w:basedOn w:val="273"/>
    <w:next w:val="250"/>
    <w:qFormat/>
    <w:uiPriority w:val="0"/>
    <w:pPr>
      <w:ind w:left="794" w:hanging="397"/>
    </w:pPr>
  </w:style>
  <w:style w:type="paragraph" w:customStyle="1" w:styleId="281">
    <w:name w:val="注×：（正文）"/>
    <w:qFormat/>
    <w:uiPriority w:val="0"/>
    <w:pPr>
      <w:ind w:left="1588"/>
      <w:jc w:val="both"/>
    </w:pPr>
    <w:rPr>
      <w:rFonts w:ascii="宋体" w:hAnsi="Times New Roman" w:eastAsia="宋体" w:cs="Times New Roman"/>
      <w:sz w:val="18"/>
      <w:szCs w:val="18"/>
      <w:lang w:val="en-US" w:eastAsia="zh-CN" w:bidi="ar-SA"/>
    </w:rPr>
  </w:style>
  <w:style w:type="paragraph" w:customStyle="1" w:styleId="282">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283">
    <w:name w:val="标准书眉_偶数页"/>
    <w:basedOn w:val="261"/>
    <w:next w:val="1"/>
    <w:qFormat/>
    <w:uiPriority w:val="0"/>
    <w:pPr>
      <w:jc w:val="left"/>
    </w:pPr>
  </w:style>
  <w:style w:type="paragraph" w:customStyle="1" w:styleId="284">
    <w:name w:val="参考文献"/>
    <w:basedOn w:val="1"/>
    <w:next w:val="250"/>
    <w:qFormat/>
    <w:uiPriority w:val="0"/>
    <w:pPr>
      <w:keepNext/>
      <w:pageBreakBefore/>
      <w:widowControl/>
      <w:shd w:val="clear" w:color="FFFFFF" w:fill="FFFFFF"/>
      <w:adjustRightInd/>
      <w:spacing w:before="640" w:after="200" w:line="240" w:lineRule="auto"/>
      <w:jc w:val="center"/>
      <w:outlineLvl w:val="0"/>
    </w:pPr>
    <w:rPr>
      <w:rFonts w:ascii="黑体" w:hAnsi="Times New Roman" w:eastAsia="黑体"/>
      <w:kern w:val="0"/>
      <w:szCs w:val="20"/>
    </w:rPr>
  </w:style>
  <w:style w:type="paragraph" w:customStyle="1" w:styleId="285">
    <w:name w:val="参考文献、索引标题"/>
    <w:basedOn w:val="1"/>
    <w:next w:val="250"/>
    <w:qFormat/>
    <w:uiPriority w:val="0"/>
    <w:pPr>
      <w:keepNext/>
      <w:pageBreakBefore/>
      <w:widowControl/>
      <w:shd w:val="clear" w:color="FFFFFF" w:fill="FFFFFF"/>
      <w:adjustRightInd/>
      <w:spacing w:before="640" w:after="200" w:line="240" w:lineRule="auto"/>
      <w:jc w:val="center"/>
      <w:outlineLvl w:val="0"/>
    </w:pPr>
    <w:rPr>
      <w:rFonts w:ascii="黑体" w:hAnsi="Times New Roman" w:eastAsia="黑体"/>
      <w:kern w:val="0"/>
      <w:szCs w:val="20"/>
    </w:rPr>
  </w:style>
  <w:style w:type="paragraph" w:customStyle="1" w:styleId="286">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287">
    <w:name w:val="附录标识"/>
    <w:basedOn w:val="1"/>
    <w:next w:val="250"/>
    <w:qFormat/>
    <w:uiPriority w:val="0"/>
    <w:pPr>
      <w:keepNext/>
      <w:widowControl/>
      <w:shd w:val="clear" w:color="FFFFFF" w:fill="FFFFFF"/>
      <w:tabs>
        <w:tab w:val="left" w:pos="360"/>
        <w:tab w:val="left" w:pos="823"/>
        <w:tab w:val="left" w:pos="6405"/>
      </w:tabs>
      <w:adjustRightInd/>
      <w:spacing w:before="640" w:after="280" w:line="240" w:lineRule="auto"/>
      <w:ind w:left="823" w:hanging="420"/>
      <w:jc w:val="center"/>
      <w:outlineLvl w:val="0"/>
    </w:pPr>
    <w:rPr>
      <w:rFonts w:ascii="黑体" w:hAnsi="Times New Roman" w:eastAsia="黑体"/>
      <w:kern w:val="0"/>
      <w:szCs w:val="20"/>
    </w:rPr>
  </w:style>
  <w:style w:type="paragraph" w:customStyle="1" w:styleId="288">
    <w:name w:val="附录标题"/>
    <w:basedOn w:val="250"/>
    <w:next w:val="250"/>
    <w:qFormat/>
    <w:uiPriority w:val="0"/>
    <w:pPr>
      <w:ind w:firstLine="0" w:firstLineChars="0"/>
      <w:jc w:val="center"/>
    </w:pPr>
    <w:rPr>
      <w:rFonts w:ascii="黑体" w:eastAsia="黑体"/>
      <w:szCs w:val="20"/>
    </w:rPr>
  </w:style>
  <w:style w:type="paragraph" w:customStyle="1" w:styleId="289">
    <w:name w:val="附录表标号"/>
    <w:basedOn w:val="1"/>
    <w:next w:val="250"/>
    <w:qFormat/>
    <w:uiPriority w:val="0"/>
    <w:pPr>
      <w:tabs>
        <w:tab w:val="left" w:pos="539"/>
      </w:tabs>
      <w:adjustRightInd/>
      <w:spacing w:line="14" w:lineRule="exact"/>
      <w:ind w:left="811" w:hanging="448"/>
      <w:jc w:val="center"/>
      <w:outlineLvl w:val="0"/>
    </w:pPr>
    <w:rPr>
      <w:rFonts w:ascii="Times New Roman" w:hAnsi="Times New Roman"/>
      <w:color w:val="FFFFFF"/>
      <w:szCs w:val="24"/>
    </w:rPr>
  </w:style>
  <w:style w:type="paragraph" w:customStyle="1" w:styleId="290">
    <w:name w:val="附录表标题"/>
    <w:basedOn w:val="1"/>
    <w:next w:val="250"/>
    <w:qFormat/>
    <w:uiPriority w:val="0"/>
    <w:pPr>
      <w:numPr>
        <w:ilvl w:val="1"/>
        <w:numId w:val="12"/>
      </w:numPr>
      <w:tabs>
        <w:tab w:val="left" w:pos="180"/>
      </w:tabs>
      <w:adjustRightInd/>
      <w:spacing w:before="50" w:beforeLines="50" w:after="50" w:afterLines="50" w:line="240" w:lineRule="auto"/>
      <w:ind w:left="0" w:firstLine="0"/>
      <w:jc w:val="center"/>
    </w:pPr>
    <w:rPr>
      <w:rFonts w:ascii="黑体" w:hAnsi="Times New Roman" w:eastAsia="黑体"/>
    </w:rPr>
  </w:style>
  <w:style w:type="paragraph" w:customStyle="1" w:styleId="291">
    <w:name w:val="附录二级条标题"/>
    <w:basedOn w:val="1"/>
    <w:next w:val="250"/>
    <w:qFormat/>
    <w:uiPriority w:val="0"/>
    <w:pPr>
      <w:widowControl/>
      <w:numPr>
        <w:ilvl w:val="3"/>
        <w:numId w:val="11"/>
      </w:numPr>
      <w:tabs>
        <w:tab w:val="left" w:pos="360"/>
      </w:tabs>
      <w:wordWrap w:val="0"/>
      <w:overflowPunct w:val="0"/>
      <w:autoSpaceDE w:val="0"/>
      <w:autoSpaceDN w:val="0"/>
      <w:adjustRightInd/>
      <w:spacing w:before="50" w:beforeLines="50" w:after="50" w:afterLines="50" w:line="240" w:lineRule="auto"/>
      <w:textAlignment w:val="baseline"/>
      <w:outlineLvl w:val="3"/>
    </w:pPr>
    <w:rPr>
      <w:rFonts w:ascii="黑体" w:hAnsi="Times New Roman" w:eastAsia="黑体"/>
      <w:kern w:val="21"/>
      <w:szCs w:val="20"/>
    </w:rPr>
  </w:style>
  <w:style w:type="paragraph" w:customStyle="1" w:styleId="292">
    <w:name w:val="附录二级无"/>
    <w:basedOn w:val="291"/>
    <w:qFormat/>
    <w:uiPriority w:val="0"/>
    <w:pPr>
      <w:tabs>
        <w:tab w:val="clear" w:pos="360"/>
      </w:tabs>
      <w:spacing w:before="0" w:beforeLines="0" w:after="0" w:afterLines="0"/>
    </w:pPr>
    <w:rPr>
      <w:rFonts w:ascii="宋体" w:eastAsia="宋体"/>
      <w:szCs w:val="21"/>
    </w:rPr>
  </w:style>
  <w:style w:type="paragraph" w:customStyle="1" w:styleId="293">
    <w:name w:val="附录公式"/>
    <w:basedOn w:val="250"/>
    <w:next w:val="250"/>
    <w:link w:val="294"/>
    <w:qFormat/>
    <w:uiPriority w:val="0"/>
    <w:rPr>
      <w:rFonts w:ascii="Times New Roman"/>
      <w:sz w:val="20"/>
      <w:szCs w:val="20"/>
    </w:rPr>
  </w:style>
  <w:style w:type="character" w:customStyle="1" w:styleId="294">
    <w:name w:val="附录公式 Char"/>
    <w:link w:val="293"/>
    <w:qFormat/>
    <w:uiPriority w:val="0"/>
    <w:rPr>
      <w:rFonts w:ascii="Times New Roman" w:hAnsi="Times New Roman"/>
    </w:rPr>
  </w:style>
  <w:style w:type="paragraph" w:customStyle="1" w:styleId="295">
    <w:name w:val="附录公式编号制表符"/>
    <w:basedOn w:val="1"/>
    <w:next w:val="250"/>
    <w:qFormat/>
    <w:uiPriority w:val="0"/>
    <w:pPr>
      <w:widowControl/>
      <w:tabs>
        <w:tab w:val="center" w:pos="4201"/>
        <w:tab w:val="right" w:leader="dot" w:pos="9298"/>
      </w:tabs>
      <w:autoSpaceDE w:val="0"/>
      <w:autoSpaceDN w:val="0"/>
      <w:adjustRightInd/>
      <w:spacing w:line="240" w:lineRule="auto"/>
    </w:pPr>
    <w:rPr>
      <w:rFonts w:ascii="宋体" w:hAnsi="Times New Roman"/>
      <w:kern w:val="0"/>
      <w:szCs w:val="20"/>
    </w:rPr>
  </w:style>
  <w:style w:type="paragraph" w:customStyle="1" w:styleId="296">
    <w:name w:val="附录三级条标题"/>
    <w:basedOn w:val="291"/>
    <w:next w:val="250"/>
    <w:qFormat/>
    <w:uiPriority w:val="0"/>
    <w:pPr>
      <w:numPr>
        <w:ilvl w:val="4"/>
      </w:numPr>
      <w:outlineLvl w:val="4"/>
    </w:pPr>
  </w:style>
  <w:style w:type="paragraph" w:customStyle="1" w:styleId="297">
    <w:name w:val="附录三级无"/>
    <w:basedOn w:val="296"/>
    <w:qFormat/>
    <w:uiPriority w:val="0"/>
    <w:pPr>
      <w:tabs>
        <w:tab w:val="clear" w:pos="360"/>
      </w:tabs>
      <w:spacing w:before="0" w:beforeLines="0" w:after="0" w:afterLines="0"/>
    </w:pPr>
    <w:rPr>
      <w:rFonts w:ascii="宋体" w:eastAsia="宋体"/>
      <w:szCs w:val="21"/>
    </w:rPr>
  </w:style>
  <w:style w:type="paragraph" w:customStyle="1" w:styleId="298">
    <w:name w:val="附录数字编号列项（二级）"/>
    <w:qFormat/>
    <w:uiPriority w:val="0"/>
    <w:pPr>
      <w:tabs>
        <w:tab w:val="left" w:pos="840"/>
        <w:tab w:val="left" w:pos="1276"/>
      </w:tabs>
      <w:ind w:left="1276" w:hanging="425"/>
    </w:pPr>
    <w:rPr>
      <w:rFonts w:ascii="宋体" w:hAnsi="Times New Roman" w:eastAsia="宋体" w:cs="Times New Roman"/>
      <w:sz w:val="21"/>
      <w:lang w:val="en-US" w:eastAsia="zh-CN" w:bidi="ar-SA"/>
    </w:rPr>
  </w:style>
  <w:style w:type="paragraph" w:customStyle="1" w:styleId="299">
    <w:name w:val="附录四级条标题"/>
    <w:basedOn w:val="296"/>
    <w:next w:val="250"/>
    <w:qFormat/>
    <w:uiPriority w:val="0"/>
    <w:pPr>
      <w:numPr>
        <w:ilvl w:val="5"/>
      </w:numPr>
      <w:outlineLvl w:val="5"/>
    </w:pPr>
  </w:style>
  <w:style w:type="paragraph" w:customStyle="1" w:styleId="300">
    <w:name w:val="附录四级无"/>
    <w:basedOn w:val="299"/>
    <w:qFormat/>
    <w:uiPriority w:val="0"/>
    <w:pPr>
      <w:tabs>
        <w:tab w:val="clear" w:pos="360"/>
      </w:tabs>
      <w:spacing w:before="0" w:beforeLines="0" w:after="0" w:afterLines="0"/>
    </w:pPr>
    <w:rPr>
      <w:rFonts w:ascii="宋体" w:eastAsia="宋体"/>
      <w:szCs w:val="21"/>
    </w:rPr>
  </w:style>
  <w:style w:type="paragraph" w:customStyle="1" w:styleId="301">
    <w:name w:val="附录图标号"/>
    <w:basedOn w:val="1"/>
    <w:qFormat/>
    <w:uiPriority w:val="0"/>
    <w:pPr>
      <w:keepNext/>
      <w:pageBreakBefore/>
      <w:widowControl/>
      <w:tabs>
        <w:tab w:val="left" w:pos="845"/>
      </w:tabs>
      <w:adjustRightInd/>
      <w:spacing w:line="14" w:lineRule="exact"/>
      <w:ind w:firstLine="363"/>
      <w:jc w:val="center"/>
      <w:outlineLvl w:val="0"/>
    </w:pPr>
    <w:rPr>
      <w:rFonts w:ascii="Times New Roman" w:hAnsi="Times New Roman"/>
      <w:color w:val="FFFFFF"/>
      <w:szCs w:val="24"/>
    </w:rPr>
  </w:style>
  <w:style w:type="paragraph" w:customStyle="1" w:styleId="302">
    <w:name w:val="附录图标题"/>
    <w:basedOn w:val="1"/>
    <w:next w:val="250"/>
    <w:qFormat/>
    <w:uiPriority w:val="0"/>
    <w:pPr>
      <w:numPr>
        <w:ilvl w:val="1"/>
        <w:numId w:val="14"/>
      </w:numPr>
      <w:tabs>
        <w:tab w:val="left" w:pos="363"/>
      </w:tabs>
      <w:adjustRightInd/>
      <w:spacing w:before="50" w:beforeLines="50" w:after="50" w:afterLines="50" w:line="240" w:lineRule="auto"/>
      <w:ind w:left="0" w:firstLine="0"/>
      <w:jc w:val="center"/>
    </w:pPr>
    <w:rPr>
      <w:rFonts w:ascii="黑体" w:hAnsi="Times New Roman" w:eastAsia="黑体"/>
    </w:rPr>
  </w:style>
  <w:style w:type="paragraph" w:customStyle="1" w:styleId="303">
    <w:name w:val="附录五级条标题"/>
    <w:basedOn w:val="299"/>
    <w:next w:val="250"/>
    <w:qFormat/>
    <w:uiPriority w:val="0"/>
    <w:pPr>
      <w:numPr>
        <w:ilvl w:val="6"/>
      </w:numPr>
      <w:outlineLvl w:val="6"/>
    </w:pPr>
  </w:style>
  <w:style w:type="paragraph" w:customStyle="1" w:styleId="304">
    <w:name w:val="附录五级无"/>
    <w:basedOn w:val="303"/>
    <w:qFormat/>
    <w:uiPriority w:val="0"/>
    <w:pPr>
      <w:tabs>
        <w:tab w:val="clear" w:pos="360"/>
      </w:tabs>
      <w:spacing w:before="0" w:beforeLines="0" w:after="0" w:afterLines="0"/>
    </w:pPr>
    <w:rPr>
      <w:rFonts w:ascii="宋体" w:eastAsia="宋体"/>
      <w:szCs w:val="21"/>
    </w:rPr>
  </w:style>
  <w:style w:type="paragraph" w:customStyle="1" w:styleId="305">
    <w:name w:val="附录章标题"/>
    <w:next w:val="250"/>
    <w:qFormat/>
    <w:uiPriority w:val="0"/>
    <w:pPr>
      <w:numPr>
        <w:ilvl w:val="1"/>
        <w:numId w:val="11"/>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306">
    <w:name w:val="附录一级条标题"/>
    <w:basedOn w:val="305"/>
    <w:next w:val="250"/>
    <w:qFormat/>
    <w:uiPriority w:val="0"/>
    <w:pPr>
      <w:numPr>
        <w:ilvl w:val="2"/>
      </w:numPr>
      <w:autoSpaceDN w:val="0"/>
      <w:spacing w:before="50" w:beforeLines="50" w:after="50" w:afterLines="50"/>
      <w:outlineLvl w:val="2"/>
    </w:pPr>
  </w:style>
  <w:style w:type="paragraph" w:customStyle="1" w:styleId="307">
    <w:name w:val="附录一级无"/>
    <w:basedOn w:val="306"/>
    <w:qFormat/>
    <w:uiPriority w:val="0"/>
    <w:pPr>
      <w:tabs>
        <w:tab w:val="clear" w:pos="360"/>
      </w:tabs>
      <w:spacing w:before="0" w:beforeLines="0" w:after="0" w:afterLines="0"/>
    </w:pPr>
    <w:rPr>
      <w:rFonts w:ascii="宋体" w:eastAsia="宋体"/>
      <w:szCs w:val="21"/>
    </w:rPr>
  </w:style>
  <w:style w:type="paragraph" w:customStyle="1" w:styleId="308">
    <w:name w:val="附录字母编号列项（一级）"/>
    <w:qFormat/>
    <w:uiPriority w:val="0"/>
    <w:pPr>
      <w:tabs>
        <w:tab w:val="left" w:pos="839"/>
      </w:tabs>
      <w:ind w:left="851" w:hanging="426"/>
    </w:pPr>
    <w:rPr>
      <w:rFonts w:ascii="宋体" w:hAnsi="Times New Roman" w:eastAsia="宋体" w:cs="Times New Roman"/>
      <w:sz w:val="21"/>
      <w:lang w:val="en-US" w:eastAsia="zh-CN" w:bidi="ar-SA"/>
    </w:rPr>
  </w:style>
  <w:style w:type="paragraph" w:customStyle="1" w:styleId="309">
    <w:name w:val="列项说明"/>
    <w:basedOn w:val="1"/>
    <w:qFormat/>
    <w:uiPriority w:val="0"/>
    <w:pPr>
      <w:spacing w:line="320" w:lineRule="exact"/>
      <w:ind w:left="400" w:leftChars="200" w:hanging="200" w:hangingChars="200"/>
      <w:jc w:val="left"/>
      <w:textAlignment w:val="baseline"/>
    </w:pPr>
    <w:rPr>
      <w:rFonts w:ascii="宋体" w:hAnsi="Times New Roman"/>
      <w:kern w:val="0"/>
      <w:szCs w:val="20"/>
    </w:rPr>
  </w:style>
  <w:style w:type="paragraph" w:customStyle="1" w:styleId="310">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311">
    <w:name w:val="其他标准标志"/>
    <w:basedOn w:val="69"/>
    <w:qFormat/>
    <w:uiPriority w:val="0"/>
    <w:pPr>
      <w:framePr w:w="6101" w:h="1389" w:hRule="exact" w:hSpace="181" w:vSpace="181" w:wrap="around" w:vAnchor="page" w:hAnchor="page" w:x="4673" w:y="942"/>
    </w:pPr>
    <w:rPr>
      <w:szCs w:val="96"/>
    </w:rPr>
  </w:style>
  <w:style w:type="paragraph" w:customStyle="1" w:styleId="312">
    <w:name w:val="前言、引言标题"/>
    <w:next w:val="250"/>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313">
    <w:name w:val="三级无"/>
    <w:basedOn w:val="267"/>
    <w:qFormat/>
    <w:uiPriority w:val="0"/>
    <w:pPr>
      <w:spacing w:before="0" w:beforeLines="0" w:after="0" w:afterLines="0"/>
    </w:pPr>
    <w:rPr>
      <w:rFonts w:ascii="宋体" w:eastAsia="宋体"/>
    </w:rPr>
  </w:style>
  <w:style w:type="paragraph" w:customStyle="1" w:styleId="314">
    <w:name w:val="示例后文字"/>
    <w:basedOn w:val="250"/>
    <w:next w:val="250"/>
    <w:qFormat/>
    <w:uiPriority w:val="0"/>
    <w:pPr>
      <w:ind w:firstLine="360"/>
    </w:pPr>
    <w:rPr>
      <w:sz w:val="18"/>
      <w:szCs w:val="20"/>
    </w:rPr>
  </w:style>
  <w:style w:type="paragraph" w:customStyle="1" w:styleId="315">
    <w:name w:val="首示例"/>
    <w:next w:val="250"/>
    <w:link w:val="316"/>
    <w:qFormat/>
    <w:uiPriority w:val="0"/>
    <w:pPr>
      <w:tabs>
        <w:tab w:val="left" w:pos="360"/>
        <w:tab w:val="left" w:pos="760"/>
      </w:tabs>
      <w:ind w:left="760"/>
    </w:pPr>
    <w:rPr>
      <w:rFonts w:ascii="宋体" w:hAnsi="宋体" w:eastAsia="宋体" w:cs="Times New Roman"/>
      <w:kern w:val="2"/>
      <w:sz w:val="18"/>
      <w:szCs w:val="18"/>
      <w:lang w:val="en-US" w:eastAsia="zh-CN" w:bidi="ar-SA"/>
    </w:rPr>
  </w:style>
  <w:style w:type="character" w:customStyle="1" w:styleId="316">
    <w:name w:val="首示例 Char"/>
    <w:link w:val="315"/>
    <w:qFormat/>
    <w:uiPriority w:val="0"/>
    <w:rPr>
      <w:rFonts w:ascii="宋体" w:hAnsi="宋体"/>
      <w:kern w:val="2"/>
      <w:sz w:val="18"/>
      <w:szCs w:val="18"/>
    </w:rPr>
  </w:style>
  <w:style w:type="paragraph" w:customStyle="1" w:styleId="317">
    <w:name w:val="四级无"/>
    <w:basedOn w:val="271"/>
    <w:qFormat/>
    <w:uiPriority w:val="0"/>
    <w:pPr>
      <w:spacing w:before="0" w:beforeLines="0" w:after="0" w:afterLines="0"/>
    </w:pPr>
    <w:rPr>
      <w:rFonts w:ascii="宋体" w:eastAsia="宋体"/>
    </w:rPr>
  </w:style>
  <w:style w:type="paragraph" w:customStyle="1" w:styleId="318">
    <w:name w:val="条文脚注"/>
    <w:basedOn w:val="33"/>
    <w:qFormat/>
    <w:uiPriority w:val="0"/>
    <w:pPr>
      <w:spacing w:line="240" w:lineRule="auto"/>
      <w:ind w:left="0" w:leftChars="0" w:firstLine="0" w:firstLineChars="0"/>
      <w:jc w:val="both"/>
    </w:pPr>
    <w:rPr>
      <w:rFonts w:hAnsi="Times New Roman"/>
    </w:rPr>
  </w:style>
  <w:style w:type="paragraph" w:customStyle="1" w:styleId="319">
    <w:name w:val="图标脚注说明"/>
    <w:basedOn w:val="250"/>
    <w:qFormat/>
    <w:uiPriority w:val="0"/>
    <w:pPr>
      <w:ind w:left="840" w:hanging="420" w:firstLineChars="0"/>
    </w:pPr>
    <w:rPr>
      <w:sz w:val="18"/>
      <w:szCs w:val="18"/>
    </w:rPr>
  </w:style>
  <w:style w:type="paragraph" w:customStyle="1" w:styleId="320">
    <w:name w:val="图的脚注"/>
    <w:next w:val="250"/>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321">
    <w:name w:val="五级无"/>
    <w:basedOn w:val="272"/>
    <w:qFormat/>
    <w:uiPriority w:val="0"/>
    <w:pPr>
      <w:spacing w:before="0" w:beforeLines="0" w:after="0" w:afterLines="0"/>
    </w:pPr>
    <w:rPr>
      <w:rFonts w:ascii="宋体" w:eastAsia="宋体"/>
    </w:rPr>
  </w:style>
  <w:style w:type="paragraph" w:customStyle="1" w:styleId="322">
    <w:name w:val="一级无"/>
    <w:basedOn w:val="254"/>
    <w:qFormat/>
    <w:uiPriority w:val="0"/>
    <w:pPr>
      <w:numPr>
        <w:ilvl w:val="0"/>
        <w:numId w:val="0"/>
      </w:numPr>
      <w:spacing w:before="0" w:beforeLines="0" w:after="0" w:afterLines="0"/>
      <w:jc w:val="left"/>
    </w:pPr>
    <w:rPr>
      <w:rFonts w:ascii="宋体" w:eastAsia="宋体"/>
    </w:rPr>
  </w:style>
  <w:style w:type="paragraph" w:customStyle="1" w:styleId="323">
    <w:name w:val="正文表标题"/>
    <w:next w:val="250"/>
    <w:qFormat/>
    <w:uiPriority w:val="0"/>
    <w:p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324">
    <w:name w:val="正文公式编号制表符"/>
    <w:basedOn w:val="250"/>
    <w:next w:val="250"/>
    <w:qFormat/>
    <w:uiPriority w:val="0"/>
    <w:pPr>
      <w:ind w:firstLine="0" w:firstLineChars="0"/>
    </w:pPr>
    <w:rPr>
      <w:szCs w:val="20"/>
    </w:rPr>
  </w:style>
  <w:style w:type="paragraph" w:customStyle="1" w:styleId="325">
    <w:name w:val="终结线"/>
    <w:basedOn w:val="1"/>
    <w:qFormat/>
    <w:uiPriority w:val="0"/>
    <w:pPr>
      <w:framePr w:hSpace="181" w:vSpace="181" w:wrap="around" w:vAnchor="text" w:hAnchor="margin" w:xAlign="center" w:y="285"/>
      <w:adjustRightInd/>
      <w:spacing w:line="240" w:lineRule="auto"/>
    </w:pPr>
    <w:rPr>
      <w:rFonts w:ascii="Times New Roman" w:hAnsi="Times New Roman"/>
      <w:szCs w:val="24"/>
    </w:rPr>
  </w:style>
  <w:style w:type="paragraph" w:customStyle="1" w:styleId="326">
    <w:name w:val="封面标准名称2"/>
    <w:basedOn w:val="142"/>
    <w:qFormat/>
    <w:uiPriority w:val="0"/>
    <w:pPr>
      <w:framePr w:w="9639" w:wrap="around" w:vAnchor="page" w:hAnchor="page" w:y="4469"/>
      <w:spacing w:before="630" w:beforeLines="630"/>
    </w:pPr>
  </w:style>
  <w:style w:type="paragraph" w:customStyle="1" w:styleId="327">
    <w:name w:val="封面标准英文名称2"/>
    <w:basedOn w:val="145"/>
    <w:qFormat/>
    <w:uiPriority w:val="0"/>
    <w:pPr>
      <w:framePr w:w="9639" w:h="6917" w:hRule="exact" w:wrap="around" w:vAnchor="page" w:hAnchor="page" w:xAlign="center" w:y="4469" w:anchorLock="1"/>
      <w:spacing w:before="370" w:line="400" w:lineRule="exact"/>
      <w:textAlignment w:val="center"/>
    </w:pPr>
    <w:rPr>
      <w:rFonts w:eastAsia="黑体"/>
      <w:szCs w:val="28"/>
    </w:rPr>
  </w:style>
  <w:style w:type="paragraph" w:customStyle="1" w:styleId="328">
    <w:name w:val="封面一致性程度标识2"/>
    <w:basedOn w:val="146"/>
    <w:qFormat/>
    <w:uiPriority w:val="0"/>
    <w:pPr>
      <w:framePr w:w="9639" w:h="6917" w:hRule="exact" w:wrap="around" w:vAnchor="page" w:hAnchor="page" w:xAlign="center" w:y="4469" w:anchorLock="1"/>
      <w:widowControl w:val="0"/>
      <w:spacing w:line="400" w:lineRule="exact"/>
      <w:textAlignment w:val="center"/>
    </w:pPr>
    <w:rPr>
      <w:rFonts w:ascii="宋体"/>
      <w:szCs w:val="28"/>
    </w:rPr>
  </w:style>
  <w:style w:type="paragraph" w:customStyle="1" w:styleId="329">
    <w:name w:val="封面标准文稿类别2"/>
    <w:basedOn w:val="144"/>
    <w:qFormat/>
    <w:uiPriority w:val="0"/>
    <w:pPr>
      <w:framePr w:w="9639" w:h="6917" w:hRule="exact" w:wrap="around" w:vAnchor="page" w:hAnchor="page" w:xAlign="center" w:y="4469" w:anchorLock="1"/>
      <w:widowControl w:val="0"/>
      <w:spacing w:after="160" w:line="240" w:lineRule="auto"/>
      <w:textAlignment w:val="center"/>
    </w:pPr>
    <w:rPr>
      <w:szCs w:val="28"/>
    </w:rPr>
  </w:style>
  <w:style w:type="paragraph" w:customStyle="1" w:styleId="330">
    <w:name w:val="封面标准文稿编辑信息2"/>
    <w:basedOn w:val="143"/>
    <w:qFormat/>
    <w:uiPriority w:val="0"/>
    <w:pPr>
      <w:framePr w:w="9639" w:h="6917" w:hRule="exact" w:wrap="around" w:vAnchor="page" w:hAnchor="page" w:xAlign="center" w:y="4469" w:anchorLock="1"/>
      <w:widowControl w:val="0"/>
      <w:spacing w:after="160"/>
      <w:textAlignment w:val="center"/>
    </w:pPr>
    <w:rPr>
      <w:szCs w:val="28"/>
    </w:rPr>
  </w:style>
  <w:style w:type="paragraph" w:customStyle="1" w:styleId="331">
    <w:name w:val="paragraph"/>
    <w:basedOn w:val="1"/>
    <w:semiHidden/>
    <w:qFormat/>
    <w:uiPriority w:val="0"/>
    <w:pPr>
      <w:widowControl/>
      <w:adjustRightInd/>
      <w:spacing w:before="100" w:beforeAutospacing="1" w:after="100" w:afterAutospacing="1" w:line="240" w:lineRule="auto"/>
      <w:jc w:val="left"/>
    </w:pPr>
    <w:rPr>
      <w:rFonts w:ascii="等线" w:hAnsi="等线" w:eastAsia="等线"/>
      <w:kern w:val="0"/>
      <w:sz w:val="24"/>
      <w:szCs w:val="24"/>
    </w:rPr>
  </w:style>
  <w:style w:type="paragraph" w:customStyle="1" w:styleId="332">
    <w:name w:val="正文1"/>
    <w:qFormat/>
    <w:uiPriority w:val="0"/>
    <w:pPr>
      <w:jc w:val="both"/>
    </w:pPr>
    <w:rPr>
      <w:rFonts w:ascii="宋体" w:hAnsi="宋体" w:eastAsia="宋体" w:cs="宋体"/>
      <w:kern w:val="2"/>
      <w:sz w:val="21"/>
      <w:szCs w:val="21"/>
      <w:lang w:val="en-US" w:eastAsia="zh-CN" w:bidi="ar-SA"/>
    </w:rPr>
  </w:style>
  <w:style w:type="paragraph" w:customStyle="1" w:styleId="333">
    <w:name w:val="TOC 81"/>
    <w:basedOn w:val="1"/>
    <w:next w:val="1"/>
    <w:unhideWhenUsed/>
    <w:qFormat/>
    <w:uiPriority w:val="39"/>
    <w:pPr>
      <w:adjustRightInd/>
      <w:spacing w:line="240" w:lineRule="auto"/>
      <w:ind w:left="2940" w:leftChars="1400"/>
    </w:pPr>
    <w:rPr>
      <w:rFonts w:ascii="等线" w:hAnsi="等线" w:eastAsia="等线"/>
      <w:szCs w:val="22"/>
    </w:rPr>
  </w:style>
  <w:style w:type="paragraph" w:customStyle="1" w:styleId="334">
    <w:name w:val="TOC 91"/>
    <w:basedOn w:val="1"/>
    <w:next w:val="1"/>
    <w:unhideWhenUsed/>
    <w:qFormat/>
    <w:uiPriority w:val="39"/>
    <w:pPr>
      <w:adjustRightInd/>
      <w:spacing w:line="240" w:lineRule="auto"/>
      <w:ind w:left="3360" w:leftChars="1600"/>
    </w:pPr>
    <w:rPr>
      <w:rFonts w:ascii="等线" w:hAnsi="等线" w:eastAsia="等线"/>
      <w:szCs w:val="22"/>
    </w:rPr>
  </w:style>
  <w:style w:type="table" w:customStyle="1" w:styleId="335">
    <w:name w:val="网格型1"/>
    <w:basedOn w:val="43"/>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36">
    <w:name w:val="修订11"/>
    <w:semiHidden/>
    <w:qFormat/>
    <w:uiPriority w:val="99"/>
    <w:rPr>
      <w:rFonts w:ascii="Times New Roman" w:hAnsi="Times New Roman" w:eastAsia="宋体" w:cs="Times New Roman"/>
      <w:kern w:val="2"/>
      <w:sz w:val="21"/>
      <w:szCs w:val="24"/>
      <w:lang w:val="en-US" w:eastAsia="zh-CN" w:bidi="ar-SA"/>
    </w:rPr>
  </w:style>
  <w:style w:type="character" w:customStyle="1" w:styleId="337">
    <w:name w:val="未处理的提及1"/>
    <w:unhideWhenUsed/>
    <w:qFormat/>
    <w:uiPriority w:val="99"/>
    <w:rPr>
      <w:color w:val="605E5C"/>
      <w:shd w:val="clear" w:color="auto" w:fill="E1DFDD"/>
    </w:rPr>
  </w:style>
  <w:style w:type="character" w:customStyle="1" w:styleId="338">
    <w:name w:val="标题 2 Char"/>
    <w:qFormat/>
    <w:uiPriority w:val="0"/>
    <w:rPr>
      <w:rFonts w:ascii="宋体" w:hAnsi="宋体" w:eastAsia="宋体"/>
      <w:bCs/>
      <w:kern w:val="2"/>
      <w:sz w:val="21"/>
      <w:szCs w:val="24"/>
      <w:lang w:val="en-US" w:eastAsia="zh-CN" w:bidi="ar-SA"/>
    </w:rPr>
  </w:style>
  <w:style w:type="paragraph" w:styleId="339">
    <w:name w:val="List Paragraph"/>
    <w:basedOn w:val="1"/>
    <w:qFormat/>
    <w:uiPriority w:val="34"/>
    <w:pPr>
      <w:keepNext/>
      <w:adjustRightInd/>
      <w:spacing w:line="240" w:lineRule="auto"/>
      <w:ind w:firstLine="420" w:firstLineChars="200"/>
    </w:pPr>
    <w:rPr>
      <w:rFonts w:ascii="Times New Roman" w:hAnsi="Times New Roman"/>
      <w:szCs w:val="24"/>
    </w:rPr>
  </w:style>
  <w:style w:type="paragraph" w:customStyle="1" w:styleId="340">
    <w:name w:val="修订2"/>
    <w:semiHidden/>
    <w:qFormat/>
    <w:uiPriority w:val="99"/>
    <w:rPr>
      <w:rFonts w:ascii="Times New Roman" w:hAnsi="Times New Roman" w:eastAsia="宋体" w:cs="Times New Roman"/>
      <w:kern w:val="2"/>
      <w:sz w:val="21"/>
      <w:szCs w:val="24"/>
      <w:lang w:val="en-US" w:eastAsia="zh-CN" w:bidi="ar-SA"/>
    </w:rPr>
  </w:style>
  <w:style w:type="paragraph" w:customStyle="1" w:styleId="341">
    <w:name w:val="修订3"/>
    <w:semiHidden/>
    <w:qFormat/>
    <w:uiPriority w:val="99"/>
    <w:rPr>
      <w:rFonts w:ascii="Times New Roman" w:hAnsi="Times New Roman" w:eastAsia="宋体" w:cs="Times New Roman"/>
      <w:kern w:val="2"/>
      <w:sz w:val="21"/>
      <w:szCs w:val="24"/>
      <w:lang w:val="en-US" w:eastAsia="zh-CN" w:bidi="ar-SA"/>
    </w:rPr>
  </w:style>
  <w:style w:type="paragraph" w:customStyle="1" w:styleId="342">
    <w:name w:val="修订4"/>
    <w:semiHidden/>
    <w:qFormat/>
    <w:uiPriority w:val="99"/>
    <w:rPr>
      <w:rFonts w:ascii="Times New Roman" w:hAnsi="Times New Roman" w:eastAsia="宋体" w:cs="Times New Roman"/>
      <w:kern w:val="2"/>
      <w:sz w:val="21"/>
      <w:szCs w:val="24"/>
      <w:lang w:val="en-US" w:eastAsia="zh-CN" w:bidi="ar-SA"/>
    </w:rPr>
  </w:style>
  <w:style w:type="table" w:customStyle="1" w:styleId="343">
    <w:name w:val="Table Normal"/>
    <w:unhideWhenUsed/>
    <w:qFormat/>
    <w:uiPriority w:val="0"/>
    <w:rPr>
      <w:rFonts w:ascii="Arial" w:hAnsi="Arial" w:eastAsia="等线" w:cs="Arial"/>
      <w:snapToGrid w:val="0"/>
      <w:color w:val="000000"/>
      <w:sz w:val="21"/>
      <w:szCs w:val="21"/>
    </w:rPr>
    <w:tblPr>
      <w:tblCellMar>
        <w:top w:w="0" w:type="dxa"/>
        <w:left w:w="0" w:type="dxa"/>
        <w:bottom w:w="0" w:type="dxa"/>
        <w:right w:w="0" w:type="dxa"/>
      </w:tblCellMar>
    </w:tblPr>
  </w:style>
  <w:style w:type="paragraph" w:customStyle="1" w:styleId="344">
    <w:name w:val="修订5"/>
    <w:semiHidden/>
    <w:qFormat/>
    <w:uiPriority w:val="99"/>
    <w:rPr>
      <w:rFonts w:ascii="Times New Roman" w:hAnsi="Times New Roman" w:eastAsia="宋体" w:cs="Times New Roman"/>
      <w:kern w:val="2"/>
      <w:sz w:val="21"/>
      <w:szCs w:val="24"/>
      <w:lang w:val="en-US" w:eastAsia="zh-CN" w:bidi="ar-SA"/>
    </w:rPr>
  </w:style>
  <w:style w:type="paragraph" w:customStyle="1" w:styleId="345">
    <w:name w:val="Revision"/>
    <w:hidden/>
    <w:unhideWhenUsed/>
    <w:qFormat/>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96e900f-45d2-476d-ace4-88e6f631d970}"/>
        <w:style w:val=""/>
        <w:category>
          <w:name w:val="常规"/>
          <w:gallery w:val="placeholder"/>
        </w:category>
        <w:types>
          <w:type w:val="bbPlcHdr"/>
        </w:types>
        <w:behaviors>
          <w:behavior w:val="content"/>
        </w:behaviors>
        <w:description w:val=""/>
        <w:guid w:val="{896e900f-45d2-476d-ace4-88e6f631d970}"/>
      </w:docPartPr>
      <w:docPartBody>
        <w:p>
          <w:pPr>
            <w:pStyle w:val="2"/>
          </w:pPr>
          <w:r>
            <w:rPr>
              <w:rStyle w:val="3"/>
              <w:rFonts w:hint="eastAsia"/>
            </w:rPr>
            <w:t>单击或点击此处输入文字。</w:t>
          </w:r>
        </w:p>
      </w:docPartBody>
    </w:docPart>
    <w:docPart>
      <w:docPartPr>
        <w:name w:val="{2c2faee6-0a46-4941-911a-ce4498659dd4}"/>
        <w:style w:val=""/>
        <w:category>
          <w:name w:val="常规"/>
          <w:gallery w:val="placeholder"/>
        </w:category>
        <w:types>
          <w:type w:val="bbPlcHdr"/>
        </w:types>
        <w:behaviors>
          <w:behavior w:val="content"/>
        </w:behaviors>
        <w:description w:val=""/>
        <w:guid w:val="{2c2faee6-0a46-4941-911a-ce4498659dd4}"/>
      </w:docPartPr>
      <w:docPartBody>
        <w:p>
          <w:pPr>
            <w:pStyle w:val="4"/>
          </w:pPr>
          <w:r>
            <w:rPr>
              <w:rStyle w:val="3"/>
              <w:rFonts w:hint="eastAsia"/>
            </w:rPr>
            <w:t>选择一项。</w:t>
          </w:r>
        </w:p>
      </w:docPartBody>
    </w:docPart>
    <w:docPart>
      <w:docPartPr>
        <w:name w:val="{88ba564b-18d7-4816-8a41-ff740857b985}"/>
        <w:style w:val=""/>
        <w:category>
          <w:name w:val="常规"/>
          <w:gallery w:val="placeholder"/>
        </w:category>
        <w:types>
          <w:type w:val="bbPlcHdr"/>
        </w:types>
        <w:behaviors>
          <w:behavior w:val="content"/>
        </w:behaviors>
        <w:description w:val=""/>
        <w:guid w:val="{88ba564b-18d7-4816-8a41-ff740857b985}"/>
      </w:docPartPr>
      <w:docPartBody>
        <w:p>
          <w:pPr>
            <w:pStyle w:val="5"/>
          </w:pPr>
          <w:r>
            <w:rPr>
              <w:rStyle w:val="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iPriority="1" w:name="Default Paragraph Font"/>
    <w:lsdException w:qFormat="1" w:unhideWhenUsed="0" w:uiPriority="99" w:name="Placeholder Text"/>
  </w:latentStyles>
  <w:style w:type="character" w:default="1" w:styleId="1">
    <w:name w:val="Default Paragraph Font"/>
    <w:semiHidden/>
    <w:unhideWhenUsed/>
    <w:qFormat/>
    <w:uiPriority w:val="1"/>
  </w:style>
  <w:style w:type="paragraph" w:customStyle="1" w:styleId="2">
    <w:name w:val="5E79B146D9474262920E9776F9B126BC"/>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styleId="3">
    <w:name w:val="Placeholder Text"/>
    <w:basedOn w:val="1"/>
    <w:semiHidden/>
    <w:qFormat/>
    <w:uiPriority w:val="99"/>
    <w:rPr>
      <w:color w:val="808080"/>
    </w:rPr>
  </w:style>
  <w:style w:type="paragraph" w:customStyle="1" w:styleId="4">
    <w:name w:val="7F269756D65C44E1BCEBE0BC6CA4FD0C"/>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5">
    <w:name w:val="318FF46C32E44B00829651D1D223E246"/>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E1F2A2-0071-465F-A7A0-BA2181AB0D71}">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11</Pages>
  <Words>919</Words>
  <Characters>5244</Characters>
  <Lines>43</Lines>
  <Paragraphs>12</Paragraphs>
  <TotalTime>0</TotalTime>
  <ScaleCrop>false</ScaleCrop>
  <LinksUpToDate>false</LinksUpToDate>
  <CharactersWithSpaces>6151</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2023-11-30T08:00:00Z</dcterms:created>
  <dc:creator>潘亮</dc:creator>
  <dc:description>&lt;config cover="true" show_menu="true" version="1.0.0" doctype="SDKXY"&gt;_x000d_
&lt;/config&gt;</dc:description>
  <cp:lastModifiedBy>殷源</cp:lastModifiedBy>
  <cp:lastPrinted>2021-02-02T08:22:00Z</cp:lastPrinted>
  <dcterms:modified xsi:type="dcterms:W3CDTF">2025-03-11T07:26:16Z</dcterms:modified>
  <dc:title>团体标准</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2052-11.8.2.8808</vt:lpwstr>
  </property>
  <property fmtid="{D5CDD505-2E9C-101B-9397-08002B2CF9AE}" pid="16" name="ICV">
    <vt:lpwstr>82C881FD1AE3468A910270738B8FB554</vt:lpwstr>
  </property>
</Properties>
</file>