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A4C16" w14:textId="77777777" w:rsidR="007E0D95" w:rsidRDefault="00000000">
      <w:pPr>
        <w:pStyle w:val="a3"/>
        <w:spacing w:before="62"/>
        <w:ind w:left="450"/>
        <w:rPr>
          <w:rFonts w:ascii="黑体" w:eastAsia="黑体" w:hAnsi="黑体" w:hint="eastAsia"/>
          <w:lang w:eastAsia="zh-CN"/>
        </w:rPr>
      </w:pPr>
      <w:bookmarkStart w:id="0" w:name="_Hlk194482282"/>
      <w:r>
        <w:rPr>
          <w:rFonts w:ascii="Times New Roman" w:eastAsia="黑体" w:hAnsi="Times New Roman" w:cs="Times New Roman"/>
          <w:position w:val="2"/>
        </w:rPr>
        <w:t>ICS</w:t>
      </w:r>
      <w:r>
        <w:rPr>
          <w:rFonts w:ascii="黑体" w:eastAsia="黑体" w:hAnsi="黑体" w:hint="eastAsia"/>
          <w:lang w:eastAsia="zh-CN"/>
        </w:rPr>
        <w:t xml:space="preserve"> 11.120.10</w:t>
      </w:r>
    </w:p>
    <w:p w14:paraId="4145E978" w14:textId="77777777" w:rsidR="007E0D95" w:rsidRDefault="007E0D95">
      <w:pPr>
        <w:rPr>
          <w:rFonts w:ascii="黑体" w:eastAsia="黑体" w:hAnsi="黑体" w:hint="eastAsia"/>
          <w:sz w:val="21"/>
          <w:szCs w:val="21"/>
        </w:rPr>
        <w:sectPr w:rsidR="007E0D9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500" w:right="700" w:bottom="280" w:left="920" w:header="0" w:footer="0" w:gutter="0"/>
          <w:pgNumType w:start="3"/>
          <w:cols w:space="720"/>
        </w:sectPr>
      </w:pPr>
    </w:p>
    <w:p w14:paraId="321A75A3" w14:textId="77777777" w:rsidR="007E0D95" w:rsidRDefault="00000000">
      <w:pPr>
        <w:pStyle w:val="a3"/>
        <w:spacing w:before="37"/>
        <w:ind w:left="450"/>
        <w:rPr>
          <w:rFonts w:ascii="黑体" w:eastAsia="黑体" w:hAnsi="黑体" w:hint="eastAsia"/>
        </w:rPr>
      </w:pPr>
      <w:r>
        <w:rPr>
          <w:rFonts w:ascii="Times New Roman" w:eastAsia="黑体" w:hAnsi="Times New Roman" w:cs="Times New Roman"/>
          <w:position w:val="2"/>
        </w:rPr>
        <w:t>CCS</w:t>
      </w:r>
      <w:r>
        <w:rPr>
          <w:rFonts w:ascii="黑体" w:eastAsia="黑体" w:hAnsi="黑体" w:hint="eastAsia"/>
          <w:position w:val="2"/>
          <w:lang w:eastAsia="zh-CN"/>
        </w:rPr>
        <w:t xml:space="preserve"> A 16</w:t>
      </w:r>
    </w:p>
    <w:p w14:paraId="3C1FCE46" w14:textId="77777777" w:rsidR="007E0D95" w:rsidRDefault="007E0D95">
      <w:pPr>
        <w:pStyle w:val="a3"/>
        <w:rPr>
          <w:rFonts w:hint="eastAsia"/>
          <w:sz w:val="24"/>
        </w:rPr>
      </w:pPr>
    </w:p>
    <w:p w14:paraId="2B392806" w14:textId="77777777" w:rsidR="007E0D95" w:rsidRDefault="007E0D95">
      <w:pPr>
        <w:pStyle w:val="a3"/>
        <w:rPr>
          <w:rFonts w:hint="eastAsia"/>
          <w:sz w:val="24"/>
        </w:rPr>
      </w:pPr>
    </w:p>
    <w:p w14:paraId="4AC14ACA" w14:textId="77777777" w:rsidR="007E0D95" w:rsidRDefault="007E0D95">
      <w:pPr>
        <w:pStyle w:val="a3"/>
        <w:rPr>
          <w:rFonts w:hint="eastAsia"/>
          <w:sz w:val="24"/>
        </w:rPr>
      </w:pPr>
    </w:p>
    <w:p w14:paraId="745F14B3" w14:textId="77777777" w:rsidR="007E0D95" w:rsidRDefault="00000000">
      <w:pPr>
        <w:tabs>
          <w:tab w:val="left" w:pos="1911"/>
          <w:tab w:val="left" w:pos="3433"/>
        </w:tabs>
        <w:spacing w:before="201"/>
        <w:ind w:left="383"/>
        <w:rPr>
          <w:rFonts w:hint="eastAsia"/>
          <w:sz w:val="48"/>
        </w:rPr>
      </w:pPr>
      <w:r>
        <w:rPr>
          <w:rFonts w:ascii="黑体" w:eastAsia="黑体" w:hAnsi="黑体"/>
          <w:spacing w:val="-10"/>
          <w:sz w:val="48"/>
        </w:rPr>
        <w:t>安</w:t>
      </w:r>
      <w:r>
        <w:rPr>
          <w:sz w:val="48"/>
        </w:rPr>
        <w:tab/>
      </w:r>
      <w:r>
        <w:rPr>
          <w:rFonts w:ascii="黑体" w:eastAsia="黑体" w:hAnsi="黑体"/>
          <w:spacing w:val="-10"/>
          <w:sz w:val="48"/>
        </w:rPr>
        <w:t>徽</w:t>
      </w:r>
      <w:r>
        <w:rPr>
          <w:rFonts w:ascii="黑体" w:eastAsia="黑体" w:hAnsi="黑体"/>
          <w:sz w:val="48"/>
        </w:rPr>
        <w:tab/>
      </w:r>
      <w:r>
        <w:rPr>
          <w:rFonts w:ascii="黑体" w:eastAsia="黑体" w:hAnsi="黑体"/>
          <w:spacing w:val="-10"/>
          <w:sz w:val="48"/>
        </w:rPr>
        <w:t>省</w:t>
      </w:r>
    </w:p>
    <w:p w14:paraId="7EAA17C0" w14:textId="77777777" w:rsidR="007E0D95" w:rsidRDefault="00000000">
      <w:pPr>
        <w:spacing w:before="78"/>
        <w:ind w:right="655"/>
        <w:jc w:val="right"/>
        <w:rPr>
          <w:rFonts w:ascii="Times New Roman" w:hint="eastAsia"/>
          <w:b/>
          <w:sz w:val="96"/>
        </w:rPr>
      </w:pPr>
      <w:r>
        <w:br w:type="column"/>
      </w:r>
      <w:r>
        <w:rPr>
          <w:rFonts w:ascii="Times New Roman"/>
          <w:b/>
          <w:spacing w:val="-10"/>
          <w:w w:val="130"/>
          <w:sz w:val="96"/>
        </w:rPr>
        <w:t>4</w:t>
      </w:r>
    </w:p>
    <w:p w14:paraId="5E5E2359" w14:textId="77777777" w:rsidR="007E0D95" w:rsidRDefault="00000000">
      <w:pPr>
        <w:tabs>
          <w:tab w:val="left" w:pos="1897"/>
          <w:tab w:val="left" w:pos="3438"/>
          <w:tab w:val="left" w:pos="4959"/>
        </w:tabs>
        <w:spacing w:before="253"/>
        <w:ind w:left="383"/>
        <w:rPr>
          <w:rFonts w:hint="eastAsia"/>
          <w:sz w:val="48"/>
          <w:lang w:eastAsia="zh-CN"/>
        </w:rPr>
      </w:pPr>
      <w:r>
        <w:rPr>
          <w:rFonts w:ascii="黑体" w:eastAsia="黑体" w:hAnsi="黑体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801BAF7" wp14:editId="656E4C80">
                <wp:simplePos x="0" y="0"/>
                <wp:positionH relativeFrom="page">
                  <wp:posOffset>5908675</wp:posOffset>
                </wp:positionH>
                <wp:positionV relativeFrom="paragraph">
                  <wp:posOffset>-675005</wp:posOffset>
                </wp:positionV>
                <wp:extent cx="395605" cy="675640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605" cy="6756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B6DB77" w14:textId="77777777" w:rsidR="007E0D95" w:rsidRDefault="00000000">
                            <w:pPr>
                              <w:spacing w:line="1063" w:lineRule="exact"/>
                              <w:rPr>
                                <w:rFonts w:ascii="Times New Roman" w:hint="eastAsia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w w:val="129"/>
                                <w:sz w:val="96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01BAF7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465.25pt;margin-top:-53.15pt;width:31.15pt;height:53.2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" filled="f" stroked="f">
                <v:textbox inset="0,0,0,0">
                  <w:txbxContent>
                    <w:p w14:paraId="51B6DB77" w14:textId="77777777" w:rsidR="007E0D95" w:rsidRDefault="00000000">
                      <w:pPr>
                        <w:spacing w:line="1063" w:lineRule="exact"/>
                        <w:rPr>
                          <w:rFonts w:ascii="Times New Roman" w:hint="eastAsia"/>
                          <w:b/>
                          <w:sz w:val="96"/>
                        </w:rPr>
                      </w:pPr>
                      <w:r>
                        <w:rPr>
                          <w:rFonts w:ascii="Times New Roman"/>
                          <w:b/>
                          <w:w w:val="129"/>
                          <w:sz w:val="96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黑体" w:eastAsia="黑体" w:hAnsi="黑体"/>
          <w:noProof/>
        </w:rPr>
        <w:drawing>
          <wp:anchor distT="0" distB="0" distL="0" distR="0" simplePos="0" relativeHeight="251659264" behindDoc="0" locked="0" layoutInCell="1" allowOverlap="1" wp14:anchorId="5379C23C" wp14:editId="011D5BAE">
            <wp:simplePos x="0" y="0"/>
            <wp:positionH relativeFrom="page">
              <wp:posOffset>5015230</wp:posOffset>
            </wp:positionH>
            <wp:positionV relativeFrom="paragraph">
              <wp:posOffset>-532130</wp:posOffset>
            </wp:positionV>
            <wp:extent cx="797560" cy="399415"/>
            <wp:effectExtent l="0" t="0" r="0" b="0"/>
            <wp:wrapNone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813" cy="399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/>
          <w:spacing w:val="-10"/>
          <w:sz w:val="48"/>
          <w:lang w:eastAsia="zh-CN"/>
        </w:rPr>
        <w:t>地</w:t>
      </w:r>
      <w:r>
        <w:rPr>
          <w:sz w:val="48"/>
          <w:lang w:eastAsia="zh-CN"/>
        </w:rPr>
        <w:tab/>
      </w:r>
      <w:r>
        <w:rPr>
          <w:rFonts w:ascii="黑体" w:eastAsia="黑体" w:hAnsi="黑体"/>
          <w:spacing w:val="-10"/>
          <w:sz w:val="48"/>
          <w:lang w:eastAsia="zh-CN"/>
        </w:rPr>
        <w:t>方</w:t>
      </w:r>
      <w:r>
        <w:rPr>
          <w:sz w:val="48"/>
          <w:lang w:eastAsia="zh-CN"/>
        </w:rPr>
        <w:tab/>
      </w:r>
      <w:r>
        <w:rPr>
          <w:rFonts w:ascii="黑体" w:eastAsia="黑体" w:hAnsi="黑体"/>
          <w:spacing w:val="-10"/>
          <w:sz w:val="48"/>
          <w:lang w:eastAsia="zh-CN"/>
        </w:rPr>
        <w:t>标</w:t>
      </w:r>
      <w:r>
        <w:rPr>
          <w:sz w:val="48"/>
          <w:lang w:eastAsia="zh-CN"/>
        </w:rPr>
        <w:tab/>
      </w:r>
      <w:r>
        <w:rPr>
          <w:rFonts w:ascii="黑体" w:eastAsia="黑体" w:hAnsi="黑体"/>
          <w:spacing w:val="-10"/>
          <w:sz w:val="48"/>
          <w:lang w:eastAsia="zh-CN"/>
        </w:rPr>
        <w:t>准</w:t>
      </w:r>
    </w:p>
    <w:p w14:paraId="5C7EFE3F" w14:textId="77777777" w:rsidR="007E0D95" w:rsidRDefault="007E0D95">
      <w:pPr>
        <w:rPr>
          <w:rFonts w:hint="eastAsia"/>
          <w:sz w:val="48"/>
          <w:lang w:eastAsia="zh-CN"/>
        </w:rPr>
        <w:sectPr w:rsidR="007E0D95">
          <w:type w:val="continuous"/>
          <w:pgSz w:w="11910" w:h="16840"/>
          <w:pgMar w:top="500" w:right="700" w:bottom="280" w:left="920" w:header="0" w:footer="0" w:gutter="0"/>
          <w:cols w:num="2" w:space="720" w:equalWidth="0">
            <w:col w:w="3954" w:space="631"/>
            <w:col w:w="5705"/>
          </w:cols>
        </w:sectPr>
      </w:pPr>
    </w:p>
    <w:p w14:paraId="0EECACD4" w14:textId="77777777" w:rsidR="007E0D95" w:rsidRDefault="007E0D95">
      <w:pPr>
        <w:pStyle w:val="a3"/>
        <w:spacing w:before="11"/>
        <w:rPr>
          <w:rFonts w:hint="eastAsia"/>
          <w:lang w:eastAsia="zh-CN"/>
        </w:rPr>
      </w:pPr>
    </w:p>
    <w:p w14:paraId="28AEF0BF" w14:textId="77777777" w:rsidR="007E0D95" w:rsidRDefault="00000000">
      <w:pPr>
        <w:spacing w:before="61"/>
        <w:ind w:right="425"/>
        <w:jc w:val="right"/>
        <w:rPr>
          <w:rFonts w:ascii="黑体" w:eastAsia="黑体" w:hAnsi="黑体" w:hint="eastAsia"/>
          <w:sz w:val="28"/>
          <w:lang w:eastAsia="zh-CN"/>
        </w:rPr>
      </w:pPr>
      <w:r>
        <w:rPr>
          <w:rFonts w:ascii="黑体" w:eastAsia="黑体" w:hAnsi="黑体" w:hint="eastAsia"/>
          <w:sz w:val="28"/>
          <w:lang w:eastAsia="zh-CN"/>
        </w:rPr>
        <w:t>DB34/T XXXX—XXXX</w:t>
      </w:r>
    </w:p>
    <w:p w14:paraId="5A569DE9" w14:textId="77777777" w:rsidR="007E0D95" w:rsidRDefault="007E0D95">
      <w:pPr>
        <w:pStyle w:val="a3"/>
        <w:spacing w:before="47"/>
        <w:ind w:right="424"/>
        <w:jc w:val="right"/>
        <w:rPr>
          <w:rFonts w:hint="eastAsia"/>
          <w:lang w:eastAsia="zh-CN"/>
        </w:rPr>
      </w:pPr>
    </w:p>
    <w:p w14:paraId="47F4DB45" w14:textId="77777777" w:rsidR="007E0D95" w:rsidRDefault="00000000">
      <w:pPr>
        <w:pStyle w:val="a3"/>
        <w:spacing w:before="10"/>
        <w:rPr>
          <w:rFonts w:hint="eastAsia"/>
          <w:sz w:val="24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E52DA8E" wp14:editId="2B976A35">
                <wp:simplePos x="0" y="0"/>
                <wp:positionH relativeFrom="page">
                  <wp:posOffset>900430</wp:posOffset>
                </wp:positionH>
                <wp:positionV relativeFrom="paragraph">
                  <wp:posOffset>216535</wp:posOffset>
                </wp:positionV>
                <wp:extent cx="6120765" cy="10160"/>
                <wp:effectExtent l="0" t="0" r="0" b="0"/>
                <wp:wrapTopAndBottom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765" cy="10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0160">
                              <a:moveTo>
                                <a:pt x="6120371" y="0"/>
                              </a:moveTo>
                              <a:lnTo>
                                <a:pt x="6120371" y="0"/>
                              </a:lnTo>
                              <a:lnTo>
                                <a:pt x="0" y="0"/>
                              </a:lnTo>
                              <a:lnTo>
                                <a:pt x="0" y="9906"/>
                              </a:lnTo>
                              <a:lnTo>
                                <a:pt x="6120371" y="9906"/>
                              </a:lnTo>
                              <a:lnTo>
                                <a:pt x="61203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2E21D" id="Graphic 4" o:spid="_x0000_s1026" style="position:absolute;margin-left:70.9pt;margin-top:17.05pt;width:481.95pt;height:.8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765,10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" path="m6120371,r,l,,,9906r6120371,l6120371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78CC7ED" w14:textId="77777777" w:rsidR="007E0D95" w:rsidRDefault="007E0D95">
      <w:pPr>
        <w:pStyle w:val="a3"/>
        <w:rPr>
          <w:rFonts w:hint="eastAsia"/>
          <w:sz w:val="20"/>
          <w:lang w:eastAsia="zh-CN"/>
        </w:rPr>
      </w:pPr>
    </w:p>
    <w:p w14:paraId="0EDE8B1E" w14:textId="77777777" w:rsidR="007E0D95" w:rsidRDefault="007E0D95">
      <w:pPr>
        <w:pStyle w:val="a3"/>
        <w:rPr>
          <w:rFonts w:hint="eastAsia"/>
          <w:sz w:val="20"/>
          <w:lang w:eastAsia="zh-CN"/>
        </w:rPr>
      </w:pPr>
    </w:p>
    <w:p w14:paraId="0A8BC456" w14:textId="77777777" w:rsidR="007E0D95" w:rsidRDefault="007E0D95">
      <w:pPr>
        <w:pStyle w:val="a3"/>
        <w:rPr>
          <w:rFonts w:hint="eastAsia"/>
          <w:sz w:val="20"/>
          <w:lang w:eastAsia="zh-CN"/>
        </w:rPr>
      </w:pPr>
    </w:p>
    <w:p w14:paraId="2EF7C0D4" w14:textId="77777777" w:rsidR="007E0D95" w:rsidRDefault="007E0D95">
      <w:pPr>
        <w:pStyle w:val="a3"/>
        <w:rPr>
          <w:rFonts w:hint="eastAsia"/>
          <w:sz w:val="20"/>
          <w:lang w:eastAsia="zh-CN"/>
        </w:rPr>
      </w:pPr>
    </w:p>
    <w:p w14:paraId="71AD5795" w14:textId="77777777" w:rsidR="007E0D95" w:rsidRDefault="007E0D95">
      <w:pPr>
        <w:pStyle w:val="a3"/>
        <w:rPr>
          <w:rFonts w:hint="eastAsia"/>
          <w:sz w:val="20"/>
          <w:lang w:eastAsia="zh-CN"/>
        </w:rPr>
      </w:pPr>
    </w:p>
    <w:p w14:paraId="2205F5C7" w14:textId="77777777" w:rsidR="007E0D95" w:rsidRDefault="007E0D95">
      <w:pPr>
        <w:pStyle w:val="a3"/>
        <w:rPr>
          <w:rFonts w:hint="eastAsia"/>
          <w:sz w:val="20"/>
          <w:lang w:eastAsia="zh-CN"/>
        </w:rPr>
      </w:pPr>
    </w:p>
    <w:p w14:paraId="59B29681" w14:textId="77777777" w:rsidR="007E0D95" w:rsidRDefault="007E0D95">
      <w:pPr>
        <w:pStyle w:val="a3"/>
        <w:rPr>
          <w:rFonts w:hint="eastAsia"/>
          <w:sz w:val="20"/>
          <w:lang w:eastAsia="zh-CN"/>
        </w:rPr>
      </w:pPr>
    </w:p>
    <w:p w14:paraId="3344AA15" w14:textId="77777777" w:rsidR="007E0D95" w:rsidRDefault="007E0D95">
      <w:pPr>
        <w:pStyle w:val="a3"/>
        <w:spacing w:before="8"/>
        <w:rPr>
          <w:rFonts w:hint="eastAsia"/>
          <w:sz w:val="28"/>
          <w:lang w:eastAsia="zh-CN"/>
        </w:rPr>
      </w:pPr>
    </w:p>
    <w:p w14:paraId="6C3DAB96" w14:textId="77777777" w:rsidR="007E0D95" w:rsidRDefault="00000000">
      <w:pPr>
        <w:pStyle w:val="ac"/>
        <w:framePr w:h="6974" w:hRule="exact" w:wrap="around" w:x="1419" w:anchorLock="1"/>
        <w:rPr>
          <w:rFonts w:hint="eastAsia"/>
          <w:color w:val="000000"/>
          <w:sz w:val="48"/>
          <w:szCs w:val="48"/>
        </w:rPr>
      </w:pPr>
      <w:bookmarkStart w:id="1" w:name="_Hlk194483329"/>
      <w:r>
        <w:rPr>
          <w:rFonts w:hint="eastAsia"/>
          <w:color w:val="000000"/>
          <w:sz w:val="48"/>
          <w:szCs w:val="48"/>
        </w:rPr>
        <w:t>医疗机构用药交代规范（征求意见稿）</w:t>
      </w:r>
      <w:bookmarkEnd w:id="1"/>
    </w:p>
    <w:p w14:paraId="14EC9008" w14:textId="77777777" w:rsidR="007E0D95" w:rsidRDefault="007E0D95">
      <w:pPr>
        <w:framePr w:w="9639" w:h="6974" w:hRule="exact" w:wrap="around" w:vAnchor="page" w:hAnchor="page" w:x="1419" w:y="6408" w:anchorLock="1"/>
        <w:ind w:left="-1418"/>
        <w:rPr>
          <w:rFonts w:hint="eastAsia"/>
          <w:lang w:eastAsia="zh-CN"/>
        </w:rPr>
      </w:pPr>
    </w:p>
    <w:p w14:paraId="525E442B" w14:textId="77777777" w:rsidR="007E0D95" w:rsidRDefault="00000000">
      <w:pPr>
        <w:pStyle w:val="ab"/>
        <w:framePr w:w="9639" w:h="6974" w:hRule="exact" w:wrap="around" w:vAnchor="page" w:hAnchor="page" w:x="1419" w:y="6408" w:anchorLock="1"/>
        <w:textAlignment w:val="bottom"/>
        <w:rPr>
          <w:rFonts w:eastAsia="黑体"/>
          <w:color w:val="000000"/>
          <w:szCs w:val="28"/>
        </w:rPr>
      </w:pPr>
      <w:bookmarkStart w:id="2" w:name="_Hlk194483377"/>
      <w:r>
        <w:rPr>
          <w:rFonts w:eastAsia="黑体"/>
          <w:color w:val="000000"/>
          <w:szCs w:val="28"/>
        </w:rPr>
        <w:t>Specification for medication guidance in medical</w:t>
      </w:r>
      <w:r>
        <w:rPr>
          <w:rFonts w:eastAsia="黑体" w:hint="eastAsia"/>
          <w:color w:val="000000"/>
          <w:szCs w:val="28"/>
        </w:rPr>
        <w:t xml:space="preserve"> </w:t>
      </w:r>
      <w:r>
        <w:rPr>
          <w:rFonts w:eastAsia="黑体"/>
          <w:color w:val="000000"/>
          <w:szCs w:val="28"/>
        </w:rPr>
        <w:t>institutions</w:t>
      </w:r>
      <w:bookmarkEnd w:id="2"/>
    </w:p>
    <w:p w14:paraId="056A077B" w14:textId="77777777" w:rsidR="007E0D95" w:rsidRDefault="00000000">
      <w:pPr>
        <w:pStyle w:val="ab"/>
        <w:framePr w:w="9639" w:h="6974" w:hRule="exact" w:wrap="around" w:vAnchor="page" w:hAnchor="page" w:x="1419" w:y="6408" w:anchorLock="1"/>
        <w:spacing w:before="440" w:after="160"/>
        <w:textAlignment w:val="bottom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fldChar w:fldCharType="begin"/>
      </w:r>
      <w:bookmarkStart w:id="3" w:name="下拉1"/>
      <w:r>
        <w:rPr>
          <w:color w:val="000000"/>
          <w:sz w:val="24"/>
          <w:szCs w:val="28"/>
        </w:rPr>
        <w:instrText xml:space="preserve"> FORMDROPDOWN </w:instrText>
      </w:r>
      <w:r>
        <w:rPr>
          <w:color w:val="000000"/>
          <w:sz w:val="24"/>
          <w:szCs w:val="28"/>
        </w:rPr>
        <w:fldChar w:fldCharType="separate"/>
      </w:r>
      <w:r>
        <w:rPr>
          <w:color w:val="000000"/>
          <w:sz w:val="24"/>
          <w:szCs w:val="28"/>
        </w:rPr>
        <w:fldChar w:fldCharType="end"/>
      </w:r>
      <w:bookmarkEnd w:id="3"/>
    </w:p>
    <w:p w14:paraId="4FADB5B3" w14:textId="77777777" w:rsidR="007E0D95" w:rsidRDefault="00000000">
      <w:pPr>
        <w:pStyle w:val="ab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color w:val="000000"/>
          <w:sz w:val="21"/>
          <w:szCs w:val="28"/>
        </w:rPr>
      </w:pPr>
      <w:r>
        <w:rPr>
          <w:rFonts w:hint="eastAsia"/>
          <w:color w:val="000000"/>
          <w:sz w:val="21"/>
          <w:szCs w:val="28"/>
        </w:rPr>
        <w:t>（</w:t>
      </w:r>
      <w:r>
        <w:rPr>
          <w:rFonts w:hint="eastAsia"/>
          <w:color w:val="000000"/>
          <w:sz w:val="21"/>
          <w:szCs w:val="28"/>
        </w:rPr>
        <w:t>2025</w:t>
      </w:r>
      <w:r>
        <w:rPr>
          <w:rFonts w:hint="eastAsia"/>
          <w:color w:val="000000"/>
          <w:sz w:val="21"/>
          <w:szCs w:val="28"/>
        </w:rPr>
        <w:t>年</w:t>
      </w:r>
      <w:r>
        <w:rPr>
          <w:rFonts w:hint="eastAsia"/>
          <w:color w:val="000000"/>
          <w:sz w:val="21"/>
          <w:szCs w:val="28"/>
        </w:rPr>
        <w:t>05</w:t>
      </w:r>
      <w:r>
        <w:rPr>
          <w:rFonts w:hint="eastAsia"/>
          <w:color w:val="000000"/>
          <w:sz w:val="21"/>
          <w:szCs w:val="28"/>
        </w:rPr>
        <w:t>月）</w:t>
      </w:r>
    </w:p>
    <w:p w14:paraId="562080D2" w14:textId="77777777" w:rsidR="007E0D95" w:rsidRDefault="00000000">
      <w:pPr>
        <w:pStyle w:val="ab"/>
        <w:framePr w:w="9639" w:h="6974" w:hRule="exact" w:wrap="around" w:vAnchor="page" w:hAnchor="page" w:x="1419" w:y="6408" w:anchorLock="1"/>
        <w:spacing w:beforeLines="300" w:before="720" w:afterLines="30" w:after="72" w:line="240" w:lineRule="auto"/>
        <w:textAlignment w:val="bottom"/>
        <w:rPr>
          <w:b/>
          <w:color w:val="000000"/>
          <w:sz w:val="21"/>
          <w:szCs w:val="28"/>
        </w:rPr>
      </w:pPr>
      <w:r>
        <w:rPr>
          <w:b/>
          <w:color w:val="000000"/>
          <w:sz w:val="21"/>
          <w:szCs w:val="28"/>
        </w:rPr>
        <w:fldChar w:fldCharType="begin"/>
      </w:r>
      <w:bookmarkStart w:id="4" w:name="下拉2"/>
      <w:r>
        <w:rPr>
          <w:b/>
          <w:color w:val="000000"/>
          <w:sz w:val="21"/>
          <w:szCs w:val="28"/>
        </w:rPr>
        <w:instrText xml:space="preserve"> FORMDROPDOWN </w:instrText>
      </w:r>
      <w:r>
        <w:rPr>
          <w:b/>
          <w:color w:val="000000"/>
          <w:sz w:val="21"/>
          <w:szCs w:val="28"/>
        </w:rPr>
        <w:fldChar w:fldCharType="separate"/>
      </w:r>
      <w:r>
        <w:rPr>
          <w:b/>
          <w:color w:val="000000"/>
          <w:sz w:val="21"/>
          <w:szCs w:val="28"/>
        </w:rPr>
        <w:fldChar w:fldCharType="end"/>
      </w:r>
      <w:bookmarkEnd w:id="4"/>
      <w:r>
        <w:rPr>
          <w:rFonts w:hint="eastAsia"/>
          <w:b/>
          <w:color w:val="000000"/>
          <w:sz w:val="21"/>
          <w:szCs w:val="28"/>
        </w:rPr>
        <w:t>在提交反馈意见时，请将您知道的相关专利连同支持性文件一并附上</w:t>
      </w:r>
    </w:p>
    <w:p w14:paraId="37FAEE9A" w14:textId="77777777" w:rsidR="007E0D95" w:rsidRDefault="007E0D95">
      <w:pPr>
        <w:pStyle w:val="a3"/>
        <w:spacing w:before="2"/>
        <w:rPr>
          <w:rFonts w:ascii="Times New Roman" w:hint="eastAsia"/>
          <w:sz w:val="27"/>
          <w:lang w:eastAsia="zh-CN"/>
        </w:rPr>
      </w:pPr>
    </w:p>
    <w:p w14:paraId="30A05C84" w14:textId="6AD4FED4" w:rsidR="007E0D95" w:rsidRDefault="00000000">
      <w:pPr>
        <w:tabs>
          <w:tab w:val="left" w:pos="7862"/>
        </w:tabs>
        <w:spacing w:before="61"/>
        <w:ind w:left="497"/>
        <w:rPr>
          <w:rFonts w:ascii="黑体" w:eastAsia="黑体" w:hAnsi="黑体" w:hint="eastAsia"/>
          <w:sz w:val="28"/>
          <w:lang w:eastAsia="zh-CN"/>
        </w:rPr>
      </w:pPr>
      <w:r>
        <w:rPr>
          <w:rFonts w:hint="eastAsia"/>
          <w:spacing w:val="-2"/>
          <w:sz w:val="28"/>
          <w:lang w:eastAsia="zh-CN"/>
        </w:rPr>
        <w:t xml:space="preserve"> </w:t>
      </w:r>
      <w:r>
        <w:rPr>
          <w:rFonts w:ascii="黑体" w:eastAsia="黑体" w:hAnsi="黑体" w:hint="eastAsia"/>
          <w:spacing w:val="-2"/>
          <w:sz w:val="28"/>
          <w:lang w:eastAsia="zh-CN"/>
        </w:rPr>
        <w:t>XXXX</w:t>
      </w:r>
      <w:r>
        <w:rPr>
          <w:rFonts w:ascii="黑体" w:eastAsia="黑体" w:hAnsi="黑体"/>
          <w:spacing w:val="-70"/>
          <w:sz w:val="28"/>
          <w:lang w:eastAsia="zh-CN"/>
        </w:rPr>
        <w:t xml:space="preserve"> </w:t>
      </w:r>
      <w:r>
        <w:rPr>
          <w:rFonts w:ascii="黑体" w:eastAsia="黑体" w:hAnsi="黑体"/>
          <w:spacing w:val="-2"/>
          <w:sz w:val="28"/>
          <w:lang w:eastAsia="zh-CN"/>
        </w:rPr>
        <w:t>-</w:t>
      </w:r>
      <w:r>
        <w:rPr>
          <w:rFonts w:ascii="黑体" w:eastAsia="黑体" w:hAnsi="黑体"/>
          <w:spacing w:val="-74"/>
          <w:sz w:val="28"/>
          <w:lang w:eastAsia="zh-CN"/>
        </w:rPr>
        <w:t xml:space="preserve"> </w:t>
      </w:r>
      <w:r>
        <w:rPr>
          <w:rFonts w:ascii="黑体" w:eastAsia="黑体" w:hAnsi="黑体" w:hint="eastAsia"/>
          <w:spacing w:val="-2"/>
          <w:sz w:val="28"/>
          <w:lang w:eastAsia="zh-CN"/>
        </w:rPr>
        <w:t>XX</w:t>
      </w:r>
      <w:r>
        <w:rPr>
          <w:rFonts w:ascii="黑体" w:eastAsia="黑体" w:hAnsi="黑体"/>
          <w:spacing w:val="-69"/>
          <w:sz w:val="28"/>
          <w:lang w:eastAsia="zh-CN"/>
        </w:rPr>
        <w:t xml:space="preserve"> </w:t>
      </w:r>
      <w:r>
        <w:rPr>
          <w:rFonts w:ascii="黑体" w:eastAsia="黑体" w:hAnsi="黑体"/>
          <w:spacing w:val="-2"/>
          <w:sz w:val="28"/>
          <w:lang w:eastAsia="zh-CN"/>
        </w:rPr>
        <w:t>-</w:t>
      </w:r>
      <w:r>
        <w:rPr>
          <w:rFonts w:ascii="黑体" w:eastAsia="黑体" w:hAnsi="黑体"/>
          <w:spacing w:val="-69"/>
          <w:sz w:val="28"/>
          <w:lang w:eastAsia="zh-CN"/>
        </w:rPr>
        <w:t xml:space="preserve"> </w:t>
      </w:r>
      <w:r>
        <w:rPr>
          <w:rFonts w:ascii="黑体" w:eastAsia="黑体" w:hAnsi="黑体" w:hint="eastAsia"/>
          <w:spacing w:val="-2"/>
          <w:sz w:val="28"/>
          <w:lang w:eastAsia="zh-CN"/>
        </w:rPr>
        <w:t>XX</w:t>
      </w:r>
      <w:r>
        <w:rPr>
          <w:rFonts w:ascii="黑体" w:eastAsia="黑体" w:hAnsi="黑体"/>
          <w:spacing w:val="-2"/>
          <w:sz w:val="28"/>
          <w:lang w:eastAsia="zh-CN"/>
        </w:rPr>
        <w:t>发</w:t>
      </w:r>
      <w:r>
        <w:rPr>
          <w:rFonts w:ascii="黑体" w:eastAsia="黑体" w:hAnsi="黑体"/>
          <w:spacing w:val="-12"/>
          <w:sz w:val="28"/>
          <w:lang w:eastAsia="zh-CN"/>
        </w:rPr>
        <w:t>布</w:t>
      </w:r>
      <w:r>
        <w:rPr>
          <w:rFonts w:ascii="黑体" w:eastAsia="黑体" w:hAnsi="黑体"/>
          <w:sz w:val="28"/>
          <w:lang w:eastAsia="zh-CN"/>
        </w:rPr>
        <w:tab/>
      </w:r>
      <w:r>
        <w:rPr>
          <w:rFonts w:ascii="黑体" w:eastAsia="黑体" w:hAnsi="黑体" w:hint="eastAsia"/>
          <w:spacing w:val="-2"/>
          <w:sz w:val="28"/>
          <w:lang w:eastAsia="zh-CN"/>
        </w:rPr>
        <w:t>XXXX</w:t>
      </w:r>
      <w:r>
        <w:rPr>
          <w:rFonts w:ascii="黑体" w:eastAsia="黑体" w:hAnsi="黑体"/>
          <w:spacing w:val="-70"/>
          <w:sz w:val="28"/>
          <w:lang w:eastAsia="zh-CN"/>
        </w:rPr>
        <w:t xml:space="preserve"> </w:t>
      </w:r>
      <w:r>
        <w:rPr>
          <w:rFonts w:ascii="黑体" w:eastAsia="黑体" w:hAnsi="黑体"/>
          <w:spacing w:val="-2"/>
          <w:sz w:val="28"/>
          <w:lang w:eastAsia="zh-CN"/>
        </w:rPr>
        <w:t>-</w:t>
      </w:r>
      <w:r>
        <w:rPr>
          <w:rFonts w:ascii="黑体" w:eastAsia="黑体" w:hAnsi="黑体"/>
          <w:spacing w:val="-74"/>
          <w:sz w:val="28"/>
          <w:lang w:eastAsia="zh-CN"/>
        </w:rPr>
        <w:t xml:space="preserve"> </w:t>
      </w:r>
      <w:r>
        <w:rPr>
          <w:rFonts w:ascii="黑体" w:eastAsia="黑体" w:hAnsi="黑体" w:hint="eastAsia"/>
          <w:spacing w:val="-2"/>
          <w:sz w:val="28"/>
          <w:lang w:eastAsia="zh-CN"/>
        </w:rPr>
        <w:t>XX</w:t>
      </w:r>
      <w:r>
        <w:rPr>
          <w:rFonts w:ascii="黑体" w:eastAsia="黑体" w:hAnsi="黑体"/>
          <w:spacing w:val="-69"/>
          <w:sz w:val="28"/>
          <w:lang w:eastAsia="zh-CN"/>
        </w:rPr>
        <w:t xml:space="preserve"> </w:t>
      </w:r>
      <w:r>
        <w:rPr>
          <w:rFonts w:ascii="黑体" w:eastAsia="黑体" w:hAnsi="黑体"/>
          <w:spacing w:val="-2"/>
          <w:sz w:val="28"/>
          <w:lang w:eastAsia="zh-CN"/>
        </w:rPr>
        <w:t>-</w:t>
      </w:r>
      <w:r>
        <w:rPr>
          <w:rFonts w:ascii="黑体" w:eastAsia="黑体" w:hAnsi="黑体"/>
          <w:spacing w:val="-69"/>
          <w:sz w:val="28"/>
          <w:lang w:eastAsia="zh-CN"/>
        </w:rPr>
        <w:t xml:space="preserve"> </w:t>
      </w:r>
      <w:r>
        <w:rPr>
          <w:rFonts w:ascii="黑体" w:eastAsia="黑体" w:hAnsi="黑体" w:hint="eastAsia"/>
          <w:spacing w:val="-2"/>
          <w:sz w:val="28"/>
          <w:lang w:eastAsia="zh-CN"/>
        </w:rPr>
        <w:t>XX</w:t>
      </w:r>
      <w:r>
        <w:rPr>
          <w:rFonts w:ascii="黑体" w:eastAsia="黑体" w:hAnsi="黑体"/>
          <w:spacing w:val="-69"/>
          <w:sz w:val="28"/>
          <w:lang w:eastAsia="zh-CN"/>
        </w:rPr>
        <w:t xml:space="preserve"> </w:t>
      </w:r>
      <w:r>
        <w:rPr>
          <w:rFonts w:ascii="黑体" w:eastAsia="黑体" w:hAnsi="黑体"/>
          <w:spacing w:val="-2"/>
          <w:sz w:val="28"/>
          <w:lang w:eastAsia="zh-CN"/>
        </w:rPr>
        <w:t>实</w:t>
      </w:r>
      <w:r>
        <w:rPr>
          <w:rFonts w:ascii="黑体" w:eastAsia="黑体" w:hAnsi="黑体"/>
          <w:spacing w:val="-10"/>
          <w:sz w:val="28"/>
          <w:lang w:eastAsia="zh-CN"/>
        </w:rPr>
        <w:t>施</w:t>
      </w:r>
    </w:p>
    <w:p w14:paraId="130A143D" w14:textId="0840F39F" w:rsidR="007E0D95" w:rsidRDefault="00DB55F8">
      <w:pPr>
        <w:pStyle w:val="a3"/>
        <w:rPr>
          <w:rFonts w:hint="eastAsia"/>
          <w:sz w:val="20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AD2326B" wp14:editId="3ECEBDC1">
                <wp:simplePos x="0" y="0"/>
                <wp:positionH relativeFrom="margin">
                  <wp:align>center</wp:align>
                </wp:positionH>
                <wp:positionV relativeFrom="paragraph">
                  <wp:posOffset>322685</wp:posOffset>
                </wp:positionV>
                <wp:extent cx="6120765" cy="9525"/>
                <wp:effectExtent l="0" t="0" r="0" b="0"/>
                <wp:wrapTopAndBottom/>
                <wp:docPr id="5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7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9525">
                              <a:moveTo>
                                <a:pt x="6120384" y="0"/>
                              </a:moveTo>
                              <a:lnTo>
                                <a:pt x="612038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120384" y="9144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6775DC" id="Graphic 5" o:spid="_x0000_s1026" style="position:absolute;margin-left:0;margin-top:25.4pt;width:481.95pt;height:.75pt;z-index:-25165414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coordsize="61207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" path="m6120384,r,l,,,9144r6120384,l6120384,xe" fillcolor="black" stroked="f">
                <v:path arrowok="t"/>
                <w10:wrap type="topAndBottom" anchorx="margin"/>
              </v:shape>
            </w:pict>
          </mc:Fallback>
        </mc:AlternateContent>
      </w:r>
    </w:p>
    <w:p w14:paraId="04B72B4D" w14:textId="1A1E5FFF" w:rsidR="007E0D95" w:rsidRDefault="007E0D95">
      <w:pPr>
        <w:pStyle w:val="a3"/>
        <w:rPr>
          <w:rFonts w:hint="eastAsia"/>
          <w:sz w:val="20"/>
          <w:lang w:eastAsia="zh-CN"/>
        </w:rPr>
      </w:pPr>
    </w:p>
    <w:p w14:paraId="0204D2DD" w14:textId="6AB98E86" w:rsidR="007E0D95" w:rsidRDefault="007E0D95">
      <w:pPr>
        <w:pStyle w:val="a3"/>
        <w:spacing w:before="7"/>
        <w:rPr>
          <w:rFonts w:hint="eastAsia"/>
          <w:sz w:val="16"/>
          <w:lang w:eastAsia="zh-CN"/>
        </w:rPr>
      </w:pPr>
    </w:p>
    <w:p w14:paraId="0E1A0A02" w14:textId="22E25E02" w:rsidR="007E0D95" w:rsidRDefault="00000000">
      <w:pPr>
        <w:tabs>
          <w:tab w:val="left" w:pos="3408"/>
        </w:tabs>
        <w:spacing w:before="61"/>
        <w:ind w:left="57"/>
        <w:jc w:val="center"/>
        <w:rPr>
          <w:rFonts w:ascii="黑体" w:eastAsia="黑体" w:hAnsi="黑体" w:hint="eastAsia"/>
          <w:sz w:val="28"/>
          <w:lang w:eastAsia="zh-CN"/>
        </w:rPr>
      </w:pPr>
      <w:r>
        <w:rPr>
          <w:rFonts w:ascii="黑体" w:eastAsia="黑体" w:hAnsi="黑体"/>
          <w:spacing w:val="-4"/>
          <w:sz w:val="28"/>
          <w:lang w:eastAsia="zh-CN"/>
        </w:rPr>
        <w:t>安徽省市场监督管理</w:t>
      </w:r>
      <w:r>
        <w:rPr>
          <w:rFonts w:ascii="黑体" w:eastAsia="黑体" w:hAnsi="黑体"/>
          <w:spacing w:val="-10"/>
          <w:sz w:val="28"/>
          <w:lang w:eastAsia="zh-CN"/>
        </w:rPr>
        <w:t>局</w:t>
      </w:r>
      <w:r>
        <w:rPr>
          <w:rFonts w:ascii="黑体" w:eastAsia="黑体" w:hAnsi="黑体"/>
          <w:sz w:val="28"/>
          <w:lang w:eastAsia="zh-CN"/>
        </w:rPr>
        <w:tab/>
        <w:t>发</w:t>
      </w:r>
      <w:r>
        <w:rPr>
          <w:rFonts w:ascii="黑体" w:eastAsia="黑体" w:hAnsi="黑体"/>
          <w:spacing w:val="27"/>
          <w:sz w:val="28"/>
          <w:lang w:eastAsia="zh-CN"/>
        </w:rPr>
        <w:t xml:space="preserve"> </w:t>
      </w:r>
      <w:r>
        <w:rPr>
          <w:rFonts w:ascii="黑体" w:eastAsia="黑体" w:hAnsi="黑体"/>
          <w:spacing w:val="-10"/>
          <w:sz w:val="28"/>
          <w:lang w:eastAsia="zh-CN"/>
        </w:rPr>
        <w:t>布</w:t>
      </w:r>
    </w:p>
    <w:bookmarkEnd w:id="0"/>
    <w:p w14:paraId="17FE982B" w14:textId="77777777" w:rsidR="007E0D95" w:rsidRDefault="007E0D95">
      <w:pPr>
        <w:jc w:val="center"/>
        <w:rPr>
          <w:rFonts w:hint="eastAsia"/>
          <w:sz w:val="28"/>
          <w:lang w:eastAsia="zh-CN"/>
        </w:rPr>
        <w:sectPr w:rsidR="007E0D95">
          <w:type w:val="continuous"/>
          <w:pgSz w:w="11910" w:h="16840"/>
          <w:pgMar w:top="500" w:right="700" w:bottom="280" w:left="920" w:header="0" w:footer="0" w:gutter="0"/>
          <w:cols w:space="720"/>
        </w:sectPr>
      </w:pPr>
    </w:p>
    <w:p w14:paraId="1D205EE6" w14:textId="77777777" w:rsidR="007E0D95" w:rsidRDefault="007E0D95">
      <w:pPr>
        <w:pStyle w:val="a3"/>
        <w:spacing w:before="7"/>
        <w:rPr>
          <w:rFonts w:hint="eastAsia"/>
          <w:sz w:val="15"/>
          <w:lang w:eastAsia="zh-CN"/>
        </w:rPr>
      </w:pPr>
    </w:p>
    <w:p w14:paraId="7DE556A6" w14:textId="77777777" w:rsidR="007E0D95" w:rsidRDefault="007E0D95">
      <w:pPr>
        <w:rPr>
          <w:rFonts w:hint="eastAsia"/>
          <w:sz w:val="15"/>
          <w:lang w:eastAsia="zh-CN"/>
        </w:rPr>
      </w:pPr>
    </w:p>
    <w:p w14:paraId="623A07E0" w14:textId="77777777" w:rsidR="007E0D95" w:rsidRDefault="007E0D95">
      <w:pPr>
        <w:rPr>
          <w:rFonts w:hint="eastAsia"/>
          <w:sz w:val="15"/>
          <w:lang w:eastAsia="zh-CN"/>
        </w:rPr>
      </w:pPr>
    </w:p>
    <w:p w14:paraId="674D1A07" w14:textId="77777777" w:rsidR="007E0D95" w:rsidRDefault="007E0D95">
      <w:pPr>
        <w:rPr>
          <w:rFonts w:hint="eastAsia"/>
          <w:sz w:val="15"/>
          <w:lang w:eastAsia="zh-CN"/>
        </w:rPr>
      </w:pPr>
    </w:p>
    <w:p w14:paraId="13EC6FD6" w14:textId="77777777" w:rsidR="007E0D95" w:rsidRDefault="007E0D95">
      <w:pPr>
        <w:rPr>
          <w:rFonts w:hint="eastAsia"/>
          <w:sz w:val="15"/>
          <w:lang w:eastAsia="zh-CN"/>
        </w:rPr>
      </w:pPr>
    </w:p>
    <w:p w14:paraId="708B30CB" w14:textId="77777777" w:rsidR="007E0D95" w:rsidRDefault="007E0D95">
      <w:pPr>
        <w:rPr>
          <w:rFonts w:hint="eastAsia"/>
          <w:sz w:val="15"/>
          <w:lang w:eastAsia="zh-CN"/>
        </w:rPr>
      </w:pPr>
    </w:p>
    <w:p w14:paraId="26DBC399" w14:textId="77777777" w:rsidR="007E0D95" w:rsidRDefault="007E0D95">
      <w:pPr>
        <w:rPr>
          <w:rFonts w:hint="eastAsia"/>
          <w:sz w:val="15"/>
          <w:lang w:eastAsia="zh-CN"/>
        </w:rPr>
      </w:pPr>
    </w:p>
    <w:p w14:paraId="57EB9521" w14:textId="77777777" w:rsidR="007E0D95" w:rsidRDefault="007E0D95">
      <w:pPr>
        <w:rPr>
          <w:rFonts w:hint="eastAsia"/>
          <w:sz w:val="15"/>
          <w:lang w:eastAsia="zh-CN"/>
        </w:rPr>
      </w:pPr>
    </w:p>
    <w:p w14:paraId="03C4F6F2" w14:textId="77777777" w:rsidR="007E0D95" w:rsidRDefault="007E0D95">
      <w:pPr>
        <w:rPr>
          <w:rFonts w:hint="eastAsia"/>
          <w:sz w:val="15"/>
          <w:lang w:eastAsia="zh-CN"/>
        </w:rPr>
      </w:pPr>
    </w:p>
    <w:p w14:paraId="3642613B" w14:textId="77777777" w:rsidR="007E0D95" w:rsidRDefault="007E0D95">
      <w:pPr>
        <w:rPr>
          <w:rFonts w:hint="eastAsia"/>
          <w:sz w:val="15"/>
          <w:lang w:eastAsia="zh-CN"/>
        </w:rPr>
      </w:pPr>
    </w:p>
    <w:p w14:paraId="2B98DA91" w14:textId="77777777" w:rsidR="007E0D95" w:rsidRDefault="007E0D95">
      <w:pPr>
        <w:rPr>
          <w:rFonts w:hint="eastAsia"/>
          <w:sz w:val="15"/>
          <w:lang w:eastAsia="zh-CN"/>
        </w:rPr>
      </w:pPr>
    </w:p>
    <w:p w14:paraId="2205C71E" w14:textId="77777777" w:rsidR="007E0D95" w:rsidRDefault="007E0D95">
      <w:pPr>
        <w:rPr>
          <w:rFonts w:hint="eastAsia"/>
          <w:sz w:val="15"/>
          <w:lang w:eastAsia="zh-CN"/>
        </w:rPr>
      </w:pPr>
    </w:p>
    <w:p w14:paraId="52B48697" w14:textId="77777777" w:rsidR="007E0D95" w:rsidRDefault="007E0D95">
      <w:pPr>
        <w:rPr>
          <w:rFonts w:hint="eastAsia"/>
          <w:sz w:val="15"/>
          <w:lang w:eastAsia="zh-CN"/>
        </w:rPr>
      </w:pPr>
    </w:p>
    <w:p w14:paraId="729C2DA3" w14:textId="77777777" w:rsidR="007E0D95" w:rsidRDefault="007E0D95">
      <w:pPr>
        <w:rPr>
          <w:rFonts w:hint="eastAsia"/>
          <w:sz w:val="15"/>
          <w:lang w:eastAsia="zh-CN"/>
        </w:rPr>
      </w:pPr>
    </w:p>
    <w:p w14:paraId="6C8FBDCC" w14:textId="77777777" w:rsidR="007E0D95" w:rsidRDefault="007E0D95">
      <w:pPr>
        <w:rPr>
          <w:rFonts w:hint="eastAsia"/>
          <w:sz w:val="15"/>
          <w:lang w:eastAsia="zh-CN"/>
        </w:rPr>
      </w:pPr>
    </w:p>
    <w:p w14:paraId="6171376A" w14:textId="77777777" w:rsidR="007E0D95" w:rsidRDefault="007E0D95">
      <w:pPr>
        <w:rPr>
          <w:rFonts w:hint="eastAsia"/>
          <w:sz w:val="15"/>
          <w:lang w:eastAsia="zh-CN"/>
        </w:rPr>
      </w:pPr>
    </w:p>
    <w:p w14:paraId="4F67C489" w14:textId="77777777" w:rsidR="007E0D95" w:rsidRDefault="007E0D95">
      <w:pPr>
        <w:rPr>
          <w:rFonts w:hint="eastAsia"/>
          <w:sz w:val="15"/>
          <w:lang w:eastAsia="zh-CN"/>
        </w:rPr>
      </w:pPr>
    </w:p>
    <w:p w14:paraId="5AEB8C3E" w14:textId="77777777" w:rsidR="007E0D95" w:rsidRDefault="007E0D95">
      <w:pPr>
        <w:rPr>
          <w:rFonts w:hint="eastAsia"/>
          <w:sz w:val="15"/>
          <w:lang w:eastAsia="zh-CN"/>
        </w:rPr>
      </w:pPr>
    </w:p>
    <w:p w14:paraId="19700383" w14:textId="77777777" w:rsidR="007E0D95" w:rsidRDefault="007E0D95">
      <w:pPr>
        <w:rPr>
          <w:rFonts w:hint="eastAsia"/>
          <w:sz w:val="15"/>
          <w:lang w:eastAsia="zh-CN"/>
        </w:rPr>
      </w:pPr>
    </w:p>
    <w:p w14:paraId="79437C06" w14:textId="77777777" w:rsidR="007E0D95" w:rsidRDefault="007E0D95">
      <w:pPr>
        <w:rPr>
          <w:rFonts w:hint="eastAsia"/>
          <w:sz w:val="15"/>
          <w:lang w:eastAsia="zh-CN"/>
        </w:rPr>
      </w:pPr>
    </w:p>
    <w:p w14:paraId="2CF9DE4D" w14:textId="77777777" w:rsidR="007E0D95" w:rsidRDefault="007E0D95">
      <w:pPr>
        <w:rPr>
          <w:rFonts w:hint="eastAsia"/>
          <w:sz w:val="15"/>
          <w:lang w:eastAsia="zh-CN"/>
        </w:rPr>
      </w:pPr>
    </w:p>
    <w:p w14:paraId="08D20E03" w14:textId="77777777" w:rsidR="007E0D95" w:rsidRDefault="007E0D95">
      <w:pPr>
        <w:rPr>
          <w:rFonts w:hint="eastAsia"/>
          <w:sz w:val="15"/>
          <w:lang w:eastAsia="zh-CN"/>
        </w:rPr>
      </w:pPr>
    </w:p>
    <w:p w14:paraId="7D703AFD" w14:textId="77777777" w:rsidR="007E0D95" w:rsidRDefault="007E0D95">
      <w:pPr>
        <w:rPr>
          <w:rFonts w:hint="eastAsia"/>
          <w:sz w:val="15"/>
          <w:lang w:eastAsia="zh-CN"/>
        </w:rPr>
      </w:pPr>
    </w:p>
    <w:p w14:paraId="5593FB10" w14:textId="77777777" w:rsidR="007E0D95" w:rsidRDefault="007E0D95">
      <w:pPr>
        <w:rPr>
          <w:rFonts w:hint="eastAsia"/>
          <w:sz w:val="15"/>
          <w:lang w:eastAsia="zh-CN"/>
        </w:rPr>
      </w:pPr>
    </w:p>
    <w:p w14:paraId="29137818" w14:textId="77777777" w:rsidR="007E0D95" w:rsidRDefault="007E0D95">
      <w:pPr>
        <w:rPr>
          <w:rFonts w:hint="eastAsia"/>
          <w:sz w:val="15"/>
          <w:lang w:eastAsia="zh-CN"/>
        </w:rPr>
      </w:pPr>
    </w:p>
    <w:p w14:paraId="6AF2FE0B" w14:textId="77777777" w:rsidR="007E0D95" w:rsidRDefault="007E0D95">
      <w:pPr>
        <w:rPr>
          <w:rFonts w:hint="eastAsia"/>
          <w:sz w:val="15"/>
          <w:lang w:eastAsia="zh-CN"/>
        </w:rPr>
      </w:pPr>
    </w:p>
    <w:p w14:paraId="0708D739" w14:textId="77777777" w:rsidR="007E0D95" w:rsidRDefault="007E0D95">
      <w:pPr>
        <w:rPr>
          <w:rFonts w:hint="eastAsia"/>
          <w:sz w:val="15"/>
          <w:lang w:eastAsia="zh-CN"/>
        </w:rPr>
      </w:pPr>
    </w:p>
    <w:p w14:paraId="7935567B" w14:textId="77777777" w:rsidR="007E0D95" w:rsidRDefault="007E0D95">
      <w:pPr>
        <w:rPr>
          <w:rFonts w:hint="eastAsia"/>
          <w:sz w:val="15"/>
          <w:lang w:eastAsia="zh-CN"/>
        </w:rPr>
      </w:pPr>
    </w:p>
    <w:p w14:paraId="0E43B668" w14:textId="77777777" w:rsidR="007E0D95" w:rsidRDefault="007E0D95">
      <w:pPr>
        <w:rPr>
          <w:rFonts w:hint="eastAsia"/>
          <w:sz w:val="15"/>
          <w:lang w:eastAsia="zh-CN"/>
        </w:rPr>
      </w:pPr>
    </w:p>
    <w:p w14:paraId="56B961DC" w14:textId="77777777" w:rsidR="007E0D95" w:rsidRDefault="007E0D95">
      <w:pPr>
        <w:rPr>
          <w:rFonts w:hint="eastAsia"/>
          <w:sz w:val="15"/>
          <w:lang w:eastAsia="zh-CN"/>
        </w:rPr>
      </w:pPr>
    </w:p>
    <w:p w14:paraId="20EC29F6" w14:textId="77777777" w:rsidR="007E0D95" w:rsidRDefault="007E0D95">
      <w:pPr>
        <w:rPr>
          <w:rFonts w:hint="eastAsia"/>
          <w:sz w:val="15"/>
          <w:lang w:eastAsia="zh-CN"/>
        </w:rPr>
      </w:pPr>
    </w:p>
    <w:p w14:paraId="1F129192" w14:textId="77777777" w:rsidR="007E0D95" w:rsidRDefault="007E0D95">
      <w:pPr>
        <w:rPr>
          <w:rFonts w:hint="eastAsia"/>
          <w:sz w:val="15"/>
          <w:lang w:eastAsia="zh-CN"/>
        </w:rPr>
      </w:pPr>
    </w:p>
    <w:p w14:paraId="2667414B" w14:textId="77777777" w:rsidR="007E0D95" w:rsidRDefault="007E0D95">
      <w:pPr>
        <w:rPr>
          <w:rFonts w:hint="eastAsia"/>
          <w:sz w:val="15"/>
          <w:lang w:eastAsia="zh-CN"/>
        </w:rPr>
      </w:pPr>
    </w:p>
    <w:p w14:paraId="62409703" w14:textId="77777777" w:rsidR="007E0D95" w:rsidRDefault="007E0D95">
      <w:pPr>
        <w:rPr>
          <w:rFonts w:hint="eastAsia"/>
          <w:sz w:val="15"/>
          <w:lang w:eastAsia="zh-CN"/>
        </w:rPr>
      </w:pPr>
    </w:p>
    <w:p w14:paraId="62EE33D7" w14:textId="77777777" w:rsidR="007E0D95" w:rsidRDefault="007E0D95">
      <w:pPr>
        <w:rPr>
          <w:rFonts w:hint="eastAsia"/>
          <w:sz w:val="15"/>
          <w:lang w:eastAsia="zh-CN"/>
        </w:rPr>
      </w:pPr>
    </w:p>
    <w:p w14:paraId="6747B291" w14:textId="77777777" w:rsidR="007E0D95" w:rsidRDefault="007E0D95">
      <w:pPr>
        <w:rPr>
          <w:rFonts w:hint="eastAsia"/>
          <w:sz w:val="15"/>
          <w:lang w:eastAsia="zh-CN"/>
        </w:rPr>
      </w:pPr>
    </w:p>
    <w:p w14:paraId="449A615B" w14:textId="77777777" w:rsidR="007E0D95" w:rsidRDefault="007E0D95">
      <w:pPr>
        <w:rPr>
          <w:rFonts w:hint="eastAsia"/>
          <w:sz w:val="15"/>
          <w:lang w:eastAsia="zh-CN"/>
        </w:rPr>
      </w:pPr>
    </w:p>
    <w:p w14:paraId="7195C37C" w14:textId="77777777" w:rsidR="007E0D95" w:rsidRDefault="007E0D95">
      <w:pPr>
        <w:rPr>
          <w:rFonts w:hint="eastAsia"/>
          <w:sz w:val="15"/>
          <w:lang w:eastAsia="zh-CN"/>
        </w:rPr>
      </w:pPr>
    </w:p>
    <w:p w14:paraId="19796DAD" w14:textId="77777777" w:rsidR="007E0D95" w:rsidRDefault="007E0D95">
      <w:pPr>
        <w:rPr>
          <w:rFonts w:hint="eastAsia"/>
          <w:sz w:val="15"/>
          <w:lang w:eastAsia="zh-CN"/>
        </w:rPr>
      </w:pPr>
    </w:p>
    <w:p w14:paraId="6271429D" w14:textId="77777777" w:rsidR="007E0D95" w:rsidRDefault="007E0D95">
      <w:pPr>
        <w:rPr>
          <w:rFonts w:hint="eastAsia"/>
          <w:sz w:val="15"/>
          <w:lang w:eastAsia="zh-CN"/>
        </w:rPr>
      </w:pPr>
    </w:p>
    <w:p w14:paraId="2E1566CA" w14:textId="77777777" w:rsidR="007E0D95" w:rsidRDefault="007E0D95">
      <w:pPr>
        <w:rPr>
          <w:rFonts w:hint="eastAsia"/>
          <w:sz w:val="15"/>
          <w:lang w:eastAsia="zh-CN"/>
        </w:rPr>
      </w:pPr>
    </w:p>
    <w:p w14:paraId="0615207D" w14:textId="77777777" w:rsidR="007E0D95" w:rsidRDefault="007E0D95">
      <w:pPr>
        <w:rPr>
          <w:rFonts w:hint="eastAsia"/>
          <w:sz w:val="15"/>
          <w:lang w:eastAsia="zh-CN"/>
        </w:rPr>
      </w:pPr>
    </w:p>
    <w:p w14:paraId="738C0B5D" w14:textId="77777777" w:rsidR="007E0D95" w:rsidRDefault="007E0D95">
      <w:pPr>
        <w:rPr>
          <w:rFonts w:hint="eastAsia"/>
          <w:sz w:val="15"/>
          <w:lang w:eastAsia="zh-CN"/>
        </w:rPr>
      </w:pPr>
    </w:p>
    <w:p w14:paraId="5E9CD237" w14:textId="77777777" w:rsidR="007E0D95" w:rsidRDefault="007E0D95">
      <w:pPr>
        <w:rPr>
          <w:rFonts w:hint="eastAsia"/>
          <w:sz w:val="15"/>
          <w:lang w:eastAsia="zh-CN"/>
        </w:rPr>
      </w:pPr>
    </w:p>
    <w:p w14:paraId="41396351" w14:textId="77777777" w:rsidR="007E0D95" w:rsidRDefault="007E0D95">
      <w:pPr>
        <w:rPr>
          <w:rFonts w:hint="eastAsia"/>
          <w:sz w:val="15"/>
          <w:lang w:eastAsia="zh-CN"/>
        </w:rPr>
      </w:pPr>
    </w:p>
    <w:p w14:paraId="51A40460" w14:textId="77777777" w:rsidR="007E0D95" w:rsidRDefault="007E0D95">
      <w:pPr>
        <w:rPr>
          <w:rFonts w:hint="eastAsia"/>
          <w:sz w:val="15"/>
          <w:lang w:eastAsia="zh-CN"/>
        </w:rPr>
      </w:pPr>
    </w:p>
    <w:p w14:paraId="1C48AA93" w14:textId="77777777" w:rsidR="007E0D95" w:rsidRDefault="007E0D95">
      <w:pPr>
        <w:rPr>
          <w:rFonts w:hint="eastAsia"/>
          <w:sz w:val="15"/>
          <w:lang w:eastAsia="zh-CN"/>
        </w:rPr>
      </w:pPr>
    </w:p>
    <w:p w14:paraId="2AC478C2" w14:textId="77777777" w:rsidR="007E0D95" w:rsidRDefault="007E0D95">
      <w:pPr>
        <w:rPr>
          <w:rFonts w:hint="eastAsia"/>
          <w:sz w:val="15"/>
          <w:lang w:eastAsia="zh-CN"/>
        </w:rPr>
      </w:pPr>
    </w:p>
    <w:p w14:paraId="4E597C86" w14:textId="77777777" w:rsidR="007E0D95" w:rsidRDefault="007E0D95">
      <w:pPr>
        <w:rPr>
          <w:rFonts w:hint="eastAsia"/>
          <w:sz w:val="15"/>
          <w:lang w:eastAsia="zh-CN"/>
        </w:rPr>
      </w:pPr>
    </w:p>
    <w:p w14:paraId="5A0AF68C" w14:textId="77777777" w:rsidR="007E0D95" w:rsidRDefault="007E0D95">
      <w:pPr>
        <w:rPr>
          <w:rFonts w:hint="eastAsia"/>
          <w:sz w:val="15"/>
          <w:lang w:eastAsia="zh-CN"/>
        </w:rPr>
      </w:pPr>
    </w:p>
    <w:p w14:paraId="71A138D7" w14:textId="77777777" w:rsidR="007E0D95" w:rsidRDefault="007E0D95">
      <w:pPr>
        <w:rPr>
          <w:rFonts w:hint="eastAsia"/>
          <w:sz w:val="15"/>
          <w:lang w:eastAsia="zh-CN"/>
        </w:rPr>
      </w:pPr>
    </w:p>
    <w:p w14:paraId="510E8418" w14:textId="77777777" w:rsidR="007E0D95" w:rsidRDefault="007E0D95">
      <w:pPr>
        <w:rPr>
          <w:rFonts w:hint="eastAsia"/>
          <w:sz w:val="15"/>
          <w:lang w:eastAsia="zh-CN"/>
        </w:rPr>
      </w:pPr>
    </w:p>
    <w:p w14:paraId="34EE6D74" w14:textId="77777777" w:rsidR="007E0D95" w:rsidRDefault="007E0D95">
      <w:pPr>
        <w:rPr>
          <w:rFonts w:hint="eastAsia"/>
          <w:sz w:val="15"/>
          <w:lang w:eastAsia="zh-CN"/>
        </w:rPr>
      </w:pPr>
    </w:p>
    <w:p w14:paraId="39E9C1B9" w14:textId="77777777" w:rsidR="007E0D95" w:rsidRDefault="007E0D95">
      <w:pPr>
        <w:rPr>
          <w:rFonts w:hint="eastAsia"/>
          <w:sz w:val="15"/>
          <w:lang w:eastAsia="zh-CN"/>
        </w:rPr>
      </w:pPr>
    </w:p>
    <w:p w14:paraId="57B9B417" w14:textId="77777777" w:rsidR="007E0D95" w:rsidRDefault="007E0D95">
      <w:pPr>
        <w:rPr>
          <w:rFonts w:hint="eastAsia"/>
          <w:sz w:val="15"/>
          <w:lang w:eastAsia="zh-CN"/>
        </w:rPr>
      </w:pPr>
    </w:p>
    <w:p w14:paraId="0A3EC70D" w14:textId="77777777" w:rsidR="007E0D95" w:rsidRDefault="007E0D95">
      <w:pPr>
        <w:rPr>
          <w:rFonts w:hint="eastAsia"/>
          <w:sz w:val="15"/>
          <w:lang w:eastAsia="zh-CN"/>
        </w:rPr>
      </w:pPr>
    </w:p>
    <w:p w14:paraId="2566F865" w14:textId="77777777" w:rsidR="007E0D95" w:rsidRDefault="007E0D95">
      <w:pPr>
        <w:rPr>
          <w:rFonts w:hint="eastAsia"/>
          <w:sz w:val="15"/>
          <w:lang w:eastAsia="zh-CN"/>
        </w:rPr>
      </w:pPr>
    </w:p>
    <w:p w14:paraId="7A53F6C8" w14:textId="77777777" w:rsidR="007E0D95" w:rsidRDefault="007E0D95">
      <w:pPr>
        <w:rPr>
          <w:rFonts w:hint="eastAsia"/>
          <w:sz w:val="15"/>
          <w:lang w:eastAsia="zh-CN"/>
        </w:rPr>
      </w:pPr>
    </w:p>
    <w:p w14:paraId="022F4A6D" w14:textId="77777777" w:rsidR="007E0D95" w:rsidRDefault="007E0D95">
      <w:pPr>
        <w:rPr>
          <w:rFonts w:hint="eastAsia"/>
          <w:sz w:val="15"/>
          <w:lang w:eastAsia="zh-CN"/>
        </w:rPr>
      </w:pPr>
    </w:p>
    <w:p w14:paraId="6B46DD22" w14:textId="77777777" w:rsidR="007E0D95" w:rsidRDefault="007E0D95">
      <w:pPr>
        <w:rPr>
          <w:rFonts w:hint="eastAsia"/>
          <w:sz w:val="15"/>
          <w:lang w:eastAsia="zh-CN"/>
        </w:rPr>
      </w:pPr>
    </w:p>
    <w:p w14:paraId="189E61A2" w14:textId="77777777" w:rsidR="007E0D95" w:rsidRDefault="007E0D95">
      <w:pPr>
        <w:rPr>
          <w:rFonts w:hint="eastAsia"/>
          <w:sz w:val="15"/>
          <w:lang w:eastAsia="zh-CN"/>
        </w:rPr>
      </w:pPr>
    </w:p>
    <w:p w14:paraId="0F144D36" w14:textId="77777777" w:rsidR="007E0D95" w:rsidRDefault="007E0D95">
      <w:pPr>
        <w:rPr>
          <w:rFonts w:hint="eastAsia"/>
          <w:sz w:val="15"/>
          <w:lang w:eastAsia="zh-CN"/>
        </w:rPr>
      </w:pPr>
    </w:p>
    <w:p w14:paraId="18E2BD6D" w14:textId="77777777" w:rsidR="007E0D95" w:rsidRDefault="007E0D95">
      <w:pPr>
        <w:rPr>
          <w:rFonts w:hint="eastAsia"/>
          <w:sz w:val="15"/>
          <w:lang w:eastAsia="zh-CN"/>
        </w:rPr>
      </w:pPr>
    </w:p>
    <w:p w14:paraId="4D89C9E6" w14:textId="77777777" w:rsidR="007E0D95" w:rsidRDefault="007E0D95">
      <w:pPr>
        <w:rPr>
          <w:rFonts w:hint="eastAsia"/>
          <w:sz w:val="15"/>
          <w:lang w:eastAsia="zh-CN"/>
        </w:rPr>
      </w:pPr>
    </w:p>
    <w:p w14:paraId="3A136B73" w14:textId="77777777" w:rsidR="007E0D95" w:rsidRDefault="007E0D95">
      <w:pPr>
        <w:rPr>
          <w:rFonts w:hint="eastAsia"/>
          <w:sz w:val="15"/>
          <w:lang w:eastAsia="zh-CN"/>
        </w:rPr>
      </w:pPr>
    </w:p>
    <w:p w14:paraId="160DEE07" w14:textId="77777777" w:rsidR="007E0D95" w:rsidRDefault="007E0D95">
      <w:pPr>
        <w:rPr>
          <w:rFonts w:hint="eastAsia"/>
          <w:sz w:val="15"/>
          <w:lang w:eastAsia="zh-CN"/>
        </w:rPr>
      </w:pPr>
    </w:p>
    <w:p w14:paraId="2F712E74" w14:textId="77777777" w:rsidR="007E0D95" w:rsidRDefault="007E0D95">
      <w:pPr>
        <w:rPr>
          <w:rFonts w:hint="eastAsia"/>
          <w:sz w:val="15"/>
          <w:lang w:eastAsia="zh-CN"/>
        </w:rPr>
      </w:pPr>
    </w:p>
    <w:p w14:paraId="240FDC8D" w14:textId="77777777" w:rsidR="007E0D95" w:rsidRDefault="007E0D95">
      <w:pPr>
        <w:rPr>
          <w:rFonts w:hint="eastAsia"/>
          <w:sz w:val="15"/>
          <w:lang w:eastAsia="zh-CN"/>
        </w:rPr>
      </w:pPr>
    </w:p>
    <w:p w14:paraId="0F8CE0D9" w14:textId="77777777" w:rsidR="007E0D95" w:rsidRDefault="007E0D95">
      <w:pPr>
        <w:rPr>
          <w:rFonts w:hint="eastAsia"/>
          <w:sz w:val="15"/>
          <w:lang w:eastAsia="zh-CN"/>
        </w:rPr>
        <w:sectPr w:rsidR="007E0D95">
          <w:pgSz w:w="11910" w:h="16840"/>
          <w:pgMar w:top="1940" w:right="700" w:bottom="280" w:left="920" w:header="0" w:footer="0" w:gutter="0"/>
          <w:cols w:space="720"/>
        </w:sectPr>
      </w:pPr>
    </w:p>
    <w:p w14:paraId="2A9A8D38" w14:textId="77777777" w:rsidR="007E0D95" w:rsidRDefault="00000000">
      <w:pPr>
        <w:pStyle w:val="1"/>
        <w:tabs>
          <w:tab w:val="left" w:pos="959"/>
        </w:tabs>
        <w:ind w:right="80"/>
        <w:rPr>
          <w:rFonts w:ascii="黑体" w:eastAsia="黑体" w:hAnsi="黑体" w:hint="eastAsia"/>
          <w:lang w:eastAsia="zh-CN"/>
        </w:rPr>
      </w:pPr>
      <w:r>
        <w:rPr>
          <w:rFonts w:ascii="黑体" w:eastAsia="黑体" w:hAnsi="黑体"/>
          <w:spacing w:val="-10"/>
          <w:lang w:eastAsia="zh-CN"/>
        </w:rPr>
        <w:lastRenderedPageBreak/>
        <w:t>前</w:t>
      </w:r>
      <w:r>
        <w:rPr>
          <w:rFonts w:ascii="黑体" w:eastAsia="黑体" w:hAnsi="黑体"/>
          <w:lang w:eastAsia="zh-CN"/>
        </w:rPr>
        <w:tab/>
      </w:r>
      <w:r>
        <w:rPr>
          <w:rFonts w:ascii="黑体" w:eastAsia="黑体" w:hAnsi="黑体"/>
          <w:spacing w:val="-10"/>
          <w:lang w:eastAsia="zh-CN"/>
        </w:rPr>
        <w:t>言</w:t>
      </w:r>
    </w:p>
    <w:p w14:paraId="06287384" w14:textId="77777777" w:rsidR="007E0D95" w:rsidRDefault="007E0D95">
      <w:pPr>
        <w:pStyle w:val="a3"/>
        <w:spacing w:before="7"/>
        <w:rPr>
          <w:rFonts w:hint="eastAsia"/>
          <w:sz w:val="46"/>
          <w:lang w:eastAsia="zh-CN"/>
        </w:rPr>
      </w:pPr>
    </w:p>
    <w:p w14:paraId="58E43E15" w14:textId="77777777" w:rsidR="007E0D95" w:rsidRDefault="00000000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  <w:r>
        <w:rPr>
          <w:rFonts w:cs="Times New Roman" w:hint="eastAsia"/>
          <w:lang w:eastAsia="zh-CN"/>
        </w:rPr>
        <w:t>本文件按照 GB/T 1.1—2020《标准化工作导则 第1部分：标准化文件的结构和起草规则》的规定起草。</w:t>
      </w:r>
    </w:p>
    <w:p w14:paraId="472E8F22" w14:textId="77777777" w:rsidR="007E0D95" w:rsidRDefault="00000000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  <w:r>
        <w:rPr>
          <w:rFonts w:cs="Times New Roman" w:hint="eastAsia"/>
          <w:lang w:eastAsia="zh-CN"/>
        </w:rPr>
        <w:t>请注意本文件的某些内容可能涉及专利。本文件的发布机构不承担识别专利的责任。</w:t>
      </w:r>
    </w:p>
    <w:p w14:paraId="6035ED95" w14:textId="77777777" w:rsidR="007E0D95" w:rsidRDefault="00000000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  <w:r>
        <w:rPr>
          <w:rFonts w:cs="Times New Roman" w:hint="eastAsia"/>
          <w:lang w:eastAsia="zh-CN"/>
        </w:rPr>
        <w:t>本文件由安徽医科大学第一附属医院提出。</w:t>
      </w:r>
    </w:p>
    <w:p w14:paraId="0FE84BFE" w14:textId="77777777" w:rsidR="007E0D95" w:rsidRDefault="00000000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  <w:r>
        <w:rPr>
          <w:rFonts w:cs="Times New Roman" w:hint="eastAsia"/>
          <w:lang w:eastAsia="zh-CN"/>
        </w:rPr>
        <w:t>本文件由安徽省卫生健康委员会归口。</w:t>
      </w:r>
    </w:p>
    <w:p w14:paraId="5DB80119" w14:textId="77777777" w:rsidR="007E0D95" w:rsidRDefault="00000000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  <w:r>
        <w:rPr>
          <w:rFonts w:cs="Times New Roman" w:hint="eastAsia"/>
          <w:lang w:eastAsia="zh-CN"/>
        </w:rPr>
        <w:t>本文件起草单位：安徽医科大学第一附属医院、安徽省第二人民医院、合肥市第二人民医院、中国科学技术大学附属第一医院（安徽省立医院）、安徽中医药大学第一附属医院、安徽医科大学第二附属医院、安徽省儿童医院、合肥市第一人民医院。</w:t>
      </w:r>
    </w:p>
    <w:p w14:paraId="770F1444" w14:textId="77777777" w:rsidR="007E0D95" w:rsidRDefault="00000000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  <w:r>
        <w:rPr>
          <w:rFonts w:cs="Times New Roman" w:hint="eastAsia"/>
          <w:lang w:eastAsia="zh-CN"/>
        </w:rPr>
        <w:t>本文件主要起草人：葛朝亮、赵亚子、王鑫铭、方玲、许元宝、蒋磊、孟祥云、唐丽琴、史天陆、陈浩、王媛媛、蔡和平、秦侃。</w:t>
      </w:r>
    </w:p>
    <w:p w14:paraId="18895C08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689C64F6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52DA2B33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16B82AB5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324B19CD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0629A238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06410288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070ADA20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465EB260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39EDE1EB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7600D46D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18E2548F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3DD2A846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558E535B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5020A04D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0EB28670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71DC2FB5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271F155D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6E8345C2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3D180D6D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5EC7E271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3546ECB5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7CF3A58E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2A233591" w14:textId="77777777" w:rsidR="007E0D95" w:rsidRDefault="007E0D95">
      <w:pPr>
        <w:spacing w:line="300" w:lineRule="auto"/>
        <w:ind w:firstLineChars="200" w:firstLine="440"/>
        <w:jc w:val="right"/>
        <w:rPr>
          <w:rFonts w:cs="Times New Roman" w:hint="eastAsia"/>
          <w:lang w:eastAsia="zh-CN"/>
        </w:rPr>
      </w:pPr>
    </w:p>
    <w:p w14:paraId="23CAD49E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374B7C2D" w14:textId="77777777" w:rsidR="007E0D95" w:rsidRDefault="007E0D95">
      <w:pPr>
        <w:spacing w:line="300" w:lineRule="auto"/>
        <w:ind w:firstLineChars="200" w:firstLine="440"/>
        <w:jc w:val="right"/>
        <w:rPr>
          <w:rFonts w:cs="Times New Roman" w:hint="eastAsia"/>
          <w:lang w:eastAsia="zh-CN"/>
        </w:rPr>
      </w:pPr>
    </w:p>
    <w:p w14:paraId="65E7AED3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042AC4C0" w14:textId="77777777" w:rsidR="007E0D95" w:rsidRDefault="007E0D95">
      <w:pPr>
        <w:spacing w:line="300" w:lineRule="auto"/>
        <w:ind w:firstLineChars="200" w:firstLine="440"/>
        <w:rPr>
          <w:rFonts w:cs="Times New Roman" w:hint="eastAsia"/>
          <w:lang w:eastAsia="zh-CN"/>
        </w:rPr>
      </w:pPr>
    </w:p>
    <w:p w14:paraId="77CAA308" w14:textId="77777777" w:rsidR="007E0D95" w:rsidRDefault="007E0D95">
      <w:pPr>
        <w:rPr>
          <w:rFonts w:cs="Times New Roman" w:hint="eastAsia"/>
          <w:lang w:eastAsia="zh-CN"/>
        </w:rPr>
      </w:pPr>
    </w:p>
    <w:p w14:paraId="33DD6D55" w14:textId="77777777" w:rsidR="007E0D95" w:rsidRDefault="007E0D95">
      <w:pPr>
        <w:rPr>
          <w:rFonts w:cs="Times New Roman" w:hint="eastAsia"/>
          <w:lang w:eastAsia="zh-CN"/>
        </w:rPr>
      </w:pPr>
    </w:p>
    <w:p w14:paraId="50B8206F" w14:textId="77777777" w:rsidR="007E0D95" w:rsidRDefault="007E0D95">
      <w:pPr>
        <w:rPr>
          <w:rFonts w:cs="Times New Roman" w:hint="eastAsia"/>
          <w:lang w:eastAsia="zh-CN"/>
        </w:rPr>
      </w:pPr>
    </w:p>
    <w:p w14:paraId="42C111E6" w14:textId="77777777" w:rsidR="007E0D95" w:rsidRDefault="007E0D95">
      <w:pPr>
        <w:rPr>
          <w:rFonts w:cs="Times New Roman" w:hint="eastAsia"/>
          <w:lang w:eastAsia="zh-CN"/>
        </w:rPr>
      </w:pPr>
    </w:p>
    <w:p w14:paraId="03D87AA7" w14:textId="77777777" w:rsidR="007E0D95" w:rsidRDefault="007E0D95">
      <w:pPr>
        <w:rPr>
          <w:rFonts w:cs="Times New Roman" w:hint="eastAsia"/>
          <w:lang w:eastAsia="zh-CN"/>
        </w:rPr>
      </w:pPr>
    </w:p>
    <w:p w14:paraId="22E600D5" w14:textId="77777777" w:rsidR="007E0D95" w:rsidRDefault="007E0D95">
      <w:pPr>
        <w:ind w:firstLineChars="200" w:firstLine="440"/>
        <w:rPr>
          <w:rFonts w:cs="Times New Roman" w:hint="eastAsia"/>
          <w:lang w:eastAsia="zh-CN"/>
        </w:rPr>
      </w:pPr>
    </w:p>
    <w:p w14:paraId="6CBAACA4" w14:textId="77777777" w:rsidR="007E0D95" w:rsidRDefault="007E0D95">
      <w:pPr>
        <w:rPr>
          <w:rFonts w:cs="Times New Roman" w:hint="eastAsia"/>
          <w:lang w:eastAsia="zh-CN"/>
        </w:rPr>
      </w:pPr>
    </w:p>
    <w:p w14:paraId="507DF16F" w14:textId="77777777" w:rsidR="007E0D95" w:rsidRDefault="007E0D95">
      <w:pPr>
        <w:rPr>
          <w:rFonts w:cs="Times New Roman" w:hint="eastAsia"/>
          <w:lang w:eastAsia="zh-CN"/>
        </w:rPr>
        <w:sectPr w:rsidR="007E0D95">
          <w:headerReference w:type="default" r:id="rId16"/>
          <w:footerReference w:type="even" r:id="rId17"/>
          <w:footerReference w:type="default" r:id="rId18"/>
          <w:pgSz w:w="11910" w:h="16840"/>
          <w:pgMar w:top="2268" w:right="1134" w:bottom="1134" w:left="1418" w:header="1418" w:footer="1134" w:gutter="0"/>
          <w:cols w:space="720"/>
          <w:docGrid w:linePitch="299"/>
        </w:sectPr>
      </w:pPr>
    </w:p>
    <w:p w14:paraId="0AA411DC" w14:textId="77777777" w:rsidR="007E0D95" w:rsidRDefault="00000000">
      <w:pPr>
        <w:pStyle w:val="a3"/>
        <w:widowControl/>
        <w:adjustRightInd w:val="0"/>
        <w:snapToGrid w:val="0"/>
        <w:spacing w:before="101" w:line="300" w:lineRule="auto"/>
        <w:jc w:val="center"/>
        <w:textAlignment w:val="baseline"/>
        <w:outlineLvl w:val="0"/>
        <w:rPr>
          <w:rFonts w:ascii="黑体" w:eastAsia="黑体" w:hAnsi="黑体" w:cs="Times New Roman" w:hint="eastAsia"/>
          <w:snapToGrid w:val="0"/>
          <w:color w:val="000000"/>
          <w:spacing w:val="7"/>
          <w:sz w:val="32"/>
          <w:szCs w:val="32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7"/>
          <w:sz w:val="32"/>
          <w:szCs w:val="32"/>
          <w:lang w:eastAsia="zh-CN"/>
        </w:rPr>
        <w:lastRenderedPageBreak/>
        <w:t>医疗机构</w:t>
      </w:r>
      <w:r>
        <w:rPr>
          <w:rFonts w:ascii="黑体" w:eastAsia="黑体" w:hAnsi="黑体" w:cs="Times New Roman"/>
          <w:snapToGrid w:val="0"/>
          <w:color w:val="000000"/>
          <w:spacing w:val="7"/>
          <w:sz w:val="32"/>
          <w:szCs w:val="32"/>
          <w:lang w:eastAsia="zh-CN"/>
        </w:rPr>
        <w:t>用药交代规范</w:t>
      </w:r>
    </w:p>
    <w:p w14:paraId="534DD2ED" w14:textId="77777777" w:rsidR="007E0D95" w:rsidRDefault="007E0D95">
      <w:pPr>
        <w:widowControl/>
        <w:adjustRightInd w:val="0"/>
        <w:snapToGrid w:val="0"/>
        <w:spacing w:line="300" w:lineRule="auto"/>
        <w:jc w:val="center"/>
        <w:textAlignment w:val="baseline"/>
        <w:rPr>
          <w:rFonts w:ascii="黑体" w:eastAsia="黑体" w:hAnsi="黑体" w:cs="Times New Roman" w:hint="eastAsia"/>
          <w:snapToGrid w:val="0"/>
          <w:color w:val="000000"/>
          <w:sz w:val="10"/>
          <w:szCs w:val="10"/>
          <w:lang w:eastAsia="zh-CN"/>
        </w:rPr>
      </w:pPr>
    </w:p>
    <w:p w14:paraId="6BA1BC2A" w14:textId="77777777" w:rsidR="007E0D95" w:rsidRDefault="00000000">
      <w:pPr>
        <w:widowControl/>
        <w:adjustRightInd w:val="0"/>
        <w:snapToGrid w:val="0"/>
        <w:spacing w:beforeLines="100" w:before="240" w:afterLines="100" w:after="240" w:line="300" w:lineRule="auto"/>
        <w:jc w:val="both"/>
        <w:textAlignment w:val="baseline"/>
        <w:outlineLvl w:val="1"/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bookmarkStart w:id="5" w:name="_Toc1249043355"/>
      <w:r>
        <w:rPr>
          <w:rFonts w:ascii="黑体" w:eastAsia="黑体" w:hAnsi="黑体" w:cs="Times New Roman"/>
          <w:snapToGrid w:val="0"/>
          <w:color w:val="000000"/>
          <w:spacing w:val="-3"/>
          <w:sz w:val="21"/>
          <w:szCs w:val="21"/>
          <w:lang w:eastAsia="zh-CN"/>
        </w:rPr>
        <w:t>1 范围</w:t>
      </w:r>
      <w:bookmarkEnd w:id="5"/>
    </w:p>
    <w:p w14:paraId="36BC90F1" w14:textId="77777777" w:rsidR="007E0D95" w:rsidRDefault="00000000">
      <w:pPr>
        <w:widowControl/>
        <w:adjustRightInd w:val="0"/>
        <w:snapToGrid w:val="0"/>
        <w:spacing w:line="300" w:lineRule="auto"/>
        <w:ind w:firstLineChars="200" w:firstLine="414"/>
        <w:jc w:val="both"/>
        <w:textAlignment w:val="baseline"/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本文件规定了医疗机构用药交代服务的方式、基本要求、流程、内容、特殊人群及质量控制。</w:t>
      </w:r>
    </w:p>
    <w:p w14:paraId="7B1146C9" w14:textId="4954AB1D" w:rsidR="007E0D95" w:rsidRDefault="00000000">
      <w:pPr>
        <w:widowControl/>
        <w:adjustRightInd w:val="0"/>
        <w:snapToGrid w:val="0"/>
        <w:spacing w:line="300" w:lineRule="auto"/>
        <w:ind w:firstLineChars="200" w:firstLine="414"/>
        <w:jc w:val="both"/>
        <w:textAlignment w:val="baseline"/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本文件适用于各级各类医疗机构用药交代服务的提供和管理。</w:t>
      </w:r>
    </w:p>
    <w:p w14:paraId="60D59A08" w14:textId="77777777" w:rsidR="007E0D95" w:rsidRDefault="00000000">
      <w:pPr>
        <w:widowControl/>
        <w:adjustRightInd w:val="0"/>
        <w:snapToGrid w:val="0"/>
        <w:spacing w:beforeLines="100" w:before="240" w:afterLines="100" w:after="240" w:line="300" w:lineRule="auto"/>
        <w:jc w:val="both"/>
        <w:textAlignment w:val="baseline"/>
        <w:outlineLvl w:val="1"/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2</w:t>
      </w:r>
      <w:r>
        <w:rPr>
          <w:rFonts w:ascii="黑体" w:eastAsia="黑体" w:hAnsi="黑体" w:cs="Times New Roman"/>
          <w:snapToGrid w:val="0"/>
          <w:color w:val="000000"/>
          <w:spacing w:val="-3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规范性引用文件</w:t>
      </w:r>
    </w:p>
    <w:p w14:paraId="7D831F69" w14:textId="77777777" w:rsidR="007E0D95" w:rsidRDefault="00000000">
      <w:pPr>
        <w:widowControl/>
        <w:adjustRightInd w:val="0"/>
        <w:snapToGrid w:val="0"/>
        <w:spacing w:line="300" w:lineRule="auto"/>
        <w:ind w:firstLineChars="200" w:firstLine="420"/>
        <w:jc w:val="both"/>
        <w:textAlignment w:val="baseline"/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hint="eastAsia"/>
          <w:snapToGrid w:val="0"/>
          <w:color w:val="000000"/>
          <w:sz w:val="21"/>
          <w:szCs w:val="21"/>
          <w:lang w:eastAsia="zh-CN"/>
        </w:rPr>
        <w:t>本文件没有规范性引用文件。</w:t>
      </w:r>
    </w:p>
    <w:p w14:paraId="2A58FEAD" w14:textId="77777777" w:rsidR="007E0D95" w:rsidRDefault="00000000">
      <w:pPr>
        <w:widowControl/>
        <w:adjustRightInd w:val="0"/>
        <w:snapToGrid w:val="0"/>
        <w:spacing w:beforeLines="100" w:before="240" w:afterLines="100" w:after="240" w:line="300" w:lineRule="auto"/>
        <w:jc w:val="both"/>
        <w:textAlignment w:val="baseline"/>
        <w:outlineLvl w:val="1"/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bookmarkStart w:id="6" w:name="_Toc1737535982"/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3</w:t>
      </w:r>
      <w:r>
        <w:rPr>
          <w:rFonts w:ascii="黑体" w:eastAsia="黑体" w:hAnsi="黑体" w:cs="Times New Roman"/>
          <w:snapToGrid w:val="0"/>
          <w:color w:val="000000"/>
          <w:spacing w:val="-3"/>
          <w:sz w:val="21"/>
          <w:szCs w:val="21"/>
          <w:lang w:eastAsia="zh-CN"/>
        </w:rPr>
        <w:t xml:space="preserve"> 术语和定义</w:t>
      </w:r>
      <w:bookmarkEnd w:id="6"/>
    </w:p>
    <w:p w14:paraId="332EEC52" w14:textId="77777777" w:rsidR="007E0D95" w:rsidRDefault="00000000">
      <w:pPr>
        <w:widowControl/>
        <w:adjustRightInd w:val="0"/>
        <w:snapToGrid w:val="0"/>
        <w:spacing w:line="300" w:lineRule="auto"/>
        <w:ind w:left="425"/>
        <w:jc w:val="both"/>
        <w:textAlignment w:val="baseline"/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 w:bidi="ar"/>
        </w:rPr>
      </w:pPr>
      <w:r>
        <w:rPr>
          <w:rFonts w:cs="Times New Roman"/>
          <w:snapToGrid w:val="0"/>
          <w:color w:val="000000"/>
          <w:spacing w:val="-6"/>
          <w:sz w:val="21"/>
          <w:szCs w:val="21"/>
          <w:lang w:eastAsia="zh-CN" w:bidi="ar"/>
        </w:rPr>
        <w:t>下列术语和定义适用于本文件。</w:t>
      </w:r>
    </w:p>
    <w:p w14:paraId="78657CBA" w14:textId="77777777" w:rsidR="00DD326E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</w:pPr>
      <w:bookmarkStart w:id="7" w:name="_Toc742384779"/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3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 xml:space="preserve">.1 </w:t>
      </w:r>
    </w:p>
    <w:p w14:paraId="2A2CC57B" w14:textId="54A27B6A" w:rsidR="007E0D95" w:rsidRDefault="00000000" w:rsidP="00DD326E">
      <w:pPr>
        <w:widowControl/>
        <w:adjustRightInd w:val="0"/>
        <w:snapToGrid w:val="0"/>
        <w:spacing w:beforeLines="50" w:before="120" w:afterLines="50" w:after="120" w:line="300" w:lineRule="auto"/>
        <w:ind w:firstLineChars="200" w:firstLine="416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 xml:space="preserve">药学服务 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 xml:space="preserve">pharmaceutical care </w:t>
      </w:r>
    </w:p>
    <w:p w14:paraId="12A0C24C" w14:textId="77777777" w:rsidR="007E0D95" w:rsidRDefault="00000000">
      <w:pPr>
        <w:widowControl/>
        <w:adjustRightInd w:val="0"/>
        <w:snapToGrid w:val="0"/>
        <w:spacing w:line="300" w:lineRule="auto"/>
        <w:ind w:firstLineChars="200" w:firstLine="408"/>
        <w:jc w:val="both"/>
        <w:textAlignment w:val="baseline"/>
        <w:rPr>
          <w:rFonts w:cs="Times New Roman" w:hint="eastAsia"/>
          <w:snapToGrid w:val="0"/>
          <w:color w:val="000000"/>
          <w:spacing w:val="-6"/>
          <w:sz w:val="28"/>
          <w:szCs w:val="28"/>
          <w:lang w:eastAsia="zh-CN"/>
        </w:rPr>
      </w:pPr>
      <w:r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  <w:t>药师所提供的以提高患者生活质量为目的, 以合理药物治疗为中心的相关服务。是在整个药物治疗过程中, 围绕提高生活质量这一既定目标, 直接为公众提供的负责任的，与药物相关的服务。</w:t>
      </w:r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 xml:space="preserve"> </w:t>
      </w:r>
      <w:bookmarkEnd w:id="7"/>
    </w:p>
    <w:p w14:paraId="01ED818A" w14:textId="77777777" w:rsidR="00DD326E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</w:pPr>
      <w:bookmarkStart w:id="8" w:name="_Toc643686428"/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3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 xml:space="preserve">.2 </w:t>
      </w:r>
    </w:p>
    <w:p w14:paraId="3C4AA371" w14:textId="686EE900" w:rsidR="007E0D95" w:rsidRDefault="00000000" w:rsidP="00DD326E">
      <w:pPr>
        <w:widowControl/>
        <w:adjustRightInd w:val="0"/>
        <w:snapToGrid w:val="0"/>
        <w:spacing w:beforeLines="50" w:before="120" w:afterLines="50" w:after="120" w:line="300" w:lineRule="auto"/>
        <w:ind w:firstLineChars="200" w:firstLine="416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 xml:space="preserve">用药交代 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medication guidance</w:t>
      </w:r>
    </w:p>
    <w:p w14:paraId="166D0AFB" w14:textId="77777777" w:rsidR="007E0D95" w:rsidRDefault="00000000">
      <w:pPr>
        <w:widowControl/>
        <w:adjustRightInd w:val="0"/>
        <w:snapToGrid w:val="0"/>
        <w:spacing w:line="300" w:lineRule="auto"/>
        <w:ind w:left="17" w:firstLine="403"/>
        <w:jc w:val="both"/>
        <w:textAlignment w:val="baseline"/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</w:pPr>
      <w:bookmarkStart w:id="9" w:name="OLE_LINK140"/>
      <w:r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  <w:t>具有药师及以上专业技术职务任职资格人员</w:t>
      </w:r>
      <w:bookmarkEnd w:id="9"/>
      <w:r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  <w:t>在对医疗机构内患者审核发药过程中</w:t>
      </w:r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，采用语言、文字（含图</w:t>
      </w:r>
      <w:r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  <w:t>表等</w:t>
      </w:r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）及多媒体的形式，将药品的用法、用量、使用禁忌及注意事项</w:t>
      </w:r>
      <w:r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  <w:t>等信息</w:t>
      </w:r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准确、详细告知患者或其照护者，指导患者正确</w:t>
      </w:r>
      <w:bookmarkStart w:id="10" w:name="OLE_LINK1"/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使用药品</w:t>
      </w:r>
      <w:bookmarkEnd w:id="10"/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。</w:t>
      </w:r>
    </w:p>
    <w:p w14:paraId="0741C2C1" w14:textId="77777777" w:rsidR="00DD326E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</w:pPr>
      <w:bookmarkStart w:id="11" w:name="_Toc855377552"/>
      <w:bookmarkEnd w:id="8"/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3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 xml:space="preserve">.3 </w:t>
      </w:r>
    </w:p>
    <w:p w14:paraId="704B0C5B" w14:textId="0F8F4B20" w:rsidR="007E0D95" w:rsidRDefault="00000000" w:rsidP="00DD326E">
      <w:pPr>
        <w:widowControl/>
        <w:adjustRightInd w:val="0"/>
        <w:snapToGrid w:val="0"/>
        <w:spacing w:beforeLines="50" w:before="120" w:afterLines="50" w:after="120" w:line="300" w:lineRule="auto"/>
        <w:ind w:firstLineChars="200" w:firstLine="416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>用药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交代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 xml:space="preserve">指导单 medication 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guidance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sheet</w:t>
      </w:r>
    </w:p>
    <w:p w14:paraId="0A2602B6" w14:textId="1789AB32" w:rsidR="007E0D95" w:rsidRDefault="00000000">
      <w:pPr>
        <w:widowControl/>
        <w:adjustRightInd w:val="0"/>
        <w:snapToGrid w:val="0"/>
        <w:spacing w:before="68" w:line="300" w:lineRule="auto"/>
        <w:ind w:left="4" w:right="72" w:firstLine="417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药师在用药交代时，依据处方</w:t>
      </w:r>
      <w:r w:rsidR="004C09E5"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  <w:t>，</w:t>
      </w:r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用通俗易懂的文字（含图</w:t>
      </w:r>
      <w:r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  <w:t>表等</w:t>
      </w:r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）</w:t>
      </w:r>
      <w:r>
        <w:rPr>
          <w:rFonts w:cs="Times New Roman"/>
          <w:snapToGrid w:val="0"/>
          <w:color w:val="000000"/>
          <w:spacing w:val="-59"/>
          <w:sz w:val="21"/>
          <w:szCs w:val="21"/>
          <w:lang w:eastAsia="zh-CN"/>
        </w:rPr>
        <w:t xml:space="preserve"> </w:t>
      </w:r>
      <w:r>
        <w:rPr>
          <w:rFonts w:cs="Times New Roman"/>
          <w:snapToGrid w:val="0"/>
          <w:color w:val="000000"/>
          <w:spacing w:val="-7"/>
          <w:sz w:val="21"/>
          <w:szCs w:val="21"/>
          <w:lang w:eastAsia="zh-CN"/>
        </w:rPr>
        <w:t>告知患者或其照护者如何正</w:t>
      </w:r>
      <w:r>
        <w:rPr>
          <w:rFonts w:cs="Times New Roman"/>
          <w:snapToGrid w:val="0"/>
          <w:color w:val="000000"/>
          <w:spacing w:val="-2"/>
          <w:sz w:val="21"/>
          <w:szCs w:val="21"/>
          <w:lang w:eastAsia="zh-CN"/>
        </w:rPr>
        <w:t>确使用药品，包含药品的用法、用量及其注意事项等信息的用药指导文书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。</w:t>
      </w:r>
    </w:p>
    <w:bookmarkEnd w:id="11"/>
    <w:p w14:paraId="468D6320" w14:textId="77777777" w:rsidR="007E0D95" w:rsidRDefault="00000000">
      <w:pPr>
        <w:widowControl/>
        <w:adjustRightInd w:val="0"/>
        <w:snapToGrid w:val="0"/>
        <w:spacing w:beforeLines="100" w:before="240" w:afterLines="100" w:after="240" w:line="300" w:lineRule="auto"/>
        <w:jc w:val="both"/>
        <w:textAlignment w:val="baseline"/>
        <w:outlineLvl w:val="1"/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4</w:t>
      </w:r>
      <w:r>
        <w:rPr>
          <w:rFonts w:ascii="黑体" w:eastAsia="黑体" w:hAnsi="黑体" w:cs="Times New Roman"/>
          <w:snapToGrid w:val="0"/>
          <w:color w:val="000000"/>
          <w:spacing w:val="-3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用药交代方式</w:t>
      </w:r>
    </w:p>
    <w:p w14:paraId="358C36F8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4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>.1 口头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用药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>交代</w:t>
      </w:r>
    </w:p>
    <w:p w14:paraId="5F2599B0" w14:textId="77777777" w:rsidR="007E0D95" w:rsidRDefault="00000000">
      <w:pPr>
        <w:widowControl/>
        <w:adjustRightInd w:val="0"/>
        <w:snapToGrid w:val="0"/>
        <w:spacing w:line="300" w:lineRule="auto"/>
        <w:ind w:firstLineChars="200" w:firstLine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根据处方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、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药品说明书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及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其他循证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证据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，以口述形式对患者所用药品的用法、用量、禁忌、注意事项及储存要求等进行交代。</w:t>
      </w:r>
    </w:p>
    <w:p w14:paraId="4085EDB9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4.2 文字用药交代</w:t>
      </w:r>
    </w:p>
    <w:p w14:paraId="6CFDA48D" w14:textId="77777777" w:rsidR="007E0D95" w:rsidRDefault="00000000">
      <w:pPr>
        <w:widowControl/>
        <w:adjustRightInd w:val="0"/>
        <w:snapToGrid w:val="0"/>
        <w:spacing w:line="300" w:lineRule="auto"/>
        <w:ind w:firstLineChars="200" w:firstLine="416"/>
        <w:jc w:val="both"/>
        <w:textAlignment w:val="baseline"/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pacing w:val="-2"/>
          <w:sz w:val="21"/>
          <w:szCs w:val="21"/>
          <w:lang w:eastAsia="zh-CN"/>
        </w:rPr>
        <w:lastRenderedPageBreak/>
        <w:t>根据处方</w:t>
      </w:r>
      <w:r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  <w:t>、</w:t>
      </w:r>
      <w:r>
        <w:rPr>
          <w:rFonts w:cs="Times New Roman"/>
          <w:snapToGrid w:val="0"/>
          <w:color w:val="000000"/>
          <w:spacing w:val="-2"/>
          <w:sz w:val="21"/>
          <w:szCs w:val="21"/>
          <w:lang w:eastAsia="zh-CN"/>
        </w:rPr>
        <w:t>药品说明书</w:t>
      </w:r>
      <w:r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  <w:t>及</w:t>
      </w:r>
      <w:r>
        <w:rPr>
          <w:rFonts w:cs="Times New Roman"/>
          <w:snapToGrid w:val="0"/>
          <w:color w:val="000000"/>
          <w:spacing w:val="-2"/>
          <w:sz w:val="21"/>
          <w:szCs w:val="21"/>
          <w:lang w:eastAsia="zh-CN"/>
        </w:rPr>
        <w:t>其他循证</w:t>
      </w:r>
      <w:r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  <w:t>证据</w:t>
      </w:r>
      <w:r>
        <w:rPr>
          <w:rFonts w:cs="Times New Roman"/>
          <w:snapToGrid w:val="0"/>
          <w:color w:val="000000"/>
          <w:spacing w:val="-2"/>
          <w:sz w:val="21"/>
          <w:szCs w:val="21"/>
          <w:lang w:eastAsia="zh-CN"/>
        </w:rPr>
        <w:t>，通过给患者或其照护者发</w:t>
      </w:r>
      <w:r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  <w:t>放</w:t>
      </w:r>
      <w:r>
        <w:rPr>
          <w:rFonts w:cs="Times New Roman"/>
          <w:snapToGrid w:val="0"/>
          <w:color w:val="000000"/>
          <w:spacing w:val="-2"/>
          <w:sz w:val="21"/>
          <w:szCs w:val="21"/>
          <w:lang w:eastAsia="zh-CN"/>
        </w:rPr>
        <w:t>纸质</w:t>
      </w:r>
      <w:r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  <w:t>或电子</w:t>
      </w:r>
      <w:r>
        <w:rPr>
          <w:rFonts w:cs="Times New Roman"/>
          <w:snapToGrid w:val="0"/>
          <w:color w:val="000000"/>
          <w:spacing w:val="-2"/>
          <w:sz w:val="21"/>
          <w:szCs w:val="21"/>
          <w:lang w:eastAsia="zh-CN"/>
        </w:rPr>
        <w:t>用药</w:t>
      </w:r>
      <w:r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  <w:t>交代</w:t>
      </w:r>
      <w:r>
        <w:rPr>
          <w:rFonts w:cs="Times New Roman"/>
          <w:snapToGrid w:val="0"/>
          <w:color w:val="000000"/>
          <w:spacing w:val="-2"/>
          <w:sz w:val="21"/>
          <w:szCs w:val="21"/>
          <w:lang w:eastAsia="zh-CN"/>
        </w:rPr>
        <w:t>指导单，对患者所用药品的用法、用量、禁忌、注意事项及储存要求等进行交</w:t>
      </w:r>
      <w:r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  <w:t>代</w:t>
      </w:r>
      <w:r>
        <w:rPr>
          <w:rFonts w:cs="Times New Roman"/>
          <w:snapToGrid w:val="0"/>
          <w:color w:val="000000"/>
          <w:spacing w:val="-2"/>
          <w:sz w:val="21"/>
          <w:szCs w:val="21"/>
          <w:lang w:eastAsia="zh-CN"/>
        </w:rPr>
        <w:t>。</w:t>
      </w:r>
    </w:p>
    <w:p w14:paraId="599EA6F6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4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>.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3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 xml:space="preserve"> 多媒体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用药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>交代</w:t>
      </w:r>
    </w:p>
    <w:p w14:paraId="36782161" w14:textId="77777777" w:rsidR="007E0D95" w:rsidRDefault="00000000">
      <w:pPr>
        <w:widowControl/>
        <w:adjustRightInd w:val="0"/>
        <w:snapToGrid w:val="0"/>
        <w:spacing w:line="300" w:lineRule="auto"/>
        <w:ind w:firstLineChars="200" w:firstLine="416"/>
        <w:jc w:val="both"/>
        <w:textAlignment w:val="baseline"/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pacing w:val="-2"/>
          <w:sz w:val="21"/>
          <w:szCs w:val="21"/>
          <w:lang w:eastAsia="zh-CN"/>
        </w:rPr>
        <w:t>利用现代多媒体技术手段，通过视频、音频、动画等形式进行用药交代。</w:t>
      </w:r>
    </w:p>
    <w:p w14:paraId="39A5634D" w14:textId="77777777" w:rsidR="007E0D95" w:rsidRDefault="00000000">
      <w:pPr>
        <w:widowControl/>
        <w:adjustRightInd w:val="0"/>
        <w:snapToGrid w:val="0"/>
        <w:spacing w:line="300" w:lineRule="auto"/>
        <w:ind w:firstLineChars="200" w:firstLine="416"/>
        <w:jc w:val="both"/>
        <w:textAlignment w:val="baseline"/>
        <w:rPr>
          <w:rFonts w:cs="Times New Roman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  <w:t>适用于特殊用药装置（如鼻喷剂、胰岛素泵、吸入装置等）、特殊给药途径（如皮下注射、纳肛等）、特殊人群用药（老人、儿童、孕妇、特殊职业者）等情况。</w:t>
      </w:r>
    </w:p>
    <w:p w14:paraId="34E065C9" w14:textId="44FC910A" w:rsidR="00DD326E" w:rsidRDefault="00DD326E" w:rsidP="00DD326E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 xml:space="preserve">4.4 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信息化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>用药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交代</w:t>
      </w:r>
    </w:p>
    <w:p w14:paraId="1FAD9A0D" w14:textId="0EBF71B7" w:rsidR="00DD326E" w:rsidRDefault="00DD326E" w:rsidP="00DD326E">
      <w:pPr>
        <w:widowControl/>
        <w:adjustRightInd w:val="0"/>
        <w:snapToGrid w:val="0"/>
        <w:spacing w:before="68" w:line="300" w:lineRule="auto"/>
        <w:ind w:left="4" w:right="72" w:firstLine="417"/>
        <w:jc w:val="both"/>
        <w:textAlignment w:val="baseline"/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  <w:t>药师</w:t>
      </w:r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在用药交代服务中，</w:t>
      </w:r>
      <w:r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  <w:t>利用智能信息技术</w:t>
      </w:r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，以文字、图像、</w:t>
      </w:r>
      <w:r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  <w:t>音</w:t>
      </w:r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视频等多</w:t>
      </w:r>
      <w:r w:rsidR="00765E66"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  <w:t>种</w:t>
      </w:r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形式，向患者或其照护者清晰传达药品的用法、用量</w:t>
      </w:r>
      <w:r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  <w:t>及其</w:t>
      </w:r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注意事项等信息，</w:t>
      </w:r>
      <w:r>
        <w:rPr>
          <w:rFonts w:cs="Times New Roman" w:hint="eastAsia"/>
          <w:snapToGrid w:val="0"/>
          <w:color w:val="000000"/>
          <w:spacing w:val="-6"/>
          <w:sz w:val="21"/>
          <w:szCs w:val="21"/>
          <w:lang w:eastAsia="zh-CN"/>
        </w:rPr>
        <w:t>指导患者</w:t>
      </w:r>
      <w:r>
        <w:rPr>
          <w:rFonts w:cs="Times New Roman"/>
          <w:snapToGrid w:val="0"/>
          <w:color w:val="000000"/>
          <w:spacing w:val="-6"/>
          <w:sz w:val="21"/>
          <w:szCs w:val="21"/>
          <w:lang w:eastAsia="zh-CN"/>
        </w:rPr>
        <w:t>正确用药。</w:t>
      </w:r>
    </w:p>
    <w:p w14:paraId="4A40D962" w14:textId="77777777" w:rsidR="00DD326E" w:rsidRPr="00DD326E" w:rsidRDefault="00DD326E">
      <w:pPr>
        <w:widowControl/>
        <w:adjustRightInd w:val="0"/>
        <w:snapToGrid w:val="0"/>
        <w:spacing w:line="300" w:lineRule="auto"/>
        <w:ind w:firstLineChars="200" w:firstLine="416"/>
        <w:jc w:val="both"/>
        <w:textAlignment w:val="baseline"/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</w:p>
    <w:p w14:paraId="18DF4B61" w14:textId="77777777" w:rsidR="007E0D95" w:rsidRDefault="00000000">
      <w:pPr>
        <w:widowControl/>
        <w:adjustRightInd w:val="0"/>
        <w:snapToGrid w:val="0"/>
        <w:spacing w:beforeLines="100" w:before="240" w:afterLines="100" w:after="240" w:line="300" w:lineRule="auto"/>
        <w:jc w:val="both"/>
        <w:textAlignment w:val="baseline"/>
        <w:outlineLvl w:val="1"/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5 基本要求</w:t>
      </w:r>
    </w:p>
    <w:p w14:paraId="495B89E0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5.1 人员</w:t>
      </w:r>
    </w:p>
    <w:p w14:paraId="57C534B5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ind w:firstLineChars="200" w:firstLine="414"/>
        <w:jc w:val="both"/>
        <w:textAlignment w:val="baseline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从事用药交代工作人员应具有药师及以上专业技术职务任职资格。</w:t>
      </w:r>
    </w:p>
    <w:p w14:paraId="4383F7E5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5.2 环境与设施设备</w:t>
      </w:r>
    </w:p>
    <w:p w14:paraId="38C9D47F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3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5</w:t>
      </w:r>
      <w:r>
        <w:rPr>
          <w:rFonts w:ascii="黑体" w:eastAsia="黑体" w:hAnsi="黑体" w:cs="Times New Roman"/>
          <w:snapToGrid w:val="0"/>
          <w:color w:val="000000"/>
          <w:spacing w:val="-3"/>
          <w:sz w:val="21"/>
          <w:szCs w:val="21"/>
          <w:lang w:eastAsia="zh-CN"/>
        </w:rPr>
        <w:t>.</w:t>
      </w:r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2</w:t>
      </w:r>
      <w:r>
        <w:rPr>
          <w:rFonts w:ascii="黑体" w:eastAsia="黑体" w:hAnsi="黑体" w:cs="Times New Roman"/>
          <w:snapToGrid w:val="0"/>
          <w:color w:val="000000"/>
          <w:spacing w:val="-3"/>
          <w:sz w:val="21"/>
          <w:szCs w:val="21"/>
          <w:lang w:eastAsia="zh-CN"/>
        </w:rPr>
        <w:t xml:space="preserve">.1 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开展</w:t>
      </w: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t>用药交代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的场所环境应舒适、安全，符合相关要求</w:t>
      </w: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t>。</w:t>
      </w:r>
    </w:p>
    <w:p w14:paraId="31E9F0D7" w14:textId="77777777" w:rsidR="007E0D95" w:rsidRDefault="00000000">
      <w:pPr>
        <w:widowControl/>
        <w:adjustRightInd w:val="0"/>
        <w:snapToGrid w:val="0"/>
        <w:spacing w:line="300" w:lineRule="auto"/>
        <w:jc w:val="both"/>
        <w:textAlignment w:val="baseline"/>
        <w:outlineLvl w:val="3"/>
        <w:rPr>
          <w:rFonts w:ascii="Arial" w:eastAsia="Arial" w:hAnsi="Arial" w:cs="Times New Roman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 xml:space="preserve">5.2.2 </w:t>
      </w:r>
      <w:r>
        <w:rPr>
          <w:rFonts w:cs="Times New Roman"/>
          <w:snapToGrid w:val="0"/>
          <w:color w:val="000000"/>
          <w:spacing w:val="-4"/>
          <w:sz w:val="21"/>
          <w:szCs w:val="21"/>
          <w:lang w:eastAsia="zh-CN"/>
        </w:rPr>
        <w:t>用药交代</w:t>
      </w:r>
      <w:r>
        <w:rPr>
          <w:rFonts w:cs="Times New Roman" w:hint="eastAsia"/>
          <w:snapToGrid w:val="0"/>
          <w:color w:val="000000"/>
          <w:spacing w:val="-4"/>
          <w:sz w:val="21"/>
          <w:szCs w:val="21"/>
          <w:lang w:eastAsia="zh-CN"/>
        </w:rPr>
        <w:t>配备的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设施与材料宜包括但不限于：药品说明书、特殊剂型药品或装置的演示模型、用药</w:t>
      </w: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t>交代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指导单、药品或疾病</w:t>
      </w: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t>宣教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手册、可视听辅助设备、可供检索权威数据库的电子设备</w:t>
      </w: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t>、用药交代信息系统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等</w:t>
      </w:r>
      <w:r>
        <w:rPr>
          <w:rFonts w:cs="Times New Roman" w:hint="eastAsia"/>
          <w:snapToGrid w:val="0"/>
          <w:color w:val="000000"/>
          <w:spacing w:val="-4"/>
          <w:sz w:val="21"/>
          <w:szCs w:val="21"/>
          <w:lang w:eastAsia="zh-CN"/>
        </w:rPr>
        <w:t>。</w:t>
      </w:r>
    </w:p>
    <w:p w14:paraId="76C946BD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5.3 管理制度</w:t>
      </w:r>
    </w:p>
    <w:p w14:paraId="22ABAA50" w14:textId="2340C2C1" w:rsidR="007E0D95" w:rsidRDefault="00000000">
      <w:pPr>
        <w:widowControl/>
        <w:adjustRightInd w:val="0"/>
        <w:snapToGrid w:val="0"/>
        <w:spacing w:line="300" w:lineRule="auto"/>
        <w:ind w:firstLineChars="200" w:firstLine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t>用药交代管理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制度包括但不限于从事</w:t>
      </w: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t>用药交代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工作药师的资质要求、职责权利规定，</w:t>
      </w: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t>用药交代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流程，质量控制与评价要求，人员培训与考核管理办法，资料记录与保存管理规定，患者个人隐私保护管理办法。</w:t>
      </w:r>
    </w:p>
    <w:p w14:paraId="2EB17709" w14:textId="77777777" w:rsidR="007E0D95" w:rsidRDefault="00000000">
      <w:pPr>
        <w:widowControl/>
        <w:adjustRightInd w:val="0"/>
        <w:snapToGrid w:val="0"/>
        <w:spacing w:beforeLines="100" w:before="240" w:afterLines="100" w:after="240" w:line="300" w:lineRule="auto"/>
        <w:jc w:val="both"/>
        <w:textAlignment w:val="baseline"/>
        <w:outlineLvl w:val="1"/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6</w:t>
      </w:r>
      <w:r>
        <w:rPr>
          <w:rFonts w:ascii="黑体" w:eastAsia="黑体" w:hAnsi="黑体" w:cs="Times New Roman"/>
          <w:snapToGrid w:val="0"/>
          <w:color w:val="000000"/>
          <w:spacing w:val="-3"/>
          <w:sz w:val="21"/>
          <w:szCs w:val="21"/>
          <w:lang w:eastAsia="zh-CN"/>
        </w:rPr>
        <w:t xml:space="preserve"> 用药交代流程</w:t>
      </w:r>
    </w:p>
    <w:p w14:paraId="6930620B" w14:textId="77777777" w:rsidR="007E0D95" w:rsidRDefault="00000000">
      <w:pPr>
        <w:widowControl/>
        <w:adjustRightInd w:val="0"/>
        <w:snapToGrid w:val="0"/>
        <w:spacing w:beforeLines="100" w:before="240" w:afterLines="100" w:after="240" w:line="300" w:lineRule="auto"/>
        <w:ind w:firstLineChars="200" w:firstLine="416"/>
        <w:jc w:val="both"/>
        <w:textAlignment w:val="baseline"/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  <w:t>医疗机构用药交代流程见图1。</w:t>
      </w:r>
    </w:p>
    <w:p w14:paraId="002E2EAB" w14:textId="77777777" w:rsidR="007E0D95" w:rsidRDefault="00000000">
      <w:pPr>
        <w:widowControl/>
        <w:adjustRightInd w:val="0"/>
        <w:snapToGrid w:val="0"/>
        <w:spacing w:before="63" w:line="300" w:lineRule="auto"/>
        <w:ind w:left="8" w:right="84" w:hanging="8"/>
        <w:jc w:val="center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noProof/>
          <w:snapToGrid w:val="0"/>
          <w:color w:val="000000"/>
          <w:sz w:val="21"/>
          <w:szCs w:val="21"/>
          <w:lang w:eastAsia="zh-CN"/>
        </w:rPr>
        <w:lastRenderedPageBreak/>
        <w:drawing>
          <wp:inline distT="0" distB="0" distL="0" distR="0" wp14:anchorId="1ADA8BCB" wp14:editId="4D31B4A0">
            <wp:extent cx="4069080" cy="3207385"/>
            <wp:effectExtent l="0" t="0" r="7620" b="0"/>
            <wp:docPr id="2003144787" name="图片 75" descr="5b03be22744132b9c9fb9ec45502d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144787" name="图片 75" descr="5b03be22744132b9c9fb9ec45502d1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0324" cy="3216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6C11477" w14:textId="77777777" w:rsidR="007E0D95" w:rsidRDefault="00000000">
      <w:pPr>
        <w:widowControl/>
        <w:adjustRightInd w:val="0"/>
        <w:snapToGrid w:val="0"/>
        <w:spacing w:before="63" w:line="300" w:lineRule="auto"/>
        <w:ind w:right="84"/>
        <w:jc w:val="center"/>
        <w:textAlignment w:val="baseline"/>
        <w:rPr>
          <w:rFonts w:ascii="黑体" w:eastAsia="黑体" w:hAnsi="黑体"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ascii="黑体" w:eastAsia="黑体" w:hAnsi="黑体" w:cs="Times New Roman"/>
          <w:snapToGrid w:val="0"/>
          <w:color w:val="000000"/>
          <w:sz w:val="21"/>
          <w:szCs w:val="21"/>
          <w:lang w:eastAsia="zh-CN"/>
        </w:rPr>
        <w:t xml:space="preserve">图1 </w:t>
      </w:r>
      <w:r>
        <w:rPr>
          <w:rFonts w:ascii="黑体" w:eastAsia="黑体" w:hAnsi="黑体" w:cs="Times New Roman" w:hint="eastAsia"/>
          <w:snapToGrid w:val="0"/>
          <w:color w:val="000000"/>
          <w:sz w:val="21"/>
          <w:szCs w:val="21"/>
          <w:lang w:eastAsia="zh-CN"/>
        </w:rPr>
        <w:t>医疗机构</w:t>
      </w:r>
      <w:r>
        <w:rPr>
          <w:rFonts w:ascii="黑体" w:eastAsia="黑体" w:hAnsi="黑体" w:cs="Times New Roman"/>
          <w:snapToGrid w:val="0"/>
          <w:color w:val="000000"/>
          <w:sz w:val="21"/>
          <w:szCs w:val="21"/>
          <w:lang w:eastAsia="zh-CN"/>
        </w:rPr>
        <w:t>用药交代流程</w:t>
      </w:r>
    </w:p>
    <w:p w14:paraId="383AD181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14"/>
        <w:jc w:val="both"/>
        <w:textAlignment w:val="baseline"/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</w:p>
    <w:p w14:paraId="43841387" w14:textId="17F7BD20" w:rsidR="007E0D95" w:rsidRDefault="00000000">
      <w:pPr>
        <w:widowControl/>
        <w:adjustRightInd w:val="0"/>
        <w:snapToGrid w:val="0"/>
        <w:spacing w:line="300" w:lineRule="auto"/>
        <w:ind w:firstLineChars="200" w:firstLine="414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对患者进行用药交代时，</w:t>
      </w:r>
      <w:r w:rsidR="00881119"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应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注意以下事项：</w:t>
      </w:r>
    </w:p>
    <w:p w14:paraId="3CEDEC26" w14:textId="77777777" w:rsidR="007E0D95" w:rsidRDefault="00000000">
      <w:pPr>
        <w:widowControl/>
        <w:adjustRightInd w:val="0"/>
        <w:snapToGrid w:val="0"/>
        <w:spacing w:line="300" w:lineRule="auto"/>
        <w:ind w:leftChars="200" w:left="86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根据处方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、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药品说明书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及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其他循证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证据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，</w:t>
      </w: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结合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口头、书面或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信息化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等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用药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交代方式，采用患者</w:t>
      </w: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或其照护者易于理解的语句进行用药交代；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 xml:space="preserve"> </w:t>
      </w:r>
    </w:p>
    <w:p w14:paraId="0E8939EF" w14:textId="77777777" w:rsidR="007E0D95" w:rsidRDefault="00000000">
      <w:pPr>
        <w:widowControl/>
        <w:adjustRightInd w:val="0"/>
        <w:snapToGrid w:val="0"/>
        <w:spacing w:line="300" w:lineRule="auto"/>
        <w:ind w:leftChars="194" w:left="841" w:hangingChars="200" w:hanging="414"/>
        <w:jc w:val="both"/>
        <w:textAlignment w:val="baseline"/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若患者或其照护者清楚如何用药，则可结束用药交代，必要时可</w:t>
      </w: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要求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患者或其照护者进行简单</w:t>
      </w: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口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述</w:t>
      </w: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或演示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，正确后可结束用药交代</w:t>
      </w: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；</w:t>
      </w:r>
    </w:p>
    <w:p w14:paraId="41804E48" w14:textId="77777777" w:rsidR="007E0D95" w:rsidRDefault="00000000">
      <w:pPr>
        <w:widowControl/>
        <w:adjustRightInd w:val="0"/>
        <w:snapToGrid w:val="0"/>
        <w:spacing w:line="300" w:lineRule="auto"/>
        <w:ind w:leftChars="194" w:left="841" w:hangingChars="200" w:hanging="414"/>
        <w:jc w:val="both"/>
        <w:textAlignment w:val="baseline"/>
        <w:rPr>
          <w:rFonts w:cs="Times New Roman" w:hint="eastAsia"/>
          <w:snapToGrid w:val="0"/>
          <w:color w:val="000000"/>
          <w:spacing w:val="-3"/>
          <w:sz w:val="24"/>
          <w:szCs w:val="24"/>
          <w:lang w:eastAsia="zh-CN"/>
        </w:rPr>
      </w:pP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若患者或其照护者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Hans"/>
        </w:rPr>
        <w:t>对于处方中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任何一个药品不清楚如何使用，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Hans"/>
        </w:rPr>
        <w:t>药师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应继续</w:t>
      </w: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交代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直至患者或其照护者完全清楚</w:t>
      </w:r>
      <w:r>
        <w:rPr>
          <w:rFonts w:cs="Times New Roman" w:hint="eastAsia"/>
          <w:snapToGrid w:val="0"/>
          <w:color w:val="000000"/>
          <w:spacing w:val="-3"/>
          <w:sz w:val="24"/>
          <w:szCs w:val="24"/>
          <w:lang w:eastAsia="zh-CN"/>
        </w:rPr>
        <w:t>；</w:t>
      </w:r>
    </w:p>
    <w:p w14:paraId="7247EC6E" w14:textId="77777777" w:rsidR="007E0D95" w:rsidRDefault="00000000">
      <w:pPr>
        <w:widowControl/>
        <w:adjustRightInd w:val="0"/>
        <w:snapToGrid w:val="0"/>
        <w:spacing w:line="300" w:lineRule="auto"/>
        <w:ind w:leftChars="194" w:left="841" w:hangingChars="200" w:hanging="414"/>
        <w:jc w:val="both"/>
        <w:textAlignment w:val="baseline"/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药师在服务过程中应遵守职业道德，遵循合法、</w:t>
      </w: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合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规、正当、必要的原则</w:t>
      </w:r>
      <w:bookmarkStart w:id="12" w:name="OLE_LINK5"/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；</w:t>
      </w:r>
      <w:bookmarkEnd w:id="12"/>
    </w:p>
    <w:p w14:paraId="4C4634B7" w14:textId="7154146B" w:rsidR="007E0D95" w:rsidRDefault="00000000">
      <w:pPr>
        <w:widowControl/>
        <w:adjustRightInd w:val="0"/>
        <w:snapToGrid w:val="0"/>
        <w:spacing w:line="300" w:lineRule="auto"/>
        <w:ind w:leftChars="194" w:left="841" w:hangingChars="200" w:hanging="414"/>
        <w:jc w:val="both"/>
        <w:textAlignment w:val="baseline"/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bookmarkStart w:id="13" w:name="_Toc1089827124"/>
      <w:bookmarkStart w:id="14" w:name="_Toc175500786"/>
      <w:bookmarkStart w:id="15" w:name="_Hlk161994396"/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——注意保护患者隐私，</w:t>
      </w:r>
      <w:r>
        <w:rPr>
          <w:rFonts w:cs="Times New Roman"/>
          <w:snapToGrid w:val="0"/>
          <w:color w:val="000000"/>
          <w:spacing w:val="-3"/>
          <w:sz w:val="21"/>
          <w:szCs w:val="21"/>
          <w:lang w:eastAsia="zh-CN"/>
        </w:rPr>
        <w:t>严禁未经授权向第三方机构或个人泄露患者诊疗信息</w:t>
      </w:r>
      <w:r w:rsidR="00881119"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；</w:t>
      </w:r>
    </w:p>
    <w:p w14:paraId="3C613AF4" w14:textId="77777777" w:rsidR="007E0D95" w:rsidRDefault="00000000">
      <w:pPr>
        <w:widowControl/>
        <w:adjustRightInd w:val="0"/>
        <w:snapToGrid w:val="0"/>
        <w:spacing w:line="300" w:lineRule="auto"/>
        <w:ind w:leftChars="194" w:left="841" w:hangingChars="200" w:hanging="414"/>
        <w:jc w:val="both"/>
        <w:textAlignment w:val="baseline"/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——注意遵守药学服务礼仪，保持良好职业形象，语言文明、仪表端庄。</w:t>
      </w:r>
    </w:p>
    <w:p w14:paraId="791F80BF" w14:textId="77777777" w:rsidR="007E0D95" w:rsidRDefault="00000000">
      <w:pPr>
        <w:widowControl/>
        <w:adjustRightInd w:val="0"/>
        <w:snapToGrid w:val="0"/>
        <w:spacing w:beforeLines="100" w:before="240" w:afterLines="100" w:after="240" w:line="300" w:lineRule="auto"/>
        <w:jc w:val="both"/>
        <w:textAlignment w:val="baseline"/>
        <w:outlineLvl w:val="1"/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7</w:t>
      </w:r>
      <w:r>
        <w:rPr>
          <w:rFonts w:ascii="黑体" w:eastAsia="黑体" w:hAnsi="黑体" w:cs="Times New Roman"/>
          <w:snapToGrid w:val="0"/>
          <w:color w:val="000000"/>
          <w:spacing w:val="-3"/>
          <w:sz w:val="21"/>
          <w:szCs w:val="21"/>
          <w:lang w:eastAsia="zh-CN"/>
        </w:rPr>
        <w:t xml:space="preserve"> 用药交代内容</w:t>
      </w:r>
      <w:bookmarkEnd w:id="13"/>
    </w:p>
    <w:p w14:paraId="489B24FC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bookmarkStart w:id="16" w:name="_Toc1610777259"/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7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>.1 西药</w:t>
      </w:r>
      <w:bookmarkEnd w:id="16"/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和中成药</w:t>
      </w:r>
    </w:p>
    <w:p w14:paraId="02E6AC4B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3"/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</w:pPr>
      <w:bookmarkStart w:id="17" w:name="_Toc577239249"/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>7</w:t>
      </w:r>
      <w:r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  <w:t xml:space="preserve">.1.1 </w:t>
      </w:r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>一般</w:t>
      </w:r>
      <w:r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  <w:t>交代事项</w:t>
      </w:r>
      <w:bookmarkEnd w:id="17"/>
    </w:p>
    <w:p w14:paraId="374E081E" w14:textId="756D97EF" w:rsidR="001F06CB" w:rsidRPr="006737C5" w:rsidRDefault="001F06CB" w:rsidP="006737C5">
      <w:pPr>
        <w:widowControl/>
        <w:adjustRightInd w:val="0"/>
        <w:snapToGrid w:val="0"/>
        <w:spacing w:line="300" w:lineRule="auto"/>
        <w:ind w:firstLineChars="200" w:firstLine="414"/>
        <w:jc w:val="both"/>
        <w:textAlignment w:val="baseline"/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 w:rsidRPr="006737C5"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一般交代事项</w:t>
      </w:r>
      <w:r w:rsidRPr="006737C5"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适用于大多数药物的基本用药</w:t>
      </w:r>
      <w:r w:rsidRPr="006737C5"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交代，应包括以下内容：</w:t>
      </w:r>
    </w:p>
    <w:p w14:paraId="666C7D6E" w14:textId="77777777" w:rsidR="007E0D95" w:rsidRDefault="00000000">
      <w:pPr>
        <w:widowControl/>
        <w:adjustRightInd w:val="0"/>
        <w:snapToGrid w:val="0"/>
        <w:spacing w:line="300" w:lineRule="auto"/>
        <w:ind w:leftChars="200" w:left="858" w:hangingChars="200" w:hanging="418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药品名称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：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为避免混淆，进行用药交代时，药品名称除采用药品通用名称外，可加上商品名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、规格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以示区别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6B14CA0A" w14:textId="77777777" w:rsidR="007E0D95" w:rsidRDefault="00000000">
      <w:pPr>
        <w:widowControl/>
        <w:adjustRightInd w:val="0"/>
        <w:snapToGrid w:val="0"/>
        <w:spacing w:line="300" w:lineRule="auto"/>
        <w:ind w:leftChars="200" w:left="858" w:hangingChars="200" w:hanging="418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用药剂量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：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采用通俗易懂的语言将说明书规定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的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剂量使用单位（g、mg、mL等）、带小数点用量换算为患者每次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用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药的具体片、粒、袋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、支、瓶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数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1797D3C0" w14:textId="77777777" w:rsidR="007E0D95" w:rsidRDefault="00000000">
      <w:pPr>
        <w:widowControl/>
        <w:adjustRightInd w:val="0"/>
        <w:snapToGrid w:val="0"/>
        <w:spacing w:line="300" w:lineRule="auto"/>
        <w:ind w:leftChars="200" w:left="858" w:hangingChars="200" w:hanging="418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给药频次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：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告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知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患者或其照护者具体的给药频次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36A338CE" w14:textId="77777777" w:rsidR="007E0D95" w:rsidRDefault="00000000">
      <w:pPr>
        <w:widowControl/>
        <w:adjustRightInd w:val="0"/>
        <w:snapToGrid w:val="0"/>
        <w:spacing w:line="300" w:lineRule="auto"/>
        <w:ind w:leftChars="200" w:left="858" w:hangingChars="200" w:hanging="418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lastRenderedPageBreak/>
        <w:t>——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给药途径和方法：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根据药品特性，详细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告知患者或其照护者具体的给药途径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、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方法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和用药部位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。对特殊包装或特殊装置的药品，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告知具体操作方法，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必要时可对患者或其照护者作出演示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2EC6F853" w14:textId="77777777" w:rsidR="007E0D95" w:rsidRDefault="00000000">
      <w:pPr>
        <w:widowControl/>
        <w:adjustRightInd w:val="0"/>
        <w:snapToGrid w:val="0"/>
        <w:spacing w:line="300" w:lineRule="auto"/>
        <w:ind w:leftChars="200" w:left="858" w:hangingChars="200" w:hanging="418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给药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时间：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告知患者或其照护者正确给药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时间，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如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餐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前、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餐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后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、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睡前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等；</w:t>
      </w:r>
    </w:p>
    <w:p w14:paraId="2231588D" w14:textId="77777777" w:rsidR="007E0D95" w:rsidRDefault="00000000">
      <w:pPr>
        <w:widowControl/>
        <w:adjustRightInd w:val="0"/>
        <w:snapToGrid w:val="0"/>
        <w:spacing w:line="300" w:lineRule="auto"/>
        <w:ind w:leftChars="200" w:left="858" w:hangingChars="200" w:hanging="418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——给药疗程：告知患者或其照护者按疗程规律服药；</w:t>
      </w:r>
    </w:p>
    <w:p w14:paraId="5A1EEF3D" w14:textId="77777777" w:rsidR="007E0D95" w:rsidRDefault="00000000">
      <w:pPr>
        <w:widowControl/>
        <w:adjustRightInd w:val="0"/>
        <w:snapToGrid w:val="0"/>
        <w:spacing w:line="300" w:lineRule="auto"/>
        <w:ind w:leftChars="200" w:left="858" w:hangingChars="200" w:hanging="418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——储存方法：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需要特殊储存如冷藏、避光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等药品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，应告知患者或其照护者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。药品务必妥善保管，放在儿童触碰不到的地方；</w:t>
      </w:r>
    </w:p>
    <w:p w14:paraId="6FCCE514" w14:textId="77777777" w:rsidR="007E0D95" w:rsidRDefault="00000000">
      <w:pPr>
        <w:widowControl/>
        <w:adjustRightInd w:val="0"/>
        <w:snapToGrid w:val="0"/>
        <w:spacing w:line="300" w:lineRule="auto"/>
        <w:ind w:leftChars="200" w:left="858" w:hangingChars="200" w:hanging="418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——效期管理：对于非独立包装的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药品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，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拆零或开封后使用效期会发生改变的，应告知拆零或开封后的使用效期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；过期药品属于有害垃圾，应单独回收或妥善处理，不应随意丢弃、遗撒或买卖。</w:t>
      </w:r>
    </w:p>
    <w:p w14:paraId="227D1C04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3"/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</w:pPr>
      <w:bookmarkStart w:id="18" w:name="_Toc1952985451"/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>7</w:t>
      </w:r>
      <w:r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  <w:t>.1.</w:t>
      </w:r>
      <w:bookmarkEnd w:id="18"/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>2</w:t>
      </w:r>
      <w:r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>特殊交代</w:t>
      </w:r>
      <w:r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  <w:t>事项</w:t>
      </w:r>
    </w:p>
    <w:p w14:paraId="0541EC98" w14:textId="09C5AB7A" w:rsidR="007D274B" w:rsidRDefault="007D274B" w:rsidP="006737C5">
      <w:pPr>
        <w:widowControl/>
        <w:adjustRightInd w:val="0"/>
        <w:snapToGrid w:val="0"/>
        <w:spacing w:line="300" w:lineRule="auto"/>
        <w:ind w:left="425" w:firstLineChars="200" w:firstLine="418"/>
        <w:jc w:val="both"/>
        <w:textAlignment w:val="baseline"/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</w:pPr>
      <w:r w:rsidRPr="007D274B"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特殊交代事项适用</w:t>
      </w:r>
      <w:r w:rsidR="006737C5"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于</w:t>
      </w:r>
      <w:r w:rsidRPr="007D274B"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高风险性、复杂用法或特殊禁忌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等</w:t>
      </w:r>
      <w:r w:rsidRPr="007D274B"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特定药物的个性化用药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交代，</w:t>
      </w:r>
      <w:r w:rsidRPr="007D274B"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属于一般交代事项的补充，</w:t>
      </w:r>
      <w:bookmarkStart w:id="19" w:name="OLE_LINK4"/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包括以下内容</w:t>
      </w:r>
      <w:r w:rsidRPr="007D274B"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：</w:t>
      </w:r>
      <w:bookmarkEnd w:id="19"/>
    </w:p>
    <w:p w14:paraId="34A880B9" w14:textId="7F8DFD78" w:rsidR="007E0D95" w:rsidRDefault="00000000">
      <w:pPr>
        <w:widowControl/>
        <w:adjustRightInd w:val="0"/>
        <w:snapToGrid w:val="0"/>
        <w:spacing w:line="300" w:lineRule="auto"/>
        <w:ind w:left="425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告知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患者或其照护者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使用药品的用药禁忌</w:t>
      </w:r>
      <w:bookmarkStart w:id="20" w:name="_Toc357175401"/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bookmarkEnd w:id="20"/>
    <w:p w14:paraId="3F5F06AF" w14:textId="77777777" w:rsidR="007E0D95" w:rsidRDefault="00000000">
      <w:pPr>
        <w:widowControl/>
        <w:adjustRightInd w:val="0"/>
        <w:snapToGrid w:val="0"/>
        <w:spacing w:line="300" w:lineRule="auto"/>
        <w:ind w:leftChars="200" w:left="86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告知患者或其照护者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常见药品不良反应的识别及处理方法，一旦发生严重不良反应或出现可疑前兆立即停药就诊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3B903A5F" w14:textId="77777777" w:rsidR="007E0D95" w:rsidRDefault="00000000">
      <w:pPr>
        <w:widowControl/>
        <w:adjustRightInd w:val="0"/>
        <w:snapToGrid w:val="0"/>
        <w:spacing w:line="300" w:lineRule="auto"/>
        <w:ind w:leftChars="200" w:left="86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Hans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——某些药品在使用后身体可能会产生一些不适反应，但不干扰继续治疗，应告知患者或其照护者这些伴随现象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 xml:space="preserve"> </w:t>
      </w:r>
    </w:p>
    <w:p w14:paraId="271C1D57" w14:textId="77777777" w:rsidR="007E0D95" w:rsidRDefault="00000000">
      <w:pPr>
        <w:widowControl/>
        <w:adjustRightInd w:val="0"/>
        <w:snapToGrid w:val="0"/>
        <w:spacing w:line="300" w:lineRule="auto"/>
        <w:ind w:leftChars="196" w:left="847" w:hangingChars="200" w:hanging="416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pacing w:val="-2"/>
          <w:sz w:val="21"/>
          <w:szCs w:val="21"/>
          <w:lang w:eastAsia="zh-CN"/>
        </w:rPr>
        <w:t>患者使用两种及以上药品时，若存在药品相互作用，用药交代时</w:t>
      </w:r>
      <w:r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  <w:t>应</w:t>
      </w:r>
      <w:r>
        <w:rPr>
          <w:rFonts w:cs="Times New Roman"/>
          <w:snapToGrid w:val="0"/>
          <w:color w:val="000000"/>
          <w:spacing w:val="-2"/>
          <w:sz w:val="21"/>
          <w:szCs w:val="21"/>
          <w:lang w:eastAsia="zh-CN"/>
        </w:rPr>
        <w:t>告知用药先后顺序及用药间隔时间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7C9E4960" w14:textId="77777777" w:rsidR="007E0D95" w:rsidRDefault="00000000">
      <w:pPr>
        <w:widowControl/>
        <w:adjustRightInd w:val="0"/>
        <w:snapToGrid w:val="0"/>
        <w:spacing w:line="300" w:lineRule="auto"/>
        <w:ind w:leftChars="200" w:left="86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Hans"/>
        </w:rPr>
      </w:pPr>
      <w:bookmarkStart w:id="21" w:name="_Toc382247249"/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——告知患者或其照护者按时按量用药，若发生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药品漏服，根据药品说明书和患者情况，提供具体详细的处理办法，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必要时寻求医师指导</w:t>
      </w:r>
      <w:bookmarkEnd w:id="21"/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5F71DF9C" w14:textId="243F4A7D" w:rsidR="007E0D95" w:rsidRDefault="00000000">
      <w:pPr>
        <w:widowControl/>
        <w:adjustRightInd w:val="0"/>
        <w:snapToGrid w:val="0"/>
        <w:spacing w:line="300" w:lineRule="auto"/>
        <w:ind w:left="425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——交代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患者或其照护者</w:t>
      </w:r>
      <w:r>
        <w:rPr>
          <w:rFonts w:cs="Times New Roman" w:hint="eastAsia"/>
          <w:snapToGrid w:val="0"/>
          <w:color w:val="000000"/>
          <w:sz w:val="21"/>
          <w:szCs w:val="21"/>
          <w:lang w:eastAsia="zh-Hans"/>
        </w:rPr>
        <w:t>用药期间注意饮食搭配，避免食用影响药效的食物</w:t>
      </w:r>
      <w:r w:rsidR="00881119">
        <w:rPr>
          <w:rFonts w:cs="Times New Roman" w:hint="eastAsia"/>
          <w:snapToGrid w:val="0"/>
          <w:color w:val="000000"/>
          <w:spacing w:val="-3"/>
          <w:sz w:val="21"/>
          <w:szCs w:val="21"/>
          <w:lang w:eastAsia="zh-CN"/>
        </w:rPr>
        <w:t>；</w:t>
      </w:r>
    </w:p>
    <w:p w14:paraId="2E9C47B4" w14:textId="77777777" w:rsidR="007E0D95" w:rsidRDefault="00000000">
      <w:pPr>
        <w:widowControl/>
        <w:adjustRightInd w:val="0"/>
        <w:snapToGrid w:val="0"/>
        <w:spacing w:line="300" w:lineRule="auto"/>
        <w:ind w:left="425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麻醉、精神类药品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用药交代时应包括以下内容：</w:t>
      </w:r>
    </w:p>
    <w:p w14:paraId="3C778AAD" w14:textId="77777777" w:rsidR="007E0D95" w:rsidRDefault="00000000">
      <w:pPr>
        <w:widowControl/>
        <w:numPr>
          <w:ilvl w:val="0"/>
          <w:numId w:val="1"/>
        </w:numPr>
        <w:kinsoku w:val="0"/>
        <w:adjustRightInd w:val="0"/>
        <w:snapToGrid w:val="0"/>
        <w:spacing w:line="300" w:lineRule="auto"/>
        <w:ind w:leftChars="400" w:left="130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应当仔细核对患者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或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代办人身份信息，确认无误后方可发药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510FD0DC" w14:textId="77777777" w:rsidR="007E0D95" w:rsidRDefault="00000000">
      <w:pPr>
        <w:widowControl/>
        <w:numPr>
          <w:ilvl w:val="0"/>
          <w:numId w:val="1"/>
        </w:numPr>
        <w:kinsoku w:val="0"/>
        <w:adjustRightInd w:val="0"/>
        <w:snapToGrid w:val="0"/>
        <w:spacing w:line="300" w:lineRule="auto"/>
        <w:ind w:leftChars="400" w:left="130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麻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醉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、精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神类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药品在治疗过程中必须严格遵医嘱用药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66CC62BC" w14:textId="77777777" w:rsidR="007E0D95" w:rsidRDefault="00000000" w:rsidP="007D274B">
      <w:pPr>
        <w:widowControl/>
        <w:numPr>
          <w:ilvl w:val="0"/>
          <w:numId w:val="2"/>
        </w:numPr>
        <w:kinsoku w:val="0"/>
        <w:adjustRightInd w:val="0"/>
        <w:snapToGrid w:val="0"/>
        <w:spacing w:line="300" w:lineRule="auto"/>
        <w:ind w:leftChars="400" w:left="1048" w:hangingChars="80" w:hanging="168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麻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醉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、精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神类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药品停药后若产生兴奋、失眠、焦虑、强烈心理渴求和强迫性觅药行为，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伴随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难以忍受的身体、精神依赖症状，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及时就医</w:t>
      </w:r>
      <w:r w:rsidRPr="007D274B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；</w:t>
      </w:r>
    </w:p>
    <w:p w14:paraId="49F4A5D5" w14:textId="77777777" w:rsidR="007E0D95" w:rsidRDefault="00000000" w:rsidP="007D274B">
      <w:pPr>
        <w:widowControl/>
        <w:numPr>
          <w:ilvl w:val="0"/>
          <w:numId w:val="1"/>
        </w:numPr>
        <w:kinsoku w:val="0"/>
        <w:adjustRightInd w:val="0"/>
        <w:snapToGrid w:val="0"/>
        <w:spacing w:line="300" w:lineRule="auto"/>
        <w:ind w:leftChars="400" w:left="1090" w:hangingChars="100" w:hanging="21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麻醉和精神类药品开具后不应办理退药手续。停药后应无偿交回剩余的麻醉和精神类药品；</w:t>
      </w:r>
    </w:p>
    <w:p w14:paraId="498AA68F" w14:textId="3743CE1B" w:rsidR="007E0D95" w:rsidRDefault="00000000" w:rsidP="007D274B">
      <w:pPr>
        <w:widowControl/>
        <w:numPr>
          <w:ilvl w:val="0"/>
          <w:numId w:val="2"/>
        </w:numPr>
        <w:kinsoku w:val="0"/>
        <w:adjustRightInd w:val="0"/>
        <w:snapToGrid w:val="0"/>
        <w:spacing w:line="300" w:lineRule="auto"/>
        <w:ind w:leftChars="400" w:left="1048" w:hangingChars="80" w:hanging="168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长期使用麻醉药品、第一类精神药品注射剂或贴剂的患者，再次调配相同药品时，应告知患者或其照护者将原批号的空安瓿或用过的贴剂交回药房</w:t>
      </w:r>
      <w:r w:rsidR="00881119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；</w:t>
      </w:r>
    </w:p>
    <w:p w14:paraId="67248F0B" w14:textId="77777777" w:rsidR="007E0D95" w:rsidRDefault="00000000">
      <w:pPr>
        <w:widowControl/>
        <w:adjustRightInd w:val="0"/>
        <w:snapToGrid w:val="0"/>
        <w:spacing w:line="300" w:lineRule="auto"/>
        <w:ind w:left="425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——医疗用毒性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药品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用药交代时应包括以下内容：</w:t>
      </w:r>
    </w:p>
    <w:p w14:paraId="009083B3" w14:textId="77777777" w:rsidR="007E0D95" w:rsidRDefault="00000000">
      <w:pPr>
        <w:widowControl/>
        <w:numPr>
          <w:ilvl w:val="0"/>
          <w:numId w:val="2"/>
        </w:numPr>
        <w:kinsoku w:val="0"/>
        <w:adjustRightInd w:val="0"/>
        <w:snapToGrid w:val="0"/>
        <w:spacing w:line="300" w:lineRule="auto"/>
        <w:ind w:leftChars="400" w:left="130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告知患者或其照护者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本品为医疗用毒性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药品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，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在治疗过程中必须严格遵医嘱用药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；</w:t>
      </w:r>
    </w:p>
    <w:p w14:paraId="43191051" w14:textId="77777777" w:rsidR="007E0D95" w:rsidRDefault="00000000" w:rsidP="007D274B">
      <w:pPr>
        <w:widowControl/>
        <w:numPr>
          <w:ilvl w:val="0"/>
          <w:numId w:val="2"/>
        </w:numPr>
        <w:kinsoku w:val="0"/>
        <w:adjustRightInd w:val="0"/>
        <w:snapToGrid w:val="0"/>
        <w:spacing w:line="300" w:lineRule="auto"/>
        <w:ind w:leftChars="400" w:left="1048" w:hangingChars="80" w:hanging="168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清楚告知患者或其照护者用药剂量、用药时间，若未按规定用法用量而发生急性中毒者，请及时就医；</w:t>
      </w:r>
    </w:p>
    <w:p w14:paraId="3393C64C" w14:textId="77777777" w:rsidR="007E0D95" w:rsidRDefault="00000000" w:rsidP="007D274B">
      <w:pPr>
        <w:widowControl/>
        <w:numPr>
          <w:ilvl w:val="0"/>
          <w:numId w:val="2"/>
        </w:numPr>
        <w:kinsoku w:val="0"/>
        <w:adjustRightInd w:val="0"/>
        <w:snapToGrid w:val="0"/>
        <w:spacing w:line="300" w:lineRule="auto"/>
        <w:ind w:leftChars="400" w:left="1048" w:hangingChars="80" w:hanging="168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毒性药品必须单独存放在封闭、通风良好、阴凉干燥的专用储存位置，与其他药品分开存放，避免混淆。</w:t>
      </w:r>
    </w:p>
    <w:p w14:paraId="472B32DE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lastRenderedPageBreak/>
        <w:t xml:space="preserve">7.2 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>中药饮片</w:t>
      </w:r>
      <w:bookmarkEnd w:id="14"/>
    </w:p>
    <w:p w14:paraId="5F4B3FA5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3"/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</w:pPr>
      <w:bookmarkStart w:id="22" w:name="_Toc409664931"/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>7.2.1 煎药方法</w:t>
      </w:r>
      <w:bookmarkEnd w:id="22"/>
    </w:p>
    <w:p w14:paraId="70173440" w14:textId="5E3DD0B7" w:rsidR="001F06CB" w:rsidRPr="001F06CB" w:rsidRDefault="001F06CB" w:rsidP="001F06CB">
      <w:pPr>
        <w:widowControl/>
        <w:snapToGrid w:val="0"/>
        <w:spacing w:line="300" w:lineRule="auto"/>
        <w:ind w:leftChars="200" w:left="44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中药饮片煎药方法</w:t>
      </w:r>
      <w:r w:rsidRPr="001F06CB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应符合下列要求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：</w:t>
      </w:r>
    </w:p>
    <w:p w14:paraId="64D58457" w14:textId="77777777" w:rsidR="007E0D95" w:rsidRDefault="00000000">
      <w:pPr>
        <w:widowControl/>
        <w:snapToGrid w:val="0"/>
        <w:spacing w:line="300" w:lineRule="auto"/>
        <w:ind w:leftChars="200" w:left="44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煎药前应先用冷水浸泡，浸泡时间应根据药材的性质而定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；</w:t>
      </w:r>
    </w:p>
    <w:p w14:paraId="6E42F0EB" w14:textId="77777777" w:rsidR="007E0D95" w:rsidRDefault="00000000">
      <w:pPr>
        <w:widowControl/>
        <w:adjustRightInd w:val="0"/>
        <w:snapToGrid w:val="0"/>
        <w:spacing w:line="300" w:lineRule="auto"/>
        <w:ind w:leftChars="200" w:left="44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color w:val="000000"/>
          <w:spacing w:val="-5"/>
          <w:sz w:val="21"/>
          <w:szCs w:val="21"/>
          <w:lang w:eastAsia="zh-CN" w:bidi="ar"/>
        </w:rPr>
        <w:t>——</w:t>
      </w:r>
      <w:r>
        <w:rPr>
          <w:rFonts w:cs="Times New Roman"/>
          <w:color w:val="000000"/>
          <w:spacing w:val="-5"/>
          <w:sz w:val="21"/>
          <w:szCs w:val="21"/>
          <w:lang w:eastAsia="zh-CN" w:bidi="ar"/>
        </w:rPr>
        <w:t>煎药容器</w:t>
      </w:r>
      <w:r>
        <w:rPr>
          <w:rFonts w:cs="Times New Roman" w:hint="eastAsia"/>
          <w:color w:val="000000"/>
          <w:spacing w:val="-5"/>
          <w:sz w:val="21"/>
          <w:szCs w:val="21"/>
          <w:lang w:eastAsia="zh-CN" w:bidi="ar"/>
        </w:rPr>
        <w:t>：</w:t>
      </w:r>
      <w:r>
        <w:rPr>
          <w:rFonts w:cs="Times New Roman"/>
          <w:color w:val="000000"/>
          <w:spacing w:val="-5"/>
          <w:sz w:val="21"/>
          <w:szCs w:val="21"/>
          <w:lang w:eastAsia="zh-CN" w:bidi="ar"/>
        </w:rPr>
        <w:t>忌用铜铁具，宜用砂锅、瓦罐，玻璃和搪瓷制器亦可选用；</w:t>
      </w:r>
    </w:p>
    <w:p w14:paraId="1921561E" w14:textId="005B332C" w:rsidR="007E0D95" w:rsidRDefault="00000000">
      <w:pPr>
        <w:widowControl/>
        <w:adjustRightInd w:val="0"/>
        <w:snapToGrid w:val="0"/>
        <w:spacing w:line="300" w:lineRule="auto"/>
        <w:ind w:leftChars="200" w:left="850" w:hangingChars="200" w:hanging="410"/>
        <w:jc w:val="both"/>
        <w:textAlignment w:val="baseline"/>
        <w:rPr>
          <w:rFonts w:cs="Times New Roman" w:hint="eastAsia"/>
          <w:snapToGrid w:val="0"/>
          <w:color w:val="000000"/>
          <w:spacing w:val="-5"/>
          <w:sz w:val="21"/>
          <w:szCs w:val="21"/>
          <w:lang w:eastAsia="zh-CN"/>
        </w:rPr>
      </w:pPr>
      <w:r>
        <w:rPr>
          <w:rFonts w:cs="Times New Roman" w:hint="eastAsia"/>
          <w:color w:val="000000"/>
          <w:spacing w:val="-5"/>
          <w:sz w:val="21"/>
          <w:szCs w:val="21"/>
          <w:lang w:eastAsia="zh-CN" w:bidi="ar"/>
        </w:rPr>
        <w:t>——</w:t>
      </w:r>
      <w:r>
        <w:rPr>
          <w:rFonts w:cs="Times New Roman"/>
          <w:color w:val="000000"/>
          <w:spacing w:val="-5"/>
          <w:sz w:val="21"/>
          <w:szCs w:val="21"/>
          <w:lang w:eastAsia="zh-CN" w:bidi="ar"/>
        </w:rPr>
        <w:t>煎药用水量</w:t>
      </w:r>
      <w:r>
        <w:rPr>
          <w:rFonts w:cs="Times New Roman" w:hint="eastAsia"/>
          <w:b/>
          <w:bCs/>
          <w:color w:val="000000"/>
          <w:spacing w:val="-5"/>
          <w:sz w:val="21"/>
          <w:szCs w:val="21"/>
          <w:lang w:eastAsia="zh-CN" w:bidi="ar"/>
        </w:rPr>
        <w:t>：</w:t>
      </w:r>
      <w:r>
        <w:rPr>
          <w:rFonts w:cs="Times New Roman"/>
          <w:color w:val="000000"/>
          <w:spacing w:val="-5"/>
          <w:sz w:val="21"/>
          <w:szCs w:val="21"/>
          <w:lang w:eastAsia="zh-CN" w:bidi="ar"/>
        </w:rPr>
        <w:t>药材质地不同，其吸水量有显著差异。可将饮片置煎锅内，加水至超过药物表面</w:t>
      </w:r>
      <w:r>
        <w:rPr>
          <w:rFonts w:cs="Times New Roman" w:hint="eastAsia"/>
          <w:color w:val="000000"/>
          <w:spacing w:val="-5"/>
          <w:sz w:val="21"/>
          <w:szCs w:val="21"/>
          <w:lang w:eastAsia="zh-CN" w:bidi="ar"/>
        </w:rPr>
        <w:t xml:space="preserve"> </w:t>
      </w:r>
      <w:r>
        <w:rPr>
          <w:rFonts w:cs="Times New Roman"/>
          <w:color w:val="000000"/>
          <w:spacing w:val="-5"/>
          <w:sz w:val="21"/>
          <w:szCs w:val="21"/>
          <w:lang w:eastAsia="zh-CN" w:bidi="ar"/>
        </w:rPr>
        <w:t>3</w:t>
      </w:r>
      <w:r w:rsidR="00765E66">
        <w:rPr>
          <w:rFonts w:cs="Times New Roman"/>
          <w:color w:val="000000"/>
          <w:spacing w:val="-5"/>
          <w:sz w:val="21"/>
          <w:szCs w:val="21"/>
          <w:lang w:eastAsia="zh-CN" w:bidi="ar"/>
        </w:rPr>
        <w:t>cm</w:t>
      </w:r>
      <w:r>
        <w:rPr>
          <w:rFonts w:cs="Times New Roman"/>
          <w:color w:val="000000"/>
          <w:spacing w:val="-5"/>
          <w:sz w:val="21"/>
          <w:szCs w:val="21"/>
          <w:lang w:eastAsia="zh-CN" w:bidi="ar"/>
        </w:rPr>
        <w:t>～5</w:t>
      </w:r>
      <w:bookmarkStart w:id="23" w:name="OLE_LINK2"/>
      <w:r>
        <w:rPr>
          <w:rFonts w:cs="Times New Roman"/>
          <w:color w:val="000000"/>
          <w:spacing w:val="-5"/>
          <w:sz w:val="21"/>
          <w:szCs w:val="21"/>
          <w:lang w:eastAsia="zh-CN" w:bidi="ar"/>
        </w:rPr>
        <w:t>cm</w:t>
      </w:r>
      <w:bookmarkEnd w:id="23"/>
      <w:r>
        <w:rPr>
          <w:rFonts w:cs="Times New Roman"/>
          <w:color w:val="000000"/>
          <w:spacing w:val="-5"/>
          <w:sz w:val="21"/>
          <w:szCs w:val="21"/>
          <w:lang w:eastAsia="zh-CN" w:bidi="ar"/>
        </w:rPr>
        <w:t>为度，第二次煎煮可超过药渣表面1</w:t>
      </w:r>
      <w:r w:rsidR="00765E66">
        <w:rPr>
          <w:rFonts w:cs="Times New Roman"/>
          <w:color w:val="000000"/>
          <w:spacing w:val="-5"/>
          <w:sz w:val="21"/>
          <w:szCs w:val="21"/>
          <w:lang w:eastAsia="zh-CN" w:bidi="ar"/>
        </w:rPr>
        <w:t>cm</w:t>
      </w:r>
      <w:r>
        <w:rPr>
          <w:rFonts w:cs="Times New Roman"/>
          <w:color w:val="000000"/>
          <w:spacing w:val="-5"/>
          <w:sz w:val="21"/>
          <w:szCs w:val="21"/>
          <w:lang w:eastAsia="zh-CN" w:bidi="ar"/>
        </w:rPr>
        <w:t>～2cm</w:t>
      </w:r>
      <w:r>
        <w:rPr>
          <w:rFonts w:cs="Times New Roman" w:hint="eastAsia"/>
          <w:color w:val="000000"/>
          <w:spacing w:val="-5"/>
          <w:sz w:val="21"/>
          <w:szCs w:val="21"/>
          <w:lang w:eastAsia="zh-CN" w:bidi="ar"/>
        </w:rPr>
        <w:t>；</w:t>
      </w:r>
    </w:p>
    <w:p w14:paraId="2EF1825C" w14:textId="758690C3" w:rsidR="007E0D95" w:rsidRDefault="00000000">
      <w:pPr>
        <w:widowControl/>
        <w:adjustRightInd w:val="0"/>
        <w:snapToGrid w:val="0"/>
        <w:spacing w:line="300" w:lineRule="auto"/>
        <w:ind w:leftChars="200" w:left="440"/>
        <w:jc w:val="both"/>
        <w:textAlignment w:val="baseline"/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——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煎煮次数</w:t>
      </w:r>
      <w:r>
        <w:rPr>
          <w:rFonts w:cs="Times New Roman" w:hint="eastAsia"/>
          <w:b/>
          <w:bCs/>
          <w:color w:val="000000"/>
          <w:spacing w:val="-2"/>
          <w:sz w:val="21"/>
          <w:szCs w:val="21"/>
          <w:lang w:eastAsia="zh-CN" w:bidi="ar"/>
        </w:rPr>
        <w:t>：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一般煎煮</w:t>
      </w:r>
      <w:r w:rsidR="00765E66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2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次</w:t>
      </w:r>
      <w:r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；</w:t>
      </w:r>
    </w:p>
    <w:p w14:paraId="0222C583" w14:textId="77777777" w:rsidR="007E0D95" w:rsidRDefault="00000000">
      <w:pPr>
        <w:widowControl/>
        <w:adjustRightInd w:val="0"/>
        <w:snapToGrid w:val="0"/>
        <w:spacing w:line="300" w:lineRule="auto"/>
        <w:ind w:leftChars="200" w:left="856" w:hangingChars="200" w:hanging="416"/>
        <w:jc w:val="both"/>
        <w:textAlignment w:val="baseline"/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——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煎煮火候</w:t>
      </w:r>
      <w:r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：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解表药宜用武火速煎</w:t>
      </w:r>
      <w:r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；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一般药用文火和武火交叉煎煮，使有效成分充分煎出；滋补调理药开始用武火煎沸，沸后用文火慢煎，使药汁浓厚，药力持久</w:t>
      </w:r>
      <w:r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；</w:t>
      </w:r>
    </w:p>
    <w:p w14:paraId="0AFFEE03" w14:textId="27130859" w:rsidR="007E0D95" w:rsidRDefault="00000000">
      <w:pPr>
        <w:widowControl/>
        <w:adjustRightInd w:val="0"/>
        <w:snapToGrid w:val="0"/>
        <w:spacing w:line="300" w:lineRule="auto"/>
        <w:ind w:leftChars="200" w:left="856" w:hangingChars="200" w:hanging="416"/>
        <w:jc w:val="both"/>
        <w:textAlignment w:val="baseline"/>
        <w:rPr>
          <w:rFonts w:cs="Times New Roman" w:hint="eastAsia"/>
          <w:snapToGrid w:val="0"/>
          <w:color w:val="000000"/>
          <w:spacing w:val="-2"/>
          <w:sz w:val="21"/>
          <w:szCs w:val="21"/>
          <w:lang w:eastAsia="zh-CN" w:bidi="ar"/>
        </w:rPr>
      </w:pPr>
      <w:r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——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煎煮时间</w:t>
      </w:r>
      <w:r>
        <w:rPr>
          <w:rFonts w:cs="Times New Roman" w:hint="eastAsia"/>
          <w:b/>
          <w:bCs/>
          <w:color w:val="000000"/>
          <w:spacing w:val="-2"/>
          <w:sz w:val="21"/>
          <w:szCs w:val="21"/>
          <w:lang w:eastAsia="zh-CN" w:bidi="ar"/>
        </w:rPr>
        <w:t>：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解表药头煎煮沸后1</w:t>
      </w:r>
      <w:r w:rsidR="006737C5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0</w:t>
      </w:r>
      <w:r w:rsidR="00765E66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min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～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20</w:t>
      </w:r>
      <w:r w:rsidR="00765E66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min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，二煎煮沸后1</w:t>
      </w:r>
      <w:r w:rsidR="006737C5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0</w:t>
      </w:r>
      <w:r w:rsidR="00765E66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min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～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1</w:t>
      </w:r>
      <w:r w:rsidR="006737C5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5</w:t>
      </w:r>
      <w:r w:rsidR="00765E66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min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；一般药头煎煮沸后20</w:t>
      </w:r>
      <w:r w:rsidR="00765E66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min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～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25</w:t>
      </w:r>
      <w:r w:rsidR="00765E66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min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，二煎煮沸后15</w:t>
      </w:r>
      <w:r w:rsidR="00765E66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min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～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20</w:t>
      </w:r>
      <w:r w:rsidR="00765E66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min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；滋补调理药头煎煮沸后30</w:t>
      </w:r>
      <w:r w:rsidR="00765E66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min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～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35</w:t>
      </w:r>
      <w:r w:rsidR="00765E66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min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，二煎煮沸后20</w:t>
      </w:r>
      <w:r w:rsidR="00765E66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min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～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25</w:t>
      </w:r>
      <w:r w:rsidR="00765E66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min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；</w:t>
      </w:r>
    </w:p>
    <w:p w14:paraId="42927A37" w14:textId="77777777" w:rsidR="001F06CB" w:rsidRDefault="00000000">
      <w:pPr>
        <w:widowControl/>
        <w:adjustRightInd w:val="0"/>
        <w:snapToGrid w:val="0"/>
        <w:spacing w:line="300" w:lineRule="auto"/>
        <w:ind w:leftChars="200" w:left="440"/>
        <w:jc w:val="both"/>
        <w:textAlignment w:val="baseline"/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</w:pPr>
      <w:r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——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需要特殊处理的药物</w:t>
      </w:r>
      <w:r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，包括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先煎</w:t>
      </w:r>
      <w:bookmarkStart w:id="24" w:name="_Toc1133893665"/>
      <w:r w:rsidR="001F06CB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、</w:t>
      </w:r>
      <w:r w:rsidR="001F06CB">
        <w:rPr>
          <w:rFonts w:cs="Times New Roman"/>
          <w:color w:val="000000"/>
          <w:spacing w:val="-2"/>
          <w:sz w:val="21"/>
          <w:szCs w:val="21"/>
          <w:lang w:eastAsia="zh-CN" w:bidi="ar"/>
        </w:rPr>
        <w:t>后</w:t>
      </w:r>
      <w:r w:rsidR="001F06CB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下、</w:t>
      </w:r>
      <w:r w:rsidR="001F06CB">
        <w:rPr>
          <w:rFonts w:cs="Times New Roman"/>
          <w:color w:val="000000"/>
          <w:spacing w:val="-2"/>
          <w:sz w:val="21"/>
          <w:szCs w:val="21"/>
          <w:lang w:eastAsia="zh-CN" w:bidi="ar"/>
        </w:rPr>
        <w:t>包煎</w:t>
      </w:r>
      <w:r w:rsidR="001F06CB"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等方式。</w:t>
      </w:r>
    </w:p>
    <w:p w14:paraId="086763D4" w14:textId="77777777" w:rsidR="001F06CB" w:rsidRDefault="001F06CB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3"/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 xml:space="preserve">7.2.2 </w:t>
      </w:r>
      <w:r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  <w:t>用药</w:t>
      </w:r>
      <w:bookmarkEnd w:id="24"/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>交代</w:t>
      </w:r>
    </w:p>
    <w:p w14:paraId="016D7950" w14:textId="4075BE6F" w:rsidR="001F06CB" w:rsidRPr="001F06CB" w:rsidRDefault="001F06CB" w:rsidP="001F06CB">
      <w:pPr>
        <w:widowControl/>
        <w:snapToGrid w:val="0"/>
        <w:spacing w:line="300" w:lineRule="auto"/>
        <w:ind w:leftChars="200" w:left="44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 w:rsidRPr="007D274B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中药</w:t>
      </w:r>
      <w:r w:rsidRPr="007D274B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饮片用药交代</w:t>
      </w:r>
      <w:r w:rsidRPr="007D274B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应</w:t>
      </w:r>
      <w:r w:rsidR="007D274B" w:rsidRPr="007D274B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包</w:t>
      </w:r>
      <w:r w:rsidR="006737C5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括但不限于</w:t>
      </w:r>
      <w:r w:rsidRPr="007D274B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：</w:t>
      </w:r>
    </w:p>
    <w:p w14:paraId="45F853BF" w14:textId="5FD39581" w:rsidR="007E0D95" w:rsidRDefault="00000000">
      <w:pPr>
        <w:widowControl/>
        <w:adjustRightInd w:val="0"/>
        <w:snapToGrid w:val="0"/>
        <w:spacing w:line="300" w:lineRule="auto"/>
        <w:ind w:leftChars="200" w:left="440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color w:val="000000"/>
          <w:spacing w:val="-1"/>
          <w:sz w:val="21"/>
          <w:szCs w:val="21"/>
          <w:lang w:eastAsia="zh-CN" w:bidi="ar"/>
        </w:rPr>
        <w:t>——用</w:t>
      </w:r>
      <w:r>
        <w:rPr>
          <w:rFonts w:cs="Times New Roman"/>
          <w:color w:val="000000"/>
          <w:spacing w:val="-1"/>
          <w:sz w:val="21"/>
          <w:szCs w:val="21"/>
          <w:lang w:eastAsia="zh-CN" w:bidi="ar"/>
        </w:rPr>
        <w:t>药途径和服药温度</w:t>
      </w:r>
      <w:r>
        <w:rPr>
          <w:rFonts w:cs="Times New Roman" w:hint="eastAsia"/>
          <w:color w:val="000000"/>
          <w:spacing w:val="-1"/>
          <w:sz w:val="21"/>
          <w:szCs w:val="21"/>
          <w:lang w:eastAsia="zh-CN" w:bidi="ar"/>
        </w:rPr>
        <w:t>：</w:t>
      </w:r>
    </w:p>
    <w:p w14:paraId="62B1B1DF" w14:textId="77777777" w:rsidR="007E0D95" w:rsidRDefault="00000000">
      <w:pPr>
        <w:widowControl/>
        <w:numPr>
          <w:ilvl w:val="0"/>
          <w:numId w:val="3"/>
        </w:numPr>
        <w:kinsoku w:val="0"/>
        <w:adjustRightInd w:val="0"/>
        <w:snapToGrid w:val="0"/>
        <w:spacing w:line="300" w:lineRule="auto"/>
        <w:ind w:leftChars="400" w:left="130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内服药品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 xml:space="preserve"> 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根据药品特性，告知具体的服用方法及汤药服用温度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；</w:t>
      </w:r>
    </w:p>
    <w:p w14:paraId="56019453" w14:textId="29B05BF8" w:rsidR="007E0D95" w:rsidRDefault="00000000" w:rsidP="007D274B">
      <w:pPr>
        <w:widowControl/>
        <w:numPr>
          <w:ilvl w:val="0"/>
          <w:numId w:val="2"/>
        </w:numPr>
        <w:kinsoku w:val="0"/>
        <w:adjustRightInd w:val="0"/>
        <w:snapToGrid w:val="0"/>
        <w:spacing w:line="300" w:lineRule="auto"/>
        <w:ind w:leftChars="400" w:left="1048" w:hangingChars="80" w:hanging="168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外用药品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 xml:space="preserve"> 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根据药品特性，告知具体使用方法及用药部位；有特殊稀释倍数要求的药品应告知具体用量及稀释倍数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；</w:t>
      </w:r>
    </w:p>
    <w:p w14:paraId="15A4059A" w14:textId="77777777" w:rsidR="007E0D95" w:rsidRDefault="00000000">
      <w:pPr>
        <w:widowControl/>
        <w:adjustRightInd w:val="0"/>
        <w:snapToGrid w:val="0"/>
        <w:spacing w:line="300" w:lineRule="auto"/>
        <w:ind w:leftChars="200" w:left="440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 w:bidi="ar"/>
        </w:rPr>
      </w:pPr>
      <w:r>
        <w:rPr>
          <w:rFonts w:cs="Times New Roman" w:hint="eastAsia"/>
          <w:color w:val="000000"/>
          <w:spacing w:val="-1"/>
          <w:sz w:val="21"/>
          <w:szCs w:val="21"/>
          <w:lang w:eastAsia="zh-CN" w:bidi="ar"/>
        </w:rPr>
        <w:t>——用</w:t>
      </w:r>
      <w:r>
        <w:rPr>
          <w:rFonts w:cs="Times New Roman"/>
          <w:color w:val="000000"/>
          <w:spacing w:val="-1"/>
          <w:sz w:val="21"/>
          <w:szCs w:val="21"/>
          <w:lang w:eastAsia="zh-CN" w:bidi="ar"/>
        </w:rPr>
        <w:t>药时间：根据病情和药性</w:t>
      </w:r>
      <w:r>
        <w:rPr>
          <w:rFonts w:cs="Times New Roman" w:hint="eastAsia"/>
          <w:color w:val="000000"/>
          <w:spacing w:val="-1"/>
          <w:sz w:val="21"/>
          <w:szCs w:val="21"/>
          <w:lang w:eastAsia="zh-CN" w:bidi="ar"/>
        </w:rPr>
        <w:t>，</w:t>
      </w:r>
      <w:r>
        <w:rPr>
          <w:rFonts w:cs="Times New Roman"/>
          <w:color w:val="000000"/>
          <w:spacing w:val="-3"/>
          <w:sz w:val="21"/>
          <w:szCs w:val="21"/>
          <w:lang w:eastAsia="zh-CN" w:bidi="ar"/>
        </w:rPr>
        <w:t>告知患者或其照护者</w:t>
      </w:r>
      <w:r>
        <w:rPr>
          <w:rFonts w:cs="Times New Roman" w:hint="eastAsia"/>
          <w:color w:val="000000"/>
          <w:spacing w:val="-1"/>
          <w:sz w:val="21"/>
          <w:szCs w:val="21"/>
          <w:lang w:eastAsia="zh-CN" w:bidi="ar"/>
        </w:rPr>
        <w:t>正确的用药时间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5077A96E" w14:textId="77777777" w:rsidR="007E0D95" w:rsidRDefault="00000000">
      <w:pPr>
        <w:widowControl/>
        <w:adjustRightInd w:val="0"/>
        <w:snapToGrid w:val="0"/>
        <w:spacing w:line="300" w:lineRule="auto"/>
        <w:ind w:leftChars="200" w:left="440"/>
        <w:jc w:val="both"/>
        <w:textAlignment w:val="baseline"/>
        <w:rPr>
          <w:rFonts w:cs="Times New Roman" w:hint="eastAsia"/>
          <w:color w:val="000000"/>
          <w:spacing w:val="-4"/>
          <w:sz w:val="21"/>
          <w:szCs w:val="21"/>
          <w:lang w:eastAsia="zh-CN" w:bidi="ar"/>
        </w:rPr>
      </w:pPr>
      <w:r>
        <w:rPr>
          <w:rFonts w:cs="Times New Roman" w:hint="eastAsia"/>
          <w:color w:val="000000"/>
          <w:spacing w:val="-1"/>
          <w:sz w:val="21"/>
          <w:szCs w:val="21"/>
          <w:lang w:eastAsia="zh-CN" w:bidi="ar"/>
        </w:rPr>
        <w:t>——用</w:t>
      </w:r>
      <w:r>
        <w:rPr>
          <w:rFonts w:cs="Times New Roman"/>
          <w:color w:val="000000"/>
          <w:spacing w:val="-1"/>
          <w:sz w:val="21"/>
          <w:szCs w:val="21"/>
          <w:lang w:eastAsia="zh-CN" w:bidi="ar"/>
        </w:rPr>
        <w:t>药剂量：告知患者或其照护者可以理解并可正确执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行的</w:t>
      </w:r>
      <w:r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用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药剂量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19ABBB8D" w14:textId="77777777" w:rsidR="007E0D95" w:rsidRDefault="00000000">
      <w:pPr>
        <w:widowControl/>
        <w:adjustRightInd w:val="0"/>
        <w:snapToGrid w:val="0"/>
        <w:spacing w:line="300" w:lineRule="auto"/>
        <w:ind w:leftChars="200" w:left="852" w:hangingChars="200" w:hanging="412"/>
        <w:jc w:val="both"/>
        <w:textAlignment w:val="baseline"/>
        <w:rPr>
          <w:rFonts w:cs="Times New Roman" w:hint="eastAsia"/>
          <w:color w:val="000000"/>
          <w:spacing w:val="-4"/>
          <w:sz w:val="21"/>
          <w:szCs w:val="21"/>
          <w:lang w:eastAsia="zh-CN" w:bidi="ar"/>
        </w:rPr>
      </w:pPr>
      <w:r>
        <w:rPr>
          <w:rFonts w:cs="Times New Roman" w:hint="eastAsia"/>
          <w:color w:val="000000"/>
          <w:spacing w:val="-4"/>
          <w:sz w:val="21"/>
          <w:szCs w:val="21"/>
          <w:lang w:eastAsia="zh-CN" w:bidi="ar"/>
        </w:rPr>
        <w:t>——伴随反应：</w:t>
      </w:r>
      <w:r>
        <w:rPr>
          <w:rFonts w:cs="Times New Roman"/>
          <w:color w:val="000000"/>
          <w:spacing w:val="-4"/>
          <w:sz w:val="21"/>
          <w:szCs w:val="21"/>
          <w:lang w:eastAsia="zh-CN" w:bidi="ar"/>
        </w:rPr>
        <w:t>某些中药饮片在使用后</w:t>
      </w:r>
      <w:r>
        <w:rPr>
          <w:rFonts w:cs="Times New Roman" w:hint="eastAsia"/>
          <w:color w:val="000000"/>
          <w:spacing w:val="-4"/>
          <w:sz w:val="21"/>
          <w:szCs w:val="21"/>
          <w:lang w:eastAsia="zh-CN" w:bidi="ar"/>
        </w:rPr>
        <w:t>身体</w:t>
      </w:r>
      <w:r>
        <w:rPr>
          <w:rFonts w:cs="Times New Roman"/>
          <w:color w:val="000000"/>
          <w:spacing w:val="-4"/>
          <w:sz w:val="21"/>
          <w:szCs w:val="21"/>
          <w:lang w:eastAsia="zh-CN" w:bidi="ar"/>
        </w:rPr>
        <w:t>可能会产生一些</w:t>
      </w:r>
      <w:r>
        <w:rPr>
          <w:rFonts w:cs="Times New Roman" w:hint="eastAsia"/>
          <w:color w:val="000000"/>
          <w:spacing w:val="-4"/>
          <w:sz w:val="21"/>
          <w:szCs w:val="21"/>
          <w:lang w:eastAsia="zh-CN" w:bidi="ar"/>
        </w:rPr>
        <w:t>不适</w:t>
      </w:r>
      <w:r>
        <w:rPr>
          <w:rFonts w:cs="Times New Roman"/>
          <w:color w:val="000000"/>
          <w:spacing w:val="-4"/>
          <w:sz w:val="21"/>
          <w:szCs w:val="21"/>
          <w:lang w:eastAsia="zh-CN" w:bidi="ar"/>
        </w:rPr>
        <w:t>反应，</w:t>
      </w:r>
      <w:r>
        <w:rPr>
          <w:rFonts w:cs="Times New Roman"/>
          <w:color w:val="000000"/>
          <w:spacing w:val="-34"/>
          <w:sz w:val="21"/>
          <w:szCs w:val="21"/>
          <w:lang w:eastAsia="zh-CN" w:bidi="ar"/>
        </w:rPr>
        <w:t xml:space="preserve"> </w:t>
      </w:r>
      <w:r>
        <w:rPr>
          <w:rFonts w:cs="Times New Roman"/>
          <w:color w:val="000000"/>
          <w:spacing w:val="-4"/>
          <w:sz w:val="21"/>
          <w:szCs w:val="21"/>
          <w:lang w:eastAsia="zh-CN" w:bidi="ar"/>
        </w:rPr>
        <w:t>但不干扰</w:t>
      </w:r>
      <w:r>
        <w:rPr>
          <w:rFonts w:cs="Times New Roman" w:hint="eastAsia"/>
          <w:color w:val="000000"/>
          <w:spacing w:val="-4"/>
          <w:sz w:val="21"/>
          <w:szCs w:val="21"/>
          <w:lang w:eastAsia="zh-CN" w:bidi="ar"/>
        </w:rPr>
        <w:t>继续用药</w:t>
      </w:r>
      <w:r>
        <w:rPr>
          <w:rFonts w:cs="Times New Roman"/>
          <w:color w:val="000000"/>
          <w:spacing w:val="-4"/>
          <w:sz w:val="21"/>
          <w:szCs w:val="21"/>
          <w:lang w:eastAsia="zh-CN" w:bidi="ar"/>
        </w:rPr>
        <w:t>治疗，告知患</w:t>
      </w:r>
      <w:r>
        <w:rPr>
          <w:rFonts w:cs="Times New Roman"/>
          <w:color w:val="000000"/>
          <w:spacing w:val="-2"/>
          <w:sz w:val="21"/>
          <w:szCs w:val="21"/>
          <w:lang w:eastAsia="zh-CN" w:bidi="ar"/>
        </w:rPr>
        <w:t>者或其照护者这些伴随现象</w:t>
      </w:r>
      <w:r>
        <w:rPr>
          <w:rFonts w:cs="Times New Roman" w:hint="eastAsia"/>
          <w:color w:val="000000"/>
          <w:spacing w:val="-2"/>
          <w:sz w:val="21"/>
          <w:szCs w:val="21"/>
          <w:lang w:eastAsia="zh-CN" w:bidi="ar"/>
        </w:rPr>
        <w:t>；</w:t>
      </w:r>
    </w:p>
    <w:p w14:paraId="6C46DAD9" w14:textId="77777777" w:rsidR="007E0D95" w:rsidRDefault="00000000">
      <w:pPr>
        <w:widowControl/>
        <w:adjustRightInd w:val="0"/>
        <w:snapToGrid w:val="0"/>
        <w:spacing w:line="300" w:lineRule="auto"/>
        <w:ind w:leftChars="200" w:left="852" w:hangingChars="200" w:hanging="412"/>
        <w:jc w:val="both"/>
        <w:textAlignment w:val="baseline"/>
        <w:rPr>
          <w:rFonts w:cs="Times New Roman" w:hint="eastAsia"/>
          <w:color w:val="000000"/>
          <w:spacing w:val="-3"/>
          <w:sz w:val="21"/>
          <w:szCs w:val="21"/>
          <w:lang w:eastAsia="zh-CN" w:bidi="ar"/>
        </w:rPr>
      </w:pPr>
      <w:r>
        <w:rPr>
          <w:rFonts w:cs="Times New Roman" w:hint="eastAsia"/>
          <w:color w:val="000000"/>
          <w:spacing w:val="-4"/>
          <w:sz w:val="21"/>
          <w:szCs w:val="21"/>
          <w:lang w:eastAsia="zh-CN" w:bidi="ar"/>
        </w:rPr>
        <w:t>——</w:t>
      </w:r>
      <w:r>
        <w:rPr>
          <w:rFonts w:cs="Times New Roman"/>
          <w:color w:val="000000"/>
          <w:spacing w:val="-4"/>
          <w:sz w:val="21"/>
          <w:szCs w:val="21"/>
          <w:lang w:eastAsia="zh-CN" w:bidi="ar"/>
        </w:rPr>
        <w:t>饮食禁忌：</w:t>
      </w:r>
      <w:r>
        <w:rPr>
          <w:rFonts w:cs="Times New Roman"/>
          <w:color w:val="000000"/>
          <w:spacing w:val="-3"/>
          <w:sz w:val="21"/>
          <w:szCs w:val="21"/>
          <w:lang w:eastAsia="zh-CN" w:bidi="ar"/>
        </w:rPr>
        <w:t>告知患者或其照护者</w:t>
      </w:r>
      <w:r>
        <w:rPr>
          <w:rFonts w:cs="Times New Roman" w:hint="eastAsia"/>
          <w:color w:val="000000"/>
          <w:spacing w:val="-3"/>
          <w:sz w:val="21"/>
          <w:szCs w:val="21"/>
          <w:lang w:eastAsia="zh-CN" w:bidi="ar"/>
        </w:rPr>
        <w:t>用</w:t>
      </w:r>
      <w:r>
        <w:rPr>
          <w:rFonts w:cs="Times New Roman"/>
          <w:color w:val="000000"/>
          <w:spacing w:val="-4"/>
          <w:sz w:val="21"/>
          <w:szCs w:val="21"/>
          <w:lang w:eastAsia="zh-CN" w:bidi="ar"/>
        </w:rPr>
        <w:t>药时的饮食禁忌。服药时一般宜少食豆类、肉类、生冷及其他不易消化的食物，以免增加患者的消化负担，影响患者恢复健康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7546B3BC" w14:textId="3108EFFA" w:rsidR="007E0D95" w:rsidRDefault="00000000">
      <w:pPr>
        <w:widowControl/>
        <w:adjustRightInd w:val="0"/>
        <w:snapToGrid w:val="0"/>
        <w:spacing w:line="300" w:lineRule="auto"/>
        <w:ind w:leftChars="200" w:left="854" w:hangingChars="200" w:hanging="414"/>
        <w:jc w:val="both"/>
        <w:textAlignment w:val="baseline"/>
        <w:rPr>
          <w:rFonts w:cs="Times New Roman" w:hint="eastAsia"/>
          <w:color w:val="000000"/>
          <w:spacing w:val="-3"/>
          <w:sz w:val="21"/>
          <w:szCs w:val="21"/>
          <w:lang w:eastAsia="zh-CN" w:bidi="ar"/>
        </w:rPr>
      </w:pPr>
      <w:r>
        <w:rPr>
          <w:rFonts w:cs="Times New Roman" w:hint="eastAsia"/>
          <w:color w:val="000000"/>
          <w:spacing w:val="-3"/>
          <w:sz w:val="21"/>
          <w:szCs w:val="21"/>
          <w:lang w:eastAsia="zh-CN" w:bidi="ar"/>
        </w:rPr>
        <w:t>——用药间隔：</w:t>
      </w:r>
      <w:r>
        <w:rPr>
          <w:rFonts w:cs="Times New Roman"/>
          <w:color w:val="000000"/>
          <w:spacing w:val="-3"/>
          <w:sz w:val="21"/>
          <w:szCs w:val="21"/>
          <w:lang w:eastAsia="zh-CN" w:bidi="ar"/>
        </w:rPr>
        <w:t>同用药品中若存在中药与西药合用，中药饮片应与西药间隔使用</w:t>
      </w:r>
      <w:r>
        <w:rPr>
          <w:rFonts w:cs="Times New Roman" w:hint="eastAsia"/>
          <w:color w:val="000000"/>
          <w:spacing w:val="-3"/>
          <w:sz w:val="21"/>
          <w:szCs w:val="21"/>
          <w:lang w:eastAsia="zh-CN" w:bidi="ar"/>
        </w:rPr>
        <w:t>，</w:t>
      </w:r>
      <w:r>
        <w:rPr>
          <w:rFonts w:cs="Times New Roman"/>
          <w:color w:val="000000"/>
          <w:spacing w:val="-3"/>
          <w:sz w:val="21"/>
          <w:szCs w:val="21"/>
          <w:lang w:eastAsia="zh-CN" w:bidi="ar"/>
        </w:rPr>
        <w:t>会引起不良相互作用的，</w:t>
      </w:r>
      <w:r>
        <w:rPr>
          <w:rFonts w:cs="Times New Roman" w:hint="eastAsia"/>
          <w:color w:val="000000"/>
          <w:spacing w:val="-3"/>
          <w:sz w:val="21"/>
          <w:szCs w:val="21"/>
          <w:lang w:eastAsia="zh-CN" w:bidi="ar"/>
        </w:rPr>
        <w:t>应</w:t>
      </w:r>
      <w:r>
        <w:rPr>
          <w:rFonts w:cs="Times New Roman"/>
          <w:color w:val="000000"/>
          <w:spacing w:val="-3"/>
          <w:sz w:val="21"/>
          <w:szCs w:val="21"/>
          <w:lang w:eastAsia="zh-CN" w:bidi="ar"/>
        </w:rPr>
        <w:t>告知患者或其照护者间隔使用的方法和时间</w:t>
      </w:r>
      <w:r w:rsidR="00881119">
        <w:rPr>
          <w:rFonts w:cs="Times New Roman" w:hint="eastAsia"/>
          <w:color w:val="000000"/>
          <w:spacing w:val="-3"/>
          <w:sz w:val="21"/>
          <w:szCs w:val="21"/>
          <w:lang w:eastAsia="zh-CN" w:bidi="ar"/>
        </w:rPr>
        <w:t>；</w:t>
      </w:r>
    </w:p>
    <w:p w14:paraId="346A2BB5" w14:textId="77777777" w:rsidR="007E0D95" w:rsidRDefault="00000000">
      <w:pPr>
        <w:widowControl/>
        <w:adjustRightInd w:val="0"/>
        <w:snapToGrid w:val="0"/>
        <w:spacing w:line="300" w:lineRule="auto"/>
        <w:ind w:leftChars="200" w:left="440"/>
        <w:jc w:val="both"/>
        <w:textAlignment w:val="baseline"/>
        <w:rPr>
          <w:rFonts w:cs="Times New Roman" w:hint="eastAsia"/>
          <w:snapToGrid w:val="0"/>
          <w:color w:val="000000"/>
          <w:spacing w:val="-4"/>
          <w:sz w:val="21"/>
          <w:szCs w:val="21"/>
          <w:lang w:eastAsia="zh-CN"/>
        </w:rPr>
      </w:pPr>
      <w:r>
        <w:rPr>
          <w:rFonts w:cs="Times New Roman" w:hint="eastAsia"/>
          <w:color w:val="000000"/>
          <w:spacing w:val="-3"/>
          <w:sz w:val="21"/>
          <w:szCs w:val="21"/>
          <w:lang w:eastAsia="zh-CN" w:bidi="ar"/>
        </w:rPr>
        <w:t>——</w:t>
      </w:r>
      <w:r>
        <w:rPr>
          <w:rFonts w:cs="Times New Roman"/>
          <w:color w:val="000000"/>
          <w:spacing w:val="-3"/>
          <w:sz w:val="21"/>
          <w:szCs w:val="21"/>
          <w:lang w:eastAsia="zh-CN" w:bidi="ar"/>
        </w:rPr>
        <w:t>储存方法：包括中药饮片、代煎中药的储存要求</w:t>
      </w:r>
      <w:r>
        <w:rPr>
          <w:rFonts w:cs="Times New Roman" w:hint="eastAsia"/>
          <w:color w:val="000000"/>
          <w:spacing w:val="-3"/>
          <w:sz w:val="21"/>
          <w:szCs w:val="21"/>
          <w:lang w:eastAsia="zh-CN" w:bidi="ar"/>
        </w:rPr>
        <w:t>。</w:t>
      </w:r>
    </w:p>
    <w:p w14:paraId="681B94B2" w14:textId="77777777" w:rsidR="007E0D95" w:rsidRDefault="00000000">
      <w:pPr>
        <w:widowControl/>
        <w:adjustRightInd w:val="0"/>
        <w:snapToGrid w:val="0"/>
        <w:spacing w:beforeLines="100" w:before="240" w:afterLines="100" w:after="240" w:line="300" w:lineRule="auto"/>
        <w:jc w:val="both"/>
        <w:textAlignment w:val="baseline"/>
        <w:outlineLvl w:val="1"/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bookmarkStart w:id="25" w:name="_Toc2085796047"/>
      <w:bookmarkEnd w:id="15"/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8</w:t>
      </w:r>
      <w:r>
        <w:rPr>
          <w:rFonts w:ascii="黑体" w:eastAsia="黑体" w:hAnsi="黑体" w:cs="Times New Roman"/>
          <w:snapToGrid w:val="0"/>
          <w:color w:val="000000"/>
          <w:spacing w:val="-3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特殊人群用药交代</w:t>
      </w:r>
      <w:bookmarkEnd w:id="25"/>
    </w:p>
    <w:p w14:paraId="0524579F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</w:pPr>
      <w:bookmarkStart w:id="26" w:name="_Toc1826466301"/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 xml:space="preserve">8.1 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>妊娠哺乳期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患者</w:t>
      </w:r>
    </w:p>
    <w:p w14:paraId="69A86C0D" w14:textId="145E1625" w:rsidR="00B7759B" w:rsidRPr="00B7759B" w:rsidRDefault="00B7759B" w:rsidP="00B7759B">
      <w:pPr>
        <w:widowControl/>
        <w:adjustRightInd w:val="0"/>
        <w:snapToGrid w:val="0"/>
        <w:spacing w:line="300" w:lineRule="auto"/>
        <w:ind w:leftChars="200" w:left="86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bookmarkStart w:id="27" w:name="OLE_LINK3"/>
      <w:r w:rsidRPr="00B7759B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妊娠哺乳期患者用药交代应</w:t>
      </w:r>
      <w:r w:rsidRPr="00B7759B">
        <w:rPr>
          <w:rFonts w:cs="Times New Roman"/>
          <w:snapToGrid w:val="0"/>
          <w:color w:val="000000"/>
          <w:sz w:val="21"/>
          <w:szCs w:val="21"/>
          <w:lang w:eastAsia="zh-CN"/>
        </w:rPr>
        <w:t>包括但不限于</w:t>
      </w:r>
      <w:r w:rsidRPr="00B7759B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：</w:t>
      </w:r>
    </w:p>
    <w:bookmarkEnd w:id="27"/>
    <w:p w14:paraId="5E4211E7" w14:textId="77777777" w:rsidR="007E0D95" w:rsidRDefault="00000000">
      <w:pPr>
        <w:widowControl/>
        <w:adjustRightInd w:val="0"/>
        <w:snapToGrid w:val="0"/>
        <w:spacing w:line="300" w:lineRule="auto"/>
        <w:ind w:leftChars="200" w:left="86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告知患者或其照护者药品具体的使用方法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。应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严格遵医嘱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使用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，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勿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随意减量或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自行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停药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27B5AC07" w14:textId="77777777" w:rsidR="007E0D95" w:rsidRDefault="00000000">
      <w:pPr>
        <w:widowControl/>
        <w:adjustRightInd w:val="0"/>
        <w:snapToGrid w:val="0"/>
        <w:spacing w:line="300" w:lineRule="auto"/>
        <w:ind w:leftChars="200" w:left="44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告知患者定期监测相关指标及胎儿发育状况，根据监测结果调整用药频次和剂量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7F954B9A" w14:textId="77777777" w:rsidR="007E0D95" w:rsidRDefault="00000000">
      <w:pPr>
        <w:widowControl/>
        <w:adjustRightInd w:val="0"/>
        <w:snapToGrid w:val="0"/>
        <w:spacing w:line="300" w:lineRule="auto"/>
        <w:ind w:leftChars="200" w:left="44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——告知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此类人群用药的相关风险及受益信息，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减少患者妊娠哺乳期用药焦虑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1D824297" w14:textId="77777777" w:rsidR="007E0D95" w:rsidRDefault="00000000">
      <w:pPr>
        <w:widowControl/>
        <w:adjustRightInd w:val="0"/>
        <w:snapToGrid w:val="0"/>
        <w:spacing w:line="300" w:lineRule="auto"/>
        <w:ind w:leftChars="200" w:left="44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lastRenderedPageBreak/>
        <w:t>——建议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制作本机构妊娠哺乳期用药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手册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，并定期更新，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以供患者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或其照护者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参考。</w:t>
      </w:r>
    </w:p>
    <w:p w14:paraId="29416736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 xml:space="preserve">8.2 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>儿童患者</w:t>
      </w:r>
    </w:p>
    <w:p w14:paraId="6BFE7637" w14:textId="531B4C7B" w:rsidR="00B7759B" w:rsidRPr="001F06CB" w:rsidRDefault="00B7759B" w:rsidP="001F06CB">
      <w:pPr>
        <w:widowControl/>
        <w:adjustRightInd w:val="0"/>
        <w:snapToGrid w:val="0"/>
        <w:spacing w:line="300" w:lineRule="auto"/>
        <w:ind w:leftChars="200" w:left="86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儿童患者</w:t>
      </w:r>
      <w:r w:rsidRPr="00B7759B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用药交代应</w:t>
      </w:r>
      <w:r w:rsidRPr="00B7759B">
        <w:rPr>
          <w:rFonts w:cs="Times New Roman"/>
          <w:snapToGrid w:val="0"/>
          <w:color w:val="000000"/>
          <w:sz w:val="21"/>
          <w:szCs w:val="21"/>
          <w:lang w:eastAsia="zh-CN"/>
        </w:rPr>
        <w:t>包括但不限于</w:t>
      </w:r>
      <w:r w:rsidRPr="00B7759B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：</w:t>
      </w:r>
    </w:p>
    <w:p w14:paraId="4D21399D" w14:textId="77777777" w:rsidR="007E0D95" w:rsidRDefault="00000000">
      <w:pPr>
        <w:widowControl/>
        <w:adjustRightInd w:val="0"/>
        <w:snapToGrid w:val="0"/>
        <w:spacing w:line="300" w:lineRule="auto"/>
        <w:ind w:leftChars="200" w:left="86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儿童用药剂量与成人有较大差别，交代照护者要严格遵医嘱使用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，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勿自行加量或联合用药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0EAC2251" w14:textId="77777777" w:rsidR="007E0D95" w:rsidRDefault="00000000">
      <w:pPr>
        <w:widowControl/>
        <w:adjustRightInd w:val="0"/>
        <w:snapToGrid w:val="0"/>
        <w:spacing w:line="300" w:lineRule="auto"/>
        <w:ind w:leftChars="200" w:left="86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儿童对药品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易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产生抗拒，导致用药困难，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可告知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照护者喂药技巧，如部分药品可与食物同服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；</w:t>
      </w:r>
    </w:p>
    <w:p w14:paraId="7CAD2E93" w14:textId="77777777" w:rsidR="007E0D95" w:rsidRDefault="00000000">
      <w:pPr>
        <w:widowControl/>
        <w:adjustRightInd w:val="0"/>
        <w:snapToGrid w:val="0"/>
        <w:spacing w:line="300" w:lineRule="auto"/>
        <w:ind w:leftChars="200" w:left="86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告知照护者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应提高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对药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品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不良反应的警觉性，用药后孩子若出现不明原因的哭闹不安、皮疹、发烧、呕吐、呼吸异常等症状，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立即停药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并及时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就医。</w:t>
      </w:r>
    </w:p>
    <w:p w14:paraId="1AE0C39A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8.3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 xml:space="preserve"> 老年患者</w:t>
      </w:r>
    </w:p>
    <w:p w14:paraId="4F5F7836" w14:textId="32F3E7BA" w:rsidR="00B7759B" w:rsidRPr="00B7759B" w:rsidRDefault="00B7759B" w:rsidP="00B7759B">
      <w:pPr>
        <w:widowControl/>
        <w:adjustRightInd w:val="0"/>
        <w:snapToGrid w:val="0"/>
        <w:spacing w:line="300" w:lineRule="auto"/>
        <w:ind w:leftChars="200" w:left="86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 w:rsidRPr="00B7759B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老年患者用药交代应包括但不限于：</w:t>
      </w:r>
    </w:p>
    <w:p w14:paraId="3BBCAAB6" w14:textId="6E0B9955" w:rsidR="007E0D95" w:rsidRDefault="00000000">
      <w:pPr>
        <w:widowControl/>
        <w:adjustRightInd w:val="0"/>
        <w:snapToGrid w:val="0"/>
        <w:spacing w:line="300" w:lineRule="auto"/>
        <w:ind w:leftChars="200" w:left="86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老年患者用药交代时，药师</w:t>
      </w:r>
      <w:r w:rsidR="002E3789"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全面了解患者就诊科室和医疗机构，并确认所有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在用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药品及用药情况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4FEDD1B2" w14:textId="77777777" w:rsidR="007E0D95" w:rsidRDefault="00000000">
      <w:pPr>
        <w:widowControl/>
        <w:adjustRightInd w:val="0"/>
        <w:snapToGrid w:val="0"/>
        <w:spacing w:line="300" w:lineRule="auto"/>
        <w:ind w:leftChars="200" w:left="860" w:hangingChars="200" w:hanging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老年患者用药交代时标注清楚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用药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剂量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、用药时间，告知照护者可通过准备药品分装盒，建立用药日程表及人工智能辅助等方式提醒患者规范服药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719281BD" w14:textId="77777777" w:rsidR="007E0D95" w:rsidRDefault="00000000">
      <w:pPr>
        <w:widowControl/>
        <w:adjustRightInd w:val="0"/>
        <w:snapToGrid w:val="0"/>
        <w:spacing w:line="300" w:lineRule="auto"/>
        <w:ind w:left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——药师应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通俗易懂地讲解药品知识，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帮助老年患者正确认识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药品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不良反应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。</w:t>
      </w:r>
    </w:p>
    <w:p w14:paraId="1C8814F7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8.4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 xml:space="preserve"> 特殊职业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患者</w:t>
      </w:r>
    </w:p>
    <w:p w14:paraId="2B991163" w14:textId="77777777" w:rsidR="007E0D95" w:rsidRDefault="00000000">
      <w:pPr>
        <w:widowControl/>
        <w:adjustRightInd w:val="0"/>
        <w:snapToGrid w:val="0"/>
        <w:spacing w:line="300" w:lineRule="auto"/>
        <w:ind w:firstLineChars="200" w:firstLine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告知患者或其照护者某些药品使用后可能导致嗜睡、眩晕、视力模糊、定向力障碍等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症状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，从事驾驶、高空作业等特殊职业者要注意药品对工作的影响。</w:t>
      </w:r>
    </w:p>
    <w:p w14:paraId="2A3CCBA6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8.5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残障患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>者</w:t>
      </w:r>
    </w:p>
    <w:p w14:paraId="795D5A1F" w14:textId="77777777" w:rsidR="007E0D95" w:rsidRDefault="00000000">
      <w:pPr>
        <w:widowControl/>
        <w:adjustRightInd w:val="0"/>
        <w:snapToGrid w:val="0"/>
        <w:spacing w:line="300" w:lineRule="auto"/>
        <w:ind w:firstLineChars="200" w:firstLine="420"/>
        <w:jc w:val="both"/>
        <w:textAlignment w:val="baseline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bookmarkStart w:id="28" w:name="_Toc1915339854"/>
      <w:bookmarkEnd w:id="26"/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应注重人文关怀，特别关注残障患者身体功能、认知能力及心理需求等，选择合适的沟通方式，采取多种形式</w:t>
      </w:r>
      <w:bookmarkStart w:id="29" w:name="bookmark8"/>
      <w:bookmarkEnd w:id="29"/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进行用药交代。</w:t>
      </w:r>
      <w:bookmarkStart w:id="30" w:name="_Toc1748036067"/>
      <w:bookmarkEnd w:id="28"/>
    </w:p>
    <w:p w14:paraId="0D5747A8" w14:textId="77777777" w:rsidR="007E0D95" w:rsidRDefault="00000000">
      <w:pPr>
        <w:widowControl/>
        <w:adjustRightInd w:val="0"/>
        <w:snapToGrid w:val="0"/>
        <w:spacing w:beforeLines="100" w:before="240" w:afterLines="100" w:after="240" w:line="300" w:lineRule="auto"/>
        <w:jc w:val="both"/>
        <w:textAlignment w:val="baseline"/>
        <w:outlineLvl w:val="1"/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9</w:t>
      </w:r>
      <w:r>
        <w:rPr>
          <w:rFonts w:ascii="黑体" w:eastAsia="黑体" w:hAnsi="黑体" w:cs="Times New Roman"/>
          <w:snapToGrid w:val="0"/>
          <w:color w:val="000000"/>
          <w:spacing w:val="-3"/>
          <w:sz w:val="21"/>
          <w:szCs w:val="21"/>
          <w:lang w:eastAsia="zh-CN"/>
        </w:rPr>
        <w:t xml:space="preserve"> 用药交代</w:t>
      </w:r>
      <w:r>
        <w:rPr>
          <w:rFonts w:ascii="黑体" w:eastAsia="黑体" w:hAnsi="黑体" w:cs="Times New Roman" w:hint="eastAsia"/>
          <w:snapToGrid w:val="0"/>
          <w:color w:val="000000"/>
          <w:spacing w:val="-3"/>
          <w:sz w:val="21"/>
          <w:szCs w:val="21"/>
          <w:lang w:eastAsia="zh-CN"/>
        </w:rPr>
        <w:t>质量控制</w:t>
      </w:r>
      <w:bookmarkEnd w:id="30"/>
    </w:p>
    <w:p w14:paraId="6864BD30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bookmarkStart w:id="31" w:name="bookmark9"/>
      <w:bookmarkStart w:id="32" w:name="_Toc803940771"/>
      <w:bookmarkEnd w:id="31"/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9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>.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1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 xml:space="preserve"> 培训与</w:t>
      </w:r>
      <w:bookmarkEnd w:id="32"/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评价</w:t>
      </w:r>
    </w:p>
    <w:p w14:paraId="7BBACD60" w14:textId="77777777" w:rsidR="007E0D95" w:rsidRDefault="00000000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医疗机构应制定用药交代培训方案、工作计划、考核方案，并有</w:t>
      </w: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t>执行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记录。</w:t>
      </w:r>
    </w:p>
    <w:p w14:paraId="4865CE24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3"/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bookmarkStart w:id="33" w:name="_Toc1978160375"/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>9</w:t>
      </w:r>
      <w:r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  <w:t>.</w:t>
      </w:r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>1</w:t>
      </w:r>
      <w:r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  <w:t>.1 培训</w:t>
      </w:r>
      <w:bookmarkEnd w:id="33"/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>内容</w:t>
      </w:r>
    </w:p>
    <w:p w14:paraId="04A21512" w14:textId="77777777" w:rsidR="007E0D95" w:rsidRDefault="00000000">
      <w:pPr>
        <w:widowControl/>
        <w:adjustRightInd w:val="0"/>
        <w:snapToGrid w:val="0"/>
        <w:spacing w:line="300" w:lineRule="auto"/>
        <w:ind w:firstLineChars="200" w:firstLine="420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bookmarkStart w:id="34" w:name="_Toc586837457"/>
      <w:bookmarkStart w:id="35" w:name="_Toc1381712543"/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医疗机构应持续加强药师专业技能培训，</w:t>
      </w:r>
      <w:bookmarkEnd w:id="34"/>
      <w:bookmarkEnd w:id="35"/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内容包括但不限于：</w:t>
      </w:r>
    </w:p>
    <w:p w14:paraId="590F0CC8" w14:textId="348B1E89" w:rsidR="007E0D95" w:rsidRDefault="00000000">
      <w:pPr>
        <w:widowControl/>
        <w:adjustRightInd w:val="0"/>
        <w:snapToGrid w:val="0"/>
        <w:spacing w:line="300" w:lineRule="auto"/>
        <w:ind w:leftChars="200" w:left="440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综合素质培训：包括药事管理法律法规、沟通与交流技能</w:t>
      </w:r>
      <w:r w:rsidR="00765E66"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、药学服务礼仪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等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316A4C2B" w14:textId="77777777" w:rsidR="007E0D95" w:rsidRDefault="00000000">
      <w:pPr>
        <w:widowControl/>
        <w:adjustRightInd w:val="0"/>
        <w:snapToGrid w:val="0"/>
        <w:spacing w:line="300" w:lineRule="auto"/>
        <w:ind w:leftChars="200" w:left="858" w:hangingChars="200" w:hanging="418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药学专业理论知识培训：包括培训常见病用药的药理学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（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药代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/药效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动力学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）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、治疗药物监测、药物相互作用、药物治疗指南等理论知识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55F8DC98" w14:textId="59295117" w:rsidR="007E0D95" w:rsidRDefault="00000000">
      <w:pPr>
        <w:widowControl/>
        <w:adjustRightInd w:val="0"/>
        <w:snapToGrid w:val="0"/>
        <w:spacing w:line="300" w:lineRule="auto"/>
        <w:ind w:leftChars="200" w:left="858" w:hangingChars="200" w:hanging="418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用药交代实践技能培训：包括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处方（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医嘱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）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审核、用药咨询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和操作指导、</w:t>
      </w:r>
      <w:r>
        <w:rPr>
          <w:rFonts w:cs="Times New Roman"/>
          <w:snapToGrid w:val="0"/>
          <w:color w:val="000000"/>
          <w:spacing w:val="-1"/>
          <w:sz w:val="21"/>
          <w:szCs w:val="21"/>
          <w:lang w:eastAsia="zh-CN"/>
        </w:rPr>
        <w:t>药品不良反应监测与报告等</w:t>
      </w:r>
      <w:r w:rsidR="00881119"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</w:p>
    <w:p w14:paraId="47339E4B" w14:textId="77777777" w:rsidR="007E0D95" w:rsidRDefault="00000000">
      <w:pPr>
        <w:widowControl/>
        <w:adjustRightInd w:val="0"/>
        <w:snapToGrid w:val="0"/>
        <w:spacing w:line="300" w:lineRule="auto"/>
        <w:ind w:leftChars="200" w:left="858" w:hangingChars="200" w:hanging="418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——信息化培训：在构建完善的用药交代信息系统基础上，培训药师借助智能设备为患者提供便捷的用药信息查询和提醒功能，帮助患者更好地理解和执行用药方案。</w:t>
      </w:r>
    </w:p>
    <w:p w14:paraId="224C6C61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3"/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bookmarkStart w:id="36" w:name="_Toc822324945"/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>9</w:t>
      </w:r>
      <w:r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  <w:t>.</w:t>
      </w:r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>1</w:t>
      </w:r>
      <w:r>
        <w:rPr>
          <w:rFonts w:ascii="黑体" w:eastAsia="黑体" w:hAnsi="黑体" w:cs="Times New Roman"/>
          <w:snapToGrid w:val="0"/>
          <w:color w:val="000000"/>
          <w:spacing w:val="-1"/>
          <w:sz w:val="21"/>
          <w:szCs w:val="21"/>
          <w:lang w:eastAsia="zh-CN"/>
        </w:rPr>
        <w:t xml:space="preserve">.2 </w:t>
      </w:r>
      <w:bookmarkEnd w:id="36"/>
      <w:r>
        <w:rPr>
          <w:rFonts w:ascii="黑体" w:eastAsia="黑体" w:hAnsi="黑体" w:cs="Times New Roman" w:hint="eastAsia"/>
          <w:snapToGrid w:val="0"/>
          <w:color w:val="000000"/>
          <w:spacing w:val="-1"/>
          <w:sz w:val="21"/>
          <w:szCs w:val="21"/>
          <w:lang w:eastAsia="zh-CN"/>
        </w:rPr>
        <w:t>考核评价</w:t>
      </w:r>
    </w:p>
    <w:p w14:paraId="68E68380" w14:textId="77777777" w:rsidR="007E0D95" w:rsidRDefault="00000000">
      <w:pPr>
        <w:widowControl/>
        <w:adjustRightInd w:val="0"/>
        <w:snapToGrid w:val="0"/>
        <w:spacing w:line="300" w:lineRule="auto"/>
        <w:ind w:firstLineChars="200" w:firstLine="420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lastRenderedPageBreak/>
        <w:t>可通过多种形式对用药交代质量进行考核评价：</w:t>
      </w:r>
    </w:p>
    <w:p w14:paraId="6E4FC387" w14:textId="77777777" w:rsidR="007E0D95" w:rsidRDefault="00000000">
      <w:pPr>
        <w:widowControl/>
        <w:adjustRightInd w:val="0"/>
        <w:snapToGrid w:val="0"/>
        <w:spacing w:line="300" w:lineRule="auto"/>
        <w:ind w:left="442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——理论考核：线上线下等多种方式；</w:t>
      </w:r>
    </w:p>
    <w:p w14:paraId="050CFFD1" w14:textId="77777777" w:rsidR="007E0D95" w:rsidRDefault="00000000">
      <w:pPr>
        <w:widowControl/>
        <w:adjustRightInd w:val="0"/>
        <w:snapToGrid w:val="0"/>
        <w:spacing w:line="300" w:lineRule="auto"/>
        <w:ind w:left="442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——模拟演练：情景设置、模拟考核等方式；</w:t>
      </w:r>
    </w:p>
    <w:p w14:paraId="5EBEAC72" w14:textId="77777777" w:rsidR="007E0D95" w:rsidRDefault="00000000">
      <w:pPr>
        <w:widowControl/>
        <w:adjustRightInd w:val="0"/>
        <w:snapToGrid w:val="0"/>
        <w:spacing w:line="300" w:lineRule="auto"/>
        <w:ind w:leftChars="198" w:left="854" w:hangingChars="200" w:hanging="418"/>
        <w:jc w:val="both"/>
        <w:textAlignment w:val="baseline"/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——现场检查：现场查看用药交代过程中服务礼仪、专业知识储备、沟通应变能力、信息化设备的应用等；</w:t>
      </w:r>
    </w:p>
    <w:p w14:paraId="53EA821B" w14:textId="77777777" w:rsidR="007E0D95" w:rsidRDefault="00000000">
      <w:pPr>
        <w:widowControl/>
        <w:adjustRightInd w:val="0"/>
        <w:snapToGrid w:val="0"/>
        <w:spacing w:line="300" w:lineRule="auto"/>
        <w:ind w:left="442"/>
        <w:jc w:val="both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t>——患者随访。</w:t>
      </w:r>
    </w:p>
    <w:p w14:paraId="668E26D7" w14:textId="77777777" w:rsidR="007E0D95" w:rsidRDefault="00000000">
      <w:pPr>
        <w:widowControl/>
        <w:adjustRightInd w:val="0"/>
        <w:snapToGrid w:val="0"/>
        <w:spacing w:beforeLines="50" w:before="120" w:afterLines="50" w:after="120" w:line="300" w:lineRule="auto"/>
        <w:jc w:val="both"/>
        <w:textAlignment w:val="baseline"/>
        <w:outlineLvl w:val="2"/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</w:pP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9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>.</w:t>
      </w:r>
      <w:r>
        <w:rPr>
          <w:rFonts w:ascii="黑体" w:eastAsia="黑体" w:hAnsi="黑体" w:cs="Times New Roman" w:hint="eastAsia"/>
          <w:snapToGrid w:val="0"/>
          <w:color w:val="000000"/>
          <w:spacing w:val="-2"/>
          <w:sz w:val="21"/>
          <w:szCs w:val="21"/>
          <w:lang w:eastAsia="zh-CN"/>
        </w:rPr>
        <w:t>2</w:t>
      </w:r>
      <w:r>
        <w:rPr>
          <w:rFonts w:ascii="黑体" w:eastAsia="黑体" w:hAnsi="黑体" w:cs="Times New Roman"/>
          <w:snapToGrid w:val="0"/>
          <w:color w:val="000000"/>
          <w:spacing w:val="-2"/>
          <w:sz w:val="21"/>
          <w:szCs w:val="21"/>
          <w:lang w:eastAsia="zh-CN"/>
        </w:rPr>
        <w:t xml:space="preserve"> 用药交代持续改进</w:t>
      </w:r>
    </w:p>
    <w:p w14:paraId="7674E88F" w14:textId="77777777" w:rsidR="007E0D95" w:rsidRDefault="00000000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医疗机构应</w:t>
      </w: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t>设置患者反馈机制，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收集患者对用药交代的意见建议，定期对用药交代的开展情况进行</w:t>
      </w: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t>评价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，分析工作成效和存在问题</w:t>
      </w:r>
      <w:r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  <w:t>，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制定改进措施，督导落实并记录</w:t>
      </w:r>
      <w:r>
        <w:rPr>
          <w:rFonts w:cs="Times New Roman" w:hint="eastAsia"/>
          <w:snapToGrid w:val="0"/>
          <w:color w:val="000000"/>
          <w:spacing w:val="-1"/>
          <w:sz w:val="21"/>
          <w:szCs w:val="21"/>
          <w:lang w:eastAsia="zh-CN"/>
        </w:rPr>
        <w:t>；</w:t>
      </w:r>
      <w:r>
        <w:rPr>
          <w:rFonts w:cs="Times New Roman"/>
          <w:snapToGrid w:val="0"/>
          <w:color w:val="000000"/>
          <w:sz w:val="21"/>
          <w:szCs w:val="21"/>
          <w:lang w:eastAsia="zh-CN" w:bidi="ar"/>
        </w:rPr>
        <w:t>医疗机构应根据评价结果制定激励机制。</w:t>
      </w:r>
    </w:p>
    <w:p w14:paraId="7E0AA9B6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7A1D9D61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5D2B9297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6BA38A89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7C06A83F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26716A1B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680052F7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6F7BC0AB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799B5262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56B479F4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64B76552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6AB6F944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088596EC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07FBA0D2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5B555DE5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75001093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1E88D74F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02B8A794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01017CE3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3120B2B6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4E74BAF7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6F356E08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6FCB1866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5D73E5AF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423F4251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0FDFEBCE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1C65F12A" w14:textId="77777777" w:rsidR="007E0D95" w:rsidRDefault="007E0D95">
      <w:pPr>
        <w:widowControl/>
        <w:adjustRightInd w:val="0"/>
        <w:snapToGrid w:val="0"/>
        <w:spacing w:line="300" w:lineRule="auto"/>
        <w:ind w:firstLineChars="200" w:firstLine="420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05A54F20" w14:textId="77777777" w:rsidR="007E0D95" w:rsidRDefault="007E0D95" w:rsidP="00B47EB3">
      <w:pPr>
        <w:widowControl/>
        <w:adjustRightInd w:val="0"/>
        <w:snapToGrid w:val="0"/>
        <w:spacing w:line="300" w:lineRule="auto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 w:bidi="ar"/>
        </w:rPr>
      </w:pPr>
    </w:p>
    <w:p w14:paraId="31D93C4B" w14:textId="77777777" w:rsidR="007E0D95" w:rsidRDefault="00000000">
      <w:pPr>
        <w:widowControl/>
        <w:adjustRightInd w:val="0"/>
        <w:snapToGrid w:val="0"/>
        <w:spacing w:afterLines="50" w:after="120" w:line="300" w:lineRule="auto"/>
        <w:jc w:val="center"/>
        <w:textAlignment w:val="baseline"/>
        <w:outlineLvl w:val="0"/>
        <w:rPr>
          <w:rFonts w:ascii="黑体" w:eastAsia="黑体" w:hAnsi="黑体" w:cs="Times New Roman" w:hint="eastAsia"/>
          <w:b/>
          <w:bCs/>
          <w:snapToGrid w:val="0"/>
          <w:color w:val="000000"/>
          <w:sz w:val="21"/>
          <w:szCs w:val="21"/>
          <w:lang w:eastAsia="zh-CN"/>
        </w:rPr>
      </w:pPr>
      <w:r>
        <w:rPr>
          <w:rFonts w:ascii="黑体" w:eastAsia="黑体" w:hAnsi="黑体" w:cs="Times New Roman"/>
          <w:b/>
          <w:bCs/>
          <w:snapToGrid w:val="0"/>
          <w:color w:val="000000"/>
          <w:spacing w:val="-6"/>
          <w:sz w:val="21"/>
          <w:szCs w:val="21"/>
          <w:lang w:eastAsia="zh-CN"/>
        </w:rPr>
        <w:lastRenderedPageBreak/>
        <w:t>参</w:t>
      </w:r>
      <w:r>
        <w:rPr>
          <w:rFonts w:ascii="黑体" w:eastAsia="黑体" w:hAnsi="黑体" w:cs="Times New Roman"/>
          <w:b/>
          <w:bCs/>
          <w:snapToGrid w:val="0"/>
          <w:color w:val="000000"/>
          <w:spacing w:val="4"/>
          <w:sz w:val="21"/>
          <w:szCs w:val="21"/>
          <w:lang w:eastAsia="zh-CN"/>
        </w:rPr>
        <w:t xml:space="preserve">  </w:t>
      </w:r>
      <w:r>
        <w:rPr>
          <w:rFonts w:ascii="黑体" w:eastAsia="黑体" w:hAnsi="黑体" w:cs="Times New Roman"/>
          <w:b/>
          <w:bCs/>
          <w:snapToGrid w:val="0"/>
          <w:color w:val="000000"/>
          <w:spacing w:val="-6"/>
          <w:sz w:val="21"/>
          <w:szCs w:val="21"/>
          <w:lang w:eastAsia="zh-CN"/>
        </w:rPr>
        <w:t>考</w:t>
      </w:r>
      <w:r>
        <w:rPr>
          <w:rFonts w:ascii="黑体" w:eastAsia="黑体" w:hAnsi="黑体" w:cs="Times New Roman"/>
          <w:b/>
          <w:bCs/>
          <w:snapToGrid w:val="0"/>
          <w:color w:val="000000"/>
          <w:spacing w:val="5"/>
          <w:sz w:val="21"/>
          <w:szCs w:val="21"/>
          <w:lang w:eastAsia="zh-CN"/>
        </w:rPr>
        <w:t xml:space="preserve">  </w:t>
      </w:r>
      <w:r>
        <w:rPr>
          <w:rFonts w:ascii="黑体" w:eastAsia="黑体" w:hAnsi="黑体" w:cs="Times New Roman"/>
          <w:b/>
          <w:bCs/>
          <w:snapToGrid w:val="0"/>
          <w:color w:val="000000"/>
          <w:spacing w:val="-6"/>
          <w:sz w:val="21"/>
          <w:szCs w:val="21"/>
          <w:lang w:eastAsia="zh-CN"/>
        </w:rPr>
        <w:t>文</w:t>
      </w:r>
      <w:r>
        <w:rPr>
          <w:rFonts w:ascii="黑体" w:eastAsia="黑体" w:hAnsi="黑体" w:cs="Times New Roman"/>
          <w:b/>
          <w:bCs/>
          <w:snapToGrid w:val="0"/>
          <w:color w:val="000000"/>
          <w:spacing w:val="3"/>
          <w:sz w:val="21"/>
          <w:szCs w:val="21"/>
          <w:lang w:eastAsia="zh-CN"/>
        </w:rPr>
        <w:t xml:space="preserve">  </w:t>
      </w:r>
      <w:r>
        <w:rPr>
          <w:rFonts w:ascii="黑体" w:eastAsia="黑体" w:hAnsi="黑体" w:cs="Times New Roman"/>
          <w:b/>
          <w:bCs/>
          <w:snapToGrid w:val="0"/>
          <w:color w:val="000000"/>
          <w:spacing w:val="-6"/>
          <w:sz w:val="21"/>
          <w:szCs w:val="21"/>
          <w:lang w:eastAsia="zh-CN"/>
        </w:rPr>
        <w:t>献</w:t>
      </w:r>
    </w:p>
    <w:p w14:paraId="75EACF87" w14:textId="77777777" w:rsidR="007E0D95" w:rsidRDefault="00000000">
      <w:pPr>
        <w:widowControl/>
        <w:numPr>
          <w:ilvl w:val="0"/>
          <w:numId w:val="4"/>
        </w:numPr>
        <w:kinsoku w:val="0"/>
        <w:adjustRightInd w:val="0"/>
        <w:snapToGrid w:val="0"/>
        <w:spacing w:line="300" w:lineRule="auto"/>
        <w:ind w:left="442" w:hanging="442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《处方管理办法》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 xml:space="preserve"> 中华人民共和国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卫生部令〔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 xml:space="preserve">2006〕 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第53号</w:t>
      </w:r>
    </w:p>
    <w:p w14:paraId="4C28566B" w14:textId="77777777" w:rsidR="007E0D95" w:rsidRDefault="00000000">
      <w:pPr>
        <w:widowControl/>
        <w:numPr>
          <w:ilvl w:val="0"/>
          <w:numId w:val="4"/>
        </w:numPr>
        <w:kinsoku w:val="0"/>
        <w:adjustRightInd w:val="0"/>
        <w:snapToGrid w:val="0"/>
        <w:spacing w:line="300" w:lineRule="auto"/>
        <w:ind w:left="442" w:hanging="442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《医疗机构药事管理规定》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 xml:space="preserve"> 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卫医政发〔2011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〕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11号</w:t>
      </w:r>
    </w:p>
    <w:p w14:paraId="428821C2" w14:textId="77777777" w:rsidR="007E0D95" w:rsidRDefault="00000000">
      <w:pPr>
        <w:widowControl/>
        <w:numPr>
          <w:ilvl w:val="0"/>
          <w:numId w:val="4"/>
        </w:numPr>
        <w:kinsoku w:val="0"/>
        <w:adjustRightInd w:val="0"/>
        <w:snapToGrid w:val="0"/>
        <w:spacing w:line="300" w:lineRule="auto"/>
        <w:ind w:left="442" w:hanging="442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《关于加强药事管理转变药学服务模式的通知》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 xml:space="preserve"> 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国卫医发〔2017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〕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26号</w:t>
      </w:r>
    </w:p>
    <w:p w14:paraId="7B83F5FA" w14:textId="77777777" w:rsidR="007E0D95" w:rsidRDefault="00000000">
      <w:pPr>
        <w:widowControl/>
        <w:numPr>
          <w:ilvl w:val="0"/>
          <w:numId w:val="4"/>
        </w:numPr>
        <w:kinsoku w:val="0"/>
        <w:adjustRightInd w:val="0"/>
        <w:snapToGrid w:val="0"/>
        <w:spacing w:line="300" w:lineRule="auto"/>
        <w:ind w:left="442" w:hanging="442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《关于加快药学服务高质量发展的意见》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 xml:space="preserve"> 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国卫医发〔2018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〕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45号</w:t>
      </w:r>
    </w:p>
    <w:p w14:paraId="1080643F" w14:textId="77777777" w:rsidR="007E0D95" w:rsidRDefault="00000000">
      <w:pPr>
        <w:widowControl/>
        <w:numPr>
          <w:ilvl w:val="0"/>
          <w:numId w:val="4"/>
        </w:numPr>
        <w:kinsoku w:val="0"/>
        <w:adjustRightInd w:val="0"/>
        <w:snapToGrid w:val="0"/>
        <w:spacing w:line="300" w:lineRule="auto"/>
        <w:ind w:left="442" w:hanging="442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《关于促进“互联网+医疗健康”发展的意见》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 xml:space="preserve"> 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国办发〔2018〕26号</w:t>
      </w:r>
    </w:p>
    <w:p w14:paraId="28927212" w14:textId="77777777" w:rsidR="007E0D95" w:rsidRDefault="00000000">
      <w:pPr>
        <w:widowControl/>
        <w:numPr>
          <w:ilvl w:val="0"/>
          <w:numId w:val="4"/>
        </w:numPr>
        <w:kinsoku w:val="0"/>
        <w:adjustRightInd w:val="0"/>
        <w:snapToGrid w:val="0"/>
        <w:spacing w:line="300" w:lineRule="auto"/>
        <w:ind w:left="442" w:hanging="442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《中成药临床应用指导原则》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 xml:space="preserve"> 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国中医药医政发〔2010〕30号</w:t>
      </w:r>
    </w:p>
    <w:p w14:paraId="152EE453" w14:textId="77777777" w:rsidR="007E0D95" w:rsidRDefault="00000000">
      <w:pPr>
        <w:widowControl/>
        <w:numPr>
          <w:ilvl w:val="0"/>
          <w:numId w:val="4"/>
        </w:numPr>
        <w:kinsoku w:val="0"/>
        <w:adjustRightInd w:val="0"/>
        <w:snapToGrid w:val="0"/>
        <w:spacing w:line="300" w:lineRule="auto"/>
        <w:ind w:left="442" w:hanging="442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/>
          <w:snapToGrid w:val="0"/>
          <w:color w:val="000000"/>
          <w:sz w:val="21"/>
          <w:szCs w:val="21"/>
          <w:lang w:eastAsia="zh-CN"/>
        </w:rPr>
        <w:t>《医疗机构麻醉药品、第一类精神药品管理规定》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 xml:space="preserve"> 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卫医发〔2005〕438号</w:t>
      </w:r>
    </w:p>
    <w:p w14:paraId="42F9F814" w14:textId="77777777" w:rsidR="007E0D95" w:rsidRDefault="00000000">
      <w:pPr>
        <w:widowControl/>
        <w:numPr>
          <w:ilvl w:val="0"/>
          <w:numId w:val="4"/>
        </w:numPr>
        <w:kinsoku w:val="0"/>
        <w:adjustRightInd w:val="0"/>
        <w:snapToGrid w:val="0"/>
        <w:spacing w:line="300" w:lineRule="auto"/>
        <w:ind w:left="442" w:hanging="442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《关于加强医疗机构药事管理促进合理用药的意见》 国卫医发〔2020〕2号</w:t>
      </w:r>
    </w:p>
    <w:p w14:paraId="0AAEEC63" w14:textId="77777777" w:rsidR="007E0D95" w:rsidRDefault="00000000">
      <w:pPr>
        <w:widowControl/>
        <w:numPr>
          <w:ilvl w:val="0"/>
          <w:numId w:val="4"/>
        </w:numPr>
        <w:kinsoku w:val="0"/>
        <w:adjustRightInd w:val="0"/>
        <w:snapToGrid w:val="0"/>
        <w:spacing w:line="300" w:lineRule="auto"/>
        <w:ind w:left="442" w:hanging="442"/>
        <w:textAlignment w:val="baseline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《麻醉药品和精神药品管理条例》 中华人民共和国国务院令</w:t>
      </w:r>
      <w:r>
        <w:rPr>
          <w:rFonts w:cs="Times New Roman"/>
          <w:snapToGrid w:val="0"/>
          <w:color w:val="000000"/>
          <w:sz w:val="21"/>
          <w:szCs w:val="21"/>
          <w:lang w:eastAsia="zh-CN"/>
        </w:rPr>
        <w:t>〔</w:t>
      </w: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2024〕 第797号</w:t>
      </w:r>
    </w:p>
    <w:p w14:paraId="73AF52A0" w14:textId="77777777" w:rsidR="007E0D95" w:rsidRDefault="00000000">
      <w:pPr>
        <w:widowControl/>
        <w:numPr>
          <w:ilvl w:val="0"/>
          <w:numId w:val="4"/>
        </w:numPr>
        <w:kinsoku w:val="0"/>
        <w:adjustRightInd w:val="0"/>
        <w:snapToGrid w:val="0"/>
        <w:spacing w:line="300" w:lineRule="auto"/>
        <w:ind w:left="442" w:hanging="442"/>
        <w:textAlignment w:val="baseline"/>
        <w:outlineLvl w:val="0"/>
        <w:rPr>
          <w:rFonts w:cs="Times New Roman" w:hint="eastAsia"/>
          <w:snapToGrid w:val="0"/>
          <w:color w:val="000000"/>
          <w:sz w:val="21"/>
          <w:szCs w:val="21"/>
          <w:lang w:eastAsia="zh-CN"/>
        </w:rPr>
      </w:pPr>
      <w:r>
        <w:rPr>
          <w:rFonts w:cs="Times New Roman" w:hint="eastAsia"/>
          <w:snapToGrid w:val="0"/>
          <w:color w:val="000000"/>
          <w:sz w:val="21"/>
          <w:szCs w:val="21"/>
          <w:lang w:eastAsia="zh-CN"/>
        </w:rPr>
        <w:t>《医疗机构管理条例》 2022年3月29日《国务院关于修改和废止部分行政法规的决定》第二次修订</w:t>
      </w:r>
    </w:p>
    <w:sectPr w:rsidR="007E0D95">
      <w:headerReference w:type="even" r:id="rId20"/>
      <w:footerReference w:type="even" r:id="rId21"/>
      <w:footerReference w:type="default" r:id="rId22"/>
      <w:pgSz w:w="11910" w:h="16840"/>
      <w:pgMar w:top="2268" w:right="1134" w:bottom="1134" w:left="1418" w:header="1418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484A6" w14:textId="77777777" w:rsidR="00153DBC" w:rsidRDefault="00153DBC">
      <w:pPr>
        <w:rPr>
          <w:rFonts w:hint="eastAsia"/>
        </w:rPr>
      </w:pPr>
      <w:r>
        <w:separator/>
      </w:r>
    </w:p>
  </w:endnote>
  <w:endnote w:type="continuationSeparator" w:id="0">
    <w:p w14:paraId="24F1FBC8" w14:textId="77777777" w:rsidR="00153DBC" w:rsidRDefault="00153D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14EC" w14:textId="77777777" w:rsidR="007E0D95" w:rsidRDefault="007E0D95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7660" w14:textId="77777777" w:rsidR="007E0D95" w:rsidRDefault="007E0D95">
    <w:pPr>
      <w:pStyle w:val="a3"/>
      <w:spacing w:line="14" w:lineRule="auto"/>
      <w:rPr>
        <w:rFonts w:hint="eastAsia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37E3" w14:textId="77777777" w:rsidR="007E0D95" w:rsidRDefault="007E0D95">
    <w:pPr>
      <w:pStyle w:val="a5"/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8DBD" w14:textId="77777777" w:rsidR="007E0D95" w:rsidRDefault="007E0D95">
    <w:pPr>
      <w:pStyle w:val="a3"/>
      <w:spacing w:line="14" w:lineRule="auto"/>
      <w:rPr>
        <w:rFonts w:hint="eastAsia"/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289667"/>
      <w:docPartObj>
        <w:docPartGallery w:val="AutoText"/>
      </w:docPartObj>
    </w:sdtPr>
    <w:sdtContent>
      <w:p w14:paraId="61F2D350" w14:textId="77777777" w:rsidR="007E0D95" w:rsidRDefault="00000000">
        <w:pPr>
          <w:pStyle w:val="a5"/>
          <w:jc w:val="right"/>
          <w:rPr>
            <w:rFonts w:hint="eastAsia"/>
          </w:rPr>
        </w:pPr>
        <w:r>
          <w:rPr>
            <w:rFonts w:hint="eastAsia"/>
            <w:lang w:eastAsia="zh-CN"/>
          </w:rPr>
          <w:t>I</w:t>
        </w:r>
      </w:p>
    </w:sdtContent>
  </w:sdt>
  <w:p w14:paraId="3BA18B3D" w14:textId="77777777" w:rsidR="007E0D95" w:rsidRDefault="007E0D95">
    <w:pPr>
      <w:pStyle w:val="a3"/>
      <w:spacing w:line="14" w:lineRule="auto"/>
      <w:rPr>
        <w:rFonts w:hint="eastAsia"/>
        <w:sz w:val="19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1110481"/>
      <w:docPartObj>
        <w:docPartGallery w:val="AutoText"/>
      </w:docPartObj>
    </w:sdtPr>
    <w:sdtContent>
      <w:p w14:paraId="3D09C8F8" w14:textId="77777777" w:rsidR="007E0D95" w:rsidRDefault="00000000">
        <w:pPr>
          <w:pStyle w:val="a5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3B6FB8B5" w14:textId="77777777" w:rsidR="007E0D95" w:rsidRDefault="007E0D95">
    <w:pPr>
      <w:pStyle w:val="a3"/>
      <w:spacing w:line="14" w:lineRule="auto"/>
      <w:rPr>
        <w:rFonts w:hint="eastAsia"/>
        <w:sz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5631396"/>
      <w:docPartObj>
        <w:docPartGallery w:val="AutoText"/>
      </w:docPartObj>
    </w:sdtPr>
    <w:sdtContent>
      <w:p w14:paraId="56A714F3" w14:textId="77777777" w:rsidR="007E0D95" w:rsidRDefault="00000000">
        <w:pPr>
          <w:pStyle w:val="a5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62DB84E5" w14:textId="77777777" w:rsidR="007E0D95" w:rsidRDefault="007E0D95">
    <w:pPr>
      <w:pStyle w:val="a3"/>
      <w:spacing w:line="14" w:lineRule="auto"/>
      <w:rPr>
        <w:rFonts w:hint="eastAsia"/>
        <w:sz w:val="19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0FA3A" w14:textId="77777777" w:rsidR="00153DBC" w:rsidRDefault="00153DBC">
      <w:pPr>
        <w:rPr>
          <w:rFonts w:hint="eastAsia"/>
        </w:rPr>
      </w:pPr>
      <w:r>
        <w:separator/>
      </w:r>
    </w:p>
  </w:footnote>
  <w:footnote w:type="continuationSeparator" w:id="0">
    <w:p w14:paraId="0DBB453B" w14:textId="77777777" w:rsidR="00153DBC" w:rsidRDefault="00153DB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E400E" w14:textId="77777777" w:rsidR="007E0D95" w:rsidRDefault="007E0D95">
    <w:pPr>
      <w:pStyle w:val="a7"/>
      <w:jc w:val="right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630EA" w14:textId="77777777" w:rsidR="007E0D95" w:rsidRDefault="007E0D95">
    <w:pPr>
      <w:pStyle w:val="a7"/>
      <w:wordWrap w:val="0"/>
      <w:jc w:val="right"/>
      <w:rPr>
        <w:rFonts w:ascii="黑体" w:eastAsia="黑体" w:hAnsi="黑体" w:hint="eastAsia"/>
        <w:sz w:val="21"/>
        <w:szCs w:val="21"/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F54E2" w14:textId="77777777" w:rsidR="007E0D95" w:rsidRDefault="007E0D95">
    <w:pPr>
      <w:pStyle w:val="a7"/>
      <w:rPr>
        <w:rFonts w:hint="eastAsi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BE91D" w14:textId="77777777" w:rsidR="007E0D95" w:rsidRDefault="00000000">
    <w:pPr>
      <w:pStyle w:val="a7"/>
      <w:wordWrap w:val="0"/>
      <w:jc w:val="right"/>
      <w:rPr>
        <w:rFonts w:ascii="黑体" w:eastAsia="黑体" w:hAnsi="黑体" w:hint="eastAsia"/>
        <w:sz w:val="21"/>
        <w:szCs w:val="21"/>
        <w:lang w:eastAsia="zh-CN"/>
      </w:rPr>
    </w:pPr>
    <w:r>
      <w:rPr>
        <w:rFonts w:ascii="黑体" w:eastAsia="黑体" w:hAnsi="黑体" w:hint="eastAsia"/>
        <w:sz w:val="21"/>
        <w:szCs w:val="21"/>
        <w:lang w:eastAsia="zh-CN"/>
      </w:rPr>
      <w:t>DB34/T XXXX</w:t>
    </w:r>
    <w:r>
      <w:rPr>
        <w:rFonts w:ascii="黑体" w:eastAsia="黑体" w:hAnsi="黑体"/>
        <w:sz w:val="21"/>
        <w:szCs w:val="21"/>
      </w:rPr>
      <w:t>—</w:t>
    </w:r>
    <w:r>
      <w:rPr>
        <w:rFonts w:ascii="黑体" w:eastAsia="黑体" w:hAnsi="黑体" w:hint="eastAsia"/>
        <w:sz w:val="21"/>
        <w:szCs w:val="21"/>
        <w:lang w:eastAsia="zh-CN"/>
      </w:rPr>
      <w:t>XXXX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292CA" w14:textId="77777777" w:rsidR="007E0D95" w:rsidRDefault="00000000">
    <w:pPr>
      <w:pStyle w:val="a3"/>
      <w:spacing w:line="250" w:lineRule="exact"/>
      <w:ind w:left="20"/>
      <w:jc w:val="both"/>
      <w:rPr>
        <w:rFonts w:ascii="黑体" w:eastAsia="黑体" w:hAnsi="黑体" w:hint="eastAsia"/>
        <w:lang w:eastAsia="zh-CN"/>
      </w:rPr>
    </w:pPr>
    <w:r>
      <w:rPr>
        <w:rFonts w:ascii="黑体" w:eastAsia="黑体" w:hAnsi="黑体"/>
      </w:rPr>
      <w:t>DB34/T</w:t>
    </w:r>
    <w:r>
      <w:rPr>
        <w:rFonts w:ascii="黑体" w:eastAsia="黑体" w:hAnsi="黑体"/>
        <w:spacing w:val="-7"/>
      </w:rPr>
      <w:t xml:space="preserve"> </w:t>
    </w:r>
    <w:r>
      <w:rPr>
        <w:rFonts w:ascii="黑体" w:eastAsia="黑体" w:hAnsi="黑体" w:hint="eastAsia"/>
        <w:lang w:eastAsia="zh-CN"/>
      </w:rPr>
      <w:t>XXXX</w:t>
    </w:r>
    <w:r>
      <w:rPr>
        <w:rFonts w:ascii="黑体" w:eastAsia="黑体" w:hAnsi="黑体"/>
      </w:rPr>
      <w:t>—</w:t>
    </w:r>
    <w:r>
      <w:rPr>
        <w:rFonts w:ascii="黑体" w:eastAsia="黑体" w:hAnsi="黑体" w:hint="eastAsia"/>
        <w:spacing w:val="-4"/>
        <w:lang w:eastAsia="zh-CN"/>
      </w:rP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913498"/>
    <w:multiLevelType w:val="multilevel"/>
    <w:tmpl w:val="94913498"/>
    <w:lvl w:ilvl="0">
      <w:start w:val="1"/>
      <w:numFmt w:val="bullet"/>
      <w:suff w:val="space"/>
      <w:lvlText w:val=""/>
      <w:lvlJc w:val="left"/>
      <w:pPr>
        <w:ind w:left="1280" w:hanging="440"/>
      </w:pPr>
      <w:rPr>
        <w:rFonts w:ascii="Wingdings 2" w:hAnsi="Wingdings 2" w:hint="default"/>
      </w:rPr>
    </w:lvl>
    <w:lvl w:ilvl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" w15:restartNumberingAfterBreak="0">
    <w:nsid w:val="1E07295A"/>
    <w:multiLevelType w:val="multilevel"/>
    <w:tmpl w:val="1E07295A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4D17157"/>
    <w:multiLevelType w:val="multilevel"/>
    <w:tmpl w:val="44D17157"/>
    <w:lvl w:ilvl="0">
      <w:start w:val="1"/>
      <w:numFmt w:val="bullet"/>
      <w:suff w:val="space"/>
      <w:lvlText w:val=""/>
      <w:lvlJc w:val="left"/>
      <w:pPr>
        <w:ind w:left="1280" w:hanging="440"/>
      </w:pPr>
      <w:rPr>
        <w:rFonts w:ascii="Wingdings 2" w:hAnsi="Wingdings 2" w:hint="default"/>
      </w:rPr>
    </w:lvl>
    <w:lvl w:ilvl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3" w15:restartNumberingAfterBreak="0">
    <w:nsid w:val="78FDD55D"/>
    <w:multiLevelType w:val="multilevel"/>
    <w:tmpl w:val="78FDD55D"/>
    <w:lvl w:ilvl="0">
      <w:start w:val="1"/>
      <w:numFmt w:val="bullet"/>
      <w:suff w:val="space"/>
      <w:lvlText w:val=""/>
      <w:lvlJc w:val="left"/>
      <w:pPr>
        <w:ind w:left="1280" w:hanging="440"/>
      </w:pPr>
      <w:rPr>
        <w:rFonts w:ascii="Wingdings 2" w:hAnsi="Wingdings 2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66629031">
    <w:abstractNumId w:val="2"/>
  </w:num>
  <w:num w:numId="2" w16cid:durableId="1549098995">
    <w:abstractNumId w:val="0"/>
  </w:num>
  <w:num w:numId="3" w16cid:durableId="233005641">
    <w:abstractNumId w:val="3"/>
  </w:num>
  <w:num w:numId="4" w16cid:durableId="1560090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bordersDoNotSurroundHeader/>
  <w:bordersDoNotSurroundFooter/>
  <w:defaultTabStop w:val="720"/>
  <w:evenAndOddHeaders/>
  <w:drawingGridHorizontalSpacing w:val="142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EDD"/>
    <w:rsid w:val="00057655"/>
    <w:rsid w:val="0007593C"/>
    <w:rsid w:val="000A411C"/>
    <w:rsid w:val="000B2FA7"/>
    <w:rsid w:val="00100CAC"/>
    <w:rsid w:val="00151844"/>
    <w:rsid w:val="00153DBC"/>
    <w:rsid w:val="001E01CB"/>
    <w:rsid w:val="001F06CB"/>
    <w:rsid w:val="002C3EB5"/>
    <w:rsid w:val="002E3789"/>
    <w:rsid w:val="003806ED"/>
    <w:rsid w:val="00433442"/>
    <w:rsid w:val="004A49A5"/>
    <w:rsid w:val="004C09E5"/>
    <w:rsid w:val="004F632F"/>
    <w:rsid w:val="005763AF"/>
    <w:rsid w:val="005A2A46"/>
    <w:rsid w:val="005A4F55"/>
    <w:rsid w:val="006737C5"/>
    <w:rsid w:val="00687422"/>
    <w:rsid w:val="006F2F3E"/>
    <w:rsid w:val="007614C4"/>
    <w:rsid w:val="00765E66"/>
    <w:rsid w:val="00792558"/>
    <w:rsid w:val="007D274B"/>
    <w:rsid w:val="007D27AF"/>
    <w:rsid w:val="007E0D95"/>
    <w:rsid w:val="007E1FE8"/>
    <w:rsid w:val="00836E01"/>
    <w:rsid w:val="008605E7"/>
    <w:rsid w:val="00881119"/>
    <w:rsid w:val="009A08FB"/>
    <w:rsid w:val="009B2AB6"/>
    <w:rsid w:val="00A66E2A"/>
    <w:rsid w:val="00A96763"/>
    <w:rsid w:val="00AD4995"/>
    <w:rsid w:val="00B47EB3"/>
    <w:rsid w:val="00B732F0"/>
    <w:rsid w:val="00B7759B"/>
    <w:rsid w:val="00C41446"/>
    <w:rsid w:val="00CA68C7"/>
    <w:rsid w:val="00CB55AC"/>
    <w:rsid w:val="00CE6155"/>
    <w:rsid w:val="00D21023"/>
    <w:rsid w:val="00D7308E"/>
    <w:rsid w:val="00DB55F8"/>
    <w:rsid w:val="00DD326E"/>
    <w:rsid w:val="00DE06C1"/>
    <w:rsid w:val="00E06338"/>
    <w:rsid w:val="00E20431"/>
    <w:rsid w:val="00E54E85"/>
    <w:rsid w:val="00EA22FD"/>
    <w:rsid w:val="00F66EDD"/>
    <w:rsid w:val="00F91E8C"/>
    <w:rsid w:val="3891383A"/>
    <w:rsid w:val="4A80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6546E0A"/>
  <w15:docId w15:val="{ADBF1EBB-B708-4B86-8713-D5CFEC8BF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6CB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spacing w:before="55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Pr>
      <w:sz w:val="21"/>
      <w:szCs w:val="21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uiPriority w:val="10"/>
    <w:qFormat/>
    <w:pPr>
      <w:spacing w:line="1063" w:lineRule="exact"/>
    </w:pPr>
    <w:rPr>
      <w:rFonts w:ascii="Times New Roman" w:eastAsia="Times New Roman" w:hAnsi="Times New Roman" w:cs="Times New Roman"/>
      <w:b/>
      <w:bCs/>
      <w:sz w:val="96"/>
      <w:szCs w:val="9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spacing w:before="43"/>
      <w:ind w:left="1063" w:hanging="524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8">
    <w:name w:val="页眉 字符"/>
    <w:basedOn w:val="a0"/>
    <w:link w:val="a7"/>
    <w:uiPriority w:val="99"/>
    <w:qFormat/>
    <w:rPr>
      <w:rFonts w:ascii="宋体" w:eastAsia="宋体" w:hAnsi="宋体" w:cs="宋体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宋体" w:eastAsia="宋体" w:hAnsi="宋体" w:cs="宋体"/>
      <w:sz w:val="18"/>
      <w:szCs w:val="18"/>
    </w:rPr>
  </w:style>
  <w:style w:type="paragraph" w:customStyle="1" w:styleId="ab">
    <w:name w:val="封面标准英文名称"/>
    <w:qFormat/>
    <w:pPr>
      <w:widowControl w:val="0"/>
      <w:spacing w:line="360" w:lineRule="exact"/>
      <w:jc w:val="center"/>
    </w:pPr>
    <w:rPr>
      <w:rFonts w:ascii="Times New Roman" w:eastAsia="宋体" w:hAnsi="Times New Roman" w:cs="Times New Roman"/>
      <w:sz w:val="28"/>
    </w:rPr>
  </w:style>
  <w:style w:type="paragraph" w:customStyle="1" w:styleId="ac">
    <w:name w:val="标准文件_文件名称"/>
    <w:basedOn w:val="a"/>
    <w:next w:val="a"/>
    <w:qFormat/>
    <w:pPr>
      <w:framePr w:w="9639" w:h="6976" w:hRule="exact" w:wrap="around" w:vAnchor="page" w:hAnchor="page" w:y="6408"/>
      <w:widowControl/>
      <w:autoSpaceDE/>
      <w:autoSpaceDN/>
      <w:spacing w:line="700" w:lineRule="exact"/>
      <w:jc w:val="center"/>
    </w:pPr>
    <w:rPr>
      <w:rFonts w:ascii="黑体" w:eastAsia="黑体" w:hAnsi="黑体" w:cs="Times New Roman"/>
      <w:bCs/>
      <w:sz w:val="52"/>
      <w:szCs w:val="20"/>
      <w:lang w:eastAsia="zh-CN"/>
    </w:rPr>
  </w:style>
  <w:style w:type="character" w:customStyle="1" w:styleId="a4">
    <w:name w:val="正文文本 字符"/>
    <w:link w:val="a3"/>
    <w:qFormat/>
    <w:rPr>
      <w:rFonts w:ascii="宋体" w:eastAsia="宋体" w:hAnsi="宋体" w:cs="宋体"/>
      <w:sz w:val="21"/>
      <w:szCs w:val="21"/>
    </w:rPr>
  </w:style>
  <w:style w:type="paragraph" w:customStyle="1" w:styleId="2">
    <w:name w:val="封面标准号2"/>
    <w:basedOn w:val="a"/>
    <w:qFormat/>
    <w:pPr>
      <w:framePr w:w="9138" w:h="1244" w:hRule="exact" w:wrap="around" w:vAnchor="page" w:hAnchor="margin" w:y="2908"/>
      <w:kinsoku w:val="0"/>
      <w:overflowPunct w:val="0"/>
      <w:adjustRightInd w:val="0"/>
      <w:spacing w:before="357" w:line="280" w:lineRule="exact"/>
      <w:jc w:val="right"/>
      <w:textAlignment w:val="center"/>
    </w:pPr>
    <w:rPr>
      <w:rFonts w:ascii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B3688-6B23-4A43-B7CB-CBA6EFEBD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12</Pages>
  <Words>5038</Words>
  <Characters>5484</Characters>
  <Application>Microsoft Office Word</Application>
  <DocSecurity>0</DocSecurity>
  <Lines>382</Lines>
  <Paragraphs>164</Paragraphs>
  <ScaleCrop>false</ScaleCrop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DB34-T 2800-2020.docx</dc:title>
  <dc:creator>zyy</dc:creator>
  <cp:lastModifiedBy>赵亚子</cp:lastModifiedBy>
  <cp:revision>11</cp:revision>
  <cp:lastPrinted>2025-05-12T00:44:00Z</cp:lastPrinted>
  <dcterms:created xsi:type="dcterms:W3CDTF">2025-05-12T00:22:00Z</dcterms:created>
  <dcterms:modified xsi:type="dcterms:W3CDTF">2025-05-12T01:13:00Z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2025-04-01T00:00:00Z</vt:filetime>
  </property>
  <property fmtid="{D5CDD505-2E9C-101B-9397-08002B2CF9AE}" pid="5" name="Producer">
    <vt:lpwstr>Acrobat Distiller 11.0 (Windows)</vt:lpwstr>
  </property>
  <property fmtid="{D5CDD505-2E9C-101B-9397-08002B2CF9AE}" pid="6" name="KSOTemplateDocerSaveRecord">
    <vt:lpwstr>eyJoZGlkIjoiYTM0OGM4NDVmMTg3ZjNhMDliZjU5MGQ4Y2E5YjExZGIiLCJ1c2VySWQiOiIxMTU2OTU3NjU4In0=</vt:lpwstr>
  </property>
  <property fmtid="{D5CDD505-2E9C-101B-9397-08002B2CF9AE}" pid="7" name="KSOProductBuildVer">
    <vt:lpwstr>2052-12.1.0.20784</vt:lpwstr>
  </property>
  <property fmtid="{D5CDD505-2E9C-101B-9397-08002B2CF9AE}" pid="8" name="ICV">
    <vt:lpwstr>67EF0A4951594C6CB80F977A8D009C26_12</vt:lpwstr>
  </property>
  <property fmtid="{D5CDD505-2E9C-101B-9397-08002B2CF9AE}" pid="9" name="GrammarlyDocumentId">
    <vt:lpwstr>8b3eadd3-5e0e-4a4d-8ea8-45bc948622a7</vt:lpwstr>
  </property>
</Properties>
</file>