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F8F53">
      <w:pPr>
        <w:spacing w:after="624" w:afterLines="200" w:line="360" w:lineRule="auto"/>
        <w:jc w:val="center"/>
        <w:rPr>
          <w:rFonts w:hint="eastAsia" w:ascii="Times New Roman" w:hAnsi="Times New Roman" w:eastAsia="黑体" w:cs="Times New Roman"/>
          <w:b w:val="0"/>
          <w:bCs w:val="0"/>
          <w:sz w:val="32"/>
          <w:szCs w:val="32"/>
          <w:lang w:val="en-US" w:eastAsia="zh-CN" w:bidi="ar"/>
        </w:rPr>
      </w:pPr>
      <w:bookmarkStart w:id="0" w:name="_Toc207781878"/>
      <w:bookmarkStart w:id="1" w:name="_Toc207596292"/>
      <w:bookmarkStart w:id="2" w:name="_Toc212891139"/>
      <w:bookmarkStart w:id="3" w:name="SectionMark0"/>
      <w:bookmarkStart w:id="4" w:name="_Toc25180010"/>
      <w:bookmarkStart w:id="5" w:name="SectionMark2"/>
      <w:bookmarkStart w:id="6" w:name="_Toc41590860"/>
      <w:bookmarkStart w:id="7" w:name="_Toc119379962"/>
      <w:bookmarkStart w:id="8" w:name="_Toc44282310"/>
      <w:bookmarkStart w:id="9" w:name="_Toc119943800"/>
      <w:bookmarkStart w:id="10" w:name="_Toc25086523"/>
      <w:bookmarkStart w:id="11" w:name="_Toc36420910"/>
      <w:bookmarkStart w:id="12" w:name="_Toc119398671"/>
      <w:bookmarkStart w:id="13" w:name="_Toc119400133"/>
      <w:bookmarkStart w:id="14" w:name="_Toc120031715"/>
    </w:p>
    <w:p w14:paraId="72A08568">
      <w:pPr>
        <w:spacing w:after="624" w:afterLines="200" w:line="360" w:lineRule="auto"/>
        <w:jc w:val="center"/>
        <w:rPr>
          <w:rFonts w:hint="default" w:ascii="Times New Roman" w:hAnsi="Times New Roman" w:eastAsia="黑体" w:cs="Times New Roman"/>
          <w:b w:val="0"/>
          <w:bCs w:val="0"/>
          <w:sz w:val="32"/>
          <w:szCs w:val="32"/>
          <w:lang w:val="en-US" w:eastAsia="zh-CN" w:bidi="ar"/>
        </w:rPr>
      </w:pPr>
      <w:r>
        <w:rPr>
          <w:rFonts w:hint="eastAsia" w:ascii="Times New Roman" w:hAnsi="Times New Roman" w:eastAsia="黑体" w:cs="Times New Roman"/>
          <w:b w:val="0"/>
          <w:bCs w:val="0"/>
          <w:sz w:val="32"/>
          <w:szCs w:val="32"/>
          <w:lang w:val="en-US" w:eastAsia="zh-CN" w:bidi="ar"/>
        </w:rPr>
        <w:t>安徽省地方标准</w:t>
      </w:r>
    </w:p>
    <w:p w14:paraId="0E47D688">
      <w:pPr>
        <w:spacing w:after="624" w:afterLines="200" w:line="360" w:lineRule="auto"/>
        <w:jc w:val="center"/>
        <w:rPr>
          <w:rFonts w:ascii="Times New Roman" w:hAnsi="Times New Roman" w:eastAsia="黑体" w:cs="Times New Roman"/>
          <w:b/>
          <w:bCs/>
          <w:sz w:val="48"/>
          <w:szCs w:val="48"/>
          <w:lang w:bidi="ar"/>
        </w:rPr>
      </w:pPr>
    </w:p>
    <w:p w14:paraId="2659EA7B">
      <w:pPr>
        <w:adjustRightInd w:val="0"/>
        <w:spacing w:before="312" w:after="312" w:line="680" w:lineRule="exact"/>
        <w:jc w:val="center"/>
        <w:textAlignment w:val="center"/>
        <w:rPr>
          <w:rFonts w:ascii="Times New Roman" w:hAnsi="Times New Roman" w:eastAsia="宋体" w:cs="Times New Roman"/>
          <w:b/>
          <w:sz w:val="44"/>
          <w:szCs w:val="44"/>
        </w:rPr>
      </w:pPr>
      <w:r>
        <w:rPr>
          <w:rFonts w:hint="eastAsia" w:ascii="Times New Roman" w:hAnsi="Times New Roman" w:eastAsia="宋体" w:cs="Times New Roman"/>
          <w:b/>
          <w:sz w:val="44"/>
          <w:szCs w:val="44"/>
        </w:rPr>
        <w:t>公共建筑能效诊断技术标准</w:t>
      </w:r>
    </w:p>
    <w:p w14:paraId="1F752586">
      <w:pPr>
        <w:pStyle w:val="37"/>
        <w:spacing w:before="0" w:beforeAutospacing="0" w:after="0" w:afterAutospacing="0" w:line="360" w:lineRule="auto"/>
        <w:jc w:val="center"/>
        <w:rPr>
          <w:rFonts w:ascii="Times New Roman" w:hAnsi="Times New Roman"/>
          <w:b/>
        </w:rPr>
      </w:pPr>
      <w:r>
        <w:rPr>
          <w:rFonts w:hint="eastAsia" w:ascii="Times New Roman" w:hAnsi="Times New Roman"/>
          <w:b/>
        </w:rPr>
        <w:t>Technical standard for energy efficiency diagnos</w:t>
      </w:r>
      <w:r>
        <w:rPr>
          <w:rFonts w:ascii="Times New Roman" w:hAnsi="Times New Roman"/>
          <w:b/>
        </w:rPr>
        <w:t>is</w:t>
      </w:r>
      <w:r>
        <w:rPr>
          <w:rFonts w:hint="eastAsia" w:ascii="Times New Roman" w:hAnsi="Times New Roman"/>
          <w:b/>
        </w:rPr>
        <w:t xml:space="preserve"> of public buildings</w:t>
      </w:r>
    </w:p>
    <w:p w14:paraId="03B9410C">
      <w:pPr>
        <w:spacing w:line="360" w:lineRule="auto"/>
        <w:rPr>
          <w:rFonts w:hint="eastAsia" w:ascii="宋体" w:hAnsi="宋体" w:eastAsia="宋体" w:cs="宋体"/>
          <w:b/>
          <w:bCs/>
          <w:sz w:val="44"/>
          <w:szCs w:val="44"/>
          <w:lang w:bidi="ar"/>
        </w:rPr>
      </w:pPr>
    </w:p>
    <w:p w14:paraId="7DE89E63">
      <w:pPr>
        <w:spacing w:line="360" w:lineRule="auto"/>
        <w:jc w:val="center"/>
        <w:rPr>
          <w:rFonts w:ascii="Times New Roman" w:hAnsi="Times New Roman" w:eastAsia="黑体" w:cs="Times New Roman"/>
          <w:b/>
          <w:bCs/>
          <w:sz w:val="44"/>
          <w:szCs w:val="44"/>
          <w:lang w:bidi="ar"/>
        </w:rPr>
      </w:pPr>
      <w:r>
        <w:rPr>
          <w:rFonts w:hint="eastAsia" w:ascii="宋体" w:hAnsi="宋体" w:eastAsia="宋体" w:cs="宋体"/>
          <w:b/>
          <w:bCs/>
          <w:sz w:val="44"/>
          <w:szCs w:val="44"/>
          <w:lang w:bidi="ar"/>
        </w:rPr>
        <w:t>（征求意见稿）</w:t>
      </w:r>
    </w:p>
    <w:bookmarkEnd w:id="0"/>
    <w:bookmarkEnd w:id="1"/>
    <w:bookmarkEnd w:id="2"/>
    <w:p w14:paraId="67768B04">
      <w:pPr>
        <w:wordWrap w:val="0"/>
        <w:spacing w:line="360" w:lineRule="auto"/>
        <w:ind w:firstLine="1050" w:firstLineChars="500"/>
        <w:jc w:val="right"/>
        <w:rPr>
          <w:rFonts w:ascii="Times New Roman" w:hAnsi="Times New Roman" w:cs="Times New Roman"/>
        </w:rPr>
        <w:sectPr>
          <w:footerReference r:id="rId4" w:type="default"/>
          <w:headerReference r:id="rId3" w:type="even"/>
          <w:footerReference r:id="rId5" w:type="even"/>
          <w:pgSz w:w="11907" w:h="16839"/>
          <w:pgMar w:top="1644" w:right="1134" w:bottom="1134" w:left="1701" w:header="1418" w:footer="851" w:gutter="0"/>
          <w:pgNumType w:start="1"/>
          <w:cols w:space="425" w:num="1"/>
          <w:titlePg/>
          <w:docGrid w:type="lines" w:linePitch="312" w:charSpace="0"/>
        </w:sectPr>
      </w:pPr>
      <w:r>
        <w:rPr>
          <w:rFonts w:ascii="Times New Roman" w:hAnsi="Times New Roman" w:cs="Times New Roman"/>
        </w:rPr>
        <w:t xml:space="preserve">  </w:t>
      </w:r>
    </w:p>
    <w:bookmarkEnd w:id="3"/>
    <w:p w14:paraId="59474A9A">
      <w:pPr>
        <w:spacing w:line="360" w:lineRule="auto"/>
        <w:jc w:val="center"/>
        <w:rPr>
          <w:rFonts w:ascii="Times New Roman" w:hAnsi="Times New Roman" w:cs="Times New Roman"/>
          <w:b/>
          <w:sz w:val="32"/>
          <w:szCs w:val="32"/>
        </w:rPr>
      </w:pPr>
      <w:bookmarkStart w:id="15" w:name="_Toc36420909"/>
      <w:bookmarkStart w:id="16" w:name="_Toc25086522"/>
      <w:bookmarkStart w:id="17" w:name="_Toc25180009"/>
      <w:bookmarkStart w:id="18" w:name="_Toc166662369"/>
      <w:bookmarkStart w:id="19" w:name="_Toc175027844"/>
      <w:r>
        <w:rPr>
          <w:rFonts w:ascii="Times New Roman" w:hAnsi="Times New Roman" w:cs="Times New Roman"/>
          <w:b/>
          <w:sz w:val="32"/>
          <w:szCs w:val="32"/>
        </w:rPr>
        <w:t>前    言</w:t>
      </w:r>
      <w:bookmarkEnd w:id="15"/>
      <w:bookmarkEnd w:id="16"/>
      <w:bookmarkEnd w:id="17"/>
      <w:bookmarkEnd w:id="18"/>
      <w:bookmarkEnd w:id="19"/>
    </w:p>
    <w:p w14:paraId="306FA7E4">
      <w:pPr>
        <w:spacing w:line="360" w:lineRule="auto"/>
        <w:ind w:firstLine="420" w:firstLineChars="200"/>
        <w:rPr>
          <w:rFonts w:ascii="Times New Roman" w:hAnsi="Times New Roman" w:cs="Times New Roman"/>
        </w:rPr>
      </w:pPr>
      <w:r>
        <w:rPr>
          <w:rFonts w:ascii="Times New Roman" w:hAnsi="Times New Roman" w:cs="Times New Roman"/>
          <w:szCs w:val="21"/>
        </w:rPr>
        <w:t>根据</w:t>
      </w:r>
      <w:bookmarkStart w:id="20" w:name="_Hlk43890149"/>
      <w:r>
        <w:rPr>
          <w:rFonts w:ascii="Times New Roman" w:hAnsi="Times New Roman" w:cs="Times New Roman"/>
          <w:szCs w:val="21"/>
        </w:rPr>
        <w:t>安徽省市场监督管理局《关于下达 2023年第三批安徽省地方标准制修订计划的通知》</w:t>
      </w:r>
      <w:bookmarkEnd w:id="20"/>
      <w:r>
        <w:rPr>
          <w:rFonts w:ascii="Times New Roman" w:hAnsi="Times New Roman" w:cs="Times New Roman"/>
          <w:szCs w:val="21"/>
        </w:rPr>
        <w:t>（皖市监函〔2023〕622号）的要求，</w:t>
      </w:r>
      <w:r>
        <w:rPr>
          <w:rFonts w:ascii="Times New Roman" w:hAnsi="Times New Roman" w:cs="Times New Roman"/>
        </w:rPr>
        <w:t>编制组经广泛深入的调查研究，认真总结实践经验，参考相关的国家、行业标准，并在广泛征求意见的基础上，编制本标准。</w:t>
      </w:r>
    </w:p>
    <w:p w14:paraId="2D224907">
      <w:pPr>
        <w:spacing w:line="360" w:lineRule="auto"/>
        <w:ind w:firstLine="420" w:firstLineChars="200"/>
        <w:rPr>
          <w:rFonts w:ascii="Times New Roman" w:hAnsi="Times New Roman" w:cs="Times New Roman"/>
          <w:szCs w:val="21"/>
        </w:rPr>
      </w:pPr>
      <w:r>
        <w:rPr>
          <w:rFonts w:ascii="Times New Roman" w:hAnsi="Times New Roman" w:cs="Times New Roman"/>
        </w:rPr>
        <w:t>本标准共分六章，</w:t>
      </w:r>
      <w:r>
        <w:rPr>
          <w:rFonts w:ascii="Times New Roman" w:hAnsi="Times New Roman" w:cs="Times New Roman"/>
          <w:szCs w:val="21"/>
        </w:rPr>
        <w:t xml:space="preserve">主要内容有：1 总则；2 </w:t>
      </w:r>
      <w:r>
        <w:rPr>
          <w:rFonts w:ascii="Times New Roman" w:hAnsi="Times New Roman" w:cs="Times New Roman"/>
        </w:rPr>
        <w:t>术语</w:t>
      </w:r>
      <w:r>
        <w:rPr>
          <w:rFonts w:ascii="Times New Roman" w:hAnsi="Times New Roman" w:cs="Times New Roman"/>
          <w:szCs w:val="21"/>
        </w:rPr>
        <w:t xml:space="preserve">；3 </w:t>
      </w:r>
      <w:r>
        <w:rPr>
          <w:rFonts w:ascii="Times New Roman" w:hAnsi="Times New Roman" w:cs="Times New Roman"/>
          <w:bCs/>
          <w:iCs/>
          <w:szCs w:val="21"/>
        </w:rPr>
        <w:t>基本规定</w:t>
      </w:r>
      <w:r>
        <w:rPr>
          <w:rFonts w:ascii="Times New Roman" w:hAnsi="Times New Roman" w:cs="Times New Roman"/>
          <w:szCs w:val="21"/>
        </w:rPr>
        <w:t>；4</w:t>
      </w:r>
      <w:r>
        <w:rPr>
          <w:rFonts w:ascii="Times New Roman" w:hAnsi="Times New Roman" w:eastAsia="宋体" w:cs="Times New Roman"/>
          <w:szCs w:val="21"/>
        </w:rPr>
        <w:t>诊断方法</w:t>
      </w:r>
      <w:r>
        <w:rPr>
          <w:rFonts w:ascii="Times New Roman" w:hAnsi="Times New Roman" w:cs="Times New Roman"/>
          <w:szCs w:val="21"/>
        </w:rPr>
        <w:t xml:space="preserve">；5 </w:t>
      </w:r>
      <w:r>
        <w:rPr>
          <w:rFonts w:ascii="Times New Roman" w:hAnsi="Times New Roman" w:eastAsia="宋体" w:cs="Times New Roman"/>
          <w:szCs w:val="21"/>
        </w:rPr>
        <w:t>能效诊断；</w:t>
      </w:r>
      <w:r>
        <w:rPr>
          <w:rFonts w:ascii="Times New Roman" w:hAnsi="Times New Roman" w:cs="Times New Roman"/>
          <w:szCs w:val="21"/>
        </w:rPr>
        <w:t xml:space="preserve">6 </w:t>
      </w:r>
      <w:r>
        <w:rPr>
          <w:rFonts w:ascii="Times New Roman" w:hAnsi="Times New Roman" w:eastAsia="宋体" w:cs="Times New Roman"/>
          <w:szCs w:val="21"/>
        </w:rPr>
        <w:t>能效提升</w:t>
      </w:r>
      <w:r>
        <w:rPr>
          <w:rFonts w:ascii="Times New Roman" w:hAnsi="Times New Roman" w:cs="Times New Roman"/>
          <w:szCs w:val="21"/>
        </w:rPr>
        <w:t>。</w:t>
      </w:r>
    </w:p>
    <w:p w14:paraId="1F0CC0F0">
      <w:pPr>
        <w:spacing w:line="360" w:lineRule="auto"/>
        <w:ind w:firstLine="420" w:firstLineChars="200"/>
        <w:rPr>
          <w:rFonts w:ascii="Times New Roman" w:hAnsi="Times New Roman" w:cs="Times New Roman"/>
          <w:szCs w:val="21"/>
        </w:rPr>
      </w:pPr>
      <w:r>
        <w:rPr>
          <w:rFonts w:ascii="Times New Roman" w:hAnsi="Times New Roman" w:cs="Times New Roman"/>
          <w:szCs w:val="21"/>
        </w:rPr>
        <w:t>本标准由安徽省住房和城乡建设厅负责归口管理，由国网安徽省电力有限公司负责具体技术内容的解释。本标准在执行过程中，请各单位将有关意见和建议及时反馈给国网安徽省电力有限公司（地址：安徽省合肥市包河区黄山路9号；邮政编码230001，邮箱：chubei213@163.com）。</w:t>
      </w:r>
    </w:p>
    <w:p w14:paraId="30AA1C1B">
      <w:pPr>
        <w:spacing w:line="360" w:lineRule="auto"/>
        <w:ind w:firstLine="420" w:firstLineChars="200"/>
        <w:rPr>
          <w:rFonts w:ascii="Times New Roman" w:hAnsi="Times New Roman" w:cs="Times New Roman"/>
          <w:szCs w:val="21"/>
        </w:rPr>
      </w:pPr>
      <w:r>
        <w:rPr>
          <w:rFonts w:ascii="Times New Roman" w:hAnsi="Times New Roman" w:cs="Times New Roman"/>
          <w:szCs w:val="21"/>
        </w:rPr>
        <w:t>本标准主编单位、参编单位和主要起草人：</w:t>
      </w:r>
    </w:p>
    <w:p w14:paraId="74468407">
      <w:pPr>
        <w:spacing w:line="360" w:lineRule="auto"/>
        <w:ind w:firstLine="420" w:firstLineChars="200"/>
        <w:rPr>
          <w:rFonts w:ascii="Times New Roman" w:hAnsi="Times New Roman" w:cs="Times New Roman"/>
          <w:szCs w:val="21"/>
        </w:rPr>
      </w:pPr>
      <w:r>
        <w:rPr>
          <w:rFonts w:ascii="Times New Roman" w:hAnsi="Times New Roman" w:cs="Times New Roman"/>
          <w:szCs w:val="21"/>
        </w:rPr>
        <w:t>主编单位：国网安徽省电力有限公司</w:t>
      </w:r>
    </w:p>
    <w:p w14:paraId="45AFD0F0">
      <w:pPr>
        <w:spacing w:line="360" w:lineRule="auto"/>
        <w:ind w:firstLine="1470" w:firstLineChars="700"/>
        <w:rPr>
          <w:rFonts w:ascii="Times New Roman" w:hAnsi="Times New Roman" w:cs="Times New Roman"/>
          <w:szCs w:val="21"/>
        </w:rPr>
      </w:pPr>
      <w:r>
        <w:rPr>
          <w:rFonts w:ascii="Times New Roman" w:hAnsi="Times New Roman" w:cs="Times New Roman"/>
          <w:szCs w:val="21"/>
        </w:rPr>
        <w:t>安徽省住房和城乡建设厅建筑节能与科技处</w:t>
      </w:r>
    </w:p>
    <w:p w14:paraId="76D2776A">
      <w:pPr>
        <w:spacing w:line="360" w:lineRule="auto"/>
        <w:ind w:firstLine="420" w:firstLineChars="200"/>
        <w:rPr>
          <w:rFonts w:ascii="Times New Roman" w:hAnsi="Times New Roman" w:cs="Times New Roman"/>
          <w:szCs w:val="21"/>
        </w:rPr>
      </w:pPr>
      <w:r>
        <w:rPr>
          <w:rFonts w:ascii="Times New Roman" w:hAnsi="Times New Roman" w:cs="Times New Roman"/>
          <w:szCs w:val="21"/>
        </w:rPr>
        <w:t>参编单位：国网安徽综合能源服务有限公司</w:t>
      </w:r>
    </w:p>
    <w:p w14:paraId="2E8F7B6B">
      <w:pPr>
        <w:spacing w:line="360" w:lineRule="auto"/>
        <w:ind w:firstLine="1470" w:firstLineChars="700"/>
        <w:rPr>
          <w:rFonts w:ascii="Times New Roman" w:hAnsi="Times New Roman" w:cs="Times New Roman"/>
          <w:szCs w:val="21"/>
        </w:rPr>
      </w:pPr>
      <w:r>
        <w:rPr>
          <w:rFonts w:ascii="Times New Roman" w:hAnsi="Times New Roman" w:cs="Times New Roman"/>
          <w:szCs w:val="21"/>
        </w:rPr>
        <w:t>合肥工业大学</w:t>
      </w:r>
    </w:p>
    <w:p w14:paraId="0C204AC0">
      <w:pPr>
        <w:spacing w:line="360" w:lineRule="auto"/>
        <w:ind w:firstLine="1470" w:firstLineChars="700"/>
        <w:rPr>
          <w:rFonts w:ascii="Times New Roman" w:hAnsi="Times New Roman" w:cs="Times New Roman"/>
          <w:szCs w:val="21"/>
        </w:rPr>
      </w:pPr>
      <w:r>
        <w:rPr>
          <w:rFonts w:ascii="Times New Roman" w:hAnsi="Times New Roman" w:cs="Times New Roman"/>
          <w:szCs w:val="21"/>
        </w:rPr>
        <w:t>安徽建筑大学</w:t>
      </w:r>
    </w:p>
    <w:p w14:paraId="14DFD0A0">
      <w:pPr>
        <w:spacing w:line="360" w:lineRule="auto"/>
        <w:ind w:firstLine="1470" w:firstLineChars="700"/>
        <w:rPr>
          <w:rFonts w:ascii="Times New Roman" w:hAnsi="Times New Roman" w:cs="Times New Roman"/>
          <w:szCs w:val="21"/>
        </w:rPr>
      </w:pPr>
      <w:r>
        <w:rPr>
          <w:rFonts w:ascii="Times New Roman" w:hAnsi="Times New Roman" w:cs="Times New Roman"/>
          <w:szCs w:val="21"/>
        </w:rPr>
        <w:t>国网安徽省电力有限公司营销服务中心</w:t>
      </w:r>
    </w:p>
    <w:p w14:paraId="4722ED1E">
      <w:pPr>
        <w:spacing w:line="360" w:lineRule="auto"/>
        <w:ind w:firstLine="1470" w:firstLineChars="700"/>
        <w:rPr>
          <w:rFonts w:ascii="Times New Roman" w:hAnsi="Times New Roman" w:cs="Times New Roman"/>
          <w:szCs w:val="21"/>
        </w:rPr>
      </w:pPr>
      <w:r>
        <w:rPr>
          <w:rFonts w:hint="eastAsia" w:ascii="Times New Roman" w:hAnsi="Times New Roman" w:cs="Times New Roman"/>
          <w:szCs w:val="21"/>
        </w:rPr>
        <w:t>中国</w:t>
      </w:r>
      <w:r>
        <w:rPr>
          <w:rFonts w:ascii="Times New Roman" w:hAnsi="Times New Roman" w:cs="Times New Roman"/>
          <w:szCs w:val="21"/>
        </w:rPr>
        <w:t>电力科学研究院有限公司</w:t>
      </w:r>
    </w:p>
    <w:p w14:paraId="0F312E1B">
      <w:pPr>
        <w:spacing w:line="360" w:lineRule="auto"/>
        <w:ind w:firstLine="1470" w:firstLineChars="700"/>
        <w:rPr>
          <w:rFonts w:ascii="Times New Roman" w:hAnsi="Times New Roman" w:cs="Times New Roman"/>
          <w:szCs w:val="21"/>
        </w:rPr>
      </w:pPr>
      <w:r>
        <w:rPr>
          <w:rFonts w:ascii="Times New Roman" w:hAnsi="Times New Roman" w:cs="Times New Roman"/>
          <w:szCs w:val="21"/>
        </w:rPr>
        <w:t xml:space="preserve">国网绿色能源有限公司 </w:t>
      </w:r>
    </w:p>
    <w:p w14:paraId="119009FA">
      <w:pPr>
        <w:spacing w:line="360" w:lineRule="auto"/>
        <w:ind w:firstLine="1470" w:firstLineChars="700"/>
        <w:rPr>
          <w:rFonts w:ascii="Times New Roman" w:hAnsi="Times New Roman" w:cs="Times New Roman"/>
          <w:szCs w:val="21"/>
        </w:rPr>
      </w:pPr>
      <w:r>
        <w:rPr>
          <w:rFonts w:ascii="Times New Roman" w:hAnsi="Times New Roman" w:cs="Times New Roman"/>
          <w:szCs w:val="21"/>
        </w:rPr>
        <w:t>安徽省建筑科学研究设计院</w:t>
      </w:r>
    </w:p>
    <w:p w14:paraId="6DE58BCA">
      <w:pPr>
        <w:spacing w:line="360" w:lineRule="auto"/>
        <w:ind w:firstLine="1470" w:firstLineChars="700"/>
        <w:rPr>
          <w:rFonts w:ascii="Times New Roman" w:hAnsi="Times New Roman" w:cs="Times New Roman"/>
          <w:szCs w:val="21"/>
        </w:rPr>
      </w:pPr>
      <w:r>
        <w:rPr>
          <w:rFonts w:ascii="Times New Roman" w:hAnsi="Times New Roman" w:cs="Times New Roman"/>
          <w:szCs w:val="21"/>
        </w:rPr>
        <w:t>安徽省建院能源管理有限公司</w:t>
      </w:r>
    </w:p>
    <w:p w14:paraId="16A2E422">
      <w:pPr>
        <w:spacing w:line="360" w:lineRule="auto"/>
        <w:ind w:firstLine="1470" w:firstLineChars="700"/>
        <w:rPr>
          <w:rFonts w:ascii="Times New Roman" w:hAnsi="Times New Roman" w:cs="Times New Roman"/>
          <w:szCs w:val="21"/>
        </w:rPr>
      </w:pPr>
      <w:r>
        <w:rPr>
          <w:rFonts w:ascii="Times New Roman" w:hAnsi="Times New Roman" w:cs="Times New Roman"/>
          <w:szCs w:val="21"/>
        </w:rPr>
        <w:t>合肥工业大学设计院（集团）有限公司</w:t>
      </w:r>
    </w:p>
    <w:p w14:paraId="05859A23">
      <w:pPr>
        <w:spacing w:line="360" w:lineRule="auto"/>
        <w:ind w:firstLine="1470" w:firstLineChars="700"/>
        <w:rPr>
          <w:rFonts w:ascii="Times New Roman" w:hAnsi="Times New Roman" w:cs="Times New Roman"/>
          <w:szCs w:val="21"/>
        </w:rPr>
      </w:pPr>
      <w:r>
        <w:rPr>
          <w:rFonts w:ascii="Times New Roman" w:hAnsi="Times New Roman" w:cs="Times New Roman"/>
          <w:szCs w:val="21"/>
        </w:rPr>
        <w:t>安徽三马信息科技有限公司</w:t>
      </w:r>
    </w:p>
    <w:p w14:paraId="1DF2DCF2">
      <w:pPr>
        <w:spacing w:line="360" w:lineRule="auto"/>
        <w:ind w:firstLine="1470" w:firstLineChars="700"/>
        <w:rPr>
          <w:rFonts w:ascii="Times New Roman" w:hAnsi="Times New Roman" w:cs="Times New Roman"/>
          <w:szCs w:val="21"/>
        </w:rPr>
      </w:pPr>
      <w:r>
        <w:rPr>
          <w:rFonts w:ascii="Times New Roman" w:hAnsi="Times New Roman" w:cs="Times New Roman"/>
          <w:szCs w:val="21"/>
        </w:rPr>
        <w:t>基准方中建筑设计股份有限公司</w:t>
      </w:r>
    </w:p>
    <w:p w14:paraId="433DA5F0">
      <w:pPr>
        <w:spacing w:line="360" w:lineRule="auto"/>
        <w:ind w:firstLine="420" w:firstLineChars="200"/>
        <w:rPr>
          <w:rFonts w:ascii="Times New Roman" w:hAnsi="Times New Roman" w:cs="Times New Roman"/>
        </w:rPr>
      </w:pPr>
      <w:r>
        <w:rPr>
          <w:rFonts w:ascii="Times New Roman" w:hAnsi="Times New Roman" w:cs="Times New Roman"/>
          <w:szCs w:val="21"/>
        </w:rPr>
        <w:t>主要起草人：</w:t>
      </w:r>
      <w:r>
        <w:rPr>
          <w:rFonts w:hint="eastAsia" w:ascii="Times New Roman" w:hAnsi="Times New Roman" w:cs="Times New Roman"/>
        </w:rPr>
        <w:t xml:space="preserve">韩  号  张光亚  胡浩威  储  备  王立平  郑抗震  徐连杰  王克峰         </w:t>
      </w:r>
    </w:p>
    <w:p w14:paraId="0CB6CE0C">
      <w:pPr>
        <w:spacing w:line="360" w:lineRule="auto"/>
        <w:ind w:firstLine="1680" w:firstLineChars="800"/>
        <w:rPr>
          <w:rFonts w:ascii="Times New Roman" w:hAnsi="Times New Roman" w:cs="Times New Roman"/>
        </w:rPr>
      </w:pPr>
      <w:r>
        <w:rPr>
          <w:rFonts w:hint="eastAsia" w:ascii="Times New Roman" w:hAnsi="Times New Roman" w:cs="Times New Roman"/>
        </w:rPr>
        <w:t xml:space="preserve">李  梁  王  品  祝  健  何正亚  沈念俊  郭  毅  张  涵  王子韵 </w:t>
      </w:r>
    </w:p>
    <w:p w14:paraId="7DCADDB9">
      <w:pPr>
        <w:spacing w:line="360" w:lineRule="auto"/>
        <w:ind w:firstLine="1680" w:firstLineChars="800"/>
        <w:rPr>
          <w:rFonts w:ascii="Times New Roman" w:hAnsi="Times New Roman" w:cs="Times New Roman"/>
        </w:rPr>
      </w:pPr>
      <w:r>
        <w:rPr>
          <w:rFonts w:hint="eastAsia" w:ascii="Times New Roman" w:hAnsi="Times New Roman" w:cs="Times New Roman"/>
        </w:rPr>
        <w:t>王松岑  孟  磊  郑  驹  姚  康  辛玉广  孙富康  梁耀星  莫志强</w:t>
      </w:r>
    </w:p>
    <w:p w14:paraId="57C53377">
      <w:pPr>
        <w:spacing w:line="360" w:lineRule="auto"/>
        <w:ind w:firstLine="1680" w:firstLineChars="800"/>
        <w:rPr>
          <w:rFonts w:ascii="Times New Roman" w:hAnsi="Times New Roman" w:cs="Times New Roman"/>
        </w:rPr>
      </w:pPr>
      <w:r>
        <w:rPr>
          <w:rFonts w:hint="eastAsia" w:ascii="Times New Roman" w:hAnsi="Times New Roman" w:cs="Times New Roman"/>
        </w:rPr>
        <w:t>许浩天  李  奇  黄  伟</w:t>
      </w:r>
    </w:p>
    <w:p w14:paraId="77F5EF85">
      <w:pPr>
        <w:spacing w:line="360" w:lineRule="auto"/>
        <w:ind w:firstLine="420" w:firstLineChars="200"/>
        <w:rPr>
          <w:rFonts w:ascii="Times New Roman" w:hAnsi="Times New Roman" w:cs="Times New Roman"/>
          <w:szCs w:val="21"/>
        </w:rPr>
      </w:pPr>
      <w:r>
        <w:rPr>
          <w:rFonts w:ascii="Times New Roman" w:hAnsi="Times New Roman" w:cs="Times New Roman"/>
          <w:szCs w:val="21"/>
        </w:rPr>
        <w:t>主要审查人：</w:t>
      </w:r>
    </w:p>
    <w:p w14:paraId="53B6E1DC">
      <w:pPr>
        <w:pStyle w:val="2"/>
        <w:spacing w:after="156" w:line="360" w:lineRule="auto"/>
        <w:jc w:val="center"/>
        <w:rPr>
          <w:rFonts w:ascii="Times New Roman" w:hAnsi="Times New Roman" w:cs="Times New Roman"/>
          <w:sz w:val="36"/>
        </w:rPr>
        <w:sectPr>
          <w:headerReference r:id="rId6" w:type="default"/>
          <w:footerReference r:id="rId7" w:type="default"/>
          <w:pgSz w:w="11906" w:h="16838"/>
          <w:pgMar w:top="1440" w:right="1800" w:bottom="1440" w:left="1800" w:header="851" w:footer="992" w:gutter="0"/>
          <w:cols w:space="425" w:num="1"/>
          <w:docGrid w:type="lines" w:linePitch="312" w:charSpace="0"/>
        </w:sectPr>
      </w:pPr>
      <w:bookmarkStart w:id="21" w:name="_Toc137050128"/>
      <w:bookmarkStart w:id="22" w:name="_Toc139814542"/>
      <w:bookmarkStart w:id="23" w:name="_Toc9708"/>
      <w:bookmarkStart w:id="24" w:name="_Toc140160765"/>
      <w:bookmarkStart w:id="25" w:name="_Toc140052612"/>
      <w:bookmarkStart w:id="26" w:name="_Toc137066731"/>
      <w:bookmarkStart w:id="27" w:name="_Toc133575124"/>
      <w:bookmarkStart w:id="28" w:name="_Toc135234899"/>
      <w:bookmarkStart w:id="29" w:name="_Toc21534"/>
    </w:p>
    <w:p w14:paraId="2C76CCDB">
      <w:pPr>
        <w:pStyle w:val="2"/>
        <w:spacing w:after="156" w:line="360" w:lineRule="auto"/>
        <w:jc w:val="center"/>
        <w:rPr>
          <w:rFonts w:ascii="Times New Roman" w:hAnsi="Times New Roman" w:cs="Times New Roman"/>
          <w:sz w:val="36"/>
        </w:rPr>
      </w:pPr>
      <w:bookmarkStart w:id="30" w:name="_Toc23780"/>
      <w:bookmarkStart w:id="31" w:name="_Toc17806"/>
      <w:bookmarkStart w:id="32" w:name="_Toc15599"/>
      <w:r>
        <w:rPr>
          <w:rFonts w:ascii="Times New Roman" w:hAnsi="Times New Roman" w:cs="Times New Roman"/>
          <w:sz w:val="36"/>
        </w:rPr>
        <w:t>目  次</w:t>
      </w:r>
      <w:bookmarkEnd w:id="4"/>
      <w:bookmarkEnd w:id="5"/>
      <w:bookmarkEnd w:id="6"/>
      <w:bookmarkEnd w:id="7"/>
      <w:bookmarkEnd w:id="8"/>
      <w:bookmarkEnd w:id="9"/>
      <w:bookmarkEnd w:id="10"/>
      <w:bookmarkEnd w:id="11"/>
      <w:bookmarkEnd w:id="12"/>
      <w:bookmarkEnd w:id="13"/>
      <w:bookmarkEnd w:id="14"/>
      <w:bookmarkEnd w:id="21"/>
      <w:bookmarkEnd w:id="22"/>
      <w:bookmarkEnd w:id="23"/>
      <w:bookmarkEnd w:id="24"/>
      <w:bookmarkEnd w:id="25"/>
      <w:bookmarkEnd w:id="26"/>
      <w:bookmarkEnd w:id="27"/>
      <w:bookmarkEnd w:id="28"/>
      <w:bookmarkEnd w:id="29"/>
      <w:bookmarkEnd w:id="30"/>
      <w:bookmarkEnd w:id="31"/>
      <w:bookmarkEnd w:id="32"/>
    </w:p>
    <w:p w14:paraId="563C0E0B">
      <w:pPr>
        <w:tabs>
          <w:tab w:val="right" w:leader="dot" w:pos="8296"/>
        </w:tabs>
        <w:spacing w:before="120" w:after="120"/>
        <w:rPr>
          <w:smallCaps/>
          <w:szCs w:val="21"/>
        </w:rPr>
      </w:pPr>
      <w:r>
        <w:rPr>
          <w:smallCaps/>
          <w:szCs w:val="21"/>
        </w:rPr>
        <w:fldChar w:fldCharType="begin"/>
      </w:r>
      <w:r>
        <w:rPr>
          <w:smallCaps/>
          <w:szCs w:val="21"/>
        </w:rPr>
        <w:instrText xml:space="preserve"> TOC \o "1-2" \h \z \u </w:instrText>
      </w:r>
      <w:r>
        <w:rPr>
          <w:smallCaps/>
          <w:szCs w:val="21"/>
        </w:rPr>
        <w:fldChar w:fldCharType="separate"/>
      </w:r>
    </w:p>
    <w:sdt>
      <w:sdtPr>
        <w:rPr>
          <w:rFonts w:ascii="宋体" w:hAnsi="宋体" w:eastAsia="宋体"/>
          <w:b/>
          <w:bCs/>
          <w:caps/>
        </w:rPr>
        <w:id w:val="147470356"/>
        <w15:color w:val="DBDBDB"/>
        <w:docPartObj>
          <w:docPartGallery w:val="Table of Contents"/>
          <w:docPartUnique/>
        </w:docPartObj>
      </w:sdtPr>
      <w:sdtEndPr>
        <w:rPr>
          <w:rFonts w:ascii="Times New Roman" w:hAnsi="Times New Roman" w:eastAsia="宋体" w:cs="Times New Roman"/>
          <w:b/>
          <w:bCs w:val="0"/>
          <w:caps w:val="0"/>
          <w:smallCaps/>
          <w:szCs w:val="20"/>
          <w:lang w:val="zh-CN"/>
        </w:rPr>
      </w:sdtEndPr>
      <w:sdtContent>
        <w:p w14:paraId="4E9A8F97">
          <w:pPr>
            <w:jc w:val="center"/>
          </w:pPr>
        </w:p>
        <w:p w14:paraId="47D1380F">
          <w:pPr>
            <w:pStyle w:val="13"/>
            <w:tabs>
              <w:tab w:val="right" w:leader="dot" w:pos="8306"/>
            </w:tabs>
            <w:spacing w:line="360" w:lineRule="auto"/>
          </w:pPr>
          <w:r>
            <w:rPr>
              <w:b w:val="0"/>
              <w:bCs w:val="0"/>
              <w:caps w:val="0"/>
              <w:smallCaps/>
              <w:sz w:val="20"/>
              <w:szCs w:val="20"/>
              <w:lang w:val="zh-CN"/>
            </w:rPr>
            <w:fldChar w:fldCharType="begin"/>
          </w:r>
          <w:r>
            <w:rPr>
              <w:b w:val="0"/>
              <w:bCs w:val="0"/>
              <w:caps w:val="0"/>
              <w:smallCaps/>
              <w:sz w:val="20"/>
              <w:szCs w:val="20"/>
              <w:lang w:val="zh-CN"/>
            </w:rPr>
            <w:instrText xml:space="preserve">TOC \o "1-2" \h \u </w:instrText>
          </w:r>
          <w:r>
            <w:rPr>
              <w:b w:val="0"/>
              <w:bCs w:val="0"/>
              <w:caps w:val="0"/>
              <w:smallCaps/>
              <w:sz w:val="20"/>
              <w:szCs w:val="20"/>
              <w:lang w:val="zh-CN"/>
            </w:rPr>
            <w:fldChar w:fldCharType="separate"/>
          </w:r>
          <w:r>
            <w:fldChar w:fldCharType="begin"/>
          </w:r>
          <w:r>
            <w:instrText xml:space="preserve"> HYPERLINK \l "_Toc17496" </w:instrText>
          </w:r>
          <w:r>
            <w:fldChar w:fldCharType="separate"/>
          </w:r>
          <w:r>
            <w:rPr>
              <w:rFonts w:hint="eastAsia"/>
              <w:szCs w:val="30"/>
            </w:rPr>
            <w:t>1 总  则</w:t>
          </w:r>
          <w:r>
            <w:tab/>
          </w:r>
          <w:r>
            <w:fldChar w:fldCharType="begin"/>
          </w:r>
          <w:r>
            <w:instrText xml:space="preserve"> PAGEREF _Toc17496 \h </w:instrText>
          </w:r>
          <w:r>
            <w:fldChar w:fldCharType="separate"/>
          </w:r>
          <w:r>
            <w:t>2</w:t>
          </w:r>
          <w:r>
            <w:fldChar w:fldCharType="end"/>
          </w:r>
          <w:r>
            <w:fldChar w:fldCharType="end"/>
          </w:r>
        </w:p>
        <w:p w14:paraId="6A3AD446">
          <w:pPr>
            <w:pStyle w:val="13"/>
            <w:tabs>
              <w:tab w:val="right" w:leader="dot" w:pos="8306"/>
            </w:tabs>
            <w:spacing w:line="360" w:lineRule="auto"/>
          </w:pPr>
          <w:r>
            <w:fldChar w:fldCharType="begin"/>
          </w:r>
          <w:r>
            <w:instrText xml:space="preserve"> HYPERLINK \l "_Toc4552" </w:instrText>
          </w:r>
          <w:r>
            <w:fldChar w:fldCharType="separate"/>
          </w:r>
          <w:r>
            <w:rPr>
              <w:rFonts w:hint="eastAsia"/>
              <w:szCs w:val="30"/>
            </w:rPr>
            <w:t>2 术</w:t>
          </w:r>
          <w:r>
            <w:rPr>
              <w:szCs w:val="30"/>
            </w:rPr>
            <w:t xml:space="preserve">  </w:t>
          </w:r>
          <w:r>
            <w:rPr>
              <w:rFonts w:hint="eastAsia"/>
              <w:szCs w:val="30"/>
            </w:rPr>
            <w:t>语</w:t>
          </w:r>
          <w:r>
            <w:tab/>
          </w:r>
          <w:r>
            <w:fldChar w:fldCharType="begin"/>
          </w:r>
          <w:r>
            <w:instrText xml:space="preserve"> PAGEREF _Toc4552 \h </w:instrText>
          </w:r>
          <w:r>
            <w:fldChar w:fldCharType="separate"/>
          </w:r>
          <w:r>
            <w:t>2</w:t>
          </w:r>
          <w:r>
            <w:fldChar w:fldCharType="end"/>
          </w:r>
          <w:r>
            <w:fldChar w:fldCharType="end"/>
          </w:r>
        </w:p>
        <w:p w14:paraId="753848F8">
          <w:pPr>
            <w:pStyle w:val="13"/>
            <w:tabs>
              <w:tab w:val="right" w:leader="dot" w:pos="8306"/>
            </w:tabs>
            <w:spacing w:line="360" w:lineRule="auto"/>
          </w:pPr>
          <w:r>
            <w:fldChar w:fldCharType="begin"/>
          </w:r>
          <w:r>
            <w:instrText xml:space="preserve"> HYPERLINK \l "_Toc1280" </w:instrText>
          </w:r>
          <w:r>
            <w:fldChar w:fldCharType="separate"/>
          </w:r>
          <w:r>
            <w:rPr>
              <w:rFonts w:hint="eastAsia"/>
              <w:szCs w:val="30"/>
            </w:rPr>
            <w:t>3 基本规定</w:t>
          </w:r>
          <w:r>
            <w:tab/>
          </w:r>
          <w:r>
            <w:fldChar w:fldCharType="begin"/>
          </w:r>
          <w:r>
            <w:instrText xml:space="preserve"> PAGEREF _Toc1280 \h </w:instrText>
          </w:r>
          <w:r>
            <w:fldChar w:fldCharType="separate"/>
          </w:r>
          <w:r>
            <w:t>4</w:t>
          </w:r>
          <w:r>
            <w:fldChar w:fldCharType="end"/>
          </w:r>
          <w:r>
            <w:fldChar w:fldCharType="end"/>
          </w:r>
        </w:p>
        <w:p w14:paraId="244D93FA">
          <w:pPr>
            <w:pStyle w:val="13"/>
            <w:tabs>
              <w:tab w:val="right" w:leader="dot" w:pos="8306"/>
            </w:tabs>
            <w:spacing w:line="360" w:lineRule="auto"/>
          </w:pPr>
          <w:r>
            <w:fldChar w:fldCharType="begin"/>
          </w:r>
          <w:r>
            <w:instrText xml:space="preserve"> HYPERLINK \l "_Toc9197" </w:instrText>
          </w:r>
          <w:r>
            <w:fldChar w:fldCharType="separate"/>
          </w:r>
          <w:r>
            <w:rPr>
              <w:szCs w:val="30"/>
            </w:rPr>
            <w:t>4 诊断方法</w:t>
          </w:r>
          <w:r>
            <w:tab/>
          </w:r>
          <w:r>
            <w:fldChar w:fldCharType="begin"/>
          </w:r>
          <w:r>
            <w:instrText xml:space="preserve"> PAGEREF _Toc9197 \h </w:instrText>
          </w:r>
          <w:r>
            <w:fldChar w:fldCharType="separate"/>
          </w:r>
          <w:r>
            <w:t>6</w:t>
          </w:r>
          <w:r>
            <w:fldChar w:fldCharType="end"/>
          </w:r>
          <w:r>
            <w:fldChar w:fldCharType="end"/>
          </w:r>
        </w:p>
        <w:p w14:paraId="6F2FC87F">
          <w:pPr>
            <w:pStyle w:val="14"/>
            <w:tabs>
              <w:tab w:val="right" w:leader="dot" w:pos="8306"/>
            </w:tabs>
            <w:spacing w:line="360" w:lineRule="auto"/>
          </w:pPr>
          <w:r>
            <w:fldChar w:fldCharType="begin"/>
          </w:r>
          <w:r>
            <w:instrText xml:space="preserve"> HYPERLINK \l "_Toc31704" </w:instrText>
          </w:r>
          <w:r>
            <w:fldChar w:fldCharType="separate"/>
          </w:r>
          <w:r>
            <w:rPr>
              <w:rFonts w:hint="eastAsia"/>
              <w:szCs w:val="28"/>
            </w:rPr>
            <w:t xml:space="preserve">4.1 </w:t>
          </w:r>
          <w:r>
            <w:rPr>
              <w:szCs w:val="28"/>
            </w:rPr>
            <w:t>诊断原则</w:t>
          </w:r>
          <w:r>
            <w:tab/>
          </w:r>
          <w:r>
            <w:fldChar w:fldCharType="begin"/>
          </w:r>
          <w:r>
            <w:instrText xml:space="preserve"> PAGEREF _Toc31704 \h </w:instrText>
          </w:r>
          <w:r>
            <w:fldChar w:fldCharType="separate"/>
          </w:r>
          <w:r>
            <w:t>6</w:t>
          </w:r>
          <w:r>
            <w:fldChar w:fldCharType="end"/>
          </w:r>
          <w:r>
            <w:fldChar w:fldCharType="end"/>
          </w:r>
        </w:p>
        <w:p w14:paraId="2B2406F1">
          <w:pPr>
            <w:pStyle w:val="14"/>
            <w:tabs>
              <w:tab w:val="right" w:leader="dot" w:pos="8306"/>
            </w:tabs>
            <w:spacing w:line="360" w:lineRule="auto"/>
          </w:pPr>
          <w:r>
            <w:fldChar w:fldCharType="begin"/>
          </w:r>
          <w:r>
            <w:instrText xml:space="preserve"> HYPERLINK \l "_Toc15026" </w:instrText>
          </w:r>
          <w:r>
            <w:fldChar w:fldCharType="separate"/>
          </w:r>
          <w:r>
            <w:rPr>
              <w:rFonts w:hint="eastAsia"/>
              <w:szCs w:val="28"/>
            </w:rPr>
            <w:t>4.</w:t>
          </w:r>
          <w:r>
            <w:rPr>
              <w:szCs w:val="28"/>
            </w:rPr>
            <w:t>2</w:t>
          </w:r>
          <w:r>
            <w:rPr>
              <w:rFonts w:hint="eastAsia"/>
              <w:szCs w:val="28"/>
            </w:rPr>
            <w:t xml:space="preserve"> 数据采集与处理</w:t>
          </w:r>
          <w:r>
            <w:tab/>
          </w:r>
          <w:r>
            <w:fldChar w:fldCharType="begin"/>
          </w:r>
          <w:r>
            <w:instrText xml:space="preserve"> PAGEREF _Toc15026 \h </w:instrText>
          </w:r>
          <w:r>
            <w:fldChar w:fldCharType="separate"/>
          </w:r>
          <w:r>
            <w:t>7</w:t>
          </w:r>
          <w:r>
            <w:fldChar w:fldCharType="end"/>
          </w:r>
          <w:r>
            <w:fldChar w:fldCharType="end"/>
          </w:r>
        </w:p>
        <w:p w14:paraId="5C2E9455">
          <w:pPr>
            <w:pStyle w:val="13"/>
            <w:tabs>
              <w:tab w:val="right" w:leader="dot" w:pos="8306"/>
            </w:tabs>
            <w:spacing w:line="360" w:lineRule="auto"/>
          </w:pPr>
          <w:r>
            <w:fldChar w:fldCharType="begin"/>
          </w:r>
          <w:r>
            <w:instrText xml:space="preserve"> HYPERLINK \l "_Toc15424" </w:instrText>
          </w:r>
          <w:r>
            <w:fldChar w:fldCharType="separate"/>
          </w:r>
          <w:r>
            <w:rPr>
              <w:szCs w:val="30"/>
            </w:rPr>
            <w:t>5 能效诊断</w:t>
          </w:r>
          <w:r>
            <w:tab/>
          </w:r>
          <w:r>
            <w:fldChar w:fldCharType="begin"/>
          </w:r>
          <w:r>
            <w:instrText xml:space="preserve"> PAGEREF _Toc15424 \h </w:instrText>
          </w:r>
          <w:r>
            <w:fldChar w:fldCharType="separate"/>
          </w:r>
          <w:r>
            <w:t>8</w:t>
          </w:r>
          <w:r>
            <w:fldChar w:fldCharType="end"/>
          </w:r>
          <w:r>
            <w:fldChar w:fldCharType="end"/>
          </w:r>
        </w:p>
        <w:p w14:paraId="79CD4C14">
          <w:pPr>
            <w:pStyle w:val="14"/>
            <w:tabs>
              <w:tab w:val="right" w:leader="dot" w:pos="8306"/>
            </w:tabs>
            <w:spacing w:line="360" w:lineRule="auto"/>
          </w:pPr>
          <w:r>
            <w:fldChar w:fldCharType="begin"/>
          </w:r>
          <w:r>
            <w:instrText xml:space="preserve"> HYPERLINK \l "_Toc1905" </w:instrText>
          </w:r>
          <w:r>
            <w:fldChar w:fldCharType="separate"/>
          </w:r>
          <w:r>
            <w:rPr>
              <w:rFonts w:hint="eastAsia"/>
              <w:szCs w:val="28"/>
            </w:rPr>
            <w:t>5.1 能效分级</w:t>
          </w:r>
          <w:r>
            <w:tab/>
          </w:r>
          <w:r>
            <w:fldChar w:fldCharType="begin"/>
          </w:r>
          <w:r>
            <w:instrText xml:space="preserve"> PAGEREF _Toc1905 \h </w:instrText>
          </w:r>
          <w:r>
            <w:fldChar w:fldCharType="separate"/>
          </w:r>
          <w:r>
            <w:t>8</w:t>
          </w:r>
          <w:r>
            <w:fldChar w:fldCharType="end"/>
          </w:r>
          <w:r>
            <w:fldChar w:fldCharType="end"/>
          </w:r>
        </w:p>
        <w:p w14:paraId="59A79EF4">
          <w:pPr>
            <w:pStyle w:val="14"/>
            <w:tabs>
              <w:tab w:val="right" w:leader="dot" w:pos="8306"/>
            </w:tabs>
            <w:spacing w:line="360" w:lineRule="auto"/>
          </w:pPr>
          <w:r>
            <w:fldChar w:fldCharType="begin"/>
          </w:r>
          <w:r>
            <w:instrText xml:space="preserve"> HYPERLINK \l "_Toc22465" </w:instrText>
          </w:r>
          <w:r>
            <w:fldChar w:fldCharType="separate"/>
          </w:r>
          <w:r>
            <w:rPr>
              <w:rFonts w:hint="eastAsia"/>
              <w:szCs w:val="28"/>
            </w:rPr>
            <w:t>5.2 分项能效诊断</w:t>
          </w:r>
          <w:r>
            <w:tab/>
          </w:r>
          <w:r>
            <w:fldChar w:fldCharType="begin"/>
          </w:r>
          <w:r>
            <w:instrText xml:space="preserve"> PAGEREF _Toc22465 \h </w:instrText>
          </w:r>
          <w:r>
            <w:fldChar w:fldCharType="separate"/>
          </w:r>
          <w:r>
            <w:t>9</w:t>
          </w:r>
          <w:r>
            <w:fldChar w:fldCharType="end"/>
          </w:r>
          <w:r>
            <w:fldChar w:fldCharType="end"/>
          </w:r>
        </w:p>
        <w:p w14:paraId="6F7E3D01">
          <w:pPr>
            <w:pStyle w:val="14"/>
            <w:tabs>
              <w:tab w:val="right" w:leader="dot" w:pos="8306"/>
            </w:tabs>
            <w:spacing w:line="360" w:lineRule="auto"/>
          </w:pPr>
          <w:r>
            <w:fldChar w:fldCharType="begin"/>
          </w:r>
          <w:r>
            <w:instrText xml:space="preserve"> HYPERLINK \l "_Toc11478" </w:instrText>
          </w:r>
          <w:r>
            <w:fldChar w:fldCharType="separate"/>
          </w:r>
          <w:r>
            <w:rPr>
              <w:rFonts w:hint="eastAsia"/>
              <w:szCs w:val="28"/>
            </w:rPr>
            <w:t>5.3 能源管理诊断</w:t>
          </w:r>
          <w:r>
            <w:tab/>
          </w:r>
          <w:r>
            <w:fldChar w:fldCharType="begin"/>
          </w:r>
          <w:r>
            <w:instrText xml:space="preserve"> PAGEREF _Toc11478 \h </w:instrText>
          </w:r>
          <w:r>
            <w:fldChar w:fldCharType="separate"/>
          </w:r>
          <w:r>
            <w:t>13</w:t>
          </w:r>
          <w:r>
            <w:fldChar w:fldCharType="end"/>
          </w:r>
          <w:r>
            <w:fldChar w:fldCharType="end"/>
          </w:r>
        </w:p>
        <w:p w14:paraId="7BCE08C8">
          <w:pPr>
            <w:pStyle w:val="13"/>
            <w:tabs>
              <w:tab w:val="right" w:leader="dot" w:pos="8306"/>
            </w:tabs>
            <w:spacing w:line="360" w:lineRule="auto"/>
          </w:pPr>
          <w:r>
            <w:fldChar w:fldCharType="begin"/>
          </w:r>
          <w:r>
            <w:instrText xml:space="preserve"> HYPERLINK \l "_Toc2164" </w:instrText>
          </w:r>
          <w:r>
            <w:fldChar w:fldCharType="separate"/>
          </w:r>
          <w:r>
            <w:rPr>
              <w:szCs w:val="30"/>
            </w:rPr>
            <w:t>6 能效提升</w:t>
          </w:r>
          <w:r>
            <w:tab/>
          </w:r>
          <w:r>
            <w:fldChar w:fldCharType="begin"/>
          </w:r>
          <w:r>
            <w:instrText xml:space="preserve"> PAGEREF _Toc2164 \h </w:instrText>
          </w:r>
          <w:r>
            <w:fldChar w:fldCharType="separate"/>
          </w:r>
          <w:r>
            <w:t>15</w:t>
          </w:r>
          <w:r>
            <w:fldChar w:fldCharType="end"/>
          </w:r>
          <w:r>
            <w:fldChar w:fldCharType="end"/>
          </w:r>
        </w:p>
        <w:p w14:paraId="64526260">
          <w:pPr>
            <w:pStyle w:val="13"/>
            <w:tabs>
              <w:tab w:val="right" w:leader="dot" w:pos="8306"/>
            </w:tabs>
            <w:spacing w:line="360" w:lineRule="auto"/>
          </w:pPr>
          <w:r>
            <w:fldChar w:fldCharType="begin"/>
          </w:r>
          <w:r>
            <w:instrText xml:space="preserve"> HYPERLINK \l "_Toc7734" </w:instrText>
          </w:r>
          <w:r>
            <w:fldChar w:fldCharType="separate"/>
          </w:r>
          <w:r>
            <w:rPr>
              <w:szCs w:val="30"/>
            </w:rPr>
            <w:t>附录A 公共建筑能效诊断流程</w:t>
          </w:r>
          <w:r>
            <w:tab/>
          </w:r>
          <w:r>
            <w:fldChar w:fldCharType="begin"/>
          </w:r>
          <w:r>
            <w:instrText xml:space="preserve"> PAGEREF _Toc7734 \h </w:instrText>
          </w:r>
          <w:r>
            <w:fldChar w:fldCharType="separate"/>
          </w:r>
          <w:r>
            <w:t>16</w:t>
          </w:r>
          <w:r>
            <w:fldChar w:fldCharType="end"/>
          </w:r>
          <w:r>
            <w:fldChar w:fldCharType="end"/>
          </w:r>
        </w:p>
        <w:p w14:paraId="07B48962">
          <w:pPr>
            <w:pStyle w:val="13"/>
            <w:tabs>
              <w:tab w:val="right" w:leader="dot" w:pos="8306"/>
            </w:tabs>
            <w:spacing w:line="360" w:lineRule="auto"/>
          </w:pPr>
          <w:r>
            <w:fldChar w:fldCharType="begin"/>
          </w:r>
          <w:r>
            <w:instrText xml:space="preserve"> HYPERLINK \l "_Toc30608" </w:instrText>
          </w:r>
          <w:r>
            <w:fldChar w:fldCharType="separate"/>
          </w:r>
          <w:r>
            <w:rPr>
              <w:szCs w:val="30"/>
            </w:rPr>
            <w:t>附表B 公共建筑能效诊断基本信息表</w:t>
          </w:r>
          <w:r>
            <w:tab/>
          </w:r>
          <w:r>
            <w:fldChar w:fldCharType="begin"/>
          </w:r>
          <w:r>
            <w:instrText xml:space="preserve"> PAGEREF _Toc30608 \h </w:instrText>
          </w:r>
          <w:r>
            <w:fldChar w:fldCharType="separate"/>
          </w:r>
          <w:r>
            <w:t>18</w:t>
          </w:r>
          <w:r>
            <w:fldChar w:fldCharType="end"/>
          </w:r>
          <w:r>
            <w:fldChar w:fldCharType="end"/>
          </w:r>
        </w:p>
        <w:p w14:paraId="12F12473">
          <w:pPr>
            <w:pStyle w:val="13"/>
            <w:tabs>
              <w:tab w:val="right" w:leader="dot" w:pos="8306"/>
            </w:tabs>
            <w:spacing w:line="360" w:lineRule="auto"/>
          </w:pPr>
          <w:r>
            <w:fldChar w:fldCharType="begin"/>
          </w:r>
          <w:r>
            <w:instrText xml:space="preserve"> HYPERLINK \l "_Toc7761" </w:instrText>
          </w:r>
          <w:r>
            <w:fldChar w:fldCharType="separate"/>
          </w:r>
          <w:r>
            <w:rPr>
              <w:szCs w:val="30"/>
            </w:rPr>
            <w:t xml:space="preserve">附录C </w:t>
          </w:r>
          <w:r>
            <w:rPr>
              <w:rFonts w:hint="eastAsia"/>
              <w:szCs w:val="30"/>
              <w:lang w:val="en-US" w:eastAsia="zh-CN"/>
            </w:rPr>
            <w:t>公共</w:t>
          </w:r>
          <w:r>
            <w:rPr>
              <w:szCs w:val="30"/>
            </w:rPr>
            <w:t>建筑能效诊断现场巡查记录</w:t>
          </w:r>
          <w:r>
            <w:tab/>
          </w:r>
          <w:r>
            <w:fldChar w:fldCharType="begin"/>
          </w:r>
          <w:r>
            <w:instrText xml:space="preserve"> PAGEREF _Toc7761 \h </w:instrText>
          </w:r>
          <w:r>
            <w:fldChar w:fldCharType="separate"/>
          </w:r>
          <w:r>
            <w:t>24</w:t>
          </w:r>
          <w:r>
            <w:fldChar w:fldCharType="end"/>
          </w:r>
          <w:r>
            <w:fldChar w:fldCharType="end"/>
          </w:r>
        </w:p>
        <w:p w14:paraId="16862961">
          <w:pPr>
            <w:pStyle w:val="13"/>
            <w:tabs>
              <w:tab w:val="right" w:leader="dot" w:pos="8306"/>
            </w:tabs>
            <w:spacing w:line="360" w:lineRule="auto"/>
          </w:pPr>
          <w:r>
            <w:fldChar w:fldCharType="begin"/>
          </w:r>
          <w:r>
            <w:instrText xml:space="preserve"> HYPERLINK \l "_Toc18838" </w:instrText>
          </w:r>
          <w:r>
            <w:fldChar w:fldCharType="separate"/>
          </w:r>
          <w:r>
            <w:rPr>
              <w:szCs w:val="30"/>
            </w:rPr>
            <w:t>附录D 公共建筑能效诊断报告简表</w:t>
          </w:r>
          <w:r>
            <w:tab/>
          </w:r>
          <w:r>
            <w:fldChar w:fldCharType="begin"/>
          </w:r>
          <w:r>
            <w:instrText xml:space="preserve"> PAGEREF _Toc18838 \h </w:instrText>
          </w:r>
          <w:r>
            <w:fldChar w:fldCharType="separate"/>
          </w:r>
          <w:r>
            <w:t>26</w:t>
          </w:r>
          <w:r>
            <w:fldChar w:fldCharType="end"/>
          </w:r>
          <w:r>
            <w:fldChar w:fldCharType="end"/>
          </w:r>
        </w:p>
        <w:p w14:paraId="230DE0EF">
          <w:pPr>
            <w:pStyle w:val="13"/>
            <w:tabs>
              <w:tab w:val="right" w:leader="dot" w:pos="8306"/>
            </w:tabs>
            <w:spacing w:line="360" w:lineRule="auto"/>
          </w:pPr>
          <w:r>
            <w:fldChar w:fldCharType="begin"/>
          </w:r>
          <w:r>
            <w:instrText xml:space="preserve"> HYPERLINK \l "_Toc348" </w:instrText>
          </w:r>
          <w:r>
            <w:fldChar w:fldCharType="separate"/>
          </w:r>
          <w:r>
            <w:rPr>
              <w:szCs w:val="30"/>
            </w:rPr>
            <w:t>本标准用词说明</w:t>
          </w:r>
          <w:r>
            <w:tab/>
          </w:r>
          <w:r>
            <w:fldChar w:fldCharType="begin"/>
          </w:r>
          <w:r>
            <w:instrText xml:space="preserve"> PAGEREF _Toc348 \h </w:instrText>
          </w:r>
          <w:r>
            <w:fldChar w:fldCharType="separate"/>
          </w:r>
          <w:r>
            <w:t>30</w:t>
          </w:r>
          <w:r>
            <w:fldChar w:fldCharType="end"/>
          </w:r>
          <w:r>
            <w:fldChar w:fldCharType="end"/>
          </w:r>
        </w:p>
        <w:p w14:paraId="1EB19A26">
          <w:pPr>
            <w:pStyle w:val="13"/>
            <w:tabs>
              <w:tab w:val="right" w:leader="dot" w:pos="8306"/>
            </w:tabs>
            <w:spacing w:line="360" w:lineRule="auto"/>
          </w:pPr>
          <w:r>
            <w:fldChar w:fldCharType="begin"/>
          </w:r>
          <w:r>
            <w:instrText xml:space="preserve"> HYPERLINK \l "_Toc9398" </w:instrText>
          </w:r>
          <w:r>
            <w:fldChar w:fldCharType="separate"/>
          </w:r>
          <w:r>
            <w:rPr>
              <w:szCs w:val="30"/>
            </w:rPr>
            <w:t>引用标准名录</w:t>
          </w:r>
          <w:r>
            <w:tab/>
          </w:r>
          <w:r>
            <w:fldChar w:fldCharType="begin"/>
          </w:r>
          <w:r>
            <w:instrText xml:space="preserve"> PAGEREF _Toc9398 \h </w:instrText>
          </w:r>
          <w:r>
            <w:fldChar w:fldCharType="separate"/>
          </w:r>
          <w:r>
            <w:t>31</w:t>
          </w:r>
          <w:r>
            <w:fldChar w:fldCharType="end"/>
          </w:r>
          <w:r>
            <w:fldChar w:fldCharType="end"/>
          </w:r>
        </w:p>
        <w:p w14:paraId="763ABD57">
          <w:pPr>
            <w:pStyle w:val="13"/>
            <w:tabs>
              <w:tab w:val="right" w:leader="dot" w:pos="8306"/>
            </w:tabs>
            <w:spacing w:line="360" w:lineRule="auto"/>
          </w:pPr>
          <w:r>
            <w:fldChar w:fldCharType="begin"/>
          </w:r>
          <w:r>
            <w:instrText xml:space="preserve"> HYPERLINK \l "_Toc13399" </w:instrText>
          </w:r>
          <w:r>
            <w:fldChar w:fldCharType="separate"/>
          </w:r>
          <w:r>
            <w:rPr>
              <w:szCs w:val="30"/>
            </w:rPr>
            <w:t>附：条  文  说  明</w:t>
          </w:r>
          <w:r>
            <w:tab/>
          </w:r>
          <w:r>
            <w:fldChar w:fldCharType="begin"/>
          </w:r>
          <w:r>
            <w:instrText xml:space="preserve"> PAGEREF _Toc13399 \h </w:instrText>
          </w:r>
          <w:r>
            <w:fldChar w:fldCharType="separate"/>
          </w:r>
          <w:r>
            <w:t>33</w:t>
          </w:r>
          <w:r>
            <w:fldChar w:fldCharType="end"/>
          </w:r>
          <w:r>
            <w:fldChar w:fldCharType="end"/>
          </w:r>
        </w:p>
        <w:p w14:paraId="5179EBDC">
          <w:pPr>
            <w:pStyle w:val="13"/>
            <w:widowControl/>
            <w:tabs>
              <w:tab w:val="right" w:leader="dot" w:pos="9632"/>
            </w:tabs>
            <w:spacing w:before="0" w:after="0" w:line="360" w:lineRule="auto"/>
            <w:rPr>
              <w:bCs w:val="0"/>
              <w:caps w:val="0"/>
              <w:smallCaps/>
              <w:szCs w:val="20"/>
              <w:lang w:val="zh-CN"/>
            </w:rPr>
          </w:pPr>
          <w:r>
            <w:rPr>
              <w:bCs w:val="0"/>
              <w:caps w:val="0"/>
              <w:smallCaps/>
              <w:szCs w:val="20"/>
              <w:lang w:val="zh-CN"/>
            </w:rPr>
            <w:fldChar w:fldCharType="end"/>
          </w:r>
        </w:p>
      </w:sdtContent>
    </w:sdt>
    <w:p w14:paraId="1EDE4148">
      <w:pPr>
        <w:rPr>
          <w:lang w:val="zh-CN"/>
        </w:rPr>
      </w:pPr>
    </w:p>
    <w:p w14:paraId="29895BF5">
      <w:pPr>
        <w:pStyle w:val="32"/>
        <w:spacing w:line="360" w:lineRule="auto"/>
        <w:ind w:left="360" w:firstLine="0" w:firstLineChars="0"/>
        <w:jc w:val="center"/>
        <w:rPr>
          <w:rFonts w:ascii="Times New Roman" w:hAnsi="Times New Roman" w:cs="Times New Roman" w:eastAsiaTheme="minorEastAsia"/>
          <w:b/>
          <w:bCs/>
          <w:kern w:val="44"/>
          <w:sz w:val="36"/>
          <w:szCs w:val="44"/>
          <w:lang w:val="en-US" w:eastAsia="zh-CN" w:bidi="ar-SA"/>
        </w:rPr>
      </w:pPr>
      <w:r>
        <w:rPr>
          <w:rFonts w:ascii="Times New Roman" w:hAnsi="Times New Roman"/>
        </w:rPr>
        <w:fldChar w:fldCharType="end"/>
      </w:r>
      <w:bookmarkStart w:id="33" w:name="_Toc140052614"/>
      <w:bookmarkStart w:id="34" w:name="_Toc137050130"/>
      <w:bookmarkStart w:id="35" w:name="_Toc18687"/>
      <w:bookmarkStart w:id="36" w:name="_Toc17496"/>
      <w:bookmarkStart w:id="37" w:name="_Toc135234901"/>
      <w:bookmarkStart w:id="38" w:name="_Toc137066733"/>
      <w:bookmarkStart w:id="39" w:name="_Toc139814544"/>
      <w:r>
        <w:rPr>
          <w:rFonts w:ascii="Times New Roman" w:hAnsi="Times New Roman"/>
          <w:color w:val="000000" w:themeColor="text1"/>
          <w:sz w:val="30"/>
          <w:szCs w:val="30"/>
          <w14:textFill>
            <w14:solidFill>
              <w14:schemeClr w14:val="tx1"/>
            </w14:solidFill>
          </w14:textFill>
        </w:rPr>
        <w:br w:type="page"/>
      </w:r>
      <w:r>
        <w:rPr>
          <w:rFonts w:ascii="Times New Roman" w:hAnsi="Times New Roman" w:cs="Times New Roman" w:eastAsiaTheme="minorEastAsia"/>
          <w:b/>
          <w:bCs/>
          <w:kern w:val="44"/>
          <w:sz w:val="36"/>
          <w:szCs w:val="44"/>
          <w:lang w:val="en-US" w:eastAsia="zh-CN" w:bidi="ar-SA"/>
        </w:rPr>
        <w:t>Contents</w:t>
      </w:r>
    </w:p>
    <w:p w14:paraId="38EB9368">
      <w:pPr>
        <w:pStyle w:val="13"/>
        <w:tabs>
          <w:tab w:val="right" w:leader="dot" w:pos="8306"/>
        </w:tabs>
        <w:spacing w:line="360" w:lineRule="auto"/>
      </w:pPr>
      <w:r>
        <w:fldChar w:fldCharType="begin"/>
      </w:r>
      <w:r>
        <w:instrText xml:space="preserve"> HYPERLINK \l "_Toc17496" </w:instrText>
      </w:r>
      <w:r>
        <w:fldChar w:fldCharType="separate"/>
      </w:r>
      <w:r>
        <w:rPr>
          <w:rFonts w:hint="eastAsia"/>
          <w:szCs w:val="30"/>
        </w:rPr>
        <w:t>1 G</w:t>
      </w:r>
      <w:r>
        <w:rPr>
          <w:rFonts w:hint="eastAsia"/>
          <w:b/>
          <w:bCs/>
          <w:caps w:val="0"/>
          <w:sz w:val="21"/>
          <w:szCs w:val="30"/>
          <w:lang w:val="en-US" w:eastAsia="zh-CN"/>
        </w:rPr>
        <w:t>enaral</w:t>
      </w:r>
      <w:r>
        <w:tab/>
      </w:r>
      <w:r>
        <w:fldChar w:fldCharType="begin"/>
      </w:r>
      <w:r>
        <w:instrText xml:space="preserve"> PAGEREF _Toc17496 \h </w:instrText>
      </w:r>
      <w:r>
        <w:fldChar w:fldCharType="separate"/>
      </w:r>
      <w:r>
        <w:t>2</w:t>
      </w:r>
      <w:r>
        <w:fldChar w:fldCharType="end"/>
      </w:r>
      <w:r>
        <w:fldChar w:fldCharType="end"/>
      </w:r>
    </w:p>
    <w:p w14:paraId="68A37787">
      <w:pPr>
        <w:pStyle w:val="13"/>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"_Toc4552" </w:instrText>
      </w:r>
      <w:r>
        <w:rPr>
          <w:caps w:val="0"/>
          <w:smallCaps w:val="0"/>
          <w:sz w:val="21"/>
        </w:rPr>
        <w:fldChar w:fldCharType="separate"/>
      </w:r>
      <w:r>
        <w:rPr>
          <w:rFonts w:hint="eastAsia"/>
          <w:caps w:val="0"/>
          <w:smallCaps w:val="0"/>
          <w:sz w:val="21"/>
          <w:szCs w:val="30"/>
        </w:rPr>
        <w:t>2 Terms</w:t>
      </w:r>
      <w:r>
        <w:rPr>
          <w:caps w:val="0"/>
          <w:smallCaps w:val="0"/>
          <w:sz w:val="21"/>
        </w:rPr>
        <w:tab/>
      </w:r>
      <w:r>
        <w:rPr>
          <w:caps w:val="0"/>
          <w:smallCaps w:val="0"/>
          <w:sz w:val="21"/>
        </w:rPr>
        <w:fldChar w:fldCharType="begin"/>
      </w:r>
      <w:r>
        <w:rPr>
          <w:caps w:val="0"/>
          <w:smallCaps w:val="0"/>
          <w:sz w:val="21"/>
        </w:rPr>
        <w:instrText xml:space="preserve"> PAGEREF _Toc4552 \h </w:instrText>
      </w:r>
      <w:r>
        <w:rPr>
          <w:caps w:val="0"/>
          <w:smallCaps w:val="0"/>
          <w:sz w:val="21"/>
        </w:rPr>
        <w:fldChar w:fldCharType="separate"/>
      </w:r>
      <w:r>
        <w:rPr>
          <w:caps w:val="0"/>
          <w:smallCaps w:val="0"/>
          <w:sz w:val="21"/>
        </w:rPr>
        <w:t>2</w:t>
      </w:r>
      <w:r>
        <w:rPr>
          <w:caps w:val="0"/>
          <w:smallCaps w:val="0"/>
          <w:sz w:val="21"/>
        </w:rPr>
        <w:fldChar w:fldCharType="end"/>
      </w:r>
      <w:r>
        <w:rPr>
          <w:caps w:val="0"/>
          <w:smallCaps w:val="0"/>
          <w:sz w:val="21"/>
        </w:rPr>
        <w:fldChar w:fldCharType="end"/>
      </w:r>
    </w:p>
    <w:p w14:paraId="51E16D7F">
      <w:pPr>
        <w:pStyle w:val="13"/>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"_Toc1280" </w:instrText>
      </w:r>
      <w:r>
        <w:rPr>
          <w:caps w:val="0"/>
          <w:smallCaps w:val="0"/>
          <w:sz w:val="21"/>
        </w:rPr>
        <w:fldChar w:fldCharType="separate"/>
      </w:r>
      <w:r>
        <w:rPr>
          <w:rFonts w:hint="eastAsia"/>
          <w:caps w:val="0"/>
          <w:smallCaps w:val="0"/>
          <w:sz w:val="21"/>
          <w:szCs w:val="30"/>
        </w:rPr>
        <w:t>3 General provisions</w:t>
      </w:r>
      <w:r>
        <w:rPr>
          <w:caps w:val="0"/>
          <w:smallCaps w:val="0"/>
          <w:sz w:val="21"/>
        </w:rPr>
        <w:tab/>
      </w:r>
      <w:r>
        <w:rPr>
          <w:caps w:val="0"/>
          <w:smallCaps w:val="0"/>
          <w:sz w:val="21"/>
        </w:rPr>
        <w:fldChar w:fldCharType="begin"/>
      </w:r>
      <w:r>
        <w:rPr>
          <w:caps w:val="0"/>
          <w:smallCaps w:val="0"/>
          <w:sz w:val="21"/>
        </w:rPr>
        <w:instrText xml:space="preserve"> PAGEREF _Toc1280 \h </w:instrText>
      </w:r>
      <w:r>
        <w:rPr>
          <w:caps w:val="0"/>
          <w:smallCaps w:val="0"/>
          <w:sz w:val="21"/>
        </w:rPr>
        <w:fldChar w:fldCharType="separate"/>
      </w:r>
      <w:r>
        <w:rPr>
          <w:caps w:val="0"/>
          <w:smallCaps w:val="0"/>
          <w:sz w:val="21"/>
        </w:rPr>
        <w:t>4</w:t>
      </w:r>
      <w:r>
        <w:rPr>
          <w:caps w:val="0"/>
          <w:smallCaps w:val="0"/>
          <w:sz w:val="21"/>
        </w:rPr>
        <w:fldChar w:fldCharType="end"/>
      </w:r>
      <w:r>
        <w:rPr>
          <w:caps w:val="0"/>
          <w:smallCaps w:val="0"/>
          <w:sz w:val="21"/>
        </w:rPr>
        <w:fldChar w:fldCharType="end"/>
      </w:r>
    </w:p>
    <w:p w14:paraId="0E42749C">
      <w:pPr>
        <w:pStyle w:val="13"/>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"_Toc9197" </w:instrText>
      </w:r>
      <w:r>
        <w:rPr>
          <w:caps w:val="0"/>
          <w:smallCaps w:val="0"/>
          <w:sz w:val="21"/>
        </w:rPr>
        <w:fldChar w:fldCharType="separate"/>
      </w:r>
      <w:r>
        <w:rPr>
          <w:caps w:val="0"/>
          <w:smallCaps w:val="0"/>
          <w:sz w:val="21"/>
          <w:szCs w:val="30"/>
        </w:rPr>
        <w:t xml:space="preserve">4 </w:t>
      </w:r>
      <w:r>
        <w:rPr>
          <w:rFonts w:hint="eastAsia"/>
          <w:caps w:val="0"/>
          <w:smallCaps w:val="0"/>
          <w:sz w:val="21"/>
          <w:szCs w:val="30"/>
        </w:rPr>
        <w:t>Diagnostic approach</w:t>
      </w:r>
      <w:r>
        <w:rPr>
          <w:caps w:val="0"/>
          <w:smallCaps w:val="0"/>
          <w:sz w:val="21"/>
        </w:rPr>
        <w:tab/>
      </w:r>
      <w:r>
        <w:rPr>
          <w:caps w:val="0"/>
          <w:smallCaps w:val="0"/>
          <w:sz w:val="21"/>
        </w:rPr>
        <w:fldChar w:fldCharType="begin"/>
      </w:r>
      <w:r>
        <w:rPr>
          <w:caps w:val="0"/>
          <w:smallCaps w:val="0"/>
          <w:sz w:val="21"/>
        </w:rPr>
        <w:instrText xml:space="preserve"> PAGEREF _Toc9197 \h </w:instrText>
      </w:r>
      <w:r>
        <w:rPr>
          <w:caps w:val="0"/>
          <w:smallCaps w:val="0"/>
          <w:sz w:val="21"/>
        </w:rPr>
        <w:fldChar w:fldCharType="separate"/>
      </w:r>
      <w:r>
        <w:rPr>
          <w:caps w:val="0"/>
          <w:smallCaps w:val="0"/>
          <w:sz w:val="21"/>
        </w:rPr>
        <w:t>6</w:t>
      </w:r>
      <w:r>
        <w:rPr>
          <w:caps w:val="0"/>
          <w:smallCaps w:val="0"/>
          <w:sz w:val="21"/>
        </w:rPr>
        <w:fldChar w:fldCharType="end"/>
      </w:r>
      <w:r>
        <w:rPr>
          <w:caps w:val="0"/>
          <w:smallCaps w:val="0"/>
          <w:sz w:val="21"/>
        </w:rPr>
        <w:fldChar w:fldCharType="end"/>
      </w:r>
    </w:p>
    <w:p w14:paraId="718D043F">
      <w:pPr>
        <w:pStyle w:val="14"/>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"_Toc31704" </w:instrText>
      </w:r>
      <w:r>
        <w:rPr>
          <w:caps w:val="0"/>
          <w:smallCaps w:val="0"/>
          <w:sz w:val="21"/>
        </w:rPr>
        <w:fldChar w:fldCharType="separate"/>
      </w:r>
      <w:r>
        <w:rPr>
          <w:rFonts w:hint="eastAsia"/>
          <w:caps w:val="0"/>
          <w:smallCaps w:val="0"/>
          <w:sz w:val="21"/>
          <w:szCs w:val="28"/>
        </w:rPr>
        <w:t>4.1 Diagnos</w:t>
      </w:r>
      <w:r>
        <w:rPr>
          <w:rFonts w:hint="eastAsia"/>
          <w:caps w:val="0"/>
          <w:smallCaps w:val="0"/>
          <w:sz w:val="21"/>
          <w:szCs w:val="28"/>
          <w:lang w:val="en-US" w:eastAsia="zh-CN"/>
        </w:rPr>
        <w:t>is</w:t>
      </w:r>
      <w:r>
        <w:rPr>
          <w:rFonts w:hint="eastAsia"/>
          <w:caps w:val="0"/>
          <w:smallCaps w:val="0"/>
          <w:sz w:val="21"/>
          <w:szCs w:val="28"/>
        </w:rPr>
        <w:t xml:space="preserve"> principles</w:t>
      </w:r>
      <w:r>
        <w:rPr>
          <w:caps w:val="0"/>
          <w:smallCaps w:val="0"/>
          <w:sz w:val="21"/>
        </w:rPr>
        <w:tab/>
      </w:r>
      <w:r>
        <w:rPr>
          <w:caps w:val="0"/>
          <w:smallCaps w:val="0"/>
          <w:sz w:val="21"/>
        </w:rPr>
        <w:fldChar w:fldCharType="begin"/>
      </w:r>
      <w:r>
        <w:rPr>
          <w:caps w:val="0"/>
          <w:smallCaps w:val="0"/>
          <w:sz w:val="21"/>
        </w:rPr>
        <w:instrText xml:space="preserve"> PAGEREF _Toc31704 \h </w:instrText>
      </w:r>
      <w:r>
        <w:rPr>
          <w:caps w:val="0"/>
          <w:smallCaps w:val="0"/>
          <w:sz w:val="21"/>
        </w:rPr>
        <w:fldChar w:fldCharType="separate"/>
      </w:r>
      <w:r>
        <w:rPr>
          <w:caps w:val="0"/>
          <w:smallCaps w:val="0"/>
          <w:sz w:val="21"/>
        </w:rPr>
        <w:t>6</w:t>
      </w:r>
      <w:r>
        <w:rPr>
          <w:caps w:val="0"/>
          <w:smallCaps w:val="0"/>
          <w:sz w:val="21"/>
        </w:rPr>
        <w:fldChar w:fldCharType="end"/>
      </w:r>
      <w:r>
        <w:rPr>
          <w:caps w:val="0"/>
          <w:smallCaps w:val="0"/>
          <w:sz w:val="21"/>
        </w:rPr>
        <w:fldChar w:fldCharType="end"/>
      </w:r>
    </w:p>
    <w:p w14:paraId="5D128A42">
      <w:pPr>
        <w:pStyle w:val="14"/>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"_Toc15026" </w:instrText>
      </w:r>
      <w:r>
        <w:rPr>
          <w:caps w:val="0"/>
          <w:smallCaps w:val="0"/>
          <w:sz w:val="21"/>
        </w:rPr>
        <w:fldChar w:fldCharType="separate"/>
      </w:r>
      <w:r>
        <w:rPr>
          <w:rFonts w:hint="eastAsia"/>
          <w:caps w:val="0"/>
          <w:smallCaps w:val="0"/>
          <w:sz w:val="21"/>
          <w:szCs w:val="28"/>
        </w:rPr>
        <w:t>4.</w:t>
      </w:r>
      <w:r>
        <w:rPr>
          <w:caps w:val="0"/>
          <w:smallCaps w:val="0"/>
          <w:sz w:val="21"/>
          <w:szCs w:val="28"/>
        </w:rPr>
        <w:t>2</w:t>
      </w:r>
      <w:r>
        <w:rPr>
          <w:rFonts w:hint="eastAsia"/>
          <w:caps w:val="0"/>
          <w:smallCaps w:val="0"/>
          <w:sz w:val="21"/>
          <w:szCs w:val="28"/>
        </w:rPr>
        <w:t xml:space="preserve"> Data collection and processing</w:t>
      </w:r>
      <w:r>
        <w:rPr>
          <w:caps w:val="0"/>
          <w:smallCaps w:val="0"/>
          <w:sz w:val="21"/>
        </w:rPr>
        <w:tab/>
      </w:r>
      <w:r>
        <w:rPr>
          <w:caps w:val="0"/>
          <w:smallCaps w:val="0"/>
          <w:sz w:val="21"/>
        </w:rPr>
        <w:fldChar w:fldCharType="begin"/>
      </w:r>
      <w:r>
        <w:rPr>
          <w:caps w:val="0"/>
          <w:smallCaps w:val="0"/>
          <w:sz w:val="21"/>
        </w:rPr>
        <w:instrText xml:space="preserve"> PAGEREF _Toc15026 \h </w:instrText>
      </w:r>
      <w:r>
        <w:rPr>
          <w:caps w:val="0"/>
          <w:smallCaps w:val="0"/>
          <w:sz w:val="21"/>
        </w:rPr>
        <w:fldChar w:fldCharType="separate"/>
      </w:r>
      <w:r>
        <w:rPr>
          <w:caps w:val="0"/>
          <w:smallCaps w:val="0"/>
          <w:sz w:val="21"/>
        </w:rPr>
        <w:t>7</w:t>
      </w:r>
      <w:r>
        <w:rPr>
          <w:caps w:val="0"/>
          <w:smallCaps w:val="0"/>
          <w:sz w:val="21"/>
        </w:rPr>
        <w:fldChar w:fldCharType="end"/>
      </w:r>
      <w:r>
        <w:rPr>
          <w:caps w:val="0"/>
          <w:smallCaps w:val="0"/>
          <w:sz w:val="21"/>
        </w:rPr>
        <w:fldChar w:fldCharType="end"/>
      </w:r>
    </w:p>
    <w:p w14:paraId="22DBD0D5">
      <w:pPr>
        <w:pStyle w:val="13"/>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"_Toc15424" </w:instrText>
      </w:r>
      <w:r>
        <w:rPr>
          <w:caps w:val="0"/>
          <w:smallCaps w:val="0"/>
          <w:sz w:val="21"/>
        </w:rPr>
        <w:fldChar w:fldCharType="separate"/>
      </w:r>
      <w:r>
        <w:rPr>
          <w:caps w:val="0"/>
          <w:smallCaps w:val="0"/>
          <w:sz w:val="21"/>
          <w:szCs w:val="30"/>
        </w:rPr>
        <w:t xml:space="preserve">5 </w:t>
      </w:r>
      <w:r>
        <w:rPr>
          <w:rFonts w:hint="eastAsia"/>
          <w:caps w:val="0"/>
          <w:smallCaps w:val="0"/>
          <w:sz w:val="21"/>
          <w:szCs w:val="30"/>
        </w:rPr>
        <w:t>Energy efficiency diagnosis</w:t>
      </w:r>
      <w:r>
        <w:rPr>
          <w:caps w:val="0"/>
          <w:smallCaps w:val="0"/>
          <w:sz w:val="21"/>
        </w:rPr>
        <w:tab/>
      </w:r>
      <w:r>
        <w:rPr>
          <w:caps w:val="0"/>
          <w:smallCaps w:val="0"/>
          <w:sz w:val="21"/>
        </w:rPr>
        <w:fldChar w:fldCharType="begin"/>
      </w:r>
      <w:r>
        <w:rPr>
          <w:caps w:val="0"/>
          <w:smallCaps w:val="0"/>
          <w:sz w:val="21"/>
        </w:rPr>
        <w:instrText xml:space="preserve"> PAGEREF _Toc15424 \h </w:instrText>
      </w:r>
      <w:r>
        <w:rPr>
          <w:caps w:val="0"/>
          <w:smallCaps w:val="0"/>
          <w:sz w:val="21"/>
        </w:rPr>
        <w:fldChar w:fldCharType="separate"/>
      </w:r>
      <w:r>
        <w:rPr>
          <w:caps w:val="0"/>
          <w:smallCaps w:val="0"/>
          <w:sz w:val="21"/>
        </w:rPr>
        <w:t>8</w:t>
      </w:r>
      <w:r>
        <w:rPr>
          <w:caps w:val="0"/>
          <w:smallCaps w:val="0"/>
          <w:sz w:val="21"/>
        </w:rPr>
        <w:fldChar w:fldCharType="end"/>
      </w:r>
      <w:r>
        <w:rPr>
          <w:caps w:val="0"/>
          <w:smallCaps w:val="0"/>
          <w:sz w:val="21"/>
        </w:rPr>
        <w:fldChar w:fldCharType="end"/>
      </w:r>
    </w:p>
    <w:p w14:paraId="0502A7B8">
      <w:pPr>
        <w:pStyle w:val="14"/>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"_Toc1905" </w:instrText>
      </w:r>
      <w:r>
        <w:rPr>
          <w:caps w:val="0"/>
          <w:smallCaps w:val="0"/>
          <w:sz w:val="21"/>
        </w:rPr>
        <w:fldChar w:fldCharType="separate"/>
      </w:r>
      <w:r>
        <w:rPr>
          <w:rFonts w:hint="eastAsia"/>
          <w:caps w:val="0"/>
          <w:smallCaps w:val="0"/>
          <w:sz w:val="21"/>
          <w:szCs w:val="28"/>
        </w:rPr>
        <w:t>5.1 Energy efficiency classification</w:t>
      </w:r>
      <w:r>
        <w:rPr>
          <w:caps w:val="0"/>
          <w:smallCaps w:val="0"/>
          <w:sz w:val="21"/>
        </w:rPr>
        <w:tab/>
      </w:r>
      <w:r>
        <w:rPr>
          <w:caps w:val="0"/>
          <w:smallCaps w:val="0"/>
          <w:sz w:val="21"/>
        </w:rPr>
        <w:fldChar w:fldCharType="begin"/>
      </w:r>
      <w:r>
        <w:rPr>
          <w:caps w:val="0"/>
          <w:smallCaps w:val="0"/>
          <w:sz w:val="21"/>
        </w:rPr>
        <w:instrText xml:space="preserve"> PAGEREF _Toc1905 \h </w:instrText>
      </w:r>
      <w:r>
        <w:rPr>
          <w:caps w:val="0"/>
          <w:smallCaps w:val="0"/>
          <w:sz w:val="21"/>
        </w:rPr>
        <w:fldChar w:fldCharType="separate"/>
      </w:r>
      <w:r>
        <w:rPr>
          <w:caps w:val="0"/>
          <w:smallCaps w:val="0"/>
          <w:sz w:val="21"/>
        </w:rPr>
        <w:t>8</w:t>
      </w:r>
      <w:r>
        <w:rPr>
          <w:caps w:val="0"/>
          <w:smallCaps w:val="0"/>
          <w:sz w:val="21"/>
        </w:rPr>
        <w:fldChar w:fldCharType="end"/>
      </w:r>
      <w:r>
        <w:rPr>
          <w:caps w:val="0"/>
          <w:smallCaps w:val="0"/>
          <w:sz w:val="21"/>
        </w:rPr>
        <w:fldChar w:fldCharType="end"/>
      </w:r>
    </w:p>
    <w:p w14:paraId="51FED030">
      <w:pPr>
        <w:pStyle w:val="14"/>
        <w:tabs>
          <w:tab w:val="right" w:leader="dot" w:pos="8306"/>
        </w:tabs>
        <w:spacing w:line="360" w:lineRule="auto"/>
        <w:rPr>
          <w:caps w:val="0"/>
          <w:smallCaps w:val="0"/>
          <w:sz w:val="21"/>
        </w:rPr>
      </w:pPr>
      <w:r>
        <w:rPr>
          <w:caps w:val="0"/>
          <w:smallCaps w:val="0"/>
          <w:sz w:val="21"/>
        </w:rPr>
        <w:fldChar w:fldCharType="begin"/>
      </w:r>
      <w:r>
        <w:rPr>
          <w:caps w:val="0"/>
          <w:smallCaps w:val="0"/>
          <w:sz w:val="21"/>
        </w:rPr>
        <w:instrText xml:space="preserve"> HYPERLINK \l "_Toc22465" </w:instrText>
      </w:r>
      <w:r>
        <w:rPr>
          <w:caps w:val="0"/>
          <w:smallCaps w:val="0"/>
          <w:sz w:val="21"/>
        </w:rPr>
        <w:fldChar w:fldCharType="separate"/>
      </w:r>
      <w:r>
        <w:rPr>
          <w:rFonts w:hint="eastAsia"/>
          <w:caps w:val="0"/>
          <w:smallCaps w:val="0"/>
          <w:sz w:val="21"/>
          <w:szCs w:val="28"/>
        </w:rPr>
        <w:t>5.2 Itemized energy efficiency diagnosis</w:t>
      </w:r>
      <w:r>
        <w:rPr>
          <w:caps w:val="0"/>
          <w:smallCaps w:val="0"/>
          <w:sz w:val="21"/>
        </w:rPr>
        <w:tab/>
      </w:r>
      <w:r>
        <w:rPr>
          <w:caps w:val="0"/>
          <w:smallCaps w:val="0"/>
          <w:sz w:val="21"/>
        </w:rPr>
        <w:fldChar w:fldCharType="begin"/>
      </w:r>
      <w:r>
        <w:rPr>
          <w:caps w:val="0"/>
          <w:smallCaps w:val="0"/>
          <w:sz w:val="21"/>
        </w:rPr>
        <w:instrText xml:space="preserve"> PAGEREF _Toc22465 \h </w:instrText>
      </w:r>
      <w:r>
        <w:rPr>
          <w:caps w:val="0"/>
          <w:smallCaps w:val="0"/>
          <w:sz w:val="21"/>
        </w:rPr>
        <w:fldChar w:fldCharType="separate"/>
      </w:r>
      <w:r>
        <w:rPr>
          <w:caps w:val="0"/>
          <w:smallCaps w:val="0"/>
          <w:sz w:val="21"/>
        </w:rPr>
        <w:t>9</w:t>
      </w:r>
      <w:r>
        <w:rPr>
          <w:caps w:val="0"/>
          <w:smallCaps w:val="0"/>
          <w:sz w:val="21"/>
        </w:rPr>
        <w:fldChar w:fldCharType="end"/>
      </w:r>
      <w:r>
        <w:rPr>
          <w:caps w:val="0"/>
          <w:smallCaps w:val="0"/>
          <w:sz w:val="21"/>
        </w:rPr>
        <w:fldChar w:fldCharType="end"/>
      </w:r>
    </w:p>
    <w:p w14:paraId="26EBAE1F">
      <w:pPr>
        <w:pStyle w:val="14"/>
        <w:tabs>
          <w:tab w:val="right" w:leader="dot" w:pos="8306"/>
        </w:tabs>
        <w:spacing w:line="360" w:lineRule="auto"/>
      </w:pPr>
      <w:r>
        <w:rPr>
          <w:caps w:val="0"/>
          <w:smallCaps w:val="0"/>
          <w:sz w:val="21"/>
        </w:rPr>
        <w:fldChar w:fldCharType="begin"/>
      </w:r>
      <w:r>
        <w:rPr>
          <w:caps w:val="0"/>
          <w:smallCaps w:val="0"/>
          <w:sz w:val="21"/>
        </w:rPr>
        <w:instrText xml:space="preserve"> HYPERLINK \l "_Toc11478" </w:instrText>
      </w:r>
      <w:r>
        <w:rPr>
          <w:caps w:val="0"/>
          <w:smallCaps w:val="0"/>
          <w:sz w:val="21"/>
        </w:rPr>
        <w:fldChar w:fldCharType="separate"/>
      </w:r>
      <w:r>
        <w:rPr>
          <w:rFonts w:hint="eastAsia"/>
          <w:caps w:val="0"/>
          <w:smallCaps w:val="0"/>
          <w:sz w:val="21"/>
          <w:szCs w:val="28"/>
        </w:rPr>
        <w:t>5.3 Energy management diagnosis</w:t>
      </w:r>
      <w:r>
        <w:rPr>
          <w:caps w:val="0"/>
          <w:smallCaps w:val="0"/>
          <w:sz w:val="21"/>
        </w:rPr>
        <w:tab/>
      </w:r>
      <w:r>
        <w:rPr>
          <w:caps w:val="0"/>
          <w:smallCaps w:val="0"/>
          <w:sz w:val="21"/>
        </w:rPr>
        <w:fldChar w:fldCharType="begin"/>
      </w:r>
      <w:r>
        <w:rPr>
          <w:caps w:val="0"/>
          <w:smallCaps w:val="0"/>
          <w:sz w:val="21"/>
        </w:rPr>
        <w:instrText xml:space="preserve"> PAGEREF _Toc11478 \h </w:instrText>
      </w:r>
      <w:r>
        <w:rPr>
          <w:caps w:val="0"/>
          <w:smallCaps w:val="0"/>
          <w:sz w:val="21"/>
        </w:rPr>
        <w:fldChar w:fldCharType="separate"/>
      </w:r>
      <w:r>
        <w:rPr>
          <w:caps w:val="0"/>
          <w:smallCaps w:val="0"/>
          <w:sz w:val="21"/>
        </w:rPr>
        <w:t>13</w:t>
      </w:r>
      <w:r>
        <w:rPr>
          <w:caps w:val="0"/>
          <w:smallCaps w:val="0"/>
          <w:sz w:val="21"/>
        </w:rPr>
        <w:fldChar w:fldCharType="end"/>
      </w:r>
      <w:r>
        <w:rPr>
          <w:caps w:val="0"/>
          <w:smallCaps w:val="0"/>
          <w:sz w:val="21"/>
        </w:rPr>
        <w:fldChar w:fldCharType="end"/>
      </w:r>
    </w:p>
    <w:p w14:paraId="7CD9748D">
      <w:pPr>
        <w:pStyle w:val="13"/>
        <w:tabs>
          <w:tab w:val="right" w:leader="dot" w:pos="8306"/>
        </w:tabs>
        <w:spacing w:line="360" w:lineRule="auto"/>
      </w:pPr>
      <w:r>
        <w:fldChar w:fldCharType="begin"/>
      </w:r>
      <w:r>
        <w:instrText xml:space="preserve"> HYPERLINK \l "_Toc2164" </w:instrText>
      </w:r>
      <w:r>
        <w:fldChar w:fldCharType="separate"/>
      </w:r>
      <w:r>
        <w:rPr>
          <w:szCs w:val="30"/>
        </w:rPr>
        <w:t xml:space="preserve">6 </w:t>
      </w:r>
      <w:r>
        <w:rPr>
          <w:rFonts w:hint="eastAsia"/>
          <w:b/>
          <w:bCs/>
          <w:caps w:val="0"/>
          <w:sz w:val="21"/>
          <w:szCs w:val="30"/>
        </w:rPr>
        <w:t>Energy efficiency improvement</w:t>
      </w:r>
      <w:r>
        <w:tab/>
      </w:r>
      <w:r>
        <w:fldChar w:fldCharType="begin"/>
      </w:r>
      <w:r>
        <w:instrText xml:space="preserve"> PAGEREF _Toc2164 \h </w:instrText>
      </w:r>
      <w:r>
        <w:fldChar w:fldCharType="separate"/>
      </w:r>
      <w:r>
        <w:t>15</w:t>
      </w:r>
      <w:r>
        <w:fldChar w:fldCharType="end"/>
      </w:r>
      <w:r>
        <w:fldChar w:fldCharType="end"/>
      </w:r>
    </w:p>
    <w:p w14:paraId="2DA69A1F">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"_Toc7734" </w:instrText>
      </w:r>
      <w:r>
        <w:rPr>
          <w:caps w:val="0"/>
          <w:sz w:val="21"/>
        </w:rPr>
        <w:fldChar w:fldCharType="separate"/>
      </w:r>
      <w:r>
        <w:rPr>
          <w:rFonts w:hint="eastAsia"/>
          <w:caps w:val="0"/>
          <w:smallCaps w:val="0"/>
          <w:sz w:val="21"/>
          <w:szCs w:val="30"/>
        </w:rPr>
        <w:t>Appendix A</w:t>
      </w:r>
      <w:r>
        <w:rPr>
          <w:rFonts w:hint="eastAsia"/>
          <w:caps w:val="0"/>
          <w:smallCaps w:val="0"/>
          <w:sz w:val="21"/>
          <w:szCs w:val="30"/>
          <w:lang w:val="en-US" w:eastAsia="zh-CN"/>
        </w:rPr>
        <w:t xml:space="preserve"> </w:t>
      </w:r>
      <w:r>
        <w:rPr>
          <w:rFonts w:hint="eastAsia"/>
          <w:caps w:val="0"/>
          <w:smallCaps w:val="0"/>
          <w:sz w:val="21"/>
          <w:szCs w:val="30"/>
        </w:rPr>
        <w:t xml:space="preserve"> </w:t>
      </w:r>
      <w:r>
        <w:rPr>
          <w:rFonts w:hint="eastAsia"/>
          <w:caps w:val="0"/>
          <w:smallCaps w:val="0"/>
          <w:sz w:val="21"/>
          <w:szCs w:val="30"/>
          <w:lang w:val="en-US" w:eastAsia="zh-CN"/>
        </w:rPr>
        <w:t>P</w:t>
      </w:r>
      <w:r>
        <w:rPr>
          <w:rFonts w:hint="eastAsia"/>
          <w:caps w:val="0"/>
          <w:smallCaps w:val="0"/>
          <w:sz w:val="21"/>
          <w:szCs w:val="30"/>
        </w:rPr>
        <w:t>rocess</w:t>
      </w:r>
      <w:r>
        <w:rPr>
          <w:rFonts w:hint="eastAsia"/>
          <w:caps w:val="0"/>
          <w:smallCaps w:val="0"/>
          <w:sz w:val="21"/>
          <w:szCs w:val="30"/>
          <w:lang w:val="en-US" w:eastAsia="zh-CN"/>
        </w:rPr>
        <w:t xml:space="preserve"> of </w:t>
      </w:r>
      <w:r>
        <w:rPr>
          <w:rFonts w:hint="eastAsia"/>
          <w:caps w:val="0"/>
          <w:smallCaps w:val="0"/>
          <w:sz w:val="21"/>
          <w:szCs w:val="30"/>
        </w:rPr>
        <w:t>public building</w:t>
      </w:r>
      <w:r>
        <w:rPr>
          <w:rFonts w:hint="eastAsia"/>
          <w:caps w:val="0"/>
          <w:smallCaps w:val="0"/>
          <w:sz w:val="21"/>
          <w:szCs w:val="30"/>
          <w:lang w:val="en-US" w:eastAsia="zh-CN"/>
        </w:rPr>
        <w:t xml:space="preserve"> e</w:t>
      </w:r>
      <w:r>
        <w:rPr>
          <w:rFonts w:hint="eastAsia"/>
          <w:caps w:val="0"/>
          <w:smallCaps w:val="0"/>
          <w:sz w:val="21"/>
          <w:szCs w:val="30"/>
        </w:rPr>
        <w:t>nergy efficiency diagnosis</w:t>
      </w:r>
      <w:r>
        <w:rPr>
          <w:caps w:val="0"/>
          <w:sz w:val="21"/>
        </w:rPr>
        <w:tab/>
      </w:r>
      <w:r>
        <w:rPr>
          <w:caps w:val="0"/>
          <w:sz w:val="21"/>
        </w:rPr>
        <w:fldChar w:fldCharType="begin"/>
      </w:r>
      <w:r>
        <w:rPr>
          <w:caps w:val="0"/>
          <w:sz w:val="21"/>
        </w:rPr>
        <w:instrText xml:space="preserve"> PAGEREF _Toc7734 \h </w:instrText>
      </w:r>
      <w:r>
        <w:rPr>
          <w:caps w:val="0"/>
          <w:sz w:val="21"/>
        </w:rPr>
        <w:fldChar w:fldCharType="separate"/>
      </w:r>
      <w:r>
        <w:rPr>
          <w:caps w:val="0"/>
          <w:sz w:val="21"/>
        </w:rPr>
        <w:t>16</w:t>
      </w:r>
      <w:r>
        <w:rPr>
          <w:caps w:val="0"/>
          <w:sz w:val="21"/>
        </w:rPr>
        <w:fldChar w:fldCharType="end"/>
      </w:r>
      <w:r>
        <w:rPr>
          <w:caps w:val="0"/>
          <w:sz w:val="21"/>
        </w:rPr>
        <w:fldChar w:fldCharType="end"/>
      </w:r>
    </w:p>
    <w:p w14:paraId="7CADF86C">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"_Toc30608" </w:instrText>
      </w:r>
      <w:r>
        <w:rPr>
          <w:caps w:val="0"/>
          <w:sz w:val="21"/>
        </w:rPr>
        <w:fldChar w:fldCharType="separate"/>
      </w:r>
      <w:r>
        <w:rPr>
          <w:rFonts w:hint="eastAsia"/>
          <w:caps w:val="0"/>
          <w:sz w:val="21"/>
          <w:szCs w:val="30"/>
        </w:rPr>
        <w:t xml:space="preserve">Appendix B </w:t>
      </w:r>
      <w:r>
        <w:rPr>
          <w:rFonts w:hint="eastAsia"/>
          <w:caps w:val="0"/>
          <w:sz w:val="21"/>
          <w:szCs w:val="30"/>
          <w:lang w:val="en-US" w:eastAsia="zh-CN"/>
        </w:rPr>
        <w:t xml:space="preserve"> </w:t>
      </w:r>
      <w:r>
        <w:rPr>
          <w:rFonts w:hint="eastAsia"/>
          <w:caps w:val="0"/>
          <w:sz w:val="21"/>
          <w:szCs w:val="30"/>
        </w:rPr>
        <w:t>Basic information sheet for public building</w:t>
      </w:r>
      <w:r>
        <w:rPr>
          <w:rFonts w:hint="eastAsia"/>
          <w:caps w:val="0"/>
          <w:sz w:val="21"/>
          <w:szCs w:val="30"/>
          <w:lang w:val="en-US" w:eastAsia="zh-CN"/>
        </w:rPr>
        <w:t xml:space="preserve"> </w:t>
      </w:r>
      <w:r>
        <w:rPr>
          <w:rFonts w:hint="eastAsia"/>
          <w:caps w:val="0"/>
          <w:sz w:val="21"/>
          <w:szCs w:val="30"/>
        </w:rPr>
        <w:t>energy efficiency diagnosis</w:t>
      </w:r>
      <w:r>
        <w:rPr>
          <w:caps w:val="0"/>
          <w:sz w:val="21"/>
        </w:rPr>
        <w:tab/>
      </w:r>
      <w:r>
        <w:rPr>
          <w:caps w:val="0"/>
          <w:sz w:val="21"/>
        </w:rPr>
        <w:fldChar w:fldCharType="begin"/>
      </w:r>
      <w:r>
        <w:rPr>
          <w:caps w:val="0"/>
          <w:sz w:val="21"/>
        </w:rPr>
        <w:instrText xml:space="preserve"> PAGEREF _Toc30608 \h </w:instrText>
      </w:r>
      <w:r>
        <w:rPr>
          <w:caps w:val="0"/>
          <w:sz w:val="21"/>
        </w:rPr>
        <w:fldChar w:fldCharType="separate"/>
      </w:r>
      <w:r>
        <w:rPr>
          <w:caps w:val="0"/>
          <w:sz w:val="21"/>
        </w:rPr>
        <w:t>18</w:t>
      </w:r>
      <w:r>
        <w:rPr>
          <w:caps w:val="0"/>
          <w:sz w:val="21"/>
        </w:rPr>
        <w:fldChar w:fldCharType="end"/>
      </w:r>
      <w:r>
        <w:rPr>
          <w:caps w:val="0"/>
          <w:sz w:val="21"/>
        </w:rPr>
        <w:fldChar w:fldCharType="end"/>
      </w:r>
    </w:p>
    <w:p w14:paraId="45890568">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"_Toc7761" </w:instrText>
      </w:r>
      <w:r>
        <w:rPr>
          <w:caps w:val="0"/>
          <w:sz w:val="21"/>
        </w:rPr>
        <w:fldChar w:fldCharType="separate"/>
      </w:r>
      <w:r>
        <w:rPr>
          <w:rFonts w:hint="eastAsia"/>
          <w:caps w:val="0"/>
          <w:sz w:val="21"/>
          <w:szCs w:val="30"/>
        </w:rPr>
        <w:t>Appendix C</w:t>
      </w:r>
      <w:r>
        <w:rPr>
          <w:rFonts w:hint="eastAsia"/>
          <w:caps w:val="0"/>
          <w:sz w:val="21"/>
          <w:szCs w:val="30"/>
          <w:lang w:val="en-US" w:eastAsia="zh-CN"/>
        </w:rPr>
        <w:t xml:space="preserve"> </w:t>
      </w:r>
      <w:r>
        <w:rPr>
          <w:rFonts w:hint="eastAsia"/>
          <w:caps w:val="0"/>
          <w:sz w:val="21"/>
          <w:szCs w:val="30"/>
        </w:rPr>
        <w:t xml:space="preserve"> Public building energy efficiency diagnosis field inspection records</w:t>
      </w:r>
      <w:r>
        <w:rPr>
          <w:caps w:val="0"/>
          <w:sz w:val="21"/>
        </w:rPr>
        <w:tab/>
      </w:r>
      <w:r>
        <w:rPr>
          <w:caps w:val="0"/>
          <w:sz w:val="21"/>
        </w:rPr>
        <w:fldChar w:fldCharType="begin"/>
      </w:r>
      <w:r>
        <w:rPr>
          <w:caps w:val="0"/>
          <w:sz w:val="21"/>
        </w:rPr>
        <w:instrText xml:space="preserve"> PAGEREF _Toc7761 \h </w:instrText>
      </w:r>
      <w:r>
        <w:rPr>
          <w:caps w:val="0"/>
          <w:sz w:val="21"/>
        </w:rPr>
        <w:fldChar w:fldCharType="separate"/>
      </w:r>
      <w:r>
        <w:rPr>
          <w:caps w:val="0"/>
          <w:sz w:val="21"/>
        </w:rPr>
        <w:t>24</w:t>
      </w:r>
      <w:r>
        <w:rPr>
          <w:caps w:val="0"/>
          <w:sz w:val="21"/>
        </w:rPr>
        <w:fldChar w:fldCharType="end"/>
      </w:r>
      <w:r>
        <w:rPr>
          <w:caps w:val="0"/>
          <w:sz w:val="21"/>
        </w:rPr>
        <w:fldChar w:fldCharType="end"/>
      </w:r>
    </w:p>
    <w:p w14:paraId="776C2F73">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"_Toc18838" </w:instrText>
      </w:r>
      <w:r>
        <w:rPr>
          <w:caps w:val="0"/>
          <w:sz w:val="21"/>
        </w:rPr>
        <w:fldChar w:fldCharType="separate"/>
      </w:r>
      <w:r>
        <w:rPr>
          <w:rFonts w:hint="eastAsia"/>
          <w:caps w:val="0"/>
          <w:sz w:val="21"/>
          <w:szCs w:val="30"/>
        </w:rPr>
        <w:t xml:space="preserve">Appendix D </w:t>
      </w:r>
      <w:r>
        <w:rPr>
          <w:rFonts w:hint="eastAsia"/>
          <w:caps w:val="0"/>
          <w:sz w:val="21"/>
          <w:szCs w:val="30"/>
          <w:lang w:val="en-US" w:eastAsia="zh-CN"/>
        </w:rPr>
        <w:t xml:space="preserve"> </w:t>
      </w:r>
      <w:r>
        <w:rPr>
          <w:rFonts w:hint="eastAsia"/>
          <w:caps w:val="0"/>
          <w:sz w:val="21"/>
          <w:szCs w:val="30"/>
        </w:rPr>
        <w:t xml:space="preserve">Summary </w:t>
      </w:r>
      <w:r>
        <w:rPr>
          <w:rFonts w:hint="eastAsia"/>
          <w:caps w:val="0"/>
          <w:sz w:val="21"/>
          <w:szCs w:val="30"/>
          <w:lang w:val="en-US" w:eastAsia="zh-CN"/>
        </w:rPr>
        <w:t>f</w:t>
      </w:r>
      <w:r>
        <w:rPr>
          <w:rFonts w:hint="eastAsia"/>
          <w:caps w:val="0"/>
          <w:sz w:val="21"/>
          <w:szCs w:val="30"/>
        </w:rPr>
        <w:t>orm of public building</w:t>
      </w:r>
      <w:r>
        <w:rPr>
          <w:rFonts w:hint="eastAsia"/>
          <w:caps w:val="0"/>
          <w:sz w:val="21"/>
          <w:szCs w:val="30"/>
          <w:lang w:val="en-US" w:eastAsia="zh-CN"/>
        </w:rPr>
        <w:t xml:space="preserve"> e</w:t>
      </w:r>
      <w:r>
        <w:rPr>
          <w:rFonts w:hint="eastAsia"/>
          <w:caps w:val="0"/>
          <w:sz w:val="21"/>
          <w:szCs w:val="30"/>
        </w:rPr>
        <w:t xml:space="preserve">nergy </w:t>
      </w:r>
      <w:r>
        <w:rPr>
          <w:rFonts w:hint="eastAsia"/>
          <w:caps w:val="0"/>
          <w:sz w:val="21"/>
          <w:szCs w:val="30"/>
          <w:lang w:val="en-US" w:eastAsia="zh-CN"/>
        </w:rPr>
        <w:t>e</w:t>
      </w:r>
      <w:r>
        <w:rPr>
          <w:rFonts w:hint="eastAsia"/>
          <w:caps w:val="0"/>
          <w:sz w:val="21"/>
          <w:szCs w:val="30"/>
        </w:rPr>
        <w:t xml:space="preserve">fficiency </w:t>
      </w:r>
      <w:r>
        <w:rPr>
          <w:rFonts w:hint="eastAsia"/>
          <w:caps w:val="0"/>
          <w:sz w:val="21"/>
          <w:szCs w:val="30"/>
          <w:lang w:val="en-US" w:eastAsia="zh-CN"/>
        </w:rPr>
        <w:t>d</w:t>
      </w:r>
      <w:r>
        <w:rPr>
          <w:rFonts w:hint="eastAsia"/>
          <w:caps w:val="0"/>
          <w:sz w:val="21"/>
          <w:szCs w:val="30"/>
        </w:rPr>
        <w:t>iagnos</w:t>
      </w:r>
      <w:r>
        <w:rPr>
          <w:rFonts w:hint="eastAsia"/>
          <w:caps w:val="0"/>
          <w:sz w:val="21"/>
          <w:szCs w:val="30"/>
          <w:lang w:val="en-US" w:eastAsia="zh-CN"/>
        </w:rPr>
        <w:t>is</w:t>
      </w:r>
      <w:r>
        <w:rPr>
          <w:rFonts w:hint="eastAsia"/>
          <w:caps w:val="0"/>
          <w:sz w:val="21"/>
          <w:szCs w:val="30"/>
        </w:rPr>
        <w:t xml:space="preserve"> </w:t>
      </w:r>
      <w:r>
        <w:rPr>
          <w:rFonts w:hint="eastAsia"/>
          <w:caps w:val="0"/>
          <w:sz w:val="21"/>
          <w:szCs w:val="30"/>
          <w:lang w:val="en-US" w:eastAsia="zh-CN"/>
        </w:rPr>
        <w:t>r</w:t>
      </w:r>
      <w:r>
        <w:rPr>
          <w:rFonts w:hint="eastAsia"/>
          <w:caps w:val="0"/>
          <w:sz w:val="21"/>
          <w:szCs w:val="30"/>
        </w:rPr>
        <w:t>eport</w:t>
      </w:r>
      <w:r>
        <w:rPr>
          <w:caps w:val="0"/>
          <w:sz w:val="21"/>
        </w:rPr>
        <w:tab/>
      </w:r>
      <w:r>
        <w:rPr>
          <w:caps w:val="0"/>
          <w:sz w:val="21"/>
        </w:rPr>
        <w:fldChar w:fldCharType="begin"/>
      </w:r>
      <w:r>
        <w:rPr>
          <w:caps w:val="0"/>
          <w:sz w:val="21"/>
        </w:rPr>
        <w:instrText xml:space="preserve"> PAGEREF _Toc18838 \h </w:instrText>
      </w:r>
      <w:r>
        <w:rPr>
          <w:caps w:val="0"/>
          <w:sz w:val="21"/>
        </w:rPr>
        <w:fldChar w:fldCharType="separate"/>
      </w:r>
      <w:r>
        <w:rPr>
          <w:caps w:val="0"/>
          <w:sz w:val="21"/>
        </w:rPr>
        <w:t>26</w:t>
      </w:r>
      <w:r>
        <w:rPr>
          <w:caps w:val="0"/>
          <w:sz w:val="21"/>
        </w:rPr>
        <w:fldChar w:fldCharType="end"/>
      </w:r>
      <w:r>
        <w:rPr>
          <w:caps w:val="0"/>
          <w:sz w:val="21"/>
        </w:rPr>
        <w:fldChar w:fldCharType="end"/>
      </w:r>
    </w:p>
    <w:p w14:paraId="5EF88A41">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"_Toc348" </w:instrText>
      </w:r>
      <w:r>
        <w:rPr>
          <w:caps w:val="0"/>
          <w:sz w:val="21"/>
        </w:rPr>
        <w:fldChar w:fldCharType="separate"/>
      </w:r>
      <w:r>
        <w:rPr>
          <w:rFonts w:hint="eastAsia"/>
          <w:caps w:val="0"/>
          <w:sz w:val="21"/>
          <w:szCs w:val="30"/>
        </w:rPr>
        <w:t>Explanation of the wording used in this standard</w:t>
      </w:r>
      <w:r>
        <w:rPr>
          <w:caps w:val="0"/>
          <w:sz w:val="21"/>
        </w:rPr>
        <w:tab/>
      </w:r>
      <w:r>
        <w:rPr>
          <w:caps w:val="0"/>
          <w:sz w:val="21"/>
        </w:rPr>
        <w:fldChar w:fldCharType="begin"/>
      </w:r>
      <w:r>
        <w:rPr>
          <w:caps w:val="0"/>
          <w:sz w:val="21"/>
        </w:rPr>
        <w:instrText xml:space="preserve"> PAGEREF _Toc348 \h </w:instrText>
      </w:r>
      <w:r>
        <w:rPr>
          <w:caps w:val="0"/>
          <w:sz w:val="21"/>
        </w:rPr>
        <w:fldChar w:fldCharType="separate"/>
      </w:r>
      <w:r>
        <w:rPr>
          <w:caps w:val="0"/>
          <w:sz w:val="21"/>
        </w:rPr>
        <w:t>30</w:t>
      </w:r>
      <w:r>
        <w:rPr>
          <w:caps w:val="0"/>
          <w:sz w:val="21"/>
        </w:rPr>
        <w:fldChar w:fldCharType="end"/>
      </w:r>
      <w:r>
        <w:rPr>
          <w:caps w:val="0"/>
          <w:sz w:val="21"/>
        </w:rPr>
        <w:fldChar w:fldCharType="end"/>
      </w:r>
    </w:p>
    <w:p w14:paraId="757D781E">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"_Toc9398" </w:instrText>
      </w:r>
      <w:r>
        <w:rPr>
          <w:caps w:val="0"/>
          <w:sz w:val="21"/>
        </w:rPr>
        <w:fldChar w:fldCharType="separate"/>
      </w:r>
      <w:r>
        <w:rPr>
          <w:rFonts w:hint="eastAsia"/>
          <w:caps w:val="0"/>
          <w:sz w:val="21"/>
          <w:szCs w:val="30"/>
        </w:rPr>
        <w:t>List of reference standards</w:t>
      </w:r>
      <w:r>
        <w:rPr>
          <w:caps w:val="0"/>
          <w:sz w:val="21"/>
        </w:rPr>
        <w:tab/>
      </w:r>
      <w:r>
        <w:rPr>
          <w:caps w:val="0"/>
          <w:sz w:val="21"/>
        </w:rPr>
        <w:fldChar w:fldCharType="begin"/>
      </w:r>
      <w:r>
        <w:rPr>
          <w:caps w:val="0"/>
          <w:sz w:val="21"/>
        </w:rPr>
        <w:instrText xml:space="preserve"> PAGEREF _Toc9398 \h </w:instrText>
      </w:r>
      <w:r>
        <w:rPr>
          <w:caps w:val="0"/>
          <w:sz w:val="21"/>
        </w:rPr>
        <w:fldChar w:fldCharType="separate"/>
      </w:r>
      <w:r>
        <w:rPr>
          <w:caps w:val="0"/>
          <w:sz w:val="21"/>
        </w:rPr>
        <w:t>31</w:t>
      </w:r>
      <w:r>
        <w:rPr>
          <w:caps w:val="0"/>
          <w:sz w:val="21"/>
        </w:rPr>
        <w:fldChar w:fldCharType="end"/>
      </w:r>
      <w:r>
        <w:rPr>
          <w:caps w:val="0"/>
          <w:sz w:val="21"/>
        </w:rPr>
        <w:fldChar w:fldCharType="end"/>
      </w:r>
    </w:p>
    <w:p w14:paraId="121CDE67">
      <w:pPr>
        <w:pStyle w:val="13"/>
        <w:tabs>
          <w:tab w:val="right" w:leader="dot" w:pos="8306"/>
        </w:tabs>
        <w:spacing w:line="360" w:lineRule="auto"/>
        <w:rPr>
          <w:caps w:val="0"/>
          <w:sz w:val="21"/>
        </w:rPr>
      </w:pPr>
      <w:r>
        <w:rPr>
          <w:caps w:val="0"/>
          <w:sz w:val="21"/>
        </w:rPr>
        <w:fldChar w:fldCharType="begin"/>
      </w:r>
      <w:r>
        <w:rPr>
          <w:caps w:val="0"/>
          <w:sz w:val="21"/>
        </w:rPr>
        <w:instrText xml:space="preserve"> HYPERLINK \l "_Toc13399" </w:instrText>
      </w:r>
      <w:r>
        <w:rPr>
          <w:caps w:val="0"/>
          <w:sz w:val="21"/>
        </w:rPr>
        <w:fldChar w:fldCharType="separate"/>
      </w:r>
      <w:r>
        <w:rPr>
          <w:rFonts w:hint="eastAsia"/>
          <w:caps w:val="0"/>
          <w:sz w:val="21"/>
        </w:rPr>
        <w:t>Appendix: Article description</w:t>
      </w:r>
      <w:r>
        <w:rPr>
          <w:caps w:val="0"/>
          <w:sz w:val="21"/>
        </w:rPr>
        <w:tab/>
      </w:r>
      <w:r>
        <w:rPr>
          <w:caps w:val="0"/>
          <w:sz w:val="21"/>
        </w:rPr>
        <w:fldChar w:fldCharType="begin"/>
      </w:r>
      <w:r>
        <w:rPr>
          <w:caps w:val="0"/>
          <w:sz w:val="21"/>
        </w:rPr>
        <w:instrText xml:space="preserve"> PAGEREF _Toc13399 \h </w:instrText>
      </w:r>
      <w:r>
        <w:rPr>
          <w:caps w:val="0"/>
          <w:sz w:val="21"/>
        </w:rPr>
        <w:fldChar w:fldCharType="separate"/>
      </w:r>
      <w:r>
        <w:rPr>
          <w:caps w:val="0"/>
          <w:sz w:val="21"/>
        </w:rPr>
        <w:t>33</w:t>
      </w:r>
      <w:r>
        <w:rPr>
          <w:caps w:val="0"/>
          <w:sz w:val="21"/>
        </w:rPr>
        <w:fldChar w:fldCharType="end"/>
      </w:r>
      <w:r>
        <w:rPr>
          <w:caps w:val="0"/>
          <w:sz w:val="21"/>
        </w:rPr>
        <w:fldChar w:fldCharType="end"/>
      </w:r>
    </w:p>
    <w:p w14:paraId="47F9FE93">
      <w:pPr>
        <w:pStyle w:val="32"/>
        <w:spacing w:line="360" w:lineRule="auto"/>
        <w:ind w:left="360" w:firstLine="0" w:firstLineChars="0"/>
        <w:rPr>
          <w:caps w:val="0"/>
          <w:sz w:val="21"/>
        </w:rPr>
      </w:pPr>
    </w:p>
    <w:p w14:paraId="7323D2B6">
      <w:pPr>
        <w:widowControl/>
        <w:jc w:val="left"/>
        <w:rPr>
          <w:rFonts w:ascii="Times New Roman" w:hAnsi="Times New Roman" w:cs="Times New Roman"/>
          <w:b/>
          <w:bCs/>
          <w:color w:val="000000" w:themeColor="text1"/>
          <w:kern w:val="44"/>
          <w:sz w:val="30"/>
          <w:szCs w:val="30"/>
          <w14:textFill>
            <w14:solidFill>
              <w14:schemeClr w14:val="tx1"/>
            </w14:solidFill>
          </w14:textFill>
        </w:rPr>
      </w:pPr>
    </w:p>
    <w:p w14:paraId="7CC14E0E">
      <w:pPr>
        <w:pStyle w:val="2"/>
        <w:spacing w:before="312" w:beforeLines="100" w:after="312" w:afterLines="100" w:line="480" w:lineRule="auto"/>
        <w:jc w:val="center"/>
        <w:rPr>
          <w:rFonts w:hint="eastAsia" w:ascii="Times New Roman" w:hAnsi="Times New Roman" w:cs="Times New Roman"/>
          <w:color w:val="000000" w:themeColor="text1"/>
          <w:sz w:val="30"/>
          <w:szCs w:val="30"/>
          <w14:textFill>
            <w14:solidFill>
              <w14:schemeClr w14:val="tx1"/>
            </w14:solidFill>
          </w14:textFill>
        </w:rPr>
        <w:sectPr>
          <w:footerReference r:id="rId8" w:type="default"/>
          <w:pgSz w:w="11906" w:h="16838"/>
          <w:pgMar w:top="1440" w:right="1800" w:bottom="1440" w:left="1800" w:header="851" w:footer="992" w:gutter="0"/>
          <w:pgNumType w:start="1"/>
          <w:cols w:space="425" w:num="1"/>
          <w:docGrid w:type="lines" w:linePitch="312" w:charSpace="0"/>
        </w:sectPr>
      </w:pPr>
    </w:p>
    <w:p w14:paraId="7E9DF9EF">
      <w:pPr>
        <w:pStyle w:val="2"/>
        <w:spacing w:before="312" w:beforeLines="100" w:after="312" w:afterLines="100" w:line="480" w:lineRule="auto"/>
        <w:jc w:val="center"/>
        <w:rPr>
          <w:rFonts w:ascii="Times New Roman" w:hAnsi="Times New Roman" w:cs="Times New Roman"/>
          <w:kern w:val="2"/>
          <w:sz w:val="30"/>
          <w:szCs w:val="30"/>
        </w:rPr>
      </w:pPr>
      <w:r>
        <w:rPr>
          <w:rFonts w:hint="eastAsia" w:ascii="Times New Roman" w:hAnsi="Times New Roman" w:cs="Times New Roman"/>
          <w:color w:val="000000" w:themeColor="text1"/>
          <w:sz w:val="30"/>
          <w:szCs w:val="30"/>
          <w14:textFill>
            <w14:solidFill>
              <w14:schemeClr w14:val="tx1"/>
            </w14:solidFill>
          </w14:textFill>
        </w:rPr>
        <w:t>1 总  则</w:t>
      </w:r>
      <w:bookmarkEnd w:id="33"/>
      <w:bookmarkEnd w:id="34"/>
      <w:bookmarkEnd w:id="35"/>
      <w:bookmarkEnd w:id="36"/>
      <w:bookmarkEnd w:id="37"/>
      <w:bookmarkEnd w:id="38"/>
      <w:bookmarkEnd w:id="39"/>
    </w:p>
    <w:p w14:paraId="595E0D2B">
      <w:pPr>
        <w:spacing w:line="360" w:lineRule="auto"/>
        <w:rPr>
          <w:rFonts w:ascii="宋体" w:hAnsi="宋体" w:eastAsia="宋体" w:cs="宋体"/>
          <w:iCs/>
          <w:szCs w:val="21"/>
        </w:rPr>
      </w:pPr>
      <w:bookmarkStart w:id="40" w:name="_Toc182729087"/>
      <w:bookmarkStart w:id="41" w:name="_Toc146417899"/>
      <w:bookmarkStart w:id="42" w:name="_Toc182729064"/>
      <w:bookmarkStart w:id="43" w:name="_Toc25086525"/>
      <w:bookmarkStart w:id="44" w:name="_Toc216951740"/>
      <w:bookmarkStart w:id="45" w:name="_Toc146289358"/>
      <w:bookmarkStart w:id="46" w:name="_Toc182907476"/>
      <w:bookmarkStart w:id="47" w:name="_Toc182907432"/>
      <w:r>
        <w:rPr>
          <w:rFonts w:hint="eastAsia" w:ascii="Times New Roman" w:hAnsi="Times New Roman" w:cs="Times New Roman"/>
          <w:color w:val="000000" w:themeColor="text1"/>
          <w:szCs w:val="21"/>
          <w14:textFill>
            <w14:solidFill>
              <w14:schemeClr w14:val="tx1"/>
            </w14:solidFill>
          </w14:textFill>
        </w:rPr>
        <w:t>1.0.1</w:t>
      </w:r>
      <w:r>
        <w:rPr>
          <w:rFonts w:hint="eastAsia" w:ascii="宋体" w:hAnsi="宋体" w:eastAsia="宋体" w:cs="宋体"/>
          <w:iCs/>
          <w:szCs w:val="21"/>
        </w:rPr>
        <w:t xml:space="preserve"> 为贯彻落实国家碳达峰碳中和战略部署，提高公共建筑能源利用效率，规范建筑运行能效的诊断方法和过程，制定本标准。</w:t>
      </w:r>
    </w:p>
    <w:p w14:paraId="075101BD">
      <w:pPr>
        <w:spacing w:line="360" w:lineRule="auto"/>
        <w:jc w:val="left"/>
        <w:rPr>
          <w:rFonts w:ascii="宋体" w:hAnsi="宋体" w:eastAsia="宋体" w:cs="宋体"/>
        </w:rPr>
      </w:pPr>
      <w:r>
        <w:rPr>
          <w:rFonts w:hint="eastAsia" w:ascii="Times New Roman" w:hAnsi="Times New Roman" w:cs="Times New Roman"/>
          <w:color w:val="000000" w:themeColor="text1"/>
          <w:szCs w:val="21"/>
          <w14:textFill>
            <w14:solidFill>
              <w14:schemeClr w14:val="tx1"/>
            </w14:solidFill>
          </w14:textFill>
        </w:rPr>
        <w:t>1.0.2</w:t>
      </w:r>
      <w:r>
        <w:rPr>
          <w:rFonts w:hint="eastAsia" w:ascii="宋体" w:hAnsi="宋体" w:eastAsia="宋体" w:cs="宋体"/>
          <w:color w:val="FF0000"/>
          <w:szCs w:val="21"/>
        </w:rPr>
        <w:t xml:space="preserve"> </w:t>
      </w:r>
      <w:r>
        <w:rPr>
          <w:rFonts w:hint="eastAsia" w:ascii="宋体" w:hAnsi="宋体" w:eastAsia="宋体" w:cs="宋体"/>
          <w:szCs w:val="21"/>
        </w:rPr>
        <w:t>本标准适用于安徽省公共建筑的能效诊断。</w:t>
      </w:r>
    </w:p>
    <w:p w14:paraId="4180B21C">
      <w:pPr>
        <w:widowControl/>
        <w:spacing w:line="360" w:lineRule="auto"/>
        <w:jc w:val="left"/>
        <w:rPr>
          <w:rFonts w:ascii="宋体" w:hAnsi="宋体" w:eastAsia="宋体" w:cs="宋体"/>
        </w:rPr>
      </w:pPr>
      <w:bookmarkStart w:id="48" w:name="_Toc209946620"/>
      <w:bookmarkStart w:id="49" w:name="_Toc211318693"/>
      <w:bookmarkStart w:id="50" w:name="_Toc209947062"/>
      <w:bookmarkStart w:id="51" w:name="_Toc209946780"/>
      <w:bookmarkStart w:id="52" w:name="_Toc209946148"/>
      <w:r>
        <w:rPr>
          <w:rFonts w:hint="eastAsia" w:ascii="Times New Roman" w:hAnsi="Times New Roman" w:cs="Times New Roman"/>
          <w:szCs w:val="21"/>
        </w:rPr>
        <w:t>1.0.3</w:t>
      </w:r>
      <w:r>
        <w:rPr>
          <w:rFonts w:hint="eastAsia" w:ascii="宋体" w:hAnsi="宋体" w:eastAsia="宋体" w:cs="宋体"/>
        </w:rPr>
        <w:t xml:space="preserve"> 建筑能效诊断应基于诊断</w:t>
      </w:r>
      <w:r>
        <w:rPr>
          <w:rFonts w:ascii="宋体" w:hAnsi="宋体" w:eastAsia="宋体" w:cs="宋体"/>
        </w:rPr>
        <w:t>对象</w:t>
      </w:r>
      <w:r>
        <w:rPr>
          <w:rFonts w:hint="eastAsia" w:ascii="宋体" w:hAnsi="宋体" w:eastAsia="宋体" w:cs="宋体"/>
        </w:rPr>
        <w:t>的实际运营情况，对其能源利用效率进行分析和测评。</w:t>
      </w:r>
    </w:p>
    <w:p w14:paraId="23941472">
      <w:pPr>
        <w:spacing w:line="360" w:lineRule="auto"/>
        <w:jc w:val="left"/>
        <w:rPr>
          <w:rFonts w:ascii="Times New Roman" w:hAnsi="Times New Roman" w:cs="Times New Roman" w:eastAsiaTheme="majorEastAsia"/>
          <w:szCs w:val="21"/>
        </w:rPr>
      </w:pPr>
      <w:r>
        <w:rPr>
          <w:rFonts w:hint="eastAsia" w:ascii="Times New Roman" w:hAnsi="Times New Roman" w:cs="Times New Roman"/>
          <w:color w:val="000000" w:themeColor="text1"/>
          <w:szCs w:val="21"/>
          <w14:textFill>
            <w14:solidFill>
              <w14:schemeClr w14:val="tx1"/>
            </w14:solidFill>
          </w14:textFill>
        </w:rPr>
        <w:t>1.0.4</w:t>
      </w:r>
      <w:r>
        <w:rPr>
          <w:rFonts w:hint="eastAsia" w:ascii="宋体" w:hAnsi="宋体" w:eastAsia="宋体" w:cs="宋体"/>
          <w:szCs w:val="21"/>
        </w:rPr>
        <w:t xml:space="preserve"> 公共建筑的能效诊断除应符合本标准外，尚应符合国家和地方现行有关标准的规定。</w:t>
      </w:r>
      <w:bookmarkEnd w:id="48"/>
      <w:bookmarkEnd w:id="49"/>
      <w:bookmarkEnd w:id="50"/>
      <w:bookmarkEnd w:id="51"/>
      <w:bookmarkEnd w:id="52"/>
      <w:bookmarkStart w:id="53" w:name="_Toc140052615"/>
      <w:bookmarkStart w:id="54" w:name="_Toc137050131"/>
      <w:bookmarkStart w:id="55" w:name="_Toc137066734"/>
      <w:bookmarkStart w:id="56" w:name="_Toc135234902"/>
      <w:bookmarkStart w:id="57" w:name="_Toc139814545"/>
    </w:p>
    <w:p w14:paraId="249FE717">
      <w:pPr>
        <w:spacing w:line="360" w:lineRule="auto"/>
        <w:ind w:firstLine="420" w:firstLineChars="200"/>
        <w:jc w:val="left"/>
        <w:rPr>
          <w:rFonts w:ascii="Times New Roman" w:hAnsi="Times New Roman" w:eastAsia="楷体" w:cs="Times New Roman"/>
          <w:iCs/>
          <w:szCs w:val="21"/>
        </w:rPr>
      </w:pPr>
      <w:r>
        <w:rPr>
          <w:rFonts w:ascii="Times New Roman" w:hAnsi="Times New Roman" w:eastAsia="楷体" w:cs="Times New Roman"/>
          <w:iCs/>
          <w:szCs w:val="21"/>
        </w:rPr>
        <w:br w:type="page"/>
      </w:r>
    </w:p>
    <w:p w14:paraId="0A85A6C1">
      <w:pPr>
        <w:pStyle w:val="2"/>
        <w:spacing w:before="312" w:beforeLines="100" w:after="312" w:afterLines="100" w:line="480" w:lineRule="auto"/>
        <w:jc w:val="center"/>
        <w:rPr>
          <w:rFonts w:ascii="宋体" w:hAnsi="宋体" w:eastAsia="宋体" w:cs="宋体"/>
          <w:sz w:val="30"/>
          <w:szCs w:val="30"/>
        </w:rPr>
      </w:pPr>
      <w:bookmarkStart w:id="58" w:name="_Toc4552"/>
      <w:bookmarkStart w:id="59" w:name="_Toc25080"/>
      <w:r>
        <w:rPr>
          <w:rFonts w:hint="eastAsia" w:ascii="Times New Roman" w:hAnsi="Times New Roman" w:cs="Times New Roman"/>
          <w:color w:val="000000" w:themeColor="text1"/>
          <w:sz w:val="30"/>
          <w:szCs w:val="30"/>
          <w14:textFill>
            <w14:solidFill>
              <w14:schemeClr w14:val="tx1"/>
            </w14:solidFill>
          </w14:textFill>
        </w:rPr>
        <w:t>2 术</w:t>
      </w:r>
      <w:r>
        <w:rPr>
          <w:rFonts w:ascii="Times New Roman" w:hAnsi="Times New Roman" w:cs="Times New Roman"/>
          <w:color w:val="000000" w:themeColor="text1"/>
          <w:sz w:val="30"/>
          <w:szCs w:val="30"/>
          <w14:textFill>
            <w14:solidFill>
              <w14:schemeClr w14:val="tx1"/>
            </w14:solidFill>
          </w14:textFill>
        </w:rPr>
        <w:t xml:space="preserve">  </w:t>
      </w:r>
      <w:r>
        <w:rPr>
          <w:rFonts w:hint="eastAsia" w:ascii="Times New Roman" w:hAnsi="Times New Roman" w:cs="Times New Roman"/>
          <w:color w:val="000000" w:themeColor="text1"/>
          <w:sz w:val="30"/>
          <w:szCs w:val="30"/>
          <w14:textFill>
            <w14:solidFill>
              <w14:schemeClr w14:val="tx1"/>
            </w14:solidFill>
          </w14:textFill>
        </w:rPr>
        <w:t>语</w:t>
      </w:r>
      <w:bookmarkEnd w:id="40"/>
      <w:bookmarkEnd w:id="41"/>
      <w:bookmarkEnd w:id="42"/>
      <w:bookmarkEnd w:id="43"/>
      <w:bookmarkEnd w:id="44"/>
      <w:bookmarkEnd w:id="45"/>
      <w:bookmarkEnd w:id="46"/>
      <w:bookmarkEnd w:id="47"/>
      <w:bookmarkEnd w:id="53"/>
      <w:bookmarkEnd w:id="54"/>
      <w:bookmarkEnd w:id="55"/>
      <w:bookmarkEnd w:id="56"/>
      <w:bookmarkEnd w:id="57"/>
      <w:bookmarkEnd w:id="58"/>
      <w:bookmarkEnd w:id="59"/>
    </w:p>
    <w:p w14:paraId="66AD01A2">
      <w:pPr>
        <w:widowControl/>
        <w:spacing w:line="360" w:lineRule="auto"/>
        <w:rPr>
          <w:rFonts w:ascii="宋体" w:hAnsi="宋体" w:eastAsia="宋体" w:cs="宋体"/>
          <w:iCs/>
          <w:szCs w:val="21"/>
        </w:rPr>
      </w:pPr>
      <w:r>
        <w:rPr>
          <w:rFonts w:hint="eastAsia" w:ascii="Times New Roman" w:hAnsi="Times New Roman" w:cs="Times New Roman"/>
          <w:szCs w:val="21"/>
        </w:rPr>
        <w:t>2.0.1</w:t>
      </w:r>
      <w:r>
        <w:rPr>
          <w:rFonts w:hint="eastAsia" w:ascii="宋体" w:hAnsi="宋体" w:eastAsia="宋体" w:cs="宋体"/>
          <w:iCs/>
          <w:szCs w:val="21"/>
        </w:rPr>
        <w:t xml:space="preserve"> 建筑能效 </w:t>
      </w:r>
      <w:r>
        <w:rPr>
          <w:rFonts w:hint="eastAsia" w:ascii="Times New Roman" w:hAnsi="Times New Roman" w:cs="Times New Roman"/>
          <w:szCs w:val="21"/>
        </w:rPr>
        <w:t>Energy efficiency of buildings</w:t>
      </w:r>
    </w:p>
    <w:p w14:paraId="63EBFFA9">
      <w:pPr>
        <w:widowControl/>
        <w:spacing w:line="360" w:lineRule="auto"/>
        <w:ind w:firstLine="420" w:firstLineChars="200"/>
        <w:jc w:val="left"/>
        <w:rPr>
          <w:rFonts w:ascii="宋体" w:hAnsi="宋体" w:eastAsia="宋体" w:cs="宋体"/>
          <w:iCs/>
          <w:szCs w:val="21"/>
        </w:rPr>
      </w:pPr>
      <w:r>
        <w:rPr>
          <w:rFonts w:hint="eastAsia" w:ascii="宋体" w:hAnsi="宋体" w:eastAsia="宋体" w:cs="宋体"/>
          <w:iCs/>
          <w:szCs w:val="21"/>
        </w:rPr>
        <w:t>在建筑的建造、运行、维护和改造过程中，通过采用合理的技术、材料、系统设备和管理措施，</w:t>
      </w:r>
      <w:r>
        <w:rPr>
          <w:rFonts w:hint="eastAsia" w:ascii="宋体" w:hAnsi="宋体" w:eastAsia="宋体" w:cs="宋体"/>
          <w:iCs/>
          <w:szCs w:val="21"/>
          <w:lang w:bidi="ar"/>
        </w:rPr>
        <w:t>在满足功能需求和室内环境质量的前提下，</w:t>
      </w:r>
      <w:r>
        <w:rPr>
          <w:rFonts w:hint="eastAsia" w:ascii="宋体" w:hAnsi="宋体" w:eastAsia="宋体" w:cs="宋体"/>
          <w:iCs/>
          <w:szCs w:val="21"/>
        </w:rPr>
        <w:t>以降低建筑在运行过程中的能源消耗、提高能源利用效率、实现建筑节能为目标的能力与特性。</w:t>
      </w:r>
    </w:p>
    <w:p w14:paraId="41666606">
      <w:pPr>
        <w:widowControl/>
        <w:spacing w:line="360" w:lineRule="auto"/>
        <w:rPr>
          <w:rFonts w:ascii="宋体" w:hAnsi="宋体" w:eastAsia="宋体" w:cs="宋体"/>
          <w:iCs/>
          <w:szCs w:val="21"/>
        </w:rPr>
      </w:pPr>
      <w:r>
        <w:rPr>
          <w:rFonts w:hint="eastAsia" w:ascii="Times New Roman" w:hAnsi="Times New Roman" w:cs="Times New Roman"/>
          <w:szCs w:val="21"/>
        </w:rPr>
        <w:t>2.0.2</w:t>
      </w:r>
      <w:r>
        <w:rPr>
          <w:rFonts w:hint="eastAsia" w:ascii="宋体" w:hAnsi="宋体" w:eastAsia="宋体" w:cs="宋体"/>
          <w:iCs/>
          <w:szCs w:val="21"/>
        </w:rPr>
        <w:t xml:space="preserve"> 建筑能效诊断 </w:t>
      </w:r>
      <w:r>
        <w:rPr>
          <w:rFonts w:hint="eastAsia" w:ascii="Times New Roman" w:hAnsi="Times New Roman" w:cs="Times New Roman"/>
          <w:szCs w:val="21"/>
        </w:rPr>
        <w:t>Energy efficiency diagnosis of buildings</w:t>
      </w:r>
    </w:p>
    <w:p w14:paraId="5FBB34F2">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通过文件审查、现场核查、性能检测和对能源消费账单和设备历史运行记录等数据的计算分析，实现对建筑围护结构、系统设备以及能源管理的能效分级和评估，识别能源利用中的薄弱环节和突出问题，为建筑物的节能优化运行和节能改造提供依据的过程。</w:t>
      </w:r>
    </w:p>
    <w:p w14:paraId="7F246F78">
      <w:pPr>
        <w:widowControl/>
        <w:spacing w:line="360" w:lineRule="auto"/>
        <w:rPr>
          <w:rFonts w:ascii="宋体" w:hAnsi="宋体" w:eastAsia="宋体" w:cs="宋体"/>
          <w:iCs/>
          <w:szCs w:val="21"/>
        </w:rPr>
      </w:pPr>
      <w:r>
        <w:rPr>
          <w:rFonts w:hint="eastAsia" w:ascii="Times New Roman" w:hAnsi="Times New Roman" w:cs="Times New Roman"/>
          <w:szCs w:val="21"/>
        </w:rPr>
        <w:t>2.0.3</w:t>
      </w:r>
      <w:r>
        <w:rPr>
          <w:rFonts w:hint="eastAsia" w:ascii="宋体" w:hAnsi="宋体" w:eastAsia="宋体" w:cs="宋体"/>
          <w:iCs/>
          <w:szCs w:val="21"/>
        </w:rPr>
        <w:t xml:space="preserve"> 能耗边界 </w:t>
      </w:r>
      <w:r>
        <w:rPr>
          <w:rFonts w:hint="eastAsia" w:ascii="Times New Roman" w:hAnsi="Times New Roman" w:cs="Times New Roman"/>
          <w:szCs w:val="21"/>
        </w:rPr>
        <w:t>Energy consumption boundary</w:t>
      </w:r>
    </w:p>
    <w:p w14:paraId="013B78B1">
      <w:pPr>
        <w:widowControl/>
        <w:spacing w:line="360" w:lineRule="auto"/>
        <w:ind w:firstLine="436" w:firstLineChars="200"/>
        <w:rPr>
          <w:rFonts w:ascii="宋体" w:hAnsi="宋体" w:eastAsia="宋体" w:cs="宋体"/>
          <w:iCs/>
          <w:szCs w:val="21"/>
        </w:rPr>
      </w:pPr>
      <w:r>
        <w:rPr>
          <w:rFonts w:hint="eastAsia" w:ascii="宋体" w:hAnsi="宋体" w:eastAsia="宋体" w:cs="宋体"/>
          <w:spacing w:val="4"/>
          <w:szCs w:val="21"/>
          <w:shd w:val="clear" w:color="auto" w:fill="FFFFFF"/>
        </w:rPr>
        <w:t>建筑或用能系统在能量转换、输配和利用过程中所划定的范围。</w:t>
      </w:r>
    </w:p>
    <w:p w14:paraId="2CFF849E">
      <w:pPr>
        <w:widowControl/>
        <w:spacing w:line="360" w:lineRule="auto"/>
        <w:rPr>
          <w:rFonts w:ascii="宋体" w:hAnsi="宋体" w:eastAsia="宋体" w:cs="宋体"/>
          <w:iCs/>
          <w:szCs w:val="21"/>
        </w:rPr>
      </w:pPr>
      <w:r>
        <w:rPr>
          <w:rFonts w:hint="eastAsia" w:ascii="Times New Roman" w:hAnsi="Times New Roman" w:cs="Times New Roman"/>
          <w:szCs w:val="21"/>
        </w:rPr>
        <w:t>2.0.4</w:t>
      </w:r>
      <w:r>
        <w:rPr>
          <w:rFonts w:hint="eastAsia" w:ascii="宋体" w:hAnsi="宋体" w:eastAsia="宋体" w:cs="宋体"/>
          <w:iCs/>
          <w:szCs w:val="21"/>
        </w:rPr>
        <w:t xml:space="preserve"> 能效分级 </w:t>
      </w:r>
      <w:r>
        <w:rPr>
          <w:rFonts w:hint="eastAsia" w:ascii="Times New Roman" w:hAnsi="Times New Roman" w:cs="Times New Roman"/>
          <w:szCs w:val="21"/>
        </w:rPr>
        <w:t>Energy efficiency classification</w:t>
      </w:r>
    </w:p>
    <w:p w14:paraId="69AB1E16">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在满足设计要求和实现建筑功能的情况下，根据能源消费账单和设备历史运行记录，通过计算单位建筑面积综合能效的方法实行对建筑能效等级的划分。</w:t>
      </w:r>
    </w:p>
    <w:p w14:paraId="24152470">
      <w:pPr>
        <w:widowControl/>
        <w:spacing w:line="360" w:lineRule="auto"/>
        <w:rPr>
          <w:rFonts w:ascii="宋体" w:hAnsi="宋体" w:eastAsia="宋体" w:cs="宋体"/>
          <w:iCs/>
          <w:szCs w:val="21"/>
        </w:rPr>
      </w:pPr>
      <w:r>
        <w:rPr>
          <w:rFonts w:hint="eastAsia" w:ascii="Times New Roman" w:hAnsi="Times New Roman" w:cs="Times New Roman"/>
          <w:szCs w:val="21"/>
        </w:rPr>
        <w:t>2.0.5</w:t>
      </w:r>
      <w:r>
        <w:rPr>
          <w:rFonts w:hint="eastAsia" w:ascii="宋体" w:hAnsi="宋体" w:eastAsia="宋体" w:cs="宋体"/>
          <w:iCs/>
          <w:szCs w:val="21"/>
        </w:rPr>
        <w:t xml:space="preserve"> 分项能效诊断 </w:t>
      </w:r>
      <w:r>
        <w:rPr>
          <w:rFonts w:hint="eastAsia" w:ascii="Times New Roman" w:hAnsi="Times New Roman" w:cs="Times New Roman"/>
          <w:szCs w:val="21"/>
        </w:rPr>
        <w:t>Itemized energy efficiency diagnosis</w:t>
      </w:r>
    </w:p>
    <w:p w14:paraId="41449C52">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在能效分级的基础上，对建筑的围护结构和系统设备进行性能评估，同时根据分项系统设备的能源消费账单和历史运行记录进行计算，实行分项能效分级的过程。</w:t>
      </w:r>
    </w:p>
    <w:p w14:paraId="33F97A48">
      <w:pPr>
        <w:widowControl/>
        <w:spacing w:line="360" w:lineRule="auto"/>
        <w:rPr>
          <w:rFonts w:ascii="宋体" w:hAnsi="宋体" w:eastAsia="宋体" w:cs="宋体"/>
          <w:iCs/>
          <w:szCs w:val="21"/>
        </w:rPr>
      </w:pPr>
      <w:r>
        <w:rPr>
          <w:rFonts w:hint="eastAsia" w:ascii="Times New Roman" w:hAnsi="Times New Roman" w:cs="Times New Roman"/>
          <w:szCs w:val="21"/>
        </w:rPr>
        <w:t>2.0.6</w:t>
      </w:r>
      <w:r>
        <w:rPr>
          <w:rFonts w:hint="eastAsia" w:ascii="宋体" w:hAnsi="宋体" w:eastAsia="宋体" w:cs="宋体"/>
          <w:iCs/>
          <w:szCs w:val="21"/>
        </w:rPr>
        <w:t xml:space="preserve"> 能源管理诊断 </w:t>
      </w:r>
      <w:r>
        <w:rPr>
          <w:rFonts w:hint="eastAsia" w:ascii="Times New Roman" w:hAnsi="Times New Roman" w:cs="Times New Roman"/>
          <w:szCs w:val="21"/>
        </w:rPr>
        <w:t>Energy management diagnosis</w:t>
      </w:r>
    </w:p>
    <w:p w14:paraId="32A0ECA6">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在能效分级的基础上，对公共建筑的能源管理体制、运行控制方式和管理绩效等能源管理水平进行性能评估的过程。</w:t>
      </w:r>
    </w:p>
    <w:p w14:paraId="4E3AE7E6">
      <w:pPr>
        <w:widowControl/>
        <w:spacing w:line="360" w:lineRule="auto"/>
        <w:ind w:left="420" w:hanging="420" w:hangingChars="200"/>
        <w:rPr>
          <w:rFonts w:ascii="Times New Roman" w:hAnsi="Times New Roman" w:cs="Times New Roman"/>
          <w:szCs w:val="21"/>
        </w:rPr>
      </w:pPr>
      <w:r>
        <w:rPr>
          <w:rFonts w:hint="eastAsia" w:ascii="Times New Roman" w:hAnsi="Times New Roman" w:cs="Times New Roman"/>
          <w:szCs w:val="21"/>
        </w:rPr>
        <w:t>2.0.7</w:t>
      </w:r>
      <w:r>
        <w:rPr>
          <w:rFonts w:hint="eastAsia" w:ascii="宋体" w:hAnsi="宋体" w:eastAsia="宋体" w:cs="宋体"/>
          <w:iCs/>
          <w:szCs w:val="21"/>
        </w:rPr>
        <w:t xml:space="preserve"> 公共建筑综合能耗指标</w:t>
      </w:r>
      <w:r>
        <w:rPr>
          <w:rFonts w:hint="eastAsia" w:ascii="Times New Roman" w:hAnsi="Times New Roman" w:cs="Times New Roman"/>
          <w:szCs w:val="21"/>
        </w:rPr>
        <w:t>Comprehensive energy consumption indicator of public building</w:t>
      </w:r>
    </w:p>
    <w:p w14:paraId="66175EEF">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公共建筑在运行阶段所消耗的各种能源实物量，按规范化要求和归一化方法处理后，将各种常规能源的实物量折算为等效电消耗量后的能耗数值，单位为</w:t>
      </w:r>
      <w:r>
        <w:rPr>
          <w:rFonts w:hint="eastAsia" w:ascii="Times New Roman" w:hAnsi="Times New Roman" w:cs="Times New Roman"/>
          <w:szCs w:val="21"/>
        </w:rPr>
        <w:t>kWh/a</w:t>
      </w:r>
      <w:r>
        <w:rPr>
          <w:rFonts w:hint="eastAsia" w:ascii="宋体" w:hAnsi="宋体" w:eastAsia="宋体" w:cs="宋体"/>
          <w:iCs/>
          <w:szCs w:val="21"/>
        </w:rPr>
        <w:t>。</w:t>
      </w:r>
    </w:p>
    <w:p w14:paraId="51726800">
      <w:pPr>
        <w:widowControl/>
        <w:spacing w:line="360" w:lineRule="auto"/>
        <w:rPr>
          <w:rFonts w:ascii="宋体" w:hAnsi="宋体" w:eastAsia="宋体" w:cs="宋体"/>
          <w:iCs/>
          <w:szCs w:val="21"/>
        </w:rPr>
      </w:pPr>
      <w:r>
        <w:rPr>
          <w:rFonts w:hint="eastAsia" w:ascii="Times New Roman" w:hAnsi="Times New Roman" w:cs="Times New Roman"/>
          <w:szCs w:val="21"/>
        </w:rPr>
        <w:t>2.0.8</w:t>
      </w:r>
      <w:r>
        <w:rPr>
          <w:rFonts w:hint="eastAsia" w:ascii="宋体" w:hAnsi="宋体" w:eastAsia="宋体" w:cs="宋体"/>
          <w:iCs/>
          <w:szCs w:val="21"/>
        </w:rPr>
        <w:t xml:space="preserve"> 基准建筑 </w:t>
      </w:r>
      <w:r>
        <w:rPr>
          <w:rFonts w:hint="eastAsia" w:ascii="Times New Roman" w:hAnsi="Times New Roman" w:cs="Times New Roman"/>
          <w:szCs w:val="21"/>
        </w:rPr>
        <w:t>Benchmark building</w:t>
      </w:r>
    </w:p>
    <w:p w14:paraId="3D7C2CEC">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计算建筑能效时，用于计算符合国家标准《公共建筑节能设计标准》GB50189-2015和行业标准《严寒和寒冷地区居住建筑节能设计标准》JG」26-2010、《夏热冬冷地区居住建筑节能设计标准》JGJ134-2016、《夏热冬暖地区居住建筑节能设计标准》JGJ75-2012</w:t>
      </w:r>
      <w:r>
        <w:rPr>
          <w:rFonts w:hint="eastAsia" w:ascii="Times New Roman" w:hAnsi="Times New Roman" w:cs="Times New Roman"/>
          <w:szCs w:val="21"/>
        </w:rPr>
        <w:t>和安徽省地方标准《公共建筑节能设计标准》DB34/T 5076等</w:t>
      </w:r>
      <w:r>
        <w:rPr>
          <w:rFonts w:hint="eastAsia" w:ascii="宋体" w:hAnsi="宋体" w:eastAsia="宋体" w:cs="宋体"/>
          <w:iCs/>
          <w:szCs w:val="21"/>
        </w:rPr>
        <w:t>相关要求的建筑能耗值的建筑。</w:t>
      </w:r>
    </w:p>
    <w:p w14:paraId="4664C3AD">
      <w:pPr>
        <w:widowControl/>
        <w:spacing w:line="360" w:lineRule="auto"/>
        <w:rPr>
          <w:rFonts w:ascii="宋体" w:hAnsi="宋体" w:eastAsia="宋体" w:cs="宋体"/>
          <w:iCs/>
          <w:szCs w:val="21"/>
        </w:rPr>
      </w:pPr>
      <w:r>
        <w:rPr>
          <w:rFonts w:hint="eastAsia" w:ascii="Times New Roman" w:hAnsi="Times New Roman" w:cs="Times New Roman"/>
          <w:color w:val="000000" w:themeColor="text1"/>
          <w:szCs w:val="21"/>
          <w14:textFill>
            <w14:solidFill>
              <w14:schemeClr w14:val="tx1"/>
            </w14:solidFill>
          </w14:textFill>
        </w:rPr>
        <w:t xml:space="preserve">2.0.9 </w:t>
      </w:r>
      <w:r>
        <w:rPr>
          <w:rFonts w:hint="eastAsia" w:ascii="宋体" w:hAnsi="宋体" w:eastAsia="宋体" w:cs="宋体"/>
          <w:iCs/>
          <w:szCs w:val="21"/>
        </w:rPr>
        <w:t xml:space="preserve">统计年 </w:t>
      </w:r>
      <w:r>
        <w:rPr>
          <w:rFonts w:hint="eastAsia" w:ascii="Times New Roman" w:hAnsi="Times New Roman" w:cs="Times New Roman"/>
          <w:color w:val="000000" w:themeColor="text1"/>
          <w:szCs w:val="21"/>
          <w14:textFill>
            <w14:solidFill>
              <w14:schemeClr w14:val="tx1"/>
            </w14:solidFill>
          </w14:textFill>
        </w:rPr>
        <w:t>Statistical year</w:t>
      </w:r>
    </w:p>
    <w:p w14:paraId="7F4B3CC4">
      <w:pPr>
        <w:widowControl/>
        <w:spacing w:line="360" w:lineRule="auto"/>
        <w:ind w:firstLine="420" w:firstLineChars="200"/>
        <w:rPr>
          <w:rFonts w:ascii="宋体" w:hAnsi="宋体" w:eastAsia="宋体" w:cs="宋体"/>
          <w:iCs/>
          <w:szCs w:val="21"/>
        </w:rPr>
      </w:pPr>
      <w:r>
        <w:rPr>
          <w:rFonts w:hint="eastAsia" w:ascii="宋体" w:hAnsi="宋体" w:eastAsia="宋体" w:cs="宋体"/>
          <w:iCs/>
          <w:szCs w:val="21"/>
        </w:rPr>
        <w:t>统计公共建筑能耗时，以一个完整的日历年或连续12个日历月为统计年，且涵盖一个完整的供暖季和一个完整的制冷季。</w:t>
      </w:r>
    </w:p>
    <w:p w14:paraId="20B4E88C">
      <w:pPr>
        <w:spacing w:line="360" w:lineRule="auto"/>
        <w:ind w:firstLine="600" w:firstLineChars="200"/>
        <w:rPr>
          <w:rFonts w:ascii="Times New Roman" w:hAnsi="Times New Roman" w:cs="Times New Roman"/>
          <w:b/>
          <w:bCs/>
          <w:szCs w:val="21"/>
        </w:rPr>
      </w:pPr>
      <w:bookmarkStart w:id="60" w:name="_Toc25086526"/>
      <w:r>
        <w:rPr>
          <w:rFonts w:ascii="Times New Roman" w:hAnsi="Times New Roman" w:cs="Times New Roman"/>
          <w:bCs/>
          <w:sz w:val="30"/>
          <w:szCs w:val="30"/>
        </w:rPr>
        <w:br w:type="page"/>
      </w:r>
    </w:p>
    <w:p w14:paraId="3C933985">
      <w:pPr>
        <w:pStyle w:val="2"/>
        <w:spacing w:after="156" w:line="480" w:lineRule="auto"/>
        <w:jc w:val="center"/>
        <w:rPr>
          <w:rFonts w:ascii="宋体" w:hAnsi="宋体" w:eastAsia="宋体" w:cs="宋体"/>
          <w:sz w:val="30"/>
          <w:szCs w:val="30"/>
        </w:rPr>
      </w:pPr>
      <w:bookmarkStart w:id="61" w:name="_Toc140052618"/>
      <w:bookmarkStart w:id="62" w:name="_Toc5251"/>
      <w:bookmarkStart w:id="63" w:name="_Toc139814546"/>
      <w:bookmarkStart w:id="64" w:name="_Toc135234903"/>
      <w:bookmarkStart w:id="65" w:name="_Toc137050132"/>
      <w:bookmarkStart w:id="66" w:name="_Toc137066735"/>
      <w:bookmarkStart w:id="67" w:name="_Toc1280"/>
      <w:r>
        <w:rPr>
          <w:rFonts w:hint="eastAsia" w:ascii="Times New Roman" w:hAnsi="Times New Roman" w:cs="Times New Roman"/>
          <w:color w:val="000000" w:themeColor="text1"/>
          <w:sz w:val="30"/>
          <w:szCs w:val="30"/>
          <w14:textFill>
            <w14:solidFill>
              <w14:schemeClr w14:val="tx1"/>
            </w14:solidFill>
          </w14:textFill>
        </w:rPr>
        <w:t>3 基本规定</w:t>
      </w:r>
      <w:bookmarkEnd w:id="60"/>
      <w:bookmarkEnd w:id="61"/>
      <w:bookmarkEnd w:id="62"/>
      <w:bookmarkEnd w:id="63"/>
      <w:bookmarkEnd w:id="64"/>
      <w:bookmarkEnd w:id="65"/>
      <w:bookmarkEnd w:id="66"/>
      <w:bookmarkEnd w:id="67"/>
    </w:p>
    <w:p w14:paraId="5A23AD9D">
      <w:pPr>
        <w:spacing w:line="360" w:lineRule="auto"/>
        <w:jc w:val="left"/>
        <w:rPr>
          <w:rFonts w:ascii="宋体" w:hAnsi="宋体" w:eastAsia="宋体" w:cs="宋体"/>
        </w:rPr>
      </w:pPr>
      <w:r>
        <w:rPr>
          <w:rFonts w:hint="eastAsia" w:ascii="Times New Roman" w:hAnsi="Times New Roman" w:cs="Times New Roman"/>
          <w:color w:val="000000" w:themeColor="text1"/>
          <w:szCs w:val="21"/>
          <w14:textFill>
            <w14:solidFill>
              <w14:schemeClr w14:val="tx1"/>
            </w14:solidFill>
          </w14:textFill>
        </w:rPr>
        <w:t>3.0.1</w:t>
      </w:r>
      <w:r>
        <w:rPr>
          <w:rFonts w:hint="eastAsia" w:ascii="宋体" w:hAnsi="宋体" w:eastAsia="宋体" w:cs="宋体"/>
        </w:rPr>
        <w:t xml:space="preserve"> 公共建筑能效诊断由能效分级、分项能效诊断和能源管理诊断组成。</w:t>
      </w:r>
    </w:p>
    <w:p w14:paraId="0B7B53CC">
      <w:pPr>
        <w:spacing w:line="360" w:lineRule="auto"/>
        <w:jc w:val="left"/>
        <w:rPr>
          <w:rFonts w:ascii="宋体" w:hAnsi="宋体" w:eastAsia="宋体" w:cs="宋体"/>
        </w:rPr>
      </w:pPr>
      <w:r>
        <w:rPr>
          <w:rFonts w:hint="eastAsia" w:ascii="Times New Roman" w:hAnsi="Times New Roman" w:cs="Times New Roman"/>
          <w:szCs w:val="21"/>
        </w:rPr>
        <w:t>3.0.2</w:t>
      </w:r>
      <w:r>
        <w:rPr>
          <w:rFonts w:hint="eastAsia" w:ascii="宋体" w:hAnsi="宋体" w:eastAsia="宋体" w:cs="宋体"/>
          <w:szCs w:val="21"/>
        </w:rPr>
        <w:t xml:space="preserve"> </w:t>
      </w:r>
      <w:r>
        <w:rPr>
          <w:rFonts w:hint="eastAsia" w:ascii="宋体" w:hAnsi="宋体" w:eastAsia="宋体" w:cs="宋体"/>
        </w:rPr>
        <w:t>公共建筑能耗边界和建筑边界应一致，当公共建筑内含有居住类部分时，不应将其纳入能耗边界范围内，且应对其能耗进行拆分。</w:t>
      </w:r>
    </w:p>
    <w:p w14:paraId="33830CE1">
      <w:pPr>
        <w:spacing w:line="360" w:lineRule="auto"/>
        <w:jc w:val="left"/>
        <w:rPr>
          <w:rFonts w:ascii="宋体" w:hAnsi="宋体" w:eastAsia="宋体" w:cs="宋体"/>
          <w:szCs w:val="21"/>
        </w:rPr>
      </w:pPr>
      <w:r>
        <w:rPr>
          <w:rFonts w:hint="eastAsia" w:ascii="Times New Roman" w:hAnsi="Times New Roman" w:cs="Times New Roman"/>
          <w:szCs w:val="21"/>
        </w:rPr>
        <w:t>3.0.3</w:t>
      </w:r>
      <w:r>
        <w:rPr>
          <w:rFonts w:hint="eastAsia" w:ascii="宋体" w:hAnsi="宋体" w:eastAsia="宋体" w:cs="宋体"/>
          <w:szCs w:val="21"/>
        </w:rPr>
        <w:t xml:space="preserve"> 公共建筑能效诊断应以单栋建筑为对象。当建筑具有多种功能类别且符合以下条件时，应分别进行诊断。</w:t>
      </w:r>
    </w:p>
    <w:p w14:paraId="4BCCD699">
      <w:pPr>
        <w:spacing w:line="360" w:lineRule="auto"/>
        <w:ind w:firstLine="420" w:firstLineChars="200"/>
        <w:rPr>
          <w:rFonts w:ascii="宋体" w:hAnsi="宋体" w:eastAsia="宋体" w:cs="宋体"/>
        </w:rPr>
      </w:pPr>
      <w:r>
        <w:rPr>
          <w:rFonts w:hint="eastAsia" w:ascii="Times New Roman" w:hAnsi="Times New Roman" w:cs="Times New Roman"/>
          <w:szCs w:val="21"/>
        </w:rPr>
        <w:t>1</w:t>
      </w:r>
      <w:r>
        <w:rPr>
          <w:rFonts w:hint="eastAsia" w:ascii="宋体" w:hAnsi="宋体" w:eastAsia="宋体" w:cs="宋体"/>
        </w:rPr>
        <w:t>所占面积超过整个建筑面积比例大于</w:t>
      </w:r>
      <w:r>
        <w:rPr>
          <w:rFonts w:hint="eastAsia" w:ascii="Times New Roman" w:hAnsi="Times New Roman" w:cs="Times New Roman"/>
          <w:szCs w:val="21"/>
        </w:rPr>
        <w:t>10%</w:t>
      </w:r>
      <w:r>
        <w:rPr>
          <w:rFonts w:hint="eastAsia" w:ascii="宋体" w:hAnsi="宋体" w:eastAsia="宋体" w:cs="宋体"/>
        </w:rPr>
        <w:t>，且面积大于</w:t>
      </w:r>
      <w:r>
        <w:rPr>
          <w:rFonts w:hint="eastAsia" w:ascii="Times New Roman" w:hAnsi="Times New Roman" w:cs="Times New Roman"/>
          <w:szCs w:val="21"/>
        </w:rPr>
        <w:t>1000㎡</w:t>
      </w:r>
      <w:r>
        <w:rPr>
          <w:rFonts w:hint="eastAsia" w:ascii="宋体" w:hAnsi="宋体" w:eastAsia="宋体" w:cs="宋体"/>
        </w:rPr>
        <w:t>时；</w:t>
      </w:r>
    </w:p>
    <w:p w14:paraId="27C76D4E">
      <w:pPr>
        <w:spacing w:line="360" w:lineRule="auto"/>
        <w:ind w:firstLine="420" w:firstLineChars="200"/>
        <w:rPr>
          <w:rFonts w:ascii="宋体" w:hAnsi="宋体" w:eastAsia="宋体" w:cs="宋体"/>
        </w:rPr>
      </w:pPr>
      <w:r>
        <w:rPr>
          <w:rFonts w:hint="eastAsia" w:ascii="Times New Roman" w:hAnsi="Times New Roman" w:cs="Times New Roman"/>
          <w:szCs w:val="21"/>
        </w:rPr>
        <w:t>2</w:t>
      </w:r>
      <w:r>
        <w:rPr>
          <w:rFonts w:hint="eastAsia" w:ascii="宋体" w:hAnsi="宋体" w:eastAsia="宋体" w:cs="宋体"/>
        </w:rPr>
        <w:t>具备独立能耗计量条件。</w:t>
      </w:r>
    </w:p>
    <w:p w14:paraId="4BE8919E">
      <w:pPr>
        <w:spacing w:line="360" w:lineRule="auto"/>
        <w:jc w:val="left"/>
        <w:rPr>
          <w:rFonts w:ascii="宋体" w:hAnsi="宋体" w:eastAsia="宋体" w:cs="宋体"/>
          <w:szCs w:val="21"/>
        </w:rPr>
      </w:pPr>
      <w:r>
        <w:rPr>
          <w:rFonts w:hint="eastAsia" w:ascii="Times New Roman" w:hAnsi="Times New Roman" w:cs="Times New Roman"/>
          <w:szCs w:val="21"/>
        </w:rPr>
        <w:t>3.0.4</w:t>
      </w:r>
      <w:r>
        <w:rPr>
          <w:rFonts w:hint="eastAsia" w:ascii="宋体" w:hAnsi="宋体" w:eastAsia="宋体" w:cs="宋体"/>
          <w:szCs w:val="21"/>
        </w:rPr>
        <w:t xml:space="preserve"> 建筑群内的建筑边界划分和诊断应符合以下规定：</w:t>
      </w:r>
    </w:p>
    <w:p w14:paraId="62DA1B0F">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 xml:space="preserve">1 </w:t>
      </w:r>
      <w:r>
        <w:rPr>
          <w:rFonts w:hint="eastAsia" w:ascii="宋体" w:hAnsi="宋体" w:eastAsia="宋体" w:cs="宋体"/>
          <w:szCs w:val="21"/>
        </w:rPr>
        <w:t>建筑群内的不同类型公共建筑应按单栋建筑分别进行诊断，单栋建筑诊断应符合第</w:t>
      </w:r>
      <w:r>
        <w:rPr>
          <w:rFonts w:hint="eastAsia" w:ascii="Times New Roman" w:hAnsi="Times New Roman" w:cs="Times New Roman"/>
          <w:szCs w:val="21"/>
        </w:rPr>
        <w:t>3.0.3</w:t>
      </w:r>
      <w:r>
        <w:rPr>
          <w:rFonts w:hint="eastAsia" w:ascii="宋体" w:hAnsi="宋体" w:eastAsia="宋体" w:cs="宋体"/>
          <w:szCs w:val="21"/>
        </w:rPr>
        <w:t>条的规定；</w:t>
      </w:r>
    </w:p>
    <w:p w14:paraId="56E4F8DF">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2</w:t>
      </w:r>
      <w:r>
        <w:rPr>
          <w:rFonts w:hint="eastAsia" w:ascii="宋体" w:hAnsi="宋体" w:eastAsia="宋体" w:cs="宋体"/>
          <w:szCs w:val="21"/>
        </w:rPr>
        <w:t xml:space="preserve"> 建筑群内的同类型公共建筑，可抽取有代表性的单栋建筑进行诊断，抽取数量不应少于</w:t>
      </w:r>
      <w:r>
        <w:rPr>
          <w:rFonts w:hint="eastAsia" w:ascii="Times New Roman" w:hAnsi="Times New Roman" w:cs="Times New Roman"/>
          <w:szCs w:val="21"/>
        </w:rPr>
        <w:t>20%</w:t>
      </w:r>
      <w:r>
        <w:rPr>
          <w:rFonts w:hint="eastAsia" w:ascii="宋体" w:hAnsi="宋体" w:eastAsia="宋体" w:cs="宋体"/>
          <w:szCs w:val="21"/>
        </w:rPr>
        <w:t>，并不应少于</w:t>
      </w:r>
      <w:r>
        <w:rPr>
          <w:rFonts w:hint="eastAsia" w:ascii="Times New Roman" w:hAnsi="Times New Roman" w:cs="Times New Roman"/>
          <w:szCs w:val="21"/>
        </w:rPr>
        <w:t>1</w:t>
      </w:r>
      <w:r>
        <w:rPr>
          <w:rFonts w:hint="eastAsia" w:ascii="宋体" w:hAnsi="宋体" w:eastAsia="宋体" w:cs="宋体"/>
          <w:szCs w:val="21"/>
        </w:rPr>
        <w:t>栋；</w:t>
      </w:r>
    </w:p>
    <w:p w14:paraId="57928C9C">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3</w:t>
      </w:r>
      <w:r>
        <w:rPr>
          <w:rFonts w:hint="eastAsia" w:ascii="宋体" w:hAnsi="宋体" w:eastAsia="宋体" w:cs="宋体"/>
          <w:szCs w:val="21"/>
        </w:rPr>
        <w:t xml:space="preserve"> 建筑群内单栋建筑不能完整表征建筑类型的功能时，应按该类建筑功能标准要求与其他单栋建筑组合，共同构成建筑边界参与能效诊断；</w:t>
      </w:r>
    </w:p>
    <w:p w14:paraId="6902E44D">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 xml:space="preserve">4 </w:t>
      </w:r>
      <w:r>
        <w:rPr>
          <w:rFonts w:hint="eastAsia" w:ascii="宋体" w:hAnsi="宋体" w:eastAsia="宋体" w:cs="宋体"/>
          <w:szCs w:val="21"/>
        </w:rPr>
        <w:t>建筑群内单栋建筑能源消耗未独立计量时，应梳理和补充能耗计量节点、拆分成单栋能源消耗量后，分别进行能效诊断。</w:t>
      </w:r>
    </w:p>
    <w:p w14:paraId="7C28FF13">
      <w:pPr>
        <w:spacing w:line="360" w:lineRule="auto"/>
        <w:jc w:val="left"/>
        <w:rPr>
          <w:rFonts w:ascii="宋体" w:hAnsi="宋体" w:eastAsia="宋体" w:cs="宋体"/>
        </w:rPr>
      </w:pPr>
      <w:r>
        <w:rPr>
          <w:rFonts w:hint="eastAsia" w:ascii="Times New Roman" w:hAnsi="Times New Roman" w:cs="Times New Roman"/>
          <w:szCs w:val="21"/>
        </w:rPr>
        <w:t>3.0.5</w:t>
      </w:r>
      <w:r>
        <w:rPr>
          <w:rFonts w:hint="eastAsia" w:ascii="宋体" w:hAnsi="宋体" w:eastAsia="宋体" w:cs="宋体"/>
        </w:rPr>
        <w:t xml:space="preserve"> 公共建筑能效诊断应在具有一个完整统计年能耗数据后进行，用于能效诊断的所有数据信息应处于同一统计年内。已完成节能改造的公共建筑再次进行能效诊断仍需在经历一个完整的统计年后进行。</w:t>
      </w:r>
    </w:p>
    <w:p w14:paraId="2EFCC6DA">
      <w:pPr>
        <w:spacing w:line="360" w:lineRule="auto"/>
        <w:jc w:val="left"/>
        <w:rPr>
          <w:rFonts w:ascii="宋体" w:hAnsi="宋体" w:eastAsia="宋体" w:cs="宋体"/>
          <w:szCs w:val="21"/>
        </w:rPr>
      </w:pPr>
      <w:r>
        <w:rPr>
          <w:rFonts w:hint="eastAsia" w:ascii="Times New Roman" w:hAnsi="Times New Roman" w:cs="Times New Roman"/>
          <w:szCs w:val="21"/>
        </w:rPr>
        <w:t>3.0.6</w:t>
      </w:r>
      <w:r>
        <w:rPr>
          <w:rFonts w:hint="eastAsia" w:ascii="宋体" w:hAnsi="宋体" w:eastAsia="宋体" w:cs="宋体"/>
          <w:szCs w:val="21"/>
        </w:rPr>
        <w:t xml:space="preserve"> 参与能效诊断的公共建筑在运营时，其室内声、光、热环境和空气环境等应满足设计要求和正常使用功能需求。</w:t>
      </w:r>
    </w:p>
    <w:p w14:paraId="3BEBD676">
      <w:pPr>
        <w:spacing w:line="360" w:lineRule="auto"/>
        <w:jc w:val="left"/>
        <w:rPr>
          <w:rFonts w:ascii="宋体" w:hAnsi="宋体" w:eastAsia="宋体" w:cs="宋体"/>
          <w:szCs w:val="21"/>
        </w:rPr>
      </w:pPr>
      <w:r>
        <w:rPr>
          <w:rFonts w:hint="eastAsia" w:ascii="Times New Roman" w:hAnsi="Times New Roman" w:cs="Times New Roman"/>
          <w:szCs w:val="21"/>
        </w:rPr>
        <w:t>3.0.7</w:t>
      </w:r>
      <w:r>
        <w:rPr>
          <w:rFonts w:hint="eastAsia" w:ascii="宋体" w:hAnsi="宋体" w:eastAsia="宋体" w:cs="宋体"/>
          <w:szCs w:val="21"/>
        </w:rPr>
        <w:t xml:space="preserve"> 公共建筑能效诊断后，应出具能效诊断报告。报告编制时应遵循完整准确、客观公正、及时可比、公开透明的原则，报告表述内容应做到层次清晰、文字精练、论证可靠、结论严谨，报告中引用的名词术语表述规范、统一。</w:t>
      </w:r>
    </w:p>
    <w:p w14:paraId="139D533A">
      <w:pPr>
        <w:spacing w:line="360" w:lineRule="auto"/>
        <w:rPr>
          <w:rFonts w:ascii="宋体" w:hAnsi="宋体" w:eastAsia="宋体" w:cs="宋体"/>
          <w:szCs w:val="21"/>
        </w:rPr>
      </w:pPr>
      <w:r>
        <w:rPr>
          <w:rFonts w:hint="eastAsia" w:ascii="Times New Roman" w:hAnsi="Times New Roman" w:cs="Times New Roman"/>
          <w:szCs w:val="21"/>
        </w:rPr>
        <w:t>3.0.8</w:t>
      </w:r>
      <w:r>
        <w:rPr>
          <w:rFonts w:hint="eastAsia" w:ascii="宋体" w:hAnsi="宋体" w:eastAsia="宋体" w:cs="宋体"/>
          <w:szCs w:val="21"/>
        </w:rPr>
        <w:t xml:space="preserve"> 能效诊断报告由能效诊断报告简表和详细报告组成。能效诊断报告简表宜符合附录D的要求；能效诊断详细报告宜包含以下内容：</w:t>
      </w:r>
    </w:p>
    <w:p w14:paraId="0520D6B9">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1 诊断建筑基本信息和诊断时间；</w:t>
      </w:r>
    </w:p>
    <w:p w14:paraId="1F43756D">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2 诊断范围；</w:t>
      </w:r>
    </w:p>
    <w:p w14:paraId="6807C9BE">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3 能效分级及计算过程；</w:t>
      </w:r>
    </w:p>
    <w:p w14:paraId="227A6385">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4 分项能效诊断依据、诊断内容和计算过程；</w:t>
      </w:r>
    </w:p>
    <w:p w14:paraId="3ED552F0">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5 能源管理诊断依据和诊断内容；</w:t>
      </w:r>
    </w:p>
    <w:p w14:paraId="0CAD757E">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6 能效诊断结论；</w:t>
      </w:r>
    </w:p>
    <w:p w14:paraId="102BC0BF">
      <w:pPr>
        <w:widowControl/>
        <w:spacing w:line="360" w:lineRule="auto"/>
        <w:ind w:firstLine="420" w:firstLineChars="200"/>
        <w:jc w:val="left"/>
        <w:rPr>
          <w:rFonts w:ascii="Times New Roman" w:hAnsi="Times New Roman" w:cs="Times New Roman"/>
          <w:szCs w:val="21"/>
        </w:rPr>
      </w:pPr>
      <w:r>
        <w:rPr>
          <w:rFonts w:hint="eastAsia" w:ascii="Times New Roman" w:hAnsi="Times New Roman" w:cs="Times New Roman"/>
          <w:szCs w:val="21"/>
        </w:rPr>
        <w:t>7 附件：能效诊断过程中的重要佐证资料。</w:t>
      </w:r>
    </w:p>
    <w:p w14:paraId="571B4754">
      <w:pPr>
        <w:spacing w:line="360" w:lineRule="auto"/>
        <w:jc w:val="left"/>
        <w:rPr>
          <w:rFonts w:ascii="Times New Roman" w:hAnsi="Times New Roman" w:eastAsia="楷体" w:cs="Times New Roman"/>
          <w:szCs w:val="21"/>
        </w:rPr>
      </w:pPr>
      <w:r>
        <w:rPr>
          <w:rFonts w:ascii="Times New Roman" w:hAnsi="Times New Roman" w:cs="Times New Roman"/>
          <w:sz w:val="30"/>
          <w:szCs w:val="30"/>
        </w:rPr>
        <w:br w:type="page"/>
      </w:r>
    </w:p>
    <w:p w14:paraId="3E4EB221">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68" w:name="_Toc9197"/>
      <w:bookmarkStart w:id="69" w:name="_Toc9645"/>
      <w:bookmarkStart w:id="70" w:name="_Toc25463"/>
      <w:r>
        <w:rPr>
          <w:rFonts w:ascii="Times New Roman" w:hAnsi="Times New Roman" w:cs="Times New Roman"/>
          <w:color w:val="000000" w:themeColor="text1"/>
          <w:sz w:val="30"/>
          <w:szCs w:val="30"/>
          <w14:textFill>
            <w14:solidFill>
              <w14:schemeClr w14:val="tx1"/>
            </w14:solidFill>
          </w14:textFill>
        </w:rPr>
        <w:t>4 诊断方法</w:t>
      </w:r>
      <w:bookmarkEnd w:id="68"/>
      <w:bookmarkEnd w:id="69"/>
    </w:p>
    <w:p w14:paraId="2C386038">
      <w:pPr>
        <w:pStyle w:val="3"/>
        <w:spacing w:line="360" w:lineRule="auto"/>
        <w:jc w:val="center"/>
        <w:rPr>
          <w:rFonts w:ascii="Times New Roman" w:hAnsi="Times New Roman" w:eastAsia="宋体" w:cs="Times New Roman"/>
          <w:sz w:val="28"/>
          <w:szCs w:val="28"/>
        </w:rPr>
      </w:pPr>
      <w:bookmarkStart w:id="71" w:name="_Toc31704"/>
      <w:bookmarkStart w:id="72" w:name="_Toc21564"/>
      <w:r>
        <w:rPr>
          <w:rFonts w:hint="eastAsia" w:ascii="Times New Roman" w:hAnsi="Times New Roman" w:eastAsia="宋体" w:cs="Times New Roman"/>
          <w:sz w:val="28"/>
          <w:szCs w:val="28"/>
        </w:rPr>
        <w:t xml:space="preserve">4.1 </w:t>
      </w:r>
      <w:r>
        <w:rPr>
          <w:rFonts w:ascii="Times New Roman" w:hAnsi="Times New Roman" w:eastAsia="宋体" w:cs="Times New Roman"/>
          <w:sz w:val="28"/>
          <w:szCs w:val="28"/>
        </w:rPr>
        <w:t>诊断原则</w:t>
      </w:r>
      <w:bookmarkEnd w:id="71"/>
      <w:bookmarkEnd w:id="72"/>
    </w:p>
    <w:p w14:paraId="042ABBB1">
      <w:pPr>
        <w:spacing w:line="360" w:lineRule="auto"/>
        <w:rPr>
          <w:rFonts w:ascii="宋体" w:hAnsi="宋体" w:eastAsia="宋体" w:cs="宋体"/>
        </w:rPr>
      </w:pPr>
      <w:r>
        <w:rPr>
          <w:rFonts w:hint="eastAsia" w:ascii="Times New Roman" w:hAnsi="Times New Roman" w:cs="Times New Roman"/>
          <w:szCs w:val="21"/>
        </w:rPr>
        <w:t>4.1.1</w:t>
      </w:r>
      <w:r>
        <w:rPr>
          <w:rFonts w:hint="eastAsia" w:ascii="宋体" w:hAnsi="宋体" w:eastAsia="宋体" w:cs="宋体"/>
        </w:rPr>
        <w:t xml:space="preserve"> 公共建筑能效诊断应采用计算评估和性能评估相结合的方式。性能评估包括文件审查、现场核查和性能检测的方式。</w:t>
      </w:r>
    </w:p>
    <w:p w14:paraId="5D1F9CB0">
      <w:pPr>
        <w:pStyle w:val="46"/>
        <w:spacing w:line="360" w:lineRule="auto"/>
        <w:ind w:firstLine="0" w:firstLineChars="0"/>
        <w:rPr>
          <w:rFonts w:ascii="宋体" w:hAnsi="宋体" w:eastAsia="宋体" w:cs="宋体"/>
        </w:rPr>
      </w:pPr>
      <w:r>
        <w:rPr>
          <w:rFonts w:hint="eastAsia" w:ascii="Times New Roman" w:hAnsi="Times New Roman"/>
        </w:rPr>
        <w:t xml:space="preserve">4.1.2 </w:t>
      </w:r>
      <w:r>
        <w:rPr>
          <w:rFonts w:hint="eastAsia" w:ascii="宋体" w:hAnsi="宋体" w:eastAsia="宋体" w:cs="宋体"/>
        </w:rPr>
        <w:t>公共建筑能耗指标实测值应包括建筑运行中使用的由建筑外部提供的全部电力、燃气和其他化石能源，以及由集中供热、集中供冷系统向建筑提供的热量和冷量，并应符合下列规定：</w:t>
      </w:r>
    </w:p>
    <w:p w14:paraId="7029DE9A">
      <w:pPr>
        <w:pStyle w:val="46"/>
        <w:spacing w:line="360" w:lineRule="auto"/>
        <w:ind w:firstLine="420"/>
        <w:rPr>
          <w:rFonts w:ascii="宋体" w:hAnsi="宋体" w:eastAsia="宋体" w:cs="宋体"/>
        </w:rPr>
      </w:pPr>
      <w:r>
        <w:rPr>
          <w:rFonts w:hint="eastAsia" w:ascii="Times New Roman" w:hAnsi="Times New Roman"/>
        </w:rPr>
        <w:t xml:space="preserve">1 </w:t>
      </w:r>
      <w:r>
        <w:rPr>
          <w:rFonts w:hint="eastAsia" w:ascii="宋体" w:hAnsi="宋体" w:eastAsia="宋体" w:cs="宋体"/>
        </w:rPr>
        <w:t xml:space="preserve">通过建筑的配电系统向各类电动交通工具提供的电力，应从建筑实测能耗中扣除； </w:t>
      </w:r>
    </w:p>
    <w:p w14:paraId="0272376A">
      <w:pPr>
        <w:pStyle w:val="46"/>
        <w:spacing w:line="360" w:lineRule="auto"/>
        <w:ind w:firstLine="420"/>
        <w:rPr>
          <w:rFonts w:ascii="宋体" w:hAnsi="宋体" w:eastAsia="宋体" w:cs="宋体"/>
        </w:rPr>
      </w:pPr>
      <w:r>
        <w:rPr>
          <w:rFonts w:hint="eastAsia" w:ascii="Times New Roman" w:hAnsi="Times New Roman"/>
        </w:rPr>
        <w:t xml:space="preserve">2 </w:t>
      </w:r>
      <w:r>
        <w:rPr>
          <w:rFonts w:hint="eastAsia" w:ascii="宋体" w:hAnsi="宋体" w:eastAsia="宋体" w:cs="宋体"/>
        </w:rPr>
        <w:t>应政府要求，用于建筑外景照明的用电，应从建筑实测能耗中扣除；</w:t>
      </w:r>
    </w:p>
    <w:p w14:paraId="71DFCBA8">
      <w:pPr>
        <w:pStyle w:val="46"/>
        <w:spacing w:line="360" w:lineRule="auto"/>
        <w:ind w:firstLine="420"/>
        <w:rPr>
          <w:rFonts w:ascii="宋体" w:hAnsi="宋体" w:eastAsia="宋体" w:cs="宋体"/>
        </w:rPr>
      </w:pPr>
      <w:r>
        <w:rPr>
          <w:rFonts w:hint="eastAsia" w:ascii="Times New Roman" w:hAnsi="Times New Roman"/>
        </w:rPr>
        <w:t xml:space="preserve">3 </w:t>
      </w:r>
      <w:r>
        <w:rPr>
          <w:rFonts w:hint="eastAsia" w:ascii="宋体" w:hAnsi="宋体" w:eastAsia="宋体" w:cs="宋体"/>
        </w:rPr>
        <w:t>当建筑中设置可再生能源系统时，综合能耗的统计值应包含可再生能源用量的自用部分。</w:t>
      </w:r>
    </w:p>
    <w:p w14:paraId="1AA69C2D">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 xml:space="preserve">4 </w:t>
      </w:r>
      <w:r>
        <w:rPr>
          <w:rFonts w:hint="eastAsia" w:ascii="宋体" w:hAnsi="宋体" w:eastAsia="宋体" w:cs="宋体"/>
          <w:szCs w:val="21"/>
        </w:rPr>
        <w:t>当引用的建筑能耗指标值不包含可再生能源用能时，需按照实测可再生能源用能值对能耗指标值进行修正。</w:t>
      </w:r>
    </w:p>
    <w:p w14:paraId="1E5D000A">
      <w:pPr>
        <w:spacing w:line="360" w:lineRule="auto"/>
        <w:jc w:val="left"/>
        <w:rPr>
          <w:rFonts w:ascii="宋体" w:hAnsi="宋体" w:eastAsia="宋体" w:cs="宋体"/>
          <w:szCs w:val="21"/>
        </w:rPr>
      </w:pPr>
      <w:r>
        <w:rPr>
          <w:rFonts w:hint="eastAsia" w:ascii="Times New Roman" w:hAnsi="Times New Roman" w:cs="Times New Roman"/>
          <w:szCs w:val="21"/>
        </w:rPr>
        <w:t>4.1.3</w:t>
      </w:r>
      <w:r>
        <w:rPr>
          <w:rFonts w:hint="eastAsia" w:ascii="宋体" w:hAnsi="宋体" w:eastAsia="宋体" w:cs="宋体"/>
          <w:szCs w:val="21"/>
        </w:rPr>
        <w:t xml:space="preserve"> 当公共建筑中应用可再生能源时，诊断时应计算并分析可再生能源占特定系统的用能比例，并符合第5.1.9条的规定。</w:t>
      </w:r>
    </w:p>
    <w:p w14:paraId="550E1167">
      <w:pPr>
        <w:spacing w:line="360" w:lineRule="auto"/>
        <w:jc w:val="left"/>
        <w:rPr>
          <w:rFonts w:ascii="宋体" w:hAnsi="宋体" w:eastAsia="宋体" w:cs="宋体"/>
          <w:szCs w:val="21"/>
        </w:rPr>
      </w:pPr>
      <w:r>
        <w:rPr>
          <w:rFonts w:hint="eastAsia" w:ascii="Times New Roman" w:hAnsi="Times New Roman" w:cs="Times New Roman"/>
          <w:szCs w:val="21"/>
        </w:rPr>
        <w:t xml:space="preserve">4.1.4 </w:t>
      </w:r>
      <w:r>
        <w:rPr>
          <w:rFonts w:hint="eastAsia" w:ascii="宋体" w:hAnsi="宋体" w:eastAsia="宋体" w:cs="宋体"/>
          <w:szCs w:val="21"/>
        </w:rPr>
        <w:t>同一公共建筑具有多种功能类别时，单栋建筑能耗指标的基准值、约束值和引导值，应按对应类别建筑的面积比例进行加权平均计算确定。</w:t>
      </w:r>
    </w:p>
    <w:p w14:paraId="4A8CE7A1">
      <w:pPr>
        <w:spacing w:line="360" w:lineRule="auto"/>
        <w:jc w:val="left"/>
        <w:rPr>
          <w:rFonts w:ascii="宋体" w:hAnsi="宋体" w:eastAsia="宋体" w:cs="宋体"/>
          <w:szCs w:val="21"/>
        </w:rPr>
      </w:pPr>
      <w:r>
        <w:rPr>
          <w:rFonts w:hint="eastAsia" w:ascii="Times New Roman" w:hAnsi="Times New Roman" w:cs="Times New Roman"/>
          <w:szCs w:val="21"/>
        </w:rPr>
        <w:t xml:space="preserve">4.1.5 </w:t>
      </w:r>
      <w:r>
        <w:rPr>
          <w:rFonts w:hint="eastAsia" w:ascii="宋体" w:hAnsi="宋体" w:eastAsia="宋体" w:cs="宋体"/>
          <w:szCs w:val="21"/>
        </w:rPr>
        <w:t>当建筑中存在锅炉、新风等设备系统时，需对设备余热回收利用情况进行性能评估，回收利用的部分能量不计入总能耗。</w:t>
      </w:r>
    </w:p>
    <w:p w14:paraId="316A6D46">
      <w:pPr>
        <w:spacing w:line="360" w:lineRule="auto"/>
        <w:jc w:val="left"/>
        <w:rPr>
          <w:rFonts w:ascii="宋体" w:hAnsi="宋体" w:eastAsia="宋体" w:cs="宋体"/>
          <w:szCs w:val="21"/>
        </w:rPr>
      </w:pPr>
      <w:r>
        <w:rPr>
          <w:rFonts w:hint="eastAsia" w:ascii="Times New Roman" w:hAnsi="Times New Roman" w:cs="Times New Roman"/>
          <w:szCs w:val="21"/>
        </w:rPr>
        <w:t xml:space="preserve">4.1.6 </w:t>
      </w:r>
      <w:r>
        <w:rPr>
          <w:rFonts w:hint="eastAsia" w:ascii="宋体" w:hAnsi="宋体" w:eastAsia="宋体" w:cs="宋体"/>
          <w:szCs w:val="21"/>
        </w:rPr>
        <w:t>公共建筑能效诊断的基准建筑能耗指标的基准值、约束值和引导值可引用标准值或由符合国家和地方标准的建筑能效管理平台、建筑能效计算工具或二次开发的工具获得。</w:t>
      </w:r>
    </w:p>
    <w:p w14:paraId="77801921">
      <w:pPr>
        <w:spacing w:line="360" w:lineRule="auto"/>
        <w:rPr>
          <w:rFonts w:ascii="宋体" w:hAnsi="宋体" w:eastAsia="宋体" w:cs="宋体"/>
          <w:szCs w:val="21"/>
        </w:rPr>
      </w:pPr>
      <w:r>
        <w:rPr>
          <w:rFonts w:hint="eastAsia" w:ascii="Times New Roman" w:hAnsi="Times New Roman" w:cs="Times New Roman"/>
          <w:szCs w:val="21"/>
        </w:rPr>
        <w:t>4.1.7</w:t>
      </w:r>
      <w:r>
        <w:rPr>
          <w:rFonts w:hint="eastAsia" w:ascii="宋体" w:hAnsi="宋体" w:eastAsia="宋体" w:cs="宋体"/>
          <w:szCs w:val="21"/>
        </w:rPr>
        <w:t xml:space="preserve"> 能效诊断流程包括准备阶段和实施阶段。</w:t>
      </w:r>
    </w:p>
    <w:p w14:paraId="691BCFDA">
      <w:pPr>
        <w:widowControl/>
        <w:spacing w:line="360" w:lineRule="auto"/>
        <w:ind w:firstLine="420" w:firstLineChars="200"/>
        <w:rPr>
          <w:rFonts w:ascii="宋体" w:hAnsi="宋体" w:eastAsia="宋体" w:cs="宋体"/>
        </w:rPr>
      </w:pPr>
      <w:r>
        <w:rPr>
          <w:rFonts w:hint="eastAsia" w:ascii="Times New Roman" w:hAnsi="Times New Roman" w:cs="Times New Roman"/>
          <w:szCs w:val="21"/>
        </w:rPr>
        <w:t>1</w:t>
      </w:r>
      <w:r>
        <w:rPr>
          <w:rFonts w:hint="eastAsia" w:ascii="宋体" w:hAnsi="宋体" w:eastAsia="宋体" w:cs="宋体"/>
        </w:rPr>
        <w:t xml:space="preserve"> 能效诊断准备阶段内容应包括：识别建筑边界和能耗边界、收集建筑信息和能耗数据、数据核查校验等。其具体流程可按附录</w:t>
      </w:r>
      <w:r>
        <w:rPr>
          <w:rFonts w:hint="eastAsia" w:ascii="Times New Roman" w:hAnsi="Times New Roman" w:cs="Times New Roman"/>
          <w:szCs w:val="21"/>
        </w:rPr>
        <w:t>A-1</w:t>
      </w:r>
      <w:r>
        <w:rPr>
          <w:rFonts w:hint="eastAsia" w:ascii="宋体" w:hAnsi="宋体" w:eastAsia="宋体" w:cs="宋体"/>
        </w:rPr>
        <w:t>执行；</w:t>
      </w:r>
    </w:p>
    <w:p w14:paraId="2340AA36">
      <w:pPr>
        <w:widowControl/>
        <w:spacing w:line="360" w:lineRule="auto"/>
        <w:ind w:firstLine="420" w:firstLineChars="200"/>
        <w:rPr>
          <w:rFonts w:ascii="Times New Roman" w:hAnsi="Times New Roman" w:eastAsia="宋体" w:cs="Times New Roman"/>
          <w:color w:val="FF0000"/>
        </w:rPr>
      </w:pPr>
      <w:r>
        <w:rPr>
          <w:rFonts w:hint="eastAsia" w:ascii="Times New Roman" w:hAnsi="Times New Roman" w:cs="Times New Roman"/>
          <w:szCs w:val="21"/>
        </w:rPr>
        <w:t>2</w:t>
      </w:r>
      <w:r>
        <w:rPr>
          <w:rFonts w:hint="eastAsia" w:ascii="宋体" w:hAnsi="宋体" w:eastAsia="宋体" w:cs="宋体"/>
        </w:rPr>
        <w:t xml:space="preserve"> 能效诊断实施阶段内容应包括：诊断建筑分类、确定基准建筑能耗指标、能效分级、分项能效诊断、能源管理诊断、出具能效诊断报告等。其具体流程可按附录</w:t>
      </w:r>
      <w:r>
        <w:rPr>
          <w:rFonts w:hint="eastAsia" w:ascii="Times New Roman" w:hAnsi="Times New Roman" w:cs="Times New Roman"/>
          <w:szCs w:val="21"/>
        </w:rPr>
        <w:t>A-2</w:t>
      </w:r>
      <w:r>
        <w:rPr>
          <w:rFonts w:hint="eastAsia" w:ascii="宋体" w:hAnsi="宋体" w:eastAsia="宋体" w:cs="宋体"/>
        </w:rPr>
        <w:t>执行。</w:t>
      </w:r>
    </w:p>
    <w:p w14:paraId="7EB9D8BC">
      <w:pPr>
        <w:pStyle w:val="3"/>
        <w:spacing w:line="360" w:lineRule="auto"/>
        <w:jc w:val="center"/>
        <w:rPr>
          <w:rFonts w:ascii="Times New Roman" w:hAnsi="Times New Roman" w:cs="Times New Roman"/>
          <w:sz w:val="28"/>
          <w:szCs w:val="28"/>
        </w:rPr>
      </w:pPr>
      <w:bookmarkStart w:id="73" w:name="_Toc19742"/>
      <w:bookmarkStart w:id="74" w:name="_Toc15026"/>
      <w:r>
        <w:rPr>
          <w:rFonts w:hint="eastAsia" w:ascii="Times New Roman" w:hAnsi="Times New Roman" w:eastAsia="宋体" w:cs="Times New Roman"/>
          <w:sz w:val="28"/>
          <w:szCs w:val="28"/>
        </w:rPr>
        <w:t>4.</w:t>
      </w:r>
      <w:r>
        <w:rPr>
          <w:rFonts w:ascii="Times New Roman" w:hAnsi="Times New Roman" w:eastAsia="宋体" w:cs="Times New Roman"/>
          <w:sz w:val="28"/>
          <w:szCs w:val="28"/>
        </w:rPr>
        <w:t>2</w:t>
      </w:r>
      <w:r>
        <w:rPr>
          <w:rFonts w:hint="eastAsia" w:ascii="Times New Roman" w:hAnsi="Times New Roman" w:eastAsia="宋体" w:cs="Times New Roman"/>
          <w:sz w:val="28"/>
          <w:szCs w:val="28"/>
        </w:rPr>
        <w:t xml:space="preserve"> 数据采集与处理</w:t>
      </w:r>
      <w:bookmarkEnd w:id="73"/>
      <w:bookmarkEnd w:id="74"/>
    </w:p>
    <w:p w14:paraId="439F59BC">
      <w:pPr>
        <w:widowControl/>
        <w:spacing w:line="360" w:lineRule="auto"/>
        <w:rPr>
          <w:rFonts w:ascii="宋体" w:hAnsi="宋体" w:eastAsia="宋体" w:cs="宋体"/>
        </w:rPr>
      </w:pPr>
      <w:r>
        <w:rPr>
          <w:rFonts w:hint="eastAsia" w:ascii="Times New Roman" w:hAnsi="Times New Roman" w:cs="Times New Roman"/>
          <w:szCs w:val="21"/>
        </w:rPr>
        <w:t xml:space="preserve">4.2.1 </w:t>
      </w:r>
      <w:r>
        <w:rPr>
          <w:rFonts w:hint="eastAsia" w:ascii="宋体" w:hAnsi="宋体" w:eastAsia="宋体" w:cs="宋体"/>
        </w:rPr>
        <w:t>建筑能效诊断应以实测能耗数据为依据。建筑能耗数据收集应符合下列规定：</w:t>
      </w:r>
    </w:p>
    <w:p w14:paraId="4CFC283F">
      <w:pPr>
        <w:widowControl/>
        <w:spacing w:line="360" w:lineRule="auto"/>
        <w:ind w:firstLine="420" w:firstLineChars="200"/>
        <w:rPr>
          <w:rFonts w:ascii="宋体" w:hAnsi="宋体" w:eastAsia="宋体" w:cs="宋体"/>
        </w:rPr>
      </w:pPr>
      <w:r>
        <w:rPr>
          <w:rFonts w:hint="eastAsia" w:ascii="Times New Roman" w:hAnsi="Times New Roman" w:cs="Times New Roman"/>
          <w:szCs w:val="21"/>
        </w:rPr>
        <w:t>1</w:t>
      </w:r>
      <w:r>
        <w:rPr>
          <w:rFonts w:hint="eastAsia" w:ascii="宋体" w:hAnsi="宋体" w:eastAsia="宋体" w:cs="宋体"/>
        </w:rPr>
        <w:t xml:space="preserve"> 电力消耗应采用电表计量数据进行统计，并宜采用电费账单进行校核；</w:t>
      </w:r>
    </w:p>
    <w:p w14:paraId="23CFB0FE">
      <w:pPr>
        <w:widowControl/>
        <w:spacing w:line="360" w:lineRule="auto"/>
        <w:ind w:firstLine="420" w:firstLineChars="200"/>
        <w:rPr>
          <w:rFonts w:ascii="宋体" w:hAnsi="宋体" w:eastAsia="宋体" w:cs="宋体"/>
        </w:rPr>
      </w:pPr>
      <w:r>
        <w:rPr>
          <w:rFonts w:hint="eastAsia" w:ascii="Times New Roman" w:hAnsi="Times New Roman" w:cs="Times New Roman"/>
          <w:szCs w:val="21"/>
        </w:rPr>
        <w:t>2</w:t>
      </w:r>
      <w:r>
        <w:rPr>
          <w:rFonts w:hint="eastAsia" w:ascii="宋体" w:hAnsi="宋体" w:eastAsia="宋体" w:cs="宋体"/>
        </w:rPr>
        <w:t xml:space="preserve"> 具备单独计量装置的外购热力消耗应采用热量表计量数据进行统计；</w:t>
      </w:r>
    </w:p>
    <w:p w14:paraId="13ECB00F">
      <w:pPr>
        <w:widowControl/>
        <w:spacing w:line="360" w:lineRule="auto"/>
        <w:ind w:firstLine="420" w:firstLineChars="200"/>
        <w:rPr>
          <w:rFonts w:ascii="宋体" w:hAnsi="宋体" w:eastAsia="宋体" w:cs="宋体"/>
        </w:rPr>
      </w:pPr>
      <w:r>
        <w:rPr>
          <w:rFonts w:hint="eastAsia" w:ascii="Times New Roman" w:hAnsi="Times New Roman" w:cs="Times New Roman"/>
          <w:szCs w:val="21"/>
        </w:rPr>
        <w:t>3</w:t>
      </w:r>
      <w:r>
        <w:rPr>
          <w:rFonts w:hint="eastAsia" w:ascii="宋体" w:hAnsi="宋体" w:eastAsia="宋体" w:cs="宋体"/>
        </w:rPr>
        <w:t xml:space="preserve"> 具备单独计量装置的外购冷量消耗应采用热量表计量数据进行统计；</w:t>
      </w:r>
    </w:p>
    <w:p w14:paraId="55A6FA33">
      <w:pPr>
        <w:widowControl/>
        <w:spacing w:line="360" w:lineRule="auto"/>
        <w:ind w:firstLine="420" w:firstLineChars="200"/>
        <w:rPr>
          <w:rFonts w:ascii="宋体" w:hAnsi="宋体" w:eastAsia="宋体" w:cs="宋体"/>
        </w:rPr>
      </w:pPr>
      <w:r>
        <w:rPr>
          <w:rFonts w:hint="eastAsia" w:ascii="Times New Roman" w:hAnsi="Times New Roman" w:cs="Times New Roman"/>
          <w:szCs w:val="21"/>
        </w:rPr>
        <w:t>4</w:t>
      </w:r>
      <w:r>
        <w:rPr>
          <w:rFonts w:hint="eastAsia" w:ascii="宋体" w:hAnsi="宋体" w:eastAsia="宋体" w:cs="宋体"/>
        </w:rPr>
        <w:t xml:space="preserve"> 水消耗应采用水表计量数据进行统计，并宜采用水费账单进行校核；</w:t>
      </w:r>
    </w:p>
    <w:p w14:paraId="0A274D48">
      <w:pPr>
        <w:widowControl/>
        <w:spacing w:line="360" w:lineRule="auto"/>
        <w:ind w:firstLine="420" w:firstLineChars="200"/>
        <w:rPr>
          <w:rFonts w:ascii="宋体" w:hAnsi="宋体" w:eastAsia="宋体" w:cs="宋体"/>
        </w:rPr>
      </w:pPr>
      <w:r>
        <w:rPr>
          <w:rFonts w:hint="eastAsia" w:ascii="Times New Roman" w:hAnsi="Times New Roman" w:cs="Times New Roman"/>
          <w:szCs w:val="21"/>
        </w:rPr>
        <w:t>5</w:t>
      </w:r>
      <w:r>
        <w:rPr>
          <w:rFonts w:hint="eastAsia" w:ascii="宋体" w:hAnsi="宋体" w:eastAsia="宋体" w:cs="宋体"/>
        </w:rPr>
        <w:t xml:space="preserve"> 不具备外购热力消耗单独计量装置的建筑应根据能源账单对整个供暖季热力消耗量进行拆分统计；</w:t>
      </w:r>
    </w:p>
    <w:p w14:paraId="7587E874">
      <w:pPr>
        <w:widowControl/>
        <w:spacing w:line="360" w:lineRule="auto"/>
        <w:ind w:firstLine="420" w:firstLineChars="200"/>
        <w:rPr>
          <w:rFonts w:ascii="宋体" w:hAnsi="宋体" w:eastAsia="宋体" w:cs="宋体"/>
        </w:rPr>
      </w:pPr>
      <w:r>
        <w:rPr>
          <w:rFonts w:hint="eastAsia" w:ascii="Times New Roman" w:hAnsi="Times New Roman" w:cs="Times New Roman"/>
          <w:szCs w:val="21"/>
        </w:rPr>
        <w:t>6</w:t>
      </w:r>
      <w:r>
        <w:rPr>
          <w:rFonts w:hint="eastAsia" w:ascii="宋体" w:hAnsi="宋体" w:eastAsia="宋体" w:cs="宋体"/>
        </w:rPr>
        <w:t xml:space="preserve"> 不具备外购冷量消耗单独计量装置的建筑应根据能源账单对整个供冷季冷量消耗量进行拆分统计；</w:t>
      </w:r>
    </w:p>
    <w:p w14:paraId="6A27B99A">
      <w:pPr>
        <w:widowControl/>
        <w:spacing w:line="360" w:lineRule="auto"/>
        <w:ind w:firstLine="420" w:firstLineChars="200"/>
        <w:rPr>
          <w:rFonts w:ascii="宋体" w:hAnsi="宋体" w:eastAsia="宋体" w:cs="宋体"/>
        </w:rPr>
      </w:pPr>
      <w:r>
        <w:rPr>
          <w:rFonts w:hint="eastAsia" w:ascii="Times New Roman" w:hAnsi="Times New Roman" w:cs="Times New Roman"/>
          <w:szCs w:val="21"/>
        </w:rPr>
        <w:t>7</w:t>
      </w:r>
      <w:r>
        <w:rPr>
          <w:rFonts w:hint="eastAsia" w:ascii="宋体" w:hAnsi="宋体" w:eastAsia="宋体" w:cs="宋体"/>
        </w:rPr>
        <w:t xml:space="preserve"> 燃气消耗应采用燃气表计量数据进行统计；</w:t>
      </w:r>
    </w:p>
    <w:p w14:paraId="13F56045">
      <w:pPr>
        <w:widowControl/>
        <w:spacing w:line="360" w:lineRule="auto"/>
        <w:ind w:firstLine="420" w:firstLineChars="200"/>
        <w:rPr>
          <w:rFonts w:ascii="宋体" w:hAnsi="宋体" w:eastAsia="宋体" w:cs="宋体"/>
        </w:rPr>
      </w:pPr>
      <w:r>
        <w:rPr>
          <w:rFonts w:hint="eastAsia" w:ascii="Times New Roman" w:hAnsi="Times New Roman" w:cs="Times New Roman"/>
          <w:szCs w:val="21"/>
        </w:rPr>
        <w:t>8</w:t>
      </w:r>
      <w:r>
        <w:rPr>
          <w:rFonts w:hint="eastAsia" w:ascii="宋体" w:hAnsi="宋体" w:eastAsia="宋体" w:cs="宋体"/>
        </w:rPr>
        <w:t xml:space="preserve"> 不具备燃气消耗抄表数据的建筑可根据燃气账单日均耗气量估算；</w:t>
      </w:r>
    </w:p>
    <w:p w14:paraId="77C42045">
      <w:pPr>
        <w:widowControl/>
        <w:spacing w:line="360" w:lineRule="auto"/>
        <w:ind w:firstLine="420" w:firstLineChars="200"/>
        <w:rPr>
          <w:rFonts w:ascii="宋体" w:hAnsi="宋体" w:eastAsia="宋体" w:cs="宋体"/>
        </w:rPr>
      </w:pPr>
      <w:r>
        <w:rPr>
          <w:rFonts w:hint="eastAsia" w:ascii="Times New Roman" w:hAnsi="Times New Roman" w:cs="Times New Roman"/>
          <w:szCs w:val="21"/>
        </w:rPr>
        <w:t>9</w:t>
      </w:r>
      <w:r>
        <w:rPr>
          <w:rFonts w:hint="eastAsia" w:ascii="宋体" w:hAnsi="宋体" w:eastAsia="宋体" w:cs="宋体"/>
        </w:rPr>
        <w:t xml:space="preserve"> 设有燃油设施的建筑，燃油消耗量可根据账单进行估算。</w:t>
      </w:r>
    </w:p>
    <w:p w14:paraId="3DB2E85D">
      <w:pPr>
        <w:widowControl/>
        <w:spacing w:line="360" w:lineRule="auto"/>
        <w:rPr>
          <w:rFonts w:ascii="宋体" w:hAnsi="宋体" w:eastAsia="宋体" w:cs="宋体"/>
        </w:rPr>
      </w:pPr>
      <w:r>
        <w:rPr>
          <w:rFonts w:hint="eastAsia" w:ascii="Times New Roman" w:hAnsi="Times New Roman" w:cs="Times New Roman"/>
          <w:szCs w:val="21"/>
        </w:rPr>
        <w:t>4.2.2</w:t>
      </w:r>
      <w:r>
        <w:rPr>
          <w:rFonts w:hint="eastAsia" w:ascii="宋体" w:hAnsi="宋体" w:eastAsia="宋体" w:cs="宋体"/>
        </w:rPr>
        <w:t xml:space="preserve"> 公共建筑能效诊断应通过建筑能效监管系统获取建筑能耗分类和分项数据。参与能效诊断的公共建筑宜具备建筑能效监管系统。</w:t>
      </w:r>
    </w:p>
    <w:p w14:paraId="094B1389">
      <w:pPr>
        <w:spacing w:line="360" w:lineRule="auto"/>
        <w:rPr>
          <w:rFonts w:ascii="宋体" w:hAnsi="宋体" w:eastAsia="宋体" w:cs="宋体"/>
        </w:rPr>
      </w:pPr>
      <w:r>
        <w:rPr>
          <w:rFonts w:hint="eastAsia" w:ascii="Times New Roman" w:hAnsi="Times New Roman" w:cs="Times New Roman"/>
          <w:szCs w:val="21"/>
        </w:rPr>
        <w:t>4.2.3</w:t>
      </w:r>
      <w:r>
        <w:rPr>
          <w:rFonts w:hint="eastAsia" w:ascii="宋体" w:hAnsi="宋体" w:eastAsia="宋体" w:cs="宋体"/>
        </w:rPr>
        <w:t xml:space="preserve"> 建筑内的能耗采集数据由分类能耗和分项能耗组成，能效监管系统应具备将建筑分类和分项能耗数据上传至相应的建筑能效监管平台的能力。分类和分项能耗的要求应符合有关标准的规定。</w:t>
      </w:r>
    </w:p>
    <w:p w14:paraId="33A89E16">
      <w:pPr>
        <w:spacing w:line="360" w:lineRule="auto"/>
        <w:rPr>
          <w:rFonts w:ascii="宋体" w:hAnsi="宋体" w:eastAsia="宋体" w:cs="宋体"/>
        </w:rPr>
      </w:pPr>
      <w:r>
        <w:rPr>
          <w:rFonts w:hint="eastAsia" w:ascii="Times New Roman" w:hAnsi="Times New Roman" w:cs="Times New Roman"/>
          <w:szCs w:val="21"/>
        </w:rPr>
        <w:t>4.2.4</w:t>
      </w:r>
      <w:r>
        <w:rPr>
          <w:rFonts w:hint="eastAsia" w:ascii="宋体" w:hAnsi="宋体" w:eastAsia="宋体" w:cs="宋体"/>
        </w:rPr>
        <w:t>公共建筑能效监管系统的能耗数据应采用不同数据源，通过多次数据采集、验证等方法进行数据核准，获取数据的基准平均值。数据源可包括能源账单、现场抄表数据、运行记录、建筑图纸等。数据核准可采用数据对比、现场核查、现场测试等方法。</w:t>
      </w:r>
    </w:p>
    <w:p w14:paraId="48DB04FE">
      <w:pPr>
        <w:spacing w:line="360" w:lineRule="auto"/>
        <w:rPr>
          <w:rFonts w:ascii="宋体" w:hAnsi="宋体" w:eastAsia="宋体" w:cs="宋体"/>
        </w:rPr>
      </w:pPr>
      <w:r>
        <w:rPr>
          <w:rFonts w:hint="eastAsia" w:ascii="Times New Roman" w:hAnsi="Times New Roman" w:cs="Times New Roman"/>
          <w:szCs w:val="21"/>
        </w:rPr>
        <w:t>4.2.5</w:t>
      </w:r>
      <w:r>
        <w:rPr>
          <w:rFonts w:hint="eastAsia" w:ascii="宋体" w:hAnsi="宋体" w:eastAsia="宋体" w:cs="宋体"/>
        </w:rPr>
        <w:t xml:space="preserve"> 公共建筑能效监管系统应能对能耗数据中存在的异常、缺失、错位等数据进行异常数据剔除、缺失数据修复操作。</w:t>
      </w:r>
    </w:p>
    <w:p w14:paraId="488536E8">
      <w:pPr>
        <w:spacing w:line="360" w:lineRule="auto"/>
        <w:rPr>
          <w:rFonts w:ascii="宋体" w:hAnsi="宋体" w:eastAsia="宋体" w:cs="宋体"/>
          <w:highlight w:val="yellow"/>
        </w:rPr>
      </w:pPr>
      <w:r>
        <w:rPr>
          <w:rFonts w:hint="eastAsia" w:ascii="Times New Roman" w:hAnsi="Times New Roman" w:cs="Times New Roman"/>
          <w:szCs w:val="21"/>
        </w:rPr>
        <w:t>4.2.6</w:t>
      </w:r>
      <w:r>
        <w:rPr>
          <w:rFonts w:hint="eastAsia" w:ascii="宋体" w:hAnsi="宋体" w:eastAsia="宋体" w:cs="宋体"/>
        </w:rPr>
        <w:t xml:space="preserve"> 公共建筑能耗数据监测、传输、处理和系统配置还应符合地方标准《公共建筑能耗监测系统技术规范》</w:t>
      </w:r>
      <w:r>
        <w:rPr>
          <w:rFonts w:hint="eastAsia" w:ascii="Times New Roman" w:hAnsi="Times New Roman" w:cs="Times New Roman"/>
          <w:szCs w:val="21"/>
        </w:rPr>
        <w:t>DB34/T 1922</w:t>
      </w:r>
      <w:r>
        <w:rPr>
          <w:rFonts w:hint="eastAsia" w:ascii="宋体" w:hAnsi="宋体" w:eastAsia="宋体" w:cs="宋体"/>
        </w:rPr>
        <w:t>等有关标准的规定。</w:t>
      </w:r>
    </w:p>
    <w:bookmarkEnd w:id="70"/>
    <w:p w14:paraId="14912AC3">
      <w:pPr>
        <w:spacing w:line="360" w:lineRule="auto"/>
        <w:rPr>
          <w:rFonts w:ascii="Times New Roman" w:hAnsi="Times New Roman" w:cs="Times New Roman"/>
          <w:sz w:val="30"/>
          <w:szCs w:val="30"/>
        </w:rPr>
      </w:pPr>
      <w:r>
        <w:rPr>
          <w:rFonts w:ascii="Times New Roman" w:hAnsi="Times New Roman" w:cs="Times New Roman"/>
          <w:sz w:val="30"/>
          <w:szCs w:val="30"/>
        </w:rPr>
        <w:br w:type="page"/>
      </w:r>
    </w:p>
    <w:p w14:paraId="036D9C62">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75" w:name="_Toc15424"/>
      <w:bookmarkStart w:id="76" w:name="_Toc5306"/>
      <w:r>
        <w:rPr>
          <w:rFonts w:ascii="Times New Roman" w:hAnsi="Times New Roman" w:cs="Times New Roman"/>
          <w:color w:val="000000" w:themeColor="text1"/>
          <w:sz w:val="30"/>
          <w:szCs w:val="30"/>
          <w14:textFill>
            <w14:solidFill>
              <w14:schemeClr w14:val="tx1"/>
            </w14:solidFill>
          </w14:textFill>
        </w:rPr>
        <w:t>5 能效诊断</w:t>
      </w:r>
      <w:bookmarkEnd w:id="75"/>
      <w:bookmarkEnd w:id="76"/>
    </w:p>
    <w:p w14:paraId="126EFB8E">
      <w:pPr>
        <w:pStyle w:val="3"/>
        <w:jc w:val="center"/>
        <w:rPr>
          <w:rFonts w:ascii="Times New Roman" w:hAnsi="Times New Roman" w:eastAsia="宋体" w:cs="Times New Roman"/>
          <w:sz w:val="28"/>
          <w:szCs w:val="28"/>
        </w:rPr>
      </w:pPr>
      <w:bookmarkStart w:id="77" w:name="_Toc1905"/>
      <w:bookmarkStart w:id="78" w:name="_Toc10064"/>
      <w:r>
        <w:rPr>
          <w:rFonts w:hint="eastAsia" w:ascii="Times New Roman" w:hAnsi="Times New Roman" w:eastAsia="宋体" w:cs="Times New Roman"/>
          <w:sz w:val="28"/>
          <w:szCs w:val="28"/>
        </w:rPr>
        <w:t>5.1 能效分级</w:t>
      </w:r>
      <w:bookmarkEnd w:id="77"/>
      <w:bookmarkEnd w:id="78"/>
    </w:p>
    <w:p w14:paraId="4F6EF379">
      <w:pPr>
        <w:spacing w:line="360" w:lineRule="auto"/>
        <w:jc w:val="left"/>
        <w:rPr>
          <w:rFonts w:ascii="Times New Roman" w:hAnsi="Times New Roman" w:eastAsia="楷体" w:cs="Times New Roman"/>
          <w:iCs/>
          <w:szCs w:val="21"/>
        </w:rPr>
      </w:pPr>
      <w:r>
        <w:rPr>
          <w:rFonts w:hint="eastAsia" w:ascii="Times New Roman" w:hAnsi="Times New Roman" w:cs="Times New Roman"/>
          <w:szCs w:val="21"/>
        </w:rPr>
        <w:t>5.1.1</w:t>
      </w:r>
      <w:r>
        <w:rPr>
          <w:rFonts w:hint="eastAsia" w:ascii="宋体" w:hAnsi="宋体" w:eastAsia="宋体" w:cs="宋体"/>
          <w:szCs w:val="21"/>
        </w:rPr>
        <w:t xml:space="preserve"> 能效分级应综合考虑公共建筑类型、规模、等级、运营及所属气候区域，根据综合能</w:t>
      </w:r>
      <w:r>
        <w:rPr>
          <w:rFonts w:ascii="宋体" w:hAnsi="宋体" w:eastAsia="宋体" w:cs="宋体"/>
          <w:szCs w:val="21"/>
        </w:rPr>
        <w:t>耗</w:t>
      </w:r>
      <w:r>
        <w:rPr>
          <w:rFonts w:hint="eastAsia" w:ascii="宋体" w:hAnsi="宋体" w:eastAsia="宋体" w:cs="宋体"/>
          <w:color w:val="0D0D0D"/>
          <w:szCs w:val="21"/>
          <w:shd w:val="clear" w:color="auto" w:fill="FFFFFF"/>
        </w:rPr>
        <w:t>将建筑的能效水平划分为不同等级</w:t>
      </w:r>
      <w:r>
        <w:rPr>
          <w:rFonts w:hint="eastAsia" w:ascii="宋体" w:hAnsi="宋体" w:eastAsia="宋体" w:cs="宋体"/>
          <w:szCs w:val="21"/>
        </w:rPr>
        <w:t>。</w:t>
      </w:r>
    </w:p>
    <w:p w14:paraId="0497CC72">
      <w:pPr>
        <w:spacing w:line="360" w:lineRule="auto"/>
        <w:jc w:val="left"/>
        <w:rPr>
          <w:rFonts w:ascii="宋体" w:hAnsi="宋体" w:eastAsia="宋体" w:cs="宋体"/>
          <w:szCs w:val="21"/>
        </w:rPr>
      </w:pPr>
      <w:r>
        <w:rPr>
          <w:rFonts w:hint="eastAsia" w:ascii="Times New Roman" w:hAnsi="Times New Roman" w:cs="Times New Roman"/>
          <w:szCs w:val="21"/>
        </w:rPr>
        <w:t>5.1.2</w:t>
      </w:r>
      <w:r>
        <w:rPr>
          <w:rFonts w:hint="eastAsia" w:ascii="宋体" w:hAnsi="宋体" w:eastAsia="宋体" w:cs="宋体"/>
          <w:szCs w:val="21"/>
        </w:rPr>
        <w:t xml:space="preserve"> 公共建筑能效分级通过能效得分评定，能效得分应按式</w:t>
      </w:r>
      <w:r>
        <w:rPr>
          <w:rFonts w:hint="eastAsia" w:ascii="Times New Roman" w:hAnsi="Times New Roman" w:cs="Times New Roman"/>
          <w:szCs w:val="21"/>
        </w:rPr>
        <w:t>（5.1.2）</w:t>
      </w:r>
      <w:r>
        <w:rPr>
          <w:rFonts w:hint="eastAsia" w:ascii="宋体" w:hAnsi="宋体" w:eastAsia="宋体" w:cs="宋体"/>
          <w:szCs w:val="21"/>
        </w:rPr>
        <w:t>进行计算：</w:t>
      </w:r>
    </w:p>
    <w:p w14:paraId="6A06EF22">
      <w:pPr>
        <w:spacing w:line="360" w:lineRule="auto"/>
        <w:jc w:val="right"/>
        <w:rPr>
          <w:rFonts w:ascii="宋体" w:hAnsi="宋体" w:eastAsia="宋体" w:cs="宋体"/>
          <w:szCs w:val="21"/>
        </w:rPr>
      </w:pPr>
      <w:r>
        <w:rPr>
          <w:rFonts w:hint="eastAsia" w:ascii="宋体" w:hAnsi="宋体" w:eastAsia="宋体" w:cs="宋体"/>
          <w:position w:val="-32"/>
          <w:szCs w:val="21"/>
        </w:rPr>
        <w:object>
          <v:shape id="_x0000_i1025" o:spt="75" type="#_x0000_t75" style="height:34.05pt;width:175.95pt;" o:ole="t" filled="f" o:preferrelative="t" stroked="f" coordsize="21600,21600">
            <v:path/>
            <v:fill on="f" focussize="0,0"/>
            <v:stroke on="f" joinstyle="miter"/>
            <v:imagedata r:id="rId12" o:title=""/>
            <o:lock v:ext="edit" aspectratio="t"/>
            <w10:wrap type="none"/>
            <w10:anchorlock/>
          </v:shape>
          <o:OLEObject Type="Embed" ProgID="Equation.KSEE3" ShapeID="_x0000_i1025" DrawAspect="Content" ObjectID="_1468075725" r:id="rId11">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Times New Roman" w:hAnsi="Times New Roman" w:cs="Times New Roman"/>
          <w:szCs w:val="21"/>
        </w:rPr>
        <w:t>（5.1.2）</w:t>
      </w:r>
    </w:p>
    <w:p w14:paraId="6770A534">
      <w:pPr>
        <w:spacing w:line="360" w:lineRule="auto"/>
        <w:ind w:firstLine="420" w:firstLineChars="200"/>
        <w:jc w:val="left"/>
        <w:rPr>
          <w:rFonts w:ascii="宋体" w:hAnsi="宋体" w:eastAsia="宋体" w:cs="宋体"/>
          <w:szCs w:val="21"/>
        </w:rPr>
      </w:pPr>
      <w:r>
        <w:rPr>
          <w:rFonts w:hint="eastAsia" w:ascii="宋体" w:hAnsi="宋体" w:eastAsia="宋体" w:cs="宋体"/>
          <w:szCs w:val="21"/>
        </w:rPr>
        <w:t>式中：</w:t>
      </w:r>
    </w:p>
    <w:p w14:paraId="5C8394B0">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Score</w:t>
      </w:r>
      <w:r>
        <w:rPr>
          <w:rFonts w:hint="eastAsia" w:ascii="宋体" w:hAnsi="宋体" w:eastAsia="宋体" w:cs="宋体"/>
          <w:szCs w:val="21"/>
        </w:rPr>
        <w:t>——公共建筑能效得分；</w:t>
      </w:r>
    </w:p>
    <w:p w14:paraId="454E4CEE">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E</w:t>
      </w:r>
      <w:r>
        <w:rPr>
          <w:rFonts w:hint="eastAsia" w:ascii="宋体" w:hAnsi="宋体" w:eastAsia="宋体" w:cs="宋体"/>
          <w:i/>
          <w:iCs/>
          <w:szCs w:val="21"/>
          <w:vertAlign w:val="subscript"/>
        </w:rPr>
        <w:t>ce</w:t>
      </w:r>
      <w:r>
        <w:rPr>
          <w:rFonts w:hint="eastAsia" w:ascii="宋体" w:hAnsi="宋体" w:eastAsia="宋体" w:cs="宋体"/>
          <w:szCs w:val="21"/>
        </w:rPr>
        <w:t>——公共建筑综合能耗指标，</w:t>
      </w:r>
      <w:r>
        <w:rPr>
          <w:rFonts w:hint="eastAsia" w:ascii="Times New Roman" w:hAnsi="Times New Roman" w:cs="Times New Roman"/>
          <w:szCs w:val="21"/>
        </w:rPr>
        <w:t>kWh/(㎡·a)</w:t>
      </w:r>
      <w:r>
        <w:rPr>
          <w:rFonts w:hint="eastAsia" w:ascii="宋体" w:hAnsi="宋体" w:eastAsia="宋体" w:cs="宋体"/>
          <w:szCs w:val="21"/>
        </w:rPr>
        <w:t>；</w:t>
      </w:r>
    </w:p>
    <w:p w14:paraId="520806EC">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E</w:t>
      </w:r>
      <w:r>
        <w:rPr>
          <w:rFonts w:hint="eastAsia" w:ascii="宋体" w:hAnsi="宋体" w:eastAsia="宋体" w:cs="宋体"/>
          <w:i/>
          <w:iCs/>
          <w:szCs w:val="21"/>
          <w:vertAlign w:val="subscript"/>
        </w:rPr>
        <w:t>st</w:t>
      </w:r>
      <w:r>
        <w:rPr>
          <w:rFonts w:hint="eastAsia" w:ascii="宋体" w:hAnsi="宋体" w:eastAsia="宋体" w:cs="宋体"/>
          <w:szCs w:val="21"/>
        </w:rPr>
        <w:t>——基准建筑能耗指标，</w:t>
      </w:r>
      <w:r>
        <w:rPr>
          <w:rFonts w:hint="eastAsia" w:ascii="Times New Roman" w:hAnsi="Times New Roman" w:cs="Times New Roman"/>
          <w:szCs w:val="21"/>
        </w:rPr>
        <w:t>kWh/(㎡·a)</w:t>
      </w:r>
      <w:r>
        <w:rPr>
          <w:rFonts w:hint="eastAsia" w:ascii="宋体" w:hAnsi="宋体" w:eastAsia="宋体" w:cs="宋体"/>
          <w:szCs w:val="21"/>
        </w:rPr>
        <w:t>。</w:t>
      </w:r>
    </w:p>
    <w:p w14:paraId="6C1CFBFD">
      <w:pPr>
        <w:spacing w:line="360" w:lineRule="auto"/>
        <w:jc w:val="left"/>
        <w:rPr>
          <w:rFonts w:ascii="宋体" w:hAnsi="宋体" w:eastAsia="宋体" w:cs="宋体"/>
          <w:szCs w:val="21"/>
        </w:rPr>
      </w:pPr>
      <w:r>
        <w:rPr>
          <w:rFonts w:hint="eastAsia" w:ascii="Times New Roman" w:hAnsi="Times New Roman" w:cs="Times New Roman"/>
          <w:szCs w:val="21"/>
        </w:rPr>
        <w:t>5.1.3</w:t>
      </w:r>
      <w:r>
        <w:rPr>
          <w:rFonts w:hint="eastAsia" w:ascii="宋体" w:hAnsi="宋体" w:eastAsia="宋体" w:cs="宋体"/>
          <w:szCs w:val="21"/>
        </w:rPr>
        <w:t xml:space="preserve"> 公共建筑能效诊断的综合能耗指标</w:t>
      </w:r>
      <w:r>
        <w:rPr>
          <w:rFonts w:hint="eastAsia" w:ascii="宋体" w:hAnsi="宋体" w:eastAsia="宋体" w:cs="宋体"/>
          <w:i/>
          <w:iCs/>
          <w:szCs w:val="21"/>
        </w:rPr>
        <w:t>E</w:t>
      </w:r>
      <w:r>
        <w:rPr>
          <w:rFonts w:hint="eastAsia" w:ascii="宋体" w:hAnsi="宋体" w:eastAsia="宋体" w:cs="宋体"/>
          <w:i/>
          <w:iCs/>
          <w:szCs w:val="21"/>
          <w:vertAlign w:val="subscript"/>
        </w:rPr>
        <w:t>ce</w:t>
      </w:r>
      <w:r>
        <w:rPr>
          <w:rFonts w:hint="eastAsia" w:ascii="宋体" w:hAnsi="宋体" w:eastAsia="宋体" w:cs="宋体"/>
          <w:szCs w:val="21"/>
        </w:rPr>
        <w:t>应根据式</w:t>
      </w:r>
      <w:r>
        <w:rPr>
          <w:rFonts w:hint="eastAsia" w:ascii="Times New Roman" w:hAnsi="Times New Roman" w:cs="Times New Roman"/>
          <w:szCs w:val="21"/>
        </w:rPr>
        <w:t>（5.1.3）</w:t>
      </w:r>
      <w:r>
        <w:rPr>
          <w:rFonts w:hint="eastAsia" w:ascii="宋体" w:hAnsi="宋体" w:eastAsia="宋体" w:cs="宋体"/>
          <w:szCs w:val="21"/>
        </w:rPr>
        <w:t>进行计算：</w:t>
      </w:r>
    </w:p>
    <w:p w14:paraId="45795A7B">
      <w:pPr>
        <w:spacing w:line="360" w:lineRule="auto"/>
        <w:jc w:val="right"/>
        <w:rPr>
          <w:rFonts w:ascii="宋体" w:hAnsi="宋体" w:eastAsia="宋体" w:cs="宋体"/>
          <w:szCs w:val="21"/>
        </w:rPr>
      </w:pPr>
      <w:r>
        <w:rPr>
          <w:rFonts w:hint="eastAsia" w:ascii="宋体" w:hAnsi="宋体" w:eastAsia="宋体" w:cs="宋体"/>
          <w:position w:val="-24"/>
          <w:szCs w:val="21"/>
        </w:rPr>
        <w:object>
          <v:shape id="_x0000_i1026" o:spt="75" type="#_x0000_t75" style="height:31pt;width:44pt;" o:ole="t" filled="f" o:preferrelative="t" stroked="f" coordsize="21600,21600">
            <v:path/>
            <v:fill on="f" focussize="0,0"/>
            <v:stroke on="f" joinstyle="miter"/>
            <v:imagedata r:id="rId14" o:title=""/>
            <o:lock v:ext="edit" aspectratio="t"/>
            <w10:wrap type="none"/>
            <w10:anchorlock/>
          </v:shape>
          <o:OLEObject Type="Embed" ProgID="Equation.KSEE3" ShapeID="_x0000_i1026" DrawAspect="Content" ObjectID="_1468075726" r:id="rId13">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Times New Roman" w:hAnsi="Times New Roman" w:cs="Times New Roman"/>
          <w:szCs w:val="21"/>
        </w:rPr>
        <w:t>（5.1.3）</w:t>
      </w:r>
    </w:p>
    <w:p w14:paraId="1777EE5D">
      <w:pPr>
        <w:spacing w:line="360" w:lineRule="auto"/>
        <w:ind w:firstLine="420" w:firstLineChars="200"/>
        <w:jc w:val="left"/>
        <w:rPr>
          <w:rFonts w:ascii="宋体" w:hAnsi="宋体" w:eastAsia="宋体" w:cs="宋体"/>
          <w:szCs w:val="21"/>
        </w:rPr>
      </w:pPr>
      <w:r>
        <w:rPr>
          <w:rFonts w:hint="eastAsia" w:ascii="宋体" w:hAnsi="宋体" w:eastAsia="宋体" w:cs="宋体"/>
          <w:szCs w:val="21"/>
        </w:rPr>
        <w:t>式中：</w:t>
      </w:r>
    </w:p>
    <w:p w14:paraId="5A39EDE2">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E</w:t>
      </w:r>
      <w:r>
        <w:rPr>
          <w:rFonts w:hint="eastAsia" w:ascii="宋体" w:hAnsi="宋体" w:eastAsia="宋体" w:cs="宋体"/>
          <w:i/>
          <w:iCs/>
          <w:szCs w:val="21"/>
          <w:vertAlign w:val="subscript"/>
        </w:rPr>
        <w:t>t</w:t>
      </w:r>
      <w:r>
        <w:rPr>
          <w:rFonts w:hint="eastAsia" w:ascii="宋体" w:hAnsi="宋体" w:eastAsia="宋体" w:cs="宋体"/>
          <w:szCs w:val="21"/>
        </w:rPr>
        <w:t>——公共建筑的综合能耗，</w:t>
      </w:r>
      <w:r>
        <w:rPr>
          <w:rFonts w:hint="eastAsia" w:ascii="Times New Roman" w:hAnsi="Times New Roman" w:cs="Times New Roman"/>
          <w:szCs w:val="21"/>
        </w:rPr>
        <w:t>kWh/a</w:t>
      </w:r>
      <w:r>
        <w:rPr>
          <w:rFonts w:hint="eastAsia" w:ascii="宋体" w:hAnsi="宋体" w:eastAsia="宋体" w:cs="宋体"/>
          <w:szCs w:val="21"/>
        </w:rPr>
        <w:t>；</w:t>
      </w:r>
    </w:p>
    <w:p w14:paraId="01554112">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A</w:t>
      </w:r>
      <w:r>
        <w:rPr>
          <w:rFonts w:hint="eastAsia" w:ascii="宋体" w:hAnsi="宋体" w:eastAsia="宋体" w:cs="宋体"/>
          <w:szCs w:val="21"/>
        </w:rPr>
        <w:t>——公共建筑面积，</w:t>
      </w:r>
      <w:r>
        <w:rPr>
          <w:rFonts w:hint="eastAsia" w:ascii="Times New Roman" w:hAnsi="Times New Roman" w:cs="Times New Roman"/>
          <w:szCs w:val="21"/>
        </w:rPr>
        <w:t>㎡</w:t>
      </w:r>
      <w:r>
        <w:rPr>
          <w:rFonts w:hint="eastAsia" w:ascii="宋体" w:hAnsi="宋体" w:eastAsia="宋体" w:cs="宋体"/>
          <w:szCs w:val="21"/>
        </w:rPr>
        <w:t>。</w:t>
      </w:r>
    </w:p>
    <w:p w14:paraId="2879AD38">
      <w:pPr>
        <w:spacing w:line="360" w:lineRule="auto"/>
        <w:jc w:val="left"/>
        <w:rPr>
          <w:rFonts w:ascii="宋体" w:hAnsi="宋体" w:eastAsia="宋体" w:cs="宋体"/>
          <w:szCs w:val="21"/>
        </w:rPr>
      </w:pPr>
      <w:r>
        <w:rPr>
          <w:rFonts w:hint="eastAsia" w:ascii="Times New Roman" w:hAnsi="Times New Roman" w:cs="Times New Roman"/>
          <w:szCs w:val="21"/>
        </w:rPr>
        <w:t xml:space="preserve">5.1.4 </w:t>
      </w:r>
      <w:r>
        <w:rPr>
          <w:rFonts w:hint="eastAsia" w:ascii="宋体" w:hAnsi="宋体" w:eastAsia="宋体" w:cs="宋体"/>
          <w:szCs w:val="21"/>
        </w:rPr>
        <w:t>建筑能效诊断的基准建筑应根据主要功能选取相应建筑类型的计算模型，基准建筑能耗计算应根据国家标准《民用建筑能耗标准》</w:t>
      </w:r>
      <w:r>
        <w:rPr>
          <w:rFonts w:hint="eastAsia" w:ascii="Times New Roman" w:hAnsi="Times New Roman" w:cs="Times New Roman"/>
          <w:szCs w:val="21"/>
        </w:rPr>
        <w:t>GB/T 51161和行业标准《建筑能效标识技术标准》JGJ/T 288等</w:t>
      </w:r>
      <w:r>
        <w:rPr>
          <w:rFonts w:hint="eastAsia" w:ascii="宋体" w:hAnsi="宋体" w:eastAsia="宋体" w:cs="宋体"/>
          <w:szCs w:val="21"/>
        </w:rPr>
        <w:t>的有关规定，并符合以下要求：</w:t>
      </w:r>
    </w:p>
    <w:p w14:paraId="40B9FDA3">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 xml:space="preserve">1 </w:t>
      </w:r>
      <w:r>
        <w:rPr>
          <w:rFonts w:hint="eastAsia" w:ascii="宋体" w:hAnsi="宋体" w:eastAsia="宋体" w:cs="宋体"/>
          <w:szCs w:val="21"/>
        </w:rPr>
        <w:t>应采取逐时能耗模拟平台、软件和工具，且气象资料应为全年逐时气象参数；</w:t>
      </w:r>
    </w:p>
    <w:p w14:paraId="556ABD66">
      <w:pPr>
        <w:spacing w:line="360" w:lineRule="auto"/>
        <w:ind w:firstLine="420" w:firstLineChars="200"/>
        <w:jc w:val="left"/>
        <w:rPr>
          <w:rFonts w:ascii="宋体" w:hAnsi="宋体" w:eastAsia="宋体" w:cs="宋体"/>
          <w:szCs w:val="21"/>
        </w:rPr>
      </w:pPr>
      <w:r>
        <w:rPr>
          <w:rFonts w:hint="eastAsia" w:ascii="Times New Roman" w:hAnsi="Times New Roman" w:cs="Times New Roman"/>
          <w:szCs w:val="21"/>
        </w:rPr>
        <w:t xml:space="preserve">2 </w:t>
      </w:r>
      <w:r>
        <w:rPr>
          <w:rFonts w:hint="eastAsia" w:ascii="宋体" w:hAnsi="宋体" w:eastAsia="宋体" w:cs="宋体"/>
          <w:szCs w:val="21"/>
        </w:rPr>
        <w:t>能耗模型应与诊断建筑能耗模型一致并采用相同的输入条件。</w:t>
      </w:r>
    </w:p>
    <w:p w14:paraId="1245B548">
      <w:pPr>
        <w:spacing w:line="360" w:lineRule="auto"/>
        <w:jc w:val="left"/>
        <w:rPr>
          <w:rFonts w:ascii="宋体" w:hAnsi="宋体" w:eastAsia="宋体" w:cs="宋体"/>
          <w:szCs w:val="21"/>
        </w:rPr>
      </w:pPr>
      <w:r>
        <w:rPr>
          <w:rFonts w:hint="eastAsia" w:ascii="Times New Roman" w:hAnsi="Times New Roman" w:cs="Times New Roman"/>
          <w:szCs w:val="21"/>
        </w:rPr>
        <w:t xml:space="preserve">5.1.5 </w:t>
      </w:r>
      <w:r>
        <w:rPr>
          <w:rFonts w:hint="eastAsia" w:ascii="宋体" w:hAnsi="宋体" w:eastAsia="宋体" w:cs="宋体"/>
          <w:szCs w:val="21"/>
        </w:rPr>
        <w:t>公共建筑能效诊断的基准建筑能耗指标宜结合能源使用状况进行周期性更新。诊断公共建筑基准能耗值不应大于建筑能耗指标约束值，不宜小于建筑能耗指标引导值。</w:t>
      </w:r>
    </w:p>
    <w:p w14:paraId="17A26113">
      <w:pPr>
        <w:widowControl/>
        <w:spacing w:line="360" w:lineRule="auto"/>
        <w:jc w:val="left"/>
        <w:rPr>
          <w:rFonts w:ascii="Times New Roman" w:hAnsi="Times New Roman" w:eastAsia="楷体" w:cs="Times New Roman"/>
          <w:iCs/>
          <w:szCs w:val="21"/>
        </w:rPr>
      </w:pPr>
      <w:r>
        <w:rPr>
          <w:rFonts w:hint="eastAsia" w:ascii="Times New Roman" w:hAnsi="Times New Roman" w:cs="Times New Roman"/>
          <w:szCs w:val="21"/>
        </w:rPr>
        <w:t>5.1.6</w:t>
      </w:r>
      <w:r>
        <w:rPr>
          <w:rFonts w:hint="eastAsia" w:ascii="宋体" w:hAnsi="宋体" w:eastAsia="宋体" w:cs="宋体"/>
          <w:szCs w:val="21"/>
        </w:rPr>
        <w:t xml:space="preserve"> 公共建筑能效诊断的实测值应根据基准建筑的功能、类型、运营和采用蓄冷等情况进行修正，修正范围、修正系数和修正计算应符合国家标准《民用建筑能耗标准》</w:t>
      </w:r>
      <w:r>
        <w:rPr>
          <w:rFonts w:hint="eastAsia" w:ascii="Times New Roman" w:hAnsi="Times New Roman" w:cs="Times New Roman"/>
          <w:szCs w:val="21"/>
        </w:rPr>
        <w:t>GB/T 51161</w:t>
      </w:r>
      <w:r>
        <w:rPr>
          <w:rFonts w:hint="eastAsia" w:ascii="宋体" w:hAnsi="宋体" w:eastAsia="宋体" w:cs="宋体"/>
          <w:szCs w:val="21"/>
        </w:rPr>
        <w:t xml:space="preserve"> 的规定。</w:t>
      </w:r>
    </w:p>
    <w:p w14:paraId="58CF7BBE">
      <w:pPr>
        <w:pStyle w:val="46"/>
        <w:spacing w:line="360" w:lineRule="auto"/>
        <w:ind w:firstLine="0" w:firstLineChars="0"/>
        <w:rPr>
          <w:rFonts w:ascii="宋体" w:hAnsi="宋体" w:eastAsia="宋体" w:cs="宋体"/>
        </w:rPr>
      </w:pPr>
      <w:r>
        <w:rPr>
          <w:rFonts w:hint="eastAsia" w:ascii="Times New Roman" w:hAnsi="Times New Roman"/>
        </w:rPr>
        <w:t xml:space="preserve">5.1.7 </w:t>
      </w:r>
      <w:r>
        <w:rPr>
          <w:rFonts w:hint="eastAsia" w:ascii="宋体" w:hAnsi="宋体" w:eastAsia="宋体" w:cs="宋体"/>
        </w:rPr>
        <w:t>参与诊断公共建筑统计年内的综合能耗的电力换算系数应符合《综合能耗计算通则》GB/T 2589等标准的规定。</w:t>
      </w:r>
    </w:p>
    <w:p w14:paraId="54F02648">
      <w:pPr>
        <w:spacing w:line="360" w:lineRule="auto"/>
        <w:jc w:val="left"/>
        <w:rPr>
          <w:rFonts w:ascii="宋体" w:hAnsi="宋体" w:eastAsia="宋体" w:cs="宋体"/>
          <w:position w:val="-30"/>
          <w:szCs w:val="21"/>
        </w:rPr>
      </w:pPr>
      <w:r>
        <w:rPr>
          <w:rFonts w:hint="eastAsia" w:ascii="Times New Roman" w:hAnsi="Times New Roman" w:cs="Times New Roman"/>
          <w:szCs w:val="21"/>
        </w:rPr>
        <w:t>5.1.8</w:t>
      </w:r>
      <w:r>
        <w:rPr>
          <w:rFonts w:hint="eastAsia" w:ascii="宋体" w:hAnsi="宋体" w:eastAsia="宋体" w:cs="宋体"/>
          <w:szCs w:val="21"/>
        </w:rPr>
        <w:t xml:space="preserve"> 公共建筑能效诊断统计年内的综合能耗</w:t>
      </w:r>
      <w:r>
        <w:rPr>
          <w:rFonts w:hint="eastAsia" w:ascii="宋体" w:hAnsi="宋体" w:eastAsia="宋体" w:cs="宋体"/>
          <w:i/>
          <w:iCs/>
          <w:szCs w:val="21"/>
        </w:rPr>
        <w:t>E</w:t>
      </w:r>
      <w:r>
        <w:rPr>
          <w:rFonts w:hint="eastAsia" w:ascii="宋体" w:hAnsi="宋体" w:eastAsia="宋体" w:cs="宋体"/>
          <w:i/>
          <w:iCs/>
          <w:szCs w:val="21"/>
          <w:vertAlign w:val="subscript"/>
        </w:rPr>
        <w:t>t</w:t>
      </w:r>
      <w:r>
        <w:rPr>
          <w:rFonts w:hint="eastAsia" w:ascii="宋体" w:hAnsi="宋体" w:eastAsia="宋体" w:cs="宋体"/>
          <w:szCs w:val="21"/>
        </w:rPr>
        <w:t>应按下式计算：</w:t>
      </w:r>
    </w:p>
    <w:p w14:paraId="4D7E3175">
      <w:pPr>
        <w:spacing w:line="360" w:lineRule="auto"/>
        <w:jc w:val="right"/>
        <w:rPr>
          <w:rFonts w:ascii="宋体" w:hAnsi="宋体" w:eastAsia="宋体" w:cs="宋体"/>
          <w:szCs w:val="21"/>
        </w:rPr>
      </w:pPr>
      <w:r>
        <w:rPr>
          <w:rFonts w:hint="eastAsia" w:ascii="宋体" w:hAnsi="宋体" w:eastAsia="宋体" w:cs="宋体"/>
          <w:position w:val="-30"/>
          <w:szCs w:val="21"/>
        </w:rPr>
        <w:object>
          <v:shape id="_x0000_i1027" o:spt="75" type="#_x0000_t75" style="height:36pt;width:112pt;" o:ole="t" filled="f" o:preferrelative="t" stroked="f" coordsize="21600,21600">
            <v:path/>
            <v:fill on="f" focussize="0,0"/>
            <v:stroke on="f" joinstyle="miter"/>
            <v:imagedata r:id="rId16" o:title=""/>
            <o:lock v:ext="edit" aspectratio="t"/>
            <w10:wrap type="none"/>
            <w10:anchorlock/>
          </v:shape>
          <o:OLEObject Type="Embed" ProgID="Equation.KSEE3" ShapeID="_x0000_i1027" DrawAspect="Content" ObjectID="_1468075727" r:id="rId15">
            <o:LockedField>false</o:LockedField>
          </o:OLEObject>
        </w:objec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Times New Roman" w:hAnsi="Times New Roman" w:cs="Times New Roman"/>
          <w:szCs w:val="21"/>
        </w:rPr>
        <w:t>（5.1.8）</w:t>
      </w:r>
    </w:p>
    <w:p w14:paraId="75C4375F">
      <w:pPr>
        <w:spacing w:line="360" w:lineRule="auto"/>
        <w:ind w:firstLine="420" w:firstLineChars="200"/>
        <w:jc w:val="left"/>
        <w:rPr>
          <w:rFonts w:ascii="宋体" w:hAnsi="宋体" w:eastAsia="宋体" w:cs="宋体"/>
          <w:szCs w:val="21"/>
        </w:rPr>
      </w:pPr>
      <w:r>
        <w:rPr>
          <w:rFonts w:hint="eastAsia" w:ascii="宋体" w:hAnsi="宋体" w:eastAsia="宋体" w:cs="宋体"/>
          <w:szCs w:val="21"/>
        </w:rPr>
        <w:t>式中：</w:t>
      </w:r>
    </w:p>
    <w:p w14:paraId="28EC0DD5">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m</w:t>
      </w:r>
      <w:r>
        <w:rPr>
          <w:rFonts w:hint="eastAsia" w:ascii="宋体" w:hAnsi="宋体" w:eastAsia="宋体" w:cs="宋体"/>
          <w:szCs w:val="21"/>
        </w:rPr>
        <w:t>——统计年的月份数（一般为</w:t>
      </w:r>
      <w:r>
        <w:rPr>
          <w:rFonts w:hint="eastAsia" w:ascii="Times New Roman" w:hAnsi="Times New Roman" w:cs="Times New Roman"/>
          <w:szCs w:val="21"/>
        </w:rPr>
        <w:t>12</w:t>
      </w:r>
      <w:r>
        <w:rPr>
          <w:rFonts w:hint="eastAsia" w:ascii="宋体" w:hAnsi="宋体" w:eastAsia="宋体" w:cs="宋体"/>
          <w:szCs w:val="21"/>
        </w:rPr>
        <w:t>个月）；</w:t>
      </w:r>
    </w:p>
    <w:p w14:paraId="43E51D65">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i</w:t>
      </w:r>
      <w:r>
        <w:rPr>
          <w:rFonts w:hint="eastAsia" w:ascii="宋体" w:hAnsi="宋体" w:eastAsia="宋体" w:cs="宋体"/>
          <w:szCs w:val="21"/>
        </w:rPr>
        <w:t>——月份序号；</w:t>
      </w:r>
    </w:p>
    <w:p w14:paraId="0E0628F8">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α</w:t>
      </w:r>
      <w:r>
        <w:rPr>
          <w:rFonts w:hint="eastAsia" w:ascii="宋体" w:hAnsi="宋体" w:eastAsia="宋体" w:cs="宋体"/>
          <w:i/>
          <w:iCs/>
          <w:szCs w:val="21"/>
          <w:vertAlign w:val="subscript"/>
        </w:rPr>
        <w:t>j</w:t>
      </w:r>
      <w:r>
        <w:rPr>
          <w:rFonts w:hint="eastAsia" w:ascii="宋体" w:hAnsi="宋体" w:eastAsia="宋体" w:cs="宋体"/>
          <w:szCs w:val="21"/>
        </w:rPr>
        <w:t>——第j分类能耗的电力折算系数，</w:t>
      </w:r>
      <w:r>
        <w:rPr>
          <w:rFonts w:hint="eastAsia" w:ascii="Times New Roman" w:hAnsi="Times New Roman" w:cs="Times New Roman"/>
          <w:szCs w:val="21"/>
        </w:rPr>
        <w:t>kWh/</w:t>
      </w:r>
      <w:r>
        <w:rPr>
          <w:rFonts w:hint="eastAsia" w:ascii="宋体" w:hAnsi="宋体" w:eastAsia="宋体" w:cs="宋体"/>
          <w:szCs w:val="21"/>
        </w:rPr>
        <w:t>单位；</w:t>
      </w:r>
    </w:p>
    <w:p w14:paraId="2EAAEC32">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E</w:t>
      </w:r>
      <w:r>
        <w:rPr>
          <w:rFonts w:hint="eastAsia" w:ascii="宋体" w:hAnsi="宋体" w:eastAsia="宋体" w:cs="宋体"/>
          <w:i/>
          <w:iCs/>
          <w:szCs w:val="21"/>
          <w:vertAlign w:val="subscript"/>
        </w:rPr>
        <w:t>j</w:t>
      </w:r>
      <w:r>
        <w:rPr>
          <w:rFonts w:hint="eastAsia" w:ascii="宋体" w:hAnsi="宋体" w:eastAsia="宋体" w:cs="宋体"/>
          <w:szCs w:val="21"/>
        </w:rPr>
        <w:t>——第j分类能耗的消耗量；</w:t>
      </w:r>
    </w:p>
    <w:p w14:paraId="287FF717">
      <w:pPr>
        <w:spacing w:line="360" w:lineRule="auto"/>
        <w:ind w:firstLine="420" w:firstLineChars="200"/>
        <w:jc w:val="left"/>
        <w:rPr>
          <w:rFonts w:ascii="宋体" w:hAnsi="宋体" w:eastAsia="宋体" w:cs="宋体"/>
          <w:szCs w:val="21"/>
        </w:rPr>
      </w:pPr>
      <w:r>
        <w:rPr>
          <w:rFonts w:hint="eastAsia" w:ascii="宋体" w:hAnsi="宋体" w:eastAsia="宋体" w:cs="宋体"/>
          <w:i/>
          <w:iCs/>
          <w:szCs w:val="21"/>
        </w:rPr>
        <w:t>E</w:t>
      </w:r>
      <w:r>
        <w:rPr>
          <w:rFonts w:hint="eastAsia" w:ascii="宋体" w:hAnsi="宋体" w:eastAsia="宋体" w:cs="宋体"/>
          <w:i/>
          <w:iCs/>
          <w:szCs w:val="21"/>
          <w:vertAlign w:val="subscript"/>
        </w:rPr>
        <w:t>out</w:t>
      </w:r>
      <w:r>
        <w:rPr>
          <w:rFonts w:hint="eastAsia" w:ascii="宋体" w:hAnsi="宋体" w:eastAsia="宋体" w:cs="宋体"/>
          <w:szCs w:val="21"/>
        </w:rPr>
        <w:t>——公共建筑非自身能耗量，</w:t>
      </w:r>
      <w:r>
        <w:rPr>
          <w:rFonts w:hint="eastAsia" w:ascii="Times New Roman" w:hAnsi="Times New Roman" w:cs="Times New Roman"/>
          <w:szCs w:val="21"/>
        </w:rPr>
        <w:t>kWh/a</w:t>
      </w:r>
      <w:r>
        <w:rPr>
          <w:rFonts w:hint="eastAsia" w:ascii="宋体" w:hAnsi="宋体" w:eastAsia="宋体" w:cs="宋体"/>
          <w:szCs w:val="21"/>
        </w:rPr>
        <w:t>。</w:t>
      </w:r>
    </w:p>
    <w:p w14:paraId="50E524A5">
      <w:pPr>
        <w:tabs>
          <w:tab w:val="left" w:pos="459"/>
        </w:tabs>
        <w:spacing w:line="360" w:lineRule="auto"/>
        <w:rPr>
          <w:rFonts w:ascii="宋体" w:hAnsi="宋体" w:eastAsia="宋体" w:cs="宋体"/>
          <w:szCs w:val="21"/>
        </w:rPr>
      </w:pPr>
      <w:r>
        <w:rPr>
          <w:rFonts w:hint="eastAsia" w:ascii="Times New Roman" w:hAnsi="Times New Roman" w:cs="Times New Roman"/>
          <w:szCs w:val="21"/>
        </w:rPr>
        <w:t xml:space="preserve">5.1.9 </w:t>
      </w:r>
      <w:r>
        <w:rPr>
          <w:rFonts w:hint="eastAsia" w:ascii="宋体" w:hAnsi="宋体" w:eastAsia="宋体" w:cs="宋体"/>
          <w:szCs w:val="21"/>
        </w:rPr>
        <w:t>根据能效得分</w:t>
      </w:r>
      <w:r>
        <w:rPr>
          <w:rFonts w:hint="eastAsia" w:ascii="宋体" w:hAnsi="宋体" w:eastAsia="宋体" w:cs="宋体"/>
          <w:i/>
          <w:iCs/>
          <w:szCs w:val="21"/>
        </w:rPr>
        <w:t>Score</w:t>
      </w:r>
      <w:r>
        <w:rPr>
          <w:rFonts w:hint="eastAsia" w:ascii="宋体" w:hAnsi="宋体" w:eastAsia="宋体" w:cs="宋体"/>
          <w:szCs w:val="21"/>
        </w:rPr>
        <w:t>将公共建筑能效分为</w:t>
      </w:r>
      <w:r>
        <w:rPr>
          <w:rFonts w:hint="eastAsia" w:ascii="Times New Roman" w:hAnsi="Times New Roman" w:cs="Times New Roman"/>
          <w:szCs w:val="21"/>
        </w:rPr>
        <w:t>4</w:t>
      </w:r>
      <w:r>
        <w:rPr>
          <w:rFonts w:hint="eastAsia" w:ascii="宋体" w:hAnsi="宋体" w:eastAsia="宋体" w:cs="宋体"/>
          <w:szCs w:val="21"/>
        </w:rPr>
        <w:t>个不同等级，按照能效高低分为</w:t>
      </w:r>
      <w:r>
        <w:rPr>
          <w:rFonts w:hint="eastAsia" w:ascii="Times New Roman" w:hAnsi="Times New Roman" w:cs="Times New Roman"/>
          <w:szCs w:val="21"/>
        </w:rPr>
        <w:t>I</w:t>
      </w:r>
      <w:r>
        <w:rPr>
          <w:rFonts w:hint="eastAsia" w:ascii="宋体" w:hAnsi="宋体" w:eastAsia="宋体" w:cs="宋体"/>
          <w:szCs w:val="21"/>
        </w:rPr>
        <w:t>级、</w:t>
      </w:r>
      <w:r>
        <w:rPr>
          <w:rFonts w:hint="eastAsia" w:ascii="Times New Roman" w:hAnsi="Times New Roman" w:cs="Times New Roman"/>
          <w:szCs w:val="21"/>
        </w:rPr>
        <w:t>II</w:t>
      </w:r>
      <w:r>
        <w:rPr>
          <w:rFonts w:hint="eastAsia" w:ascii="宋体" w:hAnsi="宋体" w:eastAsia="宋体" w:cs="宋体"/>
          <w:szCs w:val="21"/>
        </w:rPr>
        <w:t>级、</w:t>
      </w:r>
      <w:r>
        <w:rPr>
          <w:rFonts w:hint="eastAsia" w:ascii="Times New Roman" w:hAnsi="Times New Roman" w:cs="Times New Roman"/>
          <w:szCs w:val="21"/>
        </w:rPr>
        <w:t>III</w:t>
      </w:r>
      <w:r>
        <w:rPr>
          <w:rFonts w:hint="eastAsia" w:ascii="宋体" w:hAnsi="宋体" w:eastAsia="宋体" w:cs="宋体"/>
          <w:szCs w:val="21"/>
        </w:rPr>
        <w:t>级和</w:t>
      </w:r>
      <w:r>
        <w:rPr>
          <w:rFonts w:hint="eastAsia" w:ascii="Times New Roman" w:hAnsi="Times New Roman" w:cs="Times New Roman"/>
          <w:szCs w:val="21"/>
        </w:rPr>
        <w:t>IV</w:t>
      </w:r>
      <w:r>
        <w:rPr>
          <w:rFonts w:hint="eastAsia" w:ascii="宋体" w:hAnsi="宋体" w:eastAsia="宋体" w:cs="宋体"/>
          <w:szCs w:val="21"/>
        </w:rPr>
        <w:t>级。公共建筑能效分级标准和响应措施宜符合表</w:t>
      </w:r>
      <w:r>
        <w:rPr>
          <w:rFonts w:hint="eastAsia" w:ascii="Times New Roman" w:hAnsi="Times New Roman" w:cs="Times New Roman"/>
          <w:szCs w:val="21"/>
        </w:rPr>
        <w:t>5.1.9</w:t>
      </w:r>
      <w:r>
        <w:rPr>
          <w:rFonts w:hint="eastAsia" w:ascii="宋体" w:hAnsi="宋体" w:eastAsia="宋体" w:cs="宋体"/>
          <w:szCs w:val="21"/>
        </w:rPr>
        <w:t>的规定。</w:t>
      </w:r>
    </w:p>
    <w:p w14:paraId="0644EA6A">
      <w:pPr>
        <w:tabs>
          <w:tab w:val="left" w:pos="459"/>
        </w:tabs>
        <w:spacing w:line="360" w:lineRule="auto"/>
        <w:jc w:val="center"/>
        <w:rPr>
          <w:rFonts w:ascii="宋体" w:hAnsi="宋体" w:eastAsia="宋体" w:cs="宋体"/>
          <w:szCs w:val="21"/>
        </w:rPr>
      </w:pPr>
      <w:r>
        <w:rPr>
          <w:rFonts w:hint="eastAsia" w:ascii="Times New Roman" w:hAnsi="Times New Roman" w:eastAsia="宋体" w:cs="Times New Roman"/>
          <w:iCs/>
          <w:color w:val="000000" w:themeColor="text1"/>
          <w:sz w:val="18"/>
          <w:szCs w:val="18"/>
          <w14:textFill>
            <w14:solidFill>
              <w14:schemeClr w14:val="tx1"/>
            </w14:solidFill>
          </w14:textFill>
        </w:rPr>
        <w:t>表5.1.9 公共建筑能效分级</w:t>
      </w:r>
    </w:p>
    <w:tbl>
      <w:tblPr>
        <w:tblStyle w:val="19"/>
        <w:tblW w:w="807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8"/>
        <w:gridCol w:w="2490"/>
        <w:gridCol w:w="4871"/>
      </w:tblGrid>
      <w:tr w14:paraId="42F040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8" w:type="dxa"/>
            <w:tcBorders>
              <w:tl2br w:val="nil"/>
              <w:tr2bl w:val="nil"/>
            </w:tcBorders>
            <w:vAlign w:val="center"/>
          </w:tcPr>
          <w:p w14:paraId="408C0A6F">
            <w:pPr>
              <w:tabs>
                <w:tab w:val="left" w:pos="459"/>
              </w:tabs>
              <w:spacing w:line="360" w:lineRule="auto"/>
              <w:jc w:val="center"/>
              <w:rPr>
                <w:rFonts w:ascii="宋体" w:hAnsi="宋体" w:eastAsia="宋体" w:cs="宋体"/>
                <w:sz w:val="18"/>
                <w:szCs w:val="18"/>
              </w:rPr>
            </w:pPr>
            <w:r>
              <w:rPr>
                <w:rFonts w:hint="eastAsia" w:ascii="宋体" w:hAnsi="宋体" w:eastAsia="宋体" w:cs="宋体"/>
                <w:sz w:val="18"/>
                <w:szCs w:val="18"/>
              </w:rPr>
              <w:t>等级</w:t>
            </w:r>
          </w:p>
        </w:tc>
        <w:tc>
          <w:tcPr>
            <w:tcW w:w="2490" w:type="dxa"/>
            <w:tcBorders>
              <w:tl2br w:val="nil"/>
              <w:tr2bl w:val="nil"/>
            </w:tcBorders>
            <w:vAlign w:val="center"/>
          </w:tcPr>
          <w:p w14:paraId="64A2113A">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Score</w:t>
            </w:r>
          </w:p>
        </w:tc>
        <w:tc>
          <w:tcPr>
            <w:tcW w:w="4871" w:type="dxa"/>
            <w:tcBorders>
              <w:tl2br w:val="nil"/>
              <w:tr2bl w:val="nil"/>
            </w:tcBorders>
            <w:vAlign w:val="center"/>
          </w:tcPr>
          <w:p w14:paraId="5C91541B">
            <w:pPr>
              <w:tabs>
                <w:tab w:val="left" w:pos="459"/>
              </w:tabs>
              <w:spacing w:line="360" w:lineRule="auto"/>
              <w:jc w:val="center"/>
              <w:rPr>
                <w:rFonts w:ascii="宋体" w:hAnsi="宋体" w:eastAsia="宋体" w:cs="宋体"/>
                <w:sz w:val="18"/>
                <w:szCs w:val="18"/>
              </w:rPr>
            </w:pPr>
            <w:r>
              <w:rPr>
                <w:rFonts w:hint="eastAsia" w:ascii="宋体" w:hAnsi="宋体" w:eastAsia="宋体" w:cs="宋体"/>
                <w:sz w:val="18"/>
                <w:szCs w:val="18"/>
              </w:rPr>
              <w:t>分级评价及响应措施</w:t>
            </w:r>
          </w:p>
        </w:tc>
      </w:tr>
      <w:tr w14:paraId="0FDA89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8" w:type="dxa"/>
            <w:tcBorders>
              <w:tl2br w:val="nil"/>
              <w:tr2bl w:val="nil"/>
            </w:tcBorders>
            <w:vAlign w:val="center"/>
          </w:tcPr>
          <w:p w14:paraId="4387A79D">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I</w:t>
            </w:r>
          </w:p>
        </w:tc>
        <w:tc>
          <w:tcPr>
            <w:tcW w:w="2490" w:type="dxa"/>
            <w:tcBorders>
              <w:tl2br w:val="nil"/>
              <w:tr2bl w:val="nil"/>
            </w:tcBorders>
            <w:vAlign w:val="center"/>
          </w:tcPr>
          <w:p w14:paraId="630A9C7C">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Score≥83</w:t>
            </w:r>
            <w:r>
              <w:rPr>
                <w:rFonts w:hint="eastAsia" w:ascii="宋体" w:hAnsi="宋体" w:eastAsia="宋体" w:cs="宋体"/>
                <w:sz w:val="18"/>
                <w:szCs w:val="18"/>
              </w:rPr>
              <w:t>或</w:t>
            </w:r>
          </w:p>
          <w:p w14:paraId="618686C9">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Et&lt;</w:t>
            </w:r>
            <w:r>
              <w:rPr>
                <w:rFonts w:hint="eastAsia" w:ascii="宋体" w:hAnsi="宋体" w:eastAsia="宋体" w:cs="宋体"/>
                <w:sz w:val="18"/>
                <w:szCs w:val="18"/>
              </w:rPr>
              <w:t>同类型建筑能耗引导值</w:t>
            </w:r>
          </w:p>
        </w:tc>
        <w:tc>
          <w:tcPr>
            <w:tcW w:w="4871" w:type="dxa"/>
            <w:tcBorders>
              <w:tl2br w:val="nil"/>
              <w:tr2bl w:val="nil"/>
            </w:tcBorders>
            <w:vAlign w:val="center"/>
          </w:tcPr>
          <w:p w14:paraId="277C7AC7">
            <w:pPr>
              <w:tabs>
                <w:tab w:val="left" w:pos="459"/>
              </w:tabs>
              <w:spacing w:line="360" w:lineRule="auto"/>
              <w:jc w:val="left"/>
              <w:rPr>
                <w:rFonts w:ascii="宋体" w:hAnsi="宋体" w:eastAsia="宋体" w:cs="宋体"/>
                <w:sz w:val="18"/>
                <w:szCs w:val="18"/>
              </w:rPr>
            </w:pPr>
            <w:r>
              <w:rPr>
                <w:rFonts w:hint="eastAsia" w:ascii="宋体" w:hAnsi="宋体" w:eastAsia="宋体" w:cs="宋体"/>
                <w:sz w:val="18"/>
                <w:szCs w:val="18"/>
              </w:rPr>
              <w:t>能效指标高于平均水平，公共建筑能效水平先进。</w:t>
            </w:r>
          </w:p>
        </w:tc>
      </w:tr>
      <w:tr w14:paraId="445F57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8" w:type="dxa"/>
            <w:tcBorders>
              <w:tl2br w:val="nil"/>
              <w:tr2bl w:val="nil"/>
            </w:tcBorders>
            <w:vAlign w:val="center"/>
          </w:tcPr>
          <w:p w14:paraId="11CB401A">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II</w:t>
            </w:r>
          </w:p>
        </w:tc>
        <w:tc>
          <w:tcPr>
            <w:tcW w:w="2490" w:type="dxa"/>
            <w:tcBorders>
              <w:tl2br w:val="nil"/>
              <w:tr2bl w:val="nil"/>
            </w:tcBorders>
            <w:vAlign w:val="center"/>
          </w:tcPr>
          <w:p w14:paraId="0CEBD04F">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72≤Score＜83</w:t>
            </w:r>
          </w:p>
        </w:tc>
        <w:tc>
          <w:tcPr>
            <w:tcW w:w="4871" w:type="dxa"/>
            <w:tcBorders>
              <w:tl2br w:val="nil"/>
              <w:tr2bl w:val="nil"/>
            </w:tcBorders>
            <w:vAlign w:val="center"/>
          </w:tcPr>
          <w:p w14:paraId="3CA57F29">
            <w:pPr>
              <w:tabs>
                <w:tab w:val="left" w:pos="459"/>
              </w:tabs>
              <w:spacing w:line="360" w:lineRule="auto"/>
              <w:jc w:val="left"/>
              <w:rPr>
                <w:rFonts w:ascii="宋体" w:hAnsi="宋体" w:eastAsia="宋体" w:cs="宋体"/>
                <w:sz w:val="18"/>
                <w:szCs w:val="18"/>
              </w:rPr>
            </w:pPr>
            <w:r>
              <w:rPr>
                <w:rFonts w:hint="eastAsia" w:ascii="宋体" w:hAnsi="宋体" w:eastAsia="宋体" w:cs="宋体"/>
                <w:sz w:val="18"/>
                <w:szCs w:val="18"/>
              </w:rPr>
              <w:t>能效指标高于平均水平，公共建筑宜提升能效水平。</w:t>
            </w:r>
          </w:p>
        </w:tc>
      </w:tr>
      <w:tr w14:paraId="1ABC9D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8" w:type="dxa"/>
            <w:tcBorders>
              <w:tl2br w:val="nil"/>
              <w:tr2bl w:val="nil"/>
            </w:tcBorders>
            <w:vAlign w:val="center"/>
          </w:tcPr>
          <w:p w14:paraId="06BCC7C5">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III</w:t>
            </w:r>
          </w:p>
        </w:tc>
        <w:tc>
          <w:tcPr>
            <w:tcW w:w="2490" w:type="dxa"/>
            <w:tcBorders>
              <w:tl2br w:val="nil"/>
              <w:tr2bl w:val="nil"/>
            </w:tcBorders>
            <w:vAlign w:val="center"/>
          </w:tcPr>
          <w:p w14:paraId="470D4022">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50≤Score＜72</w:t>
            </w:r>
          </w:p>
        </w:tc>
        <w:tc>
          <w:tcPr>
            <w:tcW w:w="4871" w:type="dxa"/>
            <w:tcBorders>
              <w:tl2br w:val="nil"/>
              <w:tr2bl w:val="nil"/>
            </w:tcBorders>
            <w:vAlign w:val="center"/>
          </w:tcPr>
          <w:p w14:paraId="74D7B70F">
            <w:pPr>
              <w:tabs>
                <w:tab w:val="left" w:pos="459"/>
              </w:tabs>
              <w:spacing w:line="360" w:lineRule="auto"/>
              <w:jc w:val="left"/>
              <w:rPr>
                <w:rFonts w:ascii="宋体" w:hAnsi="宋体" w:eastAsia="宋体" w:cs="宋体"/>
                <w:sz w:val="18"/>
                <w:szCs w:val="18"/>
              </w:rPr>
            </w:pPr>
            <w:r>
              <w:rPr>
                <w:rFonts w:hint="eastAsia" w:ascii="宋体" w:hAnsi="宋体" w:eastAsia="宋体" w:cs="宋体"/>
                <w:sz w:val="18"/>
                <w:szCs w:val="18"/>
              </w:rPr>
              <w:t>能效指标处于平均水平，公共建筑可根据能效诊断结果进行能效提升。</w:t>
            </w:r>
          </w:p>
        </w:tc>
      </w:tr>
      <w:tr w14:paraId="5AEA69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8" w:type="dxa"/>
            <w:tcBorders>
              <w:tl2br w:val="nil"/>
              <w:tr2bl w:val="nil"/>
            </w:tcBorders>
            <w:vAlign w:val="center"/>
          </w:tcPr>
          <w:p w14:paraId="5B573E6C">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IV</w:t>
            </w:r>
          </w:p>
        </w:tc>
        <w:tc>
          <w:tcPr>
            <w:tcW w:w="2490" w:type="dxa"/>
            <w:tcBorders>
              <w:tl2br w:val="nil"/>
              <w:tr2bl w:val="nil"/>
            </w:tcBorders>
            <w:vAlign w:val="center"/>
          </w:tcPr>
          <w:p w14:paraId="5AC75FF8">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Score＜50</w:t>
            </w:r>
            <w:r>
              <w:rPr>
                <w:rFonts w:hint="eastAsia" w:ascii="宋体" w:hAnsi="宋体" w:eastAsia="宋体" w:cs="宋体"/>
                <w:sz w:val="18"/>
                <w:szCs w:val="18"/>
              </w:rPr>
              <w:t>或</w:t>
            </w:r>
          </w:p>
          <w:p w14:paraId="51365A85">
            <w:pPr>
              <w:tabs>
                <w:tab w:val="left" w:pos="459"/>
              </w:tabs>
              <w:spacing w:line="360" w:lineRule="auto"/>
              <w:jc w:val="center"/>
              <w:rPr>
                <w:rFonts w:ascii="宋体" w:hAnsi="宋体" w:eastAsia="宋体" w:cs="宋体"/>
                <w:sz w:val="18"/>
                <w:szCs w:val="18"/>
              </w:rPr>
            </w:pPr>
            <w:r>
              <w:rPr>
                <w:rFonts w:hint="eastAsia" w:ascii="Times New Roman" w:hAnsi="Times New Roman" w:eastAsia="宋体" w:cs="Times New Roman"/>
                <w:iCs/>
                <w:color w:val="000000" w:themeColor="text1"/>
                <w:sz w:val="18"/>
                <w:szCs w:val="18"/>
                <w14:textFill>
                  <w14:solidFill>
                    <w14:schemeClr w14:val="tx1"/>
                  </w14:solidFill>
                </w14:textFill>
              </w:rPr>
              <w:t>Et&gt;</w:t>
            </w:r>
            <w:r>
              <w:rPr>
                <w:rFonts w:hint="eastAsia" w:ascii="宋体" w:hAnsi="宋体" w:eastAsia="宋体" w:cs="宋体"/>
                <w:sz w:val="18"/>
                <w:szCs w:val="18"/>
              </w:rPr>
              <w:t>同类型建筑能耗约束值</w:t>
            </w:r>
          </w:p>
        </w:tc>
        <w:tc>
          <w:tcPr>
            <w:tcW w:w="4871" w:type="dxa"/>
            <w:tcBorders>
              <w:tl2br w:val="nil"/>
              <w:tr2bl w:val="nil"/>
            </w:tcBorders>
            <w:vAlign w:val="center"/>
          </w:tcPr>
          <w:p w14:paraId="397BB627">
            <w:pPr>
              <w:tabs>
                <w:tab w:val="left" w:pos="459"/>
              </w:tabs>
              <w:spacing w:line="360" w:lineRule="auto"/>
              <w:jc w:val="left"/>
              <w:rPr>
                <w:rFonts w:ascii="宋体" w:hAnsi="宋体" w:eastAsia="宋体" w:cs="宋体"/>
                <w:sz w:val="18"/>
                <w:szCs w:val="18"/>
              </w:rPr>
            </w:pPr>
            <w:r>
              <w:rPr>
                <w:rFonts w:hint="eastAsia" w:ascii="宋体" w:hAnsi="宋体" w:eastAsia="宋体" w:cs="宋体"/>
                <w:sz w:val="18"/>
                <w:szCs w:val="18"/>
              </w:rPr>
              <w:t>能效指标低于平均水平，公共建筑应根据能效诊断结果进行能效提升。</w:t>
            </w:r>
          </w:p>
        </w:tc>
      </w:tr>
    </w:tbl>
    <w:p w14:paraId="345D74A6">
      <w:pPr>
        <w:spacing w:line="360" w:lineRule="auto"/>
        <w:rPr>
          <w:rFonts w:ascii="宋体" w:hAnsi="宋体" w:eastAsia="宋体" w:cs="宋体"/>
          <w:sz w:val="18"/>
          <w:szCs w:val="18"/>
        </w:rPr>
      </w:pPr>
      <w:r>
        <w:rPr>
          <w:rFonts w:hint="eastAsia" w:ascii="宋体" w:hAnsi="宋体" w:eastAsia="宋体" w:cs="宋体"/>
          <w:sz w:val="18"/>
          <w:szCs w:val="18"/>
        </w:rPr>
        <w:t>注：</w:t>
      </w:r>
      <w:r>
        <w:rPr>
          <w:rFonts w:hint="eastAsia" w:ascii="Times New Roman" w:hAnsi="Times New Roman" w:cs="Times New Roman"/>
          <w:sz w:val="18"/>
          <w:szCs w:val="18"/>
        </w:rPr>
        <w:t xml:space="preserve">1 </w:t>
      </w:r>
      <w:r>
        <w:rPr>
          <w:rFonts w:hint="eastAsia" w:ascii="宋体" w:hAnsi="宋体" w:eastAsia="宋体" w:cs="宋体"/>
          <w:sz w:val="18"/>
          <w:szCs w:val="18"/>
        </w:rPr>
        <w:t>当建筑中应用可再生能源系统，根据《绿色建筑评价标准》</w:t>
      </w:r>
      <w:r>
        <w:rPr>
          <w:rFonts w:hint="eastAsia" w:ascii="Times New Roman" w:hAnsi="Times New Roman" w:cs="Times New Roman"/>
          <w:sz w:val="18"/>
          <w:szCs w:val="18"/>
        </w:rPr>
        <w:t>GB/T 50378</w:t>
      </w:r>
      <w:r>
        <w:rPr>
          <w:rFonts w:hint="eastAsia" w:ascii="宋体" w:hAnsi="宋体" w:eastAsia="宋体" w:cs="宋体"/>
          <w:sz w:val="18"/>
          <w:szCs w:val="18"/>
        </w:rPr>
        <w:t>判定该项得分超过</w:t>
      </w:r>
      <w:r>
        <w:rPr>
          <w:rFonts w:hint="eastAsia" w:ascii="Times New Roman" w:hAnsi="Times New Roman" w:cs="Times New Roman"/>
          <w:sz w:val="18"/>
          <w:szCs w:val="18"/>
        </w:rPr>
        <w:t>20</w:t>
      </w:r>
      <w:r>
        <w:rPr>
          <w:rFonts w:hint="eastAsia" w:ascii="宋体" w:hAnsi="宋体" w:eastAsia="宋体" w:cs="宋体"/>
          <w:sz w:val="18"/>
          <w:szCs w:val="18"/>
        </w:rPr>
        <w:t>分时，能效分级为</w:t>
      </w:r>
      <w:r>
        <w:rPr>
          <w:rFonts w:hint="eastAsia" w:ascii="Times New Roman" w:hAnsi="Times New Roman" w:cs="Times New Roman"/>
          <w:sz w:val="18"/>
          <w:szCs w:val="18"/>
        </w:rPr>
        <w:t>III、IV</w:t>
      </w:r>
      <w:r>
        <w:rPr>
          <w:rFonts w:hint="eastAsia" w:ascii="宋体" w:hAnsi="宋体" w:eastAsia="宋体" w:cs="宋体"/>
          <w:sz w:val="18"/>
          <w:szCs w:val="18"/>
        </w:rPr>
        <w:t>级的其诊断等级结果可上调</w:t>
      </w:r>
      <w:r>
        <w:rPr>
          <w:rFonts w:hint="eastAsia" w:ascii="Times New Roman" w:hAnsi="Times New Roman" w:cs="Times New Roman"/>
          <w:sz w:val="18"/>
          <w:szCs w:val="18"/>
        </w:rPr>
        <w:t>1</w:t>
      </w:r>
      <w:r>
        <w:rPr>
          <w:rFonts w:hint="eastAsia" w:ascii="宋体" w:hAnsi="宋体" w:eastAsia="宋体" w:cs="宋体"/>
          <w:sz w:val="18"/>
          <w:szCs w:val="18"/>
        </w:rPr>
        <w:t>级。</w:t>
      </w:r>
    </w:p>
    <w:p w14:paraId="0AA7C22F">
      <w:pPr>
        <w:spacing w:line="360" w:lineRule="auto"/>
        <w:ind w:firstLine="420"/>
        <w:rPr>
          <w:rFonts w:ascii="宋体" w:hAnsi="宋体" w:eastAsia="宋体" w:cs="宋体"/>
          <w:sz w:val="18"/>
          <w:szCs w:val="18"/>
        </w:rPr>
      </w:pPr>
      <w:r>
        <w:rPr>
          <w:rFonts w:hint="eastAsia" w:ascii="Times New Roman" w:hAnsi="Times New Roman" w:cs="Times New Roman"/>
          <w:sz w:val="18"/>
          <w:szCs w:val="18"/>
        </w:rPr>
        <w:t>2</w:t>
      </w:r>
      <w:r>
        <w:rPr>
          <w:rFonts w:hint="eastAsia" w:ascii="宋体" w:hAnsi="宋体" w:eastAsia="宋体" w:cs="宋体"/>
          <w:sz w:val="18"/>
          <w:szCs w:val="18"/>
        </w:rPr>
        <w:t xml:space="preserve"> 建筑群内同类型的多栋公共建筑的能效分级应按抽取建筑的最低级别确定。</w:t>
      </w:r>
    </w:p>
    <w:p w14:paraId="5B1BA7D5">
      <w:pPr>
        <w:spacing w:line="360" w:lineRule="auto"/>
        <w:ind w:firstLine="420"/>
        <w:rPr>
          <w:rFonts w:ascii="宋体" w:hAnsi="宋体" w:eastAsia="宋体" w:cs="宋体"/>
          <w:szCs w:val="21"/>
        </w:rPr>
      </w:pPr>
      <w:r>
        <w:rPr>
          <w:rFonts w:hint="eastAsia" w:ascii="Times New Roman" w:hAnsi="Times New Roman" w:cs="Times New Roman"/>
          <w:sz w:val="18"/>
          <w:szCs w:val="18"/>
        </w:rPr>
        <w:t>3</w:t>
      </w:r>
      <w:r>
        <w:rPr>
          <w:rFonts w:hint="eastAsia" w:ascii="宋体" w:hAnsi="宋体" w:eastAsia="宋体" w:cs="宋体"/>
          <w:sz w:val="18"/>
          <w:szCs w:val="18"/>
        </w:rPr>
        <w:t xml:space="preserve"> 能效指标应在同一气候区域内，相同建筑类型、规模、等级和运营情况进行确定。</w:t>
      </w:r>
    </w:p>
    <w:p w14:paraId="602393D7">
      <w:pPr>
        <w:pStyle w:val="3"/>
        <w:jc w:val="center"/>
        <w:rPr>
          <w:rFonts w:ascii="Times New Roman" w:hAnsi="Times New Roman" w:eastAsia="宋体" w:cs="Times New Roman"/>
          <w:sz w:val="28"/>
          <w:szCs w:val="28"/>
        </w:rPr>
      </w:pPr>
      <w:bookmarkStart w:id="79" w:name="_Toc29378"/>
      <w:bookmarkStart w:id="80" w:name="_Toc22465"/>
      <w:r>
        <w:rPr>
          <w:rFonts w:hint="eastAsia" w:ascii="Times New Roman" w:hAnsi="Times New Roman" w:eastAsia="宋体" w:cs="Times New Roman"/>
          <w:sz w:val="28"/>
          <w:szCs w:val="28"/>
        </w:rPr>
        <w:t>5.2 分项能效诊断</w:t>
      </w:r>
      <w:bookmarkEnd w:id="79"/>
      <w:bookmarkEnd w:id="80"/>
    </w:p>
    <w:p w14:paraId="344AA0B5">
      <w:pPr>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5.2.1 </w:t>
      </w:r>
      <w:r>
        <w:rPr>
          <w:rFonts w:ascii="Times New Roman" w:hAnsi="Times New Roman" w:eastAsia="宋体" w:cs="Times New Roman"/>
        </w:rPr>
        <w:t>分项能效诊断内容包括围护结构、空调及供暖设备、照明与插座、动力设备、特殊设备、供配电设备、生活热水设备和其他设备等。</w:t>
      </w:r>
    </w:p>
    <w:p w14:paraId="2ADE9C0E">
      <w:pPr>
        <w:spacing w:line="360" w:lineRule="auto"/>
        <w:jc w:val="left"/>
        <w:rPr>
          <w:rFonts w:ascii="Times New Roman" w:hAnsi="Times New Roman" w:eastAsia="宋体" w:cs="Times New Roman"/>
        </w:rPr>
      </w:pPr>
      <w:r>
        <w:rPr>
          <w:rFonts w:ascii="Times New Roman" w:hAnsi="Times New Roman" w:eastAsia="宋体" w:cs="Times New Roman"/>
        </w:rPr>
        <w:t>5.2.</w:t>
      </w:r>
      <w:r>
        <w:rPr>
          <w:rFonts w:hint="eastAsia" w:ascii="Times New Roman" w:hAnsi="Times New Roman" w:eastAsia="宋体" w:cs="Times New Roman"/>
        </w:rPr>
        <w:t>2</w:t>
      </w:r>
      <w:r>
        <w:rPr>
          <w:rFonts w:ascii="Times New Roman" w:hAnsi="Times New Roman" w:eastAsia="宋体" w:cs="Times New Roman"/>
        </w:rPr>
        <w:t xml:space="preserve"> 分项能效诊断包括分项能效分级和分项能效性能</w:t>
      </w:r>
      <w:r>
        <w:rPr>
          <w:rFonts w:hint="eastAsia" w:ascii="Times New Roman" w:hAnsi="Times New Roman" w:eastAsia="宋体" w:cs="Times New Roman"/>
        </w:rPr>
        <w:t>评估</w:t>
      </w:r>
      <w:r>
        <w:rPr>
          <w:rFonts w:ascii="Times New Roman" w:hAnsi="Times New Roman" w:eastAsia="宋体" w:cs="Times New Roman"/>
        </w:rPr>
        <w:t>。</w:t>
      </w:r>
    </w:p>
    <w:p w14:paraId="1A1B8EB9">
      <w:pPr>
        <w:spacing w:line="360" w:lineRule="auto"/>
        <w:jc w:val="left"/>
        <w:rPr>
          <w:rFonts w:ascii="Times New Roman" w:hAnsi="Times New Roman" w:eastAsia="宋体" w:cs="Times New Roman"/>
        </w:rPr>
      </w:pPr>
      <w:r>
        <w:rPr>
          <w:rFonts w:ascii="Times New Roman" w:hAnsi="Times New Roman" w:cs="Times New Roman" w:eastAsiaTheme="majorEastAsia"/>
          <w:szCs w:val="21"/>
        </w:rPr>
        <w:t>5.2.</w:t>
      </w:r>
      <w:r>
        <w:rPr>
          <w:rFonts w:hint="eastAsia" w:ascii="Times New Roman" w:hAnsi="Times New Roman" w:cs="Times New Roman" w:eastAsiaTheme="majorEastAsia"/>
          <w:szCs w:val="21"/>
        </w:rPr>
        <w:t>3</w:t>
      </w:r>
      <w:r>
        <w:rPr>
          <w:rFonts w:ascii="Times New Roman" w:hAnsi="Times New Roman" w:cs="Times New Roman" w:eastAsiaTheme="majorEastAsia"/>
          <w:szCs w:val="21"/>
        </w:rPr>
        <w:t xml:space="preserve"> </w:t>
      </w:r>
      <w:r>
        <w:rPr>
          <w:rFonts w:hint="eastAsia" w:ascii="Times New Roman" w:hAnsi="Times New Roman" w:cs="Times New Roman" w:eastAsiaTheme="majorEastAsia"/>
          <w:szCs w:val="21"/>
        </w:rPr>
        <w:t>分项能效分级内容包括空调及供暖设备、照明与插座、动力设备、特殊设备；分项能效性能评估内容包括围护结构、空调及供暖设备、照明与插座、动力设备、特殊设备、供配电设备、生活热水设备和其他设备等。</w:t>
      </w:r>
    </w:p>
    <w:p w14:paraId="3EFD3AA1">
      <w:pPr>
        <w:spacing w:line="360" w:lineRule="auto"/>
        <w:rPr>
          <w:rFonts w:ascii="Times New Roman" w:hAnsi="Times New Roman" w:eastAsia="宋体" w:cs="Times New Roman"/>
        </w:rPr>
      </w:pPr>
      <w:r>
        <w:rPr>
          <w:rFonts w:hint="eastAsia" w:ascii="Times New Roman" w:hAnsi="Times New Roman" w:eastAsia="宋体" w:cs="Times New Roman"/>
        </w:rPr>
        <w:t>5.2.4 公共建筑</w:t>
      </w:r>
      <w:r>
        <w:rPr>
          <w:rFonts w:ascii="Times New Roman" w:hAnsi="Times New Roman" w:eastAsia="宋体" w:cs="Times New Roman"/>
        </w:rPr>
        <w:t>能效诊断应按分项诊断内容要求提供分项设备信息和分项能耗信息</w:t>
      </w:r>
      <w:r>
        <w:rPr>
          <w:rFonts w:hint="eastAsia" w:ascii="Times New Roman" w:hAnsi="Times New Roman" w:eastAsia="宋体" w:cs="Times New Roman"/>
        </w:rPr>
        <w:t>。</w:t>
      </w:r>
    </w:p>
    <w:p w14:paraId="2D5BAFC0">
      <w:pPr>
        <w:spacing w:line="360" w:lineRule="auto"/>
        <w:rPr>
          <w:rFonts w:ascii="Times New Roman" w:hAnsi="Times New Roman" w:eastAsia="宋体" w:cs="Times New Roman"/>
        </w:rPr>
      </w:pPr>
      <w:r>
        <w:rPr>
          <w:rFonts w:ascii="Times New Roman" w:hAnsi="Times New Roman" w:eastAsia="宋体" w:cs="Times New Roman"/>
        </w:rPr>
        <w:t>5.2.</w:t>
      </w:r>
      <w:r>
        <w:rPr>
          <w:rFonts w:hint="eastAsia" w:ascii="Times New Roman" w:hAnsi="Times New Roman" w:eastAsia="宋体" w:cs="Times New Roman"/>
        </w:rPr>
        <w:t>5</w:t>
      </w:r>
      <w:r>
        <w:rPr>
          <w:rFonts w:ascii="Times New Roman" w:hAnsi="Times New Roman" w:eastAsia="宋体" w:cs="Times New Roman"/>
        </w:rPr>
        <w:t xml:space="preserve"> 能效等级为I级、II级的公共建筑可进行分项能效诊断</w:t>
      </w:r>
      <w:r>
        <w:rPr>
          <w:rFonts w:hint="eastAsia" w:ascii="Times New Roman" w:hAnsi="Times New Roman" w:eastAsia="宋体" w:cs="Times New Roman"/>
        </w:rPr>
        <w:t>，</w:t>
      </w:r>
      <w:r>
        <w:rPr>
          <w:rFonts w:ascii="Times New Roman" w:hAnsi="Times New Roman" w:eastAsia="宋体" w:cs="Times New Roman"/>
        </w:rPr>
        <w:t>为III级和IV级</w:t>
      </w:r>
      <w:r>
        <w:rPr>
          <w:rFonts w:hint="eastAsia" w:ascii="Times New Roman" w:hAnsi="Times New Roman" w:eastAsia="宋体" w:cs="Times New Roman"/>
        </w:rPr>
        <w:t>的</w:t>
      </w:r>
      <w:r>
        <w:rPr>
          <w:rFonts w:ascii="Times New Roman" w:hAnsi="Times New Roman" w:eastAsia="宋体" w:cs="Times New Roman"/>
        </w:rPr>
        <w:t>公共建筑应进行分项能效诊断。</w:t>
      </w:r>
    </w:p>
    <w:p w14:paraId="32A51E51">
      <w:pPr>
        <w:spacing w:line="360" w:lineRule="auto"/>
        <w:jc w:val="left"/>
        <w:rPr>
          <w:rFonts w:ascii="Times New Roman" w:hAnsi="Times New Roman" w:cs="Times New Roman" w:eastAsiaTheme="majorEastAsia"/>
          <w:szCs w:val="21"/>
        </w:rPr>
      </w:pPr>
      <w:r>
        <w:rPr>
          <w:rFonts w:ascii="Times New Roman" w:hAnsi="Times New Roman" w:cs="Times New Roman" w:eastAsiaTheme="majorEastAsia"/>
          <w:szCs w:val="21"/>
        </w:rPr>
        <w:t>5.2.</w:t>
      </w:r>
      <w:r>
        <w:rPr>
          <w:rFonts w:hint="eastAsia" w:ascii="Times New Roman" w:hAnsi="Times New Roman" w:cs="Times New Roman" w:eastAsiaTheme="majorEastAsia"/>
          <w:szCs w:val="21"/>
        </w:rPr>
        <w:t>6</w:t>
      </w:r>
      <w:r>
        <w:rPr>
          <w:rFonts w:ascii="Times New Roman" w:hAnsi="Times New Roman" w:cs="Times New Roman" w:eastAsiaTheme="majorEastAsia"/>
          <w:szCs w:val="21"/>
        </w:rPr>
        <w:t xml:space="preserve"> 分项能效分级应根据计算评估进行分级；分项</w:t>
      </w:r>
      <w:r>
        <w:rPr>
          <w:rFonts w:hint="eastAsia" w:ascii="Times New Roman" w:hAnsi="Times New Roman" w:cs="Times New Roman" w:eastAsiaTheme="majorEastAsia"/>
          <w:szCs w:val="21"/>
        </w:rPr>
        <w:t>能效还应结合</w:t>
      </w:r>
      <w:r>
        <w:rPr>
          <w:rFonts w:ascii="Times New Roman" w:hAnsi="Times New Roman" w:cs="Times New Roman" w:eastAsiaTheme="majorEastAsia"/>
          <w:szCs w:val="21"/>
        </w:rPr>
        <w:t>性能</w:t>
      </w:r>
      <w:r>
        <w:rPr>
          <w:rFonts w:hint="eastAsia" w:ascii="Times New Roman" w:hAnsi="Times New Roman" w:cs="Times New Roman" w:eastAsiaTheme="majorEastAsia"/>
          <w:szCs w:val="21"/>
        </w:rPr>
        <w:t>评估</w:t>
      </w:r>
      <w:r>
        <w:rPr>
          <w:rFonts w:ascii="Times New Roman" w:hAnsi="Times New Roman" w:cs="Times New Roman" w:eastAsiaTheme="majorEastAsia"/>
          <w:szCs w:val="21"/>
        </w:rPr>
        <w:t>的方法，判断合格与不合格。</w:t>
      </w:r>
    </w:p>
    <w:p w14:paraId="33C2AD8C">
      <w:pPr>
        <w:spacing w:line="360" w:lineRule="auto"/>
        <w:rPr>
          <w:rFonts w:ascii="Times New Roman" w:hAnsi="Times New Roman" w:eastAsia="宋体" w:cs="Times New Roman"/>
        </w:rPr>
      </w:pPr>
      <w:r>
        <w:rPr>
          <w:rFonts w:ascii="Times New Roman" w:hAnsi="Times New Roman" w:eastAsia="宋体" w:cs="Times New Roman"/>
        </w:rPr>
        <w:t>5.2.</w:t>
      </w:r>
      <w:r>
        <w:rPr>
          <w:rFonts w:hint="eastAsia" w:ascii="Times New Roman" w:hAnsi="Times New Roman" w:eastAsia="宋体" w:cs="Times New Roman"/>
        </w:rPr>
        <w:t>7</w:t>
      </w:r>
      <w:r>
        <w:rPr>
          <w:rFonts w:ascii="Times New Roman" w:hAnsi="Times New Roman" w:eastAsia="宋体" w:cs="Times New Roman"/>
        </w:rPr>
        <w:t xml:space="preserve"> 分项能耗指标应</w:t>
      </w:r>
      <w:r>
        <w:rPr>
          <w:rFonts w:hint="eastAsia" w:ascii="Times New Roman" w:hAnsi="Times New Roman" w:eastAsia="宋体" w:cs="Times New Roman"/>
        </w:rPr>
        <w:t>按下列公式</w:t>
      </w:r>
      <w:r>
        <w:rPr>
          <w:rFonts w:ascii="Times New Roman" w:hAnsi="Times New Roman" w:eastAsia="宋体" w:cs="Times New Roman"/>
        </w:rPr>
        <w:t>计算：</w:t>
      </w:r>
    </w:p>
    <w:p w14:paraId="4BD209A2">
      <w:pPr>
        <w:spacing w:line="360" w:lineRule="auto"/>
        <w:ind w:firstLine="1680" w:firstLineChars="800"/>
        <w:jc w:val="right"/>
        <w:rPr>
          <w:rFonts w:ascii="Times New Roman" w:hAnsi="Times New Roman" w:eastAsia="宋体" w:cs="Times New Roman"/>
        </w:rPr>
      </w:pPr>
      <w:r>
        <w:rPr>
          <w:rFonts w:ascii="Times New Roman" w:hAnsi="Times New Roman" w:eastAsia="宋体" w:cs="Times New Roman"/>
          <w:position w:val="-24"/>
        </w:rPr>
        <w:object>
          <v:shape id="_x0000_i1028" o:spt="75" type="#_x0000_t75" style="height:31pt;width:40pt;" o:ole="t" filled="f" o:preferrelative="t" stroked="f" coordsize="21600,21600">
            <v:path/>
            <v:fill on="f" focussize="0,0"/>
            <v:stroke on="f" joinstyle="miter"/>
            <v:imagedata r:id="rId18" o:title=""/>
            <o:lock v:ext="edit" aspectratio="t"/>
            <w10:wrap type="none"/>
            <w10:anchorlock/>
          </v:shape>
          <o:OLEObject Type="Embed" ProgID="Equation.KSEE3" ShapeID="_x0000_i1028" DrawAspect="Content" ObjectID="_1468075728" r:id="rId17">
            <o:LockedField>false</o:LockedField>
          </o:OLEObject>
        </w:objec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（5.2.</w:t>
      </w:r>
      <w:r>
        <w:rPr>
          <w:rFonts w:hint="eastAsia" w:ascii="Times New Roman" w:hAnsi="Times New Roman" w:eastAsia="宋体" w:cs="Times New Roman"/>
        </w:rPr>
        <w:t>7</w:t>
      </w:r>
      <w:r>
        <w:rPr>
          <w:rFonts w:ascii="Times New Roman" w:hAnsi="Times New Roman" w:eastAsia="宋体" w:cs="Times New Roman"/>
        </w:rPr>
        <w:t>）</w:t>
      </w:r>
    </w:p>
    <w:p w14:paraId="7CDEB429">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式中：</w:t>
      </w:r>
    </w:p>
    <w:p w14:paraId="26E1B797">
      <w:pPr>
        <w:spacing w:line="360" w:lineRule="auto"/>
        <w:ind w:firstLine="420" w:firstLineChars="200"/>
        <w:rPr>
          <w:rFonts w:ascii="Times New Roman" w:hAnsi="Times New Roman" w:eastAsia="宋体" w:cs="Times New Roman"/>
        </w:rPr>
      </w:pPr>
      <w:r>
        <w:rPr>
          <w:rFonts w:ascii="Times New Roman" w:hAnsi="Times New Roman" w:eastAsia="宋体" w:cs="Times New Roman"/>
          <w:i/>
          <w:iCs/>
        </w:rPr>
        <w:t>B</w:t>
      </w:r>
      <w:r>
        <w:rPr>
          <w:rFonts w:ascii="Times New Roman" w:hAnsi="Times New Roman" w:eastAsia="宋体" w:cs="Times New Roman"/>
          <w:i/>
          <w:iCs/>
          <w:vertAlign w:val="subscript"/>
        </w:rPr>
        <w:t>i</w:t>
      </w:r>
      <w:r>
        <w:rPr>
          <w:rFonts w:ascii="Times New Roman" w:hAnsi="Times New Roman" w:eastAsia="宋体" w:cs="Times New Roman"/>
        </w:rPr>
        <w:t>——第i分项能效指标，kWh/(㎡·a)；</w:t>
      </w:r>
    </w:p>
    <w:p w14:paraId="16860EF1">
      <w:pPr>
        <w:spacing w:line="360" w:lineRule="auto"/>
        <w:ind w:firstLine="420" w:firstLineChars="200"/>
        <w:rPr>
          <w:rFonts w:ascii="Times New Roman" w:hAnsi="Times New Roman" w:eastAsia="宋体" w:cs="Times New Roman"/>
        </w:rPr>
      </w:pPr>
      <w:r>
        <w:rPr>
          <w:rFonts w:ascii="Times New Roman" w:hAnsi="Times New Roman" w:eastAsia="宋体" w:cs="Times New Roman"/>
          <w:i/>
          <w:iCs/>
        </w:rPr>
        <w:t>E</w:t>
      </w:r>
      <w:r>
        <w:rPr>
          <w:rFonts w:ascii="Times New Roman" w:hAnsi="Times New Roman" w:eastAsia="宋体" w:cs="Times New Roman"/>
          <w:i/>
          <w:iCs/>
          <w:vertAlign w:val="subscript"/>
        </w:rPr>
        <w:t>i</w:t>
      </w:r>
      <w:r>
        <w:rPr>
          <w:rFonts w:ascii="Times New Roman" w:hAnsi="Times New Roman" w:eastAsia="宋体" w:cs="Times New Roman"/>
        </w:rPr>
        <w:t>——第i分项的总能耗，kWh/a；</w:t>
      </w:r>
    </w:p>
    <w:p w14:paraId="7C445059">
      <w:pPr>
        <w:spacing w:line="360" w:lineRule="auto"/>
        <w:ind w:firstLine="420" w:firstLineChars="200"/>
        <w:rPr>
          <w:rFonts w:ascii="Times New Roman" w:hAnsi="Times New Roman" w:eastAsia="楷体" w:cs="Times New Roman"/>
          <w:iCs/>
          <w:szCs w:val="21"/>
        </w:rPr>
      </w:pPr>
      <w:r>
        <w:rPr>
          <w:rFonts w:ascii="Times New Roman" w:hAnsi="Times New Roman" w:eastAsia="宋体" w:cs="Times New Roman"/>
          <w:i/>
          <w:iCs/>
        </w:rPr>
        <w:t>A</w:t>
      </w:r>
      <w:r>
        <w:rPr>
          <w:rFonts w:ascii="Times New Roman" w:hAnsi="Times New Roman" w:eastAsia="宋体" w:cs="Times New Roman"/>
        </w:rPr>
        <w:t>——公共建筑面积，㎡。</w:t>
      </w:r>
    </w:p>
    <w:p w14:paraId="1F77063B">
      <w:pPr>
        <w:spacing w:line="360" w:lineRule="auto"/>
        <w:rPr>
          <w:rFonts w:ascii="Times New Roman" w:hAnsi="Times New Roman" w:eastAsia="宋体" w:cs="Times New Roman"/>
        </w:rPr>
      </w:pPr>
      <w:r>
        <w:rPr>
          <w:rFonts w:ascii="Times New Roman" w:hAnsi="Times New Roman" w:eastAsia="宋体" w:cs="Times New Roman"/>
        </w:rPr>
        <w:t>5.2.</w:t>
      </w:r>
      <w:r>
        <w:rPr>
          <w:rFonts w:hint="eastAsia" w:ascii="Times New Roman" w:hAnsi="Times New Roman" w:eastAsia="宋体" w:cs="Times New Roman"/>
        </w:rPr>
        <w:t>8</w:t>
      </w:r>
      <w:r>
        <w:rPr>
          <w:rFonts w:ascii="Times New Roman" w:hAnsi="Times New Roman" w:eastAsia="宋体" w:cs="Times New Roman"/>
        </w:rPr>
        <w:t xml:space="preserve"> 分项能效指标相对值应</w:t>
      </w:r>
      <w:r>
        <w:rPr>
          <w:rFonts w:hint="eastAsia" w:ascii="Times New Roman" w:hAnsi="Times New Roman" w:eastAsia="宋体" w:cs="Times New Roman"/>
        </w:rPr>
        <w:t>按下式</w:t>
      </w:r>
      <w:r>
        <w:rPr>
          <w:rFonts w:ascii="Times New Roman" w:hAnsi="Times New Roman" w:eastAsia="宋体" w:cs="Times New Roman"/>
        </w:rPr>
        <w:t>计算</w:t>
      </w:r>
      <w:r>
        <w:rPr>
          <w:rFonts w:hint="eastAsia" w:ascii="Times New Roman" w:hAnsi="Times New Roman" w:eastAsia="宋体" w:cs="Times New Roman"/>
        </w:rPr>
        <w:t>：</w:t>
      </w:r>
    </w:p>
    <w:p w14:paraId="2C51FB39">
      <w:pPr>
        <w:spacing w:line="360" w:lineRule="auto"/>
        <w:ind w:firstLine="840" w:firstLineChars="400"/>
        <w:jc w:val="right"/>
        <w:rPr>
          <w:rFonts w:ascii="Times New Roman" w:hAnsi="Times New Roman" w:eastAsia="宋体" w:cs="Times New Roman"/>
        </w:rPr>
      </w:pPr>
      <w:r>
        <w:rPr>
          <w:rFonts w:ascii="Times New Roman" w:hAnsi="Times New Roman" w:eastAsia="宋体" w:cs="Times New Roman"/>
          <w:position w:val="-34"/>
        </w:rPr>
        <w:object>
          <v:shape id="_x0000_i1029" o:spt="75" type="#_x0000_t75" style="height:40pt;width:117pt;" o:ole="t" filled="f" o:preferrelative="t" stroked="f" coordsize="21600,21600">
            <v:path/>
            <v:fill on="f" focussize="0,0"/>
            <v:stroke on="f" joinstyle="miter"/>
            <v:imagedata r:id="rId20" o:title=""/>
            <o:lock v:ext="edit" aspectratio="t"/>
            <w10:wrap type="none"/>
            <w10:anchorlock/>
          </v:shape>
          <o:OLEObject Type="Embed" ProgID="Equation.KSEE3" ShapeID="_x0000_i1029" DrawAspect="Content" ObjectID="_1468075729" r:id="rId19">
            <o:LockedField>false</o:LockedField>
          </o:OLEObject>
        </w:objec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（5.2.</w:t>
      </w:r>
      <w:r>
        <w:rPr>
          <w:rFonts w:hint="eastAsia" w:ascii="Times New Roman" w:hAnsi="Times New Roman" w:eastAsia="宋体" w:cs="Times New Roman"/>
        </w:rPr>
        <w:t>8</w:t>
      </w:r>
      <w:r>
        <w:rPr>
          <w:rFonts w:ascii="Times New Roman" w:hAnsi="Times New Roman" w:eastAsia="宋体" w:cs="Times New Roman"/>
        </w:rPr>
        <w:t>）</w:t>
      </w:r>
    </w:p>
    <w:p w14:paraId="4A1C3F3A">
      <w:pPr>
        <w:spacing w:line="360" w:lineRule="auto"/>
        <w:ind w:firstLine="420"/>
        <w:rPr>
          <w:rFonts w:ascii="Times New Roman" w:hAnsi="Times New Roman" w:eastAsia="宋体" w:cs="Times New Roman"/>
        </w:rPr>
      </w:pPr>
      <w:r>
        <w:rPr>
          <w:rFonts w:ascii="Times New Roman" w:hAnsi="Times New Roman" w:eastAsia="宋体" w:cs="Times New Roman"/>
        </w:rPr>
        <w:t>式中：</w:t>
      </w:r>
    </w:p>
    <w:p w14:paraId="10409493">
      <w:pPr>
        <w:spacing w:line="360" w:lineRule="auto"/>
        <w:ind w:firstLine="420" w:firstLineChars="200"/>
        <w:rPr>
          <w:rFonts w:ascii="Times New Roman" w:hAnsi="Times New Roman" w:eastAsia="宋体" w:cs="Times New Roman"/>
        </w:rPr>
      </w:pPr>
      <w:r>
        <w:rPr>
          <w:rFonts w:ascii="Times New Roman" w:hAnsi="Times New Roman" w:eastAsia="宋体" w:cs="Times New Roman"/>
          <w:i/>
          <w:iCs/>
        </w:rPr>
        <w:t>η</w:t>
      </w:r>
      <w:r>
        <w:rPr>
          <w:rFonts w:ascii="Times New Roman" w:hAnsi="Times New Roman" w:eastAsia="宋体" w:cs="Times New Roman"/>
          <w:i/>
          <w:iCs/>
          <w:vertAlign w:val="subscript"/>
        </w:rPr>
        <w:t>j</w:t>
      </w:r>
      <w:r>
        <w:rPr>
          <w:rFonts w:ascii="Times New Roman" w:hAnsi="Times New Roman" w:eastAsia="宋体" w:cs="Times New Roman"/>
        </w:rPr>
        <w:t>——第i分项能效指标相对值；</w:t>
      </w:r>
    </w:p>
    <w:p w14:paraId="43485C1B">
      <w:pPr>
        <w:spacing w:line="360" w:lineRule="auto"/>
        <w:ind w:firstLine="420" w:firstLineChars="200"/>
        <w:rPr>
          <w:rFonts w:ascii="Times New Roman" w:hAnsi="Times New Roman" w:eastAsia="宋体" w:cs="Times New Roman"/>
        </w:rPr>
      </w:pPr>
      <w:r>
        <w:rPr>
          <w:rFonts w:ascii="Times New Roman" w:hAnsi="Times New Roman" w:eastAsia="宋体" w:cs="Times New Roman"/>
          <w:i/>
          <w:iCs/>
        </w:rPr>
        <w:t>B</w:t>
      </w:r>
      <w:r>
        <w:rPr>
          <w:rFonts w:ascii="Times New Roman" w:hAnsi="Times New Roman" w:eastAsia="宋体" w:cs="Times New Roman"/>
          <w:i/>
          <w:iCs/>
          <w:vertAlign w:val="subscript"/>
        </w:rPr>
        <w:t>jm</w:t>
      </w:r>
      <w:r>
        <w:rPr>
          <w:rFonts w:ascii="Times New Roman" w:hAnsi="Times New Roman" w:eastAsia="宋体" w:cs="Times New Roman"/>
        </w:rPr>
        <w:t>——基准</w:t>
      </w:r>
      <w:r>
        <w:rPr>
          <w:rFonts w:hint="eastAsia" w:ascii="Times New Roman" w:hAnsi="Times New Roman" w:eastAsia="宋体" w:cs="Times New Roman"/>
        </w:rPr>
        <w:t>建筑</w:t>
      </w:r>
      <w:r>
        <w:rPr>
          <w:rFonts w:ascii="Times New Roman" w:hAnsi="Times New Roman" w:eastAsia="宋体" w:cs="Times New Roman"/>
        </w:rPr>
        <w:t>第i分项能耗指标，kWh/(㎡·a)。</w:t>
      </w:r>
    </w:p>
    <w:p w14:paraId="77D7464C">
      <w:pPr>
        <w:spacing w:line="360" w:lineRule="auto"/>
        <w:jc w:val="left"/>
        <w:rPr>
          <w:rFonts w:ascii="宋体" w:hAnsi="宋体" w:eastAsia="宋体" w:cs="宋体"/>
          <w:szCs w:val="21"/>
        </w:rPr>
      </w:pPr>
      <w:r>
        <w:rPr>
          <w:rFonts w:hint="eastAsia" w:ascii="Times New Roman" w:hAnsi="Times New Roman" w:cs="Times New Roman"/>
        </w:rPr>
        <w:t xml:space="preserve">5.2.9 </w:t>
      </w:r>
      <w:r>
        <w:rPr>
          <w:rFonts w:ascii="Times New Roman" w:hAnsi="Times New Roman" w:eastAsia="宋体" w:cs="Times New Roman"/>
        </w:rPr>
        <w:t>分项能耗基准指标</w:t>
      </w:r>
      <w:r>
        <w:rPr>
          <w:rFonts w:hint="eastAsia" w:ascii="宋体" w:hAnsi="宋体" w:eastAsia="宋体" w:cs="宋体"/>
          <w:szCs w:val="21"/>
        </w:rPr>
        <w:t>可引用标准值或由符合国家和地方标准的建筑能效管理平台、建筑能效计算工具或二次开发的工具获得。</w:t>
      </w:r>
    </w:p>
    <w:p w14:paraId="2404A428">
      <w:pPr>
        <w:spacing w:line="360" w:lineRule="auto"/>
        <w:rPr>
          <w:rFonts w:ascii="Times New Roman" w:hAnsi="Times New Roman" w:eastAsia="宋体" w:cs="Times New Roman"/>
        </w:rPr>
      </w:pPr>
      <w:r>
        <w:rPr>
          <w:rFonts w:ascii="Times New Roman" w:hAnsi="Times New Roman" w:cs="Times New Roman"/>
        </w:rPr>
        <w:t>5.2.</w:t>
      </w:r>
      <w:r>
        <w:rPr>
          <w:rFonts w:hint="eastAsia" w:ascii="Times New Roman" w:hAnsi="Times New Roman" w:cs="Times New Roman"/>
        </w:rPr>
        <w:t>10</w:t>
      </w:r>
      <w:r>
        <w:rPr>
          <w:rFonts w:ascii="Times New Roman" w:hAnsi="Times New Roman" w:cs="Times New Roman"/>
        </w:rPr>
        <w:t xml:space="preserve"> </w:t>
      </w:r>
      <w:r>
        <w:rPr>
          <w:rFonts w:hint="eastAsia" w:ascii="Times New Roman" w:hAnsi="Times New Roman" w:cs="Times New Roman"/>
        </w:rPr>
        <w:t>根据</w:t>
      </w:r>
      <w:r>
        <w:rPr>
          <w:rFonts w:ascii="Times New Roman" w:hAnsi="Times New Roman" w:eastAsia="宋体" w:cs="Times New Roman"/>
        </w:rPr>
        <w:t>分项能效指标相对值</w:t>
      </w:r>
      <w:r>
        <w:rPr>
          <w:rFonts w:hint="eastAsia" w:ascii="Times New Roman" w:hAnsi="Times New Roman" w:eastAsia="宋体" w:cs="Times New Roman"/>
        </w:rPr>
        <w:t>将</w:t>
      </w:r>
      <w:r>
        <w:rPr>
          <w:rFonts w:ascii="Times New Roman" w:hAnsi="Times New Roman" w:cs="Times New Roman" w:eastAsiaTheme="majorEastAsia"/>
          <w:szCs w:val="21"/>
        </w:rPr>
        <w:t>分项能效分为3</w:t>
      </w:r>
      <w:r>
        <w:rPr>
          <w:rFonts w:hint="eastAsia" w:ascii="Times New Roman" w:hAnsi="Times New Roman" w:cs="Times New Roman" w:eastAsiaTheme="majorEastAsia"/>
          <w:szCs w:val="21"/>
        </w:rPr>
        <w:t>个不同等级</w:t>
      </w:r>
      <w:r>
        <w:rPr>
          <w:rFonts w:hint="eastAsia" w:ascii="Times New Roman" w:hAnsi="Times New Roman" w:eastAsia="宋体" w:cs="Times New Roman"/>
        </w:rPr>
        <w:t>，</w:t>
      </w:r>
      <w:r>
        <w:rPr>
          <w:rFonts w:hint="eastAsia" w:ascii="宋体" w:hAnsi="宋体" w:eastAsia="宋体" w:cs="宋体"/>
          <w:szCs w:val="21"/>
        </w:rPr>
        <w:t>按照能效高低分为</w:t>
      </w:r>
      <w:r>
        <w:rPr>
          <w:rFonts w:hint="eastAsia" w:ascii="Times New Roman" w:hAnsi="Times New Roman" w:eastAsia="宋体" w:cs="Times New Roman"/>
        </w:rPr>
        <w:t>1</w:t>
      </w:r>
      <w:r>
        <w:rPr>
          <w:rFonts w:ascii="Times New Roman" w:hAnsi="Times New Roman" w:eastAsia="宋体" w:cs="Times New Roman"/>
        </w:rPr>
        <w:t>级、</w:t>
      </w:r>
      <w:r>
        <w:rPr>
          <w:rFonts w:hint="eastAsia" w:ascii="Times New Roman" w:hAnsi="Times New Roman" w:eastAsia="宋体" w:cs="Times New Roman"/>
        </w:rPr>
        <w:t>2</w:t>
      </w:r>
      <w:r>
        <w:rPr>
          <w:rFonts w:ascii="Times New Roman" w:hAnsi="Times New Roman" w:eastAsia="宋体" w:cs="Times New Roman"/>
        </w:rPr>
        <w:t>级、</w:t>
      </w:r>
      <w:r>
        <w:rPr>
          <w:rFonts w:hint="eastAsia" w:ascii="Times New Roman" w:hAnsi="Times New Roman" w:eastAsia="宋体" w:cs="Times New Roman"/>
        </w:rPr>
        <w:t>3</w:t>
      </w:r>
      <w:r>
        <w:rPr>
          <w:rFonts w:ascii="Times New Roman" w:hAnsi="Times New Roman" w:eastAsia="宋体" w:cs="Times New Roman"/>
        </w:rPr>
        <w:t>级</w:t>
      </w:r>
      <w:r>
        <w:rPr>
          <w:rFonts w:ascii="Times New Roman" w:hAnsi="Times New Roman" w:cs="Times New Roman" w:eastAsiaTheme="majorEastAsia"/>
          <w:szCs w:val="21"/>
        </w:rPr>
        <w:t>，</w:t>
      </w:r>
      <w:r>
        <w:rPr>
          <w:rFonts w:ascii="Times New Roman" w:hAnsi="Times New Roman" w:eastAsia="宋体" w:cs="Times New Roman"/>
        </w:rPr>
        <w:t>公共建筑分项能效分级标准和响应措施</w:t>
      </w:r>
      <w:r>
        <w:rPr>
          <w:rFonts w:hint="eastAsia" w:ascii="Times New Roman" w:hAnsi="Times New Roman" w:eastAsia="宋体" w:cs="Times New Roman"/>
        </w:rPr>
        <w:t>宜</w:t>
      </w:r>
      <w:r>
        <w:rPr>
          <w:rFonts w:ascii="Times New Roman" w:hAnsi="Times New Roman" w:eastAsia="宋体" w:cs="Times New Roman"/>
        </w:rPr>
        <w:t>符合表5.</w:t>
      </w:r>
      <w:r>
        <w:rPr>
          <w:rFonts w:hint="eastAsia" w:ascii="Times New Roman" w:hAnsi="Times New Roman" w:eastAsia="宋体" w:cs="Times New Roman"/>
        </w:rPr>
        <w:t>2</w:t>
      </w:r>
      <w:r>
        <w:rPr>
          <w:rFonts w:ascii="Times New Roman" w:hAnsi="Times New Roman" w:eastAsia="宋体" w:cs="Times New Roman"/>
        </w:rPr>
        <w:t>.</w:t>
      </w:r>
      <w:r>
        <w:rPr>
          <w:rFonts w:hint="eastAsia" w:ascii="Times New Roman" w:hAnsi="Times New Roman" w:eastAsia="宋体" w:cs="Times New Roman"/>
        </w:rPr>
        <w:t>10</w:t>
      </w:r>
      <w:r>
        <w:rPr>
          <w:rFonts w:ascii="Times New Roman" w:hAnsi="Times New Roman" w:eastAsia="宋体" w:cs="Times New Roman"/>
        </w:rPr>
        <w:t>的规定。</w:t>
      </w:r>
    </w:p>
    <w:p w14:paraId="1A0A75C2">
      <w:pPr>
        <w:spacing w:line="360" w:lineRule="auto"/>
        <w:ind w:firstLine="2700" w:firstLineChars="1500"/>
        <w:rPr>
          <w:rFonts w:ascii="Times New Roman" w:hAnsi="Times New Roman" w:eastAsia="宋体" w:cs="Times New Roman"/>
          <w:iCs/>
          <w:color w:val="000000" w:themeColor="text1"/>
          <w:sz w:val="18"/>
          <w:szCs w:val="18"/>
          <w14:textFill>
            <w14:solidFill>
              <w14:schemeClr w14:val="tx1"/>
            </w14:solidFill>
          </w14:textFill>
        </w:rPr>
      </w:pPr>
      <w:r>
        <w:rPr>
          <w:rFonts w:hint="eastAsia" w:ascii="Times New Roman" w:hAnsi="Times New Roman" w:eastAsia="宋体" w:cs="Times New Roman"/>
          <w:iCs/>
          <w:color w:val="000000" w:themeColor="text1"/>
          <w:sz w:val="18"/>
          <w:szCs w:val="18"/>
          <w14:textFill>
            <w14:solidFill>
              <w14:schemeClr w14:val="tx1"/>
            </w14:solidFill>
          </w14:textFill>
        </w:rPr>
        <w:t>表5.2.10 公共建筑分项能效指标分级</w:t>
      </w:r>
    </w:p>
    <w:tbl>
      <w:tblPr>
        <w:tblStyle w:val="19"/>
        <w:tblW w:w="0" w:type="auto"/>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42"/>
        <w:gridCol w:w="2021"/>
        <w:gridCol w:w="5759"/>
      </w:tblGrid>
      <w:tr w14:paraId="2C7FDF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742" w:type="dxa"/>
            <w:tcBorders>
              <w:tl2br w:val="nil"/>
              <w:tr2bl w:val="nil"/>
            </w:tcBorders>
            <w:vAlign w:val="center"/>
          </w:tcPr>
          <w:p w14:paraId="07B08CE5">
            <w:pPr>
              <w:spacing w:line="360" w:lineRule="auto"/>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等级</w:t>
            </w:r>
          </w:p>
        </w:tc>
        <w:tc>
          <w:tcPr>
            <w:tcW w:w="2021" w:type="dxa"/>
            <w:tcBorders>
              <w:tl2br w:val="nil"/>
              <w:tr2bl w:val="nil"/>
            </w:tcBorders>
            <w:vAlign w:val="center"/>
          </w:tcPr>
          <w:p w14:paraId="1D077CF2">
            <w:pPr>
              <w:spacing w:line="360" w:lineRule="auto"/>
              <w:jc w:val="center"/>
              <w:rPr>
                <w:rFonts w:ascii="Times New Roman" w:hAnsi="Times New Roman" w:cs="Times New Roman" w:eastAsiaTheme="majorEastAsia"/>
                <w:sz w:val="18"/>
                <w:szCs w:val="18"/>
              </w:rPr>
            </w:pPr>
            <w:r>
              <w:rPr>
                <w:rFonts w:ascii="Times New Roman" w:hAnsi="Times New Roman" w:cs="Times New Roman" w:eastAsiaTheme="majorEastAsia"/>
                <w:i/>
                <w:iCs/>
                <w:sz w:val="18"/>
                <w:szCs w:val="18"/>
              </w:rPr>
              <w:t>η</w:t>
            </w:r>
          </w:p>
        </w:tc>
        <w:tc>
          <w:tcPr>
            <w:tcW w:w="5759" w:type="dxa"/>
            <w:tcBorders>
              <w:tl2br w:val="nil"/>
              <w:tr2bl w:val="nil"/>
            </w:tcBorders>
            <w:vAlign w:val="center"/>
          </w:tcPr>
          <w:p w14:paraId="1462ABA6">
            <w:pPr>
              <w:spacing w:line="360" w:lineRule="auto"/>
              <w:ind w:firstLine="2340" w:firstLineChars="1300"/>
              <w:rPr>
                <w:rFonts w:ascii="Times New Roman" w:hAnsi="Times New Roman" w:cs="Times New Roman" w:eastAsiaTheme="majorEastAsia"/>
                <w:sz w:val="18"/>
                <w:szCs w:val="18"/>
              </w:rPr>
            </w:pPr>
            <w:r>
              <w:rPr>
                <w:rFonts w:hint="eastAsia" w:ascii="Times New Roman" w:hAnsi="Times New Roman" w:cs="Times New Roman" w:eastAsiaTheme="majorEastAsia"/>
                <w:sz w:val="18"/>
                <w:szCs w:val="18"/>
              </w:rPr>
              <w:t>分级评价和</w:t>
            </w:r>
            <w:r>
              <w:rPr>
                <w:rFonts w:ascii="Times New Roman" w:hAnsi="Times New Roman" w:cs="Times New Roman" w:eastAsiaTheme="majorEastAsia"/>
                <w:sz w:val="18"/>
                <w:szCs w:val="18"/>
              </w:rPr>
              <w:t>响应</w:t>
            </w:r>
            <w:r>
              <w:rPr>
                <w:rFonts w:hint="eastAsia" w:ascii="Times New Roman" w:hAnsi="Times New Roman" w:cs="Times New Roman" w:eastAsiaTheme="majorEastAsia"/>
                <w:sz w:val="18"/>
                <w:szCs w:val="18"/>
              </w:rPr>
              <w:t>措施</w:t>
            </w:r>
          </w:p>
        </w:tc>
      </w:tr>
      <w:tr w14:paraId="686414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742" w:type="dxa"/>
            <w:tcBorders>
              <w:tl2br w:val="nil"/>
              <w:tr2bl w:val="nil"/>
            </w:tcBorders>
            <w:vAlign w:val="center"/>
          </w:tcPr>
          <w:p w14:paraId="49F79E3C">
            <w:pPr>
              <w:spacing w:line="360" w:lineRule="auto"/>
              <w:jc w:val="center"/>
              <w:rPr>
                <w:rFonts w:ascii="Times New Roman" w:hAnsi="Times New Roman" w:cs="Times New Roman" w:eastAsiaTheme="majorEastAsia"/>
                <w:sz w:val="18"/>
                <w:szCs w:val="18"/>
              </w:rPr>
            </w:pPr>
            <w:r>
              <w:rPr>
                <w:rFonts w:hint="eastAsia" w:ascii="Times New Roman" w:hAnsi="Times New Roman" w:cs="Times New Roman" w:eastAsiaTheme="majorEastAsia"/>
                <w:sz w:val="18"/>
                <w:szCs w:val="18"/>
              </w:rPr>
              <w:t>1</w:t>
            </w:r>
          </w:p>
        </w:tc>
        <w:tc>
          <w:tcPr>
            <w:tcW w:w="2021" w:type="dxa"/>
            <w:tcBorders>
              <w:tl2br w:val="nil"/>
              <w:tr2bl w:val="nil"/>
            </w:tcBorders>
            <w:vAlign w:val="center"/>
          </w:tcPr>
          <w:p w14:paraId="28BA52CE">
            <w:pPr>
              <w:spacing w:line="360" w:lineRule="auto"/>
              <w:jc w:val="center"/>
              <w:rPr>
                <w:rFonts w:ascii="Times New Roman" w:hAnsi="Times New Roman" w:cs="Times New Roman" w:eastAsiaTheme="majorEastAsia"/>
                <w:sz w:val="18"/>
                <w:szCs w:val="18"/>
              </w:rPr>
            </w:pPr>
            <w:r>
              <w:rPr>
                <w:rFonts w:ascii="Times New Roman" w:hAnsi="Times New Roman" w:cs="Times New Roman" w:eastAsiaTheme="majorEastAsia"/>
                <w:i/>
                <w:iCs/>
                <w:sz w:val="18"/>
                <w:szCs w:val="18"/>
              </w:rPr>
              <w:t>η</w:t>
            </w:r>
            <w:r>
              <w:rPr>
                <w:rFonts w:ascii="Times New Roman" w:hAnsi="Times New Roman" w:cs="Times New Roman" w:eastAsiaTheme="majorEastAsia"/>
                <w:sz w:val="18"/>
                <w:szCs w:val="18"/>
              </w:rPr>
              <w:t>≤0</w:t>
            </w:r>
          </w:p>
        </w:tc>
        <w:tc>
          <w:tcPr>
            <w:tcW w:w="5759" w:type="dxa"/>
            <w:tcBorders>
              <w:tl2br w:val="nil"/>
              <w:tr2bl w:val="nil"/>
            </w:tcBorders>
            <w:vAlign w:val="center"/>
          </w:tcPr>
          <w:p w14:paraId="4F6BC31C">
            <w:pPr>
              <w:spacing w:line="360" w:lineRule="auto"/>
              <w:rPr>
                <w:rFonts w:ascii="Times New Roman" w:hAnsi="Times New Roman" w:cs="Times New Roman" w:eastAsiaTheme="majorEastAsia"/>
                <w:sz w:val="18"/>
                <w:szCs w:val="18"/>
              </w:rPr>
            </w:pPr>
            <w:r>
              <w:rPr>
                <w:rFonts w:ascii="Times New Roman" w:hAnsi="Times New Roman" w:cs="Times New Roman" w:eastAsiaTheme="majorEastAsia"/>
                <w:sz w:val="18"/>
                <w:szCs w:val="18"/>
              </w:rPr>
              <w:t>指标低于分项能耗基准指标，优于平均水平。</w:t>
            </w:r>
          </w:p>
        </w:tc>
      </w:tr>
      <w:tr w14:paraId="0F684D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742" w:type="dxa"/>
            <w:tcBorders>
              <w:tl2br w:val="nil"/>
              <w:tr2bl w:val="nil"/>
            </w:tcBorders>
            <w:vAlign w:val="center"/>
          </w:tcPr>
          <w:p w14:paraId="3B352099">
            <w:pPr>
              <w:spacing w:line="360" w:lineRule="auto"/>
              <w:jc w:val="center"/>
              <w:rPr>
                <w:rFonts w:ascii="Times New Roman" w:hAnsi="Times New Roman" w:cs="Times New Roman" w:eastAsiaTheme="majorEastAsia"/>
                <w:sz w:val="18"/>
                <w:szCs w:val="18"/>
              </w:rPr>
            </w:pPr>
            <w:r>
              <w:rPr>
                <w:rFonts w:hint="eastAsia" w:ascii="Times New Roman" w:hAnsi="Times New Roman" w:cs="Times New Roman" w:eastAsiaTheme="majorEastAsia"/>
                <w:sz w:val="18"/>
                <w:szCs w:val="18"/>
              </w:rPr>
              <w:t>2</w:t>
            </w:r>
          </w:p>
        </w:tc>
        <w:tc>
          <w:tcPr>
            <w:tcW w:w="2021" w:type="dxa"/>
            <w:tcBorders>
              <w:tl2br w:val="nil"/>
              <w:tr2bl w:val="nil"/>
            </w:tcBorders>
            <w:vAlign w:val="center"/>
          </w:tcPr>
          <w:p w14:paraId="300B463A">
            <w:pPr>
              <w:spacing w:line="360" w:lineRule="auto"/>
              <w:jc w:val="center"/>
              <w:rPr>
                <w:rFonts w:ascii="Times New Roman" w:hAnsi="Times New Roman" w:cs="Times New Roman" w:eastAsiaTheme="majorEastAsia"/>
                <w:sz w:val="18"/>
                <w:szCs w:val="18"/>
              </w:rPr>
            </w:pPr>
            <w:r>
              <w:rPr>
                <w:rFonts w:ascii="Times New Roman" w:hAnsi="Times New Roman" w:cs="Times New Roman" w:eastAsiaTheme="majorEastAsia"/>
                <w:sz w:val="18"/>
                <w:szCs w:val="18"/>
              </w:rPr>
              <w:t>0＜</w:t>
            </w:r>
            <w:r>
              <w:rPr>
                <w:rFonts w:ascii="Times New Roman" w:hAnsi="Times New Roman" w:cs="Times New Roman" w:eastAsiaTheme="majorEastAsia"/>
                <w:i/>
                <w:iCs/>
                <w:sz w:val="18"/>
                <w:szCs w:val="18"/>
              </w:rPr>
              <w:t>η</w:t>
            </w:r>
            <w:r>
              <w:rPr>
                <w:rFonts w:ascii="Times New Roman" w:hAnsi="Times New Roman" w:cs="Times New Roman" w:eastAsiaTheme="majorEastAsia"/>
                <w:sz w:val="18"/>
                <w:szCs w:val="18"/>
              </w:rPr>
              <w:t>≤30%</w:t>
            </w:r>
          </w:p>
        </w:tc>
        <w:tc>
          <w:tcPr>
            <w:tcW w:w="5759" w:type="dxa"/>
            <w:tcBorders>
              <w:tl2br w:val="nil"/>
              <w:tr2bl w:val="nil"/>
            </w:tcBorders>
            <w:vAlign w:val="center"/>
          </w:tcPr>
          <w:p w14:paraId="168910B0">
            <w:pPr>
              <w:spacing w:line="360" w:lineRule="auto"/>
              <w:rPr>
                <w:rFonts w:ascii="Times New Roman" w:hAnsi="Times New Roman" w:cs="Times New Roman" w:eastAsiaTheme="majorEastAsia"/>
                <w:sz w:val="18"/>
                <w:szCs w:val="18"/>
              </w:rPr>
            </w:pPr>
            <w:r>
              <w:rPr>
                <w:rFonts w:ascii="Times New Roman" w:hAnsi="Times New Roman" w:cs="Times New Roman" w:eastAsiaTheme="majorEastAsia"/>
                <w:sz w:val="18"/>
                <w:szCs w:val="18"/>
              </w:rPr>
              <w:t>指标不高于分项能耗基准指标的30%，处于平均水平，本分项</w:t>
            </w:r>
            <w:r>
              <w:rPr>
                <w:rFonts w:ascii="Times New Roman" w:hAnsi="Times New Roman" w:eastAsia="宋体" w:cs="Times New Roman"/>
                <w:sz w:val="18"/>
                <w:szCs w:val="18"/>
              </w:rPr>
              <w:t>可根据能效诊断结果进行能效提升。</w:t>
            </w:r>
          </w:p>
        </w:tc>
      </w:tr>
      <w:tr w14:paraId="66F636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742" w:type="dxa"/>
            <w:tcBorders>
              <w:tl2br w:val="nil"/>
              <w:tr2bl w:val="nil"/>
            </w:tcBorders>
            <w:vAlign w:val="center"/>
          </w:tcPr>
          <w:p w14:paraId="0335B961">
            <w:pPr>
              <w:spacing w:line="360" w:lineRule="auto"/>
              <w:jc w:val="center"/>
              <w:rPr>
                <w:rFonts w:ascii="Times New Roman" w:hAnsi="Times New Roman" w:cs="Times New Roman" w:eastAsiaTheme="majorEastAsia"/>
                <w:sz w:val="18"/>
                <w:szCs w:val="18"/>
              </w:rPr>
            </w:pPr>
            <w:r>
              <w:rPr>
                <w:rFonts w:hint="eastAsia" w:ascii="Times New Roman" w:hAnsi="Times New Roman" w:cs="Times New Roman" w:eastAsiaTheme="majorEastAsia"/>
                <w:sz w:val="18"/>
                <w:szCs w:val="18"/>
              </w:rPr>
              <w:t>3</w:t>
            </w:r>
          </w:p>
        </w:tc>
        <w:tc>
          <w:tcPr>
            <w:tcW w:w="2021" w:type="dxa"/>
            <w:tcBorders>
              <w:tl2br w:val="nil"/>
              <w:tr2bl w:val="nil"/>
            </w:tcBorders>
            <w:vAlign w:val="center"/>
          </w:tcPr>
          <w:p w14:paraId="77033D6D">
            <w:pPr>
              <w:spacing w:line="360" w:lineRule="auto"/>
              <w:jc w:val="center"/>
              <w:rPr>
                <w:rFonts w:ascii="Times New Roman" w:hAnsi="Times New Roman" w:cs="Times New Roman" w:eastAsiaTheme="majorEastAsia"/>
                <w:sz w:val="18"/>
                <w:szCs w:val="18"/>
              </w:rPr>
            </w:pPr>
            <w:r>
              <w:rPr>
                <w:rFonts w:ascii="Times New Roman" w:hAnsi="Times New Roman" w:cs="Times New Roman" w:eastAsiaTheme="majorEastAsia"/>
                <w:i/>
                <w:iCs/>
                <w:sz w:val="18"/>
                <w:szCs w:val="18"/>
              </w:rPr>
              <w:t>η</w:t>
            </w:r>
            <w:r>
              <w:rPr>
                <w:rFonts w:ascii="Times New Roman" w:hAnsi="Times New Roman" w:cs="Times New Roman" w:eastAsiaTheme="majorEastAsia"/>
                <w:sz w:val="18"/>
                <w:szCs w:val="18"/>
              </w:rPr>
              <w:t>＞30%</w:t>
            </w:r>
          </w:p>
        </w:tc>
        <w:tc>
          <w:tcPr>
            <w:tcW w:w="5759" w:type="dxa"/>
            <w:tcBorders>
              <w:tl2br w:val="nil"/>
              <w:tr2bl w:val="nil"/>
            </w:tcBorders>
            <w:vAlign w:val="center"/>
          </w:tcPr>
          <w:p w14:paraId="319E28AE">
            <w:pPr>
              <w:spacing w:line="360" w:lineRule="auto"/>
              <w:rPr>
                <w:rFonts w:ascii="Times New Roman" w:hAnsi="Times New Roman" w:cs="Times New Roman" w:eastAsiaTheme="majorEastAsia"/>
                <w:sz w:val="18"/>
                <w:szCs w:val="18"/>
              </w:rPr>
            </w:pPr>
            <w:r>
              <w:rPr>
                <w:rFonts w:ascii="Times New Roman" w:hAnsi="Times New Roman" w:cs="Times New Roman" w:eastAsiaTheme="majorEastAsia"/>
                <w:sz w:val="18"/>
                <w:szCs w:val="18"/>
              </w:rPr>
              <w:t>指标高于分项能耗基准指标的30%，低于平均水平，本分项</w:t>
            </w:r>
            <w:r>
              <w:rPr>
                <w:rFonts w:hint="eastAsia" w:ascii="Times New Roman" w:hAnsi="Times New Roman" w:eastAsia="宋体" w:cs="Times New Roman"/>
                <w:sz w:val="18"/>
                <w:szCs w:val="18"/>
              </w:rPr>
              <w:t>应</w:t>
            </w:r>
            <w:r>
              <w:rPr>
                <w:rFonts w:ascii="Times New Roman" w:hAnsi="Times New Roman" w:eastAsia="宋体" w:cs="Times New Roman"/>
                <w:sz w:val="18"/>
                <w:szCs w:val="18"/>
              </w:rPr>
              <w:t>根据能效诊断结果进行能效提升。</w:t>
            </w:r>
          </w:p>
        </w:tc>
      </w:tr>
    </w:tbl>
    <w:p w14:paraId="3C9AA6E5">
      <w:pPr>
        <w:spacing w:line="360" w:lineRule="auto"/>
        <w:rPr>
          <w:rFonts w:ascii="宋体" w:hAnsi="宋体" w:eastAsia="宋体" w:cs="宋体"/>
          <w:sz w:val="18"/>
          <w:szCs w:val="18"/>
        </w:rPr>
      </w:pPr>
      <w:r>
        <w:rPr>
          <w:rFonts w:hint="eastAsia" w:ascii="宋体" w:hAnsi="宋体" w:eastAsia="宋体" w:cs="宋体"/>
          <w:sz w:val="18"/>
          <w:szCs w:val="18"/>
        </w:rPr>
        <w:t>注：能效指标应在同一气候区域内，相同建筑类型、规模、等级和运营情况进行确定。</w:t>
      </w:r>
    </w:p>
    <w:p w14:paraId="1752FFBF">
      <w:pPr>
        <w:spacing w:line="360" w:lineRule="auto"/>
        <w:rPr>
          <w:rFonts w:ascii="Times New Roman" w:hAnsi="Times New Roman" w:eastAsia="宋体" w:cs="Times New Roman"/>
        </w:rPr>
      </w:pPr>
      <w:r>
        <w:rPr>
          <w:rFonts w:ascii="Times New Roman" w:hAnsi="Times New Roman" w:eastAsia="宋体" w:cs="Times New Roman"/>
        </w:rPr>
        <w:t>5.2.</w:t>
      </w:r>
      <w:r>
        <w:rPr>
          <w:rFonts w:hint="eastAsia" w:ascii="Times New Roman" w:hAnsi="Times New Roman" w:eastAsia="宋体" w:cs="Times New Roman"/>
        </w:rPr>
        <w:t>11</w:t>
      </w:r>
      <w:r>
        <w:rPr>
          <w:rFonts w:ascii="Times New Roman" w:hAnsi="Times New Roman" w:eastAsia="宋体" w:cs="Times New Roman"/>
        </w:rPr>
        <w:t xml:space="preserve"> 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评估应</w:t>
      </w:r>
      <w:r>
        <w:rPr>
          <w:rFonts w:ascii="Times New Roman" w:hAnsi="Times New Roman" w:eastAsia="宋体" w:cs="Times New Roman"/>
        </w:rPr>
        <w:t>基于具有相关资质的检测单位出具的检测报告或验收报告。</w:t>
      </w:r>
    </w:p>
    <w:p w14:paraId="3CC1E2AB">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2</w:t>
      </w:r>
      <w:r>
        <w:rPr>
          <w:rFonts w:ascii="Times New Roman" w:hAnsi="Times New Roman" w:eastAsia="宋体" w:cs="Times New Roman"/>
        </w:rPr>
        <w:t xml:space="preserve"> 围护结构和空调及供暖设备分项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评估宜</w:t>
      </w:r>
      <w:r>
        <w:rPr>
          <w:rFonts w:ascii="Times New Roman" w:hAnsi="Times New Roman" w:eastAsia="宋体" w:cs="Times New Roman"/>
        </w:rPr>
        <w:t>按照建筑</w:t>
      </w:r>
      <w:r>
        <w:rPr>
          <w:rFonts w:hint="eastAsia" w:ascii="Times New Roman" w:hAnsi="Times New Roman" w:eastAsia="宋体" w:cs="Times New Roman"/>
        </w:rPr>
        <w:t>竣工和</w:t>
      </w:r>
      <w:r>
        <w:rPr>
          <w:rFonts w:ascii="Times New Roman" w:hAnsi="Times New Roman" w:eastAsia="宋体" w:cs="Times New Roman"/>
        </w:rPr>
        <w:t>系统设备</w:t>
      </w:r>
      <w:r>
        <w:rPr>
          <w:rFonts w:hint="eastAsia" w:ascii="Times New Roman" w:hAnsi="Times New Roman" w:eastAsia="宋体" w:cs="Times New Roman"/>
        </w:rPr>
        <w:t>交付</w:t>
      </w:r>
      <w:r>
        <w:rPr>
          <w:rFonts w:ascii="Times New Roman" w:hAnsi="Times New Roman" w:eastAsia="宋体" w:cs="Times New Roman"/>
        </w:rPr>
        <w:t>时间确定其参考评价标准。</w:t>
      </w:r>
    </w:p>
    <w:p w14:paraId="20EFC2C0">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3</w:t>
      </w:r>
      <w:r>
        <w:rPr>
          <w:rFonts w:ascii="Times New Roman" w:hAnsi="Times New Roman" w:eastAsia="宋体" w:cs="Times New Roman"/>
        </w:rPr>
        <w:t xml:space="preserve"> 围护结构分项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w:t>
      </w:r>
      <w:r>
        <w:rPr>
          <w:rFonts w:ascii="Times New Roman" w:hAnsi="Times New Roman" w:eastAsia="宋体" w:cs="Times New Roman"/>
        </w:rPr>
        <w:t>应符合下列要求：</w:t>
      </w:r>
    </w:p>
    <w:p w14:paraId="1A581EBA">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评估</w:t>
      </w:r>
      <w:r>
        <w:rPr>
          <w:rFonts w:ascii="Times New Roman" w:hAnsi="Times New Roman" w:eastAsia="宋体" w:cs="Times New Roman"/>
        </w:rPr>
        <w:t>内容应符合《公共建筑节能改造技术规范》JGJ 176和《既有公共建筑节能改造技术规程》DB34/T 5057的规定，并</w:t>
      </w:r>
      <w:r>
        <w:rPr>
          <w:rFonts w:hint="eastAsia" w:ascii="Times New Roman" w:hAnsi="Times New Roman" w:eastAsia="宋体" w:cs="Times New Roman"/>
        </w:rPr>
        <w:t>应包括</w:t>
      </w:r>
      <w:r>
        <w:rPr>
          <w:rFonts w:ascii="Times New Roman" w:hAnsi="Times New Roman" w:eastAsia="宋体" w:cs="Times New Roman"/>
        </w:rPr>
        <w:t>下列内容</w:t>
      </w:r>
      <w:r>
        <w:rPr>
          <w:rFonts w:hint="eastAsia" w:ascii="Times New Roman" w:hAnsi="Times New Roman" w:eastAsia="宋体" w:cs="Times New Roman"/>
        </w:rPr>
        <w:t>：</w:t>
      </w:r>
    </w:p>
    <w:p w14:paraId="1E9B1F84">
      <w:pPr>
        <w:spacing w:line="360" w:lineRule="auto"/>
        <w:ind w:firstLine="840" w:firstLineChars="400"/>
        <w:rPr>
          <w:rFonts w:ascii="Times New Roman" w:hAnsi="Times New Roman" w:eastAsia="宋体" w:cs="Times New Roman"/>
          <w:strike/>
        </w:rPr>
      </w:pPr>
      <w:r>
        <w:rPr>
          <w:rFonts w:ascii="Times New Roman" w:hAnsi="Times New Roman" w:eastAsia="宋体" w:cs="Times New Roman"/>
        </w:rPr>
        <w:t>（1）外墙（包括非透光幕墙）构造形式；</w:t>
      </w:r>
    </w:p>
    <w:p w14:paraId="50EC26BE">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（2）外围护结构外表面、内表面热工缺陷；</w:t>
      </w:r>
    </w:p>
    <w:p w14:paraId="2F13E33E">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（3）外围护结构热桥部位内表面温度；</w:t>
      </w:r>
    </w:p>
    <w:p w14:paraId="10C2ABCA">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（4）外窗、透光幕墙气密性；</w:t>
      </w:r>
    </w:p>
    <w:p w14:paraId="17AEB66E">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（5）遮阳设施。</w:t>
      </w:r>
    </w:p>
    <w:p w14:paraId="2D86BD7D">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当存在下列情况之一时，应判断为“不合格”并进行节能改造：</w:t>
      </w:r>
    </w:p>
    <w:p w14:paraId="0448BFA7">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（1）建筑外围护结构外表面和内表面存在热工缺陷或外围护结构热桥部位内表面温度低于室内空气露点温度要求；</w:t>
      </w:r>
    </w:p>
    <w:p w14:paraId="3CE2B4F0">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（2）外窗的气密性低于国家标准《建筑幕墙、门窗通用技术条件》 GB/T 31433中规定的3级，透光幕墙的气密性低于国家标准《建筑幕墙、门窗通用技术条件》 GB/T 3143</w:t>
      </w:r>
      <w:r>
        <w:rPr>
          <w:rFonts w:hint="eastAsia" w:ascii="Times New Roman" w:hAnsi="Times New Roman" w:eastAsia="宋体" w:cs="Times New Roman"/>
        </w:rPr>
        <w:t>3</w:t>
      </w:r>
      <w:r>
        <w:rPr>
          <w:rFonts w:ascii="Times New Roman" w:hAnsi="Times New Roman" w:eastAsia="宋体" w:cs="Times New Roman"/>
        </w:rPr>
        <w:t>中规定的2级。</w:t>
      </w:r>
    </w:p>
    <w:p w14:paraId="74F80C2C">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4</w:t>
      </w:r>
      <w:r>
        <w:rPr>
          <w:rFonts w:ascii="Times New Roman" w:hAnsi="Times New Roman" w:eastAsia="宋体" w:cs="Times New Roman"/>
        </w:rPr>
        <w:t xml:space="preserve"> 空调及供暖设备分项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w:t>
      </w:r>
      <w:r>
        <w:rPr>
          <w:rFonts w:ascii="Times New Roman" w:hAnsi="Times New Roman" w:eastAsia="宋体" w:cs="Times New Roman"/>
        </w:rPr>
        <w:t>应符合下列要求：</w:t>
      </w:r>
    </w:p>
    <w:p w14:paraId="310F48A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评估</w:t>
      </w:r>
      <w:r>
        <w:rPr>
          <w:rFonts w:ascii="Times New Roman" w:hAnsi="Times New Roman" w:eastAsia="宋体" w:cs="Times New Roman"/>
        </w:rPr>
        <w:t>内容应符合《公共建筑节能改造技术规范》JGJ 176、《既有公共建筑节能改造技术规程》DB34/T 5057和《公共建筑供暖空调系统能效提升技术标准》DB34/T 3960的规定。</w:t>
      </w:r>
    </w:p>
    <w:p w14:paraId="0BE2F9A6">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当存在下列情况之一时，应判断为“不合格”并进行节能改造：</w:t>
      </w:r>
    </w:p>
    <w:p w14:paraId="1385A847">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（1）冷热源设备运行时间接近或超过其正常使用年限，且经具有资质的单位检测后认定设备性能和安全性不满足要求；</w:t>
      </w:r>
    </w:p>
    <w:p w14:paraId="6B8180AD">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空调及供暖</w:t>
      </w:r>
      <w:r>
        <w:rPr>
          <w:rFonts w:hint="eastAsia" w:ascii="Times New Roman" w:hAnsi="Times New Roman" w:eastAsia="宋体" w:cs="Times New Roman"/>
        </w:rPr>
        <w:t>系统</w:t>
      </w:r>
      <w:r>
        <w:rPr>
          <w:rFonts w:ascii="Times New Roman" w:hAnsi="Times New Roman" w:eastAsia="宋体" w:cs="Times New Roman"/>
        </w:rPr>
        <w:t>能效不满足现行国家和地方节能设计标准的限值规定；</w:t>
      </w:r>
    </w:p>
    <w:p w14:paraId="64EE5707">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3</w:t>
      </w:r>
      <w:r>
        <w:rPr>
          <w:rFonts w:ascii="Times New Roman" w:hAnsi="Times New Roman" w:eastAsia="宋体" w:cs="Times New Roman"/>
        </w:rPr>
        <w:t>）所使用的燃料、工质或排放不满足环保要求；</w:t>
      </w:r>
    </w:p>
    <w:p w14:paraId="42B11773">
      <w:pPr>
        <w:spacing w:line="360" w:lineRule="auto"/>
        <w:ind w:firstLine="840" w:firstLineChars="400"/>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4</w:t>
      </w:r>
      <w:r>
        <w:rPr>
          <w:rFonts w:ascii="Times New Roman" w:hAnsi="Times New Roman" w:eastAsia="宋体" w:cs="Times New Roman"/>
        </w:rPr>
        <w:t>）末端系统不具备室温调控手段。</w:t>
      </w:r>
    </w:p>
    <w:p w14:paraId="2892D6F5">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 xml:space="preserve">5 </w:t>
      </w:r>
      <w:r>
        <w:rPr>
          <w:rFonts w:ascii="Times New Roman" w:hAnsi="Times New Roman" w:eastAsia="宋体" w:cs="Times New Roman"/>
        </w:rPr>
        <w:t>照明</w:t>
      </w:r>
      <w:r>
        <w:rPr>
          <w:rFonts w:hint="eastAsia" w:ascii="Times New Roman" w:hAnsi="Times New Roman" w:eastAsia="宋体" w:cs="Times New Roman"/>
        </w:rPr>
        <w:t>与插座的</w:t>
      </w:r>
      <w:r>
        <w:rPr>
          <w:rFonts w:ascii="Times New Roman" w:hAnsi="Times New Roman" w:eastAsia="宋体" w:cs="Times New Roman"/>
        </w:rPr>
        <w:t>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w:t>
      </w:r>
      <w:r>
        <w:rPr>
          <w:rFonts w:ascii="Times New Roman" w:hAnsi="Times New Roman" w:eastAsia="宋体" w:cs="Times New Roman"/>
        </w:rPr>
        <w:t>应符合下列要求：</w:t>
      </w:r>
    </w:p>
    <w:p w14:paraId="122BD42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1 评估</w:t>
      </w:r>
      <w:r>
        <w:rPr>
          <w:rFonts w:ascii="Times New Roman" w:hAnsi="Times New Roman" w:eastAsia="宋体" w:cs="Times New Roman"/>
        </w:rPr>
        <w:t>内容应符合《公共建筑节能改造技术规范》JGJ 176和《既有公共建筑节能改造技术规程》DB34/T 5057的规定</w:t>
      </w:r>
      <w:r>
        <w:rPr>
          <w:rFonts w:hint="eastAsia" w:ascii="Times New Roman" w:hAnsi="Times New Roman" w:eastAsia="宋体" w:cs="Times New Roman"/>
        </w:rPr>
        <w:t>；</w:t>
      </w:r>
    </w:p>
    <w:p w14:paraId="5472A788">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 xml:space="preserve">2 </w:t>
      </w:r>
      <w:r>
        <w:rPr>
          <w:rFonts w:ascii="Times New Roman" w:hAnsi="Times New Roman" w:eastAsia="宋体" w:cs="Times New Roman"/>
        </w:rPr>
        <w:t>当存在下列情况之一时，应判断</w:t>
      </w:r>
      <w:r>
        <w:rPr>
          <w:rFonts w:hint="eastAsia" w:ascii="Times New Roman" w:hAnsi="Times New Roman" w:eastAsia="宋体" w:cs="Times New Roman"/>
        </w:rPr>
        <w:t>为“</w:t>
      </w:r>
      <w:r>
        <w:rPr>
          <w:rFonts w:ascii="Times New Roman" w:hAnsi="Times New Roman" w:eastAsia="宋体" w:cs="Times New Roman"/>
        </w:rPr>
        <w:t>不合格</w:t>
      </w:r>
      <w:r>
        <w:rPr>
          <w:rFonts w:hint="eastAsia" w:ascii="Times New Roman" w:hAnsi="Times New Roman" w:eastAsia="宋体" w:cs="Times New Roman"/>
        </w:rPr>
        <w:t>”</w:t>
      </w:r>
      <w:r>
        <w:rPr>
          <w:rFonts w:ascii="Times New Roman" w:hAnsi="Times New Roman" w:eastAsia="宋体" w:cs="Times New Roman"/>
        </w:rPr>
        <w:t xml:space="preserve">并进行节能改造： </w:t>
      </w:r>
    </w:p>
    <w:p w14:paraId="2AB915A9">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照明功率密度不满足国家现行</w:t>
      </w:r>
      <w:r>
        <w:rPr>
          <w:rFonts w:hint="eastAsia" w:ascii="Times New Roman" w:hAnsi="Times New Roman" w:eastAsia="宋体" w:cs="Times New Roman"/>
        </w:rPr>
        <w:t>有关</w:t>
      </w:r>
      <w:r>
        <w:rPr>
          <w:rFonts w:ascii="Times New Roman" w:hAnsi="Times New Roman" w:eastAsia="宋体" w:cs="Times New Roman"/>
        </w:rPr>
        <w:t>标准的规定；</w:t>
      </w:r>
    </w:p>
    <w:p w14:paraId="5B425960">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照明</w:t>
      </w:r>
      <w:r>
        <w:rPr>
          <w:rFonts w:hint="eastAsia" w:ascii="Times New Roman" w:hAnsi="Times New Roman" w:eastAsia="宋体" w:cs="Times New Roman"/>
        </w:rPr>
        <w:t>产品和插座上的</w:t>
      </w:r>
      <w:r>
        <w:rPr>
          <w:rFonts w:ascii="Times New Roman" w:hAnsi="Times New Roman" w:eastAsia="宋体" w:cs="Times New Roman"/>
        </w:rPr>
        <w:t>设备能效低于</w:t>
      </w:r>
      <w:bookmarkStart w:id="81" w:name="OLE_LINK7"/>
      <w:r>
        <w:rPr>
          <w:rFonts w:ascii="Times New Roman" w:hAnsi="Times New Roman" w:eastAsia="宋体" w:cs="Times New Roman"/>
        </w:rPr>
        <w:t>现行</w:t>
      </w:r>
      <w:r>
        <w:rPr>
          <w:rFonts w:hint="eastAsia" w:ascii="Times New Roman" w:hAnsi="Times New Roman" w:eastAsia="宋体" w:cs="Times New Roman"/>
        </w:rPr>
        <w:t>有关</w:t>
      </w:r>
      <w:r>
        <w:rPr>
          <w:rFonts w:ascii="Times New Roman" w:hAnsi="Times New Roman" w:eastAsia="宋体" w:cs="Times New Roman"/>
        </w:rPr>
        <w:t>标准</w:t>
      </w:r>
      <w:r>
        <w:rPr>
          <w:rFonts w:hint="eastAsia" w:ascii="Times New Roman" w:hAnsi="Times New Roman" w:eastAsia="宋体" w:cs="Times New Roman"/>
        </w:rPr>
        <w:t>规定的</w:t>
      </w:r>
      <w:r>
        <w:rPr>
          <w:rFonts w:ascii="Times New Roman" w:hAnsi="Times New Roman" w:eastAsia="宋体" w:cs="Times New Roman"/>
        </w:rPr>
        <w:t>能效限</w:t>
      </w:r>
      <w:r>
        <w:rPr>
          <w:rFonts w:hint="eastAsia" w:ascii="Times New Roman" w:hAnsi="Times New Roman" w:eastAsia="宋体" w:cs="Times New Roman"/>
        </w:rPr>
        <w:t>定</w:t>
      </w:r>
      <w:r>
        <w:rPr>
          <w:rFonts w:ascii="Times New Roman" w:hAnsi="Times New Roman" w:eastAsia="宋体" w:cs="Times New Roman"/>
        </w:rPr>
        <w:t>值或</w:t>
      </w:r>
      <w:r>
        <w:rPr>
          <w:rFonts w:hint="eastAsia" w:ascii="Times New Roman" w:hAnsi="Times New Roman" w:eastAsia="宋体" w:cs="Times New Roman"/>
        </w:rPr>
        <w:t>最低</w:t>
      </w:r>
      <w:r>
        <w:rPr>
          <w:rFonts w:ascii="Times New Roman" w:hAnsi="Times New Roman" w:eastAsia="宋体" w:cs="Times New Roman"/>
        </w:rPr>
        <w:t>能效等级要求</w:t>
      </w:r>
      <w:bookmarkEnd w:id="81"/>
      <w:r>
        <w:rPr>
          <w:rFonts w:hint="eastAsia" w:ascii="Times New Roman" w:hAnsi="Times New Roman" w:eastAsia="宋体" w:cs="Times New Roman"/>
        </w:rPr>
        <w:t>。</w:t>
      </w:r>
    </w:p>
    <w:p w14:paraId="72CCFB6B">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6</w:t>
      </w:r>
      <w:r>
        <w:rPr>
          <w:rFonts w:ascii="Times New Roman" w:hAnsi="Times New Roman" w:eastAsia="宋体" w:cs="Times New Roman"/>
        </w:rPr>
        <w:t xml:space="preserve"> 动力设备的分项</w:t>
      </w:r>
      <w:r>
        <w:rPr>
          <w:rFonts w:hint="eastAsia" w:ascii="Times New Roman" w:hAnsi="Times New Roman" w:eastAsia="宋体" w:cs="Times New Roman"/>
        </w:rPr>
        <w:t>能效</w:t>
      </w:r>
      <w:r>
        <w:rPr>
          <w:rFonts w:ascii="Times New Roman" w:hAnsi="Times New Roman" w:eastAsia="宋体" w:cs="Times New Roman"/>
        </w:rPr>
        <w:t>性能</w:t>
      </w:r>
      <w:r>
        <w:rPr>
          <w:rFonts w:hint="eastAsia" w:ascii="Times New Roman" w:hAnsi="Times New Roman" w:eastAsia="宋体" w:cs="Times New Roman"/>
        </w:rPr>
        <w:t>评估</w:t>
      </w:r>
      <w:r>
        <w:rPr>
          <w:rFonts w:ascii="Times New Roman" w:hAnsi="Times New Roman" w:eastAsia="宋体" w:cs="Times New Roman"/>
        </w:rPr>
        <w:t>应符合下列要求：</w:t>
      </w:r>
    </w:p>
    <w:p w14:paraId="4F0DD2AE">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1 评估</w:t>
      </w:r>
      <w:r>
        <w:rPr>
          <w:rFonts w:ascii="Times New Roman" w:hAnsi="Times New Roman" w:eastAsia="宋体" w:cs="Times New Roman"/>
        </w:rPr>
        <w:t>内容应符合《公共建筑节能改造技术规范》JGJ 176和《既有公共建筑节能改造技术规程》DB34/T 5057的规定</w:t>
      </w:r>
      <w:r>
        <w:rPr>
          <w:rFonts w:hint="eastAsia" w:ascii="Times New Roman" w:hAnsi="Times New Roman" w:eastAsia="宋体" w:cs="Times New Roman"/>
        </w:rPr>
        <w:t>；</w:t>
      </w:r>
    </w:p>
    <w:p w14:paraId="3BD603A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 xml:space="preserve">2 </w:t>
      </w:r>
      <w:r>
        <w:rPr>
          <w:rFonts w:ascii="Times New Roman" w:hAnsi="Times New Roman" w:eastAsia="宋体" w:cs="Times New Roman"/>
        </w:rPr>
        <w:t>当存在下列情况之一时，应判断为“不合格”并进行节能改造：</w:t>
      </w:r>
    </w:p>
    <w:p w14:paraId="7182EDDB">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动力设备能效不满足现行</w:t>
      </w:r>
      <w:r>
        <w:rPr>
          <w:rFonts w:hint="eastAsia" w:ascii="Times New Roman" w:hAnsi="Times New Roman" w:eastAsia="宋体" w:cs="Times New Roman"/>
        </w:rPr>
        <w:t>有关</w:t>
      </w:r>
      <w:r>
        <w:rPr>
          <w:rFonts w:ascii="Times New Roman" w:hAnsi="Times New Roman" w:eastAsia="宋体" w:cs="Times New Roman"/>
        </w:rPr>
        <w:t>标准的限值规定；</w:t>
      </w:r>
    </w:p>
    <w:p w14:paraId="249BDF52">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乘客电梯和载货电梯设备的能源效率等级低于现行</w:t>
      </w:r>
      <w:r>
        <w:rPr>
          <w:rFonts w:hint="eastAsia" w:ascii="Times New Roman" w:hAnsi="Times New Roman" w:eastAsia="宋体" w:cs="Times New Roman"/>
        </w:rPr>
        <w:t>有</w:t>
      </w:r>
      <w:r>
        <w:rPr>
          <w:rFonts w:ascii="Times New Roman" w:hAnsi="Times New Roman" w:eastAsia="宋体" w:cs="Times New Roman"/>
        </w:rPr>
        <w:t>关标准的最低等级</w:t>
      </w:r>
      <w:r>
        <w:rPr>
          <w:rFonts w:hint="eastAsia" w:ascii="Times New Roman" w:hAnsi="Times New Roman" w:eastAsia="宋体" w:cs="Times New Roman"/>
        </w:rPr>
        <w:t>要求</w:t>
      </w:r>
      <w:r>
        <w:rPr>
          <w:rFonts w:ascii="Times New Roman" w:hAnsi="Times New Roman" w:eastAsia="宋体" w:cs="Times New Roman"/>
        </w:rPr>
        <w:t>；</w:t>
      </w:r>
    </w:p>
    <w:p w14:paraId="6A5198F7">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自动扶梯和自动人行道的能量性能等级低于现行</w:t>
      </w:r>
      <w:r>
        <w:rPr>
          <w:rFonts w:hint="eastAsia" w:ascii="Times New Roman" w:hAnsi="Times New Roman" w:eastAsia="宋体" w:cs="Times New Roman"/>
        </w:rPr>
        <w:t>有</w:t>
      </w:r>
      <w:r>
        <w:rPr>
          <w:rFonts w:ascii="Times New Roman" w:hAnsi="Times New Roman" w:eastAsia="宋体" w:cs="Times New Roman"/>
        </w:rPr>
        <w:t>关标准的最低等级</w:t>
      </w:r>
      <w:r>
        <w:rPr>
          <w:rFonts w:hint="eastAsia" w:ascii="Times New Roman" w:hAnsi="Times New Roman" w:eastAsia="宋体" w:cs="Times New Roman"/>
        </w:rPr>
        <w:t>要求</w:t>
      </w:r>
      <w:r>
        <w:rPr>
          <w:rFonts w:ascii="Times New Roman" w:hAnsi="Times New Roman" w:eastAsia="宋体" w:cs="Times New Roman"/>
        </w:rPr>
        <w:t>；</w:t>
      </w:r>
    </w:p>
    <w:p w14:paraId="499B2C49">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iCs/>
        </w:rPr>
        <w:t>清水离心泵</w:t>
      </w:r>
      <w:r>
        <w:rPr>
          <w:rFonts w:ascii="Times New Roman" w:hAnsi="Times New Roman" w:eastAsia="宋体" w:cs="Times New Roman"/>
        </w:rPr>
        <w:t>能效低于现行</w:t>
      </w:r>
      <w:r>
        <w:rPr>
          <w:rFonts w:hint="eastAsia" w:ascii="Times New Roman" w:hAnsi="Times New Roman" w:eastAsia="宋体" w:cs="Times New Roman"/>
        </w:rPr>
        <w:t>有关</w:t>
      </w:r>
      <w:r>
        <w:rPr>
          <w:rFonts w:ascii="Times New Roman" w:hAnsi="Times New Roman" w:eastAsia="宋体" w:cs="Times New Roman"/>
        </w:rPr>
        <w:t>标准规定的节能评价值，其他类型水泵能效低于现行</w:t>
      </w:r>
      <w:r>
        <w:rPr>
          <w:rFonts w:hint="eastAsia" w:ascii="Times New Roman" w:hAnsi="Times New Roman" w:eastAsia="宋体" w:cs="Times New Roman"/>
        </w:rPr>
        <w:t>有关</w:t>
      </w:r>
      <w:r>
        <w:rPr>
          <w:rFonts w:ascii="Times New Roman" w:hAnsi="Times New Roman" w:eastAsia="宋体" w:cs="Times New Roman"/>
        </w:rPr>
        <w:t>标准</w:t>
      </w:r>
      <w:r>
        <w:rPr>
          <w:rFonts w:hint="eastAsia" w:ascii="Times New Roman" w:hAnsi="Times New Roman" w:eastAsia="宋体" w:cs="Times New Roman"/>
        </w:rPr>
        <w:t>规定</w:t>
      </w:r>
      <w:r>
        <w:rPr>
          <w:rFonts w:ascii="Times New Roman" w:hAnsi="Times New Roman" w:eastAsia="宋体" w:cs="Times New Roman"/>
        </w:rPr>
        <w:t>的能效限定值；</w:t>
      </w:r>
    </w:p>
    <w:p w14:paraId="1410AA87">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风机效率低于现行</w:t>
      </w:r>
      <w:r>
        <w:rPr>
          <w:rFonts w:hint="eastAsia" w:ascii="Times New Roman" w:hAnsi="Times New Roman" w:eastAsia="宋体" w:cs="Times New Roman"/>
        </w:rPr>
        <w:t>有关</w:t>
      </w:r>
      <w:r>
        <w:rPr>
          <w:rFonts w:ascii="Times New Roman" w:hAnsi="Times New Roman" w:eastAsia="宋体" w:cs="Times New Roman"/>
        </w:rPr>
        <w:t>标准的最低能效等级</w:t>
      </w:r>
      <w:r>
        <w:rPr>
          <w:rFonts w:hint="eastAsia" w:ascii="Times New Roman" w:hAnsi="Times New Roman" w:eastAsia="宋体" w:cs="Times New Roman"/>
        </w:rPr>
        <w:t>要求</w:t>
      </w:r>
      <w:r>
        <w:rPr>
          <w:rFonts w:ascii="Times New Roman" w:hAnsi="Times New Roman" w:eastAsia="宋体" w:cs="Times New Roman"/>
        </w:rPr>
        <w:t>；</w:t>
      </w:r>
    </w:p>
    <w:p w14:paraId="65E74CFD">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（6）</w:t>
      </w:r>
      <w:r>
        <w:rPr>
          <w:rFonts w:ascii="Times New Roman" w:hAnsi="Times New Roman" w:eastAsia="宋体" w:cs="Times New Roman"/>
        </w:rPr>
        <w:t>电动机的效率低于现行</w:t>
      </w:r>
      <w:r>
        <w:rPr>
          <w:rFonts w:hint="eastAsia" w:ascii="Times New Roman" w:hAnsi="Times New Roman" w:eastAsia="宋体" w:cs="Times New Roman"/>
        </w:rPr>
        <w:t>有关</w:t>
      </w:r>
      <w:r>
        <w:rPr>
          <w:rFonts w:ascii="Times New Roman" w:hAnsi="Times New Roman" w:eastAsia="宋体" w:cs="Times New Roman"/>
        </w:rPr>
        <w:t>标准规定的能效限定值；</w:t>
      </w:r>
    </w:p>
    <w:p w14:paraId="10BE2061">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（7）</w:t>
      </w:r>
      <w:r>
        <w:rPr>
          <w:rFonts w:ascii="Times New Roman" w:hAnsi="Times New Roman" w:eastAsia="宋体" w:cs="Times New Roman"/>
        </w:rPr>
        <w:t>其他动力设备的能效不满足现行</w:t>
      </w:r>
      <w:r>
        <w:rPr>
          <w:rFonts w:hint="eastAsia" w:ascii="Times New Roman" w:hAnsi="Times New Roman" w:eastAsia="宋体" w:cs="Times New Roman"/>
        </w:rPr>
        <w:t>有关</w:t>
      </w:r>
      <w:r>
        <w:rPr>
          <w:rFonts w:ascii="Times New Roman" w:hAnsi="Times New Roman" w:eastAsia="宋体" w:cs="Times New Roman"/>
        </w:rPr>
        <w:t>标准规定的能效限定值或最低能效等级要求。</w:t>
      </w:r>
    </w:p>
    <w:p w14:paraId="71F7F914">
      <w:pPr>
        <w:spacing w:line="360" w:lineRule="auto"/>
        <w:rPr>
          <w:rFonts w:ascii="Times New Roman" w:hAnsi="Times New Roman" w:eastAsia="宋体" w:cs="Times New Roman"/>
        </w:rPr>
      </w:pPr>
      <w:bookmarkStart w:id="82" w:name="_Toc2173"/>
      <w:r>
        <w:rPr>
          <w:rFonts w:ascii="Times New Roman" w:hAnsi="Times New Roman" w:eastAsia="宋体" w:cs="Times New Roman"/>
        </w:rPr>
        <w:t>5.2.1</w:t>
      </w:r>
      <w:r>
        <w:rPr>
          <w:rFonts w:hint="eastAsia" w:ascii="Times New Roman" w:hAnsi="Times New Roman" w:eastAsia="宋体" w:cs="Times New Roman"/>
        </w:rPr>
        <w:t>7</w:t>
      </w:r>
      <w:r>
        <w:rPr>
          <w:rFonts w:ascii="Times New Roman" w:hAnsi="Times New Roman" w:eastAsia="宋体" w:cs="Times New Roman"/>
        </w:rPr>
        <w:t xml:space="preserve"> 特殊设备</w:t>
      </w:r>
      <w:r>
        <w:rPr>
          <w:rFonts w:hint="eastAsia" w:ascii="Times New Roman" w:hAnsi="Times New Roman" w:eastAsia="宋体" w:cs="Times New Roman"/>
        </w:rPr>
        <w:t>分项能效性能评估</w:t>
      </w:r>
      <w:r>
        <w:rPr>
          <w:rFonts w:ascii="Times New Roman" w:hAnsi="Times New Roman" w:eastAsia="宋体" w:cs="Times New Roman"/>
        </w:rPr>
        <w:t>应执行</w:t>
      </w:r>
      <w:r>
        <w:rPr>
          <w:rFonts w:hint="eastAsia" w:ascii="Times New Roman" w:hAnsi="Times New Roman" w:eastAsia="宋体" w:cs="Times New Roman"/>
        </w:rPr>
        <w:t>该</w:t>
      </w:r>
      <w:r>
        <w:rPr>
          <w:rFonts w:ascii="Times New Roman" w:hAnsi="Times New Roman" w:eastAsia="宋体" w:cs="Times New Roman"/>
        </w:rPr>
        <w:t>设备类型</w:t>
      </w:r>
      <w:r>
        <w:rPr>
          <w:rFonts w:hint="eastAsia" w:ascii="Times New Roman" w:hAnsi="Times New Roman" w:eastAsia="宋体" w:cs="Times New Roman"/>
        </w:rPr>
        <w:t>对应的</w:t>
      </w:r>
      <w:r>
        <w:rPr>
          <w:rFonts w:ascii="Times New Roman" w:hAnsi="Times New Roman" w:eastAsia="宋体" w:cs="Times New Roman"/>
        </w:rPr>
        <w:t>国家</w:t>
      </w:r>
      <w:r>
        <w:rPr>
          <w:rFonts w:hint="eastAsia" w:ascii="Times New Roman" w:hAnsi="Times New Roman" w:eastAsia="宋体" w:cs="Times New Roman"/>
        </w:rPr>
        <w:t>和</w:t>
      </w:r>
      <w:r>
        <w:rPr>
          <w:rFonts w:ascii="Times New Roman" w:hAnsi="Times New Roman" w:eastAsia="宋体" w:cs="Times New Roman"/>
        </w:rPr>
        <w:t>地方</w:t>
      </w:r>
      <w:r>
        <w:rPr>
          <w:rFonts w:hint="eastAsia" w:ascii="Times New Roman" w:hAnsi="Times New Roman" w:eastAsia="宋体" w:cs="Times New Roman"/>
        </w:rPr>
        <w:t>现行</w:t>
      </w:r>
      <w:r>
        <w:rPr>
          <w:rFonts w:ascii="Times New Roman" w:hAnsi="Times New Roman" w:eastAsia="宋体" w:cs="Times New Roman"/>
        </w:rPr>
        <w:t>标准</w:t>
      </w:r>
      <w:r>
        <w:rPr>
          <w:rFonts w:hint="eastAsia" w:ascii="Times New Roman" w:hAnsi="Times New Roman" w:eastAsia="宋体" w:cs="Times New Roman"/>
        </w:rPr>
        <w:t>。当</w:t>
      </w:r>
      <w:r>
        <w:rPr>
          <w:rFonts w:ascii="Times New Roman" w:hAnsi="Times New Roman" w:eastAsia="宋体" w:cs="Times New Roman"/>
        </w:rPr>
        <w:t>能效低于标准规定的能效</w:t>
      </w:r>
      <w:r>
        <w:rPr>
          <w:rFonts w:hint="eastAsia" w:ascii="Times New Roman" w:hAnsi="Times New Roman" w:eastAsia="宋体" w:cs="Times New Roman"/>
        </w:rPr>
        <w:t>限定值或</w:t>
      </w:r>
      <w:r>
        <w:rPr>
          <w:rFonts w:ascii="Times New Roman" w:hAnsi="Times New Roman" w:eastAsia="宋体" w:cs="Times New Roman"/>
        </w:rPr>
        <w:t>最低能效等级要求</w:t>
      </w:r>
      <w:r>
        <w:rPr>
          <w:rFonts w:hint="eastAsia" w:ascii="Times New Roman" w:hAnsi="Times New Roman" w:eastAsia="宋体" w:cs="Times New Roman"/>
        </w:rPr>
        <w:t>时</w:t>
      </w:r>
      <w:r>
        <w:rPr>
          <w:rFonts w:ascii="Times New Roman" w:hAnsi="Times New Roman" w:eastAsia="宋体" w:cs="Times New Roman"/>
        </w:rPr>
        <w:t>，应判断为“不合格”并进行节能改造。</w:t>
      </w:r>
    </w:p>
    <w:p w14:paraId="52F16A69">
      <w:pPr>
        <w:spacing w:line="360" w:lineRule="auto"/>
        <w:rPr>
          <w:rFonts w:ascii="Times New Roman" w:hAnsi="Times New Roman" w:eastAsia="宋体" w:cs="Times New Roman"/>
        </w:rPr>
      </w:pPr>
      <w:r>
        <w:rPr>
          <w:rFonts w:ascii="Times New Roman" w:hAnsi="Times New Roman" w:eastAsia="宋体" w:cs="Times New Roman"/>
        </w:rPr>
        <w:t>5.2.1</w:t>
      </w:r>
      <w:r>
        <w:rPr>
          <w:rFonts w:hint="eastAsia" w:ascii="Times New Roman" w:hAnsi="Times New Roman" w:eastAsia="宋体" w:cs="Times New Roman"/>
        </w:rPr>
        <w:t>8</w:t>
      </w:r>
      <w:r>
        <w:rPr>
          <w:rFonts w:ascii="Times New Roman" w:hAnsi="Times New Roman" w:eastAsia="宋体" w:cs="Times New Roman"/>
        </w:rPr>
        <w:t xml:space="preserve"> </w:t>
      </w:r>
      <w:r>
        <w:rPr>
          <w:rFonts w:hint="eastAsia" w:ascii="Times New Roman" w:hAnsi="Times New Roman" w:eastAsia="宋体" w:cs="Times New Roman"/>
        </w:rPr>
        <w:t>供配电系统设备、</w:t>
      </w:r>
      <w:bookmarkStart w:id="83" w:name="OLE_LINK2"/>
      <w:bookmarkStart w:id="84" w:name="OLE_LINK5"/>
      <w:r>
        <w:rPr>
          <w:rFonts w:hint="eastAsia" w:ascii="Times New Roman" w:hAnsi="Times New Roman" w:eastAsia="宋体" w:cs="Times New Roman"/>
        </w:rPr>
        <w:t>生活热水系统</w:t>
      </w:r>
      <w:bookmarkEnd w:id="83"/>
      <w:r>
        <w:rPr>
          <w:rFonts w:hint="eastAsia" w:ascii="Times New Roman" w:hAnsi="Times New Roman" w:eastAsia="宋体" w:cs="Times New Roman"/>
        </w:rPr>
        <w:t>设备</w:t>
      </w:r>
      <w:bookmarkEnd w:id="84"/>
      <w:r>
        <w:rPr>
          <w:rFonts w:hint="eastAsia" w:ascii="Times New Roman" w:hAnsi="Times New Roman" w:eastAsia="宋体" w:cs="Times New Roman"/>
        </w:rPr>
        <w:t>及其他未列入分项能耗设备的能效性能评估</w:t>
      </w:r>
      <w:r>
        <w:rPr>
          <w:rFonts w:ascii="Times New Roman" w:hAnsi="Times New Roman" w:eastAsia="宋体" w:cs="Times New Roman"/>
        </w:rPr>
        <w:t>应符合下列要求：</w:t>
      </w:r>
    </w:p>
    <w:p w14:paraId="29ED8CC2">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 xml:space="preserve">1 </w:t>
      </w:r>
      <w:bookmarkStart w:id="85" w:name="OLE_LINK8"/>
      <w:r>
        <w:rPr>
          <w:rFonts w:hint="eastAsia" w:ascii="Times New Roman" w:hAnsi="Times New Roman" w:eastAsia="宋体" w:cs="Times New Roman"/>
        </w:rPr>
        <w:t>供配电系统设备</w:t>
      </w:r>
      <w:r>
        <w:rPr>
          <w:rFonts w:ascii="Times New Roman" w:hAnsi="Times New Roman" w:eastAsia="宋体" w:cs="Times New Roman"/>
        </w:rPr>
        <w:t>、生活热水系统</w:t>
      </w:r>
      <w:bookmarkEnd w:id="85"/>
      <w:r>
        <w:rPr>
          <w:rFonts w:hint="eastAsia" w:ascii="Times New Roman" w:hAnsi="Times New Roman" w:eastAsia="宋体" w:cs="Times New Roman"/>
        </w:rPr>
        <w:t>设备评估</w:t>
      </w:r>
      <w:r>
        <w:rPr>
          <w:rFonts w:ascii="Times New Roman" w:hAnsi="Times New Roman" w:eastAsia="宋体" w:cs="Times New Roman"/>
        </w:rPr>
        <w:t>内容应符合《公共建筑节能改造技术规范》JGJ 176和《既有公共建筑节能改造技术规程》DB34/T 5057的规定</w:t>
      </w:r>
      <w:r>
        <w:rPr>
          <w:rFonts w:hint="eastAsia" w:ascii="Times New Roman" w:hAnsi="Times New Roman" w:eastAsia="宋体" w:cs="Times New Roman"/>
        </w:rPr>
        <w:t>。</w:t>
      </w:r>
      <w:r>
        <w:rPr>
          <w:rFonts w:ascii="Times New Roman" w:hAnsi="Times New Roman" w:eastAsia="宋体" w:cs="Times New Roman"/>
        </w:rPr>
        <w:t>当存在下列情况之一时，应判断为“不合格”并进行节能改造：</w:t>
      </w:r>
    </w:p>
    <w:p w14:paraId="0A53F262">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（1）</w:t>
      </w:r>
      <w:bookmarkStart w:id="86" w:name="OLE_LINK1"/>
      <w:r>
        <w:rPr>
          <w:rFonts w:hint="eastAsia" w:ascii="Times New Roman" w:hAnsi="Times New Roman" w:eastAsia="宋体" w:cs="Times New Roman"/>
        </w:rPr>
        <w:t>供配电系统设备、</w:t>
      </w:r>
      <w:bookmarkStart w:id="87" w:name="OLE_LINK6"/>
      <w:r>
        <w:rPr>
          <w:rFonts w:ascii="Times New Roman" w:hAnsi="Times New Roman" w:eastAsia="宋体" w:cs="Times New Roman"/>
        </w:rPr>
        <w:t>生活热水</w:t>
      </w:r>
      <w:bookmarkEnd w:id="87"/>
      <w:r>
        <w:rPr>
          <w:rFonts w:ascii="Times New Roman" w:hAnsi="Times New Roman" w:eastAsia="宋体" w:cs="Times New Roman"/>
        </w:rPr>
        <w:t>系统</w:t>
      </w:r>
      <w:r>
        <w:rPr>
          <w:rFonts w:hint="eastAsia" w:ascii="Times New Roman" w:hAnsi="Times New Roman" w:eastAsia="宋体" w:cs="Times New Roman"/>
        </w:rPr>
        <w:t>设备</w:t>
      </w:r>
      <w:r>
        <w:rPr>
          <w:rFonts w:ascii="Times New Roman" w:hAnsi="Times New Roman" w:eastAsia="宋体" w:cs="Times New Roman"/>
        </w:rPr>
        <w:t>能效</w:t>
      </w:r>
      <w:bookmarkEnd w:id="86"/>
      <w:r>
        <w:rPr>
          <w:rFonts w:ascii="Times New Roman" w:hAnsi="Times New Roman" w:eastAsia="宋体" w:cs="Times New Roman"/>
        </w:rPr>
        <w:t>不满足现行国家和地方节能设计标准的限值规定；</w:t>
      </w:r>
    </w:p>
    <w:p w14:paraId="4611CBDC">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电力变压器、接触器</w:t>
      </w:r>
      <w:r>
        <w:rPr>
          <w:rFonts w:hint="eastAsia" w:ascii="Times New Roman" w:hAnsi="Times New Roman" w:eastAsia="宋体" w:cs="Times New Roman"/>
        </w:rPr>
        <w:t>、热水器</w:t>
      </w:r>
      <w:r>
        <w:rPr>
          <w:rFonts w:ascii="Times New Roman" w:hAnsi="Times New Roman" w:eastAsia="宋体" w:cs="Times New Roman"/>
        </w:rPr>
        <w:t>产品的能效低于现行</w:t>
      </w:r>
      <w:r>
        <w:rPr>
          <w:rFonts w:hint="eastAsia" w:ascii="Times New Roman" w:hAnsi="Times New Roman" w:eastAsia="宋体" w:cs="Times New Roman"/>
        </w:rPr>
        <w:t>有关</w:t>
      </w:r>
      <w:r>
        <w:rPr>
          <w:rFonts w:ascii="Times New Roman" w:hAnsi="Times New Roman" w:eastAsia="宋体" w:cs="Times New Roman"/>
        </w:rPr>
        <w:t>标准</w:t>
      </w:r>
      <w:r>
        <w:rPr>
          <w:rFonts w:hint="eastAsia" w:ascii="Times New Roman" w:hAnsi="Times New Roman" w:eastAsia="宋体" w:cs="Times New Roman"/>
        </w:rPr>
        <w:t>规定</w:t>
      </w:r>
      <w:r>
        <w:rPr>
          <w:rFonts w:ascii="Times New Roman" w:hAnsi="Times New Roman" w:eastAsia="宋体" w:cs="Times New Roman"/>
        </w:rPr>
        <w:t xml:space="preserve">的能效限定值或最低能效等级要求； </w:t>
      </w:r>
    </w:p>
    <w:p w14:paraId="6CE7407E">
      <w:pPr>
        <w:spacing w:line="360" w:lineRule="auto"/>
        <w:ind w:firstLine="840" w:firstLineChars="400"/>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三相负荷的不平衡率不符合</w:t>
      </w:r>
      <w:r>
        <w:rPr>
          <w:rFonts w:hint="eastAsia" w:ascii="Times New Roman" w:hAnsi="Times New Roman" w:eastAsia="宋体" w:cs="Times New Roman"/>
        </w:rPr>
        <w:t>有关</w:t>
      </w:r>
      <w:r>
        <w:rPr>
          <w:rFonts w:ascii="Times New Roman" w:hAnsi="Times New Roman" w:eastAsia="宋体" w:cs="Times New Roman"/>
        </w:rPr>
        <w:t>标准的要求</w:t>
      </w:r>
      <w:r>
        <w:rPr>
          <w:rFonts w:hint="eastAsia" w:ascii="Times New Roman" w:hAnsi="Times New Roman" w:eastAsia="宋体" w:cs="Times New Roman"/>
        </w:rPr>
        <w:t>。</w:t>
      </w:r>
    </w:p>
    <w:p w14:paraId="1E6B9636">
      <w:pPr>
        <w:spacing w:line="360" w:lineRule="auto"/>
        <w:ind w:firstLine="420" w:firstLineChars="200"/>
        <w:rPr>
          <w:rFonts w:ascii="Times New Roman" w:hAnsi="Times New Roman" w:eastAsia="楷体" w:cs="Times New Roman"/>
          <w:iCs/>
          <w:szCs w:val="21"/>
        </w:rPr>
      </w:pPr>
      <w:r>
        <w:rPr>
          <w:rFonts w:hint="eastAsia" w:ascii="Times New Roman" w:hAnsi="Times New Roman" w:eastAsia="宋体" w:cs="Times New Roman"/>
        </w:rPr>
        <w:t>2 其他未列入分项能耗设备能效性能评估</w:t>
      </w:r>
      <w:r>
        <w:rPr>
          <w:rFonts w:ascii="Times New Roman" w:hAnsi="Times New Roman" w:eastAsia="宋体" w:cs="Times New Roman"/>
        </w:rPr>
        <w:t>执行</w:t>
      </w:r>
      <w:r>
        <w:rPr>
          <w:rFonts w:hint="eastAsia" w:ascii="Times New Roman" w:hAnsi="Times New Roman" w:eastAsia="宋体" w:cs="Times New Roman"/>
        </w:rPr>
        <w:t>该</w:t>
      </w:r>
      <w:r>
        <w:rPr>
          <w:rFonts w:ascii="Times New Roman" w:hAnsi="Times New Roman" w:eastAsia="宋体" w:cs="Times New Roman"/>
        </w:rPr>
        <w:t>设备类型</w:t>
      </w:r>
      <w:r>
        <w:rPr>
          <w:rFonts w:hint="eastAsia" w:ascii="Times New Roman" w:hAnsi="Times New Roman" w:eastAsia="宋体" w:cs="Times New Roman"/>
        </w:rPr>
        <w:t>对应的</w:t>
      </w:r>
      <w:r>
        <w:rPr>
          <w:rFonts w:ascii="Times New Roman" w:hAnsi="Times New Roman" w:eastAsia="宋体" w:cs="Times New Roman"/>
        </w:rPr>
        <w:t>国家</w:t>
      </w:r>
      <w:r>
        <w:rPr>
          <w:rFonts w:hint="eastAsia" w:ascii="Times New Roman" w:hAnsi="Times New Roman" w:eastAsia="宋体" w:cs="Times New Roman"/>
        </w:rPr>
        <w:t>和</w:t>
      </w:r>
      <w:r>
        <w:rPr>
          <w:rFonts w:ascii="Times New Roman" w:hAnsi="Times New Roman" w:eastAsia="宋体" w:cs="Times New Roman"/>
        </w:rPr>
        <w:t>地方</w:t>
      </w:r>
      <w:r>
        <w:rPr>
          <w:rFonts w:hint="eastAsia" w:ascii="Times New Roman" w:hAnsi="Times New Roman" w:eastAsia="宋体" w:cs="Times New Roman"/>
        </w:rPr>
        <w:t>现行</w:t>
      </w:r>
      <w:r>
        <w:rPr>
          <w:rFonts w:ascii="Times New Roman" w:hAnsi="Times New Roman" w:eastAsia="宋体" w:cs="Times New Roman"/>
        </w:rPr>
        <w:t>标准</w:t>
      </w:r>
      <w:r>
        <w:rPr>
          <w:rFonts w:hint="eastAsia" w:ascii="Times New Roman" w:hAnsi="Times New Roman" w:eastAsia="宋体" w:cs="Times New Roman"/>
        </w:rPr>
        <w:t>。当</w:t>
      </w:r>
      <w:r>
        <w:rPr>
          <w:rFonts w:ascii="Times New Roman" w:hAnsi="Times New Roman" w:eastAsia="宋体" w:cs="Times New Roman"/>
        </w:rPr>
        <w:t>能效低于标准规定的</w:t>
      </w:r>
      <w:r>
        <w:rPr>
          <w:rFonts w:hint="eastAsia" w:ascii="Times New Roman" w:hAnsi="Times New Roman" w:eastAsia="宋体" w:cs="Times New Roman"/>
        </w:rPr>
        <w:t>能效限定值或</w:t>
      </w:r>
      <w:r>
        <w:rPr>
          <w:rFonts w:ascii="Times New Roman" w:hAnsi="Times New Roman" w:eastAsia="宋体" w:cs="Times New Roman"/>
        </w:rPr>
        <w:t>最低能效等级</w:t>
      </w:r>
      <w:r>
        <w:rPr>
          <w:rFonts w:hint="eastAsia" w:ascii="Times New Roman" w:hAnsi="Times New Roman" w:eastAsia="宋体" w:cs="Times New Roman"/>
        </w:rPr>
        <w:t>要求时</w:t>
      </w:r>
      <w:r>
        <w:rPr>
          <w:rFonts w:ascii="Times New Roman" w:hAnsi="Times New Roman" w:eastAsia="宋体" w:cs="Times New Roman"/>
        </w:rPr>
        <w:t>，应判断为“不合格”并进行节能改造。</w:t>
      </w:r>
    </w:p>
    <w:p w14:paraId="7E396EC9">
      <w:pPr>
        <w:pStyle w:val="3"/>
        <w:jc w:val="center"/>
        <w:rPr>
          <w:rFonts w:ascii="Times New Roman" w:hAnsi="Times New Roman" w:eastAsia="宋体" w:cs="Times New Roman"/>
          <w:sz w:val="28"/>
          <w:szCs w:val="28"/>
        </w:rPr>
      </w:pPr>
      <w:bookmarkStart w:id="88" w:name="_Toc11478"/>
      <w:r>
        <w:rPr>
          <w:rFonts w:hint="eastAsia" w:ascii="Times New Roman" w:hAnsi="Times New Roman" w:eastAsia="宋体" w:cs="Times New Roman"/>
          <w:sz w:val="28"/>
          <w:szCs w:val="28"/>
        </w:rPr>
        <w:t>5.3 能源管理诊断</w:t>
      </w:r>
      <w:bookmarkEnd w:id="82"/>
      <w:bookmarkEnd w:id="88"/>
    </w:p>
    <w:p w14:paraId="206BFF73">
      <w:pPr>
        <w:spacing w:line="360" w:lineRule="auto"/>
        <w:jc w:val="left"/>
        <w:rPr>
          <w:rFonts w:ascii="Times New Roman" w:hAnsi="Times New Roman" w:cs="Times New Roman" w:eastAsiaTheme="majorEastAsia"/>
          <w:szCs w:val="21"/>
        </w:rPr>
      </w:pPr>
      <w:r>
        <w:rPr>
          <w:rFonts w:ascii="Times New Roman" w:hAnsi="Times New Roman" w:cs="Times New Roman" w:eastAsiaTheme="majorEastAsia"/>
          <w:szCs w:val="21"/>
        </w:rPr>
        <w:t>5.3.1 能源管理诊断应</w:t>
      </w:r>
      <w:r>
        <w:rPr>
          <w:rFonts w:hint="eastAsia" w:ascii="Times New Roman" w:hAnsi="Times New Roman" w:cs="Times New Roman" w:eastAsiaTheme="majorEastAsia"/>
          <w:szCs w:val="21"/>
        </w:rPr>
        <w:t>采用</w:t>
      </w:r>
      <w:r>
        <w:rPr>
          <w:rFonts w:ascii="Times New Roman" w:hAnsi="Times New Roman" w:cs="Times New Roman" w:eastAsiaTheme="majorEastAsia"/>
          <w:szCs w:val="21"/>
        </w:rPr>
        <w:t>性能</w:t>
      </w:r>
      <w:r>
        <w:rPr>
          <w:rFonts w:hint="eastAsia" w:ascii="Times New Roman" w:hAnsi="Times New Roman" w:cs="Times New Roman" w:eastAsiaTheme="majorEastAsia"/>
          <w:szCs w:val="21"/>
        </w:rPr>
        <w:t>评估的方式</w:t>
      </w:r>
      <w:r>
        <w:rPr>
          <w:rFonts w:ascii="Times New Roman" w:hAnsi="Times New Roman" w:cs="Times New Roman" w:eastAsiaTheme="majorEastAsia"/>
          <w:szCs w:val="21"/>
        </w:rPr>
        <w:t>。</w:t>
      </w:r>
    </w:p>
    <w:p w14:paraId="433216FC">
      <w:pPr>
        <w:spacing w:line="360" w:lineRule="auto"/>
        <w:rPr>
          <w:rFonts w:ascii="Times New Roman" w:hAnsi="Times New Roman" w:eastAsia="宋体" w:cs="Times New Roman"/>
        </w:rPr>
      </w:pPr>
      <w:r>
        <w:rPr>
          <w:rFonts w:ascii="Times New Roman" w:hAnsi="Times New Roman" w:eastAsia="宋体" w:cs="Times New Roman"/>
        </w:rPr>
        <w:t>5.3.2 能效等级为I级、II级的公共建筑可进行能源管理诊断，III级和IV级</w:t>
      </w:r>
      <w:r>
        <w:rPr>
          <w:rFonts w:hint="eastAsia" w:ascii="Times New Roman" w:hAnsi="Times New Roman" w:eastAsia="宋体" w:cs="Times New Roman"/>
        </w:rPr>
        <w:t>的</w:t>
      </w:r>
      <w:r>
        <w:rPr>
          <w:rFonts w:ascii="Times New Roman" w:hAnsi="Times New Roman" w:eastAsia="宋体" w:cs="Times New Roman"/>
        </w:rPr>
        <w:t>公共建筑应进行能源管理诊断。能源管理诊断结果不分等级，其结果纳入诊断报告，作为能效提升的依据。</w:t>
      </w:r>
    </w:p>
    <w:p w14:paraId="2EEFA327">
      <w:pPr>
        <w:spacing w:line="360" w:lineRule="auto"/>
        <w:rPr>
          <w:rFonts w:ascii="Times New Roman" w:hAnsi="Times New Roman" w:eastAsia="宋体" w:cs="Times New Roman"/>
        </w:rPr>
      </w:pPr>
      <w:r>
        <w:rPr>
          <w:rFonts w:ascii="Times New Roman" w:hAnsi="Times New Roman" w:eastAsia="宋体" w:cs="Times New Roman"/>
        </w:rPr>
        <w:t>5.3.3 能源管理诊断的内容</w:t>
      </w:r>
      <w:r>
        <w:rPr>
          <w:rFonts w:hint="eastAsia" w:ascii="Times New Roman" w:hAnsi="Times New Roman" w:eastAsia="宋体" w:cs="Times New Roman"/>
        </w:rPr>
        <w:t>应</w:t>
      </w:r>
      <w:r>
        <w:rPr>
          <w:rFonts w:ascii="Times New Roman" w:hAnsi="Times New Roman" w:eastAsia="宋体" w:cs="Times New Roman"/>
        </w:rPr>
        <w:t>包括：</w:t>
      </w:r>
    </w:p>
    <w:p w14:paraId="0FB7AB45">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1 能源管理方针、目标；</w:t>
      </w:r>
    </w:p>
    <w:p w14:paraId="28DCD6C1">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机构设置；</w:t>
      </w:r>
    </w:p>
    <w:p w14:paraId="06473753">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3 制度建设；</w:t>
      </w:r>
    </w:p>
    <w:p w14:paraId="20E9C25F">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4</w:t>
      </w:r>
      <w:r>
        <w:rPr>
          <w:rFonts w:hint="eastAsia" w:ascii="Times New Roman" w:hAnsi="Times New Roman" w:eastAsia="宋体" w:cs="Times New Roman"/>
        </w:rPr>
        <w:t xml:space="preserve"> </w:t>
      </w:r>
      <w:r>
        <w:rPr>
          <w:rFonts w:ascii="Times New Roman" w:hAnsi="Times New Roman" w:eastAsia="宋体" w:cs="Times New Roman"/>
        </w:rPr>
        <w:t>管理绩效；</w:t>
      </w:r>
    </w:p>
    <w:p w14:paraId="7EB500CE">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5</w:t>
      </w:r>
      <w:r>
        <w:rPr>
          <w:rFonts w:hint="eastAsia" w:ascii="Times New Roman" w:hAnsi="Times New Roman" w:eastAsia="宋体" w:cs="Times New Roman"/>
        </w:rPr>
        <w:t xml:space="preserve"> </w:t>
      </w:r>
      <w:r>
        <w:rPr>
          <w:rFonts w:ascii="Times New Roman" w:hAnsi="Times New Roman" w:eastAsia="宋体" w:cs="Times New Roman"/>
        </w:rPr>
        <w:t>能源资源计量及统计状况评估；</w:t>
      </w:r>
    </w:p>
    <w:p w14:paraId="1B40A8DB">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6 是否建立能效监管系统。</w:t>
      </w:r>
    </w:p>
    <w:p w14:paraId="6ED53E2B">
      <w:pPr>
        <w:spacing w:line="360" w:lineRule="auto"/>
        <w:rPr>
          <w:rFonts w:ascii="Times New Roman" w:hAnsi="Times New Roman" w:eastAsia="宋体" w:cs="Times New Roman"/>
        </w:rPr>
      </w:pPr>
      <w:r>
        <w:rPr>
          <w:rFonts w:ascii="Times New Roman" w:hAnsi="Times New Roman" w:eastAsia="宋体" w:cs="Times New Roman"/>
        </w:rPr>
        <w:t>5.3.4</w:t>
      </w:r>
      <w:r>
        <w:rPr>
          <w:rFonts w:hint="eastAsia" w:ascii="Times New Roman" w:hAnsi="Times New Roman" w:eastAsia="宋体" w:cs="Times New Roman"/>
        </w:rPr>
        <w:t xml:space="preserve"> </w:t>
      </w:r>
      <w:r>
        <w:rPr>
          <w:rFonts w:ascii="Times New Roman" w:hAnsi="Times New Roman" w:eastAsia="宋体" w:cs="Times New Roman"/>
        </w:rPr>
        <w:t>能源管理</w:t>
      </w:r>
      <w:r>
        <w:rPr>
          <w:rFonts w:hint="eastAsia" w:ascii="Times New Roman" w:hAnsi="Times New Roman" w:eastAsia="宋体" w:cs="Times New Roman"/>
        </w:rPr>
        <w:t>方针和</w:t>
      </w:r>
      <w:r>
        <w:rPr>
          <w:rFonts w:ascii="Times New Roman" w:hAnsi="Times New Roman" w:eastAsia="宋体" w:cs="Times New Roman"/>
        </w:rPr>
        <w:t>目标应依据《能源管理体系 要求及使用指南》GB/T 23331，对已经明确能源管理目标和方针的公共建筑，考察其合理性；对尚未确立能源管理方针和能源管理目标的单位应进行说明。</w:t>
      </w:r>
    </w:p>
    <w:p w14:paraId="31676194">
      <w:pPr>
        <w:spacing w:line="360" w:lineRule="auto"/>
        <w:rPr>
          <w:rFonts w:ascii="Times New Roman" w:hAnsi="Times New Roman" w:eastAsia="宋体" w:cs="Times New Roman"/>
        </w:rPr>
      </w:pPr>
      <w:r>
        <w:rPr>
          <w:rFonts w:ascii="Times New Roman" w:hAnsi="Times New Roman" w:eastAsia="宋体" w:cs="Times New Roman"/>
        </w:rPr>
        <w:t>5.3.5</w:t>
      </w:r>
      <w:r>
        <w:rPr>
          <w:rFonts w:hint="eastAsia" w:ascii="Times New Roman" w:hAnsi="Times New Roman" w:eastAsia="宋体" w:cs="Times New Roman"/>
        </w:rPr>
        <w:t xml:space="preserve"> </w:t>
      </w:r>
      <w:r>
        <w:rPr>
          <w:rFonts w:ascii="Times New Roman" w:hAnsi="Times New Roman" w:eastAsia="宋体" w:cs="Times New Roman"/>
        </w:rPr>
        <w:t>机构设置应考核公共建筑能源资源管理工作的组织机构及部门设置是否完善，管理职责是否落实。</w:t>
      </w:r>
    </w:p>
    <w:p w14:paraId="29C6B3FB">
      <w:pPr>
        <w:spacing w:line="360" w:lineRule="auto"/>
        <w:rPr>
          <w:rFonts w:ascii="Times New Roman" w:hAnsi="Times New Roman" w:eastAsia="楷体" w:cs="Times New Roman"/>
          <w:iCs/>
          <w:szCs w:val="21"/>
        </w:rPr>
      </w:pPr>
      <w:r>
        <w:rPr>
          <w:rFonts w:ascii="Times New Roman" w:hAnsi="Times New Roman" w:eastAsia="宋体" w:cs="Times New Roman"/>
        </w:rPr>
        <w:t>5.3.6</w:t>
      </w:r>
      <w:r>
        <w:rPr>
          <w:rFonts w:hint="eastAsia" w:ascii="Times New Roman" w:hAnsi="Times New Roman" w:eastAsia="宋体" w:cs="Times New Roman"/>
        </w:rPr>
        <w:t xml:space="preserve"> </w:t>
      </w:r>
      <w:r>
        <w:rPr>
          <w:rFonts w:ascii="Times New Roman" w:hAnsi="Times New Roman" w:eastAsia="宋体" w:cs="Times New Roman"/>
        </w:rPr>
        <w:t>管理制度建设应核查公共建筑能源资源管理制度建设情况，评估有关文件的制定是否系统、完备并得到贯彻执行。</w:t>
      </w:r>
    </w:p>
    <w:p w14:paraId="68AA198F">
      <w:pPr>
        <w:spacing w:line="360" w:lineRule="auto"/>
        <w:rPr>
          <w:rFonts w:ascii="Times New Roman" w:hAnsi="Times New Roman" w:eastAsia="宋体" w:cs="Times New Roman"/>
        </w:rPr>
      </w:pPr>
      <w:r>
        <w:rPr>
          <w:rFonts w:ascii="Times New Roman" w:hAnsi="Times New Roman" w:eastAsia="宋体" w:cs="Times New Roman"/>
        </w:rPr>
        <w:t>5.3.7 管理绩效应依据《公共机构能源资源管理绩效评价导则》GB/T 30260考核公共建筑在能源资源管理方面所开展的工作及其进展情况，评价能源资源管理取得的成绩、存在的问题，提出解决措施及建议。</w:t>
      </w:r>
    </w:p>
    <w:p w14:paraId="750AEF62">
      <w:pPr>
        <w:spacing w:line="360" w:lineRule="auto"/>
        <w:rPr>
          <w:rFonts w:ascii="Times New Roman" w:hAnsi="Times New Roman" w:eastAsia="宋体" w:cs="Times New Roman"/>
        </w:rPr>
      </w:pPr>
      <w:r>
        <w:rPr>
          <w:rFonts w:ascii="Times New Roman" w:hAnsi="Times New Roman" w:eastAsia="宋体" w:cs="Times New Roman"/>
        </w:rPr>
        <w:t>5.3.8 能源资源计量及统计状况诊断应符合以下要求：</w:t>
      </w:r>
    </w:p>
    <w:p w14:paraId="297FB511">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1 能源资源计量器具配备应考核公共</w:t>
      </w:r>
      <w:r>
        <w:rPr>
          <w:rFonts w:hint="eastAsia" w:ascii="Times New Roman" w:hAnsi="Times New Roman" w:eastAsia="宋体" w:cs="Times New Roman"/>
        </w:rPr>
        <w:t>建筑</w:t>
      </w:r>
      <w:r>
        <w:rPr>
          <w:rFonts w:ascii="Times New Roman" w:hAnsi="Times New Roman" w:eastAsia="宋体" w:cs="Times New Roman"/>
        </w:rPr>
        <w:t>配备的能源资源计量器具是否充分考虑《公共机构能源资源计量器具配备和管理要求》GB/T</w:t>
      </w:r>
      <w:r>
        <w:rPr>
          <w:rFonts w:hint="eastAsia" w:ascii="Times New Roman" w:hAnsi="Times New Roman" w:eastAsia="宋体" w:cs="Times New Roman"/>
        </w:rPr>
        <w:t xml:space="preserve"> </w:t>
      </w:r>
      <w:r>
        <w:rPr>
          <w:rFonts w:ascii="Times New Roman" w:hAnsi="Times New Roman" w:eastAsia="宋体" w:cs="Times New Roman"/>
        </w:rPr>
        <w:t>29149的指导作用，评价能源资源计量器具配备率、准确度等级是否达标，主要计量器具位置是否合理、计量是否规范，是否能满足能源资源利用监测与管理的具体要求。</w:t>
      </w:r>
    </w:p>
    <w:p w14:paraId="3346069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能源资源计量器具管理应考核能源资源计量器具是否有专人管理，能源资源计量器具检定、校准和维修人员是否具有相应的资质，核算逾期未检定器具的位置和数量，评价能源资源计量器具维护更新的有效性。</w:t>
      </w:r>
    </w:p>
    <w:p w14:paraId="78F427F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3 能源资源统计应审核能源资源计量器具的抄表、数据管理、汇总计算及分析的执行情况，以及能源资源统计的内容、方法及报表形式等是否符合</w:t>
      </w:r>
      <w:r>
        <w:rPr>
          <w:rFonts w:hint="eastAsia" w:ascii="Times New Roman" w:hAnsi="Times New Roman" w:eastAsia="宋体" w:cs="Times New Roman"/>
        </w:rPr>
        <w:t>有</w:t>
      </w:r>
      <w:r>
        <w:rPr>
          <w:rFonts w:ascii="Times New Roman" w:hAnsi="Times New Roman" w:eastAsia="宋体" w:cs="Times New Roman"/>
        </w:rPr>
        <w:t>关法律法规、政策、标准要求。</w:t>
      </w:r>
    </w:p>
    <w:p w14:paraId="626B5DC2">
      <w:pPr>
        <w:spacing w:line="360" w:lineRule="auto"/>
        <w:rPr>
          <w:rFonts w:ascii="Times New Roman" w:hAnsi="Times New Roman" w:eastAsia="宋体" w:cs="Times New Roman"/>
        </w:rPr>
        <w:sectPr>
          <w:footerReference r:id="rId9" w:type="default"/>
          <w:pgSz w:w="11906" w:h="16838"/>
          <w:pgMar w:top="1440" w:right="1800" w:bottom="1440" w:left="1800" w:header="851" w:footer="992" w:gutter="0"/>
          <w:pgNumType w:fmt="decimal" w:start="1"/>
          <w:cols w:space="425" w:num="1"/>
          <w:docGrid w:type="lines" w:linePitch="312" w:charSpace="0"/>
        </w:sectPr>
      </w:pPr>
      <w:r>
        <w:rPr>
          <w:rFonts w:ascii="Times New Roman" w:hAnsi="Times New Roman" w:eastAsia="宋体" w:cs="Times New Roman"/>
        </w:rPr>
        <w:t>5.3.9 能效监管系统应符合现行国家标准《民用建筑电气设计标准》GB 51348、《智能建筑设计标准》GB 50314和《建筑智能化系统运行维护技术规范》JGJ/T 417等</w:t>
      </w:r>
      <w:r>
        <w:rPr>
          <w:rFonts w:hint="eastAsia" w:ascii="Times New Roman" w:hAnsi="Times New Roman" w:eastAsia="宋体" w:cs="Times New Roman"/>
        </w:rPr>
        <w:t>有</w:t>
      </w:r>
      <w:r>
        <w:rPr>
          <w:rFonts w:ascii="Times New Roman" w:hAnsi="Times New Roman" w:eastAsia="宋体" w:cs="Times New Roman"/>
        </w:rPr>
        <w:t>关标准中能效监管的功能要求</w:t>
      </w:r>
      <w:r>
        <w:rPr>
          <w:rFonts w:hint="eastAsia" w:ascii="Times New Roman" w:hAnsi="Times New Roman" w:eastAsia="宋体" w:cs="Times New Roman"/>
        </w:rPr>
        <w:t>。</w:t>
      </w:r>
    </w:p>
    <w:p w14:paraId="4338DD17">
      <w:pPr>
        <w:pStyle w:val="2"/>
        <w:spacing w:after="156" w:line="480" w:lineRule="auto"/>
        <w:jc w:val="center"/>
        <w:rPr>
          <w:rFonts w:ascii="Times New Roman" w:hAnsi="Times New Roman" w:cs="Times New Roman"/>
          <w:kern w:val="2"/>
          <w:sz w:val="30"/>
          <w:szCs w:val="30"/>
        </w:rPr>
      </w:pPr>
      <w:bookmarkStart w:id="89" w:name="_Toc2164"/>
      <w:r>
        <w:rPr>
          <w:rFonts w:ascii="Times New Roman" w:hAnsi="Times New Roman" w:cs="Times New Roman"/>
          <w:color w:val="000000" w:themeColor="text1"/>
          <w:sz w:val="30"/>
          <w:szCs w:val="30"/>
          <w14:textFill>
            <w14:solidFill>
              <w14:schemeClr w14:val="tx1"/>
            </w14:solidFill>
          </w14:textFill>
        </w:rPr>
        <w:t>6 能效提升</w:t>
      </w:r>
      <w:bookmarkEnd w:id="89"/>
    </w:p>
    <w:p w14:paraId="0FF9BA7A">
      <w:pPr>
        <w:spacing w:line="360" w:lineRule="auto"/>
        <w:rPr>
          <w:rFonts w:ascii="Times New Roman" w:hAnsi="Times New Roman" w:eastAsia="宋体" w:cs="Times New Roman"/>
        </w:rPr>
      </w:pPr>
      <w:r>
        <w:rPr>
          <w:rFonts w:ascii="Times New Roman" w:hAnsi="Times New Roman" w:eastAsia="宋体" w:cs="Times New Roman"/>
        </w:rPr>
        <w:t>6.0.1 能效提升应基于能效诊断结果制定能效提升方案。</w:t>
      </w:r>
    </w:p>
    <w:p w14:paraId="43DFE92A">
      <w:pPr>
        <w:spacing w:line="360" w:lineRule="auto"/>
        <w:rPr>
          <w:rFonts w:ascii="Times New Roman" w:hAnsi="Times New Roman" w:eastAsia="宋体" w:cs="Times New Roman"/>
        </w:rPr>
      </w:pPr>
      <w:r>
        <w:rPr>
          <w:rFonts w:ascii="Times New Roman" w:hAnsi="Times New Roman" w:eastAsia="宋体" w:cs="Times New Roman"/>
        </w:rPr>
        <w:t>6.0.2</w:t>
      </w:r>
      <w:r>
        <w:rPr>
          <w:rFonts w:hint="eastAsia" w:ascii="Times New Roman" w:hAnsi="Times New Roman" w:eastAsia="宋体" w:cs="Times New Roman"/>
        </w:rPr>
        <w:t xml:space="preserve"> </w:t>
      </w:r>
      <w:r>
        <w:rPr>
          <w:rFonts w:ascii="Times New Roman" w:hAnsi="Times New Roman" w:eastAsia="宋体" w:cs="Times New Roman"/>
        </w:rPr>
        <w:t xml:space="preserve"> I级</w:t>
      </w:r>
      <w:r>
        <w:rPr>
          <w:rFonts w:hint="eastAsia" w:ascii="Times New Roman" w:hAnsi="Times New Roman" w:eastAsia="宋体" w:cs="Times New Roman"/>
        </w:rPr>
        <w:t>能效</w:t>
      </w:r>
      <w:r>
        <w:rPr>
          <w:rFonts w:ascii="Times New Roman" w:hAnsi="Times New Roman" w:eastAsia="宋体" w:cs="Times New Roman"/>
        </w:rPr>
        <w:t>和II级</w:t>
      </w:r>
      <w:r>
        <w:rPr>
          <w:rFonts w:hint="eastAsia" w:ascii="Times New Roman" w:hAnsi="Times New Roman" w:eastAsia="宋体" w:cs="Times New Roman"/>
        </w:rPr>
        <w:t>能效</w:t>
      </w:r>
      <w:r>
        <w:rPr>
          <w:rFonts w:ascii="Times New Roman" w:hAnsi="Times New Roman" w:eastAsia="宋体" w:cs="Times New Roman"/>
        </w:rPr>
        <w:t>公共建筑宜根据能效诊断报告</w:t>
      </w:r>
      <w:r>
        <w:rPr>
          <w:rFonts w:hint="eastAsia" w:ascii="Times New Roman" w:hAnsi="Times New Roman" w:eastAsia="宋体" w:cs="Times New Roman"/>
        </w:rPr>
        <w:t>，结合实际运营情况</w:t>
      </w:r>
      <w:r>
        <w:rPr>
          <w:rFonts w:ascii="Times New Roman" w:hAnsi="Times New Roman" w:eastAsia="宋体" w:cs="Times New Roman"/>
        </w:rPr>
        <w:t>自行开展能效提升工作。</w:t>
      </w:r>
    </w:p>
    <w:p w14:paraId="066424D6">
      <w:pPr>
        <w:spacing w:line="360" w:lineRule="auto"/>
        <w:rPr>
          <w:rFonts w:ascii="Times New Roman" w:hAnsi="Times New Roman" w:eastAsia="宋体" w:cs="Times New Roman"/>
        </w:rPr>
      </w:pPr>
      <w:r>
        <w:rPr>
          <w:rFonts w:ascii="Times New Roman" w:hAnsi="Times New Roman" w:eastAsia="宋体" w:cs="Times New Roman"/>
        </w:rPr>
        <w:t>6.0.3</w:t>
      </w:r>
      <w:r>
        <w:rPr>
          <w:rFonts w:hint="eastAsia" w:ascii="Times New Roman" w:hAnsi="Times New Roman" w:eastAsia="宋体" w:cs="Times New Roman"/>
        </w:rPr>
        <w:t xml:space="preserve"> </w:t>
      </w:r>
      <w:r>
        <w:rPr>
          <w:rFonts w:ascii="Times New Roman" w:hAnsi="Times New Roman" w:eastAsia="宋体" w:cs="Times New Roman"/>
        </w:rPr>
        <w:t xml:space="preserve"> III级</w:t>
      </w:r>
      <w:r>
        <w:rPr>
          <w:rFonts w:hint="eastAsia" w:ascii="Times New Roman" w:hAnsi="Times New Roman" w:eastAsia="宋体" w:cs="Times New Roman"/>
        </w:rPr>
        <w:t>能效</w:t>
      </w:r>
      <w:r>
        <w:rPr>
          <w:rFonts w:ascii="Times New Roman" w:hAnsi="Times New Roman" w:eastAsia="宋体" w:cs="Times New Roman"/>
        </w:rPr>
        <w:t>公共建筑</w:t>
      </w:r>
      <w:r>
        <w:rPr>
          <w:rFonts w:hint="eastAsia" w:ascii="Times New Roman" w:hAnsi="Times New Roman" w:eastAsia="宋体" w:cs="Times New Roman"/>
        </w:rPr>
        <w:t>宜</w:t>
      </w:r>
      <w:r>
        <w:rPr>
          <w:rFonts w:ascii="Times New Roman" w:hAnsi="Times New Roman" w:eastAsia="宋体" w:cs="Times New Roman"/>
        </w:rPr>
        <w:t>根据能效诊断中发现的能效薄弱环节进行能效提升</w:t>
      </w:r>
      <w:r>
        <w:rPr>
          <w:rFonts w:hint="eastAsia" w:ascii="Times New Roman" w:hAnsi="Times New Roman" w:eastAsia="宋体" w:cs="Times New Roman"/>
        </w:rPr>
        <w:t>，并采取以下措施</w:t>
      </w:r>
      <w:r>
        <w:rPr>
          <w:rFonts w:ascii="Times New Roman" w:hAnsi="Times New Roman" w:eastAsia="宋体" w:cs="Times New Roman"/>
        </w:rPr>
        <w:t>：</w:t>
      </w:r>
    </w:p>
    <w:p w14:paraId="4B6EFC7B">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1 设备更新</w:t>
      </w:r>
      <w:r>
        <w:rPr>
          <w:rFonts w:hint="eastAsia" w:ascii="Times New Roman" w:hAnsi="Times New Roman" w:eastAsia="宋体" w:cs="Times New Roman"/>
        </w:rPr>
        <w:t>。</w:t>
      </w:r>
      <w:r>
        <w:rPr>
          <w:rFonts w:ascii="Times New Roman" w:hAnsi="Times New Roman" w:eastAsia="宋体" w:cs="Times New Roman"/>
        </w:rPr>
        <w:t>开展主要用能设备检测，分析设备实际能效水平，开展高效设备替换；</w:t>
      </w:r>
    </w:p>
    <w:p w14:paraId="4DAF1D79">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高效运行</w:t>
      </w:r>
      <w:r>
        <w:rPr>
          <w:rFonts w:hint="eastAsia" w:ascii="Times New Roman" w:hAnsi="Times New Roman" w:eastAsia="宋体" w:cs="Times New Roman"/>
        </w:rPr>
        <w:t>。</w:t>
      </w:r>
      <w:r>
        <w:rPr>
          <w:rFonts w:ascii="Times New Roman" w:hAnsi="Times New Roman" w:eastAsia="宋体" w:cs="Times New Roman"/>
        </w:rPr>
        <w:t>结合行业前沿技术，匹配设备使用需求，对用能系统</w:t>
      </w:r>
      <w:r>
        <w:rPr>
          <w:rFonts w:hint="eastAsia" w:ascii="Times New Roman" w:hAnsi="Times New Roman" w:eastAsia="宋体" w:cs="Times New Roman"/>
        </w:rPr>
        <w:t>进行</w:t>
      </w:r>
      <w:r>
        <w:rPr>
          <w:rFonts w:ascii="Times New Roman" w:hAnsi="Times New Roman" w:eastAsia="宋体" w:cs="Times New Roman"/>
        </w:rPr>
        <w:t>改造提升</w:t>
      </w:r>
      <w:r>
        <w:rPr>
          <w:rFonts w:hint="eastAsia" w:ascii="Times New Roman" w:hAnsi="Times New Roman" w:eastAsia="宋体" w:cs="Times New Roman"/>
        </w:rPr>
        <w:t>、</w:t>
      </w:r>
      <w:r>
        <w:rPr>
          <w:rFonts w:ascii="Times New Roman" w:hAnsi="Times New Roman" w:eastAsia="宋体" w:cs="Times New Roman"/>
        </w:rPr>
        <w:t>使用过程进行</w:t>
      </w:r>
      <w:r>
        <w:rPr>
          <w:rFonts w:hint="eastAsia" w:ascii="Times New Roman" w:hAnsi="Times New Roman" w:eastAsia="宋体" w:cs="Times New Roman"/>
        </w:rPr>
        <w:t>优化</w:t>
      </w:r>
      <w:r>
        <w:rPr>
          <w:rFonts w:ascii="Times New Roman" w:hAnsi="Times New Roman" w:eastAsia="宋体" w:cs="Times New Roman"/>
        </w:rPr>
        <w:t>；</w:t>
      </w:r>
    </w:p>
    <w:p w14:paraId="53E3D323">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3 管理节能</w:t>
      </w:r>
      <w:r>
        <w:rPr>
          <w:rFonts w:hint="eastAsia" w:ascii="Times New Roman" w:hAnsi="Times New Roman" w:eastAsia="宋体" w:cs="Times New Roman"/>
        </w:rPr>
        <w:t>。</w:t>
      </w:r>
      <w:r>
        <w:rPr>
          <w:rFonts w:ascii="Times New Roman" w:hAnsi="Times New Roman" w:eastAsia="宋体" w:cs="Times New Roman"/>
        </w:rPr>
        <w:t>加强运维及管理团队的专业化培训，促进日常能源管理</w:t>
      </w:r>
      <w:r>
        <w:rPr>
          <w:rFonts w:hint="eastAsia" w:ascii="Times New Roman" w:hAnsi="Times New Roman" w:eastAsia="宋体" w:cs="Times New Roman"/>
        </w:rPr>
        <w:t>水平</w:t>
      </w:r>
      <w:r>
        <w:rPr>
          <w:rFonts w:ascii="Times New Roman" w:hAnsi="Times New Roman" w:eastAsia="宋体" w:cs="Times New Roman"/>
        </w:rPr>
        <w:t>提升。</w:t>
      </w:r>
    </w:p>
    <w:p w14:paraId="0ECE37B9">
      <w:pPr>
        <w:spacing w:line="360" w:lineRule="auto"/>
        <w:rPr>
          <w:rFonts w:ascii="Times New Roman" w:hAnsi="Times New Roman" w:eastAsia="宋体" w:cs="Times New Roman"/>
        </w:rPr>
      </w:pPr>
      <w:r>
        <w:rPr>
          <w:rFonts w:ascii="Times New Roman" w:hAnsi="Times New Roman" w:eastAsia="宋体" w:cs="Times New Roman"/>
        </w:rPr>
        <w:t>6.0.4  IV级</w:t>
      </w:r>
      <w:r>
        <w:rPr>
          <w:rFonts w:hint="eastAsia" w:ascii="Times New Roman" w:hAnsi="Times New Roman" w:eastAsia="宋体" w:cs="Times New Roman"/>
        </w:rPr>
        <w:t>能效</w:t>
      </w:r>
      <w:r>
        <w:rPr>
          <w:rFonts w:ascii="Times New Roman" w:hAnsi="Times New Roman" w:eastAsia="宋体" w:cs="Times New Roman"/>
        </w:rPr>
        <w:t>公共建筑</w:t>
      </w:r>
      <w:r>
        <w:rPr>
          <w:rFonts w:hint="eastAsia" w:ascii="Times New Roman" w:hAnsi="Times New Roman" w:eastAsia="宋体" w:cs="Times New Roman"/>
        </w:rPr>
        <w:t>宜</w:t>
      </w:r>
      <w:r>
        <w:rPr>
          <w:rFonts w:ascii="Times New Roman" w:hAnsi="Times New Roman" w:eastAsia="宋体" w:cs="Times New Roman"/>
        </w:rPr>
        <w:t>根据能效诊断报告进行全面能效提升，当本单位技术力量不足时，</w:t>
      </w:r>
      <w:r>
        <w:rPr>
          <w:rFonts w:hint="eastAsia" w:ascii="Times New Roman" w:hAnsi="Times New Roman" w:eastAsia="宋体" w:cs="Times New Roman"/>
        </w:rPr>
        <w:t>宜</w:t>
      </w:r>
      <w:r>
        <w:rPr>
          <w:rFonts w:ascii="Times New Roman" w:hAnsi="Times New Roman" w:eastAsia="宋体" w:cs="Times New Roman"/>
        </w:rPr>
        <w:t>依托专业化能效服务机构，采用合同能源管理</w:t>
      </w:r>
      <w:r>
        <w:rPr>
          <w:rFonts w:hint="eastAsia" w:ascii="Times New Roman" w:hAnsi="Times New Roman" w:eastAsia="宋体" w:cs="Times New Roman"/>
        </w:rPr>
        <w:t>等</w:t>
      </w:r>
      <w:r>
        <w:rPr>
          <w:rFonts w:ascii="Times New Roman" w:hAnsi="Times New Roman" w:eastAsia="宋体" w:cs="Times New Roman"/>
        </w:rPr>
        <w:t>模式</w:t>
      </w:r>
      <w:r>
        <w:rPr>
          <w:rFonts w:hint="eastAsia" w:ascii="Times New Roman" w:hAnsi="Times New Roman" w:eastAsia="宋体" w:cs="Times New Roman"/>
        </w:rPr>
        <w:t>，并采取以下措施：</w:t>
      </w:r>
    </w:p>
    <w:p w14:paraId="56FC592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1 系统全面改造</w:t>
      </w:r>
      <w:r>
        <w:rPr>
          <w:rFonts w:hint="eastAsia" w:ascii="Times New Roman" w:hAnsi="Times New Roman" w:eastAsia="宋体" w:cs="Times New Roman"/>
        </w:rPr>
        <w:t>。</w:t>
      </w:r>
      <w:r>
        <w:rPr>
          <w:rFonts w:ascii="Times New Roman" w:hAnsi="Times New Roman" w:eastAsia="宋体" w:cs="Times New Roman"/>
        </w:rPr>
        <w:t>对分项用能系统进行全面改造，提升运行效率；</w:t>
      </w:r>
    </w:p>
    <w:p w14:paraId="6D107F8E">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2 围护结构更新</w:t>
      </w:r>
      <w:r>
        <w:rPr>
          <w:rFonts w:hint="eastAsia" w:ascii="Times New Roman" w:hAnsi="Times New Roman" w:eastAsia="宋体" w:cs="Times New Roman"/>
        </w:rPr>
        <w:t>。</w:t>
      </w:r>
      <w:r>
        <w:rPr>
          <w:rFonts w:ascii="Times New Roman" w:hAnsi="Times New Roman" w:eastAsia="宋体" w:cs="Times New Roman"/>
        </w:rPr>
        <w:t>对不符合节能要求的围护结构进行更新，提升围护结构热工性能；</w:t>
      </w:r>
    </w:p>
    <w:p w14:paraId="04EF17E0">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3 能源管理体系建设</w:t>
      </w:r>
      <w:r>
        <w:rPr>
          <w:rFonts w:hint="eastAsia" w:ascii="Times New Roman" w:hAnsi="Times New Roman" w:eastAsia="宋体" w:cs="Times New Roman"/>
        </w:rPr>
        <w:t>。</w:t>
      </w:r>
      <w:r>
        <w:rPr>
          <w:rFonts w:ascii="Times New Roman" w:hAnsi="Times New Roman" w:eastAsia="宋体" w:cs="Times New Roman"/>
        </w:rPr>
        <w:t>建立完善的能源管理体系，包括制定能源管理制度、明确能源管理职责、建立</w:t>
      </w:r>
      <w:r>
        <w:rPr>
          <w:rFonts w:hint="eastAsia" w:ascii="Times New Roman" w:hAnsi="Times New Roman" w:eastAsia="宋体" w:cs="Times New Roman"/>
        </w:rPr>
        <w:t>能效监管</w:t>
      </w:r>
      <w:r>
        <w:rPr>
          <w:rFonts w:ascii="Times New Roman" w:hAnsi="Times New Roman" w:eastAsia="宋体" w:cs="Times New Roman"/>
        </w:rPr>
        <w:t>系统等。</w:t>
      </w:r>
    </w:p>
    <w:p w14:paraId="58CAB845">
      <w:pPr>
        <w:spacing w:line="360" w:lineRule="auto"/>
        <w:rPr>
          <w:rFonts w:ascii="Times New Roman" w:hAnsi="Times New Roman" w:eastAsia="楷体" w:cs="Times New Roman"/>
          <w:iCs/>
          <w:szCs w:val="21"/>
        </w:rPr>
      </w:pPr>
      <w:r>
        <w:rPr>
          <w:rFonts w:ascii="Times New Roman" w:hAnsi="Times New Roman" w:eastAsia="宋体" w:cs="Times New Roman"/>
        </w:rPr>
        <w:t>6.0.5 分项能效提升需统筹考虑围护结构、系统设备及运行管理的协同影响。</w:t>
      </w:r>
    </w:p>
    <w:p w14:paraId="58049D46">
      <w:pPr>
        <w:spacing w:line="360" w:lineRule="auto"/>
        <w:rPr>
          <w:rFonts w:ascii="Times New Roman" w:hAnsi="Times New Roman" w:eastAsia="宋体" w:cs="Times New Roman"/>
        </w:rPr>
      </w:pPr>
      <w:r>
        <w:rPr>
          <w:rFonts w:ascii="Times New Roman" w:hAnsi="Times New Roman" w:eastAsia="宋体" w:cs="Times New Roman"/>
        </w:rPr>
        <w:t>6.0.6 能效提升</w:t>
      </w:r>
      <w:r>
        <w:rPr>
          <w:rFonts w:hint="eastAsia" w:ascii="Times New Roman" w:hAnsi="Times New Roman" w:eastAsia="宋体" w:cs="Times New Roman"/>
        </w:rPr>
        <w:t>涉及</w:t>
      </w:r>
      <w:r>
        <w:rPr>
          <w:rFonts w:ascii="Times New Roman" w:hAnsi="Times New Roman" w:eastAsia="宋体" w:cs="Times New Roman"/>
        </w:rPr>
        <w:t>设备更新时应优先采用高能效设备和智能管理系统，</w:t>
      </w:r>
      <w:r>
        <w:rPr>
          <w:rFonts w:hint="eastAsia" w:ascii="Times New Roman" w:hAnsi="Times New Roman" w:eastAsia="宋体" w:cs="Times New Roman"/>
        </w:rPr>
        <w:t>建筑节能</w:t>
      </w:r>
      <w:r>
        <w:rPr>
          <w:rFonts w:ascii="Times New Roman" w:hAnsi="Times New Roman" w:eastAsia="宋体" w:cs="Times New Roman"/>
        </w:rPr>
        <w:t>改造应按</w:t>
      </w:r>
    </w:p>
    <w:p w14:paraId="3E8F9035">
      <w:pPr>
        <w:spacing w:line="360" w:lineRule="auto"/>
        <w:rPr>
          <w:rFonts w:ascii="Times New Roman" w:hAnsi="Times New Roman" w:eastAsia="楷体" w:cs="Times New Roman"/>
          <w:iCs/>
          <w:szCs w:val="21"/>
        </w:rPr>
      </w:pPr>
      <w:r>
        <w:rPr>
          <w:rFonts w:hint="eastAsia" w:ascii="Times New Roman" w:hAnsi="Times New Roman" w:eastAsia="宋体" w:cs="Times New Roman"/>
        </w:rPr>
        <w:t>有</w:t>
      </w:r>
      <w:r>
        <w:rPr>
          <w:rFonts w:ascii="Times New Roman" w:hAnsi="Times New Roman" w:eastAsia="宋体" w:cs="Times New Roman"/>
        </w:rPr>
        <w:t>关标准的规定执行。</w:t>
      </w:r>
    </w:p>
    <w:p w14:paraId="69DB7780">
      <w:pPr>
        <w:spacing w:line="360" w:lineRule="auto"/>
        <w:rPr>
          <w:rFonts w:ascii="Times New Roman" w:hAnsi="Times New Roman" w:cs="Times New Roman"/>
          <w:sz w:val="30"/>
          <w:szCs w:val="30"/>
        </w:rPr>
      </w:pPr>
      <w:r>
        <w:rPr>
          <w:rFonts w:ascii="Times New Roman" w:hAnsi="Times New Roman" w:eastAsia="宋体" w:cs="Times New Roman"/>
        </w:rPr>
        <w:t>6.0.7 能效提升还应符合行业标准《公共建筑节能改造技术规范》JGJ/T176和《公共建筑节能检测标准》JGJ/T 177等</w:t>
      </w:r>
      <w:r>
        <w:rPr>
          <w:rFonts w:hint="eastAsia" w:ascii="Times New Roman" w:hAnsi="Times New Roman" w:eastAsia="宋体" w:cs="Times New Roman"/>
        </w:rPr>
        <w:t>现行</w:t>
      </w:r>
      <w:r>
        <w:rPr>
          <w:rFonts w:ascii="Times New Roman" w:hAnsi="Times New Roman" w:eastAsia="宋体" w:cs="Times New Roman"/>
        </w:rPr>
        <w:t>标准的相关规定。</w:t>
      </w:r>
      <w:r>
        <w:rPr>
          <w:rFonts w:ascii="Times New Roman" w:hAnsi="Times New Roman" w:cs="Times New Roman"/>
          <w:sz w:val="30"/>
          <w:szCs w:val="30"/>
        </w:rPr>
        <w:br w:type="page"/>
      </w:r>
    </w:p>
    <w:p w14:paraId="442A8FF4">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90" w:name="_Toc7734"/>
      <w:bookmarkStart w:id="91" w:name="_Toc31849"/>
      <w:r>
        <w:rPr>
          <w:rFonts w:ascii="Times New Roman" w:hAnsi="Times New Roman" w:cs="Times New Roman"/>
          <w:color w:val="000000" w:themeColor="text1"/>
          <w:sz w:val="30"/>
          <w:szCs w:val="30"/>
          <w14:textFill>
            <w14:solidFill>
              <w14:schemeClr w14:val="tx1"/>
            </w14:solidFill>
          </w14:textFill>
        </w:rPr>
        <w:t>附录A 公共建筑能效诊断流程</w:t>
      </w:r>
      <w:bookmarkEnd w:id="90"/>
      <w:bookmarkEnd w:id="91"/>
    </w:p>
    <w:p w14:paraId="481D4C06">
      <w:pPr>
        <w:spacing w:line="360" w:lineRule="auto"/>
        <w:jc w:val="center"/>
        <w:rPr>
          <w:rFonts w:ascii="Times New Roman" w:hAnsi="Times New Roman" w:cs="Times New Roman"/>
          <w:szCs w:val="21"/>
        </w:rPr>
      </w:pPr>
    </w:p>
    <w:p w14:paraId="17CA6F39">
      <w:pPr>
        <w:spacing w:line="360" w:lineRule="auto"/>
        <w:jc w:val="center"/>
        <w:rPr>
          <w:rFonts w:ascii="Times New Roman" w:hAnsi="Times New Roman" w:cs="Times New Roman"/>
          <w:szCs w:val="21"/>
        </w:rPr>
      </w:pPr>
      <w:r>
        <w:rPr>
          <w:sz w:val="30"/>
        </w:rPr>
        <mc:AlternateContent>
          <mc:Choice Requires="wps">
            <w:drawing>
              <wp:anchor distT="0" distB="0" distL="114300" distR="114300" simplePos="0" relativeHeight="251667456" behindDoc="0" locked="0" layoutInCell="1" allowOverlap="1">
                <wp:simplePos x="0" y="0"/>
                <wp:positionH relativeFrom="column">
                  <wp:posOffset>1071245</wp:posOffset>
                </wp:positionH>
                <wp:positionV relativeFrom="paragraph">
                  <wp:posOffset>3977005</wp:posOffset>
                </wp:positionV>
                <wp:extent cx="465455" cy="4445"/>
                <wp:effectExtent l="0" t="48260" r="10795" b="61595"/>
                <wp:wrapNone/>
                <wp:docPr id="80" name="直接箭头连接符 80"/>
                <wp:cNvGraphicFramePr/>
                <a:graphic xmlns:a="http://schemas.openxmlformats.org/drawingml/2006/main">
                  <a:graphicData uri="http://schemas.microsoft.com/office/word/2010/wordprocessingShape">
                    <wps:wsp>
                      <wps:cNvCnPr/>
                      <wps:spPr>
                        <a:xfrm flipV="1">
                          <a:off x="2195830" y="5644515"/>
                          <a:ext cx="465455" cy="444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84.35pt;margin-top:313.15pt;height:0.35pt;width:36.65pt;z-index:251667456;mso-width-relative:page;mso-height-relative:page;" filled="f" stroked="t" coordsize="21600,21600" o:gfxdata="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CmBPtoAAAALAQAADwAAAAAAAAAB&#10;ACAAAAAiAAAAZHJzL2Rvd25yZXYueG1sUEsBAhQAFAAAAAgAh07iQDli2EgOAgAA4QMAAA4AAAAA&#10;AAAAAQAgAAAAKQEAAGRycy9lMm9Eb2MueG1sUEsFBgAAAAAGAAYAWQEAAKkFAAAAAA==&#10;">
                <v:fill on="f" focussize="0,0"/>
                <v:stroke weight="0.5pt" color="#000000 [3213]" joinstyle="round" endarrow="open"/>
                <v:imagedata o:title=""/>
                <o:lock v:ext="edit" aspectratio="f"/>
              </v:shape>
            </w:pict>
          </mc:Fallback>
        </mc:AlternateContent>
      </w:r>
      <w:r>
        <w:rPr>
          <w:sz w:val="30"/>
        </w:rPr>
        <mc:AlternateContent>
          <mc:Choice Requires="wps">
            <w:drawing>
              <wp:anchor distT="0" distB="0" distL="114300" distR="114300" simplePos="0" relativeHeight="251666432" behindDoc="0" locked="0" layoutInCell="1" allowOverlap="1">
                <wp:simplePos x="0" y="0"/>
                <wp:positionH relativeFrom="column">
                  <wp:posOffset>2195195</wp:posOffset>
                </wp:positionH>
                <wp:positionV relativeFrom="paragraph">
                  <wp:posOffset>3386455</wp:posOffset>
                </wp:positionV>
                <wp:extent cx="1402080" cy="250825"/>
                <wp:effectExtent l="0" t="5080" r="7620" b="10795"/>
                <wp:wrapNone/>
                <wp:docPr id="76" name="肘形连接符 76"/>
                <wp:cNvGraphicFramePr/>
                <a:graphic xmlns:a="http://schemas.openxmlformats.org/drawingml/2006/main">
                  <a:graphicData uri="http://schemas.microsoft.com/office/word/2010/wordprocessingShape">
                    <wps:wsp>
                      <wps:cNvCnPr/>
                      <wps:spPr>
                        <a:xfrm rot="10800000" flipV="1">
                          <a:off x="4752340" y="4998085"/>
                          <a:ext cx="1402080" cy="250825"/>
                        </a:xfrm>
                        <a:prstGeom prst="bentConnector3">
                          <a:avLst>
                            <a:gd name="adj1" fmla="val 1041"/>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4" type="#_x0000_t34" style="position:absolute;left:0pt;flip:y;margin-left:172.85pt;margin-top:266.65pt;height:19.75pt;width:110.4pt;rotation:11796480f;z-index:251666432;mso-width-relative:page;mso-height-relative:page;" filled="f" stroked="t" coordsize="21600,21600" o:gfxdata="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HlfINsA&#10;AAALAQAADwAAAAAAAAABACAAAAAiAAAAZHJzL2Rvd25yZXYueG1sUEsBAhQAFAAAAAgAh07iQOtG&#10;paQcAgAA/AMAAA4AAAAAAAAAAQAgAAAAKgEAAGRycy9lMm9Eb2MueG1sUEsFBgAAAAAGAAYAWQEA&#10;ALgFAAAAAA==&#10;" adj="225">
                <v:fill on="f" focussize="0,0"/>
                <v:stroke weight="0.5pt" color="#000000 [3213]" joinstyle="round"/>
                <v:imagedata o:title=""/>
                <o:lock v:ext="edit" aspectratio="f"/>
              </v:shape>
            </w:pict>
          </mc:Fallback>
        </mc:AlternateContent>
      </w:r>
      <w:r>
        <w:rPr>
          <w:sz w:val="30"/>
        </w:rPr>
        <mc:AlternateContent>
          <mc:Choice Requires="wps">
            <w:drawing>
              <wp:anchor distT="0" distB="0" distL="114300" distR="114300" simplePos="0" relativeHeight="251665408" behindDoc="0" locked="0" layoutInCell="1" allowOverlap="1">
                <wp:simplePos x="0" y="0"/>
                <wp:positionH relativeFrom="column">
                  <wp:posOffset>1195705</wp:posOffset>
                </wp:positionH>
                <wp:positionV relativeFrom="paragraph">
                  <wp:posOffset>2842895</wp:posOffset>
                </wp:positionV>
                <wp:extent cx="448945" cy="1590675"/>
                <wp:effectExtent l="4445" t="0" r="62230" b="8255"/>
                <wp:wrapNone/>
                <wp:docPr id="68" name="肘形连接符 68"/>
                <wp:cNvGraphicFramePr/>
                <a:graphic xmlns:a="http://schemas.openxmlformats.org/drawingml/2006/main">
                  <a:graphicData uri="http://schemas.microsoft.com/office/word/2010/wordprocessingShape">
                    <wps:wsp>
                      <wps:cNvCnPr/>
                      <wps:spPr>
                        <a:xfrm rot="5400000" flipV="1">
                          <a:off x="2345690" y="4542155"/>
                          <a:ext cx="448945" cy="1590675"/>
                        </a:xfrm>
                        <a:prstGeom prst="bentConnector3">
                          <a:avLst>
                            <a:gd name="adj1" fmla="val 5007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4" type="#_x0000_t34" style="position:absolute;left:0pt;flip:y;margin-left:94.15pt;margin-top:223.85pt;height:125.25pt;width:35.35pt;rotation:-5898240f;z-index:251665408;mso-width-relative:page;mso-height-relative:page;" filled="f" stroked="t" coordsize="21600,21600" o:gfxdata="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aJXO/ZAAAACwEAAA8AAAAAAAAAAQAgAAAAIgAAAGRycy9kb3ducmV2LnhtbFBL&#10;AQIUABQAAAAIAIdO4kA8Vj6qLgIAABUEAAAOAAAAAAAAAAEAIAAAACgBAABkcnMvZTJvRG9jLnht&#10;bFBLBQYAAAAABgAGAFkBAADIBQAAAAA=&#10;" adj="10815">
                <v:fill on="f" focussize="0,0"/>
                <v:stroke weight="0.5pt" color="#000000 [3213]" joinstyle="round" endarrow="open"/>
                <v:imagedata o:title=""/>
                <o:lock v:ext="edit" aspectratio="f"/>
              </v:shape>
            </w:pict>
          </mc:Fallback>
        </mc:AlternateContent>
      </w:r>
      <w:r>
        <w:rPr>
          <w:rFonts w:ascii="Times New Roman" w:hAnsi="Times New Roman" w:cs="Times New Roman"/>
          <w:color w:val="000000" w:themeColor="text1"/>
          <w:sz w:val="30"/>
          <w:szCs w:val="30"/>
          <w14:textFill>
            <w14:solidFill>
              <w14:schemeClr w14:val="tx1"/>
            </w14:solidFill>
          </w14:textFill>
        </w:rPr>
        <mc:AlternateContent>
          <mc:Choice Requires="wpg">
            <w:drawing>
              <wp:anchor distT="0" distB="0" distL="114300" distR="114300" simplePos="0" relativeHeight="251660288" behindDoc="0" locked="0" layoutInCell="1" allowOverlap="1">
                <wp:simplePos x="0" y="0"/>
                <wp:positionH relativeFrom="column">
                  <wp:posOffset>-40640</wp:posOffset>
                </wp:positionH>
                <wp:positionV relativeFrom="paragraph">
                  <wp:posOffset>109855</wp:posOffset>
                </wp:positionV>
                <wp:extent cx="4338955" cy="4097655"/>
                <wp:effectExtent l="9525" t="9525" r="13970" b="26670"/>
                <wp:wrapTopAndBottom/>
                <wp:docPr id="43" name="组合 43"/>
                <wp:cNvGraphicFramePr/>
                <a:graphic xmlns:a="http://schemas.openxmlformats.org/drawingml/2006/main">
                  <a:graphicData uri="http://schemas.microsoft.com/office/word/2010/wordprocessingGroup">
                    <wpg:wgp>
                      <wpg:cNvGrpSpPr/>
                      <wpg:grpSpPr>
                        <a:xfrm>
                          <a:off x="0" y="0"/>
                          <a:ext cx="4338955" cy="4097603"/>
                          <a:chOff x="6562" y="705106"/>
                          <a:chExt cx="6833" cy="6452"/>
                        </a:xfrm>
                      </wpg:grpSpPr>
                      <wpg:grpSp>
                        <wpg:cNvPr id="263" name="组合 106"/>
                        <wpg:cNvGrpSpPr/>
                        <wpg:grpSpPr>
                          <a:xfrm>
                            <a:off x="6597" y="710900"/>
                            <a:ext cx="1699" cy="658"/>
                            <a:chOff x="8958" y="1024"/>
                            <a:chExt cx="1588" cy="398"/>
                          </a:xfrm>
                        </wpg:grpSpPr>
                        <wps:wsp>
                          <wps:cNvPr id="108" name="矩形 107"/>
                          <wps:cNvSpPr/>
                          <wps:spPr>
                            <a:xfrm>
                              <a:off x="9014" y="1024"/>
                              <a:ext cx="1506" cy="3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文本框 110"/>
                          <wps:cNvSpPr txBox="1"/>
                          <wps:spPr>
                            <a:xfrm>
                              <a:off x="8958" y="1042"/>
                              <a:ext cx="1588" cy="359"/>
                            </a:xfrm>
                            <a:prstGeom prst="rect">
                              <a:avLst/>
                            </a:prstGeom>
                            <a:noFill/>
                          </wps:spPr>
                          <wps:txbx>
                            <w:txbxContent>
                              <w:p w14:paraId="6D959228">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电力、供水、燃气、热力等公共平台</w:t>
                                </w:r>
                              </w:p>
                            </w:txbxContent>
                          </wps:txbx>
                          <wps:bodyPr wrap="square" rtlCol="0">
                            <a:noAutofit/>
                          </wps:bodyPr>
                        </wps:wsp>
                      </wpg:grpSp>
                      <wpg:grpSp>
                        <wpg:cNvPr id="33" name="组合 33"/>
                        <wpg:cNvGrpSpPr/>
                        <wpg:grpSpPr>
                          <a:xfrm>
                            <a:off x="6562" y="705106"/>
                            <a:ext cx="6833" cy="5202"/>
                            <a:chOff x="5466" y="705106"/>
                            <a:chExt cx="6833" cy="5202"/>
                          </a:xfrm>
                        </wpg:grpSpPr>
                        <wps:wsp>
                          <wps:cNvPr id="73" name="肘形连接符 72"/>
                          <wps:cNvCnPr/>
                          <wps:spPr>
                            <a:xfrm>
                              <a:off x="9976" y="708685"/>
                              <a:ext cx="1262" cy="741"/>
                            </a:xfrm>
                            <a:prstGeom prst="bentConnector2">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3" name="组合 13"/>
                          <wpg:cNvGrpSpPr/>
                          <wpg:grpSpPr>
                            <a:xfrm>
                              <a:off x="10166" y="709437"/>
                              <a:ext cx="2133" cy="705"/>
                              <a:chOff x="5254" y="709469"/>
                              <a:chExt cx="2133" cy="705"/>
                            </a:xfrm>
                          </wpg:grpSpPr>
                          <wps:wsp>
                            <wps:cNvPr id="14" name="矩形 77"/>
                            <wps:cNvSpPr/>
                            <wps:spPr>
                              <a:xfrm>
                                <a:off x="5254" y="709469"/>
                                <a:ext cx="2133" cy="7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文本框 78"/>
                            <wps:cNvSpPr txBox="1"/>
                            <wps:spPr>
                              <a:xfrm>
                                <a:off x="5254" y="709517"/>
                                <a:ext cx="2096" cy="630"/>
                              </a:xfrm>
                              <a:prstGeom prst="rect">
                                <a:avLst/>
                              </a:prstGeom>
                              <a:noFill/>
                            </wps:spPr>
                            <wps:txbx>
                              <w:txbxContent>
                                <w:p w14:paraId="3F4E9504">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填写</w:t>
                                  </w:r>
                                  <w:r>
                                    <w:rPr>
                                      <w:rFonts w:hint="eastAsia" w:ascii="宋体" w:hAnsiTheme="minorBidi"/>
                                      <w:color w:val="000000" w:themeColor="text1"/>
                                      <w:kern w:val="24"/>
                                      <w:sz w:val="18"/>
                                      <w:szCs w:val="18"/>
                                      <w14:textFill>
                                        <w14:solidFill>
                                          <w14:schemeClr w14:val="tx1"/>
                                        </w14:solidFill>
                                      </w14:textFill>
                                    </w:rPr>
                                    <w:t>建筑信息</w:t>
                                  </w:r>
                                </w:p>
                                <w:p w14:paraId="66349C9A">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读取</w:t>
                                  </w:r>
                                  <w:r>
                                    <w:rPr>
                                      <w:rFonts w:ascii="宋体" w:hAnsiTheme="minorBidi"/>
                                      <w:color w:val="000000" w:themeColor="text1"/>
                                      <w:kern w:val="24"/>
                                      <w:sz w:val="18"/>
                                      <w:szCs w:val="18"/>
                                      <w14:textFill>
                                        <w14:solidFill>
                                          <w14:schemeClr w14:val="tx1"/>
                                        </w14:solidFill>
                                      </w14:textFill>
                                    </w:rPr>
                                    <w:t>能耗数据</w:t>
                                  </w:r>
                                </w:p>
                              </w:txbxContent>
                            </wps:txbx>
                            <wps:bodyPr wrap="square" rtlCol="0">
                              <a:noAutofit/>
                            </wps:bodyPr>
                          </wps:wsp>
                        </wpg:grpSp>
                        <wpg:grpSp>
                          <wpg:cNvPr id="32" name="组合 32"/>
                          <wpg:cNvGrpSpPr/>
                          <wpg:grpSpPr>
                            <a:xfrm>
                              <a:off x="5466" y="705106"/>
                              <a:ext cx="5675" cy="5202"/>
                              <a:chOff x="5466" y="705106"/>
                              <a:chExt cx="5675" cy="5202"/>
                            </a:xfrm>
                          </wpg:grpSpPr>
                          <wps:wsp>
                            <wps:cNvPr id="83" name="肘形连接符 82"/>
                            <wps:cNvCnPr/>
                            <wps:spPr>
                              <a:xfrm rot="10800000" flipV="1">
                                <a:off x="6450" y="708682"/>
                                <a:ext cx="1407" cy="813"/>
                              </a:xfrm>
                              <a:prstGeom prst="bentConnector2">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31" name="组合 5"/>
                            <wpg:cNvGrpSpPr/>
                            <wpg:grpSpPr>
                              <a:xfrm>
                                <a:off x="5466" y="709511"/>
                                <a:ext cx="2133" cy="797"/>
                                <a:chOff x="5254" y="709469"/>
                                <a:chExt cx="2133" cy="797"/>
                              </a:xfrm>
                            </wpg:grpSpPr>
                            <wps:wsp>
                              <wps:cNvPr id="78" name="矩形 77"/>
                              <wps:cNvSpPr/>
                              <wps:spPr>
                                <a:xfrm>
                                  <a:off x="5254" y="709469"/>
                                  <a:ext cx="2133" cy="7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文本框 78"/>
                              <wps:cNvSpPr txBox="1"/>
                              <wps:spPr>
                                <a:xfrm>
                                  <a:off x="5254" y="709528"/>
                                  <a:ext cx="2096" cy="738"/>
                                </a:xfrm>
                                <a:prstGeom prst="rect">
                                  <a:avLst/>
                                </a:prstGeom>
                                <a:noFill/>
                              </wps:spPr>
                              <wps:txbx>
                                <w:txbxContent>
                                  <w:p w14:paraId="70EF0A1C">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填写</w:t>
                                    </w:r>
                                    <w:r>
                                      <w:rPr>
                                        <w:rFonts w:hint="eastAsia" w:ascii="宋体" w:hAnsiTheme="minorBidi"/>
                                        <w:color w:val="000000" w:themeColor="text1"/>
                                        <w:kern w:val="24"/>
                                        <w:sz w:val="18"/>
                                        <w:szCs w:val="18"/>
                                        <w14:textFill>
                                          <w14:solidFill>
                                            <w14:schemeClr w14:val="tx1"/>
                                          </w14:solidFill>
                                        </w14:textFill>
                                      </w:rPr>
                                      <w:t>建筑信息</w:t>
                                    </w:r>
                                  </w:p>
                                  <w:p w14:paraId="5E4382EC">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搜集</w:t>
                                    </w:r>
                                    <w:r>
                                      <w:rPr>
                                        <w:rFonts w:ascii="宋体" w:hAnsiTheme="minorBidi"/>
                                        <w:color w:val="000000" w:themeColor="text1"/>
                                        <w:kern w:val="24"/>
                                        <w:sz w:val="18"/>
                                        <w:szCs w:val="18"/>
                                        <w14:textFill>
                                          <w14:solidFill>
                                            <w14:schemeClr w14:val="tx1"/>
                                          </w14:solidFill>
                                        </w14:textFill>
                                      </w:rPr>
                                      <w:t>能耗数据</w:t>
                                    </w:r>
                                  </w:p>
                                </w:txbxContent>
                              </wps:txbx>
                              <wps:bodyPr wrap="square" rtlCol="0">
                                <a:noAutofit/>
                              </wps:bodyPr>
                            </wps:wsp>
                          </wpg:grpSp>
                          <wpg:grpSp>
                            <wpg:cNvPr id="27" name="组合 27"/>
                            <wpg:cNvGrpSpPr/>
                            <wpg:grpSpPr>
                              <a:xfrm>
                                <a:off x="6876" y="705106"/>
                                <a:ext cx="4265" cy="4049"/>
                                <a:chOff x="6876" y="705106"/>
                                <a:chExt cx="4265" cy="4049"/>
                              </a:xfrm>
                            </wpg:grpSpPr>
                            <wpg:grpSp>
                              <wpg:cNvPr id="20" name="组合 20"/>
                              <wpg:cNvGrpSpPr/>
                              <wpg:grpSpPr>
                                <a:xfrm>
                                  <a:off x="7752" y="705106"/>
                                  <a:ext cx="3046" cy="2779"/>
                                  <a:chOff x="7752" y="705106"/>
                                  <a:chExt cx="3046" cy="2779"/>
                                </a:xfrm>
                              </wpg:grpSpPr>
                              <wps:wsp>
                                <wps:cNvPr id="55" name="文本框 54"/>
                                <wps:cNvSpPr txBox="1"/>
                                <wps:spPr>
                                  <a:xfrm>
                                    <a:off x="10320" y="706632"/>
                                    <a:ext cx="478" cy="581"/>
                                  </a:xfrm>
                                  <a:prstGeom prst="rect">
                                    <a:avLst/>
                                  </a:prstGeom>
                                  <a:noFill/>
                                </wps:spPr>
                                <wps:txbx>
                                  <w:txbxContent>
                                    <w:p w14:paraId="550F781C">
                                      <w:pPr>
                                        <w:pStyle w:val="15"/>
                                        <w:adjustRightInd w:val="0"/>
                                        <w:snapToGrid w:val="0"/>
                                        <w:spacing w:beforeAutospacing="0" w:afterAutospacing="0" w:line="240" w:lineRule="auto"/>
                                        <w:rPr>
                                          <w:sz w:val="21"/>
                                          <w:szCs w:val="21"/>
                                        </w:rPr>
                                      </w:pPr>
                                      <w:r>
                                        <w:rPr>
                                          <w:rFonts w:ascii="宋体" w:hAnsiTheme="minorBidi"/>
                                          <w:color w:val="000000" w:themeColor="text1"/>
                                          <w:kern w:val="24"/>
                                          <w:sz w:val="18"/>
                                          <w:szCs w:val="18"/>
                                          <w14:textFill>
                                            <w14:solidFill>
                                              <w14:schemeClr w14:val="tx1"/>
                                            </w14:solidFill>
                                          </w14:textFill>
                                        </w:rPr>
                                        <w:t>否</w:t>
                                      </w:r>
                                    </w:p>
                                  </w:txbxContent>
                                </wps:txbx>
                                <wps:bodyPr wrap="square" rtlCol="0">
                                  <a:noAutofit/>
                                </wps:bodyPr>
                              </wps:wsp>
                              <wpg:grpSp>
                                <wpg:cNvPr id="19" name="组合 19"/>
                                <wpg:cNvGrpSpPr/>
                                <wpg:grpSpPr>
                                  <a:xfrm>
                                    <a:off x="7752" y="705106"/>
                                    <a:ext cx="2269" cy="2779"/>
                                    <a:chOff x="7752" y="705106"/>
                                    <a:chExt cx="2269" cy="2779"/>
                                  </a:xfrm>
                                </wpg:grpSpPr>
                                <wpg:grpSp>
                                  <wpg:cNvPr id="8" name="组合 8"/>
                                  <wpg:cNvGrpSpPr/>
                                  <wpg:grpSpPr>
                                    <a:xfrm>
                                      <a:off x="7752" y="705106"/>
                                      <a:ext cx="2269" cy="1551"/>
                                      <a:chOff x="7787" y="329392"/>
                                      <a:chExt cx="2121" cy="1376"/>
                                    </a:xfrm>
                                  </wpg:grpSpPr>
                                  <wpg:grpSp>
                                    <wpg:cNvPr id="248" name="组合 7"/>
                                    <wpg:cNvGrpSpPr/>
                                    <wpg:grpSpPr>
                                      <a:xfrm>
                                        <a:off x="7798" y="329392"/>
                                        <a:ext cx="1965" cy="436"/>
                                        <a:chOff x="11164" y="791"/>
                                        <a:chExt cx="1965" cy="436"/>
                                      </a:xfrm>
                                    </wpg:grpSpPr>
                                    <wps:wsp>
                                      <wps:cNvPr id="2" name="矩形 1"/>
                                      <wps:cNvSpPr/>
                                      <wps:spPr>
                                        <a:xfrm>
                                          <a:off x="11164" y="791"/>
                                          <a:ext cx="1965" cy="3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文本框 6"/>
                                      <wps:cNvSpPr txBox="1"/>
                                      <wps:spPr>
                                        <a:xfrm>
                                          <a:off x="11184" y="811"/>
                                          <a:ext cx="1826" cy="416"/>
                                        </a:xfrm>
                                        <a:prstGeom prst="rect">
                                          <a:avLst/>
                                        </a:prstGeom>
                                        <a:noFill/>
                                      </wps:spPr>
                                      <wps:txbx>
                                        <w:txbxContent>
                                          <w:p w14:paraId="72C6EAFA">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能效诊断工作启动</w:t>
                                            </w:r>
                                          </w:p>
                                        </w:txbxContent>
                                      </wps:txbx>
                                      <wps:bodyPr wrap="square" rtlCol="0">
                                        <a:noAutofit/>
                                      </wps:bodyPr>
                                    </wps:wsp>
                                  </wpg:grpSp>
                                  <wps:wsp>
                                    <wps:cNvPr id="10" name="直接箭头连接符 9"/>
                                    <wps:cNvCnPr/>
                                    <wps:spPr>
                                      <a:xfrm>
                                        <a:off x="8841" y="329782"/>
                                        <a:ext cx="0" cy="288"/>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49" name="组合 13"/>
                                    <wpg:cNvGrpSpPr/>
                                    <wpg:grpSpPr>
                                      <a:xfrm>
                                        <a:off x="7787" y="330078"/>
                                        <a:ext cx="2121" cy="690"/>
                                        <a:chOff x="11152" y="791"/>
                                        <a:chExt cx="2121" cy="690"/>
                                      </a:xfrm>
                                    </wpg:grpSpPr>
                                    <wps:wsp>
                                      <wps:cNvPr id="16" name="矩形 15"/>
                                      <wps:cNvSpPr/>
                                      <wps:spPr>
                                        <a:xfrm>
                                          <a:off x="11164" y="791"/>
                                          <a:ext cx="2037" cy="66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文本框 16"/>
                                      <wps:cNvSpPr txBox="1"/>
                                      <wps:spPr>
                                        <a:xfrm>
                                          <a:off x="11152" y="803"/>
                                          <a:ext cx="2121" cy="678"/>
                                        </a:xfrm>
                                        <a:prstGeom prst="rect">
                                          <a:avLst/>
                                        </a:prstGeom>
                                        <a:noFill/>
                                      </wps:spPr>
                                      <wps:txbx>
                                        <w:txbxContent>
                                          <w:p w14:paraId="05C7CCD6">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识别建筑</w:t>
                                            </w:r>
                                            <w:r>
                                              <w:rPr>
                                                <w:rFonts w:hint="eastAsia" w:ascii="宋体" w:hAnsiTheme="minorBidi"/>
                                                <w:color w:val="000000" w:themeColor="text1"/>
                                                <w:kern w:val="24"/>
                                                <w:sz w:val="18"/>
                                                <w:szCs w:val="18"/>
                                                <w14:textFill>
                                                  <w14:solidFill>
                                                    <w14:schemeClr w14:val="tx1"/>
                                                  </w14:solidFill>
                                                </w14:textFill>
                                              </w:rPr>
                                              <w:t>边界</w:t>
                                            </w:r>
                                          </w:p>
                                          <w:p w14:paraId="53A15B67">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和能耗边界</w:t>
                                            </w:r>
                                          </w:p>
                                        </w:txbxContent>
                                      </wps:txbx>
                                      <wps:bodyPr wrap="square" rtlCol="0">
                                        <a:noAutofit/>
                                      </wps:bodyPr>
                                    </wps:wsp>
                                  </wpg:grpSp>
                                </wpg:grpSp>
                                <wpg:grpSp>
                                  <wpg:cNvPr id="18" name="组合 18"/>
                                  <wpg:cNvGrpSpPr/>
                                  <wpg:grpSpPr>
                                    <a:xfrm>
                                      <a:off x="7790" y="706253"/>
                                      <a:ext cx="2190" cy="1632"/>
                                      <a:chOff x="7790" y="706241"/>
                                      <a:chExt cx="2190" cy="1632"/>
                                    </a:xfrm>
                                  </wpg:grpSpPr>
                                  <wps:wsp>
                                    <wps:cNvPr id="53" name="肘形连接符 52"/>
                                    <wps:cNvCnPr/>
                                    <wps:spPr>
                                      <a:xfrm flipV="1">
                                        <a:off x="9976" y="706241"/>
                                        <a:ext cx="5" cy="1148"/>
                                      </a:xfrm>
                                      <a:prstGeom prst="bentConnector3">
                                        <a:avLst>
                                          <a:gd name="adj1" fmla="val 7500000"/>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8" name="直接箭头连接符 47"/>
                                    <wps:cNvCnPr/>
                                    <wps:spPr>
                                      <a:xfrm>
                                        <a:off x="8866" y="706606"/>
                                        <a:ext cx="0" cy="32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54" name="组合 50"/>
                                    <wpg:cNvGrpSpPr/>
                                    <wpg:grpSpPr>
                                      <a:xfrm>
                                        <a:off x="7790" y="706925"/>
                                        <a:ext cx="2154" cy="949"/>
                                        <a:chOff x="14886" y="2979"/>
                                        <a:chExt cx="2013" cy="1006"/>
                                      </a:xfrm>
                                    </wpg:grpSpPr>
                                    <wps:wsp>
                                      <wps:cNvPr id="49" name="菱形 48"/>
                                      <wps:cNvSpPr/>
                                      <wps:spPr>
                                        <a:xfrm>
                                          <a:off x="14886" y="2979"/>
                                          <a:ext cx="2013" cy="1006"/>
                                        </a:xfrm>
                                        <a:prstGeom prst="diamond">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文本框 49"/>
                                      <wps:cNvSpPr txBox="1"/>
                                      <wps:spPr>
                                        <a:xfrm>
                                          <a:off x="15581" y="3118"/>
                                          <a:ext cx="835" cy="633"/>
                                        </a:xfrm>
                                        <a:prstGeom prst="rect">
                                          <a:avLst/>
                                        </a:prstGeom>
                                        <a:noFill/>
                                      </wps:spPr>
                                      <wps:txbx>
                                        <w:txbxContent>
                                          <w:p w14:paraId="3FB129FB">
                                            <w:pPr>
                                              <w:pStyle w:val="15"/>
                                              <w:adjustRightInd w:val="0"/>
                                              <w:snapToGrid w:val="0"/>
                                              <w:spacing w:beforeAutospacing="0" w:afterAutospacing="0" w:line="240" w:lineRule="auto"/>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边界是</w:t>
                                            </w:r>
                                          </w:p>
                                          <w:p w14:paraId="14D843D5">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否一致</w:t>
                                            </w:r>
                                          </w:p>
                                        </w:txbxContent>
                                      </wps:txbx>
                                      <wps:bodyPr wrap="square" rtlCol="0">
                                        <a:noAutofit/>
                                      </wps:bodyPr>
                                    </wps:wsp>
                                  </wpg:grpSp>
                                </wpg:grpSp>
                              </wpg:grpSp>
                            </wpg:grpSp>
                            <wpg:grpSp>
                              <wpg:cNvPr id="22" name="组合 22"/>
                              <wpg:cNvGrpSpPr/>
                              <wpg:grpSpPr>
                                <a:xfrm>
                                  <a:off x="6876" y="707825"/>
                                  <a:ext cx="4265" cy="1330"/>
                                  <a:chOff x="6876" y="713482"/>
                                  <a:chExt cx="4265" cy="1330"/>
                                </a:xfrm>
                              </wpg:grpSpPr>
                              <wps:wsp>
                                <wps:cNvPr id="52" name="直接箭头连接符 51"/>
                                <wps:cNvCnPr/>
                                <wps:spPr>
                                  <a:xfrm>
                                    <a:off x="8872" y="713566"/>
                                    <a:ext cx="0" cy="32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4" name="文本框 53"/>
                                <wps:cNvSpPr txBox="1"/>
                                <wps:spPr>
                                  <a:xfrm>
                                    <a:off x="8988" y="713482"/>
                                    <a:ext cx="646" cy="425"/>
                                  </a:xfrm>
                                  <a:prstGeom prst="rect">
                                    <a:avLst/>
                                  </a:prstGeom>
                                  <a:noFill/>
                                </wps:spPr>
                                <wps:txbx>
                                  <w:txbxContent>
                                    <w:p w14:paraId="3A047827">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是</w:t>
                                      </w:r>
                                    </w:p>
                                  </w:txbxContent>
                                </wps:txbx>
                                <wps:bodyPr wrap="square" rtlCol="0">
                                  <a:noAutofit/>
                                </wps:bodyPr>
                              </wps:wsp>
                              <wpg:grpSp>
                                <wpg:cNvPr id="255" name="组合 61"/>
                                <wpg:cNvGrpSpPr/>
                                <wpg:grpSpPr>
                                  <a:xfrm>
                                    <a:off x="7809" y="713864"/>
                                    <a:ext cx="2154" cy="949"/>
                                    <a:chOff x="14886" y="2979"/>
                                    <a:chExt cx="2013" cy="1006"/>
                                  </a:xfrm>
                                </wpg:grpSpPr>
                                <wps:wsp>
                                  <wps:cNvPr id="63" name="菱形 62"/>
                                  <wps:cNvSpPr/>
                                  <wps:spPr>
                                    <a:xfrm>
                                      <a:off x="14886" y="2979"/>
                                      <a:ext cx="2013" cy="1006"/>
                                    </a:xfrm>
                                    <a:prstGeom prst="diamond">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文本框 65"/>
                                  <wps:cNvSpPr txBox="1"/>
                                  <wps:spPr>
                                    <a:xfrm>
                                      <a:off x="15348" y="3178"/>
                                      <a:ext cx="1202" cy="671"/>
                                    </a:xfrm>
                                    <a:prstGeom prst="rect">
                                      <a:avLst/>
                                    </a:prstGeom>
                                    <a:noFill/>
                                  </wps:spPr>
                                  <wps:txbx>
                                    <w:txbxContent>
                                      <w:p w14:paraId="3892A284">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是否有</w:t>
                                        </w:r>
                                        <w:r>
                                          <w:rPr>
                                            <w:rFonts w:ascii="宋体" w:hAnsiTheme="minorBidi"/>
                                            <w:color w:val="000000" w:themeColor="text1"/>
                                            <w:kern w:val="24"/>
                                            <w:sz w:val="18"/>
                                            <w:szCs w:val="18"/>
                                            <w14:textFill>
                                              <w14:solidFill>
                                                <w14:schemeClr w14:val="tx1"/>
                                              </w14:solidFill>
                                            </w14:textFill>
                                          </w:rPr>
                                          <w:t>能效监管系统</w:t>
                                        </w:r>
                                      </w:p>
                                    </w:txbxContent>
                                  </wps:txbx>
                                  <wps:bodyPr wrap="square" rtlCol="0">
                                    <a:noAutofit/>
                                  </wps:bodyPr>
                                </wps:wsp>
                              </wpg:grpSp>
                              <wps:wsp>
                                <wps:cNvPr id="69" name="文本框 68"/>
                                <wps:cNvSpPr txBox="1"/>
                                <wps:spPr>
                                  <a:xfrm>
                                    <a:off x="10421" y="713913"/>
                                    <a:ext cx="721" cy="415"/>
                                  </a:xfrm>
                                  <a:prstGeom prst="rect">
                                    <a:avLst/>
                                  </a:prstGeom>
                                  <a:noFill/>
                                </wps:spPr>
                                <wps:txbx>
                                  <w:txbxContent>
                                    <w:p w14:paraId="3719ACE6">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有</w:t>
                                      </w:r>
                                    </w:p>
                                  </w:txbxContent>
                                </wps:txbx>
                                <wps:bodyPr wrap="square" rtlCol="0">
                                  <a:noAutofit/>
                                </wps:bodyPr>
                              </wps:wsp>
                              <wps:wsp>
                                <wps:cNvPr id="117" name="文本框 116"/>
                                <wps:cNvSpPr txBox="1"/>
                                <wps:spPr>
                                  <a:xfrm>
                                    <a:off x="6876" y="713828"/>
                                    <a:ext cx="561" cy="584"/>
                                  </a:xfrm>
                                  <a:prstGeom prst="rect">
                                    <a:avLst/>
                                  </a:prstGeom>
                                  <a:noFill/>
                                </wps:spPr>
                                <wps:txbx>
                                  <w:txbxContent>
                                    <w:p w14:paraId="635AE5B8">
                                      <w:pPr>
                                        <w:pStyle w:val="15"/>
                                        <w:rPr>
                                          <w:sz w:val="18"/>
                                          <w:szCs w:val="18"/>
                                        </w:rPr>
                                      </w:pPr>
                                      <w:r>
                                        <w:rPr>
                                          <w:rFonts w:ascii="宋体" w:hAnsiTheme="minorBidi"/>
                                          <w:color w:val="000000" w:themeColor="text1"/>
                                          <w:kern w:val="24"/>
                                          <w:sz w:val="18"/>
                                          <w:szCs w:val="18"/>
                                          <w14:textFill>
                                            <w14:solidFill>
                                              <w14:schemeClr w14:val="tx1"/>
                                            </w14:solidFill>
                                          </w14:textFill>
                                        </w:rPr>
                                        <w:t>无</w:t>
                                      </w:r>
                                    </w:p>
                                  </w:txbxContent>
                                </wps:txbx>
                                <wps:bodyPr wrap="square" rtlCol="0">
                                  <a:noAutofit/>
                                </wps:bodyPr>
                              </wps:wsp>
                            </wpg:grpSp>
                          </wpg:grpSp>
                        </wpg:grpSp>
                      </wpg:grpSp>
                      <wpg:grpSp>
                        <wpg:cNvPr id="39" name="组合 103"/>
                        <wpg:cNvGrpSpPr/>
                        <wpg:grpSpPr>
                          <a:xfrm>
                            <a:off x="9070" y="711005"/>
                            <a:ext cx="2102" cy="448"/>
                            <a:chOff x="9134" y="1239"/>
                            <a:chExt cx="1965" cy="398"/>
                          </a:xfrm>
                        </wpg:grpSpPr>
                        <wps:wsp>
                          <wps:cNvPr id="41" name="矩形 104"/>
                          <wps:cNvSpPr/>
                          <wps:spPr>
                            <a:xfrm>
                              <a:off x="9134" y="1239"/>
                              <a:ext cx="1965" cy="3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文本框 105"/>
                          <wps:cNvSpPr txBox="1"/>
                          <wps:spPr>
                            <a:xfrm>
                              <a:off x="9134" y="1248"/>
                              <a:ext cx="1953" cy="320"/>
                            </a:xfrm>
                            <a:prstGeom prst="rect">
                              <a:avLst/>
                            </a:prstGeom>
                            <a:noFill/>
                          </wps:spPr>
                          <wps:txbx>
                            <w:txbxContent>
                              <w:p w14:paraId="3D24A330">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数据核查校验</w:t>
                                </w:r>
                              </w:p>
                            </w:txbxContent>
                          </wps:txbx>
                          <wps:bodyPr wrap="square" rtlCol="0">
                            <a:noAutofit/>
                          </wps:bodyPr>
                        </wps:wsp>
                      </wpg:grpSp>
                    </wpg:wgp>
                  </a:graphicData>
                </a:graphic>
              </wp:anchor>
            </w:drawing>
          </mc:Choice>
          <mc:Fallback>
            <w:pict>
              <v:group id="_x0000_s1026" o:spid="_x0000_s1026" o:spt="203" style="position:absolute;left:0pt;margin-left:-3.2pt;margin-top:8.65pt;height:322.65pt;width:341.65pt;mso-wrap-distance-bottom:0pt;mso-wrap-distance-top:0pt;z-index:251660288;mso-width-relative:page;mso-height-relative:page;" coordorigin="6562,705106" coordsize="6833,6452" o:gfxdata="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A8bHfe2gAAAAkBAAAPAAAAAAAAAAEAIAAAACIAAABk&#10;cnMvZG93bnJldi54bWxQSwECFAAUAAAACACHTuJAoQk5Fc8JAABEQwAADgAAAAAAAAABACAAAAAp&#10;AQAAZHJzL2Uyb0RvYy54bWxQSwUGAAAAAAYABgBZAQAAag0AAAAA&#10;">
                <o:lock v:ext="edit" aspectratio="f"/>
                <v:group id="组合 106" o:spid="_x0000_s1026" o:spt="203" style="position:absolute;left:6597;top:710900;height:658;width:1699;" coordorigin="8958,1024" coordsize="1588,398" o:gfxdata="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7sod6vwAAANwAAAAPAAAAAAAAAAEAIAAAACIAAABkcnMvZG93bnJldi54&#10;bWxQSwECFAAUAAAACACHTuJAMy8FnjsAAAA5AAAAFQAAAAAAAAABACAAAAAOAQAAZHJzL2dyb3Vw&#10;c2hhcGV4bWwueG1sUEsFBgAAAAAGAAYAYAEAAMsDAAAAAA==&#10;">
                  <o:lock v:ext="edit" aspectratio="f"/>
                  <v:rect id="矩形 107" o:spid="_x0000_s1026" o:spt="1" style="position:absolute;left:9014;top:1024;height:398;width:1506;v-text-anchor:middle;" filled="f" stroked="t" coordsize="21600,21600" o:gfxdata="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lUJ5&#10;wAAAANwAAAAPAAAAAAAAAAEAIAAAACIAAABkcnMvZG93bnJldi54bWxQSwECFAAUAAAACACHTuJA&#10;My8FnjsAAAA5AAAAEAAAAAAAAAABACAAAAAPAQAAZHJzL3NoYXBleG1sLnhtbFBLBQYAAAAABgAG&#10;AFsBAAC5AwAAAAA=&#10;">
                    <v:fill on="f" focussize="0,0"/>
                    <v:stroke weight="1.5pt" color="#000000 [3213]" joinstyle="round"/>
                    <v:imagedata o:title=""/>
                    <o:lock v:ext="edit" aspectratio="f"/>
                  </v:rect>
                  <v:shape id="文本框 110" o:spid="_x0000_s1026" o:spt="202" type="#_x0000_t202" style="position:absolute;left:8958;top:1042;height:359;width:1588;" filled="f" stroked="f" coordsize="21600,21600" o:gfxdata="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JsrK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6D959228">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电力、供水、燃气、热力等公共平台</w:t>
                          </w:r>
                        </w:p>
                      </w:txbxContent>
                    </v:textbox>
                  </v:shape>
                </v:group>
                <v:group id="_x0000_s1026" o:spid="_x0000_s1026" o:spt="203" style="position:absolute;left:6562;top:705106;height:5202;width:6833;" coordorigin="5466,705106" coordsize="6833,5202"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肘形连接符 72" o:spid="_x0000_s1026" o:spt="33" type="#_x0000_t33" style="position:absolute;left:9976;top:708685;height:741;width:1262;" filled="f" stroked="t" coordsize="21600,21600" o:gfxdata="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oPYha8AAAA&#10;2wAAAA8AAAAAAAAAAQAgAAAAIgAAAGRycy9kb3ducmV2LnhtbFBLAQIUABQAAAAIAIdO4kAzLwWe&#10;OwAAADkAAAAQAAAAAAAAAAEAIAAAAAsBAABkcnMvc2hhcGV4bWwueG1sUEsFBgAAAAAGAAYAWwEA&#10;ALUDAAAAAA==&#10;">
                    <v:fill on="f" focussize="0,0"/>
                    <v:stroke weight="0.5pt" color="#000000 [3213]" joinstyle="round" endarrow="open"/>
                    <v:imagedata o:title=""/>
                    <o:lock v:ext="edit" aspectratio="f"/>
                  </v:shape>
                  <v:group id="_x0000_s1026" o:spid="_x0000_s1026" o:spt="203" style="position:absolute;left:10166;top:709437;height:705;width:2133;" coordorigin="5254,709469" coordsize="2133,705"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矩形 77" o:spid="_x0000_s1026" o:spt="1" style="position:absolute;left:5254;top:709469;height:705;width:2133;v-text-anchor:middle;" filled="f" stroked="t" coordsize="21600,21600" o:gfxdata="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UqhBS8AAAA&#10;2wAAAA8AAAAAAAAAAQAgAAAAIgAAAGRycy9kb3ducmV2LnhtbFBLAQIUABQAAAAIAIdO4kAzLwWe&#10;OwAAADkAAAAQAAAAAAAAAAEAIAAAAAsBAABkcnMvc2hhcGV4bWwueG1sUEsFBgAAAAAGAAYAWwEA&#10;ALUDAAAAAA==&#10;">
                      <v:fill on="f" focussize="0,0"/>
                      <v:stroke weight="1.5pt" color="#000000 [3213]" joinstyle="round"/>
                      <v:imagedata o:title=""/>
                      <o:lock v:ext="edit" aspectratio="f"/>
                    </v:rect>
                    <v:shape id="文本框 78" o:spid="_x0000_s1026" o:spt="202" type="#_x0000_t202" style="position:absolute;left:5254;top:709517;height:630;width:2096;"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F4E9504">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填写</w:t>
                            </w:r>
                            <w:r>
                              <w:rPr>
                                <w:rFonts w:hint="eastAsia" w:ascii="宋体" w:hAnsiTheme="minorBidi"/>
                                <w:color w:val="000000" w:themeColor="text1"/>
                                <w:kern w:val="24"/>
                                <w:sz w:val="18"/>
                                <w:szCs w:val="18"/>
                                <w14:textFill>
                                  <w14:solidFill>
                                    <w14:schemeClr w14:val="tx1"/>
                                  </w14:solidFill>
                                </w14:textFill>
                              </w:rPr>
                              <w:t>建筑信息</w:t>
                            </w:r>
                          </w:p>
                          <w:p w14:paraId="66349C9A">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读取</w:t>
                            </w:r>
                            <w:r>
                              <w:rPr>
                                <w:rFonts w:ascii="宋体" w:hAnsiTheme="minorBidi"/>
                                <w:color w:val="000000" w:themeColor="text1"/>
                                <w:kern w:val="24"/>
                                <w:sz w:val="18"/>
                                <w:szCs w:val="18"/>
                                <w14:textFill>
                                  <w14:solidFill>
                                    <w14:schemeClr w14:val="tx1"/>
                                  </w14:solidFill>
                                </w14:textFill>
                              </w:rPr>
                              <w:t>能耗数据</w:t>
                            </w:r>
                          </w:p>
                        </w:txbxContent>
                      </v:textbox>
                    </v:shape>
                  </v:group>
                  <v:group id="_x0000_s1026" o:spid="_x0000_s1026" o:spt="203" style="position:absolute;left:5466;top:705106;height:5202;width:5675;" coordorigin="5466,705106" coordsize="5675,5202"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shape id="肘形连接符 82" o:spid="_x0000_s1026" o:spt="33" type="#_x0000_t33" style="position:absolute;left:6450;top:708682;flip:y;height:813;width:1407;rotation:11796480f;" filled="f" stroked="t" coordsize="21600,21600" o:gfxdata="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eZmvQAA&#10;ANsAAAAPAAAAAAAAAAEAIAAAACIAAABkcnMvZG93bnJldi54bWxQSwECFAAUAAAACACHTuJAMy8F&#10;njsAAAA5AAAAEAAAAAAAAAABACAAAAAMAQAAZHJzL3NoYXBleG1sLnhtbFBLBQYAAAAABgAGAFsB&#10;AAC2AwAAAAA=&#10;">
                      <v:fill on="f" focussize="0,0"/>
                      <v:stroke weight="0.5pt" color="#000000 [3213]" joinstyle="round" endarrow="open"/>
                      <v:imagedata o:title=""/>
                      <o:lock v:ext="edit" aspectratio="f"/>
                    </v:shape>
                    <v:group id="组合 5" o:spid="_x0000_s1026" o:spt="203" style="position:absolute;left:5466;top:709511;height:797;width:2133;" coordorigin="5254,709469" coordsize="2133,797"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rect id="矩形 77" o:spid="_x0000_s1026" o:spt="1" style="position:absolute;left:5254;top:709469;height:705;width:2133;v-text-anchor:middle;" filled="f" stroked="t" coordsize="21600,21600" o:gfxdata="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bhrsbsAAADb&#10;AAAADwAAAAAAAAABACAAAAAiAAAAZHJzL2Rvd25yZXYueG1sUEsBAhQAFAAAAAgAh07iQDMvBZ47&#10;AAAAOQAAABAAAAAAAAAAAQAgAAAACgEAAGRycy9zaGFwZXhtbC54bWxQSwUGAAAAAAYABgBbAQAA&#10;tAMAAAAA&#10;">
                        <v:fill on="f" focussize="0,0"/>
                        <v:stroke weight="1.5pt" color="#000000 [3213]" joinstyle="round"/>
                        <v:imagedata o:title=""/>
                        <o:lock v:ext="edit" aspectratio="f"/>
                      </v:rect>
                      <v:shape id="文本框 78" o:spid="_x0000_s1026" o:spt="202" type="#_x0000_t202" style="position:absolute;left:5254;top:709528;height:738;width:2096;" filled="f" stroked="f" coordsize="21600,21600" o:gfxdata="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VsrL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0EF0A1C">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填写</w:t>
                              </w:r>
                              <w:r>
                                <w:rPr>
                                  <w:rFonts w:hint="eastAsia" w:ascii="宋体" w:hAnsiTheme="minorBidi"/>
                                  <w:color w:val="000000" w:themeColor="text1"/>
                                  <w:kern w:val="24"/>
                                  <w:sz w:val="18"/>
                                  <w:szCs w:val="18"/>
                                  <w14:textFill>
                                    <w14:solidFill>
                                      <w14:schemeClr w14:val="tx1"/>
                                    </w14:solidFill>
                                  </w14:textFill>
                                </w:rPr>
                                <w:t>建筑信息</w:t>
                              </w:r>
                            </w:p>
                            <w:p w14:paraId="5E4382EC">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搜集</w:t>
                              </w:r>
                              <w:r>
                                <w:rPr>
                                  <w:rFonts w:ascii="宋体" w:hAnsiTheme="minorBidi"/>
                                  <w:color w:val="000000" w:themeColor="text1"/>
                                  <w:kern w:val="24"/>
                                  <w:sz w:val="18"/>
                                  <w:szCs w:val="18"/>
                                  <w14:textFill>
                                    <w14:solidFill>
                                      <w14:schemeClr w14:val="tx1"/>
                                    </w14:solidFill>
                                  </w14:textFill>
                                </w:rPr>
                                <w:t>能耗数据</w:t>
                              </w:r>
                            </w:p>
                          </w:txbxContent>
                        </v:textbox>
                      </v:shape>
                    </v:group>
                    <v:group id="_x0000_s1026" o:spid="_x0000_s1026" o:spt="203" style="position:absolute;left:6876;top:705106;height:4049;width:4265;" coordorigin="6876,705106" coordsize="4265,4049"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7752;top:705106;height:2779;width:3046;" coordorigin="7752,705106" coordsize="3046,2779"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文本框 54" o:spid="_x0000_s1026" o:spt="202" type="#_x0000_t202" style="position:absolute;left:10320;top:706632;height:581;width:478;"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550F781C">
                                <w:pPr>
                                  <w:pStyle w:val="15"/>
                                  <w:adjustRightInd w:val="0"/>
                                  <w:snapToGrid w:val="0"/>
                                  <w:spacing w:beforeAutospacing="0" w:afterAutospacing="0" w:line="240" w:lineRule="auto"/>
                                  <w:rPr>
                                    <w:sz w:val="21"/>
                                    <w:szCs w:val="21"/>
                                  </w:rPr>
                                </w:pPr>
                                <w:r>
                                  <w:rPr>
                                    <w:rFonts w:ascii="宋体" w:hAnsiTheme="minorBidi"/>
                                    <w:color w:val="000000" w:themeColor="text1"/>
                                    <w:kern w:val="24"/>
                                    <w:sz w:val="18"/>
                                    <w:szCs w:val="18"/>
                                    <w14:textFill>
                                      <w14:solidFill>
                                        <w14:schemeClr w14:val="tx1"/>
                                      </w14:solidFill>
                                    </w14:textFill>
                                  </w:rPr>
                                  <w:t>否</w:t>
                                </w:r>
                              </w:p>
                            </w:txbxContent>
                          </v:textbox>
                        </v:shape>
                        <v:group id="_x0000_s1026" o:spid="_x0000_s1026" o:spt="203" style="position:absolute;left:7752;top:705106;height:2779;width:2269;" coordorigin="7752,705106" coordsize="2269,2779"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7752;top:705106;height:1551;width:2269;" coordorigin="7787,329392" coordsize="2121,1376"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group id="组合 7" o:spid="_x0000_s1026" o:spt="203" style="position:absolute;left:7798;top:329392;height:436;width:1965;" coordorigin="11164,791" coordsize="1965,436" o:gfxdata="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o0lrvAAAANwAAAAPAAAAAAAAAAEAIAAAACIAAABkcnMvZG93bnJldi54bWxQ&#10;SwECFAAUAAAACACHTuJAMy8FnjsAAAA5AAAAFQAAAAAAAAABACAAAAALAQAAZHJzL2dyb3Vwc2hh&#10;cGV4bWwueG1sUEsFBgAAAAAGAAYAYAEAAMgDAAAAAA==&#10;">
                              <o:lock v:ext="edit" aspectratio="f"/>
                              <v:rect id="矩形 1" o:spid="_x0000_s1026" o:spt="1" style="position:absolute;left:11164;top:791;height:398;width:1965;v-text-anchor:middle;" filled="f" stroked="t" coordsize="21600,21600" o:gfxdata="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PldcbsAAADa&#10;AAAADwAAAAAAAAABACAAAAAiAAAAZHJzL2Rvd25yZXYueG1sUEsBAhQAFAAAAAgAh07iQDMvBZ47&#10;AAAAOQAAABAAAAAAAAAAAQAgAAAACgEAAGRycy9zaGFwZXhtbC54bWxQSwUGAAAAAAYABgBbAQAA&#10;tAMAAAAA&#10;">
                                <v:fill on="f" focussize="0,0"/>
                                <v:stroke weight="1.5pt" color="#000000 [3213]" joinstyle="round"/>
                                <v:imagedata o:title=""/>
                                <o:lock v:ext="edit" aspectratio="f"/>
                              </v:rect>
                              <v:shape id="文本框 6" o:spid="_x0000_s1026" o:spt="202" type="#_x0000_t202" style="position:absolute;left:11184;top:811;height:416;width:1826;"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72C6EAFA">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能效诊断工作启动</w:t>
                                      </w:r>
                                    </w:p>
                                  </w:txbxContent>
                                </v:textbox>
                              </v:shape>
                            </v:group>
                            <v:shape id="直接箭头连接符 9" o:spid="_x0000_s1026" o:spt="32" type="#_x0000_t32" style="position:absolute;left:8841;top:329782;height:288;width:0;" filled="f" stroked="t" coordsize="21600,21600" o:gfxdata="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aEI3e/&#10;AAAA2wAAAA8AAAAAAAAAAQAgAAAAIgAAAGRycy9kb3ducmV2LnhtbFBLAQIUABQAAAAIAIdO4kAz&#10;LwWeOwAAADkAAAAQAAAAAAAAAAEAIAAAAA4BAABkcnMvc2hhcGV4bWwueG1sUEsFBgAAAAAGAAYA&#10;WwEAALgDAAAAAA==&#10;">
                              <v:fill on="f" focussize="0,0"/>
                              <v:stroke weight="0.5pt" color="#000000 [3213]" joinstyle="round" endarrow="open"/>
                              <v:imagedata o:title=""/>
                              <o:lock v:ext="edit" aspectratio="f"/>
                            </v:shape>
                            <v:group id="组合 13" o:spid="_x0000_s1026" o:spt="203" style="position:absolute;left:7787;top:330078;height:690;width:2121;" coordorigin="11152,791" coordsize="2121,690" o:gfxdata="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R7+zwvwAAANwAAAAPAAAAAAAAAAEAIAAAACIAAABkcnMvZG93bnJldi54&#10;bWxQSwECFAAUAAAACACHTuJAMy8FnjsAAAA5AAAAFQAAAAAAAAABACAAAAAOAQAAZHJzL2dyb3Vw&#10;c2hhcGV4bWwueG1sUEsFBgAAAAAGAAYAYAEAAMsDAAAAAA==&#10;">
                              <o:lock v:ext="edit" aspectratio="f"/>
                              <v:rect id="矩形 15" o:spid="_x0000_s1026" o:spt="1" style="position:absolute;left:11164;top:791;height:661;width:2037;v-text-anchor:middle;" filled="f" stroked="t" coordsize="21600,21600" o:gfxdata="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q0v/i5AAAA2wAA&#10;AA8AAAAAAAAAAQAgAAAAIgAAAGRycy9kb3ducmV2LnhtbFBLAQIUABQAAAAIAIdO4kAzLwWeOwAA&#10;ADkAAAAQAAAAAAAAAAEAIAAAAAgBAABkcnMvc2hhcGV4bWwueG1sUEsFBgAAAAAGAAYAWwEAALID&#10;AAAAAA==&#10;">
                                <v:fill on="f" focussize="0,0"/>
                                <v:stroke weight="1.5pt" color="#000000 [3213]" joinstyle="round"/>
                                <v:imagedata o:title=""/>
                                <o:lock v:ext="edit" aspectratio="f"/>
                              </v:rect>
                              <v:shape id="文本框 16" o:spid="_x0000_s1026" o:spt="202" type="#_x0000_t202" style="position:absolute;left:11152;top:803;height:678;width:2121;"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05C7CCD6">
                                      <w:pPr>
                                        <w:pStyle w:val="15"/>
                                        <w:adjustRightInd w:val="0"/>
                                        <w:snapToGrid w:val="0"/>
                                        <w:spacing w:beforeAutospacing="0" w:afterAutospacing="0" w:line="240" w:lineRule="auto"/>
                                        <w:jc w:val="center"/>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识别建筑</w:t>
                                      </w:r>
                                      <w:r>
                                        <w:rPr>
                                          <w:rFonts w:hint="eastAsia" w:ascii="宋体" w:hAnsiTheme="minorBidi"/>
                                          <w:color w:val="000000" w:themeColor="text1"/>
                                          <w:kern w:val="24"/>
                                          <w:sz w:val="18"/>
                                          <w:szCs w:val="18"/>
                                          <w14:textFill>
                                            <w14:solidFill>
                                              <w14:schemeClr w14:val="tx1"/>
                                            </w14:solidFill>
                                          </w14:textFill>
                                        </w:rPr>
                                        <w:t>边界</w:t>
                                      </w:r>
                                    </w:p>
                                    <w:p w14:paraId="53A15B67">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和能耗边界</w:t>
                                      </w:r>
                                    </w:p>
                                  </w:txbxContent>
                                </v:textbox>
                              </v:shape>
                            </v:group>
                          </v:group>
                          <v:group id="_x0000_s1026" o:spid="_x0000_s1026" o:spt="203" style="position:absolute;left:7790;top:706253;height:1632;width:2190;" coordorigin="7790,706241" coordsize="2190,1632"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肘形连接符 52" o:spid="_x0000_s1026" o:spt="34" type="#_x0000_t34" style="position:absolute;left:9976;top:706241;flip:y;height:1148;width:5;" filled="f" stroked="t" coordsize="21600,21600" o:gfxdata="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CfMu/&#10;AAAA2wAAAA8AAAAAAAAAAQAgAAAAIgAAAGRycy9kb3ducmV2LnhtbFBLAQIUABQAAAAIAIdO4kAz&#10;LwWeOwAAADkAAAAQAAAAAAAAAAEAIAAAAA4BAABkcnMvc2hhcGV4bWwueG1sUEsFBgAAAAAGAAYA&#10;WwEAALgDAAAAAA==&#10;" adj="1620000">
                              <v:fill on="f" focussize="0,0"/>
                              <v:stroke weight="0.5pt" color="#000000 [3213]" joinstyle="round" endarrow="open"/>
                              <v:imagedata o:title=""/>
                              <o:lock v:ext="edit" aspectratio="f"/>
                            </v:shape>
                            <v:shape id="直接箭头连接符 47" o:spid="_x0000_s1026" o:spt="32" type="#_x0000_t32" style="position:absolute;left:8866;top:706606;height:325;width:0;" filled="f" stroked="t" coordsize="21600,21600" o:gfxdata="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0EAbLsAAADb&#10;AAAADwAAAAAAAAABACAAAAAiAAAAZHJzL2Rvd25yZXYueG1sUEsBAhQAFAAAAAgAh07iQDMvBZ47&#10;AAAAOQAAABAAAAAAAAAAAQAgAAAACgEAAGRycy9zaGFwZXhtbC54bWxQSwUGAAAAAAYABgBbAQAA&#10;tAMAAAAA&#10;">
                              <v:fill on="f" focussize="0,0"/>
                              <v:stroke weight="0.5pt" color="#000000 [3213]" joinstyle="round" endarrow="open"/>
                              <v:imagedata o:title=""/>
                              <o:lock v:ext="edit" aspectratio="f"/>
                            </v:shape>
                            <v:group id="组合 50" o:spid="_x0000_s1026" o:spt="203" style="position:absolute;left:7790;top:706925;height:949;width:2154;" coordorigin="14886,2979" coordsize="2013,1006" o:gfxdata="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6N9WzvwAAANwAAAAPAAAAAAAAAAEAIAAAACIAAABkcnMvZG93bnJldi54&#10;bWxQSwECFAAUAAAACACHTuJAMy8FnjsAAAA5AAAAFQAAAAAAAAABACAAAAAOAQAAZHJzL2dyb3Vw&#10;c2hhcGV4bWwueG1sUEsFBgAAAAAGAAYAYAEAAMsDAAAAAA==&#10;">
                              <o:lock v:ext="edit" aspectratio="f"/>
                              <v:shape id="菱形 48" o:spid="_x0000_s1026" o:spt="4" type="#_x0000_t4" style="position:absolute;left:14886;top:2979;height:1006;width:2013;v-text-anchor:middle;" filled="f" stroked="t" coordsize="21600,21600" o:gfxdata="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qJyvQAA&#10;ANsAAAAPAAAAAAAAAAEAIAAAACIAAABkcnMvZG93bnJldi54bWxQSwECFAAUAAAACACHTuJAMy8F&#10;njsAAAA5AAAAEAAAAAAAAAABACAAAAAMAQAAZHJzL3NoYXBleG1sLnhtbFBLBQYAAAAABgAGAFsB&#10;AAC2AwAAAAA=&#10;">
                                <v:fill on="f" focussize="0,0"/>
                                <v:stroke weight="1.5pt" color="#000000 [3213]" joinstyle="round"/>
                                <v:imagedata o:title=""/>
                                <o:lock v:ext="edit" aspectratio="f"/>
                              </v:shape>
                              <v:shape id="文本框 49" o:spid="_x0000_s1026" o:spt="202" type="#_x0000_t202" style="position:absolute;left:15581;top:3118;height:633;width:835;" filled="f" stroked="f" coordsize="21600,21600" o:gfxdata="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2T82twAAANsAAAAP&#10;AAAAAAAAAAEAIAAAACIAAABkcnMvZG93bnJldi54bWxQSwECFAAUAAAACACHTuJAMy8FnjsAAAA5&#10;AAAAEAAAAAAAAAABACAAAAAGAQAAZHJzL3NoYXBleG1sLnhtbFBLBQYAAAAABgAGAFsBAACwAwAA&#10;AAA=&#10;">
                                <v:fill on="f" focussize="0,0"/>
                                <v:stroke on="f"/>
                                <v:imagedata o:title=""/>
                                <o:lock v:ext="edit" aspectratio="f"/>
                                <v:textbox>
                                  <w:txbxContent>
                                    <w:p w14:paraId="3FB129FB">
                                      <w:pPr>
                                        <w:pStyle w:val="15"/>
                                        <w:adjustRightInd w:val="0"/>
                                        <w:snapToGrid w:val="0"/>
                                        <w:spacing w:beforeAutospacing="0" w:afterAutospacing="0" w:line="240" w:lineRule="auto"/>
                                        <w:rPr>
                                          <w:rFonts w:ascii="宋体" w:hAnsiTheme="minorBidi"/>
                                          <w:color w:val="000000" w:themeColor="text1"/>
                                          <w:kern w:val="24"/>
                                          <w:sz w:val="18"/>
                                          <w:szCs w:val="18"/>
                                          <w14:textFill>
                                            <w14:solidFill>
                                              <w14:schemeClr w14:val="tx1"/>
                                            </w14:solidFill>
                                          </w14:textFill>
                                        </w:rPr>
                                      </w:pPr>
                                      <w:r>
                                        <w:rPr>
                                          <w:rFonts w:ascii="宋体" w:hAnsiTheme="minorBidi"/>
                                          <w:color w:val="000000" w:themeColor="text1"/>
                                          <w:kern w:val="24"/>
                                          <w:sz w:val="18"/>
                                          <w:szCs w:val="18"/>
                                          <w14:textFill>
                                            <w14:solidFill>
                                              <w14:schemeClr w14:val="tx1"/>
                                            </w14:solidFill>
                                          </w14:textFill>
                                        </w:rPr>
                                        <w:t>边界是</w:t>
                                      </w:r>
                                    </w:p>
                                    <w:p w14:paraId="14D843D5">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否一致</w:t>
                                      </w:r>
                                    </w:p>
                                  </w:txbxContent>
                                </v:textbox>
                              </v:shape>
                            </v:group>
                          </v:group>
                        </v:group>
                      </v:group>
                      <v:group id="_x0000_s1026" o:spid="_x0000_s1026" o:spt="203" style="position:absolute;left:6876;top:707825;height:1330;width:4265;" coordorigin="6876,713482" coordsize="4265,1330"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直接箭头连接符 51" o:spid="_x0000_s1026" o:spt="32" type="#_x0000_t32" style="position:absolute;left:8872;top:713566;height:325;width:0;" filled="f" stroked="t" coordsize="21600,21600" o:gfxdata="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3ChW74A&#10;AADbAAAADwAAAAAAAAABACAAAAAiAAAAZHJzL2Rvd25yZXYueG1sUEsBAhQAFAAAAAgAh07iQDMv&#10;BZ47AAAAOQAAABAAAAAAAAAAAQAgAAAADQEAAGRycy9zaGFwZXhtbC54bWxQSwUGAAAAAAYABgBb&#10;AQAAtwMAAAAA&#10;">
                          <v:fill on="f" focussize="0,0"/>
                          <v:stroke weight="0.5pt" color="#000000 [3213]" joinstyle="round" endarrow="open"/>
                          <v:imagedata o:title=""/>
                          <o:lock v:ext="edit" aspectratio="f"/>
                        </v:shape>
                        <v:shape id="文本框 53" o:spid="_x0000_s1026" o:spt="202" type="#_x0000_t202" style="position:absolute;left:8988;top:713482;height:425;width:646;"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A047827">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是</w:t>
                                </w:r>
                              </w:p>
                            </w:txbxContent>
                          </v:textbox>
                        </v:shape>
                        <v:group id="组合 61" o:spid="_x0000_s1026" o:spt="203" style="position:absolute;left:7809;top:713864;height:949;width:2154;" coordorigin="14886,2979" coordsize="2013,1006" o:gfxdata="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Ve3AovwAAANwAAAAPAAAAAAAAAAEAIAAAACIAAABkcnMvZG93bnJldi54&#10;bWxQSwECFAAUAAAACACHTuJAMy8FnjsAAAA5AAAAFQAAAAAAAAABACAAAAAOAQAAZHJzL2dyb3Vw&#10;c2hhcGV4bWwueG1sUEsFBgAAAAAGAAYAYAEAAMsDAAAAAA==&#10;">
                          <o:lock v:ext="edit" aspectratio="f"/>
                          <v:shape id="菱形 62" o:spid="_x0000_s1026" o:spt="4" type="#_x0000_t4" style="position:absolute;left:14886;top:2979;height:1006;width:2013;v-text-anchor:middle;" filled="f" stroked="t" coordsize="21600,21600" o:gfxdata="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6nyfi5AAAA2wAA&#10;AA8AAAAAAAAAAQAgAAAAIgAAAGRycy9kb3ducmV2LnhtbFBLAQIUABQAAAAIAIdO4kAzLwWeOwAA&#10;ADkAAAAQAAAAAAAAAAEAIAAAAAgBAABkcnMvc2hhcGV4bWwueG1sUEsFBgAAAAAGAAYAWwEAALID&#10;AAAAAA==&#10;">
                            <v:fill on="f" focussize="0,0"/>
                            <v:stroke weight="1.5pt" color="#000000 [3213]" joinstyle="round"/>
                            <v:imagedata o:title=""/>
                            <o:lock v:ext="edit" aspectratio="f"/>
                          </v:shape>
                          <v:shape id="文本框 65" o:spid="_x0000_s1026" o:spt="202" type="#_x0000_t202" style="position:absolute;left:15348;top:3178;height:671;width:1202;"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892A284">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是否有</w:t>
                                  </w:r>
                                  <w:r>
                                    <w:rPr>
                                      <w:rFonts w:ascii="宋体" w:hAnsiTheme="minorBidi"/>
                                      <w:color w:val="000000" w:themeColor="text1"/>
                                      <w:kern w:val="24"/>
                                      <w:sz w:val="18"/>
                                      <w:szCs w:val="18"/>
                                      <w14:textFill>
                                        <w14:solidFill>
                                          <w14:schemeClr w14:val="tx1"/>
                                        </w14:solidFill>
                                      </w14:textFill>
                                    </w:rPr>
                                    <w:t>能效监管系统</w:t>
                                  </w:r>
                                </w:p>
                              </w:txbxContent>
                            </v:textbox>
                          </v:shape>
                        </v:group>
                        <v:shape id="文本框 68" o:spid="_x0000_s1026" o:spt="202" type="#_x0000_t202" style="position:absolute;left:10421;top:713913;height:415;width:721;" filled="f" stroked="f" coordsize="21600,21600" o:gfxdata="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j1w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719ACE6">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有</w:t>
                                </w:r>
                              </w:p>
                            </w:txbxContent>
                          </v:textbox>
                        </v:shape>
                        <v:shape id="文本框 116" o:spid="_x0000_s1026" o:spt="202" type="#_x0000_t202" style="position:absolute;left:6876;top:713828;height:584;width:561;" filled="f" stroked="f" coordsize="21600,21600" o:gfxdata="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Fs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35AE5B8">
                                <w:pPr>
                                  <w:pStyle w:val="15"/>
                                  <w:rPr>
                                    <w:sz w:val="18"/>
                                    <w:szCs w:val="18"/>
                                  </w:rPr>
                                </w:pPr>
                                <w:r>
                                  <w:rPr>
                                    <w:rFonts w:ascii="宋体" w:hAnsiTheme="minorBidi"/>
                                    <w:color w:val="000000" w:themeColor="text1"/>
                                    <w:kern w:val="24"/>
                                    <w:sz w:val="18"/>
                                    <w:szCs w:val="18"/>
                                    <w14:textFill>
                                      <w14:solidFill>
                                        <w14:schemeClr w14:val="tx1"/>
                                      </w14:solidFill>
                                    </w14:textFill>
                                  </w:rPr>
                                  <w:t>无</w:t>
                                </w:r>
                              </w:p>
                            </w:txbxContent>
                          </v:textbox>
                        </v:shape>
                      </v:group>
                    </v:group>
                  </v:group>
                </v:group>
                <v:group id="组合 103" o:spid="_x0000_s1026" o:spt="203" style="position:absolute;left:9070;top:711005;height:448;width:2102;" coordorigin="9134,1239" coordsize="1965,398"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rect id="矩形 104" o:spid="_x0000_s1026" o:spt="1" style="position:absolute;left:9134;top:1239;height:398;width:1965;v-text-anchor:middle;" filled="f" stroked="t" coordsize="21600,21600" o:gfxdata="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u4Ikb4A&#10;AADbAAAADwAAAAAAAAABACAAAAAiAAAAZHJzL2Rvd25yZXYueG1sUEsBAhQAFAAAAAgAh07iQDMv&#10;BZ47AAAAOQAAABAAAAAAAAAAAQAgAAAADQEAAGRycy9zaGFwZXhtbC54bWxQSwUGAAAAAAYABgBb&#10;AQAAtwMAAAAA&#10;">
                    <v:fill on="f" focussize="0,0"/>
                    <v:stroke weight="1.5pt" color="#000000 [3213]" joinstyle="round"/>
                    <v:imagedata o:title=""/>
                    <o:lock v:ext="edit" aspectratio="f"/>
                  </v:rect>
                  <v:shape id="文本框 105" o:spid="_x0000_s1026" o:spt="202" type="#_x0000_t202" style="position:absolute;left:9134;top:1248;height:320;width:1953;"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D24A330">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数据核查校验</w:t>
                          </w:r>
                        </w:p>
                      </w:txbxContent>
                    </v:textbox>
                  </v:shape>
                </v:group>
                <w10:wrap type="topAndBottom"/>
              </v:group>
            </w:pict>
          </mc:Fallback>
        </mc:AlternateContent>
      </w:r>
    </w:p>
    <w:p w14:paraId="13D978D5">
      <w:pPr>
        <w:spacing w:line="360" w:lineRule="auto"/>
        <w:jc w:val="center"/>
        <w:rPr>
          <w:rFonts w:ascii="Times New Roman" w:hAnsi="Times New Roman" w:cs="Times New Roman"/>
          <w:szCs w:val="21"/>
        </w:rPr>
      </w:pPr>
      <w:r>
        <w:rPr>
          <w:rFonts w:hint="eastAsia" w:ascii="宋体" w:hAnsi="宋体" w:eastAsia="宋体" w:cs="Times New Roman"/>
          <w:color w:val="000000"/>
          <w:sz w:val="18"/>
          <w:szCs w:val="18"/>
        </w:rPr>
        <w:t>图A-1 能效诊断准备阶段流程</w:t>
      </w:r>
    </w:p>
    <w:p w14:paraId="2A4E29FC">
      <w:pPr>
        <w:spacing w:line="360" w:lineRule="auto"/>
        <w:rPr>
          <w:rFonts w:ascii="Times New Roman" w:hAnsi="Times New Roman" w:cs="Times New Roman"/>
        </w:rPr>
      </w:pPr>
    </w:p>
    <w:p w14:paraId="6E76C351">
      <w:pPr>
        <w:spacing w:line="360" w:lineRule="auto"/>
        <w:rPr>
          <w:rFonts w:ascii="Times New Roman" w:hAnsi="Times New Roman" w:cs="Times New Roman"/>
          <w:szCs w:val="21"/>
        </w:rPr>
      </w:pPr>
      <w:r>
        <w:rPr>
          <w:rFonts w:ascii="Times New Roman" w:hAnsi="Times New Roman" w:cs="Times New Roman"/>
          <w:szCs w:val="21"/>
        </w:rPr>
        <w:br w:type="page"/>
      </w:r>
    </w:p>
    <w:p w14:paraId="6DBA257A">
      <w:pPr>
        <w:spacing w:line="360" w:lineRule="auto"/>
        <w:rPr>
          <w:rFonts w:ascii="Times New Roman" w:hAnsi="Times New Roman" w:cs="Times New Roman"/>
          <w:szCs w:val="21"/>
        </w:rPr>
      </w:pPr>
      <w:r>
        <mc:AlternateContent>
          <mc:Choice Requires="wpg">
            <w:drawing>
              <wp:anchor distT="0" distB="0" distL="114300" distR="114300" simplePos="0" relativeHeight="251662336" behindDoc="0" locked="0" layoutInCell="1" allowOverlap="1">
                <wp:simplePos x="0" y="0"/>
                <wp:positionH relativeFrom="column">
                  <wp:posOffset>1195070</wp:posOffset>
                </wp:positionH>
                <wp:positionV relativeFrom="paragraph">
                  <wp:posOffset>297180</wp:posOffset>
                </wp:positionV>
                <wp:extent cx="3082290" cy="1579245"/>
                <wp:effectExtent l="48895" t="9525" r="50165" b="11430"/>
                <wp:wrapNone/>
                <wp:docPr id="34" name="组合 34"/>
                <wp:cNvGraphicFramePr/>
                <a:graphic xmlns:a="http://schemas.openxmlformats.org/drawingml/2006/main">
                  <a:graphicData uri="http://schemas.microsoft.com/office/word/2010/wordprocessingGroup">
                    <wpg:wgp>
                      <wpg:cNvGrpSpPr/>
                      <wpg:grpSpPr>
                        <a:xfrm>
                          <a:off x="0" y="0"/>
                          <a:ext cx="3082290" cy="1579245"/>
                          <a:chOff x="5528" y="635669"/>
                          <a:chExt cx="4854" cy="2487"/>
                        </a:xfrm>
                      </wpg:grpSpPr>
                      <wpg:grpSp>
                        <wpg:cNvPr id="30" name="组合 30"/>
                        <wpg:cNvGrpSpPr/>
                        <wpg:grpSpPr>
                          <a:xfrm>
                            <a:off x="6890" y="635669"/>
                            <a:ext cx="2000" cy="686"/>
                            <a:chOff x="6890" y="635669"/>
                            <a:chExt cx="2000" cy="686"/>
                          </a:xfrm>
                        </wpg:grpSpPr>
                        <wpg:grpSp>
                          <wpg:cNvPr id="40" name="组合 7"/>
                          <wpg:cNvGrpSpPr/>
                          <wpg:grpSpPr>
                            <a:xfrm>
                              <a:off x="6890" y="635669"/>
                              <a:ext cx="2000" cy="398"/>
                              <a:chOff x="11200" y="791"/>
                              <a:chExt cx="2000" cy="398"/>
                            </a:xfrm>
                          </wpg:grpSpPr>
                          <wps:wsp>
                            <wps:cNvPr id="4" name="矩形 3"/>
                            <wps:cNvSpPr/>
                            <wps:spPr>
                              <a:xfrm>
                                <a:off x="11200" y="791"/>
                                <a:ext cx="1965" cy="3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文本框 6"/>
                            <wps:cNvSpPr txBox="1"/>
                            <wps:spPr>
                              <a:xfrm>
                                <a:off x="11259" y="791"/>
                                <a:ext cx="1941" cy="377"/>
                              </a:xfrm>
                              <a:prstGeom prst="rect">
                                <a:avLst/>
                              </a:prstGeom>
                              <a:noFill/>
                            </wps:spPr>
                            <wps:txbx>
                              <w:txbxContent>
                                <w:p w14:paraId="0F331DF7">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诊断建筑分类</w:t>
                                  </w:r>
                                </w:p>
                              </w:txbxContent>
                            </wps:txbx>
                            <wps:bodyPr wrap="square" rtlCol="0">
                              <a:spAutoFit/>
                            </wps:bodyPr>
                          </wps:wsp>
                        </wpg:grpSp>
                        <wps:wsp>
                          <wps:cNvPr id="56" name="直接箭头连接符 9"/>
                          <wps:cNvCnPr/>
                          <wps:spPr>
                            <a:xfrm>
                              <a:off x="7909" y="636067"/>
                              <a:ext cx="0" cy="288"/>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29" name="组合 29"/>
                        <wpg:cNvGrpSpPr/>
                        <wpg:grpSpPr>
                          <a:xfrm>
                            <a:off x="5528" y="636346"/>
                            <a:ext cx="4854" cy="1810"/>
                            <a:chOff x="5528" y="636346"/>
                            <a:chExt cx="4854" cy="1810"/>
                          </a:xfrm>
                        </wpg:grpSpPr>
                        <wpg:grpSp>
                          <wpg:cNvPr id="26" name="组合 26"/>
                          <wpg:cNvGrpSpPr/>
                          <wpg:grpSpPr>
                            <a:xfrm>
                              <a:off x="5528" y="636751"/>
                              <a:ext cx="4854" cy="1405"/>
                              <a:chOff x="5528" y="636751"/>
                              <a:chExt cx="4854" cy="1405"/>
                            </a:xfrm>
                          </wpg:grpSpPr>
                          <wps:wsp>
                            <wps:cNvPr id="126" name="直接箭头连接符 39"/>
                            <wps:cNvCnPr/>
                            <wps:spPr>
                              <a:xfrm>
                                <a:off x="7908" y="636751"/>
                                <a:ext cx="0" cy="288"/>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5" name="组合 25"/>
                            <wpg:cNvGrpSpPr/>
                            <wpg:grpSpPr>
                              <a:xfrm>
                                <a:off x="6881" y="637012"/>
                                <a:ext cx="2012" cy="842"/>
                                <a:chOff x="6881" y="637012"/>
                                <a:chExt cx="2012" cy="842"/>
                              </a:xfrm>
                            </wpg:grpSpPr>
                            <wps:wsp>
                              <wps:cNvPr id="129" name="菱形 57"/>
                              <wps:cNvSpPr/>
                              <wps:spPr>
                                <a:xfrm>
                                  <a:off x="6881" y="637012"/>
                                  <a:ext cx="2013" cy="842"/>
                                </a:xfrm>
                                <a:prstGeom prst="diamond">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文本框 58"/>
                              <wps:cNvSpPr txBox="1"/>
                              <wps:spPr>
                                <a:xfrm>
                                  <a:off x="7467" y="637120"/>
                                  <a:ext cx="955" cy="647"/>
                                </a:xfrm>
                                <a:prstGeom prst="rect">
                                  <a:avLst/>
                                </a:prstGeom>
                                <a:noFill/>
                              </wps:spPr>
                              <wps:txbx>
                                <w:txbxContent>
                                  <w:p w14:paraId="5262D118">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能效分级结果</w:t>
                                    </w:r>
                                  </w:p>
                                </w:txbxContent>
                              </wps:txbx>
                              <wps:bodyPr wrap="square" rtlCol="0">
                                <a:noAutofit/>
                              </wps:bodyPr>
                            </wps:wsp>
                          </wpg:grpSp>
                          <wpg:grpSp>
                            <wpg:cNvPr id="24" name="组合 24"/>
                            <wpg:cNvGrpSpPr/>
                            <wpg:grpSpPr>
                              <a:xfrm>
                                <a:off x="8896" y="637110"/>
                                <a:ext cx="1487" cy="1046"/>
                                <a:chOff x="8944" y="638661"/>
                                <a:chExt cx="1487" cy="1046"/>
                              </a:xfrm>
                            </wpg:grpSpPr>
                            <wps:wsp>
                              <wps:cNvPr id="58" name="文本框 54"/>
                              <wps:cNvSpPr txBox="1"/>
                              <wps:spPr>
                                <a:xfrm>
                                  <a:off x="8944" y="638661"/>
                                  <a:ext cx="1453" cy="377"/>
                                </a:xfrm>
                                <a:prstGeom prst="rect">
                                  <a:avLst/>
                                </a:prstGeom>
                                <a:noFill/>
                              </wps:spPr>
                              <wps:txbx>
                                <w:txbxContent>
                                  <w:p w14:paraId="174A8B99">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III、IV级</w:t>
                                    </w:r>
                                  </w:p>
                                </w:txbxContent>
                              </wps:txbx>
                              <wps:bodyPr wrap="square" rtlCol="0">
                                <a:spAutoFit/>
                              </wps:bodyPr>
                            </wps:wsp>
                            <wps:wsp>
                              <wps:cNvPr id="131" name="肘形连接符 60"/>
                              <wps:cNvCnPr/>
                              <wps:spPr>
                                <a:xfrm>
                                  <a:off x="8951" y="638989"/>
                                  <a:ext cx="1480" cy="718"/>
                                </a:xfrm>
                                <a:prstGeom prst="bentConnector2">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21" name="组合 21"/>
                            <wpg:cNvGrpSpPr/>
                            <wpg:grpSpPr>
                              <a:xfrm>
                                <a:off x="5528" y="637098"/>
                                <a:ext cx="1314" cy="1057"/>
                                <a:chOff x="5600" y="638649"/>
                                <a:chExt cx="1314" cy="1057"/>
                              </a:xfrm>
                            </wpg:grpSpPr>
                            <wps:wsp>
                              <wps:cNvPr id="132" name="肘形连接符 63"/>
                              <wps:cNvCnPr/>
                              <wps:spPr>
                                <a:xfrm rot="10800000" flipV="1">
                                  <a:off x="5600" y="638986"/>
                                  <a:ext cx="1315" cy="721"/>
                                </a:xfrm>
                                <a:prstGeom prst="bentConnector2">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3" name="文本框 64"/>
                              <wps:cNvSpPr txBox="1"/>
                              <wps:spPr>
                                <a:xfrm>
                                  <a:off x="5838" y="638649"/>
                                  <a:ext cx="1012" cy="411"/>
                                </a:xfrm>
                                <a:prstGeom prst="rect">
                                  <a:avLst/>
                                </a:prstGeom>
                                <a:noFill/>
                              </wps:spPr>
                              <wps:txbx>
                                <w:txbxContent>
                                  <w:p w14:paraId="5DD21DD9">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I、II级</w:t>
                                    </w:r>
                                  </w:p>
                                </w:txbxContent>
                              </wps:txbx>
                              <wps:bodyPr wrap="square" rtlCol="0">
                                <a:noAutofit/>
                              </wps:bodyPr>
                            </wps:wsp>
                          </wpg:grpSp>
                        </wpg:grpSp>
                        <wpg:grpSp>
                          <wpg:cNvPr id="28" name="组合 28"/>
                          <wpg:cNvGrpSpPr/>
                          <wpg:grpSpPr>
                            <a:xfrm>
                              <a:off x="6859" y="636346"/>
                              <a:ext cx="2195" cy="401"/>
                              <a:chOff x="6859" y="636346"/>
                              <a:chExt cx="2195" cy="401"/>
                            </a:xfrm>
                          </wpg:grpSpPr>
                          <wps:wsp>
                            <wps:cNvPr id="11" name="矩形 22"/>
                            <wps:cNvSpPr/>
                            <wps:spPr>
                              <a:xfrm>
                                <a:off x="6908" y="636346"/>
                                <a:ext cx="1965" cy="3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文本框 23"/>
                            <wps:cNvSpPr txBox="1"/>
                            <wps:spPr>
                              <a:xfrm>
                                <a:off x="6859" y="636370"/>
                                <a:ext cx="2195" cy="377"/>
                              </a:xfrm>
                              <a:prstGeom prst="rect">
                                <a:avLst/>
                              </a:prstGeom>
                              <a:noFill/>
                            </wps:spPr>
                            <wps:txbx>
                              <w:txbxContent>
                                <w:p w14:paraId="48CA09AC">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确定</w:t>
                                  </w:r>
                                  <w:r>
                                    <w:rPr>
                                      <w:rFonts w:ascii="宋体" w:hAnsiTheme="minorBidi"/>
                                      <w:color w:val="000000" w:themeColor="text1"/>
                                      <w:kern w:val="24"/>
                                      <w:sz w:val="18"/>
                                      <w:szCs w:val="18"/>
                                      <w14:textFill>
                                        <w14:solidFill>
                                          <w14:schemeClr w14:val="tx1"/>
                                        </w14:solidFill>
                                      </w14:textFill>
                                    </w:rPr>
                                    <w:t>基准</w:t>
                                  </w:r>
                                  <w:r>
                                    <w:rPr>
                                      <w:rFonts w:hint="eastAsia" w:ascii="宋体" w:hAnsiTheme="minorBidi"/>
                                      <w:color w:val="000000" w:themeColor="text1"/>
                                      <w:kern w:val="24"/>
                                      <w:sz w:val="18"/>
                                      <w:szCs w:val="18"/>
                                      <w14:textFill>
                                        <w14:solidFill>
                                          <w14:schemeClr w14:val="tx1"/>
                                        </w14:solidFill>
                                      </w14:textFill>
                                    </w:rPr>
                                    <w:t>建筑</w:t>
                                  </w:r>
                                  <w:r>
                                    <w:rPr>
                                      <w:rFonts w:ascii="宋体" w:hAnsiTheme="minorBidi"/>
                                      <w:color w:val="000000" w:themeColor="text1"/>
                                      <w:kern w:val="24"/>
                                      <w:sz w:val="18"/>
                                      <w:szCs w:val="18"/>
                                      <w14:textFill>
                                        <w14:solidFill>
                                          <w14:schemeClr w14:val="tx1"/>
                                        </w14:solidFill>
                                      </w14:textFill>
                                    </w:rPr>
                                    <w:t>能耗指标</w:t>
                                  </w:r>
                                </w:p>
                              </w:txbxContent>
                            </wps:txbx>
                            <wps:bodyPr wrap="square" rtlCol="0">
                              <a:spAutoFit/>
                            </wps:bodyPr>
                          </wps:wsp>
                        </wpg:grpSp>
                      </wpg:grpSp>
                    </wpg:wgp>
                  </a:graphicData>
                </a:graphic>
              </wp:anchor>
            </w:drawing>
          </mc:Choice>
          <mc:Fallback>
            <w:pict>
              <v:group id="_x0000_s1026" o:spid="_x0000_s1026" o:spt="203" style="position:absolute;left:0pt;margin-left:94.1pt;margin-top:23.4pt;height:124.35pt;width:242.7pt;z-index:251662336;mso-width-relative:page;mso-height-relative:page;" coordorigin="5528,635669" coordsize="4854,2487" o:gfxdata="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">
                <o:lock v:ext="edit" aspectratio="f"/>
                <v:group id="_x0000_s1026" o:spid="_x0000_s1026" o:spt="203" style="position:absolute;left:6890;top:635669;height:686;width:2000;" coordorigin="6890,635669" coordsize="2000,686"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group id="组合 7" o:spid="_x0000_s1026" o:spt="203" style="position:absolute;left:6890;top:635669;height:398;width:2000;" coordorigin="11200,791" coordsize="2000,398"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rect id="矩形 3" o:spid="_x0000_s1026" o:spt="1" style="position:absolute;left:11200;top:791;height:398;width:1965;v-text-anchor:middle;" filled="f" stroked="t" coordsize="21600,21600" o:gfxdata="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Fxgnr4A&#10;AADaAAAADwAAAAAAAAABACAAAAAiAAAAZHJzL2Rvd25yZXYueG1sUEsBAhQAFAAAAAgAh07iQDMv&#10;BZ47AAAAOQAAABAAAAAAAAAAAQAgAAAADQEAAGRycy9zaGFwZXhtbC54bWxQSwUGAAAAAAYABgBb&#10;AQAAtwMAAAAA&#10;">
                      <v:fill on="f" focussize="0,0"/>
                      <v:stroke weight="1.5pt" color="#000000 [3213]" joinstyle="round"/>
                      <v:imagedata o:title=""/>
                      <o:lock v:ext="edit" aspectratio="f"/>
                    </v:rect>
                    <v:shape id="文本框 6" o:spid="_x0000_s1026" o:spt="202" type="#_x0000_t202" style="position:absolute;left:11259;top:791;height:377;width:1941;" filled="f" stroked="f" coordsize="21600,21600" o:gfxdata="UEsDBAoAAAAAAIdO4kAAAAAAAAAAAAAAAAAEAAAAZHJzL1BLAwQUAAAACACHTuJA1nS4srsAAADb&#10;AAAADwAAAGRycy9kb3ducmV2LnhtbEWPwWrDMBBE74X+g9hCb43k0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nS4s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F331DF7">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诊断建筑分类</w:t>
                            </w:r>
                          </w:p>
                        </w:txbxContent>
                      </v:textbox>
                    </v:shape>
                  </v:group>
                  <v:shape id="直接箭头连接符 9" o:spid="_x0000_s1026" o:spt="32" type="#_x0000_t32" style="position:absolute;left:7909;top:636067;height:288;width:0;" filled="f" stroked="t" coordsize="21600,21600" o:gfxdata="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EunWL4A&#10;AADbAAAADwAAAAAAAAABACAAAAAiAAAAZHJzL2Rvd25yZXYueG1sUEsBAhQAFAAAAAgAh07iQDMv&#10;BZ47AAAAOQAAABAAAAAAAAAAAQAgAAAADQEAAGRycy9zaGFwZXhtbC54bWxQSwUGAAAAAAYABgBb&#10;AQAAtwMAAAAA&#10;">
                    <v:fill on="f" focussize="0,0"/>
                    <v:stroke weight="0.5pt" color="#000000 [3213]" joinstyle="round" endarrow="open"/>
                    <v:imagedata o:title=""/>
                    <o:lock v:ext="edit" aspectratio="f"/>
                  </v:shape>
                </v:group>
                <v:group id="_x0000_s1026" o:spid="_x0000_s1026" o:spt="203" style="position:absolute;left:5528;top:636346;height:1810;width:4854;" coordorigin="5528,636346" coordsize="4854,1810"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5528;top:636751;height:1405;width:4854;" coordorigin="5528,636751" coordsize="4854,1405"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直接箭头连接符 39" o:spid="_x0000_s1026" o:spt="32" type="#_x0000_t32" style="position:absolute;left:7908;top:636751;height:288;width:0;" filled="f" stroked="t" coordsize="21600,21600" o:gfxdata="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Dk7kvQAA&#10;ANwAAAAPAAAAAAAAAAEAIAAAACIAAABkcnMvZG93bnJldi54bWxQSwECFAAUAAAACACHTuJAMy8F&#10;njsAAAA5AAAAEAAAAAAAAAABACAAAAAMAQAAZHJzL3NoYXBleG1sLnhtbFBLBQYAAAAABgAGAFsB&#10;AAC2AwAAAAA=&#10;">
                      <v:fill on="f" focussize="0,0"/>
                      <v:stroke weight="0.5pt" color="#000000 [3213]" joinstyle="round" endarrow="open"/>
                      <v:imagedata o:title=""/>
                      <o:lock v:ext="edit" aspectratio="f"/>
                    </v:shape>
                    <v:group id="_x0000_s1026" o:spid="_x0000_s1026" o:spt="203" style="position:absolute;left:6881;top:637012;height:842;width:2012;" coordorigin="6881,637012" coordsize="2012,842"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菱形 57" o:spid="_x0000_s1026" o:spt="4" type="#_x0000_t4" style="position:absolute;left:6881;top:637012;height:842;width:2013;v-text-anchor:middle;" filled="f" stroked="t" coordsize="21600,21600" o:gfxdata="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dFU2ugAAANwA&#10;AAAPAAAAAAAAAAEAIAAAACIAAABkcnMvZG93bnJldi54bWxQSwECFAAUAAAACACHTuJAMy8FnjsA&#10;AAA5AAAAEAAAAAAAAAABACAAAAAJAQAAZHJzL3NoYXBleG1sLnhtbFBLBQYAAAAABgAGAFsBAACz&#10;AwAAAAA=&#10;">
                        <v:fill on="f" focussize="0,0"/>
                        <v:stroke weight="1.5pt" color="#000000 [3213]" joinstyle="round"/>
                        <v:imagedata o:title=""/>
                        <o:lock v:ext="edit" aspectratio="f"/>
                      </v:shape>
                      <v:shape id="文本框 58" o:spid="_x0000_s1026" o:spt="202" type="#_x0000_t202" style="position:absolute;left:7467;top:637120;height:647;width:955;" filled="f" stroked="f" coordsize="21600,21600" o:gfxdata="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LS0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14:paraId="5262D118">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能效分级结果</w:t>
                              </w:r>
                            </w:p>
                          </w:txbxContent>
                        </v:textbox>
                      </v:shape>
                    </v:group>
                    <v:group id="_x0000_s1026" o:spid="_x0000_s1026" o:spt="203" style="position:absolute;left:8896;top:637110;height:1046;width:1487;" coordorigin="8944,638661" coordsize="1487,1046"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文本框 54" o:spid="_x0000_s1026" o:spt="202" type="#_x0000_t202" style="position:absolute;left:8944;top:638661;height:377;width:1453;" filled="f" stroked="f" coordsize="21600,21600" o:gfxdata="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ayB8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174A8B99">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III、IV级</w:t>
                              </w:r>
                            </w:p>
                          </w:txbxContent>
                        </v:textbox>
                      </v:shape>
                      <v:shape id="肘形连接符 60" o:spid="_x0000_s1026" o:spt="33" type="#_x0000_t33" style="position:absolute;left:8951;top:638989;height:718;width:1480;" filled="f" stroked="t" coordsize="21600,21600" o:gfxdata="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BCgcugAAANwA&#10;AAAPAAAAAAAAAAEAIAAAACIAAABkcnMvZG93bnJldi54bWxQSwECFAAUAAAACACHTuJAMy8FnjsA&#10;AAA5AAAAEAAAAAAAAAABACAAAAAJAQAAZHJzL3NoYXBleG1sLnhtbFBLBQYAAAAABgAGAFsBAACz&#10;AwAAAAA=&#10;">
                        <v:fill on="f" focussize="0,0"/>
                        <v:stroke weight="0.5pt" color="#000000 [3213]" joinstyle="round" endarrow="open"/>
                        <v:imagedata o:title=""/>
                        <o:lock v:ext="edit" aspectratio="f"/>
                      </v:shape>
                    </v:group>
                    <v:group id="_x0000_s1026" o:spid="_x0000_s1026" o:spt="203" style="position:absolute;left:5528;top:637098;height:1057;width:1314;" coordorigin="5600,638649" coordsize="1314,1057"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shape id="肘形连接符 63" o:spid="_x0000_s1026" o:spt="33" type="#_x0000_t33" style="position:absolute;left:5600;top:638986;flip:y;height:721;width:1315;rotation:11796480f;" filled="f" stroked="t" coordsize="21600,21600" o:gfxdata="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1YkrsAAADc&#10;AAAADwAAAAAAAAABACAAAAAiAAAAZHJzL2Rvd25yZXYueG1sUEsBAhQAFAAAAAgAh07iQDMvBZ47&#10;AAAAOQAAABAAAAAAAAAAAQAgAAAACgEAAGRycy9zaGFwZXhtbC54bWxQSwUGAAAAAAYABgBbAQAA&#10;tAMAAAAA&#10;">
                        <v:fill on="f" focussize="0,0"/>
                        <v:stroke weight="0.5pt" color="#000000 [3213]" joinstyle="round" endarrow="open"/>
                        <v:imagedata o:title=""/>
                        <o:lock v:ext="edit" aspectratio="f"/>
                      </v:shape>
                      <v:shape id="文本框 64" o:spid="_x0000_s1026" o:spt="202" type="#_x0000_t202" style="position:absolute;left:5838;top:638649;height:411;width:1012;" filled="f" stroked="f" coordsize="21600,21600" o:gfxdata="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wTK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DD21DD9">
                              <w:pPr>
                                <w:pStyle w:val="15"/>
                                <w:adjustRightInd w:val="0"/>
                                <w:snapToGrid w:val="0"/>
                                <w:spacing w:beforeAutospacing="0" w:afterAutospacing="0" w:line="240" w:lineRule="auto"/>
                                <w:rPr>
                                  <w:sz w:val="18"/>
                                  <w:szCs w:val="18"/>
                                </w:rPr>
                              </w:pPr>
                              <w:r>
                                <w:rPr>
                                  <w:rFonts w:ascii="宋体" w:hAnsiTheme="minorBidi"/>
                                  <w:color w:val="000000" w:themeColor="text1"/>
                                  <w:kern w:val="24"/>
                                  <w:sz w:val="18"/>
                                  <w:szCs w:val="18"/>
                                  <w14:textFill>
                                    <w14:solidFill>
                                      <w14:schemeClr w14:val="tx1"/>
                                    </w14:solidFill>
                                  </w14:textFill>
                                </w:rPr>
                                <w:t>I、II级</w:t>
                              </w:r>
                            </w:p>
                          </w:txbxContent>
                        </v:textbox>
                      </v:shape>
                    </v:group>
                  </v:group>
                  <v:group id="_x0000_s1026" o:spid="_x0000_s1026" o:spt="203" style="position:absolute;left:6859;top:636346;height:401;width:2195;" coordorigin="6859,636346" coordsize="2195,401"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rect id="矩形 22" o:spid="_x0000_s1026" o:spt="1" style="position:absolute;left:6908;top:636346;height:398;width:1965;v-text-anchor:middle;" filled="f" stroked="t" coordsize="21600,21600" o:gfxdata="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dJ4y8AAAA&#10;2wAAAA8AAAAAAAAAAQAgAAAAIgAAAGRycy9kb3ducmV2LnhtbFBLAQIUABQAAAAIAIdO4kAzLwWe&#10;OwAAADkAAAAQAAAAAAAAAAEAIAAAAAsBAABkcnMvc2hhcGV4bWwueG1sUEsFBgAAAAAGAAYAWwEA&#10;ALUDAAAAAA==&#10;">
                      <v:fill on="f" focussize="0,0"/>
                      <v:stroke weight="1.5pt" color="#000000 [3213]" joinstyle="round"/>
                      <v:imagedata o:title=""/>
                      <o:lock v:ext="edit" aspectratio="f"/>
                    </v:rect>
                    <v:shape id="文本框 23" o:spid="_x0000_s1026" o:spt="202" type="#_x0000_t202" style="position:absolute;left:6859;top:636370;height:377;width:2195;" filled="f" stroked="f" coordsize="21600,21600" o:gfxdata="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ouD9u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48CA09AC">
                            <w:pPr>
                              <w:pStyle w:val="15"/>
                              <w:adjustRightInd w:val="0"/>
                              <w:snapToGrid w:val="0"/>
                              <w:spacing w:beforeAutospacing="0" w:afterAutospacing="0" w:line="240" w:lineRule="auto"/>
                              <w:rPr>
                                <w:sz w:val="18"/>
                                <w:szCs w:val="18"/>
                              </w:rPr>
                            </w:pPr>
                            <w:r>
                              <w:rPr>
                                <w:rFonts w:hint="eastAsia" w:ascii="宋体" w:hAnsiTheme="minorBidi"/>
                                <w:color w:val="000000" w:themeColor="text1"/>
                                <w:kern w:val="24"/>
                                <w:sz w:val="18"/>
                                <w:szCs w:val="18"/>
                                <w14:textFill>
                                  <w14:solidFill>
                                    <w14:schemeClr w14:val="tx1"/>
                                  </w14:solidFill>
                                </w14:textFill>
                              </w:rPr>
                              <w:t>确定</w:t>
                            </w:r>
                            <w:r>
                              <w:rPr>
                                <w:rFonts w:ascii="宋体" w:hAnsiTheme="minorBidi"/>
                                <w:color w:val="000000" w:themeColor="text1"/>
                                <w:kern w:val="24"/>
                                <w:sz w:val="18"/>
                                <w:szCs w:val="18"/>
                                <w14:textFill>
                                  <w14:solidFill>
                                    <w14:schemeClr w14:val="tx1"/>
                                  </w14:solidFill>
                                </w14:textFill>
                              </w:rPr>
                              <w:t>基准</w:t>
                            </w:r>
                            <w:r>
                              <w:rPr>
                                <w:rFonts w:hint="eastAsia" w:ascii="宋体" w:hAnsiTheme="minorBidi"/>
                                <w:color w:val="000000" w:themeColor="text1"/>
                                <w:kern w:val="24"/>
                                <w:sz w:val="18"/>
                                <w:szCs w:val="18"/>
                                <w14:textFill>
                                  <w14:solidFill>
                                    <w14:schemeClr w14:val="tx1"/>
                                  </w14:solidFill>
                                </w14:textFill>
                              </w:rPr>
                              <w:t>建筑</w:t>
                            </w:r>
                            <w:r>
                              <w:rPr>
                                <w:rFonts w:ascii="宋体" w:hAnsiTheme="minorBidi"/>
                                <w:color w:val="000000" w:themeColor="text1"/>
                                <w:kern w:val="24"/>
                                <w:sz w:val="18"/>
                                <w:szCs w:val="18"/>
                                <w14:textFill>
                                  <w14:solidFill>
                                    <w14:schemeClr w14:val="tx1"/>
                                  </w14:solidFill>
                                </w14:textFill>
                              </w:rPr>
                              <w:t>能耗指标</w:t>
                            </w:r>
                          </w:p>
                        </w:txbxContent>
                      </v:textbox>
                    </v:shape>
                  </v:group>
                </v:group>
              </v:group>
            </w:pict>
          </mc:Fallback>
        </mc:AlternateContent>
      </w:r>
    </w:p>
    <w:p w14:paraId="56E68C65">
      <w:pPr>
        <w:spacing w:line="360" w:lineRule="auto"/>
        <w:jc w:val="center"/>
        <w:rPr>
          <w:rFonts w:ascii="宋体" w:hAnsi="宋体" w:eastAsia="宋体" w:cs="Times New Roman"/>
          <w:color w:val="000000"/>
          <w:sz w:val="18"/>
          <w:szCs w:val="18"/>
        </w:rPr>
      </w:pPr>
    </w:p>
    <w:p w14:paraId="07F7D70A">
      <w:pPr>
        <w:spacing w:line="360" w:lineRule="auto"/>
        <w:jc w:val="center"/>
        <w:rPr>
          <w:rFonts w:ascii="宋体" w:hAnsi="宋体" w:eastAsia="宋体" w:cs="Times New Roman"/>
          <w:color w:val="000000"/>
          <w:sz w:val="18"/>
          <w:szCs w:val="18"/>
        </w:rPr>
      </w:pPr>
    </w:p>
    <w:p w14:paraId="246CC4FE">
      <w:pPr>
        <w:spacing w:line="360" w:lineRule="auto"/>
        <w:jc w:val="center"/>
        <w:rPr>
          <w:rFonts w:ascii="宋体" w:hAnsi="宋体" w:eastAsia="宋体" w:cs="Times New Roman"/>
          <w:color w:val="000000"/>
          <w:sz w:val="18"/>
          <w:szCs w:val="18"/>
        </w:rPr>
      </w:pPr>
    </w:p>
    <w:p w14:paraId="4D2A0219">
      <w:pPr>
        <w:spacing w:line="360" w:lineRule="auto"/>
        <w:jc w:val="center"/>
        <w:rPr>
          <w:rFonts w:ascii="宋体" w:hAnsi="宋体" w:eastAsia="宋体" w:cs="Times New Roman"/>
          <w:color w:val="000000"/>
          <w:sz w:val="18"/>
          <w:szCs w:val="18"/>
        </w:rPr>
      </w:pPr>
    </w:p>
    <w:p w14:paraId="0AC93D5E">
      <w:pPr>
        <w:spacing w:line="360" w:lineRule="auto"/>
        <w:jc w:val="center"/>
        <w:rPr>
          <w:rFonts w:ascii="宋体" w:hAnsi="宋体" w:eastAsia="宋体" w:cs="Times New Roman"/>
          <w:color w:val="000000"/>
          <w:sz w:val="18"/>
          <w:szCs w:val="18"/>
        </w:rPr>
      </w:pPr>
    </w:p>
    <w:p w14:paraId="633535E7">
      <w:pPr>
        <w:spacing w:line="360" w:lineRule="auto"/>
        <w:jc w:val="center"/>
        <w:rPr>
          <w:rFonts w:ascii="宋体" w:hAnsi="宋体" w:eastAsia="宋体" w:cs="Times New Roman"/>
          <w:color w:val="000000"/>
          <w:sz w:val="18"/>
          <w:szCs w:val="18"/>
        </w:rPr>
      </w:pPr>
      <w:r>
        <mc:AlternateContent>
          <mc:Choice Requires="wpg">
            <w:drawing>
              <wp:anchor distT="0" distB="0" distL="114300" distR="114300" simplePos="0" relativeHeight="251664384" behindDoc="0" locked="0" layoutInCell="1" allowOverlap="1">
                <wp:simplePos x="0" y="0"/>
                <wp:positionH relativeFrom="column">
                  <wp:posOffset>3246120</wp:posOffset>
                </wp:positionH>
                <wp:positionV relativeFrom="paragraph">
                  <wp:posOffset>91440</wp:posOffset>
                </wp:positionV>
                <wp:extent cx="2134870" cy="1981200"/>
                <wp:effectExtent l="0" t="0" r="17780" b="0"/>
                <wp:wrapNone/>
                <wp:docPr id="96" name="组合 96"/>
                <wp:cNvGraphicFramePr/>
                <a:graphic xmlns:a="http://schemas.openxmlformats.org/drawingml/2006/main">
                  <a:graphicData uri="http://schemas.microsoft.com/office/word/2010/wordprocessingGroup">
                    <wpg:wgp>
                      <wpg:cNvGrpSpPr/>
                      <wpg:grpSpPr>
                        <a:xfrm>
                          <a:off x="0" y="0"/>
                          <a:ext cx="2134870" cy="1981200"/>
                          <a:chOff x="3504" y="638143"/>
                          <a:chExt cx="3362" cy="3120"/>
                        </a:xfrm>
                      </wpg:grpSpPr>
                      <wpg:grpSp>
                        <wpg:cNvPr id="97" name="组合 94"/>
                        <wpg:cNvGrpSpPr/>
                        <wpg:grpSpPr>
                          <a:xfrm>
                            <a:off x="3736" y="640144"/>
                            <a:ext cx="2889" cy="1119"/>
                            <a:chOff x="3736" y="640144"/>
                            <a:chExt cx="2889" cy="1119"/>
                          </a:xfrm>
                        </wpg:grpSpPr>
                        <wpg:grpSp>
                          <wpg:cNvPr id="98" name="组合 215"/>
                          <wpg:cNvGrpSpPr/>
                          <wpg:grpSpPr>
                            <a:xfrm rot="10800000">
                              <a:off x="3736" y="640144"/>
                              <a:ext cx="2889" cy="380"/>
                              <a:chOff x="14404" y="4160"/>
                              <a:chExt cx="2889" cy="380"/>
                            </a:xfrm>
                          </wpg:grpSpPr>
                          <wps:wsp>
                            <wps:cNvPr id="99" name="直接连接符 216"/>
                            <wps:cNvCnPr>
                              <a:endCxn id="137" idx="2"/>
                            </wps:cNvCnPr>
                            <wps:spPr>
                              <a:xfrm>
                                <a:off x="14409" y="4171"/>
                                <a:ext cx="2" cy="366"/>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0" name="直接连接符 217"/>
                            <wps:cNvCnPr/>
                            <wps:spPr>
                              <a:xfrm flipV="1">
                                <a:off x="15847" y="4160"/>
                                <a:ext cx="1445" cy="7"/>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1" name="直接连接符 218"/>
                            <wps:cNvCnPr>
                              <a:endCxn id="135" idx="2"/>
                            </wps:cNvCnPr>
                            <wps:spPr>
                              <a:xfrm>
                                <a:off x="17289" y="4166"/>
                                <a:ext cx="4" cy="374"/>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2" name="直接连接符 219"/>
                            <wps:cNvCnPr/>
                            <wps:spPr>
                              <a:xfrm>
                                <a:off x="14404" y="4169"/>
                                <a:ext cx="1443" cy="2"/>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g:grpSp>
                        <wpg:grpSp>
                          <wpg:cNvPr id="104" name="组合 65"/>
                          <wpg:cNvGrpSpPr/>
                          <wpg:grpSpPr>
                            <a:xfrm>
                              <a:off x="4083" y="640527"/>
                              <a:ext cx="1964" cy="736"/>
                              <a:chOff x="4131" y="643326"/>
                              <a:chExt cx="1964" cy="736"/>
                            </a:xfrm>
                          </wpg:grpSpPr>
                          <wps:wsp>
                            <wps:cNvPr id="107" name="直接箭头连接符 221"/>
                            <wps:cNvCnPr/>
                            <wps:spPr>
                              <a:xfrm>
                                <a:off x="5182" y="643326"/>
                                <a:ext cx="0" cy="288"/>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09" name="组合 222"/>
                            <wpg:cNvGrpSpPr/>
                            <wpg:grpSpPr>
                              <a:xfrm>
                                <a:off x="4131" y="643614"/>
                                <a:ext cx="1965" cy="448"/>
                                <a:chOff x="11164" y="791"/>
                                <a:chExt cx="1965" cy="448"/>
                              </a:xfrm>
                            </wpg:grpSpPr>
                            <wps:wsp>
                              <wps:cNvPr id="110" name="矩形 223"/>
                              <wps:cNvSpPr/>
                              <wps:spPr>
                                <a:xfrm>
                                  <a:off x="11164" y="791"/>
                                  <a:ext cx="1965" cy="398"/>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文本框 224"/>
                              <wps:cNvSpPr txBox="1"/>
                              <wps:spPr>
                                <a:xfrm>
                                  <a:off x="11164" y="791"/>
                                  <a:ext cx="1726" cy="448"/>
                                </a:xfrm>
                                <a:prstGeom prst="rect">
                                  <a:avLst/>
                                </a:prstGeom>
                                <a:noFill/>
                              </wps:spPr>
                              <wps:txbx>
                                <w:txbxContent>
                                  <w:p w14:paraId="38869E86">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w:t>
                                    </w:r>
                                    <w:r>
                                      <w:rPr>
                                        <w:rFonts w:hint="eastAsia" w:ascii="宋体" w:hAnsiTheme="minorBidi"/>
                                        <w:color w:val="000000" w:themeColor="text1"/>
                                        <w:kern w:val="24"/>
                                        <w:sz w:val="18"/>
                                        <w:szCs w:val="18"/>
                                        <w14:textFill>
                                          <w14:solidFill>
                                            <w14:schemeClr w14:val="tx1"/>
                                          </w14:solidFill>
                                        </w14:textFill>
                                      </w:rPr>
                                      <w:t>诊断报告</w:t>
                                    </w:r>
                                  </w:p>
                                </w:txbxContent>
                              </wps:txbx>
                              <wps:bodyPr wrap="square" rtlCol="0">
                                <a:noAutofit/>
                              </wps:bodyPr>
                            </wps:wsp>
                          </wpg:grpSp>
                        </wpg:grpSp>
                      </wpg:grpSp>
                      <wpg:grpSp>
                        <wpg:cNvPr id="114" name="组合 93"/>
                        <wpg:cNvGrpSpPr/>
                        <wpg:grpSpPr>
                          <a:xfrm>
                            <a:off x="3504" y="638143"/>
                            <a:ext cx="3362" cy="2056"/>
                            <a:chOff x="3480" y="638131"/>
                            <a:chExt cx="3362" cy="2056"/>
                          </a:xfrm>
                        </wpg:grpSpPr>
                        <wpg:grpSp>
                          <wpg:cNvPr id="115" name="组合 200"/>
                          <wpg:cNvGrpSpPr/>
                          <wpg:grpSpPr>
                            <a:xfrm>
                              <a:off x="3745" y="638131"/>
                              <a:ext cx="2831" cy="390"/>
                              <a:chOff x="14427" y="4149"/>
                              <a:chExt cx="2831" cy="390"/>
                            </a:xfrm>
                          </wpg:grpSpPr>
                          <wps:wsp>
                            <wps:cNvPr id="116" name="直接连接符 201"/>
                            <wps:cNvCnPr/>
                            <wps:spPr>
                              <a:xfrm rot="10800000" flipH="1" flipV="1">
                                <a:off x="14427" y="4163"/>
                                <a:ext cx="9" cy="344"/>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18" name="直接连接符 202"/>
                            <wps:cNvCnPr/>
                            <wps:spPr>
                              <a:xfrm flipV="1">
                                <a:off x="15847" y="4159"/>
                                <a:ext cx="1411" cy="8"/>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19" name="直接连接符 203"/>
                            <wps:cNvCnPr>
                              <a:endCxn id="138" idx="0"/>
                            </wps:cNvCnPr>
                            <wps:spPr>
                              <a:xfrm>
                                <a:off x="17249" y="4149"/>
                                <a:ext cx="1" cy="390"/>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1" name="直接连接符 204"/>
                            <wps:cNvCnPr/>
                            <wps:spPr>
                              <a:xfrm flipV="1">
                                <a:off x="14436" y="4165"/>
                                <a:ext cx="1411" cy="8"/>
                              </a:xfrm>
                              <a:prstGeom prst="line">
                                <a:avLst/>
                              </a:prstGeom>
                              <a:ln w="635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g:grpSp>
                        <wpg:grpSp>
                          <wpg:cNvPr id="122" name="组合 72"/>
                          <wpg:cNvGrpSpPr/>
                          <wpg:grpSpPr>
                            <a:xfrm>
                              <a:off x="3480" y="638366"/>
                              <a:ext cx="3362" cy="1821"/>
                              <a:chOff x="3480" y="638366"/>
                              <a:chExt cx="3362" cy="1821"/>
                            </a:xfrm>
                          </wpg:grpSpPr>
                          <wpg:grpSp>
                            <wpg:cNvPr id="123" name="组合 62"/>
                            <wpg:cNvGrpSpPr/>
                            <wpg:grpSpPr>
                              <a:xfrm>
                                <a:off x="3480" y="638366"/>
                                <a:ext cx="3362" cy="1821"/>
                                <a:chOff x="3480" y="638366"/>
                                <a:chExt cx="3362" cy="1821"/>
                              </a:xfrm>
                            </wpg:grpSpPr>
                            <wpg:grpSp>
                              <wpg:cNvPr id="124" name="组合 212"/>
                              <wpg:cNvGrpSpPr/>
                              <wpg:grpSpPr>
                                <a:xfrm>
                                  <a:off x="3480" y="638475"/>
                                  <a:ext cx="519" cy="1659"/>
                                  <a:chOff x="5666" y="5767"/>
                                  <a:chExt cx="1079" cy="770"/>
                                </a:xfrm>
                              </wpg:grpSpPr>
                              <wps:wsp>
                                <wps:cNvPr id="125" name="矩形 213"/>
                                <wps:cNvSpPr/>
                                <wps:spPr>
                                  <a:xfrm>
                                    <a:off x="5712" y="5767"/>
                                    <a:ext cx="1033" cy="770"/>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文本框 214"/>
                                <wps:cNvSpPr txBox="1"/>
                                <wps:spPr>
                                  <a:xfrm>
                                    <a:off x="5666" y="5777"/>
                                    <a:ext cx="965" cy="759"/>
                                  </a:xfrm>
                                  <a:prstGeom prst="rect">
                                    <a:avLst/>
                                  </a:prstGeom>
                                  <a:noFill/>
                                </wps:spPr>
                                <wps:txbx>
                                  <w:txbxContent>
                                    <w:p w14:paraId="50E9CA1D">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分项能</w:t>
                                      </w:r>
                                      <w:r>
                                        <w:rPr>
                                          <w:rFonts w:hint="eastAsia" w:ascii="宋体" w:hAnsiTheme="minorBidi"/>
                                          <w:color w:val="000000" w:themeColor="text1"/>
                                          <w:kern w:val="24"/>
                                          <w:sz w:val="18"/>
                                          <w:szCs w:val="18"/>
                                          <w14:textFill>
                                            <w14:solidFill>
                                              <w14:schemeClr w14:val="tx1"/>
                                            </w14:solidFill>
                                          </w14:textFill>
                                        </w:rPr>
                                        <w:t>效</w:t>
                                      </w:r>
                                      <w:r>
                                        <w:rPr>
                                          <w:rFonts w:ascii="宋体" w:hAnsiTheme="minorBidi"/>
                                          <w:color w:val="000000" w:themeColor="text1"/>
                                          <w:kern w:val="24"/>
                                          <w:sz w:val="18"/>
                                          <w:szCs w:val="18"/>
                                          <w14:textFill>
                                            <w14:solidFill>
                                              <w14:schemeClr w14:val="tx1"/>
                                            </w14:solidFill>
                                          </w14:textFill>
                                        </w:rPr>
                                        <w:t>诊断</w:t>
                                      </w:r>
                                    </w:p>
                                  </w:txbxContent>
                                </wps:txbx>
                                <wps:bodyPr wrap="square" rtlCol="0">
                                  <a:noAutofit/>
                                </wps:bodyPr>
                              </wps:wsp>
                            </wpg:grpSp>
                            <wpg:grpSp>
                              <wpg:cNvPr id="136" name="组合 61"/>
                              <wpg:cNvGrpSpPr/>
                              <wpg:grpSpPr>
                                <a:xfrm>
                                  <a:off x="6312" y="638521"/>
                                  <a:ext cx="530" cy="1666"/>
                                  <a:chOff x="6264" y="638505"/>
                                  <a:chExt cx="530" cy="1666"/>
                                </a:xfrm>
                              </wpg:grpSpPr>
                              <wps:wsp>
                                <wps:cNvPr id="137" name="矩形 213"/>
                                <wps:cNvSpPr/>
                                <wps:spPr>
                                  <a:xfrm>
                                    <a:off x="6297" y="638524"/>
                                    <a:ext cx="497" cy="1595"/>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文本框 214"/>
                                <wps:cNvSpPr txBox="1"/>
                                <wps:spPr>
                                  <a:xfrm>
                                    <a:off x="6264" y="638505"/>
                                    <a:ext cx="511" cy="1666"/>
                                  </a:xfrm>
                                  <a:prstGeom prst="rect">
                                    <a:avLst/>
                                  </a:prstGeom>
                                  <a:noFill/>
                                </wps:spPr>
                                <wps:txbx>
                                  <w:txbxContent>
                                    <w:p w14:paraId="191F0783">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能源管理</w:t>
                                      </w:r>
                                      <w:r>
                                        <w:rPr>
                                          <w:rFonts w:ascii="宋体" w:hAnsiTheme="minorBidi"/>
                                          <w:color w:val="000000" w:themeColor="text1"/>
                                          <w:kern w:val="24"/>
                                          <w:sz w:val="18"/>
                                          <w:szCs w:val="18"/>
                                          <w14:textFill>
                                            <w14:solidFill>
                                              <w14:schemeClr w14:val="tx1"/>
                                            </w14:solidFill>
                                          </w14:textFill>
                                        </w:rPr>
                                        <w:t>诊断</w:t>
                                      </w:r>
                                    </w:p>
                                  </w:txbxContent>
                                </wps:txbx>
                                <wps:bodyPr wrap="square" rtlCol="0">
                                  <a:noAutofit/>
                                </wps:bodyPr>
                              </wps:wsp>
                            </wpg:grpSp>
                            <wpg:grpSp>
                              <wpg:cNvPr id="139" name="组合 47"/>
                              <wpg:cNvGrpSpPr/>
                              <wpg:grpSpPr>
                                <a:xfrm>
                                  <a:off x="4354" y="639386"/>
                                  <a:ext cx="1054" cy="734"/>
                                  <a:chOff x="4378" y="638468"/>
                                  <a:chExt cx="1054" cy="734"/>
                                </a:xfrm>
                              </wpg:grpSpPr>
                              <wps:wsp>
                                <wps:cNvPr id="140" name="矩形 104"/>
                                <wps:cNvSpPr/>
                                <wps:spPr>
                                  <a:xfrm>
                                    <a:off x="4418" y="638468"/>
                                    <a:ext cx="973" cy="734"/>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文本框 120"/>
                                <wps:cNvSpPr txBox="1"/>
                                <wps:spPr>
                                  <a:xfrm>
                                    <a:off x="4378" y="638495"/>
                                    <a:ext cx="1054" cy="655"/>
                                  </a:xfrm>
                                  <a:prstGeom prst="rect">
                                    <a:avLst/>
                                  </a:prstGeom>
                                  <a:noFill/>
                                </wps:spPr>
                                <wps:txbx>
                                  <w:txbxContent>
                                    <w:p w14:paraId="406859B1">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分项能效分级</w:t>
                                      </w:r>
                                    </w:p>
                                  </w:txbxContent>
                                </wps:txbx>
                                <wps:bodyPr wrap="square" rtlCol="0">
                                  <a:noAutofit/>
                                </wps:bodyPr>
                              </wps:wsp>
                            </wpg:grpSp>
                            <wpg:grpSp>
                              <wpg:cNvPr id="142" name="组合 51"/>
                              <wpg:cNvGrpSpPr/>
                              <wpg:grpSpPr>
                                <a:xfrm>
                                  <a:off x="4402" y="638366"/>
                                  <a:ext cx="1076" cy="734"/>
                                  <a:chOff x="4414" y="638468"/>
                                  <a:chExt cx="1076" cy="734"/>
                                </a:xfrm>
                              </wpg:grpSpPr>
                              <wps:wsp>
                                <wps:cNvPr id="144" name="矩形 104"/>
                                <wps:cNvSpPr/>
                                <wps:spPr>
                                  <a:xfrm>
                                    <a:off x="4418" y="638468"/>
                                    <a:ext cx="973" cy="734"/>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文本框 120"/>
                                <wps:cNvSpPr txBox="1"/>
                                <wps:spPr>
                                  <a:xfrm>
                                    <a:off x="4414" y="638495"/>
                                    <a:ext cx="1076" cy="655"/>
                                  </a:xfrm>
                                  <a:prstGeom prst="rect">
                                    <a:avLst/>
                                  </a:prstGeom>
                                  <a:noFill/>
                                </wps:spPr>
                                <wps:txbx>
                                  <w:txbxContent>
                                    <w:p w14:paraId="38FF4042">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分项能效性能评估</w:t>
                                      </w:r>
                                    </w:p>
                                  </w:txbxContent>
                                </wps:txbx>
                                <wps:bodyPr wrap="square" rtlCol="0">
                                  <a:noAutofit/>
                                </wps:bodyPr>
                              </wps:wsp>
                            </wpg:grpSp>
                          </wpg:grpSp>
                          <wps:wsp>
                            <wps:cNvPr id="147" name="直接连接符 70"/>
                            <wps:cNvCnPr>
                              <a:stCxn id="145" idx="1"/>
                            </wps:cNvCnPr>
                            <wps:spPr>
                              <a:xfrm flipH="1">
                                <a:off x="3994" y="638721"/>
                                <a:ext cx="408" cy="3"/>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8" name="直接连接符 71"/>
                            <wps:cNvCnPr/>
                            <wps:spPr>
                              <a:xfrm flipH="1" flipV="1">
                                <a:off x="3998" y="639727"/>
                                <a:ext cx="384" cy="2"/>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g:grpSp>
                    </wpg:wgp>
                  </a:graphicData>
                </a:graphic>
              </wp:anchor>
            </w:drawing>
          </mc:Choice>
          <mc:Fallback>
            <w:pict>
              <v:group id="_x0000_s1026" o:spid="_x0000_s1026" o:spt="203" style="position:absolute;left:0pt;margin-left:255.6pt;margin-top:7.2pt;height:156pt;width:168.1pt;z-index:251664384;mso-width-relative:page;mso-height-relative:page;" coordorigin="3504,638143" coordsize="3362,3120" o:gfxdata="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&#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">
                <o:lock v:ext="edit" aspectratio="f"/>
                <v:group id="组合 94" o:spid="_x0000_s1026" o:spt="203" style="position:absolute;left:3736;top:640144;height:1119;width:2889;" coordorigin="3736,640144" coordsize="2889,1119" o:gfxdata="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NAo7vwAAANsAAAAPAAAAAAAAAAEAIAAAACIAAABkcnMvZG93bnJldi54&#10;bWxQSwECFAAUAAAACACHTuJAMy8FnjsAAAA5AAAAFQAAAAAAAAABACAAAAAOAQAAZHJzL2dyb3Vw&#10;c2hhcGV4bWwueG1sUEsFBgAAAAAGAAYAYAEAAMsDAAAAAA==&#10;">
                  <o:lock v:ext="edit" aspectratio="f"/>
                  <v:group id="组合 215" o:spid="_x0000_s1026" o:spt="203" style="position:absolute;left:3736;top:640144;height:380;width:2889;rotation:11796480f;" coordorigin="14404,4160" coordsize="2889,380" o:gfxdata="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ephUiroAAADbAAAADwAAAAAAAAABACAAAAAiAAAAZHJzL2Rvd25yZXYueG1sUEsB&#10;AhQAFAAAAAgAh07iQDMvBZ47AAAAOQAAABUAAAAAAAAAAQAgAAAACQEAAGRycy9ncm91cHNoYXBl&#10;eG1sLnhtbFBLBQYAAAAABgAGAGABAADGAwAAAAA=&#10;">
                    <o:lock v:ext="edit" aspectratio="f"/>
                    <v:line id="直接连接符 216" o:spid="_x0000_s1026" o:spt="20" style="position:absolute;left:14409;top:4171;height:366;width:2;" filled="f" stroked="t" coordsize="21600,21600" o:gfxdata="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HLtVL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直接连接符 217" o:spid="_x0000_s1026" o:spt="20" style="position:absolute;left:15847;top:4160;flip:y;height:7;width:1445;" filled="f" stroked="t" coordsize="21600,21600" o:gfxdata="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Ox42/&#10;AAAA3AAAAA8AAAAAAAAAAQAgAAAAIgAAAGRycy9kb3ducmV2LnhtbFBLAQIUABQAAAAIAIdO4kAz&#10;LwWeOwAAADkAAAAQAAAAAAAAAAEAIAAAAA4BAABkcnMvc2hhcGV4bWwueG1sUEsFBgAAAAAGAAYA&#10;WwEAALgDAAAAAA==&#10;">
                      <v:fill on="f" focussize="0,0"/>
                      <v:stroke weight="0.5pt" color="#000000 [3213]" joinstyle="round"/>
                      <v:imagedata o:title=""/>
                      <o:lock v:ext="edit" aspectratio="f"/>
                    </v:line>
                    <v:line id="直接连接符 218" o:spid="_x0000_s1026" o:spt="20" style="position:absolute;left:17289;top:4166;height:374;width:4;" filled="f" stroked="t" coordsize="21600,21600" o:gfxdata="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fnct7gAAADc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line id="直接连接符 219" o:spid="_x0000_s1026" o:spt="20" style="position:absolute;left:14404;top:4169;height:2;width:1443;" filled="f" stroked="t" coordsize="21600,21600" o:gfxdata="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K0LAugAAANw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组合 65" o:spid="_x0000_s1026" o:spt="203" style="position:absolute;left:4083;top:640527;height:736;width:1964;" coordorigin="4131,643326" coordsize="1964,736" o:gfxdata="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yoZvSvAAAANwAAAAPAAAAAAAAAAEAIAAAACIAAABkcnMvZG93bnJldi54bWxQ&#10;SwECFAAUAAAACACHTuJAMy8FnjsAAAA5AAAAFQAAAAAAAAABACAAAAALAQAAZHJzL2dyb3Vwc2hh&#10;cGV4bWwueG1sUEsFBgAAAAAGAAYAYAEAAMgDAAAAAA==&#10;">
                    <o:lock v:ext="edit" aspectratio="f"/>
                    <v:shape id="直接箭头连接符 221" o:spid="_x0000_s1026" o:spt="32" type="#_x0000_t32" style="position:absolute;left:5182;top:643326;height:288;width:0;" filled="f" stroked="t" coordsize="21600,21600" o:gfxdata="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97cfvQAA&#10;ANwAAAAPAAAAAAAAAAEAIAAAACIAAABkcnMvZG93bnJldi54bWxQSwECFAAUAAAACACHTuJAMy8F&#10;njsAAAA5AAAAEAAAAAAAAAABACAAAAAMAQAAZHJzL3NoYXBleG1sLnhtbFBLBQYAAAAABgAGAFsB&#10;AAC2AwAAAAA=&#10;">
                      <v:fill on="f" focussize="0,0"/>
                      <v:stroke weight="0.5pt" color="#000000 [3213]" joinstyle="round" endarrow="open"/>
                      <v:imagedata o:title=""/>
                      <o:lock v:ext="edit" aspectratio="f"/>
                    </v:shape>
                    <v:group id="组合 222" o:spid="_x0000_s1026" o:spt="203" style="position:absolute;left:4131;top:643614;height:448;width:1965;" coordorigin="11164,791" coordsize="1965,448" o:gfxdata="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oDRMvAAAANwAAAAPAAAAAAAAAAEAIAAAACIAAABkcnMvZG93bnJldi54bWxQ&#10;SwECFAAUAAAACACHTuJAMy8FnjsAAAA5AAAAFQAAAAAAAAABACAAAAALAQAAZHJzL2dyb3Vwc2hh&#10;cGV4bWwueG1sUEsFBgAAAAAGAAYAYAEAAMgDAAAAAA==&#10;">
                      <o:lock v:ext="edit" aspectratio="f"/>
                      <v:rect id="矩形 223" o:spid="_x0000_s1026" o:spt="1" style="position:absolute;left:11164;top:791;height:398;width:1965;v-text-anchor:middle;" filled="f" stroked="t" coordsize="21600,21600" o:gfxdata="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dOtii&#10;wAAAANwAAAAPAAAAAAAAAAEAIAAAACIAAABkcnMvZG93bnJldi54bWxQSwECFAAUAAAACACHTuJA&#10;My8FnjsAAAA5AAAAEAAAAAAAAAABACAAAAAPAQAAZHJzL3NoYXBleG1sLnhtbFBLBQYAAAAABgAG&#10;AFsBAAC5AwAAAAA=&#10;">
                        <v:fill on="f" focussize="0,0"/>
                        <v:stroke weight="1.5pt" color="#000000 [3213]" joinstyle="round"/>
                        <v:imagedata o:title=""/>
                        <o:lock v:ext="edit" aspectratio="f"/>
                      </v:rect>
                      <v:shape id="文本框 224" o:spid="_x0000_s1026" o:spt="202" type="#_x0000_t202" style="position:absolute;left:11164;top:791;height:448;width:1726;" filled="f" stroked="f" coordsize="21600,21600" o:gfxdata="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BJtVy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8869E86">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w:t>
                              </w:r>
                              <w:r>
                                <w:rPr>
                                  <w:rFonts w:hint="eastAsia" w:ascii="宋体" w:hAnsiTheme="minorBidi"/>
                                  <w:color w:val="000000" w:themeColor="text1"/>
                                  <w:kern w:val="24"/>
                                  <w:sz w:val="18"/>
                                  <w:szCs w:val="18"/>
                                  <w14:textFill>
                                    <w14:solidFill>
                                      <w14:schemeClr w14:val="tx1"/>
                                    </w14:solidFill>
                                  </w14:textFill>
                                </w:rPr>
                                <w:t>诊断报告</w:t>
                              </w:r>
                            </w:p>
                          </w:txbxContent>
                        </v:textbox>
                      </v:shape>
                    </v:group>
                  </v:group>
                </v:group>
                <v:group id="组合 93" o:spid="_x0000_s1026" o:spt="203" style="position:absolute;left:3504;top:638143;height:2056;width:3362;" coordorigin="3480,638131" coordsize="3362,2056" o:gfxdata="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3eA0PvAAAANwAAAAPAAAAAAAAAAEAIAAAACIAAABkcnMvZG93bnJldi54bWxQ&#10;SwECFAAUAAAACACHTuJAMy8FnjsAAAA5AAAAFQAAAAAAAAABACAAAAALAQAAZHJzL2dyb3Vwc2hh&#10;cGV4bWwueG1sUEsFBgAAAAAGAAYAYAEAAMgDAAAAAA==&#10;">
                  <o:lock v:ext="edit" aspectratio="f"/>
                  <v:group id="组合 200" o:spid="_x0000_s1026" o:spt="203" style="position:absolute;left:3745;top:638131;height:390;width:2831;" coordorigin="14427,4149" coordsize="2831,390" o:gfxdata="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GDSolL0AAADcAAAADwAAAAAAAAABACAAAAAiAAAAZHJzL2Rvd25yZXYueG1s&#10;UEsBAhQAFAAAAAgAh07iQDMvBZ47AAAAOQAAABUAAAAAAAAAAQAgAAAADAEAAGRycy9ncm91cHNo&#10;YXBleG1sLnhtbFBLBQYAAAAABgAGAGABAADJAwAAAAA=&#10;">
                    <o:lock v:ext="edit" aspectratio="f"/>
                    <v:line id="直接连接符 201" o:spid="_x0000_s1026" o:spt="20" style="position:absolute;left:14427;top:4163;flip:x y;height:344;width:9;rotation:11796480f;" filled="f" stroked="t" coordsize="21600,21600" o:gfxdata="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QN4m8AAAA&#10;3AAAAA8AAAAAAAAAAQAgAAAAIgAAAGRycy9kb3ducmV2LnhtbFBLAQIUABQAAAAIAIdO4kAzLwWe&#10;OwAAADkAAAAQAAAAAAAAAAEAIAAAAAsBAABkcnMvc2hhcGV4bWwueG1sUEsFBgAAAAAGAAYAWwEA&#10;ALUDAAAAAA==&#10;">
                      <v:fill on="f" focussize="0,0"/>
                      <v:stroke weight="0.5pt" color="#000000 [3213]" joinstyle="round"/>
                      <v:imagedata o:title=""/>
                      <o:lock v:ext="edit" aspectratio="f"/>
                    </v:line>
                    <v:line id="直接连接符 202" o:spid="_x0000_s1026" o:spt="20" style="position:absolute;left:15847;top:4159;flip:y;height:8;width:1411;" filled="f" stroked="t" coordsize="21600,21600" o:gfxdata="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phXVa/&#10;AAAA3AAAAA8AAAAAAAAAAQAgAAAAIgAAAGRycy9kb3ducmV2LnhtbFBLAQIUABQAAAAIAIdO4kAz&#10;LwWeOwAAADkAAAAQAAAAAAAAAAEAIAAAAA4BAABkcnMvc2hhcGV4bWwueG1sUEsFBgAAAAAGAAYA&#10;WwEAALgDAAAAAA==&#10;">
                      <v:fill on="f" focussize="0,0"/>
                      <v:stroke weight="0.5pt" color="#000000 [3213]" joinstyle="round"/>
                      <v:imagedata o:title=""/>
                      <o:lock v:ext="edit" aspectratio="f"/>
                    </v:line>
                    <v:line id="直接连接符 203" o:spid="_x0000_s1026" o:spt="20" style="position:absolute;left:17249;top:4149;height:390;width:1;" filled="f" stroked="t" coordsize="21600,21600" o:gfxdata="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ZWRmy5AAAA3A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line id="直接连接符 204" o:spid="_x0000_s1026" o:spt="20" style="position:absolute;left:14436;top:4165;flip:y;height:8;width:1411;" filled="f" stroked="t" coordsize="21600,21600" o:gfxdata="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Nz52vQAA&#10;ANwAAAAPAAAAAAAAAAEAIAAAACIAAABkcnMvZG93bnJldi54bWxQSwECFAAUAAAACACHTuJAMy8F&#10;njsAAAA5AAAAEAAAAAAAAAABACAAAAAMAQAAZHJzL3NoYXBleG1sLnhtbFBLBQYAAAAABgAGAFsB&#10;AAC2AwAAAAA=&#10;">
                      <v:fill on="f" focussize="0,0"/>
                      <v:stroke weight="0.5pt" color="#000000 [3213]" joinstyle="round"/>
                      <v:imagedata o:title=""/>
                      <o:lock v:ext="edit" aspectratio="f"/>
                    </v:line>
                  </v:group>
                  <v:group id="组合 72" o:spid="_x0000_s1026" o:spt="203" style="position:absolute;left:3480;top:638366;height:1821;width:3362;" coordorigin="3480,638366" coordsize="3362,1821" o:gfxdata="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bH6Xb0AAADcAAAADwAAAAAAAAABACAAAAAiAAAAZHJzL2Rvd25yZXYueG1s&#10;UEsBAhQAFAAAAAgAh07iQDMvBZ47AAAAOQAAABUAAAAAAAAAAQAgAAAADAEAAGRycy9ncm91cHNo&#10;YXBleG1sLnhtbFBLBQYAAAAABgAGAGABAADJAwAAAAA=&#10;">
                    <o:lock v:ext="edit" aspectratio="f"/>
                    <v:group id="组合 62" o:spid="_x0000_s1026" o:spt="203" style="position:absolute;left:3480;top:638366;height:1821;width:3362;" coordorigin="3480,638366" coordsize="3362,1821" o:gfxdata="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v1fxr0AAADcAAAADwAAAAAAAAABACAAAAAiAAAAZHJzL2Rvd25yZXYueG1s&#10;UEsBAhQAFAAAAAgAh07iQDMvBZ47AAAAOQAAABUAAAAAAAAAAQAgAAAADAEAAGRycy9ncm91cHNo&#10;YXBleG1sLnhtbFBLBQYAAAAABgAGAGABAADJAwAAAAA=&#10;">
                      <o:lock v:ext="edit" aspectratio="f"/>
                      <v:group id="组合 212" o:spid="_x0000_s1026" o:spt="203" style="position:absolute;left:3480;top:638475;height:1659;width:519;" coordorigin="5666,5767" coordsize="1079,770" o:gfxdata="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kUx7K7AAAA3AAAAA8AAAAAAAAAAQAgAAAAIgAAAGRycy9kb3ducmV2LnhtbFBL&#10;AQIUABQAAAAIAIdO4kAzLwWeOwAAADkAAAAVAAAAAAAAAAEAIAAAAAoBAABkcnMvZ3JvdXBzaGFw&#10;ZXhtbC54bWxQSwUGAAAAAAYABgBgAQAAxwMAAAAA&#10;">
                        <o:lock v:ext="edit" aspectratio="f"/>
                        <v:rect id="矩形 213" o:spid="_x0000_s1026" o:spt="1" style="position:absolute;left:5712;top:5767;height:770;width:1033;v-text-anchor:middle;" filled="f" stroked="t" coordsize="21600,21600" o:gfxdata="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yGxh7sAAADc&#10;AAAADwAAAAAAAAABACAAAAAiAAAAZHJzL2Rvd25yZXYueG1sUEsBAhQAFAAAAAgAh07iQDMvBZ47&#10;AAAAOQAAABAAAAAAAAAAAQAgAAAACgEAAGRycy9zaGFwZXhtbC54bWxQSwUGAAAAAAYABgBbAQAA&#10;tAMAAAAA&#10;">
                          <v:fill on="f" focussize="0,0"/>
                          <v:stroke weight="1.5pt" color="#000000 [3213]" joinstyle="round"/>
                          <v:imagedata o:title=""/>
                          <o:lock v:ext="edit" aspectratio="f"/>
                        </v:rect>
                        <v:shape id="文本框 214" o:spid="_x0000_s1026" o:spt="202" type="#_x0000_t202" style="position:absolute;left:5666;top:5777;height:759;width:965;" filled="f" stroked="f" coordsize="21600,21600" o:gfxdata="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BVxS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50E9CA1D">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分项能</w:t>
                                </w:r>
                                <w:r>
                                  <w:rPr>
                                    <w:rFonts w:hint="eastAsia" w:ascii="宋体" w:hAnsiTheme="minorBidi"/>
                                    <w:color w:val="000000" w:themeColor="text1"/>
                                    <w:kern w:val="24"/>
                                    <w:sz w:val="18"/>
                                    <w:szCs w:val="18"/>
                                    <w14:textFill>
                                      <w14:solidFill>
                                        <w14:schemeClr w14:val="tx1"/>
                                      </w14:solidFill>
                                    </w14:textFill>
                                  </w:rPr>
                                  <w:t>效</w:t>
                                </w:r>
                                <w:r>
                                  <w:rPr>
                                    <w:rFonts w:ascii="宋体" w:hAnsiTheme="minorBidi"/>
                                    <w:color w:val="000000" w:themeColor="text1"/>
                                    <w:kern w:val="24"/>
                                    <w:sz w:val="18"/>
                                    <w:szCs w:val="18"/>
                                    <w14:textFill>
                                      <w14:solidFill>
                                        <w14:schemeClr w14:val="tx1"/>
                                      </w14:solidFill>
                                    </w14:textFill>
                                  </w:rPr>
                                  <w:t>诊断</w:t>
                                </w:r>
                              </w:p>
                            </w:txbxContent>
                          </v:textbox>
                        </v:shape>
                      </v:group>
                      <v:group id="组合 61" o:spid="_x0000_s1026" o:spt="203" style="position:absolute;left:6312;top:638521;height:1666;width:530;" coordorigin="6264,638505" coordsize="530,1666" o:gfxdata="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1Nqg70AAADcAAAADwAAAAAAAAABACAAAAAiAAAAZHJzL2Rvd25yZXYueG1s&#10;UEsBAhQAFAAAAAgAh07iQDMvBZ47AAAAOQAAABUAAAAAAAAAAQAgAAAADAEAAGRycy9ncm91cHNo&#10;YXBleG1sLnhtbFBLBQYAAAAABgAGAGABAADJAwAAAAA=&#10;">
                        <o:lock v:ext="edit" aspectratio="f"/>
                        <v:rect id="矩形 213" o:spid="_x0000_s1026" o:spt="1" style="position:absolute;left:6297;top:638524;height:1595;width:497;v-text-anchor:middle;" filled="f" stroked="t" coordsize="21600,21600" o:gfxdata="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WYctrsAAADc&#10;AAAADwAAAAAAAAABACAAAAAiAAAAZHJzL2Rvd25yZXYueG1sUEsBAhQAFAAAAAgAh07iQDMvBZ47&#10;AAAAOQAAABAAAAAAAAAAAQAgAAAACgEAAGRycy9zaGFwZXhtbC54bWxQSwUGAAAAAAYABgBbAQAA&#10;tAMAAAAA&#10;">
                          <v:fill on="f" focussize="0,0"/>
                          <v:stroke weight="1.5pt" color="#000000 [3213]" joinstyle="round"/>
                          <v:imagedata o:title=""/>
                          <o:lock v:ext="edit" aspectratio="f"/>
                        </v:rect>
                        <v:shape id="文本框 214" o:spid="_x0000_s1026" o:spt="202" type="#_x0000_t202" style="position:absolute;left:6264;top:638505;height:1666;width:511;" filled="f" stroked="f" coordsize="21600,21600" o:gfxdata="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Te1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14:paraId="191F0783">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能源管理</w:t>
                                </w:r>
                                <w:r>
                                  <w:rPr>
                                    <w:rFonts w:ascii="宋体" w:hAnsiTheme="minorBidi"/>
                                    <w:color w:val="000000" w:themeColor="text1"/>
                                    <w:kern w:val="24"/>
                                    <w:sz w:val="18"/>
                                    <w:szCs w:val="18"/>
                                    <w14:textFill>
                                      <w14:solidFill>
                                        <w14:schemeClr w14:val="tx1"/>
                                      </w14:solidFill>
                                    </w14:textFill>
                                  </w:rPr>
                                  <w:t>诊断</w:t>
                                </w:r>
                              </w:p>
                            </w:txbxContent>
                          </v:textbox>
                        </v:shape>
                      </v:group>
                      <v:group id="组合 47" o:spid="_x0000_s1026" o:spt="203" style="position:absolute;left:4354;top:639386;height:734;width:1054;" coordorigin="4378,638468" coordsize="1054,734" o:gfxdata="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SzP7xvAAAANwAAAAPAAAAAAAAAAEAIAAAACIAAABkcnMvZG93bnJldi54bWxQ&#10;SwECFAAUAAAACACHTuJAMy8FnjsAAAA5AAAAFQAAAAAAAAABACAAAAALAQAAZHJzL2dyb3Vwc2hh&#10;cGV4bWwueG1sUEsFBgAAAAAGAAYAYAEAAMgDAAAAAA==&#10;">
                        <o:lock v:ext="edit" aspectratio="f"/>
                        <v:rect id="矩形 104" o:spid="_x0000_s1026" o:spt="1" style="position:absolute;left:4418;top:638468;height:734;width:973;v-text-anchor:middle;" filled="f" stroked="t" coordsize="21600,21600" o:gfxdata="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J97+/&#10;AAAA3AAAAA8AAAAAAAAAAQAgAAAAIgAAAGRycy9kb3ducmV2LnhtbFBLAQIUABQAAAAIAIdO4kAz&#10;LwWeOwAAADkAAAAQAAAAAAAAAAEAIAAAAA4BAABkcnMvc2hhcGV4bWwueG1sUEsFBgAAAAAGAAYA&#10;WwEAALgDAAAAAA==&#10;">
                          <v:fill on="f" focussize="0,0"/>
                          <v:stroke weight="1.5pt" color="#000000 [3213]" joinstyle="round"/>
                          <v:imagedata o:title=""/>
                          <o:lock v:ext="edit" aspectratio="f"/>
                        </v:rect>
                        <v:shape id="文本框 120" o:spid="_x0000_s1026" o:spt="202" type="#_x0000_t202" style="position:absolute;left:4378;top:638495;height:655;width:1054;" filled="f" stroked="f" coordsize="21600,21600" o:gfxdata="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ygENr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406859B1">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分项能效分级</w:t>
                                </w:r>
                              </w:p>
                            </w:txbxContent>
                          </v:textbox>
                        </v:shape>
                      </v:group>
                      <v:group id="组合 51" o:spid="_x0000_s1026" o:spt="203" style="position:absolute;left:4402;top:638366;height:734;width:1076;" coordorigin="4414,638468" coordsize="1076,734" o:gfxdata="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RuH/27AAAA3AAAAA8AAAAAAAAAAQAgAAAAIgAAAGRycy9kb3ducmV2LnhtbFBL&#10;AQIUABQAAAAIAIdO4kAzLwWeOwAAADkAAAAVAAAAAAAAAAEAIAAAAAoBAABkcnMvZ3JvdXBzaGFw&#10;ZXhtbC54bWxQSwUGAAAAAAYABgBgAQAAxwMAAAAA&#10;">
                        <o:lock v:ext="edit" aspectratio="f"/>
                        <v:rect id="矩形 104" o:spid="_x0000_s1026" o:spt="1" style="position:absolute;left:4418;top:638468;height:734;width:973;v-text-anchor:middle;" filled="f" stroked="t" coordsize="21600,21600" o:gfxdata="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svG8vQAA&#10;ANwAAAAPAAAAAAAAAAEAIAAAACIAAABkcnMvZG93bnJldi54bWxQSwECFAAUAAAACACHTuJAMy8F&#10;njsAAAA5AAAAEAAAAAAAAAABACAAAAAMAQAAZHJzL3NoYXBleG1sLnhtbFBLBQYAAAAABgAGAFsB&#10;AAC2AwAAAAA=&#10;">
                          <v:fill on="f" focussize="0,0"/>
                          <v:stroke weight="1.5pt" color="#000000 [3213]" joinstyle="round"/>
                          <v:imagedata o:title=""/>
                          <o:lock v:ext="edit" aspectratio="f"/>
                        </v:rect>
                        <v:shape id="文本框 120" o:spid="_x0000_s1026" o:spt="202" type="#_x0000_t202" style="position:absolute;left:4414;top:638495;height:655;width:1076;" filled="f" stroked="f" coordsize="21600,21600" o:gfxdata="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wTAjW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8FF4042">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分项能效性能评估</w:t>
                                </w:r>
                              </w:p>
                            </w:txbxContent>
                          </v:textbox>
                        </v:shape>
                      </v:group>
                    </v:group>
                    <v:line id="直接连接符 70" o:spid="_x0000_s1026" o:spt="20" style="position:absolute;left:3994;top:638721;flip:x;height:3;width:408;" filled="f" stroked="t" coordsize="21600,21600" o:gfxdata="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E3mObsAAADc&#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直接连接符 71" o:spid="_x0000_s1026" o:spt="20" style="position:absolute;left:3998;top:639727;flip:x y;height:2;width:384;" filled="f" stroked="t" coordsize="21600,21600" o:gfxdata="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xytZW/&#10;AAAA3AAAAA8AAAAAAAAAAQAgAAAAIgAAAGRycy9kb3ducmV2LnhtbFBLAQIUABQAAAAIAIdO4kAz&#10;LwWeOwAAADkAAAAQAAAAAAAAAAEAIAAAAA4BAABkcnMvc2hhcGV4bWwueG1sUEsFBgAAAAAGAAYA&#10;WwEAALgDAAAAAA==&#10;">
                      <v:fill on="f" focussize="0,0"/>
                      <v:stroke weight="0.5pt" color="#000000 [3213]" joinstyle="round"/>
                      <v:imagedata o:title=""/>
                      <o:lock v:ext="edit" aspectratio="f"/>
                    </v:line>
                  </v:group>
                </v:group>
              </v:group>
            </w:pict>
          </mc:Fallback>
        </mc:AlternateContent>
      </w:r>
      <w:r>
        <mc:AlternateContent>
          <mc:Choice Requires="wpg">
            <w:drawing>
              <wp:anchor distT="0" distB="0" distL="114300" distR="114300" simplePos="0" relativeHeight="251663360" behindDoc="0" locked="0" layoutInCell="1" allowOverlap="1">
                <wp:simplePos x="0" y="0"/>
                <wp:positionH relativeFrom="column">
                  <wp:posOffset>180340</wp:posOffset>
                </wp:positionH>
                <wp:positionV relativeFrom="paragraph">
                  <wp:posOffset>93980</wp:posOffset>
                </wp:positionV>
                <wp:extent cx="2134235" cy="1972310"/>
                <wp:effectExtent l="0" t="3175" r="18415" b="5715"/>
                <wp:wrapNone/>
                <wp:docPr id="95" name="组合 95"/>
                <wp:cNvGraphicFramePr/>
                <a:graphic xmlns:a="http://schemas.openxmlformats.org/drawingml/2006/main">
                  <a:graphicData uri="http://schemas.microsoft.com/office/word/2010/wordprocessingGroup">
                    <wpg:wgp>
                      <wpg:cNvGrpSpPr/>
                      <wpg:grpSpPr>
                        <a:xfrm>
                          <a:off x="0" y="0"/>
                          <a:ext cx="2134235" cy="1972310"/>
                          <a:chOff x="3504" y="638157"/>
                          <a:chExt cx="3361" cy="3106"/>
                        </a:xfrm>
                      </wpg:grpSpPr>
                      <wpg:grpSp>
                        <wpg:cNvPr id="94" name="组合 94"/>
                        <wpg:cNvGrpSpPr/>
                        <wpg:grpSpPr>
                          <a:xfrm>
                            <a:off x="3768" y="640081"/>
                            <a:ext cx="2856" cy="1182"/>
                            <a:chOff x="3768" y="640081"/>
                            <a:chExt cx="2856" cy="1182"/>
                          </a:xfrm>
                        </wpg:grpSpPr>
                        <wpg:grpSp>
                          <wpg:cNvPr id="230" name="组合 215"/>
                          <wpg:cNvGrpSpPr/>
                          <wpg:grpSpPr>
                            <a:xfrm rot="10800000">
                              <a:off x="3768" y="640081"/>
                              <a:ext cx="2856" cy="438"/>
                              <a:chOff x="14405" y="4165"/>
                              <a:chExt cx="2856" cy="438"/>
                            </a:xfrm>
                          </wpg:grpSpPr>
                          <wps:wsp>
                            <wps:cNvPr id="232" name="直接连接符 216"/>
                            <wps:cNvCnPr>
                              <a:endCxn id="35" idx="2"/>
                            </wps:cNvCnPr>
                            <wps:spPr>
                              <a:xfrm>
                                <a:off x="14408" y="4180"/>
                                <a:ext cx="3" cy="357"/>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3" name="直接连接符 217"/>
                            <wps:cNvCnPr/>
                            <wps:spPr>
                              <a:xfrm flipV="1">
                                <a:off x="15847" y="4165"/>
                                <a:ext cx="1411" cy="8"/>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4" name="直接连接符 218"/>
                            <wps:cNvCnPr>
                              <a:endCxn id="228" idx="2"/>
                            </wps:cNvCnPr>
                            <wps:spPr>
                              <a:xfrm flipH="1">
                                <a:off x="17255" y="4177"/>
                                <a:ext cx="6" cy="426"/>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5" name="直接连接符 219"/>
                            <wps:cNvCnPr/>
                            <wps:spPr>
                              <a:xfrm flipV="1">
                                <a:off x="14405" y="4165"/>
                                <a:ext cx="1442" cy="3"/>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65" name="组合 65"/>
                          <wpg:cNvGrpSpPr/>
                          <wpg:grpSpPr>
                            <a:xfrm>
                              <a:off x="4083" y="640527"/>
                              <a:ext cx="1964" cy="736"/>
                              <a:chOff x="4131" y="643326"/>
                              <a:chExt cx="1964" cy="736"/>
                            </a:xfrm>
                          </wpg:grpSpPr>
                          <wps:wsp>
                            <wps:cNvPr id="237" name="直接箭头连接符 221"/>
                            <wps:cNvCnPr/>
                            <wps:spPr>
                              <a:xfrm>
                                <a:off x="5182" y="643326"/>
                                <a:ext cx="0" cy="288"/>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38" name="组合 222"/>
                            <wpg:cNvGrpSpPr/>
                            <wpg:grpSpPr>
                              <a:xfrm>
                                <a:off x="4131" y="643614"/>
                                <a:ext cx="1965" cy="448"/>
                                <a:chOff x="11164" y="791"/>
                                <a:chExt cx="1965" cy="448"/>
                              </a:xfrm>
                            </wpg:grpSpPr>
                            <wps:wsp>
                              <wps:cNvPr id="239" name="矩形 223"/>
                              <wps:cNvSpPr/>
                              <wps:spPr>
                                <a:xfrm>
                                  <a:off x="11164" y="791"/>
                                  <a:ext cx="1965" cy="398"/>
                                </a:xfrm>
                                <a:prstGeom prst="rect">
                                  <a:avLst/>
                                </a:prstGeom>
                                <a:noFill/>
                                <a:ln w="1905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0" name="文本框 224"/>
                              <wps:cNvSpPr txBox="1"/>
                              <wps:spPr>
                                <a:xfrm>
                                  <a:off x="11164" y="791"/>
                                  <a:ext cx="1726" cy="448"/>
                                </a:xfrm>
                                <a:prstGeom prst="rect">
                                  <a:avLst/>
                                </a:prstGeom>
                                <a:noFill/>
                              </wps:spPr>
                              <wps:txbx>
                                <w:txbxContent>
                                  <w:p w14:paraId="39C30BA7">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w:t>
                                    </w:r>
                                    <w:r>
                                      <w:rPr>
                                        <w:rFonts w:hint="eastAsia" w:ascii="宋体" w:hAnsiTheme="minorBidi"/>
                                        <w:color w:val="000000" w:themeColor="text1"/>
                                        <w:kern w:val="24"/>
                                        <w:sz w:val="18"/>
                                        <w:szCs w:val="18"/>
                                        <w14:textFill>
                                          <w14:solidFill>
                                            <w14:schemeClr w14:val="tx1"/>
                                          </w14:solidFill>
                                        </w14:textFill>
                                      </w:rPr>
                                      <w:t>诊断报告</w:t>
                                    </w:r>
                                  </w:p>
                                </w:txbxContent>
                              </wps:txbx>
                              <wps:bodyPr wrap="square" rtlCol="0">
                                <a:noAutofit/>
                              </wps:bodyPr>
                            </wps:wsp>
                          </wpg:grpSp>
                        </wpg:grpSp>
                      </wpg:grpSp>
                      <wpg:grpSp>
                        <wpg:cNvPr id="93" name="组合 93"/>
                        <wpg:cNvGrpSpPr/>
                        <wpg:grpSpPr>
                          <a:xfrm>
                            <a:off x="3504" y="638157"/>
                            <a:ext cx="3361" cy="2029"/>
                            <a:chOff x="3480" y="638145"/>
                            <a:chExt cx="3361" cy="2029"/>
                          </a:xfrm>
                        </wpg:grpSpPr>
                        <wpg:grpSp>
                          <wpg:cNvPr id="215" name="组合 200"/>
                          <wpg:cNvGrpSpPr/>
                          <wpg:grpSpPr>
                            <a:xfrm>
                              <a:off x="3745" y="638145"/>
                              <a:ext cx="2831" cy="354"/>
                              <a:chOff x="14427" y="4163"/>
                              <a:chExt cx="2831" cy="354"/>
                            </a:xfrm>
                          </wpg:grpSpPr>
                          <wps:wsp>
                            <wps:cNvPr id="216" name="直接连接符 201"/>
                            <wps:cNvCnPr/>
                            <wps:spPr>
                              <a:xfrm rot="10800000" flipH="1" flipV="1">
                                <a:off x="14427" y="4163"/>
                                <a:ext cx="9" cy="344"/>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17" name="直接连接符 202"/>
                            <wps:cNvCnPr/>
                            <wps:spPr>
                              <a:xfrm flipV="1">
                                <a:off x="15847" y="4165"/>
                                <a:ext cx="1411" cy="8"/>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18" name="直接连接符 203"/>
                            <wps:cNvCnPr/>
                            <wps:spPr>
                              <a:xfrm rot="10800000" flipH="1" flipV="1">
                                <a:off x="17249" y="4173"/>
                                <a:ext cx="9" cy="344"/>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19" name="直接连接符 204"/>
                            <wps:cNvCnPr/>
                            <wps:spPr>
                              <a:xfrm flipV="1">
                                <a:off x="14436" y="4165"/>
                                <a:ext cx="1411" cy="8"/>
                              </a:xfrm>
                              <a:prstGeom prst="line">
                                <a:avLst/>
                              </a:prstGeom>
                              <a:ln w="635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72" name="组合 72"/>
                          <wpg:cNvGrpSpPr/>
                          <wpg:grpSpPr>
                            <a:xfrm>
                              <a:off x="3480" y="638366"/>
                              <a:ext cx="3361" cy="1808"/>
                              <a:chOff x="3480" y="638366"/>
                              <a:chExt cx="3361" cy="1808"/>
                            </a:xfrm>
                          </wpg:grpSpPr>
                          <wpg:grpSp>
                            <wpg:cNvPr id="62" name="组合 62"/>
                            <wpg:cNvGrpSpPr/>
                            <wpg:grpSpPr>
                              <a:xfrm>
                                <a:off x="3480" y="638366"/>
                                <a:ext cx="3361" cy="1808"/>
                                <a:chOff x="3480" y="638366"/>
                                <a:chExt cx="3361" cy="1808"/>
                              </a:xfrm>
                            </wpg:grpSpPr>
                            <wpg:grpSp>
                              <wpg:cNvPr id="227" name="组合 212"/>
                              <wpg:cNvGrpSpPr/>
                              <wpg:grpSpPr>
                                <a:xfrm>
                                  <a:off x="3480" y="638471"/>
                                  <a:ext cx="519" cy="1635"/>
                                  <a:chOff x="5666" y="5765"/>
                                  <a:chExt cx="1079" cy="759"/>
                                </a:xfrm>
                              </wpg:grpSpPr>
                              <wps:wsp>
                                <wps:cNvPr id="228" name="矩形 213"/>
                                <wps:cNvSpPr/>
                                <wps:spPr>
                                  <a:xfrm>
                                    <a:off x="5711" y="5767"/>
                                    <a:ext cx="1034" cy="740"/>
                                  </a:xfrm>
                                  <a:prstGeom prst="rect">
                                    <a:avLst/>
                                  </a:prstGeom>
                                  <a:noFill/>
                                  <a:ln w="1905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文本框 214"/>
                                <wps:cNvSpPr txBox="1"/>
                                <wps:spPr>
                                  <a:xfrm>
                                    <a:off x="5666" y="5765"/>
                                    <a:ext cx="940" cy="759"/>
                                  </a:xfrm>
                                  <a:prstGeom prst="rect">
                                    <a:avLst/>
                                  </a:prstGeom>
                                  <a:noFill/>
                                </wps:spPr>
                                <wps:txbx>
                                  <w:txbxContent>
                                    <w:p w14:paraId="794DFBC2">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分项能</w:t>
                                      </w:r>
                                      <w:r>
                                        <w:rPr>
                                          <w:rFonts w:hint="eastAsia" w:ascii="宋体" w:hAnsiTheme="minorBidi"/>
                                          <w:color w:val="000000" w:themeColor="text1"/>
                                          <w:kern w:val="24"/>
                                          <w:sz w:val="18"/>
                                          <w:szCs w:val="18"/>
                                          <w14:textFill>
                                            <w14:solidFill>
                                              <w14:schemeClr w14:val="tx1"/>
                                            </w14:solidFill>
                                          </w14:textFill>
                                        </w:rPr>
                                        <w:t>效</w:t>
                                      </w:r>
                                      <w:r>
                                        <w:rPr>
                                          <w:rFonts w:ascii="宋体" w:hAnsiTheme="minorBidi"/>
                                          <w:color w:val="000000" w:themeColor="text1"/>
                                          <w:kern w:val="24"/>
                                          <w:sz w:val="18"/>
                                          <w:szCs w:val="18"/>
                                          <w14:textFill>
                                            <w14:solidFill>
                                              <w14:schemeClr w14:val="tx1"/>
                                            </w14:solidFill>
                                          </w14:textFill>
                                        </w:rPr>
                                        <w:t>诊断</w:t>
                                      </w:r>
                                    </w:p>
                                  </w:txbxContent>
                                </wps:txbx>
                                <wps:bodyPr wrap="square" rtlCol="0">
                                  <a:noAutofit/>
                                </wps:bodyPr>
                              </wps:wsp>
                            </wpg:grpSp>
                            <wpg:grpSp>
                              <wpg:cNvPr id="61" name="组合 61"/>
                              <wpg:cNvGrpSpPr/>
                              <wpg:grpSpPr>
                                <a:xfrm>
                                  <a:off x="6312" y="638540"/>
                                  <a:ext cx="529" cy="1634"/>
                                  <a:chOff x="6264" y="638524"/>
                                  <a:chExt cx="529" cy="1634"/>
                                </a:xfrm>
                              </wpg:grpSpPr>
                              <wps:wsp>
                                <wps:cNvPr id="35" name="矩形 213"/>
                                <wps:cNvSpPr/>
                                <wps:spPr>
                                  <a:xfrm>
                                    <a:off x="6297" y="638524"/>
                                    <a:ext cx="497" cy="1595"/>
                                  </a:xfrm>
                                  <a:prstGeom prst="rect">
                                    <a:avLst/>
                                  </a:prstGeom>
                                  <a:noFill/>
                                  <a:ln w="1905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文本框 214"/>
                                <wps:cNvSpPr txBox="1"/>
                                <wps:spPr>
                                  <a:xfrm>
                                    <a:off x="6264" y="638534"/>
                                    <a:ext cx="487" cy="1624"/>
                                  </a:xfrm>
                                  <a:prstGeom prst="rect">
                                    <a:avLst/>
                                  </a:prstGeom>
                                  <a:noFill/>
                                </wps:spPr>
                                <wps:txbx>
                                  <w:txbxContent>
                                    <w:p w14:paraId="01C48043">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能源管理</w:t>
                                      </w:r>
                                      <w:r>
                                        <w:rPr>
                                          <w:rFonts w:ascii="宋体" w:hAnsiTheme="minorBidi"/>
                                          <w:color w:val="000000" w:themeColor="text1"/>
                                          <w:kern w:val="24"/>
                                          <w:sz w:val="18"/>
                                          <w:szCs w:val="18"/>
                                          <w14:textFill>
                                            <w14:solidFill>
                                              <w14:schemeClr w14:val="tx1"/>
                                            </w14:solidFill>
                                          </w14:textFill>
                                        </w:rPr>
                                        <w:t>诊断</w:t>
                                      </w:r>
                                    </w:p>
                                  </w:txbxContent>
                                </wps:txbx>
                                <wps:bodyPr wrap="square" rtlCol="0">
                                  <a:noAutofit/>
                                </wps:bodyPr>
                              </wps:wsp>
                            </wpg:grpSp>
                            <wpg:grpSp>
                              <wpg:cNvPr id="47" name="组合 47"/>
                              <wpg:cNvGrpSpPr/>
                              <wpg:grpSpPr>
                                <a:xfrm>
                                  <a:off x="4354" y="639386"/>
                                  <a:ext cx="1054" cy="734"/>
                                  <a:chOff x="4378" y="638468"/>
                                  <a:chExt cx="1054" cy="734"/>
                                </a:xfrm>
                              </wpg:grpSpPr>
                              <wps:wsp>
                                <wps:cNvPr id="64" name="矩形 104"/>
                                <wps:cNvSpPr/>
                                <wps:spPr>
                                  <a:xfrm>
                                    <a:off x="4418" y="638468"/>
                                    <a:ext cx="973" cy="734"/>
                                  </a:xfrm>
                                  <a:prstGeom prst="rect">
                                    <a:avLst/>
                                  </a:prstGeom>
                                  <a:noFill/>
                                  <a:ln w="1905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文本框 120"/>
                                <wps:cNvSpPr txBox="1"/>
                                <wps:spPr>
                                  <a:xfrm>
                                    <a:off x="4378" y="638495"/>
                                    <a:ext cx="1054" cy="655"/>
                                  </a:xfrm>
                                  <a:prstGeom prst="rect">
                                    <a:avLst/>
                                  </a:prstGeom>
                                  <a:noFill/>
                                </wps:spPr>
                                <wps:txbx>
                                  <w:txbxContent>
                                    <w:p w14:paraId="5A2C7965">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分项能效分级</w:t>
                                      </w:r>
                                    </w:p>
                                  </w:txbxContent>
                                </wps:txbx>
                                <wps:bodyPr wrap="square" rtlCol="0">
                                  <a:noAutofit/>
                                </wps:bodyPr>
                              </wps:wsp>
                            </wpg:grpSp>
                            <wpg:grpSp>
                              <wpg:cNvPr id="51" name="组合 51"/>
                              <wpg:cNvGrpSpPr/>
                              <wpg:grpSpPr>
                                <a:xfrm>
                                  <a:off x="4258" y="638366"/>
                                  <a:ext cx="1160" cy="734"/>
                                  <a:chOff x="4270" y="638468"/>
                                  <a:chExt cx="1160" cy="734"/>
                                </a:xfrm>
                              </wpg:grpSpPr>
                              <wps:wsp>
                                <wps:cNvPr id="59" name="矩形 104"/>
                                <wps:cNvSpPr/>
                                <wps:spPr>
                                  <a:xfrm>
                                    <a:off x="4418" y="638468"/>
                                    <a:ext cx="973" cy="734"/>
                                  </a:xfrm>
                                  <a:prstGeom prst="rect">
                                    <a:avLst/>
                                  </a:prstGeom>
                                  <a:noFill/>
                                  <a:ln w="1905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文本框 120"/>
                                <wps:cNvSpPr txBox="1"/>
                                <wps:spPr>
                                  <a:xfrm>
                                    <a:off x="4270" y="638495"/>
                                    <a:ext cx="1160" cy="655"/>
                                  </a:xfrm>
                                  <a:prstGeom prst="rect">
                                    <a:avLst/>
                                  </a:prstGeom>
                                  <a:noFill/>
                                </wps:spPr>
                                <wps:txbx>
                                  <w:txbxContent>
                                    <w:p w14:paraId="3707AFE0">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分项能效性能评估</w:t>
                                      </w:r>
                                    </w:p>
                                  </w:txbxContent>
                                </wps:txbx>
                                <wps:bodyPr wrap="square" rtlCol="0">
                                  <a:noAutofit/>
                                </wps:bodyPr>
                              </wps:wsp>
                            </wpg:grpSp>
                          </wpg:grpSp>
                          <wps:wsp>
                            <wps:cNvPr id="70" name="直接连接符 70"/>
                            <wps:cNvCnPr>
                              <a:stCxn id="59" idx="1"/>
                            </wps:cNvCnPr>
                            <wps:spPr>
                              <a:xfrm flipH="1">
                                <a:off x="4028" y="638733"/>
                                <a:ext cx="378" cy="1"/>
                              </a:xfrm>
                              <a:prstGeom prst="line">
                                <a:avLst/>
                              </a:prstGeom>
                              <a:ln w="635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wps:wsp>
                          <wps:wsp>
                            <wps:cNvPr id="71" name="直接连接符 71"/>
                            <wps:cNvCnPr/>
                            <wps:spPr>
                              <a:xfrm flipH="1" flipV="1">
                                <a:off x="4012" y="639727"/>
                                <a:ext cx="370" cy="2"/>
                              </a:xfrm>
                              <a:prstGeom prst="line">
                                <a:avLst/>
                              </a:prstGeom>
                              <a:ln w="635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wps:wsp>
                        </wpg:grpSp>
                      </wpg:grpSp>
                    </wpg:wgp>
                  </a:graphicData>
                </a:graphic>
              </wp:anchor>
            </w:drawing>
          </mc:Choice>
          <mc:Fallback>
            <w:pict>
              <v:group id="_x0000_s1026" o:spid="_x0000_s1026" o:spt="203" style="position:absolute;left:0pt;margin-left:14.2pt;margin-top:7.4pt;height:155.3pt;width:168.05pt;z-index:251663360;mso-width-relative:page;mso-height-relative:page;" coordorigin="3504,638157" coordsize="3361,3106" o:gfxdata="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">
                <o:lock v:ext="edit" aspectratio="f"/>
                <v:group id="_x0000_s1026" o:spid="_x0000_s1026" o:spt="203" style="position:absolute;left:3768;top:640081;height:1182;width:2856;" coordorigin="3768,640081" coordsize="2856,1182"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group id="组合 215" o:spid="_x0000_s1026" o:spt="203" style="position:absolute;left:3768;top:640081;height:438;width:2856;rotation:11796480f;" coordorigin="14405,4165" coordsize="2856,438" o:gfxdata="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9CQmroAAADcAAAADwAAAAAAAAABACAAAAAiAAAAZHJzL2Rvd25yZXYueG1sUEsB&#10;AhQAFAAAAAgAh07iQDMvBZ47AAAAOQAAABUAAAAAAAAAAQAgAAAACQEAAGRycy9ncm91cHNoYXBl&#10;eG1sLnhtbFBLBQYAAAAABgAGAGABAADGAwAAAAA=&#10;">
                    <o:lock v:ext="edit" aspectratio="f"/>
                    <v:line id="直接连接符 216" o:spid="_x0000_s1026" o:spt="20" style="position:absolute;left:14408;top:4180;height:357;width:3;" filled="f" stroked="t" coordsize="21600,21600" o:gfxdata="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bXeH74A&#10;AADcAAAADwAAAAAAAAABACAAAAAiAAAAZHJzL2Rvd25yZXYueG1sUEsBAhQAFAAAAAgAh07iQDMv&#10;BZ47AAAAOQAAABAAAAAAAAAAAQAgAAAADQEAAGRycy9zaGFwZXhtbC54bWxQSwUGAAAAAAYABgBb&#10;AQAAtwMAAAAA&#10;">
                      <v:fill on="f" focussize="0,0"/>
                      <v:stroke weight="0.5pt" color="#000000 [3213]" joinstyle="round" dashstyle="dash"/>
                      <v:imagedata o:title=""/>
                      <o:lock v:ext="edit" aspectratio="f"/>
                    </v:line>
                    <v:line id="直接连接符 217" o:spid="_x0000_s1026" o:spt="20" style="position:absolute;left:15847;top:4165;flip:y;height:8;width:1411;" filled="f" stroked="t" coordsize="21600,21600" o:gfxdata="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xhAOvQAA&#10;ANwAAAAPAAAAAAAAAAEAIAAAACIAAABkcnMvZG93bnJldi54bWxQSwECFAAUAAAACACHTuJAMy8F&#10;njsAAAA5AAAAEAAAAAAAAAABACAAAAAMAQAAZHJzL3NoYXBleG1sLnhtbFBLBQYAAAAABgAGAFsB&#10;AAC2AwAAAAA=&#10;">
                      <v:fill on="f" focussize="0,0"/>
                      <v:stroke weight="0.5pt" color="#000000 [3213]" joinstyle="round" dashstyle="dash"/>
                      <v:imagedata o:title=""/>
                      <o:lock v:ext="edit" aspectratio="f"/>
                    </v:line>
                    <v:line id="直接连接符 218" o:spid="_x0000_s1026" o:spt="20" style="position:absolute;left:17255;top:4177;flip:x;height:426;width:6;" filled="f" stroked="t" coordsize="21600,21600" o:gfxdata="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L4h6vQAA&#10;ANwAAAAPAAAAAAAAAAEAIAAAACIAAABkcnMvZG93bnJldi54bWxQSwECFAAUAAAACACHTuJAMy8F&#10;njsAAAA5AAAAEAAAAAAAAAABACAAAAAMAQAAZHJzL3NoYXBleG1sLnhtbFBLBQYAAAAABgAGAFsB&#10;AAC2AwAAAAA=&#10;">
                      <v:fill on="f" focussize="0,0"/>
                      <v:stroke weight="0.5pt" color="#000000 [3213]" joinstyle="round" dashstyle="dash"/>
                      <v:imagedata o:title=""/>
                      <o:lock v:ext="edit" aspectratio="f"/>
                    </v:line>
                    <v:line id="直接连接符 219" o:spid="_x0000_s1026" o:spt="20" style="position:absolute;left:14405;top:4165;flip:y;height:3;width:1442;" filled="f" stroked="t" coordsize="21600,21600" o:gfxdata="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Yy3hvQAA&#10;ANwAAAAPAAAAAAAAAAEAIAAAACIAAABkcnMvZG93bnJldi54bWxQSwECFAAUAAAACACHTuJAMy8F&#10;njsAAAA5AAAAEAAAAAAAAAABACAAAAAMAQAAZHJzL3NoYXBleG1sLnhtbFBLBQYAAAAABgAGAFsB&#10;AAC2AwAAAAA=&#10;">
                      <v:fill on="f" focussize="0,0"/>
                      <v:stroke weight="0.5pt" color="#000000 [3213]" joinstyle="round" dashstyle="dash"/>
                      <v:imagedata o:title=""/>
                      <o:lock v:ext="edit" aspectratio="f"/>
                    </v:line>
                  </v:group>
                  <v:group id="_x0000_s1026" o:spid="_x0000_s1026" o:spt="203" style="position:absolute;left:4083;top:640527;height:736;width:1964;" coordorigin="4131,643326" coordsize="1964,736" o:gfxdata="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n9B8L0AAADbAAAADwAAAAAAAAABACAAAAAiAAAAZHJzL2Rvd25yZXYueG1s&#10;UEsBAhQAFAAAAAgAh07iQDMvBZ47AAAAOQAAABUAAAAAAAAAAQAgAAAADAEAAGRycy9ncm91cHNo&#10;YXBleG1sLnhtbFBLBQYAAAAABgAGAGABAADJAwAAAAA=&#10;">
                    <o:lock v:ext="edit" aspectratio="f"/>
                    <v:shape id="直接箭头连接符 221" o:spid="_x0000_s1026" o:spt="32" type="#_x0000_t32" style="position:absolute;left:5182;top:643326;height:288;width:0;" filled="f" stroked="t" coordsize="21600,21600" o:gfxdata="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i+HN6/&#10;AAAA3AAAAA8AAAAAAAAAAQAgAAAAIgAAAGRycy9kb3ducmV2LnhtbFBLAQIUABQAAAAIAIdO4kAz&#10;LwWeOwAAADkAAAAQAAAAAAAAAAEAIAAAAA4BAABkcnMvc2hhcGV4bWwueG1sUEsFBgAAAAAGAAYA&#10;WwEAALgDAAAAAA==&#10;">
                      <v:fill on="f" focussize="0,0"/>
                      <v:stroke weight="0.5pt" color="#000000 [3213]" joinstyle="round" endarrow="open"/>
                      <v:imagedata o:title=""/>
                      <o:lock v:ext="edit" aspectratio="f"/>
                    </v:shape>
                    <v:group id="组合 222" o:spid="_x0000_s1026" o:spt="203" style="position:absolute;left:4131;top:643614;height:448;width:1965;" coordorigin="11164,791" coordsize="1965,448" o:gfxdata="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alOha7AAAA3AAAAA8AAAAAAAAAAQAgAAAAIgAAAGRycy9kb3ducmV2LnhtbFBL&#10;AQIUABQAAAAIAIdO4kAzLwWeOwAAADkAAAAVAAAAAAAAAAEAIAAAAAoBAABkcnMvZ3JvdXBzaGFw&#10;ZXhtbC54bWxQSwUGAAAAAAYABgBgAQAAxwMAAAAA&#10;">
                      <o:lock v:ext="edit" aspectratio="f"/>
                      <v:rect id="矩形 223" o:spid="_x0000_s1026" o:spt="1" style="position:absolute;left:11164;top:791;height:398;width:1965;v-text-anchor:middle;" filled="f" stroked="t" coordsize="21600,21600" o:gfxdata="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QTCO/&#10;AAAA3AAAAA8AAAAAAAAAAQAgAAAAIgAAAGRycy9kb3ducmV2LnhtbFBLAQIUABQAAAAIAIdO4kAz&#10;LwWeOwAAADkAAAAQAAAAAAAAAAEAIAAAAA4BAABkcnMvc2hhcGV4bWwueG1sUEsFBgAAAAAGAAYA&#10;WwEAALgDAAAAAA==&#10;">
                        <v:fill on="f" focussize="0,0"/>
                        <v:stroke weight="1.5pt" color="#000000 [3213]" joinstyle="round"/>
                        <v:imagedata o:title=""/>
                        <o:lock v:ext="edit" aspectratio="f"/>
                      </v:rect>
                      <v:shape id="文本框 224" o:spid="_x0000_s1026" o:spt="202" type="#_x0000_t202" style="position:absolute;left:11164;top:791;height:448;width:1726;" filled="f" stroked="f" coordsize="21600,21600" o:gfxdata="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dBwNG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9C30BA7">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能效</w:t>
                              </w:r>
                              <w:r>
                                <w:rPr>
                                  <w:rFonts w:hint="eastAsia" w:ascii="宋体" w:hAnsiTheme="minorBidi"/>
                                  <w:color w:val="000000" w:themeColor="text1"/>
                                  <w:kern w:val="24"/>
                                  <w:sz w:val="18"/>
                                  <w:szCs w:val="18"/>
                                  <w14:textFill>
                                    <w14:solidFill>
                                      <w14:schemeClr w14:val="tx1"/>
                                    </w14:solidFill>
                                  </w14:textFill>
                                </w:rPr>
                                <w:t>诊断报告</w:t>
                              </w:r>
                            </w:p>
                          </w:txbxContent>
                        </v:textbox>
                      </v:shape>
                    </v:group>
                  </v:group>
                </v:group>
                <v:group id="_x0000_s1026" o:spid="_x0000_s1026" o:spt="203" style="position:absolute;left:3504;top:638157;height:2029;width:3361;" coordorigin="3480,638145" coordsize="3361,2029" o:gfxdata="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w8MOL0AAADbAAAADwAAAAAAAAABACAAAAAiAAAAZHJzL2Rvd25yZXYueG1s&#10;UEsBAhQAFAAAAAgAh07iQDMvBZ47AAAAOQAAABUAAAAAAAAAAQAgAAAADAEAAGRycy9ncm91cHNo&#10;YXBleG1sLnhtbFBLBQYAAAAABgAGAGABAADJAwAAAAA=&#10;">
                  <o:lock v:ext="edit" aspectratio="f"/>
                  <v:group id="组合 200" o:spid="_x0000_s1026" o:spt="203" style="position:absolute;left:3745;top:638145;height:354;width:2831;" coordorigin="14427,4163" coordsize="2831,354" o:gfxdata="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DEcnovwAAANwAAAAPAAAAAAAAAAEAIAAAACIAAABkcnMvZG93bnJldi54&#10;bWxQSwECFAAUAAAACACHTuJAMy8FnjsAAAA5AAAAFQAAAAAAAAABACAAAAAOAQAAZHJzL2dyb3Vw&#10;c2hhcGV4bWwueG1sUEsFBgAAAAAGAAYAYAEAAMsDAAAAAA==&#10;">
                    <o:lock v:ext="edit" aspectratio="f"/>
                    <v:line id="直接连接符 201" o:spid="_x0000_s1026" o:spt="20" style="position:absolute;left:14427;top:4163;flip:x y;height:344;width:9;rotation:11796480f;" filled="f" stroked="t" coordsize="21600,21600" o:gfxdata="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7Hm+/&#10;AAAA3AAAAA8AAAAAAAAAAQAgAAAAIgAAAGRycy9kb3ducmV2LnhtbFBLAQIUABQAAAAIAIdO4kAz&#10;LwWeOwAAADkAAAAQAAAAAAAAAAEAIAAAAA4BAABkcnMvc2hhcGV4bWwueG1sUEsFBgAAAAAGAAYA&#10;WwEAALgDAAAAAA==&#10;">
                      <v:fill on="f" focussize="0,0"/>
                      <v:stroke weight="0.5pt" color="#000000 [3213]" joinstyle="round" dashstyle="dash"/>
                      <v:imagedata o:title=""/>
                      <o:lock v:ext="edit" aspectratio="f"/>
                    </v:line>
                    <v:line id="直接连接符 202" o:spid="_x0000_s1026" o:spt="20" style="position:absolute;left:15847;top:4165;flip:y;height:8;width:1411;" filled="f" stroked="t" coordsize="21600,21600" o:gfxdata="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SEptvQAA&#10;ANwAAAAPAAAAAAAAAAEAIAAAACIAAABkcnMvZG93bnJldi54bWxQSwECFAAUAAAACACHTuJAMy8F&#10;njsAAAA5AAAAEAAAAAAAAAABACAAAAAMAQAAZHJzL3NoYXBleG1sLnhtbFBLBQYAAAAABgAGAFsB&#10;AAC2AwAAAAA=&#10;">
                      <v:fill on="f" focussize="0,0"/>
                      <v:stroke weight="0.5pt" color="#000000 [3213]" joinstyle="round" dashstyle="dash"/>
                      <v:imagedata o:title=""/>
                      <o:lock v:ext="edit" aspectratio="f"/>
                    </v:line>
                    <v:line id="直接连接符 203" o:spid="_x0000_s1026" o:spt="20" style="position:absolute;left:17249;top:4173;flip:x y;height:344;width:9;rotation:11796480f;" filled="f" stroked="t" coordsize="21600,21600" o:gfxdata="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gvhrsAAADc&#10;AAAADwAAAAAAAAABACAAAAAiAAAAZHJzL2Rvd25yZXYueG1sUEsBAhQAFAAAAAgAh07iQDMvBZ47&#10;AAAAOQAAABAAAAAAAAAAAQAgAAAACgEAAGRycy9zaGFwZXhtbC54bWxQSwUGAAAAAAYABgBbAQAA&#10;tAMAAAAA&#10;">
                      <v:fill on="f" focussize="0,0"/>
                      <v:stroke weight="0.5pt" color="#000000 [3213]" joinstyle="round" dashstyle="dash"/>
                      <v:imagedata o:title=""/>
                      <o:lock v:ext="edit" aspectratio="f"/>
                    </v:line>
                    <v:line id="直接连接符 204" o:spid="_x0000_s1026" o:spt="20" style="position:absolute;left:14436;top:4165;flip:y;height:8;width:1411;" filled="f" stroked="t" coordsize="21600,21600" o:gfxdata="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m3uEvQAA&#10;ANwAAAAPAAAAAAAAAAEAIAAAACIAAABkcnMvZG93bnJldi54bWxQSwECFAAUAAAACACHTuJAMy8F&#10;njsAAAA5AAAAEAAAAAAAAAABACAAAAAMAQAAZHJzL3NoYXBleG1sLnhtbFBLBQYAAAAABgAGAFsB&#10;AAC2AwAAAAA=&#10;">
                      <v:fill on="f" focussize="0,0"/>
                      <v:stroke weight="0.5pt" color="#000000 [3213]" joinstyle="round" dashstyle="dash"/>
                      <v:imagedata o:title=""/>
                      <o:lock v:ext="edit" aspectratio="f"/>
                    </v:line>
                  </v:group>
                  <v:group id="_x0000_s1026" o:spid="_x0000_s1026" o:spt="203" style="position:absolute;left:3480;top:638366;height:1808;width:3361;" coordorigin="3480,638366" coordsize="3361,1808"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3480;top:638366;height:1808;width:3361;" coordorigin="3480,638366" coordsize="3361,1808"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group id="组合 212" o:spid="_x0000_s1026" o:spt="203" style="position:absolute;left:3480;top:638471;height:1635;width:519;" coordorigin="5666,5765" coordsize="1079,759" o:gfxdata="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LjOLm+AAAA3AAAAA8AAAAAAAAAAQAgAAAAIgAAAGRycy9kb3ducmV2Lnht&#10;bFBLAQIUABQAAAAIAIdO4kAzLwWeOwAAADkAAAAVAAAAAAAAAAEAIAAAAA0BAABkcnMvZ3JvdXBz&#10;aGFwZXhtbC54bWxQSwUGAAAAAAYABgBgAQAAygMAAAAA&#10;">
                        <o:lock v:ext="edit" aspectratio="f"/>
                        <v:rect id="矩形 213" o:spid="_x0000_s1026" o:spt="1" style="position:absolute;left:5711;top:5767;height:740;width:1034;v-text-anchor:middle;" filled="f" stroked="t" coordsize="21600,21600" o:gfxdata="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4OHnL4A&#10;AADcAAAADwAAAAAAAAABACAAAAAiAAAAZHJzL2Rvd25yZXYueG1sUEsBAhQAFAAAAAgAh07iQDMv&#10;BZ47AAAAOQAAABAAAAAAAAAAAQAgAAAADQEAAGRycy9zaGFwZXhtbC54bWxQSwUGAAAAAAYABgBb&#10;AQAAtwMAAAAA&#10;">
                          <v:fill on="f" focussize="0,0"/>
                          <v:stroke weight="1.5pt" color="#000000 [3213]" joinstyle="round" dashstyle="dash"/>
                          <v:imagedata o:title=""/>
                          <o:lock v:ext="edit" aspectratio="f"/>
                        </v:rect>
                        <v:shape id="文本框 214" o:spid="_x0000_s1026" o:spt="202" type="#_x0000_t202" style="position:absolute;left:5666;top:5765;height:759;width:940;" filled="f" stroked="f" coordsize="21600,21600" o:gfxdata="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pIz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94DFBC2">
                                <w:pPr>
                                  <w:pStyle w:val="15"/>
                                  <w:adjustRightInd w:val="0"/>
                                  <w:snapToGrid w:val="0"/>
                                  <w:spacing w:beforeAutospacing="0" w:afterAutospacing="0" w:line="240" w:lineRule="auto"/>
                                  <w:jc w:val="center"/>
                                  <w:rPr>
                                    <w:sz w:val="18"/>
                                    <w:szCs w:val="18"/>
                                  </w:rPr>
                                </w:pPr>
                                <w:r>
                                  <w:rPr>
                                    <w:rFonts w:ascii="宋体" w:hAnsiTheme="minorBidi"/>
                                    <w:color w:val="000000" w:themeColor="text1"/>
                                    <w:kern w:val="24"/>
                                    <w:sz w:val="18"/>
                                    <w:szCs w:val="18"/>
                                    <w14:textFill>
                                      <w14:solidFill>
                                        <w14:schemeClr w14:val="tx1"/>
                                      </w14:solidFill>
                                    </w14:textFill>
                                  </w:rPr>
                                  <w:t>分项能</w:t>
                                </w:r>
                                <w:r>
                                  <w:rPr>
                                    <w:rFonts w:hint="eastAsia" w:ascii="宋体" w:hAnsiTheme="minorBidi"/>
                                    <w:color w:val="000000" w:themeColor="text1"/>
                                    <w:kern w:val="24"/>
                                    <w:sz w:val="18"/>
                                    <w:szCs w:val="18"/>
                                    <w14:textFill>
                                      <w14:solidFill>
                                        <w14:schemeClr w14:val="tx1"/>
                                      </w14:solidFill>
                                    </w14:textFill>
                                  </w:rPr>
                                  <w:t>效</w:t>
                                </w:r>
                                <w:r>
                                  <w:rPr>
                                    <w:rFonts w:ascii="宋体" w:hAnsiTheme="minorBidi"/>
                                    <w:color w:val="000000" w:themeColor="text1"/>
                                    <w:kern w:val="24"/>
                                    <w:sz w:val="18"/>
                                    <w:szCs w:val="18"/>
                                    <w14:textFill>
                                      <w14:solidFill>
                                        <w14:schemeClr w14:val="tx1"/>
                                      </w14:solidFill>
                                    </w14:textFill>
                                  </w:rPr>
                                  <w:t>诊断</w:t>
                                </w:r>
                              </w:p>
                            </w:txbxContent>
                          </v:textbox>
                        </v:shape>
                      </v:group>
                      <v:group id="_x0000_s1026" o:spid="_x0000_s1026" o:spt="203" style="position:absolute;left:6312;top:638540;height:1634;width:529;" coordorigin="6264,638524" coordsize="529,163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rect id="矩形 213" o:spid="_x0000_s1026" o:spt="1" style="position:absolute;left:6297;top:638524;height:1595;width:497;v-text-anchor:middle;" filled="f" stroked="t" coordsize="21600,21600" o:gfxdata="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aUkrr4A&#10;AADbAAAADwAAAAAAAAABACAAAAAiAAAAZHJzL2Rvd25yZXYueG1sUEsBAhQAFAAAAAgAh07iQDMv&#10;BZ47AAAAOQAAABAAAAAAAAAAAQAgAAAADQEAAGRycy9zaGFwZXhtbC54bWxQSwUGAAAAAAYABgBb&#10;AQAAtwMAAAAA&#10;">
                          <v:fill on="f" focussize="0,0"/>
                          <v:stroke weight="1.5pt" color="#000000 [3213]" joinstyle="round" dashstyle="dash"/>
                          <v:imagedata o:title=""/>
                          <o:lock v:ext="edit" aspectratio="f"/>
                        </v:rect>
                        <v:shape id="文本框 214" o:spid="_x0000_s1026" o:spt="202" type="#_x0000_t202" style="position:absolute;left:6264;top:638534;height:1624;width:487;"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1C48043">
                                <w:pPr>
                                  <w:pStyle w:val="15"/>
                                  <w:adjustRightInd w:val="0"/>
                                  <w:snapToGrid w:val="0"/>
                                  <w:spacing w:beforeAutospacing="0" w:afterAutospacing="0" w:line="240" w:lineRule="auto"/>
                                  <w:jc w:val="center"/>
                                  <w:rPr>
                                    <w:sz w:val="18"/>
                                    <w:szCs w:val="18"/>
                                  </w:rPr>
                                </w:pPr>
                                <w:r>
                                  <w:rPr>
                                    <w:rFonts w:hint="eastAsia" w:ascii="宋体" w:hAnsiTheme="minorBidi"/>
                                    <w:color w:val="000000" w:themeColor="text1"/>
                                    <w:kern w:val="24"/>
                                    <w:sz w:val="18"/>
                                    <w:szCs w:val="18"/>
                                    <w14:textFill>
                                      <w14:solidFill>
                                        <w14:schemeClr w14:val="tx1"/>
                                      </w14:solidFill>
                                    </w14:textFill>
                                  </w:rPr>
                                  <w:t>能源管理</w:t>
                                </w:r>
                                <w:r>
                                  <w:rPr>
                                    <w:rFonts w:ascii="宋体" w:hAnsiTheme="minorBidi"/>
                                    <w:color w:val="000000" w:themeColor="text1"/>
                                    <w:kern w:val="24"/>
                                    <w:sz w:val="18"/>
                                    <w:szCs w:val="18"/>
                                    <w14:textFill>
                                      <w14:solidFill>
                                        <w14:schemeClr w14:val="tx1"/>
                                      </w14:solidFill>
                                    </w14:textFill>
                                  </w:rPr>
                                  <w:t>诊断</w:t>
                                </w:r>
                              </w:p>
                            </w:txbxContent>
                          </v:textbox>
                        </v:shape>
                      </v:group>
                      <v:group id="_x0000_s1026" o:spid="_x0000_s1026" o:spt="203" style="position:absolute;left:4354;top:639386;height:734;width:1054;" coordorigin="4378,638468" coordsize="1054,734"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rect id="矩形 104" o:spid="_x0000_s1026" o:spt="1" style="position:absolute;left:4418;top:638468;height:734;width:973;v-text-anchor:middle;" filled="f" stroked="t" coordsize="21600,21600" o:gfxdata="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quKL4A&#10;AADbAAAADwAAAAAAAAABACAAAAAiAAAAZHJzL2Rvd25yZXYueG1sUEsBAhQAFAAAAAgAh07iQDMv&#10;BZ47AAAAOQAAABAAAAAAAAAAAQAgAAAADQEAAGRycy9zaGFwZXhtbC54bWxQSwUGAAAAAAYABgBb&#10;AQAAtwMAAAAA&#10;">
                          <v:fill on="f" focussize="0,0"/>
                          <v:stroke weight="1.5pt" color="#000000 [3213]" joinstyle="round" dashstyle="dash"/>
                          <v:imagedata o:title=""/>
                          <o:lock v:ext="edit" aspectratio="f"/>
                        </v:rect>
                        <v:shape id="文本框 120" o:spid="_x0000_s1026" o:spt="202" type="#_x0000_t202" style="position:absolute;left:4378;top:638495;height:655;width:1054;"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5A2C7965">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分项能效分级</w:t>
                                </w:r>
                              </w:p>
                            </w:txbxContent>
                          </v:textbox>
                        </v:shape>
                      </v:group>
                      <v:group id="_x0000_s1026" o:spid="_x0000_s1026" o:spt="203" style="position:absolute;left:4258;top:638366;height:734;width:1160;" coordorigin="4270,638468" coordsize="1160,734"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rect id="矩形 104" o:spid="_x0000_s1026" o:spt="1" style="position:absolute;left:4418;top:638468;height:734;width:973;v-text-anchor:middle;" filled="f" stroked="t" coordsize="21600,21600" o:gfxdata="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TfLC74A&#10;AADbAAAADwAAAAAAAAABACAAAAAiAAAAZHJzL2Rvd25yZXYueG1sUEsBAhQAFAAAAAgAh07iQDMv&#10;BZ47AAAAOQAAABAAAAAAAAAAAQAgAAAADQEAAGRycy9zaGFwZXhtbC54bWxQSwUGAAAAAAYABgBb&#10;AQAAtwMAAAAA&#10;">
                          <v:fill on="f" focussize="0,0"/>
                          <v:stroke weight="1.5pt" color="#000000 [3213]" joinstyle="round" dashstyle="dash"/>
                          <v:imagedata o:title=""/>
                          <o:lock v:ext="edit" aspectratio="f"/>
                        </v:rect>
                        <v:shape id="文本框 120" o:spid="_x0000_s1026" o:spt="202" type="#_x0000_t202" style="position:absolute;left:4270;top:638495;height:655;width:1160;" filled="f" stroked="f" coordsize="21600,21600" o:gfxdata="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u19Y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707AFE0">
                                <w:pPr>
                                  <w:pStyle w:val="15"/>
                                  <w:adjustRightInd w:val="0"/>
                                  <w:snapToGrid w:val="0"/>
                                  <w:spacing w:beforeAutospacing="0" w:afterAutospacing="0" w:line="240" w:lineRule="auto"/>
                                  <w:jc w:val="center"/>
                                  <w:rPr>
                                    <w:sz w:val="21"/>
                                    <w:szCs w:val="21"/>
                                  </w:rPr>
                                </w:pPr>
                                <w:r>
                                  <w:rPr>
                                    <w:rFonts w:hint="eastAsia" w:ascii="宋体" w:hAnsiTheme="minorBidi"/>
                                    <w:color w:val="000000" w:themeColor="text1"/>
                                    <w:kern w:val="24"/>
                                    <w:sz w:val="18"/>
                                    <w:szCs w:val="18"/>
                                    <w14:textFill>
                                      <w14:solidFill>
                                        <w14:schemeClr w14:val="tx1"/>
                                      </w14:solidFill>
                                    </w14:textFill>
                                  </w:rPr>
                                  <w:t>分项能效性能评估</w:t>
                                </w:r>
                              </w:p>
                            </w:txbxContent>
                          </v:textbox>
                        </v:shape>
                      </v:group>
                    </v:group>
                    <v:line id="_x0000_s1026" o:spid="_x0000_s1026" o:spt="20" style="position:absolute;left:4028;top:638733;flip:x;height:1;width:378;" filled="f" stroked="t" coordsize="21600,21600" o:gfxdata="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B4GhvQAA&#10;ANsAAAAPAAAAAAAAAAEAIAAAACIAAABkcnMvZG93bnJldi54bWxQSwECFAAUAAAACACHTuJAMy8F&#10;njsAAAA5AAAAEAAAAAAAAAABACAAAAAMAQAAZHJzL3NoYXBleG1sLnhtbFBLBQYAAAAABgAGAFsB&#10;AAC2AwAAAAA=&#10;">
                      <v:fill on="f" focussize="0,0"/>
                      <v:stroke weight="0.5pt" color="#000000 [3213]" joinstyle="round" dashstyle="3 1"/>
                      <v:imagedata o:title=""/>
                      <o:lock v:ext="edit" aspectratio="f"/>
                    </v:line>
                    <v:line id="_x0000_s1026" o:spid="_x0000_s1026" o:spt="20" style="position:absolute;left:4012;top:639727;flip:x y;height:2;width:370;" filled="f" stroked="t" coordsize="21600,21600" o:gfxdata="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3VopvQAA&#10;ANsAAAAPAAAAAAAAAAEAIAAAACIAAABkcnMvZG93bnJldi54bWxQSwECFAAUAAAACACHTuJAMy8F&#10;njsAAAA5AAAAEAAAAAAAAAABACAAAAAMAQAAZHJzL3NoYXBleG1sLnhtbFBLBQYAAAAABgAGAFsB&#10;AAC2AwAAAAA=&#10;">
                      <v:fill on="f" focussize="0,0"/>
                      <v:stroke weight="0.5pt" color="#000000 [3213]" joinstyle="round" dashstyle="3 1"/>
                      <v:imagedata o:title=""/>
                      <o:lock v:ext="edit" aspectratio="f"/>
                    </v:line>
                  </v:group>
                </v:group>
              </v:group>
            </w:pict>
          </mc:Fallback>
        </mc:AlternateContent>
      </w:r>
    </w:p>
    <w:p w14:paraId="095CBFAB">
      <w:pPr>
        <w:spacing w:line="360" w:lineRule="auto"/>
        <w:jc w:val="center"/>
        <w:rPr>
          <w:rFonts w:ascii="宋体" w:hAnsi="宋体" w:eastAsia="宋体" w:cs="Times New Roman"/>
          <w:color w:val="000000"/>
          <w:sz w:val="18"/>
          <w:szCs w:val="18"/>
        </w:rPr>
      </w:pPr>
    </w:p>
    <w:p w14:paraId="0EA3DF87">
      <w:pPr>
        <w:spacing w:line="360" w:lineRule="auto"/>
        <w:jc w:val="center"/>
        <w:rPr>
          <w:rFonts w:ascii="宋体" w:hAnsi="宋体" w:eastAsia="宋体" w:cs="Times New Roman"/>
          <w:color w:val="000000"/>
          <w:sz w:val="18"/>
          <w:szCs w:val="18"/>
        </w:rPr>
      </w:pPr>
    </w:p>
    <w:p w14:paraId="3524455B">
      <w:pPr>
        <w:spacing w:line="360" w:lineRule="auto"/>
        <w:jc w:val="center"/>
        <w:rPr>
          <w:rFonts w:ascii="宋体" w:hAnsi="宋体" w:eastAsia="宋体" w:cs="Times New Roman"/>
          <w:color w:val="000000"/>
          <w:sz w:val="18"/>
          <w:szCs w:val="18"/>
        </w:rPr>
      </w:pPr>
    </w:p>
    <w:p w14:paraId="207309CF">
      <w:pPr>
        <w:spacing w:line="360" w:lineRule="auto"/>
        <w:jc w:val="center"/>
        <w:rPr>
          <w:rFonts w:ascii="宋体" w:hAnsi="宋体" w:eastAsia="宋体" w:cs="Times New Roman"/>
          <w:color w:val="000000"/>
          <w:sz w:val="18"/>
          <w:szCs w:val="18"/>
        </w:rPr>
      </w:pPr>
    </w:p>
    <w:p w14:paraId="6E87B2B2">
      <w:pPr>
        <w:spacing w:line="360" w:lineRule="auto"/>
        <w:jc w:val="center"/>
        <w:rPr>
          <w:rFonts w:ascii="宋体" w:hAnsi="宋体" w:eastAsia="宋体" w:cs="Times New Roman"/>
          <w:color w:val="000000"/>
          <w:sz w:val="18"/>
          <w:szCs w:val="18"/>
        </w:rPr>
      </w:pPr>
    </w:p>
    <w:p w14:paraId="0640B50A">
      <w:pPr>
        <w:spacing w:line="360" w:lineRule="auto"/>
        <w:jc w:val="center"/>
        <w:rPr>
          <w:rFonts w:ascii="宋体" w:hAnsi="宋体" w:eastAsia="宋体" w:cs="Times New Roman"/>
          <w:color w:val="000000"/>
          <w:sz w:val="18"/>
          <w:szCs w:val="18"/>
        </w:rPr>
      </w:pPr>
    </w:p>
    <w:p w14:paraId="21B3C547">
      <w:pPr>
        <w:spacing w:line="360" w:lineRule="auto"/>
        <w:jc w:val="center"/>
        <w:rPr>
          <w:rFonts w:ascii="宋体" w:hAnsi="宋体" w:eastAsia="宋体" w:cs="Times New Roman"/>
          <w:color w:val="000000"/>
          <w:sz w:val="18"/>
          <w:szCs w:val="18"/>
        </w:rPr>
      </w:pPr>
    </w:p>
    <w:p w14:paraId="48641945">
      <w:pPr>
        <w:spacing w:line="360" w:lineRule="auto"/>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图A-2 能效诊断实施阶段流程</w:t>
      </w:r>
    </w:p>
    <w:p w14:paraId="6CA8ECB2">
      <w:pPr>
        <w:spacing w:line="360" w:lineRule="auto"/>
        <w:jc w:val="center"/>
        <w:rPr>
          <w:rFonts w:ascii="Times New Roman" w:hAnsi="Times New Roman" w:cs="Times New Roman"/>
          <w:szCs w:val="21"/>
        </w:rPr>
      </w:pPr>
      <w:r>
        <w:rPr>
          <w:rFonts w:hint="eastAsia" w:ascii="宋体" w:hAnsi="宋体" w:eastAsia="宋体" w:cs="Times New Roman"/>
          <w:color w:val="000000"/>
          <w:sz w:val="18"/>
          <w:szCs w:val="18"/>
        </w:rPr>
        <w:t>（虚线表示可进行，实线表示</w:t>
      </w:r>
      <w:r>
        <w:rPr>
          <w:rFonts w:ascii="宋体" w:hAnsi="宋体" w:eastAsia="宋体" w:cs="Times New Roman"/>
          <w:color w:val="000000"/>
          <w:sz w:val="18"/>
          <w:szCs w:val="18"/>
        </w:rPr>
        <w:t>应</w:t>
      </w:r>
      <w:r>
        <w:rPr>
          <w:rFonts w:hint="eastAsia" w:ascii="宋体" w:hAnsi="宋体" w:eastAsia="宋体" w:cs="Times New Roman"/>
          <w:color w:val="000000"/>
          <w:sz w:val="18"/>
          <w:szCs w:val="18"/>
        </w:rPr>
        <w:t>进行）</w:t>
      </w:r>
    </w:p>
    <w:p w14:paraId="0DF99042">
      <w:pPr>
        <w:spacing w:line="360" w:lineRule="auto"/>
        <w:ind w:firstLine="600" w:firstLineChars="200"/>
        <w:jc w:val="left"/>
        <w:rPr>
          <w:rFonts w:ascii="Times New Roman" w:hAnsi="Times New Roman" w:cs="Times New Roman"/>
          <w:sz w:val="30"/>
          <w:szCs w:val="30"/>
        </w:rPr>
      </w:pPr>
      <w:r>
        <w:rPr>
          <w:rFonts w:ascii="Times New Roman" w:hAnsi="Times New Roman" w:cs="Times New Roman"/>
          <w:sz w:val="30"/>
          <w:szCs w:val="30"/>
        </w:rPr>
        <w:br w:type="page"/>
      </w:r>
    </w:p>
    <w:p w14:paraId="3E5BB179">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92" w:name="_Toc30608"/>
      <w:bookmarkStart w:id="93" w:name="_Toc8879"/>
      <w:r>
        <w:rPr>
          <w:rFonts w:ascii="Times New Roman" w:hAnsi="Times New Roman" w:cs="Times New Roman"/>
          <w:color w:val="000000" w:themeColor="text1"/>
          <w:sz w:val="30"/>
          <w:szCs w:val="30"/>
          <w14:textFill>
            <w14:solidFill>
              <w14:schemeClr w14:val="tx1"/>
            </w14:solidFill>
          </w14:textFill>
        </w:rPr>
        <w:t>附表B 公共建筑能效诊断基本信息表</w:t>
      </w:r>
      <w:bookmarkEnd w:id="92"/>
      <w:bookmarkEnd w:id="93"/>
    </w:p>
    <w:p w14:paraId="68D870C7">
      <w:pPr>
        <w:widowControl/>
        <w:spacing w:line="360" w:lineRule="auto"/>
        <w:jc w:val="center"/>
        <w:rPr>
          <w:rFonts w:ascii="Times New Roman" w:hAnsi="Times New Roman" w:eastAsia="宋体" w:cs="Times New Roman"/>
          <w:kern w:val="0"/>
          <w:sz w:val="28"/>
          <w:szCs w:val="28"/>
          <w:lang w:bidi="ar"/>
        </w:rPr>
      </w:pPr>
      <w:r>
        <w:rPr>
          <w:rFonts w:hint="eastAsia" w:ascii="宋体" w:hAnsi="宋体" w:eastAsia="宋体" w:cs="Times New Roman"/>
          <w:color w:val="000000"/>
          <w:sz w:val="18"/>
          <w:szCs w:val="18"/>
          <w:lang w:bidi="ar"/>
        </w:rPr>
        <w:t>B-1 建筑基本信息表</w:t>
      </w:r>
      <w:r>
        <w:rPr>
          <w:rFonts w:ascii="Times New Roman" w:hAnsi="Times New Roman" w:eastAsia="宋体" w:cs="Times New Roman"/>
          <w:kern w:val="0"/>
          <w:sz w:val="28"/>
          <w:szCs w:val="28"/>
          <w:lang w:bidi="ar"/>
        </w:rPr>
        <w:t xml:space="preserve"> </w:t>
      </w:r>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22"/>
        <w:gridCol w:w="4274"/>
      </w:tblGrid>
      <w:tr w14:paraId="0A0C2F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0" w:type="auto"/>
            <w:gridSpan w:val="2"/>
            <w:tcBorders>
              <w:tl2br w:val="nil"/>
              <w:tr2bl w:val="nil"/>
            </w:tcBorders>
          </w:tcPr>
          <w:p w14:paraId="706F52E8">
            <w:pPr>
              <w:rPr>
                <w:sz w:val="18"/>
                <w:szCs w:val="18"/>
              </w:rPr>
            </w:pPr>
            <w:r>
              <w:rPr>
                <w:rFonts w:hint="eastAsia"/>
                <w:b/>
                <w:bCs/>
                <w:sz w:val="18"/>
                <w:szCs w:val="18"/>
              </w:rPr>
              <w:t>建筑名称</w:t>
            </w:r>
            <w:r>
              <w:rPr>
                <w:rFonts w:hint="eastAsia"/>
                <w:sz w:val="18"/>
                <w:szCs w:val="18"/>
              </w:rPr>
              <w:t>：</w:t>
            </w:r>
          </w:p>
          <w:p w14:paraId="29234FB1">
            <w:pPr>
              <w:rPr>
                <w:sz w:val="18"/>
                <w:szCs w:val="18"/>
              </w:rPr>
            </w:pPr>
          </w:p>
        </w:tc>
      </w:tr>
      <w:tr w14:paraId="335248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0" w:type="auto"/>
            <w:gridSpan w:val="2"/>
            <w:tcBorders>
              <w:tl2br w:val="nil"/>
              <w:tr2bl w:val="nil"/>
            </w:tcBorders>
          </w:tcPr>
          <w:p w14:paraId="60239CCA">
            <w:pPr>
              <w:rPr>
                <w:b/>
                <w:bCs/>
                <w:sz w:val="18"/>
                <w:szCs w:val="18"/>
              </w:rPr>
            </w:pPr>
            <w:r>
              <w:rPr>
                <w:rFonts w:hint="eastAsia"/>
                <w:b/>
                <w:bCs/>
                <w:sz w:val="18"/>
                <w:szCs w:val="18"/>
              </w:rPr>
              <w:t>所在地址</w:t>
            </w:r>
            <w:r>
              <w:rPr>
                <w:rFonts w:hint="eastAsia"/>
                <w:sz w:val="18"/>
                <w:szCs w:val="18"/>
              </w:rPr>
              <w:t>：</w:t>
            </w:r>
          </w:p>
        </w:tc>
      </w:tr>
      <w:tr w14:paraId="7D593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0" w:type="auto"/>
            <w:gridSpan w:val="2"/>
            <w:tcBorders>
              <w:tl2br w:val="nil"/>
              <w:tr2bl w:val="nil"/>
            </w:tcBorders>
          </w:tcPr>
          <w:p w14:paraId="219D99F8">
            <w:pPr>
              <w:rPr>
                <w:sz w:val="18"/>
                <w:szCs w:val="18"/>
              </w:rPr>
            </w:pPr>
            <w:r>
              <w:rPr>
                <w:rFonts w:hint="eastAsia"/>
                <w:b/>
                <w:bCs/>
                <w:sz w:val="18"/>
                <w:szCs w:val="18"/>
              </w:rPr>
              <w:t>所属单位</w:t>
            </w:r>
            <w:r>
              <w:rPr>
                <w:rFonts w:hint="eastAsia"/>
                <w:sz w:val="18"/>
                <w:szCs w:val="18"/>
              </w:rPr>
              <w:t>：</w:t>
            </w:r>
          </w:p>
          <w:p w14:paraId="6D0A30DE">
            <w:pPr>
              <w:rPr>
                <w:sz w:val="18"/>
                <w:szCs w:val="18"/>
              </w:rPr>
            </w:pPr>
          </w:p>
        </w:tc>
      </w:tr>
      <w:tr w14:paraId="07A71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0" w:type="auto"/>
            <w:gridSpan w:val="2"/>
            <w:tcBorders>
              <w:tl2br w:val="nil"/>
              <w:tr2bl w:val="nil"/>
            </w:tcBorders>
          </w:tcPr>
          <w:p w14:paraId="5A6B4126">
            <w:pPr>
              <w:rPr>
                <w:b/>
                <w:bCs/>
                <w:sz w:val="18"/>
                <w:szCs w:val="18"/>
              </w:rPr>
            </w:pPr>
            <w:r>
              <w:rPr>
                <w:b/>
                <w:bCs/>
                <w:sz w:val="18"/>
                <w:szCs w:val="18"/>
              </w:rPr>
              <w:t>联系人及电话：</w:t>
            </w:r>
          </w:p>
        </w:tc>
      </w:tr>
      <w:tr w14:paraId="3E6C52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4C824C96">
            <w:pPr>
              <w:rPr>
                <w:b/>
                <w:bCs/>
                <w:sz w:val="18"/>
                <w:szCs w:val="18"/>
              </w:rPr>
            </w:pPr>
            <w:r>
              <w:rPr>
                <w:rFonts w:hint="eastAsia"/>
                <w:b/>
                <w:bCs/>
                <w:sz w:val="18"/>
                <w:szCs w:val="18"/>
              </w:rPr>
              <w:t>建筑层数</w:t>
            </w:r>
            <w:r>
              <w:rPr>
                <w:rFonts w:hint="eastAsia"/>
                <w:sz w:val="18"/>
                <w:szCs w:val="18"/>
              </w:rPr>
              <w:t>：地上</w:t>
            </w:r>
            <w:r>
              <w:rPr>
                <w:rFonts w:hint="eastAsia"/>
                <w:sz w:val="18"/>
                <w:szCs w:val="18"/>
                <w:u w:val="single"/>
              </w:rPr>
              <w:t xml:space="preserve">     </w:t>
            </w:r>
            <w:r>
              <w:rPr>
                <w:rFonts w:hint="eastAsia"/>
                <w:sz w:val="18"/>
                <w:szCs w:val="18"/>
              </w:rPr>
              <w:t>层，地下</w:t>
            </w:r>
            <w:r>
              <w:rPr>
                <w:rFonts w:hint="eastAsia"/>
                <w:sz w:val="18"/>
                <w:szCs w:val="18"/>
                <w:u w:val="single"/>
              </w:rPr>
              <w:t xml:space="preserve">     </w:t>
            </w:r>
            <w:r>
              <w:rPr>
                <w:rFonts w:hint="eastAsia"/>
                <w:sz w:val="18"/>
                <w:szCs w:val="18"/>
              </w:rPr>
              <w:t>层；</w:t>
            </w:r>
            <w:r>
              <w:rPr>
                <w:rFonts w:hint="eastAsia"/>
                <w:b/>
                <w:bCs/>
                <w:sz w:val="18"/>
                <w:szCs w:val="18"/>
              </w:rPr>
              <w:t>建筑高度</w:t>
            </w:r>
            <w:r>
              <w:rPr>
                <w:rFonts w:hint="eastAsia"/>
                <w:sz w:val="18"/>
                <w:szCs w:val="18"/>
              </w:rPr>
              <w:t>：</w:t>
            </w:r>
            <w:r>
              <w:rPr>
                <w:rFonts w:hint="eastAsia"/>
                <w:sz w:val="18"/>
                <w:szCs w:val="18"/>
                <w:u w:val="single"/>
              </w:rPr>
              <w:t xml:space="preserve">       </w:t>
            </w:r>
            <w:r>
              <w:rPr>
                <w:rFonts w:hint="eastAsia"/>
                <w:sz w:val="18"/>
                <w:szCs w:val="18"/>
              </w:rPr>
              <w:t>m，</w:t>
            </w:r>
            <w:r>
              <w:rPr>
                <w:rFonts w:hint="eastAsia"/>
                <w:b/>
                <w:bCs/>
                <w:sz w:val="18"/>
                <w:szCs w:val="18"/>
              </w:rPr>
              <w:t>朝向</w:t>
            </w:r>
            <w:r>
              <w:rPr>
                <w:rFonts w:hint="eastAsia"/>
                <w:sz w:val="18"/>
                <w:szCs w:val="18"/>
              </w:rPr>
              <w:t>：</w:t>
            </w:r>
            <w:r>
              <w:rPr>
                <w:rFonts w:hint="eastAsia"/>
                <w:sz w:val="18"/>
                <w:szCs w:val="18"/>
                <w:u w:val="single"/>
              </w:rPr>
              <w:t xml:space="preserve">      </w:t>
            </w:r>
          </w:p>
        </w:tc>
      </w:tr>
      <w:tr w14:paraId="3EE6B1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tcBorders>
              <w:tl2br w:val="nil"/>
              <w:tr2bl w:val="nil"/>
            </w:tcBorders>
          </w:tcPr>
          <w:p w14:paraId="2A02104F">
            <w:pPr>
              <w:rPr>
                <w:sz w:val="18"/>
                <w:szCs w:val="18"/>
              </w:rPr>
            </w:pPr>
            <w:r>
              <w:rPr>
                <w:rFonts w:hint="eastAsia"/>
                <w:b/>
                <w:bCs/>
                <w:sz w:val="18"/>
                <w:szCs w:val="18"/>
              </w:rPr>
              <w:t>竣工年份</w:t>
            </w:r>
            <w:r>
              <w:rPr>
                <w:rFonts w:hint="eastAsia"/>
                <w:sz w:val="18"/>
                <w:szCs w:val="18"/>
              </w:rPr>
              <w:t>：</w:t>
            </w:r>
          </w:p>
        </w:tc>
        <w:tc>
          <w:tcPr>
            <w:tcW w:w="0" w:type="auto"/>
            <w:tcBorders>
              <w:tl2br w:val="nil"/>
              <w:tr2bl w:val="nil"/>
            </w:tcBorders>
          </w:tcPr>
          <w:p w14:paraId="556DE9E2">
            <w:pPr>
              <w:rPr>
                <w:sz w:val="18"/>
                <w:szCs w:val="18"/>
              </w:rPr>
            </w:pPr>
          </w:p>
        </w:tc>
      </w:tr>
      <w:tr w14:paraId="61F46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5D355633">
            <w:pPr>
              <w:rPr>
                <w:sz w:val="18"/>
                <w:szCs w:val="18"/>
              </w:rPr>
            </w:pPr>
            <w:r>
              <w:rPr>
                <w:rFonts w:hint="eastAsia"/>
                <w:b/>
                <w:bCs/>
                <w:sz w:val="18"/>
                <w:szCs w:val="18"/>
              </w:rPr>
              <w:t>建筑类型</w:t>
            </w:r>
            <w:r>
              <w:rPr>
                <w:rFonts w:hint="eastAsia"/>
                <w:sz w:val="18"/>
                <w:szCs w:val="18"/>
              </w:rPr>
              <w:t>：</w:t>
            </w:r>
          </w:p>
          <w:p w14:paraId="7143F4FF">
            <w:pPr>
              <w:widowControl/>
              <w:spacing w:line="360" w:lineRule="auto"/>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党政机关：</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国家级机关 </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省级机关 </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市级机关 </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县级机关 </w:t>
            </w:r>
          </w:p>
          <w:p w14:paraId="53EE9142">
            <w:pPr>
              <w:widowControl/>
              <w:spacing w:line="360" w:lineRule="auto"/>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教育类机构： </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幼儿园</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小学及中学</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高职</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本科 </w:t>
            </w:r>
          </w:p>
          <w:p w14:paraId="3C0D5550">
            <w:pPr>
              <w:widowControl/>
              <w:spacing w:line="360" w:lineRule="auto"/>
              <w:jc w:val="left"/>
              <w:rPr>
                <w:rFonts w:ascii="Times New Roman" w:hAnsi="Times New Roman" w:eastAsia="宋体" w:cs="Times New Roman"/>
                <w:sz w:val="18"/>
                <w:szCs w:val="18"/>
                <w:u w:val="single"/>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医疗卫生类机构：</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三级医院</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二级医院</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一级医院</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其他（疾控中心、血液站等）</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p>
          <w:p w14:paraId="21DB4BF4">
            <w:pPr>
              <w:widowControl/>
              <w:spacing w:line="360" w:lineRule="auto"/>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场馆类机构：</w:t>
            </w:r>
          </w:p>
          <w:p w14:paraId="2257C1A6">
            <w:pPr>
              <w:widowControl/>
              <w:spacing w:line="360" w:lineRule="auto"/>
              <w:ind w:firstLine="360" w:firstLineChars="200"/>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文化场馆类机构：</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演出类（剧院、音乐厅等）</w:t>
            </w:r>
            <w:r>
              <w:rPr>
                <w:rFonts w:hint="eastAsia" w:ascii="Times New Roman" w:hAnsi="Times New Roman" w:eastAsia="宋体" w:cs="Times New Roman"/>
                <w:kern w:val="0"/>
                <w:sz w:val="18"/>
                <w:szCs w:val="18"/>
                <w:lang w:bidi="ar"/>
              </w:rPr>
              <w:t>、□其他</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lang w:bidi="ar"/>
              </w:rPr>
              <w:t xml:space="preserve"> </w:t>
            </w:r>
          </w:p>
          <w:p w14:paraId="17F7B1F6">
            <w:pPr>
              <w:widowControl/>
              <w:spacing w:line="360" w:lineRule="auto"/>
              <w:ind w:firstLine="360" w:firstLineChars="200"/>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非演出类：</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博物馆、</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纪念馆、</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文化馆、</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美术馆、</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科技馆</w:t>
            </w:r>
            <w:r>
              <w:rPr>
                <w:rFonts w:hint="eastAsia" w:ascii="Times New Roman" w:hAnsi="Times New Roman" w:eastAsia="宋体" w:cs="Times New Roman"/>
                <w:kern w:val="0"/>
                <w:sz w:val="18"/>
                <w:szCs w:val="18"/>
                <w:lang w:bidi="ar"/>
              </w:rPr>
              <w:t>、□其他</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lang w:bidi="ar"/>
              </w:rPr>
              <w:t xml:space="preserve"> </w:t>
            </w:r>
          </w:p>
          <w:p w14:paraId="2A138D68">
            <w:pPr>
              <w:widowControl/>
              <w:spacing w:line="360" w:lineRule="auto"/>
              <w:ind w:firstLine="360" w:firstLineChars="200"/>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图书馆、</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档案馆</w:t>
            </w:r>
            <w:r>
              <w:rPr>
                <w:rFonts w:hint="eastAsia" w:ascii="Times New Roman" w:hAnsi="Times New Roman" w:eastAsia="宋体" w:cs="Times New Roman"/>
                <w:kern w:val="0"/>
                <w:sz w:val="18"/>
                <w:szCs w:val="18"/>
                <w:lang w:bidi="ar"/>
              </w:rPr>
              <w:t>、□其他</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lang w:bidi="ar"/>
              </w:rPr>
              <w:t xml:space="preserve"> </w:t>
            </w:r>
          </w:p>
          <w:p w14:paraId="0EB2F8FD">
            <w:pPr>
              <w:widowControl/>
              <w:spacing w:line="360" w:lineRule="auto"/>
              <w:ind w:firstLine="360" w:firstLineChars="200"/>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体育场馆类机构：</w:t>
            </w:r>
          </w:p>
          <w:p w14:paraId="5356E946">
            <w:pPr>
              <w:widowControl/>
              <w:spacing w:line="360" w:lineRule="auto"/>
              <w:ind w:firstLine="900" w:firstLineChars="500"/>
              <w:jc w:val="left"/>
              <w:rPr>
                <w:rFonts w:ascii="Times New Roman" w:hAnsi="Times New Roman" w:eastAsia="宋体" w:cs="Times New Roman"/>
                <w:sz w:val="18"/>
                <w:szCs w:val="18"/>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承办赛事类（体育场馆等） </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p>
          <w:p w14:paraId="2DF07831">
            <w:pPr>
              <w:widowControl/>
              <w:spacing w:line="360" w:lineRule="auto"/>
              <w:ind w:firstLine="900" w:firstLineChars="500"/>
              <w:jc w:val="left"/>
              <w:rPr>
                <w:rFonts w:ascii="Times New Roman" w:hAnsi="Times New Roman" w:eastAsia="宋体" w:cs="Times New Roman"/>
                <w:kern w:val="0"/>
                <w:sz w:val="18"/>
                <w:szCs w:val="18"/>
                <w:u w:val="single"/>
                <w:lang w:bidi="ar"/>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 xml:space="preserve">非承办赛事类（体育中心、训练中心等） </w:t>
            </w:r>
            <w:r>
              <w:rPr>
                <w:rFonts w:hint="eastAsia" w:ascii="Times New Roman" w:hAnsi="Times New Roman" w:eastAsia="宋体" w:cs="Times New Roman"/>
                <w:kern w:val="0"/>
                <w:sz w:val="18"/>
                <w:szCs w:val="18"/>
                <w:u w:val="single"/>
                <w:lang w:bidi="ar"/>
              </w:rPr>
              <w:t xml:space="preserve">        </w:t>
            </w:r>
            <w:r>
              <w:rPr>
                <w:rFonts w:ascii="Times New Roman" w:hAnsi="Times New Roman" w:eastAsia="宋体" w:cs="Times New Roman"/>
                <w:kern w:val="0"/>
                <w:sz w:val="18"/>
                <w:szCs w:val="18"/>
                <w:u w:val="single"/>
                <w:lang w:bidi="ar"/>
              </w:rPr>
              <w:t xml:space="preserve"> </w:t>
            </w:r>
          </w:p>
          <w:p w14:paraId="65DBFD05">
            <w:pPr>
              <w:widowControl/>
              <w:spacing w:line="360" w:lineRule="auto"/>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□商业建筑：□商业中心、□酒店宾馆、□商业写字楼</w:t>
            </w:r>
          </w:p>
          <w:p w14:paraId="266E7B1A">
            <w:pPr>
              <w:spacing w:line="360" w:lineRule="auto"/>
              <w:rPr>
                <w:sz w:val="18"/>
                <w:szCs w:val="18"/>
              </w:rPr>
            </w:pPr>
            <w:r>
              <w:rPr>
                <w:rFonts w:ascii="Times New Roman" w:hAnsi="Times New Roman" w:eastAsia="宋体" w:cs="Times New Roman"/>
                <w:kern w:val="0"/>
                <w:sz w:val="18"/>
                <w:szCs w:val="18"/>
                <w:lang w:bidi="ar"/>
              </w:rPr>
              <w:t>（</w:t>
            </w:r>
            <w:r>
              <w:rPr>
                <w:rFonts w:hint="eastAsia" w:ascii="Times New Roman" w:hAnsi="Times New Roman" w:eastAsia="宋体" w:cs="Times New Roman"/>
                <w:kern w:val="0"/>
                <w:sz w:val="18"/>
                <w:szCs w:val="18"/>
                <w:lang w:bidi="ar"/>
              </w:rPr>
              <w:t>注：</w:t>
            </w:r>
            <w:r>
              <w:rPr>
                <w:rFonts w:ascii="Times New Roman" w:hAnsi="Times New Roman" w:eastAsia="宋体" w:cs="Times New Roman"/>
                <w:kern w:val="0"/>
                <w:sz w:val="18"/>
                <w:szCs w:val="18"/>
                <w:lang w:bidi="ar"/>
              </w:rPr>
              <w:t>建筑类型参照</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公共机构综合能效定额及计算方法</w:t>
            </w:r>
            <w:r>
              <w:rPr>
                <w:rFonts w:hint="eastAsia" w:ascii="Times New Roman" w:hAnsi="Times New Roman" w:eastAsia="宋体" w:cs="Times New Roman"/>
                <w:kern w:val="0"/>
                <w:sz w:val="18"/>
                <w:szCs w:val="18"/>
                <w:lang w:bidi="ar"/>
              </w:rPr>
              <w:t>》DB34/T 3774，其他类型请补充</w:t>
            </w:r>
            <w:r>
              <w:rPr>
                <w:rFonts w:ascii="Times New Roman" w:hAnsi="Times New Roman" w:eastAsia="宋体" w:cs="Times New Roman"/>
                <w:kern w:val="0"/>
                <w:sz w:val="18"/>
                <w:szCs w:val="18"/>
                <w:lang w:bidi="ar"/>
              </w:rPr>
              <w:t>）</w:t>
            </w:r>
          </w:p>
        </w:tc>
      </w:tr>
      <w:tr w14:paraId="0BDF5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shd w:val="clear" w:color="auto" w:fill="auto"/>
          </w:tcPr>
          <w:p w14:paraId="3CF4A2B1">
            <w:pPr>
              <w:rPr>
                <w:b/>
                <w:bCs/>
                <w:sz w:val="18"/>
                <w:szCs w:val="18"/>
              </w:rPr>
            </w:pPr>
            <w:r>
              <w:rPr>
                <w:rFonts w:hint="eastAsia"/>
                <w:b/>
                <w:bCs/>
                <w:sz w:val="18"/>
                <w:szCs w:val="18"/>
              </w:rPr>
              <w:t>总建筑面积</w:t>
            </w:r>
            <w:r>
              <w:rPr>
                <w:rFonts w:hint="eastAsia"/>
                <w:sz w:val="18"/>
                <w:szCs w:val="18"/>
              </w:rPr>
              <w:t>：</w:t>
            </w:r>
            <w:r>
              <w:rPr>
                <w:rFonts w:hint="eastAsia"/>
                <w:sz w:val="18"/>
                <w:szCs w:val="18"/>
                <w:u w:val="single"/>
              </w:rPr>
              <w:t xml:space="preserve">          </w:t>
            </w:r>
            <w:r>
              <w:rPr>
                <w:rFonts w:hint="eastAsia"/>
                <w:sz w:val="18"/>
                <w:szCs w:val="18"/>
              </w:rPr>
              <w:t>㎡：</w:t>
            </w:r>
            <w:r>
              <w:rPr>
                <w:rFonts w:hint="eastAsia"/>
                <w:b/>
                <w:bCs/>
                <w:sz w:val="18"/>
                <w:szCs w:val="18"/>
              </w:rPr>
              <w:t>建筑使用面积</w:t>
            </w:r>
            <w:r>
              <w:rPr>
                <w:rFonts w:hint="eastAsia"/>
                <w:sz w:val="18"/>
                <w:szCs w:val="18"/>
              </w:rPr>
              <w:t>：</w:t>
            </w:r>
            <w:r>
              <w:rPr>
                <w:rFonts w:hint="eastAsia"/>
                <w:sz w:val="18"/>
                <w:szCs w:val="18"/>
                <w:u w:val="single"/>
              </w:rPr>
              <w:t xml:space="preserve">         </w:t>
            </w:r>
            <w:r>
              <w:rPr>
                <w:rFonts w:hint="eastAsia"/>
                <w:sz w:val="18"/>
                <w:szCs w:val="18"/>
              </w:rPr>
              <w:t>㎡，</w:t>
            </w:r>
            <w:r>
              <w:rPr>
                <w:rFonts w:hint="eastAsia"/>
                <w:b/>
                <w:bCs/>
                <w:sz w:val="18"/>
                <w:szCs w:val="18"/>
              </w:rPr>
              <w:t>辅助用房面积</w:t>
            </w:r>
            <w:r>
              <w:rPr>
                <w:rFonts w:hint="eastAsia"/>
                <w:sz w:val="18"/>
                <w:szCs w:val="18"/>
              </w:rPr>
              <w:t>：</w:t>
            </w:r>
            <w:r>
              <w:rPr>
                <w:rFonts w:hint="eastAsia"/>
                <w:sz w:val="18"/>
                <w:szCs w:val="18"/>
                <w:u w:val="single"/>
              </w:rPr>
              <w:t xml:space="preserve">           </w:t>
            </w:r>
            <w:r>
              <w:rPr>
                <w:rFonts w:hint="eastAsia"/>
                <w:sz w:val="18"/>
                <w:szCs w:val="18"/>
              </w:rPr>
              <w:t xml:space="preserve"> ㎡</w:t>
            </w:r>
          </w:p>
        </w:tc>
      </w:tr>
      <w:tr w14:paraId="6412DE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shd w:val="clear" w:color="auto" w:fill="auto"/>
          </w:tcPr>
          <w:p w14:paraId="2D033E8E">
            <w:pPr>
              <w:rPr>
                <w:b/>
                <w:bCs/>
                <w:sz w:val="18"/>
                <w:szCs w:val="18"/>
              </w:rPr>
            </w:pPr>
            <w:r>
              <w:rPr>
                <w:rFonts w:hint="eastAsia"/>
                <w:b/>
                <w:bCs/>
                <w:sz w:val="18"/>
                <w:szCs w:val="18"/>
              </w:rPr>
              <w:t>建筑功能区域</w:t>
            </w:r>
            <w:r>
              <w:rPr>
                <w:rFonts w:hint="eastAsia"/>
                <w:sz w:val="18"/>
                <w:szCs w:val="18"/>
              </w:rPr>
              <w:t>（如功能类型较多可另加行）：</w:t>
            </w:r>
          </w:p>
        </w:tc>
      </w:tr>
      <w:tr w14:paraId="23E2F2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tcBorders>
              <w:tl2br w:val="nil"/>
              <w:tr2bl w:val="nil"/>
            </w:tcBorders>
            <w:shd w:val="clear" w:color="auto" w:fill="auto"/>
          </w:tcPr>
          <w:p w14:paraId="54FAF5A9">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类型1：</w:t>
            </w:r>
            <w:r>
              <w:rPr>
                <w:rFonts w:hint="eastAsia"/>
                <w:sz w:val="18"/>
                <w:szCs w:val="18"/>
                <w:u w:val="single"/>
              </w:rPr>
              <w:t xml:space="preserve">              </w:t>
            </w:r>
            <w:r>
              <w:rPr>
                <w:rFonts w:hint="eastAsia"/>
                <w:sz w:val="18"/>
                <w:szCs w:val="18"/>
              </w:rPr>
              <w:t xml:space="preserve">面积 </w:t>
            </w:r>
            <w:r>
              <w:rPr>
                <w:rFonts w:hint="eastAsia"/>
                <w:sz w:val="18"/>
                <w:szCs w:val="18"/>
                <w:u w:val="single"/>
              </w:rPr>
              <w:t xml:space="preserve">      </w:t>
            </w:r>
            <w:r>
              <w:rPr>
                <w:rFonts w:hint="eastAsia"/>
                <w:sz w:val="18"/>
                <w:szCs w:val="18"/>
              </w:rPr>
              <w:t>㎡</w:t>
            </w:r>
          </w:p>
          <w:p w14:paraId="03E456AF">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类型2：</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p w14:paraId="4D46F02B">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类型3：</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p w14:paraId="24D76815">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类型4：</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p w14:paraId="74F222EB">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类型5：</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p w14:paraId="50462C4E">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类型6：</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tc>
        <w:tc>
          <w:tcPr>
            <w:tcW w:w="0" w:type="auto"/>
            <w:tcBorders>
              <w:tl2br w:val="nil"/>
              <w:tr2bl w:val="nil"/>
            </w:tcBorders>
            <w:shd w:val="clear" w:color="auto" w:fill="auto"/>
          </w:tcPr>
          <w:p w14:paraId="105BE0B2">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地下：</w:t>
            </w:r>
            <w:r>
              <w:rPr>
                <w:rFonts w:hint="eastAsia"/>
                <w:sz w:val="18"/>
                <w:szCs w:val="18"/>
                <w:u w:val="single"/>
              </w:rPr>
              <w:t xml:space="preserve">         </w:t>
            </w:r>
            <w:r>
              <w:rPr>
                <w:rFonts w:hint="eastAsia"/>
                <w:sz w:val="18"/>
                <w:szCs w:val="18"/>
              </w:rPr>
              <w:t>㎡，其中车库</w:t>
            </w:r>
            <w:r>
              <w:rPr>
                <w:rFonts w:hint="eastAsia"/>
                <w:sz w:val="18"/>
                <w:szCs w:val="18"/>
                <w:u w:val="single"/>
              </w:rPr>
              <w:t xml:space="preserve">      </w:t>
            </w:r>
            <w:r>
              <w:rPr>
                <w:rFonts w:hint="eastAsia"/>
                <w:sz w:val="18"/>
                <w:szCs w:val="18"/>
              </w:rPr>
              <w:t>㎡</w:t>
            </w:r>
          </w:p>
          <w:p w14:paraId="0154ACBC">
            <w:pPr>
              <w:spacing w:line="360" w:lineRule="auto"/>
              <w:rPr>
                <w:sz w:val="18"/>
                <w:szCs w:val="18"/>
                <w:u w:val="single"/>
              </w:rPr>
            </w:pPr>
            <w:r>
              <w:rPr>
                <w:rFonts w:hint="eastAsia" w:ascii="Times New Roman" w:hAnsi="Times New Roman" w:eastAsia="宋体" w:cs="Times New Roman"/>
                <w:kern w:val="0"/>
                <w:sz w:val="18"/>
                <w:szCs w:val="18"/>
                <w:lang w:bidi="ar"/>
              </w:rPr>
              <w:t>□</w:t>
            </w:r>
            <w:r>
              <w:rPr>
                <w:rFonts w:hint="eastAsia"/>
                <w:sz w:val="18"/>
                <w:szCs w:val="18"/>
              </w:rPr>
              <w:t>设备层：</w:t>
            </w:r>
            <w:r>
              <w:rPr>
                <w:rFonts w:hint="eastAsia"/>
                <w:sz w:val="18"/>
                <w:szCs w:val="18"/>
                <w:u w:val="single"/>
              </w:rPr>
              <w:t xml:space="preserve">       </w:t>
            </w:r>
            <w:r>
              <w:rPr>
                <w:rFonts w:hint="eastAsia"/>
                <w:sz w:val="18"/>
                <w:szCs w:val="18"/>
              </w:rPr>
              <w:t>㎡，位置：</w:t>
            </w:r>
            <w:r>
              <w:rPr>
                <w:rFonts w:hint="eastAsia"/>
                <w:sz w:val="18"/>
                <w:szCs w:val="18"/>
                <w:u w:val="single"/>
              </w:rPr>
              <w:t xml:space="preserve">       </w:t>
            </w:r>
          </w:p>
          <w:p w14:paraId="2DE3E4C3">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仓库：</w:t>
            </w:r>
            <w:r>
              <w:rPr>
                <w:rFonts w:hint="eastAsia"/>
                <w:sz w:val="18"/>
                <w:szCs w:val="18"/>
                <w:u w:val="single"/>
              </w:rPr>
              <w:t xml:space="preserve">         </w:t>
            </w:r>
            <w:r>
              <w:rPr>
                <w:rFonts w:hint="eastAsia"/>
                <w:sz w:val="18"/>
                <w:szCs w:val="18"/>
              </w:rPr>
              <w:t xml:space="preserve"> ㎡，位置：</w:t>
            </w:r>
            <w:r>
              <w:rPr>
                <w:rFonts w:hint="eastAsia"/>
                <w:sz w:val="18"/>
                <w:szCs w:val="18"/>
                <w:u w:val="single"/>
              </w:rPr>
              <w:t xml:space="preserve">       </w:t>
            </w:r>
          </w:p>
          <w:p w14:paraId="2D7B84C4">
            <w:pPr>
              <w:spacing w:line="360" w:lineRule="auto"/>
              <w:rPr>
                <w:sz w:val="18"/>
                <w:szCs w:val="18"/>
              </w:rPr>
            </w:pPr>
            <w:r>
              <w:rPr>
                <w:rFonts w:hint="eastAsia" w:ascii="Times New Roman" w:hAnsi="Times New Roman" w:eastAsia="宋体" w:cs="Times New Roman"/>
                <w:kern w:val="0"/>
                <w:sz w:val="18"/>
                <w:szCs w:val="18"/>
                <w:lang w:bidi="ar"/>
              </w:rPr>
              <w:t>□</w:t>
            </w:r>
            <w:r>
              <w:rPr>
                <w:sz w:val="18"/>
                <w:szCs w:val="18"/>
              </w:rPr>
              <w:t>可利用屋面面积：</w:t>
            </w:r>
            <w:r>
              <w:rPr>
                <w:rFonts w:hint="eastAsia"/>
                <w:sz w:val="18"/>
                <w:szCs w:val="18"/>
                <w:u w:val="single"/>
              </w:rPr>
              <w:t xml:space="preserve">        </w:t>
            </w:r>
            <w:r>
              <w:rPr>
                <w:sz w:val="18"/>
                <w:szCs w:val="18"/>
                <w:u w:val="single"/>
              </w:rPr>
              <w:t xml:space="preserve"> </w:t>
            </w:r>
            <w:r>
              <w:rPr>
                <w:sz w:val="18"/>
                <w:szCs w:val="18"/>
              </w:rPr>
              <w:t>㎡</w:t>
            </w:r>
          </w:p>
          <w:p w14:paraId="1734D122">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特殊功能</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p w14:paraId="23F964AA">
            <w:pPr>
              <w:spacing w:line="360" w:lineRule="auto"/>
              <w:rPr>
                <w:sz w:val="18"/>
                <w:szCs w:val="18"/>
              </w:rPr>
            </w:pPr>
            <w:r>
              <w:rPr>
                <w:rFonts w:hint="eastAsia" w:ascii="Times New Roman" w:hAnsi="Times New Roman" w:eastAsia="宋体" w:cs="Times New Roman"/>
                <w:kern w:val="0"/>
                <w:sz w:val="18"/>
                <w:szCs w:val="18"/>
                <w:lang w:bidi="ar"/>
              </w:rPr>
              <w:t>□</w:t>
            </w:r>
            <w:r>
              <w:rPr>
                <w:rFonts w:hint="eastAsia"/>
                <w:sz w:val="18"/>
                <w:szCs w:val="18"/>
              </w:rPr>
              <w:t>其它功能</w:t>
            </w:r>
            <w:r>
              <w:rPr>
                <w:rFonts w:hint="eastAsia"/>
                <w:sz w:val="18"/>
                <w:szCs w:val="18"/>
                <w:u w:val="single"/>
              </w:rPr>
              <w:t xml:space="preserve">         </w:t>
            </w:r>
            <w:r>
              <w:rPr>
                <w:rFonts w:hint="eastAsia"/>
                <w:sz w:val="18"/>
                <w:szCs w:val="18"/>
              </w:rPr>
              <w:t>面积</w:t>
            </w:r>
            <w:r>
              <w:rPr>
                <w:rFonts w:hint="eastAsia"/>
                <w:sz w:val="18"/>
                <w:szCs w:val="18"/>
                <w:u w:val="single"/>
              </w:rPr>
              <w:t xml:space="preserve">        </w:t>
            </w:r>
            <w:r>
              <w:rPr>
                <w:rFonts w:hint="eastAsia"/>
                <w:sz w:val="18"/>
                <w:szCs w:val="18"/>
              </w:rPr>
              <w:t>㎡</w:t>
            </w:r>
          </w:p>
        </w:tc>
      </w:tr>
      <w:tr w14:paraId="670F63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0C324F41">
            <w:pPr>
              <w:spacing w:line="360" w:lineRule="auto"/>
              <w:rPr>
                <w:sz w:val="18"/>
                <w:szCs w:val="18"/>
              </w:rPr>
            </w:pPr>
            <w:r>
              <w:rPr>
                <w:rFonts w:hint="eastAsia"/>
                <w:b/>
                <w:bCs/>
                <w:sz w:val="18"/>
                <w:szCs w:val="18"/>
              </w:rPr>
              <w:t>建筑运行时间表</w:t>
            </w:r>
            <w:r>
              <w:rPr>
                <w:rFonts w:hint="eastAsia"/>
                <w:sz w:val="18"/>
                <w:szCs w:val="18"/>
              </w:rPr>
              <w:t>：</w:t>
            </w:r>
          </w:p>
          <w:p w14:paraId="47E441D6">
            <w:pPr>
              <w:spacing w:line="360" w:lineRule="auto"/>
              <w:ind w:firstLine="360" w:firstLineChars="200"/>
              <w:rPr>
                <w:sz w:val="18"/>
                <w:szCs w:val="18"/>
                <w:u w:val="single"/>
              </w:rPr>
            </w:pPr>
            <w:r>
              <w:rPr>
                <w:rFonts w:hint="eastAsia"/>
                <w:sz w:val="18"/>
                <w:szCs w:val="18"/>
              </w:rPr>
              <w:t>一天运行</w:t>
            </w:r>
            <w:r>
              <w:rPr>
                <w:rFonts w:hint="eastAsia"/>
                <w:sz w:val="18"/>
                <w:szCs w:val="18"/>
                <w:u w:val="single"/>
              </w:rPr>
              <w:t xml:space="preserve">      </w:t>
            </w:r>
            <w:r>
              <w:rPr>
                <w:rFonts w:hint="eastAsia"/>
                <w:sz w:val="18"/>
                <w:szCs w:val="18"/>
              </w:rPr>
              <w:t>时；  从</w:t>
            </w:r>
            <w:r>
              <w:rPr>
                <w:rFonts w:hint="eastAsia"/>
                <w:sz w:val="18"/>
                <w:szCs w:val="18"/>
                <w:u w:val="single"/>
              </w:rPr>
              <w:t xml:space="preserve">     </w:t>
            </w:r>
            <w:r>
              <w:rPr>
                <w:rFonts w:hint="eastAsia"/>
                <w:sz w:val="18"/>
                <w:szCs w:val="18"/>
              </w:rPr>
              <w:t>到</w:t>
            </w:r>
            <w:r>
              <w:rPr>
                <w:rFonts w:hint="eastAsia"/>
                <w:sz w:val="18"/>
                <w:szCs w:val="18"/>
                <w:u w:val="single"/>
              </w:rPr>
              <w:t xml:space="preserve">     </w:t>
            </w:r>
          </w:p>
          <w:p w14:paraId="1CCFF898">
            <w:pPr>
              <w:spacing w:line="360" w:lineRule="auto"/>
              <w:ind w:firstLine="360" w:firstLineChars="200"/>
              <w:rPr>
                <w:sz w:val="18"/>
                <w:szCs w:val="18"/>
                <w:u w:val="single"/>
              </w:rPr>
            </w:pPr>
            <w:r>
              <w:rPr>
                <w:rFonts w:hint="eastAsia"/>
                <w:sz w:val="18"/>
                <w:szCs w:val="18"/>
              </w:rPr>
              <w:t>一月运行</w:t>
            </w:r>
            <w:r>
              <w:rPr>
                <w:rFonts w:hint="eastAsia"/>
                <w:sz w:val="18"/>
                <w:szCs w:val="18"/>
                <w:u w:val="single"/>
              </w:rPr>
              <w:t xml:space="preserve">      </w:t>
            </w:r>
            <w:r>
              <w:rPr>
                <w:rFonts w:hint="eastAsia"/>
                <w:sz w:val="18"/>
                <w:szCs w:val="18"/>
              </w:rPr>
              <w:t>天；  从</w:t>
            </w:r>
            <w:r>
              <w:rPr>
                <w:rFonts w:hint="eastAsia"/>
                <w:sz w:val="18"/>
                <w:szCs w:val="18"/>
                <w:u w:val="single"/>
              </w:rPr>
              <w:t xml:space="preserve">     </w:t>
            </w:r>
            <w:r>
              <w:rPr>
                <w:rFonts w:hint="eastAsia"/>
                <w:sz w:val="18"/>
                <w:szCs w:val="18"/>
              </w:rPr>
              <w:t>到</w:t>
            </w:r>
            <w:r>
              <w:rPr>
                <w:rFonts w:hint="eastAsia"/>
                <w:sz w:val="18"/>
                <w:szCs w:val="18"/>
                <w:u w:val="single"/>
              </w:rPr>
              <w:t xml:space="preserve">     </w:t>
            </w:r>
          </w:p>
          <w:p w14:paraId="1C77E416">
            <w:pPr>
              <w:spacing w:line="360" w:lineRule="auto"/>
              <w:ind w:firstLine="360" w:firstLineChars="200"/>
              <w:rPr>
                <w:sz w:val="18"/>
                <w:szCs w:val="18"/>
              </w:rPr>
            </w:pPr>
            <w:r>
              <w:rPr>
                <w:rFonts w:hint="eastAsia"/>
                <w:sz w:val="18"/>
                <w:szCs w:val="18"/>
              </w:rPr>
              <w:t>一年运行</w:t>
            </w:r>
            <w:r>
              <w:rPr>
                <w:rFonts w:hint="eastAsia"/>
                <w:sz w:val="18"/>
                <w:szCs w:val="18"/>
                <w:u w:val="single"/>
              </w:rPr>
              <w:t xml:space="preserve">      </w:t>
            </w:r>
            <w:r>
              <w:rPr>
                <w:rFonts w:hint="eastAsia"/>
                <w:sz w:val="18"/>
                <w:szCs w:val="18"/>
              </w:rPr>
              <w:t>月；  从</w:t>
            </w:r>
            <w:r>
              <w:rPr>
                <w:rFonts w:hint="eastAsia"/>
                <w:sz w:val="18"/>
                <w:szCs w:val="18"/>
                <w:u w:val="single"/>
              </w:rPr>
              <w:t xml:space="preserve">     </w:t>
            </w:r>
            <w:r>
              <w:rPr>
                <w:rFonts w:hint="eastAsia"/>
                <w:sz w:val="18"/>
                <w:szCs w:val="18"/>
              </w:rPr>
              <w:t>到</w:t>
            </w:r>
            <w:r>
              <w:rPr>
                <w:rFonts w:hint="eastAsia"/>
                <w:sz w:val="18"/>
                <w:szCs w:val="18"/>
                <w:u w:val="single"/>
              </w:rPr>
              <w:t xml:space="preserve">     </w:t>
            </w:r>
          </w:p>
        </w:tc>
      </w:tr>
      <w:tr w14:paraId="2D817B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4AAF6A4B">
            <w:pPr>
              <w:spacing w:line="360" w:lineRule="auto"/>
              <w:rPr>
                <w:sz w:val="18"/>
                <w:szCs w:val="18"/>
              </w:rPr>
            </w:pPr>
            <w:r>
              <w:rPr>
                <w:rFonts w:hint="eastAsia"/>
                <w:b/>
                <w:bCs/>
                <w:sz w:val="18"/>
                <w:szCs w:val="18"/>
              </w:rPr>
              <w:t>建筑围护结构做法</w:t>
            </w:r>
            <w:r>
              <w:rPr>
                <w:rFonts w:hint="eastAsia"/>
                <w:sz w:val="18"/>
                <w:szCs w:val="18"/>
              </w:rPr>
              <w:t>（可根据实际情况增减）：</w:t>
            </w:r>
          </w:p>
          <w:p w14:paraId="728C0B96">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外墙：</w:t>
            </w:r>
            <w:r>
              <w:rPr>
                <w:rFonts w:hint="eastAsia"/>
                <w:sz w:val="18"/>
                <w:szCs w:val="18"/>
                <w:u w:val="single"/>
              </w:rPr>
              <w:t xml:space="preserve">                                          </w:t>
            </w:r>
          </w:p>
          <w:p w14:paraId="1236F530">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内墙：</w:t>
            </w:r>
            <w:r>
              <w:rPr>
                <w:rFonts w:hint="eastAsia"/>
                <w:sz w:val="18"/>
                <w:szCs w:val="18"/>
                <w:u w:val="single"/>
              </w:rPr>
              <w:t xml:space="preserve">                                          </w:t>
            </w:r>
          </w:p>
          <w:p w14:paraId="54682324">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屋面：</w:t>
            </w:r>
            <w:r>
              <w:rPr>
                <w:rFonts w:hint="eastAsia"/>
                <w:sz w:val="18"/>
                <w:szCs w:val="18"/>
                <w:u w:val="single"/>
              </w:rPr>
              <w:t xml:space="preserve">                                          </w:t>
            </w:r>
          </w:p>
          <w:p w14:paraId="0A167F62">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外窗：</w:t>
            </w:r>
            <w:r>
              <w:rPr>
                <w:rFonts w:hint="eastAsia"/>
                <w:sz w:val="18"/>
                <w:szCs w:val="18"/>
                <w:u w:val="single"/>
              </w:rPr>
              <w:t xml:space="preserve">                                          </w:t>
            </w:r>
          </w:p>
          <w:p w14:paraId="1CDDE41C">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天窗：</w:t>
            </w:r>
            <w:r>
              <w:rPr>
                <w:rFonts w:hint="eastAsia"/>
                <w:sz w:val="18"/>
                <w:szCs w:val="18"/>
                <w:u w:val="single"/>
              </w:rPr>
              <w:t xml:space="preserve">                                          </w:t>
            </w:r>
          </w:p>
          <w:p w14:paraId="248D153C">
            <w:pPr>
              <w:spacing w:line="360" w:lineRule="auto"/>
              <w:ind w:firstLine="420"/>
              <w:rPr>
                <w:sz w:val="18"/>
                <w:szCs w:val="18"/>
              </w:rPr>
            </w:pPr>
            <w:r>
              <w:rPr>
                <w:rFonts w:hint="eastAsia" w:ascii="Times New Roman" w:hAnsi="Times New Roman" w:eastAsia="宋体" w:cs="Times New Roman"/>
                <w:kern w:val="0"/>
                <w:sz w:val="18"/>
                <w:szCs w:val="18"/>
                <w:lang w:bidi="ar"/>
              </w:rPr>
              <w:t>□</w:t>
            </w:r>
            <w:r>
              <w:rPr>
                <w:rFonts w:hint="eastAsia"/>
                <w:sz w:val="18"/>
                <w:szCs w:val="18"/>
              </w:rPr>
              <w:t>透明幕墙：</w:t>
            </w:r>
            <w:r>
              <w:rPr>
                <w:rFonts w:hint="eastAsia"/>
                <w:sz w:val="18"/>
                <w:szCs w:val="18"/>
                <w:u w:val="single"/>
              </w:rPr>
              <w:t xml:space="preserve">                                      </w:t>
            </w:r>
          </w:p>
          <w:p w14:paraId="7CFCD46B">
            <w:pPr>
              <w:spacing w:line="360" w:lineRule="auto"/>
              <w:ind w:firstLine="360" w:firstLineChars="200"/>
              <w:rPr>
                <w:sz w:val="18"/>
                <w:szCs w:val="18"/>
              </w:rPr>
            </w:pPr>
            <w:r>
              <w:rPr>
                <w:rFonts w:hint="eastAsia" w:ascii="Times New Roman" w:hAnsi="Times New Roman" w:eastAsia="宋体" w:cs="Times New Roman"/>
                <w:kern w:val="0"/>
                <w:sz w:val="18"/>
                <w:szCs w:val="18"/>
                <w:lang w:bidi="ar"/>
              </w:rPr>
              <w:t>□</w:t>
            </w:r>
            <w:r>
              <w:rPr>
                <w:rFonts w:hint="eastAsia"/>
                <w:sz w:val="18"/>
                <w:szCs w:val="18"/>
              </w:rPr>
              <w:t>其他：</w:t>
            </w:r>
            <w:r>
              <w:rPr>
                <w:rFonts w:hint="eastAsia"/>
                <w:sz w:val="18"/>
                <w:szCs w:val="18"/>
                <w:u w:val="single"/>
              </w:rPr>
              <w:t xml:space="preserve">                                          </w:t>
            </w:r>
          </w:p>
        </w:tc>
      </w:tr>
      <w:tr w14:paraId="48AD6C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0E8ACB22">
            <w:pPr>
              <w:spacing w:line="360" w:lineRule="auto"/>
              <w:rPr>
                <w:sz w:val="18"/>
                <w:szCs w:val="18"/>
              </w:rPr>
            </w:pPr>
            <w:r>
              <w:rPr>
                <w:rFonts w:hint="eastAsia"/>
                <w:b/>
                <w:bCs/>
                <w:sz w:val="18"/>
                <w:szCs w:val="18"/>
              </w:rPr>
              <w:t>结构形式</w:t>
            </w:r>
            <w:r>
              <w:rPr>
                <w:rFonts w:hint="eastAsia"/>
                <w:sz w:val="18"/>
                <w:szCs w:val="18"/>
              </w:rPr>
              <w:t>（可根据实际情况增减）：</w:t>
            </w:r>
          </w:p>
          <w:p w14:paraId="3EEFAACC">
            <w:pPr>
              <w:spacing w:line="360" w:lineRule="auto"/>
              <w:ind w:firstLine="360" w:firstLineChars="200"/>
              <w:rPr>
                <w:sz w:val="18"/>
                <w:szCs w:val="18"/>
              </w:rPr>
            </w:pPr>
            <w:r>
              <w:rPr>
                <w:rFonts w:hint="eastAsia" w:ascii="Times New Roman" w:hAnsi="Times New Roman" w:eastAsia="宋体" w:cs="Times New Roman"/>
                <w:kern w:val="0"/>
                <w:sz w:val="18"/>
                <w:szCs w:val="18"/>
                <w:lang w:bidi="ar"/>
              </w:rPr>
              <w:t>□</w:t>
            </w:r>
            <w:r>
              <w:rPr>
                <w:rFonts w:hint="eastAsia"/>
                <w:sz w:val="18"/>
                <w:szCs w:val="18"/>
              </w:rPr>
              <w:t>砖混、</w:t>
            </w:r>
            <w:r>
              <w:rPr>
                <w:rFonts w:hint="eastAsia" w:ascii="Times New Roman" w:hAnsi="Times New Roman" w:eastAsia="宋体" w:cs="Times New Roman"/>
                <w:kern w:val="0"/>
                <w:sz w:val="18"/>
                <w:szCs w:val="18"/>
                <w:lang w:bidi="ar"/>
              </w:rPr>
              <w:t>□</w:t>
            </w:r>
            <w:r>
              <w:rPr>
                <w:rFonts w:hint="eastAsia"/>
                <w:sz w:val="18"/>
                <w:szCs w:val="18"/>
              </w:rPr>
              <w:t>剪力墙、</w:t>
            </w:r>
            <w:r>
              <w:rPr>
                <w:rFonts w:hint="eastAsia" w:ascii="Times New Roman" w:hAnsi="Times New Roman" w:eastAsia="宋体" w:cs="Times New Roman"/>
                <w:kern w:val="0"/>
                <w:sz w:val="18"/>
                <w:szCs w:val="18"/>
                <w:lang w:bidi="ar"/>
              </w:rPr>
              <w:t>□</w:t>
            </w:r>
            <w:r>
              <w:rPr>
                <w:rFonts w:hint="eastAsia"/>
                <w:sz w:val="18"/>
                <w:szCs w:val="18"/>
              </w:rPr>
              <w:t>钢结构、</w:t>
            </w:r>
            <w:r>
              <w:rPr>
                <w:rFonts w:hint="eastAsia" w:ascii="Times New Roman" w:hAnsi="Times New Roman" w:eastAsia="宋体" w:cs="Times New Roman"/>
                <w:kern w:val="0"/>
                <w:sz w:val="18"/>
                <w:szCs w:val="18"/>
                <w:lang w:bidi="ar"/>
              </w:rPr>
              <w:t>□</w:t>
            </w:r>
            <w:r>
              <w:rPr>
                <w:rFonts w:hint="eastAsia"/>
                <w:sz w:val="18"/>
                <w:szCs w:val="18"/>
              </w:rPr>
              <w:t>木结构、</w:t>
            </w:r>
            <w:r>
              <w:rPr>
                <w:rFonts w:hint="eastAsia" w:ascii="Times New Roman" w:hAnsi="Times New Roman" w:eastAsia="宋体" w:cs="Times New Roman"/>
                <w:kern w:val="0"/>
                <w:sz w:val="18"/>
                <w:szCs w:val="18"/>
                <w:lang w:bidi="ar"/>
              </w:rPr>
              <w:t>□</w:t>
            </w:r>
            <w:r>
              <w:rPr>
                <w:rFonts w:hint="eastAsia"/>
                <w:sz w:val="18"/>
                <w:szCs w:val="18"/>
              </w:rPr>
              <w:t>其他：</w:t>
            </w:r>
            <w:r>
              <w:rPr>
                <w:rFonts w:hint="eastAsia"/>
                <w:sz w:val="18"/>
                <w:szCs w:val="18"/>
                <w:u w:val="single"/>
              </w:rPr>
              <w:t xml:space="preserve">                    </w:t>
            </w:r>
            <w:r>
              <w:rPr>
                <w:rFonts w:hint="eastAsia"/>
                <w:sz w:val="18"/>
                <w:szCs w:val="18"/>
              </w:rPr>
              <w:t xml:space="preserve"> </w:t>
            </w:r>
          </w:p>
        </w:tc>
      </w:tr>
      <w:tr w14:paraId="00760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7515AF48">
            <w:pPr>
              <w:widowControl/>
              <w:spacing w:line="360" w:lineRule="auto"/>
              <w:jc w:val="left"/>
              <w:rPr>
                <w:rFonts w:ascii="Times New Roman" w:hAnsi="Times New Roman" w:eastAsia="宋体" w:cs="Times New Roman"/>
                <w:sz w:val="18"/>
                <w:szCs w:val="18"/>
              </w:rPr>
            </w:pPr>
            <w:r>
              <w:rPr>
                <w:rFonts w:ascii="Times New Roman" w:hAnsi="Times New Roman" w:eastAsia="宋体" w:cs="Times New Roman"/>
                <w:b/>
                <w:bCs/>
                <w:kern w:val="0"/>
                <w:sz w:val="18"/>
                <w:szCs w:val="18"/>
                <w:lang w:bidi="ar"/>
              </w:rPr>
              <w:t>能源种类</w:t>
            </w:r>
            <w:r>
              <w:rPr>
                <w:rFonts w:hint="eastAsia"/>
                <w:sz w:val="18"/>
                <w:szCs w:val="18"/>
              </w:rPr>
              <w:t>（可根据实际情况增减）</w:t>
            </w:r>
            <w:r>
              <w:rPr>
                <w:rFonts w:ascii="Times New Roman" w:hAnsi="Times New Roman" w:eastAsia="宋体" w:cs="Times New Roman"/>
                <w:b/>
                <w:bCs/>
                <w:kern w:val="0"/>
                <w:sz w:val="18"/>
                <w:szCs w:val="18"/>
                <w:lang w:bidi="ar"/>
              </w:rPr>
              <w:t xml:space="preserve">： </w:t>
            </w:r>
          </w:p>
          <w:p w14:paraId="022611D6">
            <w:pPr>
              <w:widowControl/>
              <w:spacing w:line="360" w:lineRule="auto"/>
              <w:ind w:firstLine="360" w:firstLineChars="200"/>
              <w:jc w:val="left"/>
              <w:rPr>
                <w:rFonts w:ascii="Times New Roman" w:hAnsi="Times New Roman" w:eastAsia="宋体" w:cs="Times New Roman"/>
                <w:sz w:val="18"/>
                <w:szCs w:val="18"/>
              </w:rPr>
            </w:pPr>
            <w:r>
              <w:rPr>
                <w:rFonts w:ascii="Times New Roman" w:hAnsi="Times New Roman" w:eastAsia="宋体" w:cs="Times New Roman"/>
                <w:kern w:val="0"/>
                <w:sz w:val="18"/>
                <w:szCs w:val="18"/>
                <w:lang w:bidi="ar"/>
              </w:rPr>
              <w:t>能源</w:t>
            </w:r>
            <w:r>
              <w:rPr>
                <w:rFonts w:hint="eastAsia" w:ascii="Times New Roman" w:hAnsi="Times New Roman" w:eastAsia="宋体" w:cs="Times New Roman"/>
                <w:kern w:val="0"/>
                <w:sz w:val="18"/>
                <w:szCs w:val="18"/>
                <w:lang w:bidi="ar"/>
              </w:rPr>
              <w:t>分类</w:t>
            </w:r>
            <w:r>
              <w:rPr>
                <w:rFonts w:ascii="Times New Roman" w:hAnsi="Times New Roman" w:eastAsia="宋体" w:cs="Times New Roman"/>
                <w:kern w:val="0"/>
                <w:sz w:val="18"/>
                <w:szCs w:val="18"/>
                <w:lang w:bidi="ar"/>
              </w:rPr>
              <w:t>：</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电</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水</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燃气</w:t>
            </w:r>
            <w:r>
              <w:rPr>
                <w:rFonts w:hint="eastAsia" w:ascii="Times New Roman" w:hAnsi="Times New Roman" w:eastAsia="宋体" w:cs="Times New Roman"/>
                <w:kern w:val="0"/>
                <w:sz w:val="18"/>
                <w:szCs w:val="18"/>
                <w:lang w:bidi="ar"/>
              </w:rPr>
              <w:t>、□集中供热、□集中供冷、□</w:t>
            </w:r>
            <w:r>
              <w:rPr>
                <w:rFonts w:ascii="Times New Roman" w:hAnsi="Times New Roman" w:eastAsia="宋体" w:cs="Times New Roman"/>
                <w:kern w:val="0"/>
                <w:sz w:val="18"/>
                <w:szCs w:val="18"/>
                <w:lang w:bidi="ar"/>
              </w:rPr>
              <w:t>柴油</w:t>
            </w:r>
            <w:r>
              <w:rPr>
                <w:rFonts w:hint="eastAsia" w:ascii="Times New Roman" w:hAnsi="Times New Roman" w:eastAsia="宋体" w:cs="Times New Roman"/>
                <w:kern w:val="0"/>
                <w:sz w:val="18"/>
                <w:szCs w:val="18"/>
                <w:lang w:bidi="ar"/>
              </w:rPr>
              <w:t>、□汽油、□煤</w:t>
            </w:r>
            <w:r>
              <w:rPr>
                <w:rFonts w:ascii="Times New Roman" w:hAnsi="Times New Roman" w:eastAsia="宋体" w:cs="Times New Roman"/>
                <w:kern w:val="0"/>
                <w:sz w:val="18"/>
                <w:szCs w:val="18"/>
                <w:lang w:bidi="ar"/>
              </w:rPr>
              <w:t xml:space="preserve">； </w:t>
            </w:r>
          </w:p>
          <w:p w14:paraId="2FA08BE4">
            <w:pPr>
              <w:widowControl/>
              <w:spacing w:line="360" w:lineRule="auto"/>
              <w:ind w:firstLine="360" w:firstLineChars="200"/>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 xml:space="preserve">          □压缩空气、□集中热水、□其他</w:t>
            </w:r>
            <w:r>
              <w:rPr>
                <w:rFonts w:hint="eastAsia"/>
                <w:sz w:val="18"/>
                <w:szCs w:val="18"/>
                <w:u w:val="single"/>
              </w:rPr>
              <w:t xml:space="preserve">           </w:t>
            </w:r>
          </w:p>
          <w:p w14:paraId="6967102E">
            <w:pPr>
              <w:spacing w:line="360" w:lineRule="auto"/>
              <w:ind w:firstLine="360" w:firstLineChars="200"/>
              <w:rPr>
                <w:rFonts w:ascii="Times New Roman" w:hAnsi="Times New Roman" w:eastAsia="宋体" w:cs="Times New Roman"/>
                <w:kern w:val="0"/>
                <w:sz w:val="18"/>
                <w:szCs w:val="18"/>
                <w:lang w:bidi="ar"/>
              </w:rPr>
            </w:pPr>
            <w:r>
              <w:rPr>
                <w:rFonts w:ascii="Times New Roman" w:hAnsi="Times New Roman" w:eastAsia="宋体" w:cs="Times New Roman"/>
                <w:kern w:val="0"/>
                <w:sz w:val="18"/>
                <w:szCs w:val="18"/>
                <w:lang w:bidi="ar"/>
              </w:rPr>
              <w:t>是否有分项计量：</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照明及插座用能</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空调及供暖用能</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动力用能</w:t>
            </w:r>
          </w:p>
          <w:p w14:paraId="48BBCD73">
            <w:pPr>
              <w:spacing w:line="360" w:lineRule="auto"/>
              <w:ind w:firstLine="1800" w:firstLineChars="10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特殊用能</w:t>
            </w:r>
            <w:r>
              <w:rPr>
                <w:rFonts w:hint="eastAsia" w:ascii="Times New Roman" w:hAnsi="Times New Roman" w:eastAsia="宋体" w:cs="Times New Roman"/>
                <w:kern w:val="0"/>
                <w:sz w:val="18"/>
                <w:szCs w:val="18"/>
                <w:lang w:bidi="ar"/>
              </w:rPr>
              <w:t>（如全不选下一行不填）</w:t>
            </w:r>
          </w:p>
          <w:p w14:paraId="0C1DE598">
            <w:pPr>
              <w:widowControl/>
              <w:spacing w:line="360" w:lineRule="auto"/>
              <w:ind w:firstLine="360" w:firstLineChars="200"/>
              <w:jc w:val="left"/>
              <w:rPr>
                <w:rFonts w:ascii="Times New Roman" w:hAnsi="Times New Roman" w:eastAsia="宋体" w:cs="Times New Roman"/>
                <w:kern w:val="0"/>
                <w:sz w:val="18"/>
                <w:szCs w:val="18"/>
                <w:lang w:bidi="ar"/>
              </w:rPr>
            </w:pPr>
            <w:r>
              <w:rPr>
                <w:rFonts w:ascii="Times New Roman" w:hAnsi="Times New Roman" w:eastAsia="宋体" w:cs="Times New Roman"/>
                <w:kern w:val="0"/>
                <w:sz w:val="18"/>
                <w:szCs w:val="18"/>
                <w:lang w:bidi="ar"/>
              </w:rPr>
              <w:t>分项计量类型：</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电</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水</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燃气</w:t>
            </w:r>
            <w:r>
              <w:rPr>
                <w:rFonts w:hint="eastAsia" w:ascii="Times New Roman" w:hAnsi="Times New Roman" w:eastAsia="宋体" w:cs="Times New Roman"/>
                <w:kern w:val="0"/>
                <w:sz w:val="18"/>
                <w:szCs w:val="18"/>
                <w:lang w:bidi="ar"/>
              </w:rPr>
              <w:t>、□集中供热、□集中供冷、□</w:t>
            </w:r>
            <w:r>
              <w:rPr>
                <w:rFonts w:ascii="Times New Roman" w:hAnsi="Times New Roman" w:eastAsia="宋体" w:cs="Times New Roman"/>
                <w:kern w:val="0"/>
                <w:sz w:val="18"/>
                <w:szCs w:val="18"/>
                <w:lang w:bidi="ar"/>
              </w:rPr>
              <w:t>柴油</w:t>
            </w:r>
            <w:r>
              <w:rPr>
                <w:rFonts w:hint="eastAsia" w:ascii="Times New Roman" w:hAnsi="Times New Roman" w:eastAsia="宋体" w:cs="Times New Roman"/>
                <w:kern w:val="0"/>
                <w:sz w:val="18"/>
                <w:szCs w:val="18"/>
                <w:lang w:bidi="ar"/>
              </w:rPr>
              <w:t>、□汽油、□煤、</w:t>
            </w:r>
          </w:p>
          <w:p w14:paraId="568DE692">
            <w:pPr>
              <w:widowControl/>
              <w:spacing w:line="360" w:lineRule="auto"/>
              <w:ind w:firstLine="1620" w:firstLineChars="900"/>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□压缩空气、□集中热水、□其他</w:t>
            </w:r>
            <w:r>
              <w:rPr>
                <w:rFonts w:hint="eastAsia"/>
                <w:sz w:val="18"/>
                <w:szCs w:val="18"/>
                <w:u w:val="single"/>
              </w:rPr>
              <w:t xml:space="preserve">           </w:t>
            </w:r>
            <w:r>
              <w:rPr>
                <w:rFonts w:hint="eastAsia"/>
                <w:sz w:val="18"/>
                <w:szCs w:val="18"/>
              </w:rPr>
              <w:t>（可根据上一项勾选数量另加行）</w:t>
            </w:r>
          </w:p>
          <w:p w14:paraId="1B7D7387">
            <w:pPr>
              <w:spacing w:line="360" w:lineRule="auto"/>
              <w:ind w:firstLine="360" w:firstLineChars="200"/>
              <w:rPr>
                <w:rFonts w:ascii="Times New Roman" w:hAnsi="Times New Roman" w:eastAsia="宋体" w:cs="Times New Roman"/>
                <w:kern w:val="0"/>
                <w:sz w:val="18"/>
                <w:szCs w:val="18"/>
                <w:lang w:bidi="ar"/>
              </w:rPr>
            </w:pPr>
            <w:r>
              <w:rPr>
                <w:rFonts w:ascii="Times New Roman" w:hAnsi="Times New Roman" w:eastAsia="宋体" w:cs="Times New Roman"/>
                <w:kern w:val="0"/>
                <w:sz w:val="18"/>
                <w:szCs w:val="18"/>
                <w:lang w:bidi="ar"/>
              </w:rPr>
              <w:t>是否具有能源</w:t>
            </w:r>
            <w:r>
              <w:rPr>
                <w:rFonts w:hint="eastAsia" w:ascii="Times New Roman" w:hAnsi="Times New Roman" w:eastAsia="宋体" w:cs="Times New Roman"/>
                <w:kern w:val="0"/>
                <w:sz w:val="18"/>
                <w:szCs w:val="18"/>
                <w:lang w:bidi="ar"/>
              </w:rPr>
              <w:t>监管系统</w:t>
            </w:r>
            <w:r>
              <w:rPr>
                <w:rFonts w:ascii="Times New Roman" w:hAnsi="Times New Roman" w:eastAsia="宋体" w:cs="Times New Roman"/>
                <w:kern w:val="0"/>
                <w:sz w:val="18"/>
                <w:szCs w:val="18"/>
                <w:lang w:bidi="ar"/>
              </w:rPr>
              <w:t>：</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是</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否</w:t>
            </w:r>
            <w:r>
              <w:rPr>
                <w:rFonts w:hint="eastAsia" w:ascii="Times New Roman" w:hAnsi="Times New Roman" w:eastAsia="宋体" w:cs="Times New Roman"/>
                <w:kern w:val="0"/>
                <w:sz w:val="18"/>
                <w:szCs w:val="18"/>
                <w:lang w:bidi="ar"/>
              </w:rPr>
              <w:t>（如选否下一行不填）</w:t>
            </w:r>
          </w:p>
          <w:p w14:paraId="2301C089">
            <w:pPr>
              <w:spacing w:line="360" w:lineRule="auto"/>
              <w:ind w:firstLine="360" w:firstLineChars="2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系统</w:t>
            </w:r>
            <w:r>
              <w:rPr>
                <w:rFonts w:ascii="Times New Roman" w:hAnsi="Times New Roman" w:eastAsia="宋体" w:cs="Times New Roman"/>
                <w:kern w:val="0"/>
                <w:sz w:val="18"/>
                <w:szCs w:val="18"/>
                <w:lang w:bidi="ar"/>
              </w:rPr>
              <w:t>功能包含：</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监测</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分析</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控制</w:t>
            </w:r>
            <w:r>
              <w:rPr>
                <w:rFonts w:hint="eastAsia" w:ascii="Times New Roman" w:hAnsi="Times New Roman" w:eastAsia="宋体" w:cs="Times New Roman"/>
                <w:kern w:val="0"/>
                <w:sz w:val="18"/>
                <w:szCs w:val="18"/>
                <w:lang w:bidi="ar"/>
              </w:rPr>
              <w:t>、□</w:t>
            </w:r>
            <w:r>
              <w:rPr>
                <w:rFonts w:ascii="Times New Roman" w:hAnsi="Times New Roman" w:eastAsia="宋体" w:cs="Times New Roman"/>
                <w:kern w:val="0"/>
                <w:sz w:val="18"/>
                <w:szCs w:val="18"/>
                <w:lang w:bidi="ar"/>
              </w:rPr>
              <w:t>其他</w:t>
            </w:r>
            <w:r>
              <w:rPr>
                <w:rFonts w:hint="eastAsia"/>
                <w:sz w:val="18"/>
                <w:szCs w:val="18"/>
                <w:u w:val="single"/>
              </w:rPr>
              <w:t xml:space="preserve">           </w:t>
            </w:r>
          </w:p>
        </w:tc>
      </w:tr>
      <w:tr w14:paraId="0C5D05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679A5216">
            <w:pPr>
              <w:spacing w:line="360" w:lineRule="auto"/>
              <w:rPr>
                <w:sz w:val="18"/>
                <w:szCs w:val="18"/>
              </w:rPr>
            </w:pPr>
            <w:r>
              <w:rPr>
                <w:rFonts w:hint="eastAsia"/>
                <w:b/>
                <w:bCs/>
                <w:sz w:val="18"/>
                <w:szCs w:val="18"/>
              </w:rPr>
              <w:t>可再生能源</w:t>
            </w:r>
            <w:r>
              <w:rPr>
                <w:rFonts w:hint="eastAsia"/>
                <w:sz w:val="18"/>
                <w:szCs w:val="18"/>
              </w:rPr>
              <w:t>（可根据实际情况增减）：</w:t>
            </w:r>
          </w:p>
          <w:p w14:paraId="5F9DE412">
            <w:pPr>
              <w:spacing w:line="360" w:lineRule="auto"/>
              <w:ind w:firstLine="360" w:firstLineChars="200"/>
              <w:rPr>
                <w:sz w:val="18"/>
                <w:szCs w:val="18"/>
              </w:rPr>
            </w:pPr>
            <w:r>
              <w:rPr>
                <w:rFonts w:hint="eastAsia" w:ascii="Times New Roman" w:hAnsi="Times New Roman" w:eastAsia="宋体" w:cs="Times New Roman"/>
                <w:kern w:val="0"/>
                <w:sz w:val="18"/>
                <w:szCs w:val="18"/>
                <w:lang w:bidi="ar"/>
              </w:rPr>
              <w:t>□</w:t>
            </w:r>
            <w:r>
              <w:rPr>
                <w:rFonts w:hint="eastAsia"/>
                <w:sz w:val="18"/>
                <w:szCs w:val="18"/>
              </w:rPr>
              <w:t>生活热水、</w:t>
            </w:r>
            <w:r>
              <w:rPr>
                <w:rFonts w:hint="eastAsia" w:ascii="Times New Roman" w:hAnsi="Times New Roman" w:eastAsia="宋体" w:cs="Times New Roman"/>
                <w:kern w:val="0"/>
                <w:sz w:val="18"/>
                <w:szCs w:val="18"/>
                <w:lang w:bidi="ar"/>
              </w:rPr>
              <w:t>□</w:t>
            </w:r>
            <w:r>
              <w:rPr>
                <w:rFonts w:hint="eastAsia"/>
                <w:sz w:val="18"/>
                <w:szCs w:val="18"/>
              </w:rPr>
              <w:t>发电、</w:t>
            </w:r>
            <w:r>
              <w:rPr>
                <w:rFonts w:hint="eastAsia" w:ascii="Times New Roman" w:hAnsi="Times New Roman" w:eastAsia="宋体" w:cs="Times New Roman"/>
                <w:kern w:val="0"/>
                <w:sz w:val="18"/>
                <w:szCs w:val="18"/>
                <w:lang w:bidi="ar"/>
              </w:rPr>
              <w:t>□</w:t>
            </w:r>
            <w:r>
              <w:rPr>
                <w:rFonts w:hint="eastAsia"/>
                <w:sz w:val="18"/>
                <w:szCs w:val="18"/>
              </w:rPr>
              <w:t>空调用冷量、热量</w:t>
            </w:r>
          </w:p>
          <w:p w14:paraId="47B2A984">
            <w:pPr>
              <w:spacing w:line="360" w:lineRule="auto"/>
              <w:ind w:firstLine="360" w:firstLineChars="200"/>
              <w:rPr>
                <w:sz w:val="18"/>
                <w:szCs w:val="18"/>
              </w:rPr>
            </w:pPr>
            <w:r>
              <w:rPr>
                <w:rFonts w:hint="eastAsia" w:ascii="Times New Roman" w:hAnsi="Times New Roman" w:eastAsia="宋体" w:cs="Times New Roman"/>
                <w:kern w:val="0"/>
                <w:sz w:val="18"/>
                <w:szCs w:val="18"/>
                <w:lang w:bidi="ar"/>
              </w:rPr>
              <w:t>□</w:t>
            </w:r>
            <w:r>
              <w:rPr>
                <w:rFonts w:hint="eastAsia"/>
                <w:sz w:val="18"/>
                <w:szCs w:val="18"/>
              </w:rPr>
              <w:t>其他</w:t>
            </w:r>
            <w:r>
              <w:rPr>
                <w:rFonts w:hint="eastAsia"/>
                <w:sz w:val="18"/>
                <w:szCs w:val="18"/>
                <w:u w:val="single"/>
              </w:rPr>
              <w:t xml:space="preserve">            </w:t>
            </w:r>
            <w:r>
              <w:rPr>
                <w:rFonts w:hint="eastAsia"/>
                <w:sz w:val="18"/>
                <w:szCs w:val="18"/>
              </w:rPr>
              <w:t xml:space="preserve">     </w:t>
            </w:r>
          </w:p>
        </w:tc>
      </w:tr>
      <w:tr w14:paraId="4BC066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5699962A">
            <w:pPr>
              <w:spacing w:line="360" w:lineRule="auto"/>
              <w:rPr>
                <w:b/>
                <w:bCs/>
                <w:sz w:val="18"/>
                <w:szCs w:val="18"/>
              </w:rPr>
            </w:pPr>
            <w:r>
              <w:rPr>
                <w:rFonts w:hint="eastAsia"/>
                <w:b/>
                <w:bCs/>
                <w:sz w:val="18"/>
                <w:szCs w:val="18"/>
              </w:rPr>
              <w:t>用水情况</w:t>
            </w:r>
            <w:r>
              <w:rPr>
                <w:rFonts w:hint="eastAsia"/>
                <w:sz w:val="18"/>
                <w:szCs w:val="18"/>
              </w:rPr>
              <w:t>（可根据实际情况增减）：</w:t>
            </w:r>
          </w:p>
          <w:p w14:paraId="364082FD">
            <w:pPr>
              <w:spacing w:line="360" w:lineRule="auto"/>
              <w:ind w:firstLine="360" w:firstLineChars="200"/>
              <w:rPr>
                <w:sz w:val="18"/>
                <w:szCs w:val="18"/>
              </w:rPr>
            </w:pPr>
            <w:r>
              <w:rPr>
                <w:rFonts w:hint="eastAsia" w:ascii="Times New Roman" w:hAnsi="Times New Roman" w:eastAsia="宋体" w:cs="Times New Roman"/>
                <w:kern w:val="0"/>
                <w:sz w:val="18"/>
                <w:szCs w:val="18"/>
                <w:lang w:bidi="ar"/>
              </w:rPr>
              <w:t>□</w:t>
            </w:r>
            <w:r>
              <w:rPr>
                <w:rFonts w:hint="eastAsia"/>
                <w:sz w:val="18"/>
                <w:szCs w:val="18"/>
              </w:rPr>
              <w:t>自来水、</w:t>
            </w:r>
            <w:r>
              <w:rPr>
                <w:rFonts w:hint="eastAsia" w:ascii="Times New Roman" w:hAnsi="Times New Roman" w:eastAsia="宋体" w:cs="Times New Roman"/>
                <w:kern w:val="0"/>
                <w:sz w:val="18"/>
                <w:szCs w:val="18"/>
                <w:lang w:bidi="ar"/>
              </w:rPr>
              <w:t>□中水</w:t>
            </w:r>
            <w:r>
              <w:rPr>
                <w:rFonts w:hint="eastAsia"/>
                <w:sz w:val="18"/>
                <w:szCs w:val="18"/>
              </w:rPr>
              <w:t>、</w:t>
            </w:r>
            <w:r>
              <w:rPr>
                <w:rFonts w:hint="eastAsia" w:ascii="Times New Roman" w:hAnsi="Times New Roman" w:eastAsia="宋体" w:cs="Times New Roman"/>
                <w:kern w:val="0"/>
                <w:sz w:val="18"/>
                <w:szCs w:val="18"/>
                <w:lang w:bidi="ar"/>
              </w:rPr>
              <w:t>□</w:t>
            </w:r>
            <w:r>
              <w:rPr>
                <w:rFonts w:hint="eastAsia"/>
                <w:sz w:val="18"/>
                <w:szCs w:val="18"/>
              </w:rPr>
              <w:t>其他</w:t>
            </w:r>
            <w:r>
              <w:rPr>
                <w:rFonts w:hint="eastAsia"/>
                <w:sz w:val="18"/>
                <w:szCs w:val="18"/>
                <w:u w:val="single"/>
              </w:rPr>
              <w:t xml:space="preserve">            </w:t>
            </w:r>
            <w:r>
              <w:rPr>
                <w:rFonts w:hint="eastAsia"/>
                <w:sz w:val="18"/>
                <w:szCs w:val="18"/>
              </w:rPr>
              <w:t xml:space="preserve">  </w:t>
            </w:r>
          </w:p>
        </w:tc>
      </w:tr>
      <w:tr w14:paraId="51364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1DE945F3">
            <w:pPr>
              <w:spacing w:line="360" w:lineRule="auto"/>
              <w:rPr>
                <w:b/>
                <w:bCs/>
                <w:sz w:val="18"/>
                <w:szCs w:val="18"/>
              </w:rPr>
            </w:pPr>
            <w:r>
              <w:rPr>
                <w:rFonts w:hint="eastAsia"/>
                <w:b/>
                <w:bCs/>
                <w:sz w:val="18"/>
                <w:szCs w:val="18"/>
              </w:rPr>
              <w:t>储能设备设施</w:t>
            </w:r>
          </w:p>
          <w:p w14:paraId="506A83BB">
            <w:pPr>
              <w:spacing w:line="360" w:lineRule="auto"/>
              <w:ind w:firstLine="360" w:firstLineChars="200"/>
              <w:rPr>
                <w:sz w:val="18"/>
                <w:szCs w:val="18"/>
              </w:rPr>
            </w:pPr>
            <w:r>
              <w:rPr>
                <w:rFonts w:hint="eastAsia"/>
                <w:sz w:val="18"/>
                <w:szCs w:val="18"/>
              </w:rPr>
              <w:t>储能方式：</w:t>
            </w:r>
            <w:r>
              <w:rPr>
                <w:rFonts w:hint="eastAsia"/>
                <w:sz w:val="18"/>
                <w:szCs w:val="18"/>
                <w:u w:val="single"/>
              </w:rPr>
              <w:t xml:space="preserve">              </w:t>
            </w:r>
            <w:r>
              <w:rPr>
                <w:rFonts w:hint="eastAsia"/>
                <w:sz w:val="18"/>
                <w:szCs w:val="18"/>
              </w:rPr>
              <w:t>，储能系统规模：</w:t>
            </w:r>
            <w:r>
              <w:rPr>
                <w:rFonts w:hint="eastAsia"/>
                <w:sz w:val="18"/>
                <w:szCs w:val="18"/>
                <w:u w:val="single"/>
              </w:rPr>
              <w:t xml:space="preserve">           </w:t>
            </w:r>
          </w:p>
        </w:tc>
      </w:tr>
      <w:tr w14:paraId="27191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15C42797">
            <w:pPr>
              <w:spacing w:line="360" w:lineRule="auto"/>
              <w:rPr>
                <w:sz w:val="18"/>
                <w:szCs w:val="18"/>
              </w:rPr>
            </w:pPr>
            <w:r>
              <w:rPr>
                <w:rFonts w:hint="eastAsia"/>
                <w:b/>
                <w:bCs/>
                <w:sz w:val="18"/>
                <w:szCs w:val="18"/>
              </w:rPr>
              <w:t>是否进行过能效诊断、能效标识或能效审计</w:t>
            </w:r>
            <w:r>
              <w:rPr>
                <w:rFonts w:hint="eastAsia"/>
                <w:sz w:val="18"/>
                <w:szCs w:val="18"/>
              </w:rPr>
              <w:t>：</w:t>
            </w:r>
          </w:p>
          <w:p w14:paraId="14422D84">
            <w:pPr>
              <w:spacing w:line="360" w:lineRule="auto"/>
              <w:ind w:firstLine="360" w:firstLineChars="200"/>
              <w:rPr>
                <w:sz w:val="18"/>
                <w:szCs w:val="18"/>
              </w:rPr>
            </w:pPr>
            <w:r>
              <w:rPr>
                <w:rFonts w:hint="eastAsia"/>
                <w:sz w:val="18"/>
                <w:szCs w:val="18"/>
              </w:rPr>
              <w:t>开展时间及内容：</w:t>
            </w:r>
            <w:r>
              <w:rPr>
                <w:rFonts w:hint="eastAsia"/>
                <w:sz w:val="18"/>
                <w:szCs w:val="18"/>
                <w:u w:val="single"/>
              </w:rPr>
              <w:t xml:space="preserve">                                          </w:t>
            </w:r>
            <w:r>
              <w:rPr>
                <w:rFonts w:hint="eastAsia"/>
                <w:sz w:val="18"/>
                <w:szCs w:val="18"/>
              </w:rPr>
              <w:t xml:space="preserve">                                          </w:t>
            </w:r>
          </w:p>
        </w:tc>
      </w:tr>
      <w:tr w14:paraId="2B3364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0" w:type="auto"/>
            <w:gridSpan w:val="2"/>
            <w:tcBorders>
              <w:tl2br w:val="nil"/>
              <w:tr2bl w:val="nil"/>
            </w:tcBorders>
          </w:tcPr>
          <w:p w14:paraId="65D9F322">
            <w:pPr>
              <w:spacing w:line="360" w:lineRule="auto"/>
              <w:rPr>
                <w:sz w:val="18"/>
                <w:szCs w:val="18"/>
              </w:rPr>
            </w:pPr>
            <w:r>
              <w:rPr>
                <w:rFonts w:hint="eastAsia"/>
                <w:b/>
                <w:bCs/>
                <w:sz w:val="18"/>
                <w:szCs w:val="18"/>
              </w:rPr>
              <w:t>是否开展过节能改造</w:t>
            </w:r>
            <w:r>
              <w:rPr>
                <w:rFonts w:hint="eastAsia"/>
                <w:sz w:val="18"/>
                <w:szCs w:val="18"/>
              </w:rPr>
              <w:t>：</w:t>
            </w:r>
          </w:p>
          <w:p w14:paraId="4A6D341C">
            <w:pPr>
              <w:spacing w:line="360" w:lineRule="auto"/>
              <w:ind w:firstLine="360" w:firstLineChars="200"/>
              <w:rPr>
                <w:sz w:val="18"/>
                <w:szCs w:val="18"/>
              </w:rPr>
            </w:pPr>
            <w:r>
              <w:rPr>
                <w:rFonts w:hint="eastAsia"/>
                <w:sz w:val="18"/>
                <w:szCs w:val="18"/>
              </w:rPr>
              <w:t>改造时间：</w:t>
            </w:r>
            <w:r>
              <w:rPr>
                <w:rFonts w:hint="eastAsia"/>
                <w:sz w:val="18"/>
                <w:szCs w:val="18"/>
                <w:u w:val="single"/>
              </w:rPr>
              <w:t xml:space="preserve">                                               </w:t>
            </w:r>
          </w:p>
          <w:p w14:paraId="3EADCCC5">
            <w:pPr>
              <w:spacing w:line="360" w:lineRule="auto"/>
              <w:ind w:firstLine="360" w:firstLineChars="200"/>
              <w:rPr>
                <w:sz w:val="18"/>
                <w:szCs w:val="18"/>
              </w:rPr>
            </w:pPr>
            <w:r>
              <w:rPr>
                <w:rFonts w:hint="eastAsia"/>
                <w:sz w:val="18"/>
                <w:szCs w:val="18"/>
              </w:rPr>
              <w:t>改造部位及内容：</w:t>
            </w:r>
            <w:r>
              <w:rPr>
                <w:rFonts w:hint="eastAsia"/>
                <w:sz w:val="18"/>
                <w:szCs w:val="18"/>
                <w:u w:val="single"/>
              </w:rPr>
              <w:t xml:space="preserve">                                          </w:t>
            </w:r>
            <w:r>
              <w:rPr>
                <w:rFonts w:hint="eastAsia"/>
                <w:sz w:val="18"/>
                <w:szCs w:val="18"/>
              </w:rPr>
              <w:t xml:space="preserve">                </w:t>
            </w:r>
          </w:p>
        </w:tc>
      </w:tr>
    </w:tbl>
    <w:p w14:paraId="34846C9F">
      <w:pPr>
        <w:widowControl/>
        <w:spacing w:line="360" w:lineRule="auto"/>
        <w:jc w:val="center"/>
        <w:rPr>
          <w:rFonts w:ascii="宋体" w:hAnsi="宋体" w:eastAsia="宋体" w:cs="Times New Roman"/>
          <w:color w:val="000000"/>
          <w:sz w:val="18"/>
          <w:szCs w:val="18"/>
          <w:lang w:bidi="ar"/>
        </w:rPr>
      </w:pPr>
      <w:r>
        <w:rPr>
          <w:rFonts w:hint="eastAsia" w:ascii="宋体" w:hAnsi="宋体" w:eastAsia="宋体" w:cs="Times New Roman"/>
          <w:color w:val="000000"/>
          <w:sz w:val="18"/>
          <w:szCs w:val="18"/>
          <w:lang w:bidi="ar"/>
        </w:rPr>
        <w:t>B-2 用能设备信息表</w:t>
      </w:r>
    </w:p>
    <w:tbl>
      <w:tblPr>
        <w:tblStyle w:val="1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38"/>
        <w:gridCol w:w="2838"/>
        <w:gridCol w:w="2846"/>
      </w:tblGrid>
      <w:tr w14:paraId="40DCA8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18337200">
            <w:pPr>
              <w:spacing w:line="360" w:lineRule="auto"/>
              <w:rPr>
                <w:rFonts w:ascii="宋体" w:hAnsi="宋体" w:eastAsia="宋体" w:cs="宋体"/>
                <w:sz w:val="18"/>
                <w:szCs w:val="18"/>
              </w:rPr>
            </w:pPr>
            <w:r>
              <w:rPr>
                <w:rFonts w:hint="eastAsia" w:ascii="宋体" w:hAnsi="宋体" w:eastAsia="宋体" w:cs="宋体"/>
                <w:b/>
                <w:bCs/>
                <w:sz w:val="18"/>
                <w:szCs w:val="18"/>
              </w:rPr>
              <w:t>冷热源及空调设备：冷热源</w:t>
            </w:r>
          </w:p>
        </w:tc>
      </w:tr>
      <w:tr w14:paraId="30A261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665" w:type="pct"/>
            <w:tcBorders>
              <w:tl2br w:val="nil"/>
              <w:tr2bl w:val="nil"/>
            </w:tcBorders>
          </w:tcPr>
          <w:p w14:paraId="2AC1E280">
            <w:pPr>
              <w:spacing w:line="360" w:lineRule="auto"/>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制冷设备：</w:t>
            </w:r>
          </w:p>
          <w:p w14:paraId="04EE8835">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水冷式机组</w:t>
            </w:r>
          </w:p>
          <w:p w14:paraId="4FCAAC2E">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空气源热泵机组</w:t>
            </w:r>
          </w:p>
          <w:p w14:paraId="167D0D2C">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多联机空调（热泵）机组</w:t>
            </w:r>
          </w:p>
          <w:p w14:paraId="6B6EC6D4">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溴化锂吸收式机组</w:t>
            </w:r>
          </w:p>
          <w:p w14:paraId="60BE1D76">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地/水源热泵</w:t>
            </w:r>
          </w:p>
          <w:p w14:paraId="5023FD85">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水环热泵</w:t>
            </w:r>
          </w:p>
          <w:p w14:paraId="05FF9C2A">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房间空调器</w:t>
            </w:r>
          </w:p>
          <w:p w14:paraId="1AB163D3">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sz w:val="18"/>
                <w:szCs w:val="18"/>
                <w:u w:val="single"/>
              </w:rPr>
              <w:t xml:space="preserve">         </w:t>
            </w:r>
          </w:p>
        </w:tc>
        <w:tc>
          <w:tcPr>
            <w:tcW w:w="1665" w:type="pct"/>
            <w:tcBorders>
              <w:tl2br w:val="nil"/>
              <w:tr2bl w:val="nil"/>
            </w:tcBorders>
          </w:tcPr>
          <w:p w14:paraId="5C92531E">
            <w:pPr>
              <w:spacing w:line="360" w:lineRule="auto"/>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供热设备：</w:t>
            </w:r>
          </w:p>
          <w:p w14:paraId="0320ADD3">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燃气锅炉</w:t>
            </w:r>
          </w:p>
          <w:p w14:paraId="111E8800">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燃油锅炉</w:t>
            </w:r>
          </w:p>
          <w:p w14:paraId="56F3EA45">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集中供热管网</w:t>
            </w:r>
          </w:p>
          <w:p w14:paraId="4192DB7F">
            <w:pPr>
              <w:spacing w:line="360" w:lineRule="auto"/>
              <w:rPr>
                <w:rFonts w:ascii="宋体" w:hAnsi="宋体" w:eastAsia="宋体" w:cs="宋体"/>
                <w:sz w:val="18"/>
                <w:szCs w:val="18"/>
              </w:rPr>
            </w:pPr>
            <w:r>
              <w:rPr>
                <w:rFonts w:hint="eastAsia" w:ascii="Times New Roman" w:hAnsi="Times New Roman" w:eastAsia="宋体" w:cs="Times New Roman"/>
                <w:kern w:val="0"/>
                <w:sz w:val="18"/>
                <w:szCs w:val="18"/>
                <w:lang w:bidi="ar"/>
              </w:rPr>
              <w:t xml:space="preserve">  □</w:t>
            </w:r>
            <w:r>
              <w:rPr>
                <w:rFonts w:hint="eastAsia" w:ascii="宋体" w:hAnsi="宋体" w:eastAsia="宋体" w:cs="宋体"/>
                <w:sz w:val="18"/>
                <w:szCs w:val="18"/>
              </w:rPr>
              <w:t>空气源热泵机组</w:t>
            </w:r>
          </w:p>
          <w:p w14:paraId="1F049D48">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溴化锂吸收式机组</w:t>
            </w:r>
          </w:p>
          <w:p w14:paraId="573E018E">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多联机空调（热泵）机组</w:t>
            </w:r>
          </w:p>
          <w:p w14:paraId="27665E4F">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地/水源热泵</w:t>
            </w:r>
          </w:p>
          <w:p w14:paraId="677ABBB8">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热电联产机组</w:t>
            </w:r>
          </w:p>
          <w:p w14:paraId="0E4DDE06">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太阳能热水器</w:t>
            </w:r>
          </w:p>
          <w:p w14:paraId="5685600B">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sz w:val="18"/>
                <w:szCs w:val="18"/>
                <w:u w:val="single"/>
              </w:rPr>
              <w:t xml:space="preserve">         </w:t>
            </w:r>
          </w:p>
        </w:tc>
        <w:tc>
          <w:tcPr>
            <w:tcW w:w="1668" w:type="pct"/>
            <w:tcBorders>
              <w:tl2br w:val="nil"/>
              <w:tr2bl w:val="nil"/>
            </w:tcBorders>
          </w:tcPr>
          <w:p w14:paraId="313DB311">
            <w:pPr>
              <w:spacing w:line="360" w:lineRule="auto"/>
              <w:rPr>
                <w:rFonts w:ascii="宋体" w:hAnsi="宋体" w:eastAsia="宋体" w:cs="宋体"/>
                <w:sz w:val="18"/>
                <w:szCs w:val="18"/>
              </w:rPr>
            </w:pPr>
            <w:r>
              <w:rPr>
                <w:rFonts w:hint="eastAsia" w:ascii="宋体" w:hAnsi="宋体" w:eastAsia="宋体" w:cs="宋体"/>
                <w:sz w:val="18"/>
                <w:szCs w:val="18"/>
              </w:rPr>
              <w:t>生活热水设备：</w:t>
            </w:r>
          </w:p>
          <w:p w14:paraId="7E9AE977">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燃气锅炉</w:t>
            </w:r>
          </w:p>
          <w:p w14:paraId="48141B22">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燃油锅炉</w:t>
            </w:r>
          </w:p>
          <w:p w14:paraId="7A6C49E6">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空气源热泵机组</w:t>
            </w:r>
          </w:p>
          <w:p w14:paraId="74F8BBE6">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太阳能热水器</w:t>
            </w:r>
          </w:p>
          <w:p w14:paraId="2D29DAC7">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地源热泵</w:t>
            </w:r>
          </w:p>
          <w:p w14:paraId="2C4C1AD0">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水源热泵</w:t>
            </w:r>
          </w:p>
          <w:p w14:paraId="36D96875">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热电联产机组</w:t>
            </w:r>
          </w:p>
          <w:p w14:paraId="697C99CF">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□集中</w:t>
            </w:r>
            <w:r>
              <w:rPr>
                <w:rFonts w:hint="eastAsia" w:ascii="宋体" w:hAnsi="宋体" w:eastAsia="宋体" w:cs="宋体"/>
                <w:sz w:val="18"/>
                <w:szCs w:val="18"/>
              </w:rPr>
              <w:t>蒸汽/热水换热器</w:t>
            </w:r>
          </w:p>
          <w:p w14:paraId="3445B4DB">
            <w:pPr>
              <w:spacing w:line="360" w:lineRule="auto"/>
              <w:ind w:firstLine="180" w:firstLineChars="1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sz w:val="18"/>
                <w:szCs w:val="18"/>
                <w:u w:val="single"/>
              </w:rPr>
              <w:t xml:space="preserve">         </w:t>
            </w:r>
          </w:p>
        </w:tc>
      </w:tr>
      <w:tr w14:paraId="10189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00" w:type="pct"/>
            <w:gridSpan w:val="3"/>
            <w:tcBorders>
              <w:tl2br w:val="nil"/>
              <w:tr2bl w:val="nil"/>
            </w:tcBorders>
          </w:tcPr>
          <w:p w14:paraId="79F20154">
            <w:pPr>
              <w:spacing w:line="360" w:lineRule="auto"/>
              <w:rPr>
                <w:rFonts w:ascii="Times New Roman" w:hAnsi="Times New Roman" w:eastAsia="宋体" w:cs="Times New Roman"/>
                <w:kern w:val="0"/>
                <w:sz w:val="18"/>
                <w:szCs w:val="18"/>
                <w:lang w:bidi="ar"/>
              </w:rPr>
            </w:pPr>
            <w:r>
              <w:rPr>
                <w:rFonts w:hint="eastAsia" w:ascii="宋体" w:hAnsi="宋体" w:eastAsia="宋体" w:cs="宋体"/>
                <w:b/>
                <w:bCs/>
                <w:sz w:val="18"/>
                <w:szCs w:val="18"/>
              </w:rPr>
              <w:t>冷热源及空调设备：空调设备</w:t>
            </w:r>
          </w:p>
        </w:tc>
      </w:tr>
      <w:tr w14:paraId="75E81D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00" w:type="pct"/>
            <w:gridSpan w:val="3"/>
            <w:tcBorders>
              <w:tl2br w:val="nil"/>
              <w:tr2bl w:val="nil"/>
            </w:tcBorders>
          </w:tcPr>
          <w:p w14:paraId="24A14AAB">
            <w:pPr>
              <w:spacing w:line="360" w:lineRule="auto"/>
              <w:ind w:firstLine="180"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□集中空气处理机组    □风机盘管     □新风机组    □分体式空调</w:t>
            </w:r>
          </w:p>
          <w:p w14:paraId="71A28315">
            <w:pPr>
              <w:spacing w:line="360" w:lineRule="auto"/>
              <w:ind w:firstLine="180"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□其他：</w:t>
            </w:r>
            <w:r>
              <w:rPr>
                <w:rFonts w:hint="eastAsia"/>
                <w:sz w:val="18"/>
                <w:szCs w:val="18"/>
                <w:u w:val="single"/>
              </w:rPr>
              <w:t xml:space="preserve">         </w:t>
            </w:r>
          </w:p>
        </w:tc>
      </w:tr>
      <w:tr w14:paraId="0E0888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00" w:type="pct"/>
            <w:gridSpan w:val="3"/>
            <w:tcBorders>
              <w:tl2br w:val="nil"/>
              <w:tr2bl w:val="nil"/>
            </w:tcBorders>
          </w:tcPr>
          <w:p w14:paraId="06563FAD">
            <w:pPr>
              <w:spacing w:line="360" w:lineRule="auto"/>
              <w:rPr>
                <w:rFonts w:ascii="Times New Roman" w:hAnsi="Times New Roman" w:eastAsia="宋体" w:cs="Times New Roman"/>
                <w:kern w:val="0"/>
                <w:sz w:val="18"/>
                <w:szCs w:val="18"/>
                <w:lang w:bidi="ar"/>
              </w:rPr>
            </w:pPr>
            <w:r>
              <w:rPr>
                <w:rFonts w:hint="eastAsia" w:ascii="宋体" w:hAnsi="宋体" w:eastAsia="宋体" w:cs="宋体"/>
                <w:b/>
                <w:bCs/>
                <w:sz w:val="18"/>
                <w:szCs w:val="18"/>
              </w:rPr>
              <w:t>冷热源及空调设备：其他设备</w:t>
            </w:r>
          </w:p>
        </w:tc>
      </w:tr>
      <w:tr w14:paraId="67AC0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00" w:type="pct"/>
            <w:gridSpan w:val="3"/>
            <w:tcBorders>
              <w:tl2br w:val="nil"/>
              <w:tr2bl w:val="nil"/>
            </w:tcBorders>
          </w:tcPr>
          <w:p w14:paraId="29E0EDDC">
            <w:pPr>
              <w:spacing w:line="360" w:lineRule="auto"/>
              <w:ind w:firstLine="180"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□冷水泵     □冷却水泵     □热水泵     □补水泵     □冷凝水泵    □水处理设备</w:t>
            </w:r>
          </w:p>
          <w:p w14:paraId="30060630">
            <w:pPr>
              <w:spacing w:line="360" w:lineRule="auto"/>
              <w:ind w:firstLine="180"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□冷却塔     □风机         □热回收设备     □除湿设备     □加热设备</w:t>
            </w:r>
          </w:p>
          <w:p w14:paraId="1BF655E4">
            <w:pPr>
              <w:spacing w:line="360" w:lineRule="auto"/>
              <w:ind w:firstLine="180"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□其他：</w:t>
            </w:r>
            <w:r>
              <w:rPr>
                <w:rFonts w:hint="eastAsia"/>
                <w:sz w:val="18"/>
                <w:szCs w:val="18"/>
                <w:u w:val="single"/>
              </w:rPr>
              <w:t xml:space="preserve">         </w:t>
            </w:r>
          </w:p>
        </w:tc>
      </w:tr>
      <w:tr w14:paraId="4844AA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6EBFB445">
            <w:pPr>
              <w:spacing w:line="360" w:lineRule="auto"/>
              <w:rPr>
                <w:rFonts w:ascii="宋体" w:hAnsi="宋体" w:eastAsia="宋体" w:cs="宋体"/>
                <w:sz w:val="18"/>
                <w:szCs w:val="18"/>
              </w:rPr>
            </w:pPr>
            <w:r>
              <w:rPr>
                <w:rFonts w:hint="eastAsia" w:ascii="宋体" w:hAnsi="宋体" w:eastAsia="宋体" w:cs="宋体"/>
                <w:b/>
                <w:bCs/>
                <w:sz w:val="18"/>
                <w:szCs w:val="18"/>
              </w:rPr>
              <w:t>照明灯具形式</w:t>
            </w:r>
            <w:r>
              <w:rPr>
                <w:rFonts w:hint="eastAsia" w:ascii="宋体" w:hAnsi="宋体" w:eastAsia="宋体" w:cs="宋体"/>
                <w:sz w:val="18"/>
                <w:szCs w:val="18"/>
              </w:rPr>
              <w:t>：</w:t>
            </w:r>
          </w:p>
        </w:tc>
      </w:tr>
      <w:tr w14:paraId="68EEAA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73EFEA31">
            <w:pPr>
              <w:spacing w:line="360" w:lineRule="auto"/>
              <w:rPr>
                <w:rFonts w:ascii="宋体" w:hAnsi="宋体" w:eastAsia="宋体" w:cs="宋体"/>
                <w:sz w:val="18"/>
                <w:szCs w:val="18"/>
              </w:rPr>
            </w:pPr>
            <w:r>
              <w:rPr>
                <w:rFonts w:hint="eastAsia" w:ascii="宋体" w:hAnsi="宋体" w:eastAsia="宋体" w:cs="宋体"/>
                <w:b/>
                <w:bCs/>
                <w:sz w:val="18"/>
                <w:szCs w:val="18"/>
              </w:rPr>
              <w:t>室内区域</w:t>
            </w:r>
            <w:r>
              <w:rPr>
                <w:rFonts w:hint="eastAsia" w:ascii="宋体" w:hAnsi="宋体" w:eastAsia="宋体" w:cs="宋体"/>
                <w:sz w:val="18"/>
                <w:szCs w:val="18"/>
              </w:rPr>
              <w:t>：</w:t>
            </w:r>
          </w:p>
          <w:p w14:paraId="4EEFD276">
            <w:pPr>
              <w:spacing w:line="360" w:lineRule="auto"/>
              <w:ind w:firstLine="360" w:firstLineChars="2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白炽灯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普通荧光灯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细管型荧光灯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汞灯        </w:t>
            </w:r>
          </w:p>
          <w:p w14:paraId="71E2EC92">
            <w:pPr>
              <w:spacing w:line="360" w:lineRule="auto"/>
              <w:ind w:firstLine="360" w:firstLineChars="2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紧凑型荧光灯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钠灯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LED灯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金属卤化物灯        </w:t>
            </w:r>
          </w:p>
          <w:p w14:paraId="3C54ED77">
            <w:pPr>
              <w:spacing w:line="360" w:lineRule="auto"/>
              <w:ind w:firstLine="360" w:firstLineChars="200"/>
              <w:rPr>
                <w:rFonts w:ascii="宋体" w:hAnsi="宋体" w:eastAsia="宋体" w:cs="宋体"/>
                <w:sz w:val="18"/>
                <w:szCs w:val="18"/>
                <w:u w:val="single"/>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ascii="宋体" w:hAnsi="宋体" w:eastAsia="宋体" w:cs="宋体"/>
                <w:sz w:val="18"/>
                <w:szCs w:val="18"/>
                <w:u w:val="single"/>
              </w:rPr>
              <w:t xml:space="preserve">     </w:t>
            </w:r>
          </w:p>
          <w:p w14:paraId="738216B9">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镇流器类型：</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普通电感镇流器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节能电感镇流器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电子镇流器 </w:t>
            </w:r>
          </w:p>
          <w:p w14:paraId="2A257AB4">
            <w:pPr>
              <w:spacing w:line="360" w:lineRule="auto"/>
              <w:rPr>
                <w:rFonts w:ascii="宋体" w:hAnsi="宋体" w:eastAsia="宋体" w:cs="宋体"/>
                <w:sz w:val="18"/>
                <w:szCs w:val="18"/>
              </w:rPr>
            </w:pPr>
            <w:r>
              <w:rPr>
                <w:rFonts w:hint="eastAsia" w:ascii="宋体" w:hAnsi="宋体" w:eastAsia="宋体" w:cs="宋体"/>
                <w:b/>
                <w:bCs/>
                <w:sz w:val="18"/>
                <w:szCs w:val="18"/>
              </w:rPr>
              <w:t>室外区域</w:t>
            </w:r>
            <w:r>
              <w:rPr>
                <w:rFonts w:hint="eastAsia" w:ascii="宋体" w:hAnsi="宋体" w:eastAsia="宋体" w:cs="宋体"/>
                <w:sz w:val="18"/>
                <w:szCs w:val="18"/>
              </w:rPr>
              <w:t>：</w:t>
            </w:r>
          </w:p>
          <w:p w14:paraId="7FE54D3A">
            <w:pPr>
              <w:spacing w:line="360" w:lineRule="auto"/>
              <w:ind w:firstLine="360" w:firstLineChars="2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白炽灯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普通荧光灯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细管型荧光灯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汞灯        </w:t>
            </w:r>
          </w:p>
          <w:p w14:paraId="180ED2A9">
            <w:pPr>
              <w:spacing w:line="360" w:lineRule="auto"/>
              <w:ind w:firstLine="360" w:firstLineChars="2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紧凑型荧光灯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钠灯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LED灯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金属卤化物灯        </w:t>
            </w:r>
          </w:p>
          <w:p w14:paraId="23B25C3F">
            <w:pPr>
              <w:spacing w:line="360" w:lineRule="auto"/>
              <w:ind w:firstLine="360" w:firstLineChars="200"/>
              <w:rPr>
                <w:rFonts w:ascii="宋体" w:hAnsi="宋体" w:eastAsia="宋体" w:cs="宋体"/>
                <w:sz w:val="18"/>
                <w:szCs w:val="18"/>
                <w:u w:val="single"/>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ascii="宋体" w:hAnsi="宋体" w:eastAsia="宋体" w:cs="宋体"/>
                <w:sz w:val="18"/>
                <w:szCs w:val="18"/>
                <w:u w:val="single"/>
              </w:rPr>
              <w:t xml:space="preserve">     </w:t>
            </w:r>
          </w:p>
          <w:p w14:paraId="6206EFDC">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镇流器类型：</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普通电感镇流器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节能电感镇流器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电子镇流器    </w:t>
            </w:r>
          </w:p>
        </w:tc>
      </w:tr>
      <w:tr w14:paraId="1F2DE5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36C94FB7">
            <w:pPr>
              <w:spacing w:line="360" w:lineRule="auto"/>
              <w:rPr>
                <w:rFonts w:ascii="宋体" w:hAnsi="宋体" w:eastAsia="宋体" w:cs="宋体"/>
                <w:b/>
                <w:bCs/>
                <w:sz w:val="18"/>
                <w:szCs w:val="18"/>
              </w:rPr>
            </w:pPr>
            <w:r>
              <w:rPr>
                <w:rFonts w:hint="eastAsia" w:ascii="宋体" w:hAnsi="宋体" w:eastAsia="宋体" w:cs="宋体"/>
                <w:b/>
                <w:bCs/>
                <w:sz w:val="18"/>
                <w:szCs w:val="18"/>
              </w:rPr>
              <w:t>供配电设备</w:t>
            </w:r>
            <w:r>
              <w:rPr>
                <w:rFonts w:hint="eastAsia" w:ascii="宋体" w:hAnsi="宋体" w:eastAsia="宋体" w:cs="宋体"/>
                <w:sz w:val="18"/>
                <w:szCs w:val="18"/>
              </w:rPr>
              <w:t>：</w:t>
            </w:r>
          </w:p>
        </w:tc>
      </w:tr>
      <w:tr w14:paraId="15A12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5BEAF063">
            <w:pPr>
              <w:spacing w:line="360" w:lineRule="auto"/>
              <w:ind w:firstLine="360" w:firstLineChars="200"/>
              <w:rPr>
                <w:rFonts w:ascii="宋体" w:hAnsi="宋体" w:eastAsia="宋体" w:cs="宋体"/>
                <w:b/>
                <w:bCs/>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电力变压器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接触器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ascii="宋体" w:hAnsi="宋体" w:eastAsia="宋体" w:cs="宋体"/>
                <w:sz w:val="18"/>
                <w:szCs w:val="18"/>
                <w:u w:val="single"/>
              </w:rPr>
              <w:t xml:space="preserve">     </w:t>
            </w:r>
          </w:p>
        </w:tc>
      </w:tr>
      <w:tr w14:paraId="61A0B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5C083D31">
            <w:pPr>
              <w:spacing w:line="360" w:lineRule="auto"/>
              <w:rPr>
                <w:rFonts w:ascii="宋体" w:hAnsi="宋体" w:eastAsia="宋体" w:cs="宋体"/>
                <w:sz w:val="18"/>
                <w:szCs w:val="18"/>
              </w:rPr>
            </w:pPr>
            <w:r>
              <w:rPr>
                <w:rFonts w:hint="eastAsia" w:ascii="宋体" w:hAnsi="宋体" w:eastAsia="宋体" w:cs="宋体"/>
                <w:b/>
                <w:bCs/>
                <w:sz w:val="18"/>
                <w:szCs w:val="18"/>
              </w:rPr>
              <w:t>动力设备</w:t>
            </w:r>
            <w:r>
              <w:rPr>
                <w:rFonts w:hint="eastAsia" w:ascii="宋体" w:hAnsi="宋体" w:eastAsia="宋体" w:cs="宋体"/>
                <w:sz w:val="18"/>
                <w:szCs w:val="18"/>
              </w:rPr>
              <w:t>：</w:t>
            </w:r>
          </w:p>
        </w:tc>
      </w:tr>
      <w:tr w14:paraId="0E407D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62062610">
            <w:pPr>
              <w:spacing w:line="360" w:lineRule="auto"/>
              <w:ind w:firstLine="361"/>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□电梯</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□自动扶梯</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□清水泵</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 xml:space="preserve">□污水泵      </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□一般通风机</w:t>
            </w:r>
          </w:p>
          <w:p w14:paraId="22D88916">
            <w:pPr>
              <w:spacing w:line="360" w:lineRule="auto"/>
              <w:ind w:firstLine="361"/>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□电动机     □排风扇         □其他类型泵</w:t>
            </w:r>
            <w:r>
              <w:rPr>
                <w:rFonts w:hint="eastAsia" w:ascii="Times New Roman" w:hAnsi="Times New Roman" w:eastAsia="宋体" w:cs="Times New Roman"/>
                <w:kern w:val="0"/>
                <w:sz w:val="18"/>
                <w:szCs w:val="18"/>
                <w:u w:val="single"/>
                <w:lang w:bidi="ar"/>
              </w:rPr>
              <w:t xml:space="preserve">           </w:t>
            </w:r>
            <w:r>
              <w:rPr>
                <w:rFonts w:hint="eastAsia" w:ascii="Times New Roman" w:hAnsi="Times New Roman" w:eastAsia="宋体" w:cs="Times New Roman"/>
                <w:kern w:val="0"/>
                <w:sz w:val="18"/>
                <w:szCs w:val="18"/>
                <w:lang w:bidi="ar"/>
              </w:rPr>
              <w:t xml:space="preserve">      □其他</w:t>
            </w:r>
            <w:r>
              <w:rPr>
                <w:rFonts w:hint="eastAsia" w:ascii="Times New Roman" w:hAnsi="Times New Roman" w:eastAsia="宋体" w:cs="Times New Roman"/>
                <w:kern w:val="0"/>
                <w:sz w:val="18"/>
                <w:szCs w:val="18"/>
                <w:u w:val="single"/>
                <w:lang w:bidi="ar"/>
              </w:rPr>
              <w:t xml:space="preserve">            </w:t>
            </w:r>
          </w:p>
        </w:tc>
      </w:tr>
      <w:tr w14:paraId="298E43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57FD3019">
            <w:pPr>
              <w:spacing w:line="360" w:lineRule="auto"/>
              <w:rPr>
                <w:rFonts w:ascii="宋体" w:hAnsi="宋体" w:eastAsia="宋体" w:cs="宋体"/>
                <w:sz w:val="18"/>
                <w:szCs w:val="18"/>
              </w:rPr>
            </w:pPr>
            <w:r>
              <w:rPr>
                <w:rFonts w:hint="eastAsia" w:ascii="宋体" w:hAnsi="宋体" w:eastAsia="宋体" w:cs="宋体"/>
                <w:b/>
                <w:bCs/>
                <w:sz w:val="18"/>
                <w:szCs w:val="18"/>
              </w:rPr>
              <w:t>特殊设备</w:t>
            </w:r>
            <w:r>
              <w:rPr>
                <w:rFonts w:hint="eastAsia" w:ascii="宋体" w:hAnsi="宋体" w:eastAsia="宋体" w:cs="宋体"/>
                <w:sz w:val="18"/>
                <w:szCs w:val="18"/>
              </w:rPr>
              <w:t>：</w:t>
            </w:r>
          </w:p>
        </w:tc>
      </w:tr>
      <w:tr w14:paraId="446E0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3"/>
            <w:tcBorders>
              <w:tl2br w:val="nil"/>
              <w:tr2bl w:val="nil"/>
            </w:tcBorders>
          </w:tcPr>
          <w:p w14:paraId="3A37A32E">
            <w:pPr>
              <w:spacing w:line="360" w:lineRule="auto"/>
              <w:ind w:firstLine="181" w:firstLineChars="100"/>
              <w:rPr>
                <w:rFonts w:ascii="宋体" w:hAnsi="宋体" w:eastAsia="宋体" w:cs="宋体"/>
                <w:sz w:val="18"/>
                <w:szCs w:val="18"/>
              </w:rPr>
            </w:pPr>
            <w:r>
              <w:rPr>
                <w:rFonts w:hint="eastAsia" w:ascii="Times New Roman" w:hAnsi="Times New Roman" w:eastAsia="宋体" w:cs="Times New Roman"/>
                <w:b/>
                <w:bCs/>
                <w:kern w:val="0"/>
                <w:sz w:val="18"/>
                <w:szCs w:val="18"/>
                <w:lang w:bidi="ar"/>
              </w:rPr>
              <w:t>□</w:t>
            </w:r>
            <w:r>
              <w:rPr>
                <w:rFonts w:hint="eastAsia" w:ascii="宋体" w:hAnsi="宋体" w:eastAsia="宋体" w:cs="宋体"/>
                <w:b/>
                <w:bCs/>
                <w:sz w:val="18"/>
                <w:szCs w:val="18"/>
              </w:rPr>
              <w:t>办公设备</w:t>
            </w:r>
          </w:p>
        </w:tc>
      </w:tr>
      <w:tr w14:paraId="77EBED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0CBA56D6">
            <w:pPr>
              <w:spacing w:line="360" w:lineRule="auto"/>
              <w:ind w:firstLine="36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台式电脑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打印机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复印机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传真机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饮水机</w:t>
            </w:r>
          </w:p>
          <w:p w14:paraId="1DF7CE1D">
            <w:pPr>
              <w:spacing w:line="360" w:lineRule="auto"/>
              <w:ind w:firstLine="36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碎纸机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笔记本电脑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ascii="宋体" w:hAnsi="宋体" w:eastAsia="宋体" w:cs="宋体"/>
                <w:sz w:val="18"/>
                <w:szCs w:val="18"/>
                <w:u w:val="single"/>
              </w:rPr>
              <w:t xml:space="preserve">     </w:t>
            </w:r>
          </w:p>
        </w:tc>
      </w:tr>
      <w:tr w14:paraId="6BBAC6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738FCE32">
            <w:pPr>
              <w:spacing w:line="360" w:lineRule="auto"/>
              <w:ind w:firstLine="181" w:firstLineChars="100"/>
              <w:rPr>
                <w:rFonts w:ascii="宋体" w:hAnsi="宋体" w:eastAsia="宋体" w:cs="宋体"/>
                <w:sz w:val="18"/>
                <w:szCs w:val="18"/>
              </w:rPr>
            </w:pPr>
            <w:r>
              <w:rPr>
                <w:rFonts w:hint="eastAsia" w:ascii="Times New Roman" w:hAnsi="Times New Roman" w:eastAsia="宋体" w:cs="Times New Roman"/>
                <w:b/>
                <w:bCs/>
                <w:kern w:val="0"/>
                <w:sz w:val="18"/>
                <w:szCs w:val="18"/>
                <w:lang w:bidi="ar"/>
              </w:rPr>
              <w:t>□</w:t>
            </w:r>
            <w:r>
              <w:rPr>
                <w:rFonts w:hint="eastAsia" w:ascii="宋体" w:hAnsi="宋体" w:eastAsia="宋体" w:cs="宋体"/>
                <w:b/>
                <w:bCs/>
                <w:sz w:val="18"/>
                <w:szCs w:val="18"/>
              </w:rPr>
              <w:t>厨房设备</w:t>
            </w:r>
          </w:p>
        </w:tc>
      </w:tr>
      <w:tr w14:paraId="4263A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1486D577">
            <w:pPr>
              <w:spacing w:line="360" w:lineRule="auto"/>
              <w:ind w:firstLine="36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电磁炉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洗碗机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微波炉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冰箱/冰柜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燃气炉</w:t>
            </w:r>
          </w:p>
          <w:p w14:paraId="568734D7">
            <w:pPr>
              <w:spacing w:line="360" w:lineRule="auto"/>
              <w:ind w:firstLine="360" w:firstLineChars="200"/>
              <w:rPr>
                <w:rFonts w:ascii="宋体" w:hAnsi="宋体" w:eastAsia="宋体" w:cs="宋体"/>
                <w:sz w:val="18"/>
                <w:szCs w:val="18"/>
              </w:rPr>
            </w:pP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 xml:space="preserve">烤箱           </w:t>
            </w:r>
            <w:r>
              <w:rPr>
                <w:rFonts w:hint="eastAsia" w:ascii="Times New Roman" w:hAnsi="Times New Roman" w:eastAsia="宋体" w:cs="Times New Roman"/>
                <w:kern w:val="0"/>
                <w:sz w:val="18"/>
                <w:szCs w:val="18"/>
                <w:lang w:bidi="ar"/>
              </w:rPr>
              <w:t xml:space="preserve">□油烟机    </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 xml:space="preserve">□油烟净化器   □消毒柜 </w:t>
            </w:r>
            <w:r>
              <w:rPr>
                <w:rFonts w:hint="eastAsia" w:ascii="宋体" w:hAnsi="宋体" w:eastAsia="宋体" w:cs="宋体"/>
                <w:sz w:val="18"/>
                <w:szCs w:val="18"/>
              </w:rPr>
              <w:t xml:space="preserve">         </w:t>
            </w:r>
            <w:r>
              <w:rPr>
                <w:rFonts w:hint="eastAsia" w:ascii="Times New Roman" w:hAnsi="Times New Roman" w:eastAsia="宋体" w:cs="Times New Roman"/>
                <w:kern w:val="0"/>
                <w:sz w:val="18"/>
                <w:szCs w:val="18"/>
                <w:lang w:bidi="ar"/>
              </w:rPr>
              <w:t>□</w:t>
            </w:r>
            <w:r>
              <w:rPr>
                <w:rFonts w:hint="eastAsia" w:ascii="宋体" w:hAnsi="宋体" w:eastAsia="宋体" w:cs="宋体"/>
                <w:sz w:val="18"/>
                <w:szCs w:val="18"/>
              </w:rPr>
              <w:t>其他：</w:t>
            </w:r>
            <w:r>
              <w:rPr>
                <w:rFonts w:hint="eastAsia" w:ascii="宋体" w:hAnsi="宋体" w:eastAsia="宋体" w:cs="宋体"/>
                <w:sz w:val="18"/>
                <w:szCs w:val="18"/>
                <w:u w:val="single"/>
              </w:rPr>
              <w:t xml:space="preserve">     </w:t>
            </w:r>
          </w:p>
        </w:tc>
      </w:tr>
      <w:tr w14:paraId="61FB37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688540C9">
            <w:pPr>
              <w:spacing w:line="360" w:lineRule="auto"/>
              <w:ind w:firstLine="181" w:firstLineChars="100"/>
              <w:rPr>
                <w:rFonts w:ascii="Times New Roman" w:hAnsi="Times New Roman" w:eastAsia="宋体" w:cs="Times New Roman"/>
                <w:kern w:val="0"/>
                <w:sz w:val="18"/>
                <w:szCs w:val="18"/>
                <w:lang w:bidi="ar"/>
              </w:rPr>
            </w:pPr>
            <w:r>
              <w:rPr>
                <w:rFonts w:hint="eastAsia" w:ascii="Times New Roman" w:hAnsi="Times New Roman" w:eastAsia="宋体" w:cs="Times New Roman"/>
                <w:b/>
                <w:bCs/>
                <w:kern w:val="0"/>
                <w:sz w:val="18"/>
                <w:szCs w:val="18"/>
                <w:lang w:bidi="ar"/>
              </w:rPr>
              <w:t>□</w:t>
            </w:r>
            <w:r>
              <w:rPr>
                <w:rFonts w:hint="eastAsia" w:ascii="宋体" w:hAnsi="宋体" w:eastAsia="宋体" w:cs="宋体"/>
                <w:b/>
                <w:bCs/>
                <w:sz w:val="18"/>
                <w:szCs w:val="18"/>
              </w:rPr>
              <w:t>其他特殊设备</w:t>
            </w:r>
          </w:p>
        </w:tc>
      </w:tr>
      <w:tr w14:paraId="23D70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5B7051A0">
            <w:pPr>
              <w:spacing w:line="360" w:lineRule="auto"/>
              <w:rPr>
                <w:rFonts w:ascii="Times New Roman" w:hAnsi="Times New Roman" w:eastAsia="宋体" w:cs="Times New Roman"/>
                <w:b/>
                <w:bCs/>
                <w:kern w:val="0"/>
                <w:sz w:val="18"/>
                <w:szCs w:val="18"/>
                <w:lang w:bidi="ar"/>
              </w:rPr>
            </w:pPr>
            <w:r>
              <w:rPr>
                <w:rFonts w:hint="eastAsia" w:ascii="Times New Roman" w:hAnsi="Times New Roman" w:eastAsia="宋体" w:cs="Times New Roman"/>
                <w:b/>
                <w:bCs/>
                <w:kern w:val="0"/>
                <w:sz w:val="18"/>
                <w:szCs w:val="18"/>
                <w:lang w:bidi="ar"/>
              </w:rPr>
              <w:t>生活热水设备：</w:t>
            </w:r>
            <w:r>
              <w:rPr>
                <w:rFonts w:hint="eastAsia" w:ascii="Times New Roman" w:hAnsi="Times New Roman" w:eastAsia="宋体" w:cs="Times New Roman"/>
                <w:kern w:val="0"/>
                <w:sz w:val="18"/>
                <w:szCs w:val="18"/>
                <w:u w:val="single"/>
                <w:lang w:bidi="ar"/>
              </w:rPr>
              <w:t xml:space="preserve">                                                      </w:t>
            </w:r>
          </w:p>
        </w:tc>
      </w:tr>
      <w:tr w14:paraId="428C8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7C818D96">
            <w:pPr>
              <w:spacing w:line="360" w:lineRule="auto"/>
              <w:rPr>
                <w:rFonts w:ascii="Times New Roman" w:hAnsi="Times New Roman" w:eastAsia="宋体" w:cs="Times New Roman"/>
                <w:b/>
                <w:bCs/>
                <w:kern w:val="0"/>
                <w:sz w:val="18"/>
                <w:szCs w:val="18"/>
                <w:lang w:bidi="ar"/>
              </w:rPr>
            </w:pPr>
            <w:r>
              <w:rPr>
                <w:rFonts w:hint="eastAsia" w:ascii="Times New Roman" w:hAnsi="Times New Roman" w:eastAsia="宋体" w:cs="Times New Roman"/>
                <w:b/>
                <w:bCs/>
                <w:kern w:val="0"/>
                <w:sz w:val="18"/>
                <w:szCs w:val="18"/>
                <w:lang w:bidi="ar"/>
              </w:rPr>
              <w:t>其他设备：</w:t>
            </w:r>
            <w:r>
              <w:rPr>
                <w:rFonts w:hint="eastAsia" w:ascii="Times New Roman" w:hAnsi="Times New Roman" w:eastAsia="宋体" w:cs="Times New Roman"/>
                <w:kern w:val="0"/>
                <w:sz w:val="18"/>
                <w:szCs w:val="18"/>
                <w:u w:val="single"/>
                <w:lang w:bidi="ar"/>
              </w:rPr>
              <w:t xml:space="preserve">                                                      </w:t>
            </w:r>
          </w:p>
        </w:tc>
      </w:tr>
      <w:tr w14:paraId="11C8F8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l2br w:val="nil"/>
              <w:tr2bl w:val="nil"/>
            </w:tcBorders>
          </w:tcPr>
          <w:p w14:paraId="3BF5A9B4">
            <w:pPr>
              <w:spacing w:line="360" w:lineRule="auto"/>
              <w:rPr>
                <w:rFonts w:ascii="Times New Roman" w:hAnsi="Times New Roman" w:eastAsia="宋体" w:cs="Times New Roman"/>
                <w:b/>
                <w:bCs/>
                <w:kern w:val="0"/>
                <w:sz w:val="18"/>
                <w:szCs w:val="18"/>
                <w:lang w:bidi="ar"/>
              </w:rPr>
            </w:pPr>
            <w:r>
              <w:rPr>
                <w:rFonts w:hint="eastAsia" w:ascii="Times New Roman" w:hAnsi="Times New Roman" w:eastAsia="宋体" w:cs="Times New Roman"/>
                <w:b/>
                <w:bCs/>
                <w:kern w:val="0"/>
                <w:sz w:val="18"/>
                <w:szCs w:val="18"/>
                <w:lang w:bidi="ar"/>
              </w:rPr>
              <w:t>设备更新情况：</w:t>
            </w:r>
            <w:r>
              <w:rPr>
                <w:rFonts w:hint="eastAsia" w:ascii="Times New Roman" w:hAnsi="Times New Roman" w:eastAsia="宋体" w:cs="Times New Roman"/>
                <w:kern w:val="0"/>
                <w:sz w:val="18"/>
                <w:szCs w:val="18"/>
                <w:u w:val="single"/>
                <w:lang w:bidi="ar"/>
              </w:rPr>
              <w:t xml:space="preserve">                                                       </w:t>
            </w:r>
          </w:p>
        </w:tc>
      </w:tr>
    </w:tbl>
    <w:p w14:paraId="4EC1F119">
      <w:pPr>
        <w:widowControl/>
        <w:spacing w:line="360" w:lineRule="auto"/>
        <w:jc w:val="left"/>
        <w:rPr>
          <w:rFonts w:ascii="宋体" w:hAnsi="宋体" w:eastAsia="宋体" w:cs="Times New Roman"/>
          <w:color w:val="000000"/>
          <w:sz w:val="18"/>
          <w:szCs w:val="18"/>
          <w:lang w:bidi="ar"/>
        </w:rPr>
      </w:pPr>
      <w:r>
        <w:rPr>
          <w:rFonts w:hint="eastAsia" w:ascii="宋体" w:hAnsi="宋体" w:eastAsia="宋体" w:cs="Times New Roman"/>
          <w:color w:val="000000"/>
          <w:sz w:val="18"/>
          <w:szCs w:val="18"/>
          <w:lang w:bidi="ar"/>
        </w:rPr>
        <w:t>注：用能设备根据实际情况进行选择，可另加行。</w:t>
      </w:r>
    </w:p>
    <w:p w14:paraId="46E418F3">
      <w:pPr>
        <w:widowControl/>
        <w:spacing w:line="360" w:lineRule="auto"/>
        <w:jc w:val="center"/>
        <w:rPr>
          <w:rFonts w:ascii="宋体" w:hAnsi="宋体" w:eastAsia="宋体" w:cs="Times New Roman"/>
          <w:color w:val="000000"/>
          <w:sz w:val="18"/>
          <w:szCs w:val="18"/>
          <w:lang w:bidi="ar"/>
        </w:rPr>
      </w:pPr>
    </w:p>
    <w:p w14:paraId="446A7CAF">
      <w:pPr>
        <w:widowControl/>
        <w:spacing w:line="360" w:lineRule="auto"/>
        <w:jc w:val="center"/>
        <w:rPr>
          <w:rFonts w:ascii="宋体" w:hAnsi="宋体" w:eastAsia="宋体" w:cs="Times New Roman"/>
          <w:color w:val="000000"/>
          <w:sz w:val="18"/>
          <w:szCs w:val="18"/>
          <w:lang w:bidi="ar"/>
        </w:rPr>
      </w:pPr>
    </w:p>
    <w:p w14:paraId="201EEA78">
      <w:pPr>
        <w:widowControl/>
        <w:spacing w:line="360" w:lineRule="auto"/>
        <w:jc w:val="center"/>
        <w:rPr>
          <w:rFonts w:ascii="宋体" w:hAnsi="宋体" w:eastAsia="宋体" w:cs="Times New Roman"/>
          <w:color w:val="000000"/>
          <w:sz w:val="18"/>
          <w:szCs w:val="18"/>
          <w:lang w:bidi="ar"/>
        </w:rPr>
      </w:pPr>
    </w:p>
    <w:p w14:paraId="005E53FD">
      <w:pPr>
        <w:widowControl/>
        <w:spacing w:line="360" w:lineRule="auto"/>
        <w:jc w:val="center"/>
        <w:rPr>
          <w:rFonts w:ascii="宋体" w:hAnsi="宋体" w:eastAsia="宋体" w:cs="Times New Roman"/>
          <w:color w:val="000000"/>
          <w:sz w:val="18"/>
          <w:szCs w:val="18"/>
          <w:lang w:bidi="ar"/>
        </w:rPr>
      </w:pPr>
    </w:p>
    <w:p w14:paraId="7577259C">
      <w:pPr>
        <w:widowControl/>
        <w:spacing w:line="360" w:lineRule="auto"/>
        <w:jc w:val="center"/>
        <w:rPr>
          <w:rFonts w:ascii="宋体" w:hAnsi="宋体" w:eastAsia="宋体" w:cs="Times New Roman"/>
          <w:color w:val="000000"/>
          <w:sz w:val="18"/>
          <w:szCs w:val="18"/>
          <w:lang w:bidi="ar"/>
        </w:rPr>
      </w:pPr>
    </w:p>
    <w:p w14:paraId="6127297E">
      <w:pPr>
        <w:widowControl/>
        <w:spacing w:line="360" w:lineRule="auto"/>
        <w:jc w:val="center"/>
        <w:rPr>
          <w:rFonts w:ascii="宋体" w:hAnsi="宋体" w:eastAsia="宋体" w:cs="Times New Roman"/>
          <w:color w:val="000000"/>
          <w:sz w:val="18"/>
          <w:szCs w:val="18"/>
          <w:lang w:bidi="ar"/>
        </w:rPr>
        <w:sectPr>
          <w:pgSz w:w="11906" w:h="16838"/>
          <w:pgMar w:top="1440" w:right="1800" w:bottom="1440" w:left="1800" w:header="851" w:footer="992" w:gutter="0"/>
          <w:pgNumType w:fmt="decimal"/>
          <w:cols w:space="425" w:num="1"/>
          <w:docGrid w:type="lines" w:linePitch="312" w:charSpace="0"/>
        </w:sectPr>
      </w:pPr>
    </w:p>
    <w:p w14:paraId="707132FF">
      <w:pPr>
        <w:widowControl/>
        <w:spacing w:line="360" w:lineRule="auto"/>
        <w:jc w:val="center"/>
        <w:rPr>
          <w:rFonts w:ascii="宋体" w:hAnsi="宋体" w:eastAsia="宋体" w:cs="Times New Roman"/>
          <w:color w:val="000000"/>
          <w:sz w:val="18"/>
          <w:szCs w:val="18"/>
          <w:lang w:bidi="ar"/>
        </w:rPr>
      </w:pPr>
      <w:r>
        <w:rPr>
          <w:rFonts w:hint="eastAsia" w:ascii="宋体" w:hAnsi="宋体" w:eastAsia="宋体" w:cs="Times New Roman"/>
          <w:color w:val="000000"/>
          <w:sz w:val="18"/>
          <w:szCs w:val="18"/>
          <w:lang w:bidi="ar"/>
        </w:rPr>
        <w:t>B-3 ____年至____年逐年能源账单</w:t>
      </w:r>
    </w:p>
    <w:tbl>
      <w:tblPr>
        <w:tblStyle w:val="19"/>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176"/>
        <w:gridCol w:w="1176"/>
        <w:gridCol w:w="1176"/>
        <w:gridCol w:w="1176"/>
        <w:gridCol w:w="1176"/>
        <w:gridCol w:w="1176"/>
        <w:gridCol w:w="1176"/>
        <w:gridCol w:w="1176"/>
        <w:gridCol w:w="1209"/>
        <w:gridCol w:w="1090"/>
        <w:gridCol w:w="664"/>
      </w:tblGrid>
      <w:tr w14:paraId="4A2AA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34" w:type="pct"/>
            <w:vMerge w:val="restart"/>
            <w:tcBorders>
              <w:tl2br w:val="single" w:color="auto" w:sz="4" w:space="0"/>
            </w:tcBorders>
            <w:vAlign w:val="center"/>
          </w:tcPr>
          <w:p w14:paraId="5F595094">
            <w:pPr>
              <w:adjustRightInd w:val="0"/>
              <w:spacing w:line="360" w:lineRule="auto"/>
              <w:ind w:left="420" w:leftChars="200"/>
              <w:jc w:val="center"/>
              <w:rPr>
                <w:rFonts w:ascii="Times New Roman" w:hAnsi="Times New Roman" w:eastAsia="宋体" w:cs="Times New Roman"/>
                <w:sz w:val="18"/>
                <w:szCs w:val="18"/>
              </w:rPr>
            </w:pPr>
            <w:r>
              <w:rPr>
                <w:rFonts w:ascii="Times New Roman" w:hAnsi="Times New Roman" w:eastAsia="宋体" w:cs="Times New Roman"/>
                <w:sz w:val="18"/>
                <w:szCs w:val="18"/>
              </w:rPr>
              <w:t>能源种类</w:t>
            </w:r>
          </w:p>
          <w:p w14:paraId="6E446859">
            <w:pPr>
              <w:adjustRightInd w:val="0"/>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年份</w:t>
            </w:r>
          </w:p>
        </w:tc>
        <w:tc>
          <w:tcPr>
            <w:tcW w:w="3746" w:type="pct"/>
            <w:gridSpan w:val="9"/>
            <w:tcBorders>
              <w:tl2br w:val="nil"/>
              <w:tr2bl w:val="nil"/>
            </w:tcBorders>
            <w:vAlign w:val="center"/>
          </w:tcPr>
          <w:p w14:paraId="20AB6675">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能源种类</w:t>
            </w:r>
          </w:p>
        </w:tc>
        <w:tc>
          <w:tcPr>
            <w:tcW w:w="384" w:type="pct"/>
            <w:tcBorders>
              <w:tl2br w:val="nil"/>
              <w:tr2bl w:val="nil"/>
            </w:tcBorders>
            <w:vAlign w:val="center"/>
          </w:tcPr>
          <w:p w14:paraId="74DCF308">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资源</w:t>
            </w:r>
          </w:p>
        </w:tc>
        <w:tc>
          <w:tcPr>
            <w:tcW w:w="234" w:type="pct"/>
            <w:vMerge w:val="restart"/>
            <w:tcBorders>
              <w:tl2br w:val="nil"/>
              <w:tr2bl w:val="nil"/>
            </w:tcBorders>
            <w:vAlign w:val="center"/>
          </w:tcPr>
          <w:p w14:paraId="116A1789">
            <w:pPr>
              <w:adjustRightIn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可再生</w:t>
            </w:r>
          </w:p>
          <w:p w14:paraId="212F2351">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能源</w:t>
            </w:r>
          </w:p>
        </w:tc>
      </w:tr>
      <w:tr w14:paraId="4CED9A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634" w:type="pct"/>
            <w:vMerge w:val="continue"/>
            <w:tcBorders>
              <w:tl2br w:val="nil"/>
              <w:tr2bl w:val="nil"/>
            </w:tcBorders>
            <w:vAlign w:val="center"/>
          </w:tcPr>
          <w:p w14:paraId="4A6431BF">
            <w:pPr>
              <w:adjustRightInd w:val="0"/>
              <w:spacing w:line="360" w:lineRule="auto"/>
              <w:jc w:val="center"/>
              <w:rPr>
                <w:rFonts w:ascii="Times New Roman" w:hAnsi="Times New Roman" w:eastAsia="宋体" w:cs="Times New Roman"/>
                <w:kern w:val="0"/>
                <w:sz w:val="18"/>
                <w:szCs w:val="18"/>
                <w:lang w:bidi="ar"/>
              </w:rPr>
            </w:pPr>
          </w:p>
        </w:tc>
        <w:tc>
          <w:tcPr>
            <w:tcW w:w="415" w:type="pct"/>
            <w:tcBorders>
              <w:tl2br w:val="nil"/>
              <w:tr2bl w:val="nil"/>
            </w:tcBorders>
            <w:vAlign w:val="center"/>
          </w:tcPr>
          <w:p w14:paraId="276DD014">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kern w:val="0"/>
                <w:sz w:val="18"/>
                <w:szCs w:val="18"/>
                <w:lang w:bidi="ar"/>
              </w:rPr>
              <w:t>电</w:t>
            </w:r>
          </w:p>
        </w:tc>
        <w:tc>
          <w:tcPr>
            <w:tcW w:w="415" w:type="pct"/>
            <w:tcBorders>
              <w:tl2br w:val="nil"/>
              <w:tr2bl w:val="nil"/>
            </w:tcBorders>
            <w:vAlign w:val="center"/>
          </w:tcPr>
          <w:p w14:paraId="5AFC5E26">
            <w:pPr>
              <w:adjustRightIn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燃气</w:t>
            </w:r>
          </w:p>
        </w:tc>
        <w:tc>
          <w:tcPr>
            <w:tcW w:w="415" w:type="pct"/>
            <w:tcBorders>
              <w:tl2br w:val="nil"/>
              <w:tr2bl w:val="nil"/>
            </w:tcBorders>
            <w:shd w:val="clear" w:color="auto" w:fill="auto"/>
            <w:vAlign w:val="center"/>
          </w:tcPr>
          <w:p w14:paraId="1283F1D2">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集中供热</w:t>
            </w:r>
          </w:p>
        </w:tc>
        <w:tc>
          <w:tcPr>
            <w:tcW w:w="415" w:type="pct"/>
            <w:tcBorders>
              <w:tl2br w:val="nil"/>
              <w:tr2bl w:val="nil"/>
            </w:tcBorders>
            <w:shd w:val="clear" w:color="auto" w:fill="auto"/>
            <w:vAlign w:val="center"/>
          </w:tcPr>
          <w:p w14:paraId="09402524">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集中供冷</w:t>
            </w:r>
          </w:p>
        </w:tc>
        <w:tc>
          <w:tcPr>
            <w:tcW w:w="415" w:type="pct"/>
            <w:tcBorders>
              <w:tl2br w:val="nil"/>
              <w:tr2bl w:val="nil"/>
            </w:tcBorders>
            <w:shd w:val="clear" w:color="auto" w:fill="auto"/>
            <w:vAlign w:val="center"/>
          </w:tcPr>
          <w:p w14:paraId="29BF43D1">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集中热水</w:t>
            </w:r>
          </w:p>
        </w:tc>
        <w:tc>
          <w:tcPr>
            <w:tcW w:w="415" w:type="pct"/>
            <w:tcBorders>
              <w:tl2br w:val="nil"/>
              <w:tr2bl w:val="nil"/>
            </w:tcBorders>
            <w:shd w:val="clear" w:color="auto" w:fill="auto"/>
            <w:vAlign w:val="center"/>
          </w:tcPr>
          <w:p w14:paraId="57A5CFA6">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柴油</w:t>
            </w:r>
          </w:p>
        </w:tc>
        <w:tc>
          <w:tcPr>
            <w:tcW w:w="415" w:type="pct"/>
            <w:tcBorders>
              <w:tl2br w:val="nil"/>
              <w:tr2bl w:val="nil"/>
            </w:tcBorders>
            <w:shd w:val="clear" w:color="auto" w:fill="auto"/>
            <w:vAlign w:val="center"/>
          </w:tcPr>
          <w:p w14:paraId="32542632">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汽油</w:t>
            </w:r>
          </w:p>
        </w:tc>
        <w:tc>
          <w:tcPr>
            <w:tcW w:w="415" w:type="pct"/>
            <w:tcBorders>
              <w:tl2br w:val="nil"/>
              <w:tr2bl w:val="nil"/>
            </w:tcBorders>
            <w:vAlign w:val="center"/>
          </w:tcPr>
          <w:p w14:paraId="302A273E">
            <w:pPr>
              <w:adjustRightInd w:val="0"/>
              <w:spacing w:line="360" w:lineRule="auto"/>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煤</w:t>
            </w:r>
          </w:p>
        </w:tc>
        <w:tc>
          <w:tcPr>
            <w:tcW w:w="418" w:type="pct"/>
            <w:tcBorders>
              <w:tl2br w:val="nil"/>
              <w:tr2bl w:val="nil"/>
            </w:tcBorders>
            <w:vAlign w:val="center"/>
          </w:tcPr>
          <w:p w14:paraId="1662C31F">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kern w:val="0"/>
                <w:sz w:val="18"/>
                <w:szCs w:val="18"/>
                <w:lang w:bidi="ar"/>
              </w:rPr>
              <w:t>其他</w:t>
            </w:r>
          </w:p>
        </w:tc>
        <w:tc>
          <w:tcPr>
            <w:tcW w:w="384" w:type="pct"/>
            <w:tcBorders>
              <w:tl2br w:val="nil"/>
              <w:tr2bl w:val="nil"/>
            </w:tcBorders>
            <w:vAlign w:val="center"/>
          </w:tcPr>
          <w:p w14:paraId="7043F3BD">
            <w:pPr>
              <w:adjustRightInd w:val="0"/>
              <w:spacing w:line="360" w:lineRule="auto"/>
              <w:jc w:val="center"/>
              <w:rPr>
                <w:rFonts w:ascii="Times New Roman" w:hAnsi="Times New Roman" w:eastAsia="宋体" w:cs="Times New Roman"/>
                <w:sz w:val="18"/>
                <w:szCs w:val="18"/>
              </w:rPr>
            </w:pPr>
            <w:r>
              <w:rPr>
                <w:rFonts w:ascii="Times New Roman" w:hAnsi="Times New Roman" w:eastAsia="宋体" w:cs="Times New Roman"/>
                <w:kern w:val="0"/>
                <w:sz w:val="18"/>
                <w:szCs w:val="18"/>
                <w:lang w:bidi="ar"/>
              </w:rPr>
              <w:t>水</w:t>
            </w:r>
          </w:p>
        </w:tc>
        <w:tc>
          <w:tcPr>
            <w:tcW w:w="234" w:type="pct"/>
            <w:vMerge w:val="continue"/>
            <w:tcBorders>
              <w:tl2br w:val="nil"/>
              <w:tr2bl w:val="nil"/>
            </w:tcBorders>
            <w:vAlign w:val="center"/>
          </w:tcPr>
          <w:p w14:paraId="2D3D7CF0">
            <w:pPr>
              <w:adjustRightInd w:val="0"/>
              <w:spacing w:line="360" w:lineRule="auto"/>
              <w:jc w:val="center"/>
              <w:rPr>
                <w:rFonts w:ascii="Times New Roman" w:hAnsi="Times New Roman" w:eastAsia="宋体" w:cs="Times New Roman"/>
                <w:sz w:val="18"/>
                <w:szCs w:val="18"/>
              </w:rPr>
            </w:pPr>
          </w:p>
        </w:tc>
      </w:tr>
      <w:tr w14:paraId="1E0CB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34" w:type="pct"/>
            <w:tcBorders>
              <w:tl2br w:val="nil"/>
              <w:tr2bl w:val="nil"/>
            </w:tcBorders>
            <w:vAlign w:val="center"/>
          </w:tcPr>
          <w:p w14:paraId="4C5D9F6F">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297D7F04">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1D337770">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20B5E323">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shd w:val="clear" w:color="auto" w:fill="auto"/>
            <w:vAlign w:val="center"/>
          </w:tcPr>
          <w:p w14:paraId="6257504C">
            <w:pPr>
              <w:adjustRightInd w:val="0"/>
              <w:spacing w:line="360" w:lineRule="auto"/>
              <w:jc w:val="center"/>
              <w:rPr>
                <w:rFonts w:ascii="Times New Roman" w:hAnsi="Times New Roman" w:eastAsia="宋体" w:cs="Times New Roman"/>
                <w:kern w:val="0"/>
                <w:sz w:val="18"/>
                <w:szCs w:val="18"/>
                <w:lang w:bidi="ar"/>
              </w:rPr>
            </w:pPr>
          </w:p>
        </w:tc>
        <w:tc>
          <w:tcPr>
            <w:tcW w:w="415" w:type="pct"/>
            <w:tcBorders>
              <w:tl2br w:val="nil"/>
              <w:tr2bl w:val="nil"/>
            </w:tcBorders>
            <w:shd w:val="clear" w:color="auto" w:fill="auto"/>
            <w:vAlign w:val="center"/>
          </w:tcPr>
          <w:p w14:paraId="73BBC758">
            <w:pPr>
              <w:adjustRightInd w:val="0"/>
              <w:spacing w:line="360" w:lineRule="auto"/>
              <w:jc w:val="center"/>
              <w:rPr>
                <w:rFonts w:ascii="Times New Roman" w:hAnsi="Times New Roman" w:eastAsia="宋体" w:cs="Times New Roman"/>
                <w:kern w:val="0"/>
                <w:sz w:val="18"/>
                <w:szCs w:val="18"/>
                <w:lang w:bidi="ar"/>
              </w:rPr>
            </w:pPr>
          </w:p>
        </w:tc>
        <w:tc>
          <w:tcPr>
            <w:tcW w:w="415" w:type="pct"/>
            <w:tcBorders>
              <w:tl2br w:val="nil"/>
              <w:tr2bl w:val="nil"/>
            </w:tcBorders>
            <w:vAlign w:val="center"/>
          </w:tcPr>
          <w:p w14:paraId="34698257">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0DC292F1">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5EC2095E">
            <w:pPr>
              <w:adjustRightInd w:val="0"/>
              <w:spacing w:line="360" w:lineRule="auto"/>
              <w:jc w:val="center"/>
              <w:rPr>
                <w:rFonts w:ascii="Times New Roman" w:hAnsi="Times New Roman" w:eastAsia="宋体" w:cs="Times New Roman"/>
                <w:sz w:val="18"/>
                <w:szCs w:val="18"/>
              </w:rPr>
            </w:pPr>
          </w:p>
        </w:tc>
        <w:tc>
          <w:tcPr>
            <w:tcW w:w="418" w:type="pct"/>
            <w:tcBorders>
              <w:tl2br w:val="nil"/>
              <w:tr2bl w:val="nil"/>
            </w:tcBorders>
            <w:vAlign w:val="center"/>
          </w:tcPr>
          <w:p w14:paraId="16999975">
            <w:pPr>
              <w:adjustRightInd w:val="0"/>
              <w:spacing w:line="360" w:lineRule="auto"/>
              <w:jc w:val="center"/>
              <w:rPr>
                <w:rFonts w:ascii="Times New Roman" w:hAnsi="Times New Roman" w:eastAsia="宋体" w:cs="Times New Roman"/>
                <w:sz w:val="18"/>
                <w:szCs w:val="18"/>
              </w:rPr>
            </w:pPr>
          </w:p>
        </w:tc>
        <w:tc>
          <w:tcPr>
            <w:tcW w:w="384" w:type="pct"/>
            <w:tcBorders>
              <w:tl2br w:val="nil"/>
              <w:tr2bl w:val="nil"/>
            </w:tcBorders>
            <w:vAlign w:val="center"/>
          </w:tcPr>
          <w:p w14:paraId="06E0FDFB">
            <w:pPr>
              <w:adjustRightInd w:val="0"/>
              <w:spacing w:line="360" w:lineRule="auto"/>
              <w:jc w:val="center"/>
              <w:rPr>
                <w:rFonts w:ascii="Times New Roman" w:hAnsi="Times New Roman" w:eastAsia="宋体" w:cs="Times New Roman"/>
                <w:sz w:val="18"/>
                <w:szCs w:val="18"/>
              </w:rPr>
            </w:pPr>
          </w:p>
        </w:tc>
        <w:tc>
          <w:tcPr>
            <w:tcW w:w="234" w:type="pct"/>
            <w:tcBorders>
              <w:tl2br w:val="nil"/>
              <w:tr2bl w:val="nil"/>
            </w:tcBorders>
            <w:vAlign w:val="center"/>
          </w:tcPr>
          <w:p w14:paraId="17BA8D64">
            <w:pPr>
              <w:adjustRightInd w:val="0"/>
              <w:spacing w:line="360" w:lineRule="auto"/>
              <w:jc w:val="center"/>
              <w:rPr>
                <w:rFonts w:ascii="Times New Roman" w:hAnsi="Times New Roman" w:eastAsia="宋体" w:cs="Times New Roman"/>
                <w:sz w:val="18"/>
                <w:szCs w:val="18"/>
              </w:rPr>
            </w:pPr>
          </w:p>
        </w:tc>
      </w:tr>
      <w:tr w14:paraId="7F2C9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34" w:type="pct"/>
            <w:tcBorders>
              <w:tl2br w:val="nil"/>
              <w:tr2bl w:val="nil"/>
            </w:tcBorders>
            <w:vAlign w:val="center"/>
          </w:tcPr>
          <w:p w14:paraId="03E4349C">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7E0702ED">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71EB6D94">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30184C87">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05D5DDC6">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3E523BA5">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77380307">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42E0DDC3">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1FBDED92">
            <w:pPr>
              <w:adjustRightInd w:val="0"/>
              <w:spacing w:line="360" w:lineRule="auto"/>
              <w:jc w:val="center"/>
              <w:rPr>
                <w:rFonts w:ascii="Times New Roman" w:hAnsi="Times New Roman" w:eastAsia="宋体" w:cs="Times New Roman"/>
                <w:sz w:val="18"/>
                <w:szCs w:val="18"/>
              </w:rPr>
            </w:pPr>
          </w:p>
        </w:tc>
        <w:tc>
          <w:tcPr>
            <w:tcW w:w="418" w:type="pct"/>
            <w:tcBorders>
              <w:tl2br w:val="nil"/>
              <w:tr2bl w:val="nil"/>
            </w:tcBorders>
            <w:vAlign w:val="center"/>
          </w:tcPr>
          <w:p w14:paraId="6845A044">
            <w:pPr>
              <w:adjustRightInd w:val="0"/>
              <w:spacing w:line="360" w:lineRule="auto"/>
              <w:jc w:val="center"/>
              <w:rPr>
                <w:rFonts w:ascii="Times New Roman" w:hAnsi="Times New Roman" w:eastAsia="宋体" w:cs="Times New Roman"/>
                <w:sz w:val="18"/>
                <w:szCs w:val="18"/>
              </w:rPr>
            </w:pPr>
          </w:p>
        </w:tc>
        <w:tc>
          <w:tcPr>
            <w:tcW w:w="384" w:type="pct"/>
            <w:tcBorders>
              <w:tl2br w:val="nil"/>
              <w:tr2bl w:val="nil"/>
            </w:tcBorders>
            <w:vAlign w:val="center"/>
          </w:tcPr>
          <w:p w14:paraId="35189515">
            <w:pPr>
              <w:adjustRightInd w:val="0"/>
              <w:spacing w:line="360" w:lineRule="auto"/>
              <w:jc w:val="center"/>
              <w:rPr>
                <w:rFonts w:ascii="Times New Roman" w:hAnsi="Times New Roman" w:eastAsia="宋体" w:cs="Times New Roman"/>
                <w:sz w:val="18"/>
                <w:szCs w:val="18"/>
              </w:rPr>
            </w:pPr>
          </w:p>
        </w:tc>
        <w:tc>
          <w:tcPr>
            <w:tcW w:w="234" w:type="pct"/>
            <w:tcBorders>
              <w:tl2br w:val="nil"/>
              <w:tr2bl w:val="nil"/>
            </w:tcBorders>
            <w:vAlign w:val="center"/>
          </w:tcPr>
          <w:p w14:paraId="0D5ED571">
            <w:pPr>
              <w:adjustRightInd w:val="0"/>
              <w:spacing w:line="360" w:lineRule="auto"/>
              <w:jc w:val="center"/>
              <w:rPr>
                <w:rFonts w:ascii="Times New Roman" w:hAnsi="Times New Roman" w:eastAsia="宋体" w:cs="Times New Roman"/>
                <w:sz w:val="18"/>
                <w:szCs w:val="18"/>
              </w:rPr>
            </w:pPr>
          </w:p>
        </w:tc>
      </w:tr>
      <w:tr w14:paraId="252BC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34" w:type="pct"/>
            <w:tcBorders>
              <w:tl2br w:val="nil"/>
              <w:tr2bl w:val="nil"/>
            </w:tcBorders>
            <w:vAlign w:val="center"/>
          </w:tcPr>
          <w:p w14:paraId="17937AAF">
            <w:pPr>
              <w:adjustRightInd w:val="0"/>
              <w:spacing w:line="360" w:lineRule="auto"/>
              <w:jc w:val="center"/>
              <w:rPr>
                <w:rFonts w:ascii="Times New Roman" w:hAnsi="Times New Roman" w:eastAsia="宋体" w:cs="Times New Roman"/>
                <w:kern w:val="0"/>
                <w:sz w:val="18"/>
                <w:szCs w:val="18"/>
                <w:lang w:bidi="ar"/>
              </w:rPr>
            </w:pPr>
          </w:p>
        </w:tc>
        <w:tc>
          <w:tcPr>
            <w:tcW w:w="415" w:type="pct"/>
            <w:tcBorders>
              <w:tl2br w:val="nil"/>
              <w:tr2bl w:val="nil"/>
            </w:tcBorders>
            <w:vAlign w:val="center"/>
          </w:tcPr>
          <w:p w14:paraId="01B75C88">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432A3E5E">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0F726841">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1565E8D4">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2FA83867">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6C209EE1">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618AA51F">
            <w:pPr>
              <w:adjustRightInd w:val="0"/>
              <w:spacing w:line="360" w:lineRule="auto"/>
              <w:jc w:val="center"/>
              <w:rPr>
                <w:rFonts w:ascii="Times New Roman" w:hAnsi="Times New Roman" w:eastAsia="宋体" w:cs="Times New Roman"/>
                <w:sz w:val="18"/>
                <w:szCs w:val="18"/>
              </w:rPr>
            </w:pPr>
          </w:p>
        </w:tc>
        <w:tc>
          <w:tcPr>
            <w:tcW w:w="415" w:type="pct"/>
            <w:tcBorders>
              <w:tl2br w:val="nil"/>
              <w:tr2bl w:val="nil"/>
            </w:tcBorders>
            <w:vAlign w:val="center"/>
          </w:tcPr>
          <w:p w14:paraId="7772AEF1">
            <w:pPr>
              <w:adjustRightInd w:val="0"/>
              <w:spacing w:line="360" w:lineRule="auto"/>
              <w:jc w:val="center"/>
              <w:rPr>
                <w:rFonts w:ascii="Times New Roman" w:hAnsi="Times New Roman" w:eastAsia="宋体" w:cs="Times New Roman"/>
                <w:sz w:val="18"/>
                <w:szCs w:val="18"/>
              </w:rPr>
            </w:pPr>
          </w:p>
        </w:tc>
        <w:tc>
          <w:tcPr>
            <w:tcW w:w="418" w:type="pct"/>
            <w:tcBorders>
              <w:tl2br w:val="nil"/>
              <w:tr2bl w:val="nil"/>
            </w:tcBorders>
            <w:vAlign w:val="center"/>
          </w:tcPr>
          <w:p w14:paraId="143C5F76">
            <w:pPr>
              <w:adjustRightInd w:val="0"/>
              <w:spacing w:line="360" w:lineRule="auto"/>
              <w:jc w:val="center"/>
              <w:rPr>
                <w:rFonts w:ascii="Times New Roman" w:hAnsi="Times New Roman" w:eastAsia="宋体" w:cs="Times New Roman"/>
                <w:sz w:val="18"/>
                <w:szCs w:val="18"/>
              </w:rPr>
            </w:pPr>
          </w:p>
        </w:tc>
        <w:tc>
          <w:tcPr>
            <w:tcW w:w="384" w:type="pct"/>
            <w:tcBorders>
              <w:tl2br w:val="nil"/>
              <w:tr2bl w:val="nil"/>
            </w:tcBorders>
            <w:vAlign w:val="center"/>
          </w:tcPr>
          <w:p w14:paraId="378E943E">
            <w:pPr>
              <w:adjustRightInd w:val="0"/>
              <w:spacing w:line="360" w:lineRule="auto"/>
              <w:jc w:val="center"/>
              <w:rPr>
                <w:rFonts w:ascii="Times New Roman" w:hAnsi="Times New Roman" w:eastAsia="宋体" w:cs="Times New Roman"/>
                <w:sz w:val="18"/>
                <w:szCs w:val="18"/>
              </w:rPr>
            </w:pPr>
          </w:p>
        </w:tc>
        <w:tc>
          <w:tcPr>
            <w:tcW w:w="234" w:type="pct"/>
            <w:tcBorders>
              <w:tl2br w:val="nil"/>
              <w:tr2bl w:val="nil"/>
            </w:tcBorders>
            <w:vAlign w:val="center"/>
          </w:tcPr>
          <w:p w14:paraId="49146DE2">
            <w:pPr>
              <w:adjustRightInd w:val="0"/>
              <w:spacing w:line="360" w:lineRule="auto"/>
              <w:jc w:val="center"/>
              <w:rPr>
                <w:rFonts w:ascii="Times New Roman" w:hAnsi="Times New Roman" w:eastAsia="宋体" w:cs="Times New Roman"/>
                <w:sz w:val="18"/>
                <w:szCs w:val="18"/>
              </w:rPr>
            </w:pPr>
          </w:p>
        </w:tc>
      </w:tr>
    </w:tbl>
    <w:p w14:paraId="7F01192B">
      <w:pPr>
        <w:widowControl/>
        <w:spacing w:line="360" w:lineRule="auto"/>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注：此表格可根据表B-1中选项进行增减。</w:t>
      </w:r>
    </w:p>
    <w:p w14:paraId="5F889427">
      <w:pPr>
        <w:widowControl/>
        <w:spacing w:line="360" w:lineRule="auto"/>
        <w:jc w:val="center"/>
        <w:rPr>
          <w:rFonts w:ascii="宋体" w:hAnsi="宋体" w:eastAsia="宋体" w:cs="Times New Roman"/>
          <w:color w:val="000000"/>
          <w:sz w:val="18"/>
          <w:szCs w:val="18"/>
          <w:lang w:bidi="ar"/>
        </w:rPr>
      </w:pPr>
      <w:r>
        <w:rPr>
          <w:rFonts w:hint="eastAsia" w:ascii="宋体" w:hAnsi="宋体" w:eastAsia="宋体" w:cs="Times New Roman"/>
          <w:color w:val="000000"/>
          <w:sz w:val="18"/>
          <w:szCs w:val="18"/>
          <w:lang w:bidi="ar"/>
        </w:rPr>
        <w:t>B-4 ____年逐年能源账单</w:t>
      </w:r>
    </w:p>
    <w:tbl>
      <w:tblPr>
        <w:tblStyle w:val="1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953"/>
        <w:gridCol w:w="953"/>
        <w:gridCol w:w="953"/>
        <w:gridCol w:w="953"/>
        <w:gridCol w:w="953"/>
        <w:gridCol w:w="953"/>
        <w:gridCol w:w="953"/>
        <w:gridCol w:w="953"/>
        <w:gridCol w:w="953"/>
        <w:gridCol w:w="953"/>
        <w:gridCol w:w="953"/>
        <w:gridCol w:w="954"/>
        <w:gridCol w:w="963"/>
      </w:tblGrid>
      <w:tr w14:paraId="612FA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622" w:type="pct"/>
            <w:tcBorders>
              <w:tl2br w:val="single" w:color="auto" w:sz="4" w:space="0"/>
            </w:tcBorders>
            <w:vAlign w:val="center"/>
          </w:tcPr>
          <w:p w14:paraId="18BE6529">
            <w:pPr>
              <w:widowControl/>
              <w:spacing w:line="360" w:lineRule="auto"/>
              <w:ind w:firstLine="900" w:firstLineChars="500"/>
              <w:rPr>
                <w:rFonts w:ascii="Times New Roman" w:hAnsi="Times New Roman" w:eastAsia="宋体" w:cs="Times New Roman"/>
                <w:sz w:val="18"/>
                <w:szCs w:val="18"/>
              </w:rPr>
            </w:pPr>
            <w:r>
              <w:rPr>
                <w:rFonts w:ascii="Times New Roman" w:hAnsi="Times New Roman" w:eastAsia="宋体" w:cs="Times New Roman"/>
                <w:sz w:val="18"/>
                <w:szCs w:val="18"/>
              </w:rPr>
              <w:t>月份</w:t>
            </w:r>
          </w:p>
          <w:p w14:paraId="3F148E61">
            <w:pPr>
              <w:widowControl/>
              <w:spacing w:line="360" w:lineRule="auto"/>
              <w:jc w:val="center"/>
              <w:rPr>
                <w:rFonts w:ascii="Times New Roman" w:hAnsi="Times New Roman" w:eastAsia="宋体" w:cs="Times New Roman"/>
                <w:sz w:val="18"/>
                <w:szCs w:val="18"/>
              </w:rPr>
            </w:pPr>
          </w:p>
          <w:p w14:paraId="411C1799">
            <w:pPr>
              <w:widowControl/>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能源种类</w:t>
            </w:r>
          </w:p>
        </w:tc>
        <w:tc>
          <w:tcPr>
            <w:tcW w:w="336" w:type="pct"/>
            <w:tcBorders>
              <w:tl2br w:val="nil"/>
              <w:tr2bl w:val="nil"/>
            </w:tcBorders>
            <w:vAlign w:val="center"/>
          </w:tcPr>
          <w:p w14:paraId="32A26950">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1月</w:t>
            </w:r>
          </w:p>
        </w:tc>
        <w:tc>
          <w:tcPr>
            <w:tcW w:w="336" w:type="pct"/>
            <w:tcBorders>
              <w:tl2br w:val="nil"/>
              <w:tr2bl w:val="nil"/>
            </w:tcBorders>
            <w:vAlign w:val="center"/>
          </w:tcPr>
          <w:p w14:paraId="5C648C2C">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2月</w:t>
            </w:r>
          </w:p>
        </w:tc>
        <w:tc>
          <w:tcPr>
            <w:tcW w:w="336" w:type="pct"/>
            <w:tcBorders>
              <w:tl2br w:val="nil"/>
              <w:tr2bl w:val="nil"/>
            </w:tcBorders>
            <w:vAlign w:val="center"/>
          </w:tcPr>
          <w:p w14:paraId="3B16ECAD">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3月</w:t>
            </w:r>
          </w:p>
        </w:tc>
        <w:tc>
          <w:tcPr>
            <w:tcW w:w="336" w:type="pct"/>
            <w:tcBorders>
              <w:tl2br w:val="nil"/>
              <w:tr2bl w:val="nil"/>
            </w:tcBorders>
            <w:vAlign w:val="center"/>
          </w:tcPr>
          <w:p w14:paraId="793C1CB7">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4月</w:t>
            </w:r>
          </w:p>
        </w:tc>
        <w:tc>
          <w:tcPr>
            <w:tcW w:w="336" w:type="pct"/>
            <w:tcBorders>
              <w:tl2br w:val="nil"/>
              <w:tr2bl w:val="nil"/>
            </w:tcBorders>
            <w:vAlign w:val="center"/>
          </w:tcPr>
          <w:p w14:paraId="75DEF013">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5月</w:t>
            </w:r>
          </w:p>
        </w:tc>
        <w:tc>
          <w:tcPr>
            <w:tcW w:w="336" w:type="pct"/>
            <w:tcBorders>
              <w:tl2br w:val="nil"/>
              <w:tr2bl w:val="nil"/>
            </w:tcBorders>
            <w:vAlign w:val="center"/>
          </w:tcPr>
          <w:p w14:paraId="24290995">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6月</w:t>
            </w:r>
          </w:p>
        </w:tc>
        <w:tc>
          <w:tcPr>
            <w:tcW w:w="336" w:type="pct"/>
            <w:tcBorders>
              <w:tl2br w:val="nil"/>
              <w:tr2bl w:val="nil"/>
            </w:tcBorders>
            <w:vAlign w:val="center"/>
          </w:tcPr>
          <w:p w14:paraId="29D8B65A">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7月</w:t>
            </w:r>
          </w:p>
        </w:tc>
        <w:tc>
          <w:tcPr>
            <w:tcW w:w="336" w:type="pct"/>
            <w:tcBorders>
              <w:tl2br w:val="nil"/>
              <w:tr2bl w:val="nil"/>
            </w:tcBorders>
            <w:vAlign w:val="center"/>
          </w:tcPr>
          <w:p w14:paraId="12F2C5AF">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8月</w:t>
            </w:r>
          </w:p>
        </w:tc>
        <w:tc>
          <w:tcPr>
            <w:tcW w:w="336" w:type="pct"/>
            <w:tcBorders>
              <w:tl2br w:val="nil"/>
              <w:tr2bl w:val="nil"/>
            </w:tcBorders>
            <w:vAlign w:val="center"/>
          </w:tcPr>
          <w:p w14:paraId="13E18FCF">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9月</w:t>
            </w:r>
          </w:p>
        </w:tc>
        <w:tc>
          <w:tcPr>
            <w:tcW w:w="336" w:type="pct"/>
            <w:tcBorders>
              <w:tl2br w:val="nil"/>
              <w:tr2bl w:val="nil"/>
            </w:tcBorders>
            <w:vAlign w:val="center"/>
          </w:tcPr>
          <w:p w14:paraId="3DA2B7F0">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10月</w:t>
            </w:r>
          </w:p>
        </w:tc>
        <w:tc>
          <w:tcPr>
            <w:tcW w:w="336" w:type="pct"/>
            <w:tcBorders>
              <w:tl2br w:val="nil"/>
              <w:tr2bl w:val="nil"/>
            </w:tcBorders>
            <w:vAlign w:val="center"/>
          </w:tcPr>
          <w:p w14:paraId="1B7B0265">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11月</w:t>
            </w:r>
          </w:p>
        </w:tc>
        <w:tc>
          <w:tcPr>
            <w:tcW w:w="336" w:type="pct"/>
            <w:tcBorders>
              <w:tl2br w:val="nil"/>
              <w:tr2bl w:val="nil"/>
            </w:tcBorders>
            <w:vAlign w:val="center"/>
          </w:tcPr>
          <w:p w14:paraId="333745BB">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12月</w:t>
            </w:r>
          </w:p>
        </w:tc>
        <w:tc>
          <w:tcPr>
            <w:tcW w:w="339" w:type="pct"/>
            <w:tcBorders>
              <w:tl2br w:val="nil"/>
              <w:tr2bl w:val="nil"/>
            </w:tcBorders>
            <w:vAlign w:val="center"/>
          </w:tcPr>
          <w:p w14:paraId="6D6FEE8B">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总计</w:t>
            </w:r>
          </w:p>
        </w:tc>
      </w:tr>
      <w:tr w14:paraId="6B1ED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622" w:type="pct"/>
            <w:tcBorders>
              <w:tl2br w:val="nil"/>
              <w:tr2bl w:val="nil"/>
            </w:tcBorders>
            <w:vAlign w:val="center"/>
          </w:tcPr>
          <w:p w14:paraId="55588C75">
            <w:pPr>
              <w:widowControl/>
              <w:spacing w:line="360" w:lineRule="auto"/>
              <w:rPr>
                <w:rFonts w:ascii="Times New Roman" w:hAnsi="Times New Roman" w:eastAsia="宋体" w:cs="Times New Roman"/>
                <w:sz w:val="18"/>
                <w:szCs w:val="18"/>
              </w:rPr>
            </w:pPr>
            <w:r>
              <w:rPr>
                <w:rFonts w:ascii="Times New Roman" w:hAnsi="Times New Roman" w:eastAsia="宋体" w:cs="Times New Roman"/>
                <w:kern w:val="0"/>
                <w:sz w:val="18"/>
                <w:szCs w:val="18"/>
                <w:lang w:bidi="ar"/>
              </w:rPr>
              <w:t>电</w:t>
            </w:r>
          </w:p>
        </w:tc>
        <w:tc>
          <w:tcPr>
            <w:tcW w:w="336" w:type="pct"/>
            <w:tcBorders>
              <w:tl2br w:val="nil"/>
              <w:tr2bl w:val="nil"/>
            </w:tcBorders>
            <w:vAlign w:val="center"/>
          </w:tcPr>
          <w:p w14:paraId="0E90C63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1B4F6C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EFC273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3CFA0E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54BCF8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FC0E1F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84896D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4FF375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0AA1FB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304C14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6B8BDA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DE62E15">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6E8C6121">
            <w:pPr>
              <w:widowControl/>
              <w:spacing w:line="360" w:lineRule="auto"/>
              <w:jc w:val="center"/>
              <w:rPr>
                <w:rFonts w:ascii="Times New Roman" w:hAnsi="Times New Roman" w:eastAsia="宋体" w:cs="Times New Roman"/>
                <w:sz w:val="18"/>
                <w:szCs w:val="18"/>
              </w:rPr>
            </w:pPr>
          </w:p>
        </w:tc>
      </w:tr>
      <w:tr w14:paraId="6D9130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622" w:type="pct"/>
            <w:tcBorders>
              <w:tl2br w:val="nil"/>
              <w:tr2bl w:val="nil"/>
            </w:tcBorders>
            <w:vAlign w:val="center"/>
          </w:tcPr>
          <w:p w14:paraId="3F52FD2F">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燃气</w:t>
            </w:r>
          </w:p>
        </w:tc>
        <w:tc>
          <w:tcPr>
            <w:tcW w:w="336" w:type="pct"/>
            <w:tcBorders>
              <w:tl2br w:val="nil"/>
              <w:tr2bl w:val="nil"/>
            </w:tcBorders>
            <w:vAlign w:val="center"/>
          </w:tcPr>
          <w:p w14:paraId="4C7F234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3B8B88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645F124">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7C5333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DB34874">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7D5ED68">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CAA46A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D0BC1C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B2D2F5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373154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4FFA0C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7DCC710">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46667B7E">
            <w:pPr>
              <w:widowControl/>
              <w:spacing w:line="360" w:lineRule="auto"/>
              <w:jc w:val="center"/>
              <w:rPr>
                <w:rFonts w:ascii="Times New Roman" w:hAnsi="Times New Roman" w:eastAsia="宋体" w:cs="Times New Roman"/>
                <w:sz w:val="18"/>
                <w:szCs w:val="18"/>
              </w:rPr>
            </w:pPr>
          </w:p>
        </w:tc>
      </w:tr>
      <w:tr w14:paraId="4E54B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61368607">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集中供热</w:t>
            </w:r>
          </w:p>
        </w:tc>
        <w:tc>
          <w:tcPr>
            <w:tcW w:w="336" w:type="pct"/>
            <w:tcBorders>
              <w:tl2br w:val="nil"/>
              <w:tr2bl w:val="nil"/>
            </w:tcBorders>
            <w:vAlign w:val="center"/>
          </w:tcPr>
          <w:p w14:paraId="4E784B7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4D4853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4CAEF7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F83A86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E423E3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BA2077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A6E02C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EA58A1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1E4B81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B4FDDE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9A2E49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7BB991E">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5517F623">
            <w:pPr>
              <w:widowControl/>
              <w:spacing w:line="360" w:lineRule="auto"/>
              <w:jc w:val="center"/>
              <w:rPr>
                <w:rFonts w:ascii="Times New Roman" w:hAnsi="Times New Roman" w:eastAsia="宋体" w:cs="Times New Roman"/>
                <w:sz w:val="18"/>
                <w:szCs w:val="18"/>
              </w:rPr>
            </w:pPr>
          </w:p>
        </w:tc>
      </w:tr>
      <w:tr w14:paraId="10F18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785A07E6">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集中供冷</w:t>
            </w:r>
          </w:p>
        </w:tc>
        <w:tc>
          <w:tcPr>
            <w:tcW w:w="336" w:type="pct"/>
            <w:tcBorders>
              <w:tl2br w:val="nil"/>
              <w:tr2bl w:val="nil"/>
            </w:tcBorders>
            <w:vAlign w:val="center"/>
          </w:tcPr>
          <w:p w14:paraId="5377161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2B198D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0E19514">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EAA35F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255851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206319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30ADEA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F2D112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D6A723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183AAC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868CDB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F456452">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45DD03FC">
            <w:pPr>
              <w:widowControl/>
              <w:spacing w:line="360" w:lineRule="auto"/>
              <w:jc w:val="center"/>
              <w:rPr>
                <w:rFonts w:ascii="Times New Roman" w:hAnsi="Times New Roman" w:eastAsia="宋体" w:cs="Times New Roman"/>
                <w:sz w:val="18"/>
                <w:szCs w:val="18"/>
              </w:rPr>
            </w:pPr>
          </w:p>
        </w:tc>
      </w:tr>
      <w:tr w14:paraId="77ED3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136B183B">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集中热水</w:t>
            </w:r>
          </w:p>
        </w:tc>
        <w:tc>
          <w:tcPr>
            <w:tcW w:w="336" w:type="pct"/>
            <w:tcBorders>
              <w:tl2br w:val="nil"/>
              <w:tr2bl w:val="nil"/>
            </w:tcBorders>
            <w:vAlign w:val="center"/>
          </w:tcPr>
          <w:p w14:paraId="28F4C25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3DD359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96E3E5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520457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A7B298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A9C6484">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DED578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2BE351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AB55B0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8895B3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C4CA84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490D117">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1471BFF3">
            <w:pPr>
              <w:widowControl/>
              <w:spacing w:line="360" w:lineRule="auto"/>
              <w:jc w:val="center"/>
              <w:rPr>
                <w:rFonts w:ascii="Times New Roman" w:hAnsi="Times New Roman" w:eastAsia="宋体" w:cs="Times New Roman"/>
                <w:sz w:val="18"/>
                <w:szCs w:val="18"/>
              </w:rPr>
            </w:pPr>
          </w:p>
        </w:tc>
      </w:tr>
      <w:tr w14:paraId="1AD95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53B87B3B">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柴油</w:t>
            </w:r>
          </w:p>
        </w:tc>
        <w:tc>
          <w:tcPr>
            <w:tcW w:w="336" w:type="pct"/>
            <w:tcBorders>
              <w:tl2br w:val="nil"/>
              <w:tr2bl w:val="nil"/>
            </w:tcBorders>
            <w:vAlign w:val="center"/>
          </w:tcPr>
          <w:p w14:paraId="403AF94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0B3D52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464E83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9AE6CF4">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7A8681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E24F95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3A9C87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73F7B2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23631E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F989FC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1091E9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D95827F">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566AEE1A">
            <w:pPr>
              <w:widowControl/>
              <w:spacing w:line="360" w:lineRule="auto"/>
              <w:jc w:val="center"/>
              <w:rPr>
                <w:rFonts w:ascii="Times New Roman" w:hAnsi="Times New Roman" w:eastAsia="宋体" w:cs="Times New Roman"/>
                <w:sz w:val="18"/>
                <w:szCs w:val="18"/>
              </w:rPr>
            </w:pPr>
          </w:p>
        </w:tc>
      </w:tr>
      <w:tr w14:paraId="3F0F6C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2BC6A9BA">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汽油</w:t>
            </w:r>
          </w:p>
        </w:tc>
        <w:tc>
          <w:tcPr>
            <w:tcW w:w="336" w:type="pct"/>
            <w:tcBorders>
              <w:tl2br w:val="nil"/>
              <w:tr2bl w:val="nil"/>
            </w:tcBorders>
            <w:vAlign w:val="center"/>
          </w:tcPr>
          <w:p w14:paraId="74BA775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314B7E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06F25C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055576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3D4E19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DE3E70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3974FF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F943C1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337CE6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3C979E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9A40EA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83AF6A9">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0ADA43AA">
            <w:pPr>
              <w:widowControl/>
              <w:spacing w:line="360" w:lineRule="auto"/>
              <w:jc w:val="center"/>
              <w:rPr>
                <w:rFonts w:ascii="Times New Roman" w:hAnsi="Times New Roman" w:eastAsia="宋体" w:cs="Times New Roman"/>
                <w:sz w:val="18"/>
                <w:szCs w:val="18"/>
              </w:rPr>
            </w:pPr>
          </w:p>
        </w:tc>
      </w:tr>
      <w:tr w14:paraId="669F0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0E7DF4D0">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煤</w:t>
            </w:r>
          </w:p>
        </w:tc>
        <w:tc>
          <w:tcPr>
            <w:tcW w:w="336" w:type="pct"/>
            <w:tcBorders>
              <w:tl2br w:val="nil"/>
              <w:tr2bl w:val="nil"/>
            </w:tcBorders>
            <w:vAlign w:val="center"/>
          </w:tcPr>
          <w:p w14:paraId="20D6707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3AA40D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4362699">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E47DED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FA11E2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569359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0BCE85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5C9AB6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6DA3A318">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FA4A87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77CA3E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3D05F9D">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39E596D8">
            <w:pPr>
              <w:widowControl/>
              <w:spacing w:line="360" w:lineRule="auto"/>
              <w:jc w:val="center"/>
              <w:rPr>
                <w:rFonts w:ascii="Times New Roman" w:hAnsi="Times New Roman" w:eastAsia="宋体" w:cs="Times New Roman"/>
                <w:sz w:val="18"/>
                <w:szCs w:val="18"/>
              </w:rPr>
            </w:pPr>
          </w:p>
        </w:tc>
      </w:tr>
      <w:tr w14:paraId="31EE49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142BF819">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其他</w:t>
            </w:r>
          </w:p>
        </w:tc>
        <w:tc>
          <w:tcPr>
            <w:tcW w:w="336" w:type="pct"/>
            <w:tcBorders>
              <w:tl2br w:val="nil"/>
              <w:tr2bl w:val="nil"/>
            </w:tcBorders>
            <w:vAlign w:val="center"/>
          </w:tcPr>
          <w:p w14:paraId="52D051C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83FD67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D4D5C5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E92391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2EB314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64F809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EFB4A8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81AD67D">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E674AB7">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2BDBD5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400C16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8E013DA">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18BF0E37">
            <w:pPr>
              <w:widowControl/>
              <w:spacing w:line="360" w:lineRule="auto"/>
              <w:jc w:val="center"/>
              <w:rPr>
                <w:rFonts w:ascii="Times New Roman" w:hAnsi="Times New Roman" w:eastAsia="宋体" w:cs="Times New Roman"/>
                <w:sz w:val="18"/>
                <w:szCs w:val="18"/>
              </w:rPr>
            </w:pPr>
          </w:p>
        </w:tc>
      </w:tr>
      <w:tr w14:paraId="195C00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5A01CC46">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用水量</w:t>
            </w:r>
          </w:p>
        </w:tc>
        <w:tc>
          <w:tcPr>
            <w:tcW w:w="336" w:type="pct"/>
            <w:tcBorders>
              <w:tl2br w:val="nil"/>
              <w:tr2bl w:val="nil"/>
            </w:tcBorders>
            <w:vAlign w:val="center"/>
          </w:tcPr>
          <w:p w14:paraId="7379990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9D1DF5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37C5C9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6C1A1D0">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EEAB96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705B485">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2037E6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6E1E1BB">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4C2619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A8A723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5A4FFAE8">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CEE6794">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5159B80C">
            <w:pPr>
              <w:widowControl/>
              <w:spacing w:line="360" w:lineRule="auto"/>
              <w:jc w:val="center"/>
              <w:rPr>
                <w:rFonts w:ascii="Times New Roman" w:hAnsi="Times New Roman" w:eastAsia="宋体" w:cs="Times New Roman"/>
                <w:sz w:val="18"/>
                <w:szCs w:val="18"/>
              </w:rPr>
            </w:pPr>
          </w:p>
        </w:tc>
      </w:tr>
      <w:tr w14:paraId="18835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22" w:type="pct"/>
            <w:tcBorders>
              <w:tl2br w:val="nil"/>
              <w:tr2bl w:val="nil"/>
            </w:tcBorders>
            <w:shd w:val="clear" w:color="auto" w:fill="auto"/>
            <w:vAlign w:val="center"/>
          </w:tcPr>
          <w:p w14:paraId="550F4DFA">
            <w:pPr>
              <w:widowControl/>
              <w:spacing w:line="360" w:lineRule="auto"/>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可再生能源</w:t>
            </w:r>
          </w:p>
        </w:tc>
        <w:tc>
          <w:tcPr>
            <w:tcW w:w="336" w:type="pct"/>
            <w:tcBorders>
              <w:tl2br w:val="nil"/>
              <w:tr2bl w:val="nil"/>
            </w:tcBorders>
            <w:vAlign w:val="center"/>
          </w:tcPr>
          <w:p w14:paraId="575174EA">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43FEB2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A614F9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A06DC2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2B679B6">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4B8914F1">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A15A2AF">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0E400A23">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3C870392">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28A9C44C">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107A7E2E">
            <w:pPr>
              <w:widowControl/>
              <w:spacing w:line="360" w:lineRule="auto"/>
              <w:jc w:val="center"/>
              <w:rPr>
                <w:rFonts w:ascii="Times New Roman" w:hAnsi="Times New Roman" w:eastAsia="宋体" w:cs="Times New Roman"/>
                <w:sz w:val="18"/>
                <w:szCs w:val="18"/>
              </w:rPr>
            </w:pPr>
          </w:p>
        </w:tc>
        <w:tc>
          <w:tcPr>
            <w:tcW w:w="336" w:type="pct"/>
            <w:tcBorders>
              <w:tl2br w:val="nil"/>
              <w:tr2bl w:val="nil"/>
            </w:tcBorders>
            <w:vAlign w:val="center"/>
          </w:tcPr>
          <w:p w14:paraId="74FE2555">
            <w:pPr>
              <w:widowControl/>
              <w:spacing w:line="360" w:lineRule="auto"/>
              <w:jc w:val="center"/>
              <w:rPr>
                <w:rFonts w:ascii="Times New Roman" w:hAnsi="Times New Roman" w:eastAsia="宋体" w:cs="Times New Roman"/>
                <w:sz w:val="18"/>
                <w:szCs w:val="18"/>
              </w:rPr>
            </w:pPr>
          </w:p>
        </w:tc>
        <w:tc>
          <w:tcPr>
            <w:tcW w:w="339" w:type="pct"/>
            <w:tcBorders>
              <w:tl2br w:val="nil"/>
              <w:tr2bl w:val="nil"/>
            </w:tcBorders>
            <w:vAlign w:val="center"/>
          </w:tcPr>
          <w:p w14:paraId="0AD9F1B2">
            <w:pPr>
              <w:widowControl/>
              <w:spacing w:line="360" w:lineRule="auto"/>
              <w:jc w:val="center"/>
              <w:rPr>
                <w:rFonts w:ascii="Times New Roman" w:hAnsi="Times New Roman" w:eastAsia="宋体" w:cs="Times New Roman"/>
                <w:sz w:val="18"/>
                <w:szCs w:val="18"/>
              </w:rPr>
            </w:pPr>
          </w:p>
        </w:tc>
      </w:tr>
    </w:tbl>
    <w:p w14:paraId="2EB17BBE">
      <w:pPr>
        <w:widowControl/>
        <w:spacing w:line="360" w:lineRule="auto"/>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注：此表格可根据表B-1中选项进行增减，根据表B-3中年份分别统计。</w:t>
      </w:r>
    </w:p>
    <w:p w14:paraId="0F292DF4">
      <w:pPr>
        <w:spacing w:line="360" w:lineRule="auto"/>
        <w:rPr>
          <w:rFonts w:ascii="Times New Roman" w:hAnsi="Times New Roman" w:cs="Times New Roman"/>
        </w:rPr>
      </w:pPr>
      <w:r>
        <w:rPr>
          <w:rFonts w:ascii="Times New Roman" w:hAnsi="Times New Roman" w:cs="Times New Roman"/>
        </w:rPr>
        <w:br w:type="page"/>
      </w:r>
    </w:p>
    <w:p w14:paraId="751AF0EA">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sectPr>
          <w:pgSz w:w="16838" w:h="11906" w:orient="landscape"/>
          <w:pgMar w:top="1803" w:right="1440" w:bottom="1803" w:left="1440" w:header="851" w:footer="992" w:gutter="0"/>
          <w:pgNumType w:fmt="decimal"/>
          <w:cols w:space="0" w:num="1"/>
          <w:docGrid w:type="lines" w:linePitch="319" w:charSpace="0"/>
        </w:sectPr>
      </w:pPr>
      <w:bookmarkStart w:id="94" w:name="_Toc7761"/>
      <w:bookmarkStart w:id="95" w:name="_Toc20559"/>
    </w:p>
    <w:p w14:paraId="55D0EC45">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r>
        <w:rPr>
          <w:rFonts w:ascii="Times New Roman" w:hAnsi="Times New Roman" w:cs="Times New Roman"/>
          <w:color w:val="000000" w:themeColor="text1"/>
          <w:sz w:val="30"/>
          <w:szCs w:val="30"/>
          <w14:textFill>
            <w14:solidFill>
              <w14:schemeClr w14:val="tx1"/>
            </w14:solidFill>
          </w14:textFill>
        </w:rPr>
        <w:t xml:space="preserve">附录C </w:t>
      </w:r>
      <w:r>
        <w:rPr>
          <w:rFonts w:hint="eastAsia" w:ascii="Times New Roman" w:hAnsi="Times New Roman" w:cs="Times New Roman"/>
          <w:color w:val="000000" w:themeColor="text1"/>
          <w:sz w:val="30"/>
          <w:szCs w:val="30"/>
          <w:lang w:val="en-US" w:eastAsia="zh-CN"/>
          <w14:textFill>
            <w14:solidFill>
              <w14:schemeClr w14:val="tx1"/>
            </w14:solidFill>
          </w14:textFill>
        </w:rPr>
        <w:t>公共</w:t>
      </w:r>
      <w:r>
        <w:rPr>
          <w:rFonts w:ascii="Times New Roman" w:hAnsi="Times New Roman" w:cs="Times New Roman"/>
          <w:color w:val="000000" w:themeColor="text1"/>
          <w:sz w:val="30"/>
          <w:szCs w:val="30"/>
          <w14:textFill>
            <w14:solidFill>
              <w14:schemeClr w14:val="tx1"/>
            </w14:solidFill>
          </w14:textFill>
        </w:rPr>
        <w:t>建筑能效诊断现场巡查记录</w:t>
      </w:r>
      <w:bookmarkEnd w:id="94"/>
      <w:bookmarkEnd w:id="95"/>
    </w:p>
    <w:tbl>
      <w:tblPr>
        <w:tblStyle w:val="19"/>
        <w:tblW w:w="795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4"/>
        <w:gridCol w:w="4526"/>
        <w:gridCol w:w="684"/>
        <w:gridCol w:w="96"/>
        <w:gridCol w:w="828"/>
        <w:gridCol w:w="420"/>
        <w:gridCol w:w="564"/>
      </w:tblGrid>
      <w:tr w14:paraId="4B3485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7D8C73E">
            <w:pPr>
              <w:spacing w:line="360" w:lineRule="auto"/>
              <w:rPr>
                <w:rFonts w:ascii="宋体" w:hAnsi="宋体" w:eastAsia="宋体" w:cs="宋体"/>
                <w:b/>
                <w:bCs/>
                <w:sz w:val="18"/>
                <w:szCs w:val="18"/>
              </w:rPr>
            </w:pPr>
            <w:r>
              <w:rPr>
                <w:rFonts w:hint="eastAsia" w:ascii="宋体" w:hAnsi="宋体" w:eastAsia="宋体" w:cs="宋体"/>
                <w:b/>
                <w:bCs/>
                <w:sz w:val="18"/>
                <w:szCs w:val="18"/>
              </w:rPr>
              <w:br w:type="page"/>
            </w:r>
            <w:r>
              <w:rPr>
                <w:rFonts w:hint="eastAsia" w:ascii="宋体" w:hAnsi="宋体" w:eastAsia="宋体" w:cs="宋体"/>
                <w:b/>
                <w:bCs/>
                <w:sz w:val="18"/>
                <w:szCs w:val="18"/>
              </w:rPr>
              <w:t>编号</w:t>
            </w:r>
          </w:p>
        </w:tc>
        <w:tc>
          <w:tcPr>
            <w:tcW w:w="4526" w:type="dxa"/>
            <w:tcBorders>
              <w:tl2br w:val="nil"/>
              <w:tr2bl w:val="nil"/>
            </w:tcBorders>
          </w:tcPr>
          <w:p w14:paraId="13BCD017">
            <w:pPr>
              <w:spacing w:line="360" w:lineRule="auto"/>
              <w:rPr>
                <w:rFonts w:ascii="宋体" w:hAnsi="宋体" w:eastAsia="宋体" w:cs="宋体"/>
                <w:b/>
                <w:bCs/>
                <w:sz w:val="18"/>
                <w:szCs w:val="18"/>
              </w:rPr>
            </w:pPr>
            <w:r>
              <w:rPr>
                <w:rFonts w:hint="eastAsia" w:ascii="宋体" w:hAnsi="宋体" w:eastAsia="宋体" w:cs="宋体"/>
                <w:b/>
                <w:bCs/>
                <w:sz w:val="18"/>
                <w:szCs w:val="18"/>
              </w:rPr>
              <w:t>问题</w:t>
            </w:r>
          </w:p>
        </w:tc>
        <w:tc>
          <w:tcPr>
            <w:tcW w:w="684" w:type="dxa"/>
            <w:tcBorders>
              <w:tl2br w:val="nil"/>
              <w:tr2bl w:val="nil"/>
            </w:tcBorders>
          </w:tcPr>
          <w:p w14:paraId="33820755">
            <w:pPr>
              <w:spacing w:line="360" w:lineRule="auto"/>
              <w:rPr>
                <w:rFonts w:ascii="宋体" w:hAnsi="宋体" w:eastAsia="宋体" w:cs="宋体"/>
                <w:b/>
                <w:bCs/>
                <w:sz w:val="18"/>
                <w:szCs w:val="18"/>
              </w:rPr>
            </w:pPr>
            <w:r>
              <w:rPr>
                <w:rFonts w:hint="eastAsia" w:ascii="宋体" w:hAnsi="宋体" w:eastAsia="宋体" w:cs="宋体"/>
                <w:b/>
                <w:bCs/>
                <w:sz w:val="18"/>
                <w:szCs w:val="18"/>
              </w:rPr>
              <w:t>符合</w:t>
            </w:r>
          </w:p>
        </w:tc>
        <w:tc>
          <w:tcPr>
            <w:tcW w:w="924" w:type="dxa"/>
            <w:gridSpan w:val="2"/>
            <w:tcBorders>
              <w:tl2br w:val="nil"/>
              <w:tr2bl w:val="nil"/>
            </w:tcBorders>
          </w:tcPr>
          <w:p w14:paraId="71A7729B">
            <w:pPr>
              <w:spacing w:line="360" w:lineRule="auto"/>
              <w:rPr>
                <w:rFonts w:ascii="宋体" w:hAnsi="宋体" w:eastAsia="宋体" w:cs="宋体"/>
                <w:b/>
                <w:bCs/>
                <w:sz w:val="18"/>
                <w:szCs w:val="18"/>
              </w:rPr>
            </w:pPr>
            <w:r>
              <w:rPr>
                <w:rFonts w:hint="eastAsia" w:ascii="宋体" w:hAnsi="宋体" w:eastAsia="宋体" w:cs="宋体"/>
                <w:b/>
                <w:bCs/>
                <w:sz w:val="18"/>
                <w:szCs w:val="18"/>
              </w:rPr>
              <w:t>不符合</w:t>
            </w:r>
          </w:p>
        </w:tc>
        <w:tc>
          <w:tcPr>
            <w:tcW w:w="984" w:type="dxa"/>
            <w:gridSpan w:val="2"/>
            <w:tcBorders>
              <w:tl2br w:val="nil"/>
              <w:tr2bl w:val="nil"/>
            </w:tcBorders>
          </w:tcPr>
          <w:p w14:paraId="024EBD06">
            <w:pPr>
              <w:spacing w:line="360" w:lineRule="auto"/>
              <w:rPr>
                <w:rFonts w:ascii="宋体" w:hAnsi="宋体" w:eastAsia="宋体" w:cs="宋体"/>
                <w:b/>
                <w:bCs/>
                <w:sz w:val="18"/>
                <w:szCs w:val="18"/>
              </w:rPr>
            </w:pPr>
            <w:r>
              <w:rPr>
                <w:rFonts w:hint="eastAsia" w:ascii="宋体" w:hAnsi="宋体" w:eastAsia="宋体" w:cs="宋体"/>
                <w:b/>
                <w:bCs/>
                <w:sz w:val="18"/>
                <w:szCs w:val="18"/>
              </w:rPr>
              <w:t>部分符合</w:t>
            </w:r>
          </w:p>
        </w:tc>
      </w:tr>
      <w:tr w14:paraId="384D4B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0C3D66A3">
            <w:pPr>
              <w:spacing w:line="360" w:lineRule="auto"/>
              <w:rPr>
                <w:rFonts w:ascii="宋体" w:hAnsi="宋体" w:eastAsia="宋体" w:cs="宋体"/>
                <w:sz w:val="18"/>
                <w:szCs w:val="18"/>
              </w:rPr>
            </w:pPr>
            <w:r>
              <w:rPr>
                <w:rFonts w:hint="eastAsia" w:ascii="宋体" w:hAnsi="宋体" w:eastAsia="宋体" w:cs="宋体"/>
                <w:b/>
                <w:bCs/>
                <w:sz w:val="18"/>
                <w:szCs w:val="18"/>
              </w:rPr>
              <w:t>1 能源管理方针、目标</w:t>
            </w:r>
          </w:p>
        </w:tc>
      </w:tr>
      <w:tr w14:paraId="575A2E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EC76ACD">
            <w:pPr>
              <w:spacing w:line="360" w:lineRule="auto"/>
              <w:rPr>
                <w:rFonts w:ascii="宋体" w:hAnsi="宋体" w:eastAsia="宋体" w:cs="宋体"/>
                <w:sz w:val="18"/>
                <w:szCs w:val="18"/>
              </w:rPr>
            </w:pPr>
            <w:r>
              <w:rPr>
                <w:rFonts w:hint="eastAsia" w:ascii="宋体" w:hAnsi="宋体" w:eastAsia="宋体" w:cs="宋体"/>
                <w:sz w:val="18"/>
                <w:szCs w:val="18"/>
              </w:rPr>
              <w:t>1-1</w:t>
            </w:r>
          </w:p>
        </w:tc>
        <w:tc>
          <w:tcPr>
            <w:tcW w:w="4526" w:type="dxa"/>
            <w:tcBorders>
              <w:tl2br w:val="nil"/>
              <w:tr2bl w:val="nil"/>
            </w:tcBorders>
          </w:tcPr>
          <w:p w14:paraId="7743FB41">
            <w:pPr>
              <w:spacing w:line="360" w:lineRule="auto"/>
              <w:rPr>
                <w:rFonts w:ascii="宋体" w:hAnsi="宋体" w:eastAsia="宋体" w:cs="宋体"/>
                <w:sz w:val="18"/>
                <w:szCs w:val="18"/>
              </w:rPr>
            </w:pPr>
            <w:r>
              <w:rPr>
                <w:rFonts w:hint="eastAsia" w:ascii="宋体" w:hAnsi="宋体" w:eastAsia="宋体" w:cs="宋体"/>
                <w:sz w:val="18"/>
                <w:szCs w:val="18"/>
              </w:rPr>
              <w:t>没有确定能源管理目标和方针</w:t>
            </w:r>
          </w:p>
        </w:tc>
        <w:tc>
          <w:tcPr>
            <w:tcW w:w="684" w:type="dxa"/>
            <w:tcBorders>
              <w:tl2br w:val="nil"/>
              <w:tr2bl w:val="nil"/>
            </w:tcBorders>
          </w:tcPr>
          <w:p w14:paraId="203A1518">
            <w:pPr>
              <w:spacing w:line="360" w:lineRule="auto"/>
              <w:rPr>
                <w:rFonts w:ascii="宋体" w:hAnsi="宋体" w:eastAsia="宋体" w:cs="宋体"/>
                <w:sz w:val="18"/>
                <w:szCs w:val="18"/>
              </w:rPr>
            </w:pPr>
          </w:p>
        </w:tc>
        <w:tc>
          <w:tcPr>
            <w:tcW w:w="924" w:type="dxa"/>
            <w:gridSpan w:val="2"/>
            <w:tcBorders>
              <w:tl2br w:val="nil"/>
              <w:tr2bl w:val="nil"/>
            </w:tcBorders>
          </w:tcPr>
          <w:p w14:paraId="20C6D275">
            <w:pPr>
              <w:spacing w:line="360" w:lineRule="auto"/>
              <w:rPr>
                <w:rFonts w:ascii="宋体" w:hAnsi="宋体" w:eastAsia="宋体" w:cs="宋体"/>
                <w:sz w:val="18"/>
                <w:szCs w:val="18"/>
              </w:rPr>
            </w:pPr>
          </w:p>
        </w:tc>
        <w:tc>
          <w:tcPr>
            <w:tcW w:w="984" w:type="dxa"/>
            <w:gridSpan w:val="2"/>
            <w:tcBorders>
              <w:tl2br w:val="nil"/>
              <w:tr2bl w:val="nil"/>
            </w:tcBorders>
          </w:tcPr>
          <w:p w14:paraId="1EAB886D">
            <w:pPr>
              <w:spacing w:line="360" w:lineRule="auto"/>
              <w:rPr>
                <w:rFonts w:ascii="宋体" w:hAnsi="宋体" w:eastAsia="宋体" w:cs="宋体"/>
                <w:sz w:val="18"/>
                <w:szCs w:val="18"/>
              </w:rPr>
            </w:pPr>
          </w:p>
        </w:tc>
      </w:tr>
      <w:tr w14:paraId="12D011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2C072CA0">
            <w:pPr>
              <w:spacing w:line="360" w:lineRule="auto"/>
              <w:rPr>
                <w:rFonts w:ascii="宋体" w:hAnsi="宋体" w:eastAsia="宋体" w:cs="宋体"/>
                <w:sz w:val="18"/>
                <w:szCs w:val="18"/>
              </w:rPr>
            </w:pPr>
            <w:r>
              <w:rPr>
                <w:rFonts w:hint="eastAsia" w:ascii="宋体" w:hAnsi="宋体" w:eastAsia="宋体" w:cs="宋体"/>
                <w:sz w:val="18"/>
                <w:szCs w:val="18"/>
              </w:rPr>
              <w:t>1-2</w:t>
            </w:r>
          </w:p>
        </w:tc>
        <w:tc>
          <w:tcPr>
            <w:tcW w:w="4526" w:type="dxa"/>
            <w:tcBorders>
              <w:tl2br w:val="nil"/>
              <w:tr2bl w:val="nil"/>
            </w:tcBorders>
          </w:tcPr>
          <w:p w14:paraId="231888DC">
            <w:pPr>
              <w:spacing w:line="360" w:lineRule="auto"/>
              <w:rPr>
                <w:rFonts w:ascii="宋体" w:hAnsi="宋体" w:eastAsia="宋体" w:cs="宋体"/>
                <w:sz w:val="18"/>
                <w:szCs w:val="18"/>
              </w:rPr>
            </w:pPr>
            <w:r>
              <w:rPr>
                <w:rFonts w:hint="eastAsia" w:ascii="宋体" w:hAnsi="宋体" w:eastAsia="宋体" w:cs="宋体"/>
                <w:sz w:val="18"/>
                <w:szCs w:val="18"/>
              </w:rPr>
              <w:t>能源管理目标和方针与GB/T 23331的标准要求不一致</w:t>
            </w:r>
          </w:p>
        </w:tc>
        <w:tc>
          <w:tcPr>
            <w:tcW w:w="684" w:type="dxa"/>
            <w:tcBorders>
              <w:tl2br w:val="nil"/>
              <w:tr2bl w:val="nil"/>
            </w:tcBorders>
          </w:tcPr>
          <w:p w14:paraId="558C9FD5">
            <w:pPr>
              <w:spacing w:line="360" w:lineRule="auto"/>
              <w:rPr>
                <w:rFonts w:ascii="宋体" w:hAnsi="宋体" w:eastAsia="宋体" w:cs="宋体"/>
                <w:sz w:val="18"/>
                <w:szCs w:val="18"/>
              </w:rPr>
            </w:pPr>
          </w:p>
        </w:tc>
        <w:tc>
          <w:tcPr>
            <w:tcW w:w="924" w:type="dxa"/>
            <w:gridSpan w:val="2"/>
            <w:tcBorders>
              <w:tl2br w:val="nil"/>
              <w:tr2bl w:val="nil"/>
            </w:tcBorders>
          </w:tcPr>
          <w:p w14:paraId="47F29E58">
            <w:pPr>
              <w:spacing w:line="360" w:lineRule="auto"/>
              <w:rPr>
                <w:rFonts w:ascii="宋体" w:hAnsi="宋体" w:eastAsia="宋体" w:cs="宋体"/>
                <w:sz w:val="18"/>
                <w:szCs w:val="18"/>
              </w:rPr>
            </w:pPr>
          </w:p>
        </w:tc>
        <w:tc>
          <w:tcPr>
            <w:tcW w:w="984" w:type="dxa"/>
            <w:gridSpan w:val="2"/>
            <w:tcBorders>
              <w:tl2br w:val="nil"/>
              <w:tr2bl w:val="nil"/>
            </w:tcBorders>
          </w:tcPr>
          <w:p w14:paraId="27A73FB5">
            <w:pPr>
              <w:spacing w:line="360" w:lineRule="auto"/>
              <w:rPr>
                <w:rFonts w:ascii="宋体" w:hAnsi="宋体" w:eastAsia="宋体" w:cs="宋体"/>
                <w:sz w:val="18"/>
                <w:szCs w:val="18"/>
              </w:rPr>
            </w:pPr>
          </w:p>
        </w:tc>
      </w:tr>
      <w:tr w14:paraId="44AC73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030A26C8">
            <w:pPr>
              <w:spacing w:line="360" w:lineRule="auto"/>
              <w:rPr>
                <w:rFonts w:ascii="宋体" w:hAnsi="宋体" w:eastAsia="宋体" w:cs="宋体"/>
                <w:sz w:val="18"/>
                <w:szCs w:val="18"/>
              </w:rPr>
            </w:pPr>
            <w:r>
              <w:rPr>
                <w:rFonts w:hint="eastAsia" w:ascii="宋体" w:hAnsi="宋体" w:eastAsia="宋体" w:cs="宋体"/>
                <w:sz w:val="18"/>
                <w:szCs w:val="18"/>
              </w:rPr>
              <w:t>1-3</w:t>
            </w:r>
          </w:p>
        </w:tc>
        <w:tc>
          <w:tcPr>
            <w:tcW w:w="4526" w:type="dxa"/>
            <w:tcBorders>
              <w:tl2br w:val="nil"/>
              <w:tr2bl w:val="nil"/>
            </w:tcBorders>
            <w:shd w:val="clear" w:color="auto" w:fill="auto"/>
          </w:tcPr>
          <w:p w14:paraId="021380AD">
            <w:pPr>
              <w:spacing w:line="360" w:lineRule="auto"/>
              <w:rPr>
                <w:rFonts w:ascii="宋体" w:hAnsi="宋体" w:eastAsia="宋体" w:cs="宋体"/>
                <w:sz w:val="18"/>
                <w:szCs w:val="18"/>
              </w:rPr>
            </w:pPr>
            <w:r>
              <w:rPr>
                <w:rFonts w:hint="eastAsia" w:ascii="宋体" w:hAnsi="宋体" w:eastAsia="宋体" w:cs="宋体"/>
                <w:sz w:val="18"/>
                <w:szCs w:val="18"/>
              </w:rPr>
              <w:t>能源管理目标和方针不够具体、难以量化</w:t>
            </w:r>
          </w:p>
        </w:tc>
        <w:tc>
          <w:tcPr>
            <w:tcW w:w="684" w:type="dxa"/>
            <w:tcBorders>
              <w:tl2br w:val="nil"/>
              <w:tr2bl w:val="nil"/>
            </w:tcBorders>
          </w:tcPr>
          <w:p w14:paraId="6E1FCC9E">
            <w:pPr>
              <w:spacing w:line="360" w:lineRule="auto"/>
              <w:rPr>
                <w:rFonts w:ascii="宋体" w:hAnsi="宋体" w:eastAsia="宋体" w:cs="宋体"/>
                <w:sz w:val="18"/>
                <w:szCs w:val="18"/>
              </w:rPr>
            </w:pPr>
          </w:p>
        </w:tc>
        <w:tc>
          <w:tcPr>
            <w:tcW w:w="924" w:type="dxa"/>
            <w:gridSpan w:val="2"/>
            <w:tcBorders>
              <w:tl2br w:val="nil"/>
              <w:tr2bl w:val="nil"/>
            </w:tcBorders>
          </w:tcPr>
          <w:p w14:paraId="2EFC8ADA">
            <w:pPr>
              <w:spacing w:line="360" w:lineRule="auto"/>
              <w:rPr>
                <w:rFonts w:ascii="宋体" w:hAnsi="宋体" w:eastAsia="宋体" w:cs="宋体"/>
                <w:sz w:val="18"/>
                <w:szCs w:val="18"/>
              </w:rPr>
            </w:pPr>
          </w:p>
        </w:tc>
        <w:tc>
          <w:tcPr>
            <w:tcW w:w="984" w:type="dxa"/>
            <w:gridSpan w:val="2"/>
            <w:tcBorders>
              <w:tl2br w:val="nil"/>
              <w:tr2bl w:val="nil"/>
            </w:tcBorders>
          </w:tcPr>
          <w:p w14:paraId="3C548523">
            <w:pPr>
              <w:spacing w:line="360" w:lineRule="auto"/>
              <w:rPr>
                <w:rFonts w:ascii="宋体" w:hAnsi="宋体" w:eastAsia="宋体" w:cs="宋体"/>
                <w:sz w:val="18"/>
                <w:szCs w:val="18"/>
              </w:rPr>
            </w:pPr>
          </w:p>
        </w:tc>
      </w:tr>
      <w:tr w14:paraId="0950F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2470B5BA">
            <w:pPr>
              <w:spacing w:line="360" w:lineRule="auto"/>
              <w:rPr>
                <w:rFonts w:ascii="宋体" w:hAnsi="宋体" w:eastAsia="宋体" w:cs="宋体"/>
                <w:sz w:val="18"/>
                <w:szCs w:val="18"/>
              </w:rPr>
            </w:pPr>
            <w:r>
              <w:rPr>
                <w:rFonts w:hint="eastAsia" w:ascii="宋体" w:hAnsi="宋体" w:eastAsia="宋体" w:cs="宋体"/>
                <w:sz w:val="18"/>
                <w:szCs w:val="18"/>
              </w:rPr>
              <w:t>1-4</w:t>
            </w:r>
          </w:p>
        </w:tc>
        <w:tc>
          <w:tcPr>
            <w:tcW w:w="4526" w:type="dxa"/>
            <w:tcBorders>
              <w:tl2br w:val="nil"/>
              <w:tr2bl w:val="nil"/>
            </w:tcBorders>
            <w:shd w:val="clear" w:color="auto" w:fill="auto"/>
          </w:tcPr>
          <w:p w14:paraId="20462B0D">
            <w:pPr>
              <w:spacing w:line="360" w:lineRule="auto"/>
              <w:rPr>
                <w:rFonts w:ascii="宋体" w:hAnsi="宋体" w:eastAsia="宋体" w:cs="宋体"/>
                <w:sz w:val="18"/>
                <w:szCs w:val="18"/>
              </w:rPr>
            </w:pPr>
            <w:r>
              <w:rPr>
                <w:rFonts w:hint="eastAsia" w:ascii="宋体" w:hAnsi="宋体" w:eastAsia="宋体" w:cs="宋体"/>
                <w:sz w:val="18"/>
                <w:szCs w:val="18"/>
              </w:rPr>
              <w:t>能源管理目标和方针过高，不具备可行性</w:t>
            </w:r>
          </w:p>
        </w:tc>
        <w:tc>
          <w:tcPr>
            <w:tcW w:w="684" w:type="dxa"/>
            <w:tcBorders>
              <w:tl2br w:val="nil"/>
              <w:tr2bl w:val="nil"/>
            </w:tcBorders>
          </w:tcPr>
          <w:p w14:paraId="320DF75F">
            <w:pPr>
              <w:spacing w:line="360" w:lineRule="auto"/>
              <w:rPr>
                <w:rFonts w:ascii="宋体" w:hAnsi="宋体" w:eastAsia="宋体" w:cs="宋体"/>
                <w:sz w:val="18"/>
                <w:szCs w:val="18"/>
              </w:rPr>
            </w:pPr>
          </w:p>
        </w:tc>
        <w:tc>
          <w:tcPr>
            <w:tcW w:w="924" w:type="dxa"/>
            <w:gridSpan w:val="2"/>
            <w:tcBorders>
              <w:tl2br w:val="nil"/>
              <w:tr2bl w:val="nil"/>
            </w:tcBorders>
          </w:tcPr>
          <w:p w14:paraId="10876610">
            <w:pPr>
              <w:spacing w:line="360" w:lineRule="auto"/>
              <w:rPr>
                <w:rFonts w:ascii="宋体" w:hAnsi="宋体" w:eastAsia="宋体" w:cs="宋体"/>
                <w:sz w:val="18"/>
                <w:szCs w:val="18"/>
              </w:rPr>
            </w:pPr>
          </w:p>
        </w:tc>
        <w:tc>
          <w:tcPr>
            <w:tcW w:w="984" w:type="dxa"/>
            <w:gridSpan w:val="2"/>
            <w:tcBorders>
              <w:tl2br w:val="nil"/>
              <w:tr2bl w:val="nil"/>
            </w:tcBorders>
          </w:tcPr>
          <w:p w14:paraId="3910ADBE">
            <w:pPr>
              <w:spacing w:line="360" w:lineRule="auto"/>
              <w:rPr>
                <w:rFonts w:ascii="宋体" w:hAnsi="宋体" w:eastAsia="宋体" w:cs="宋体"/>
                <w:sz w:val="18"/>
                <w:szCs w:val="18"/>
              </w:rPr>
            </w:pPr>
          </w:p>
        </w:tc>
      </w:tr>
      <w:tr w14:paraId="2F9AE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292A2883">
            <w:pPr>
              <w:spacing w:line="360" w:lineRule="auto"/>
              <w:rPr>
                <w:rFonts w:ascii="宋体" w:hAnsi="宋体" w:eastAsia="宋体" w:cs="宋体"/>
                <w:sz w:val="18"/>
                <w:szCs w:val="18"/>
              </w:rPr>
            </w:pPr>
            <w:r>
              <w:rPr>
                <w:rFonts w:hint="eastAsia" w:ascii="宋体" w:hAnsi="宋体" w:eastAsia="宋体" w:cs="宋体"/>
                <w:sz w:val="18"/>
                <w:szCs w:val="18"/>
              </w:rPr>
              <w:t>1-5</w:t>
            </w:r>
          </w:p>
        </w:tc>
        <w:tc>
          <w:tcPr>
            <w:tcW w:w="4526" w:type="dxa"/>
            <w:tcBorders>
              <w:tl2br w:val="nil"/>
              <w:tr2bl w:val="nil"/>
            </w:tcBorders>
            <w:shd w:val="clear" w:color="auto" w:fill="auto"/>
          </w:tcPr>
          <w:p w14:paraId="60049C10">
            <w:pPr>
              <w:spacing w:line="360" w:lineRule="auto"/>
              <w:rPr>
                <w:rFonts w:ascii="宋体" w:hAnsi="宋体" w:eastAsia="宋体" w:cs="宋体"/>
                <w:sz w:val="18"/>
                <w:szCs w:val="18"/>
              </w:rPr>
            </w:pPr>
            <w:r>
              <w:rPr>
                <w:rFonts w:hint="eastAsia" w:ascii="宋体" w:hAnsi="宋体" w:eastAsia="宋体" w:cs="宋体"/>
                <w:sz w:val="18"/>
                <w:szCs w:val="18"/>
              </w:rPr>
              <w:t>能源管理目标和方针过低</w:t>
            </w:r>
          </w:p>
        </w:tc>
        <w:tc>
          <w:tcPr>
            <w:tcW w:w="684" w:type="dxa"/>
            <w:tcBorders>
              <w:tl2br w:val="nil"/>
              <w:tr2bl w:val="nil"/>
            </w:tcBorders>
          </w:tcPr>
          <w:p w14:paraId="0BB79353">
            <w:pPr>
              <w:spacing w:line="360" w:lineRule="auto"/>
              <w:rPr>
                <w:rFonts w:ascii="宋体" w:hAnsi="宋体" w:eastAsia="宋体" w:cs="宋体"/>
                <w:sz w:val="18"/>
                <w:szCs w:val="18"/>
              </w:rPr>
            </w:pPr>
          </w:p>
        </w:tc>
        <w:tc>
          <w:tcPr>
            <w:tcW w:w="924" w:type="dxa"/>
            <w:gridSpan w:val="2"/>
            <w:tcBorders>
              <w:tl2br w:val="nil"/>
              <w:tr2bl w:val="nil"/>
            </w:tcBorders>
          </w:tcPr>
          <w:p w14:paraId="6668B47B">
            <w:pPr>
              <w:spacing w:line="360" w:lineRule="auto"/>
              <w:rPr>
                <w:rFonts w:ascii="宋体" w:hAnsi="宋体" w:eastAsia="宋体" w:cs="宋体"/>
                <w:sz w:val="18"/>
                <w:szCs w:val="18"/>
              </w:rPr>
            </w:pPr>
          </w:p>
        </w:tc>
        <w:tc>
          <w:tcPr>
            <w:tcW w:w="984" w:type="dxa"/>
            <w:gridSpan w:val="2"/>
            <w:tcBorders>
              <w:tl2br w:val="nil"/>
              <w:tr2bl w:val="nil"/>
            </w:tcBorders>
          </w:tcPr>
          <w:p w14:paraId="3F8D5992">
            <w:pPr>
              <w:spacing w:line="360" w:lineRule="auto"/>
              <w:rPr>
                <w:rFonts w:ascii="宋体" w:hAnsi="宋体" w:eastAsia="宋体" w:cs="宋体"/>
                <w:sz w:val="18"/>
                <w:szCs w:val="18"/>
              </w:rPr>
            </w:pPr>
          </w:p>
        </w:tc>
      </w:tr>
      <w:tr w14:paraId="09C9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3DA67365">
            <w:pPr>
              <w:spacing w:line="360" w:lineRule="auto"/>
              <w:rPr>
                <w:rFonts w:ascii="宋体" w:hAnsi="宋体" w:eastAsia="宋体" w:cs="宋体"/>
                <w:sz w:val="18"/>
                <w:szCs w:val="18"/>
              </w:rPr>
            </w:pPr>
            <w:r>
              <w:rPr>
                <w:rFonts w:hint="eastAsia" w:ascii="宋体" w:hAnsi="宋体" w:eastAsia="宋体" w:cs="宋体"/>
                <w:sz w:val="18"/>
                <w:szCs w:val="18"/>
              </w:rPr>
              <w:t>1-6</w:t>
            </w:r>
          </w:p>
        </w:tc>
        <w:tc>
          <w:tcPr>
            <w:tcW w:w="4526" w:type="dxa"/>
            <w:tcBorders>
              <w:tl2br w:val="nil"/>
              <w:tr2bl w:val="nil"/>
            </w:tcBorders>
            <w:shd w:val="clear" w:color="auto" w:fill="auto"/>
          </w:tcPr>
          <w:p w14:paraId="4C2883F7">
            <w:pPr>
              <w:spacing w:line="360" w:lineRule="auto"/>
              <w:rPr>
                <w:rFonts w:ascii="宋体" w:hAnsi="宋体" w:eastAsia="宋体" w:cs="宋体"/>
                <w:sz w:val="18"/>
                <w:szCs w:val="18"/>
              </w:rPr>
            </w:pPr>
            <w:r>
              <w:rPr>
                <w:rFonts w:hint="eastAsia" w:ascii="宋体" w:hAnsi="宋体" w:eastAsia="宋体" w:cs="宋体"/>
                <w:sz w:val="18"/>
                <w:szCs w:val="18"/>
              </w:rPr>
              <w:t>能源管理目标和方针时效性不足</w:t>
            </w:r>
          </w:p>
        </w:tc>
        <w:tc>
          <w:tcPr>
            <w:tcW w:w="684" w:type="dxa"/>
            <w:tcBorders>
              <w:tl2br w:val="nil"/>
              <w:tr2bl w:val="nil"/>
            </w:tcBorders>
          </w:tcPr>
          <w:p w14:paraId="01394F30">
            <w:pPr>
              <w:spacing w:line="360" w:lineRule="auto"/>
              <w:rPr>
                <w:rFonts w:ascii="宋体" w:hAnsi="宋体" w:eastAsia="宋体" w:cs="宋体"/>
                <w:sz w:val="18"/>
                <w:szCs w:val="18"/>
              </w:rPr>
            </w:pPr>
          </w:p>
        </w:tc>
        <w:tc>
          <w:tcPr>
            <w:tcW w:w="924" w:type="dxa"/>
            <w:gridSpan w:val="2"/>
            <w:tcBorders>
              <w:tl2br w:val="nil"/>
              <w:tr2bl w:val="nil"/>
            </w:tcBorders>
          </w:tcPr>
          <w:p w14:paraId="3DCCB0E9">
            <w:pPr>
              <w:spacing w:line="360" w:lineRule="auto"/>
              <w:rPr>
                <w:rFonts w:ascii="宋体" w:hAnsi="宋体" w:eastAsia="宋体" w:cs="宋体"/>
                <w:sz w:val="18"/>
                <w:szCs w:val="18"/>
              </w:rPr>
            </w:pPr>
          </w:p>
        </w:tc>
        <w:tc>
          <w:tcPr>
            <w:tcW w:w="984" w:type="dxa"/>
            <w:gridSpan w:val="2"/>
            <w:tcBorders>
              <w:tl2br w:val="nil"/>
              <w:tr2bl w:val="nil"/>
            </w:tcBorders>
          </w:tcPr>
          <w:p w14:paraId="4CAAACDD">
            <w:pPr>
              <w:spacing w:line="360" w:lineRule="auto"/>
              <w:rPr>
                <w:rFonts w:ascii="宋体" w:hAnsi="宋体" w:eastAsia="宋体" w:cs="宋体"/>
                <w:sz w:val="18"/>
                <w:szCs w:val="18"/>
              </w:rPr>
            </w:pPr>
          </w:p>
        </w:tc>
      </w:tr>
      <w:tr w14:paraId="432B3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34" w:type="dxa"/>
            <w:tcBorders>
              <w:tl2br w:val="nil"/>
              <w:tr2bl w:val="nil"/>
            </w:tcBorders>
            <w:shd w:val="clear" w:color="auto" w:fill="auto"/>
          </w:tcPr>
          <w:p w14:paraId="2705CA65">
            <w:pPr>
              <w:spacing w:line="360" w:lineRule="auto"/>
              <w:rPr>
                <w:rFonts w:ascii="宋体" w:hAnsi="宋体" w:eastAsia="宋体" w:cs="宋体"/>
                <w:sz w:val="18"/>
                <w:szCs w:val="18"/>
              </w:rPr>
            </w:pPr>
            <w:r>
              <w:rPr>
                <w:rFonts w:hint="eastAsia" w:ascii="宋体" w:hAnsi="宋体" w:eastAsia="宋体" w:cs="宋体"/>
                <w:sz w:val="18"/>
                <w:szCs w:val="18"/>
              </w:rPr>
              <w:t>1-7</w:t>
            </w:r>
          </w:p>
        </w:tc>
        <w:tc>
          <w:tcPr>
            <w:tcW w:w="4526" w:type="dxa"/>
            <w:tcBorders>
              <w:tl2br w:val="nil"/>
              <w:tr2bl w:val="nil"/>
            </w:tcBorders>
            <w:shd w:val="clear" w:color="auto" w:fill="auto"/>
          </w:tcPr>
          <w:p w14:paraId="38B79D0F">
            <w:pPr>
              <w:spacing w:line="360" w:lineRule="auto"/>
              <w:rPr>
                <w:rFonts w:ascii="宋体" w:hAnsi="宋体" w:eastAsia="宋体" w:cs="宋体"/>
                <w:sz w:val="18"/>
                <w:szCs w:val="18"/>
              </w:rPr>
            </w:pPr>
            <w:r>
              <w:rPr>
                <w:rFonts w:hint="eastAsia" w:ascii="宋体" w:hAnsi="宋体" w:eastAsia="宋体" w:cs="宋体"/>
                <w:sz w:val="18"/>
                <w:szCs w:val="18"/>
              </w:rPr>
              <w:t>能源管理目标和方针不具备前瞻性</w:t>
            </w:r>
          </w:p>
        </w:tc>
        <w:tc>
          <w:tcPr>
            <w:tcW w:w="684" w:type="dxa"/>
            <w:tcBorders>
              <w:tl2br w:val="nil"/>
              <w:tr2bl w:val="nil"/>
            </w:tcBorders>
          </w:tcPr>
          <w:p w14:paraId="18263FCB">
            <w:pPr>
              <w:spacing w:line="360" w:lineRule="auto"/>
              <w:rPr>
                <w:rFonts w:ascii="宋体" w:hAnsi="宋体" w:eastAsia="宋体" w:cs="宋体"/>
                <w:sz w:val="18"/>
                <w:szCs w:val="18"/>
              </w:rPr>
            </w:pPr>
          </w:p>
        </w:tc>
        <w:tc>
          <w:tcPr>
            <w:tcW w:w="924" w:type="dxa"/>
            <w:gridSpan w:val="2"/>
            <w:tcBorders>
              <w:tl2br w:val="nil"/>
              <w:tr2bl w:val="nil"/>
            </w:tcBorders>
          </w:tcPr>
          <w:p w14:paraId="5045DD7F">
            <w:pPr>
              <w:spacing w:line="360" w:lineRule="auto"/>
              <w:rPr>
                <w:rFonts w:ascii="宋体" w:hAnsi="宋体" w:eastAsia="宋体" w:cs="宋体"/>
                <w:sz w:val="18"/>
                <w:szCs w:val="18"/>
              </w:rPr>
            </w:pPr>
          </w:p>
        </w:tc>
        <w:tc>
          <w:tcPr>
            <w:tcW w:w="984" w:type="dxa"/>
            <w:gridSpan w:val="2"/>
            <w:tcBorders>
              <w:tl2br w:val="nil"/>
              <w:tr2bl w:val="nil"/>
            </w:tcBorders>
          </w:tcPr>
          <w:p w14:paraId="3ED94034">
            <w:pPr>
              <w:spacing w:line="360" w:lineRule="auto"/>
              <w:rPr>
                <w:rFonts w:ascii="宋体" w:hAnsi="宋体" w:eastAsia="宋体" w:cs="宋体"/>
                <w:sz w:val="18"/>
                <w:szCs w:val="18"/>
              </w:rPr>
            </w:pPr>
          </w:p>
        </w:tc>
      </w:tr>
      <w:tr w14:paraId="03BAF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3E25DFA4">
            <w:pPr>
              <w:spacing w:line="360" w:lineRule="auto"/>
              <w:rPr>
                <w:rFonts w:ascii="宋体" w:hAnsi="宋体" w:eastAsia="宋体" w:cs="宋体"/>
                <w:sz w:val="18"/>
                <w:szCs w:val="18"/>
              </w:rPr>
            </w:pPr>
            <w:r>
              <w:rPr>
                <w:rFonts w:hint="eastAsia" w:ascii="宋体" w:hAnsi="宋体" w:eastAsia="宋体" w:cs="宋体"/>
                <w:sz w:val="18"/>
                <w:szCs w:val="18"/>
              </w:rPr>
              <w:t>1-8</w:t>
            </w:r>
          </w:p>
        </w:tc>
        <w:tc>
          <w:tcPr>
            <w:tcW w:w="4526" w:type="dxa"/>
            <w:tcBorders>
              <w:tl2br w:val="nil"/>
              <w:tr2bl w:val="nil"/>
            </w:tcBorders>
          </w:tcPr>
          <w:p w14:paraId="1E250AC7">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659AB5A6">
            <w:pPr>
              <w:spacing w:line="360" w:lineRule="auto"/>
              <w:rPr>
                <w:rFonts w:ascii="宋体" w:hAnsi="宋体" w:eastAsia="宋体" w:cs="宋体"/>
                <w:sz w:val="18"/>
                <w:szCs w:val="18"/>
              </w:rPr>
            </w:pPr>
          </w:p>
        </w:tc>
        <w:tc>
          <w:tcPr>
            <w:tcW w:w="924" w:type="dxa"/>
            <w:gridSpan w:val="2"/>
            <w:tcBorders>
              <w:tl2br w:val="nil"/>
              <w:tr2bl w:val="nil"/>
            </w:tcBorders>
          </w:tcPr>
          <w:p w14:paraId="524B8075">
            <w:pPr>
              <w:spacing w:line="360" w:lineRule="auto"/>
              <w:rPr>
                <w:rFonts w:ascii="宋体" w:hAnsi="宋体" w:eastAsia="宋体" w:cs="宋体"/>
                <w:sz w:val="18"/>
                <w:szCs w:val="18"/>
              </w:rPr>
            </w:pPr>
          </w:p>
        </w:tc>
        <w:tc>
          <w:tcPr>
            <w:tcW w:w="984" w:type="dxa"/>
            <w:gridSpan w:val="2"/>
            <w:tcBorders>
              <w:tl2br w:val="nil"/>
              <w:tr2bl w:val="nil"/>
            </w:tcBorders>
          </w:tcPr>
          <w:p w14:paraId="19524991">
            <w:pPr>
              <w:spacing w:line="360" w:lineRule="auto"/>
              <w:rPr>
                <w:rFonts w:ascii="宋体" w:hAnsi="宋体" w:eastAsia="宋体" w:cs="宋体"/>
                <w:sz w:val="18"/>
                <w:szCs w:val="18"/>
              </w:rPr>
            </w:pPr>
          </w:p>
        </w:tc>
      </w:tr>
      <w:tr w14:paraId="5195B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4CF7699A">
            <w:pPr>
              <w:spacing w:line="360" w:lineRule="auto"/>
              <w:rPr>
                <w:rFonts w:ascii="宋体" w:hAnsi="宋体" w:eastAsia="宋体" w:cs="宋体"/>
                <w:sz w:val="18"/>
                <w:szCs w:val="18"/>
              </w:rPr>
            </w:pPr>
            <w:r>
              <w:rPr>
                <w:rFonts w:hint="eastAsia" w:ascii="宋体" w:hAnsi="宋体" w:eastAsia="宋体" w:cs="宋体"/>
                <w:b/>
                <w:bCs/>
                <w:sz w:val="18"/>
                <w:szCs w:val="18"/>
              </w:rPr>
              <w:t>2 机构设置</w:t>
            </w:r>
          </w:p>
        </w:tc>
      </w:tr>
      <w:tr w14:paraId="727B58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4C45FB76">
            <w:pPr>
              <w:spacing w:line="360" w:lineRule="auto"/>
              <w:rPr>
                <w:rFonts w:ascii="宋体" w:hAnsi="宋体" w:eastAsia="宋体" w:cs="宋体"/>
                <w:sz w:val="18"/>
                <w:szCs w:val="18"/>
              </w:rPr>
            </w:pPr>
            <w:r>
              <w:rPr>
                <w:rFonts w:hint="eastAsia" w:ascii="宋体" w:hAnsi="宋体" w:eastAsia="宋体" w:cs="宋体"/>
                <w:sz w:val="18"/>
                <w:szCs w:val="18"/>
              </w:rPr>
              <w:t>2-1</w:t>
            </w:r>
          </w:p>
        </w:tc>
        <w:tc>
          <w:tcPr>
            <w:tcW w:w="4526" w:type="dxa"/>
            <w:tcBorders>
              <w:tl2br w:val="nil"/>
              <w:tr2bl w:val="nil"/>
            </w:tcBorders>
          </w:tcPr>
          <w:p w14:paraId="47EB56CC">
            <w:pPr>
              <w:spacing w:line="360" w:lineRule="auto"/>
              <w:rPr>
                <w:rFonts w:ascii="宋体" w:hAnsi="宋体" w:eastAsia="宋体" w:cs="宋体"/>
                <w:sz w:val="18"/>
                <w:szCs w:val="18"/>
              </w:rPr>
            </w:pPr>
            <w:r>
              <w:rPr>
                <w:rFonts w:hint="eastAsia" w:ascii="宋体" w:hAnsi="宋体" w:eastAsia="宋体" w:cs="宋体"/>
                <w:sz w:val="18"/>
                <w:szCs w:val="18"/>
              </w:rPr>
              <w:t>组织机构及部门设置不完善</w:t>
            </w:r>
          </w:p>
        </w:tc>
        <w:tc>
          <w:tcPr>
            <w:tcW w:w="684" w:type="dxa"/>
            <w:tcBorders>
              <w:tl2br w:val="nil"/>
              <w:tr2bl w:val="nil"/>
            </w:tcBorders>
          </w:tcPr>
          <w:p w14:paraId="60C8B5E4">
            <w:pPr>
              <w:spacing w:line="360" w:lineRule="auto"/>
              <w:rPr>
                <w:rFonts w:ascii="宋体" w:hAnsi="宋体" w:eastAsia="宋体" w:cs="宋体"/>
                <w:sz w:val="18"/>
                <w:szCs w:val="18"/>
              </w:rPr>
            </w:pPr>
          </w:p>
        </w:tc>
        <w:tc>
          <w:tcPr>
            <w:tcW w:w="924" w:type="dxa"/>
            <w:gridSpan w:val="2"/>
            <w:tcBorders>
              <w:tl2br w:val="nil"/>
              <w:tr2bl w:val="nil"/>
            </w:tcBorders>
          </w:tcPr>
          <w:p w14:paraId="2505C513">
            <w:pPr>
              <w:spacing w:line="360" w:lineRule="auto"/>
              <w:rPr>
                <w:rFonts w:ascii="宋体" w:hAnsi="宋体" w:eastAsia="宋体" w:cs="宋体"/>
                <w:sz w:val="18"/>
                <w:szCs w:val="18"/>
              </w:rPr>
            </w:pPr>
          </w:p>
        </w:tc>
        <w:tc>
          <w:tcPr>
            <w:tcW w:w="984" w:type="dxa"/>
            <w:gridSpan w:val="2"/>
            <w:tcBorders>
              <w:tl2br w:val="nil"/>
              <w:tr2bl w:val="nil"/>
            </w:tcBorders>
          </w:tcPr>
          <w:p w14:paraId="13628EF9">
            <w:pPr>
              <w:spacing w:line="360" w:lineRule="auto"/>
              <w:rPr>
                <w:rFonts w:ascii="宋体" w:hAnsi="宋体" w:eastAsia="宋体" w:cs="宋体"/>
                <w:sz w:val="18"/>
                <w:szCs w:val="18"/>
              </w:rPr>
            </w:pPr>
          </w:p>
        </w:tc>
      </w:tr>
      <w:tr w14:paraId="5170E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7308B432">
            <w:pPr>
              <w:spacing w:line="360" w:lineRule="auto"/>
              <w:rPr>
                <w:rFonts w:ascii="宋体" w:hAnsi="宋体" w:eastAsia="宋体" w:cs="宋体"/>
                <w:sz w:val="18"/>
                <w:szCs w:val="18"/>
              </w:rPr>
            </w:pPr>
            <w:r>
              <w:rPr>
                <w:rFonts w:hint="eastAsia" w:ascii="宋体" w:hAnsi="宋体" w:eastAsia="宋体" w:cs="宋体"/>
                <w:sz w:val="18"/>
                <w:szCs w:val="18"/>
              </w:rPr>
              <w:t>2-2</w:t>
            </w:r>
          </w:p>
        </w:tc>
        <w:tc>
          <w:tcPr>
            <w:tcW w:w="4526" w:type="dxa"/>
            <w:tcBorders>
              <w:tl2br w:val="nil"/>
              <w:tr2bl w:val="nil"/>
            </w:tcBorders>
            <w:shd w:val="clear" w:color="auto" w:fill="auto"/>
          </w:tcPr>
          <w:p w14:paraId="38BE9F34">
            <w:pPr>
              <w:spacing w:line="360" w:lineRule="auto"/>
              <w:rPr>
                <w:rFonts w:ascii="宋体" w:hAnsi="宋体" w:eastAsia="宋体" w:cs="宋体"/>
                <w:sz w:val="18"/>
                <w:szCs w:val="18"/>
              </w:rPr>
            </w:pPr>
            <w:r>
              <w:rPr>
                <w:rFonts w:hint="eastAsia" w:ascii="宋体" w:hAnsi="宋体" w:eastAsia="宋体" w:cs="宋体"/>
                <w:sz w:val="18"/>
                <w:szCs w:val="18"/>
              </w:rPr>
              <w:t>没有专门的能源管理人员</w:t>
            </w:r>
          </w:p>
        </w:tc>
        <w:tc>
          <w:tcPr>
            <w:tcW w:w="684" w:type="dxa"/>
            <w:tcBorders>
              <w:tl2br w:val="nil"/>
              <w:tr2bl w:val="nil"/>
            </w:tcBorders>
          </w:tcPr>
          <w:p w14:paraId="0A458551">
            <w:pPr>
              <w:spacing w:line="360" w:lineRule="auto"/>
              <w:rPr>
                <w:rFonts w:ascii="宋体" w:hAnsi="宋体" w:eastAsia="宋体" w:cs="宋体"/>
                <w:sz w:val="18"/>
                <w:szCs w:val="18"/>
              </w:rPr>
            </w:pPr>
          </w:p>
        </w:tc>
        <w:tc>
          <w:tcPr>
            <w:tcW w:w="924" w:type="dxa"/>
            <w:gridSpan w:val="2"/>
            <w:tcBorders>
              <w:tl2br w:val="nil"/>
              <w:tr2bl w:val="nil"/>
            </w:tcBorders>
          </w:tcPr>
          <w:p w14:paraId="167EDB6C">
            <w:pPr>
              <w:spacing w:line="360" w:lineRule="auto"/>
              <w:rPr>
                <w:rFonts w:ascii="宋体" w:hAnsi="宋体" w:eastAsia="宋体" w:cs="宋体"/>
                <w:sz w:val="18"/>
                <w:szCs w:val="18"/>
              </w:rPr>
            </w:pPr>
          </w:p>
        </w:tc>
        <w:tc>
          <w:tcPr>
            <w:tcW w:w="984" w:type="dxa"/>
            <w:gridSpan w:val="2"/>
            <w:tcBorders>
              <w:tl2br w:val="nil"/>
              <w:tr2bl w:val="nil"/>
            </w:tcBorders>
          </w:tcPr>
          <w:p w14:paraId="4FF2D6F0">
            <w:pPr>
              <w:spacing w:line="360" w:lineRule="auto"/>
              <w:rPr>
                <w:rFonts w:ascii="宋体" w:hAnsi="宋体" w:eastAsia="宋体" w:cs="宋体"/>
                <w:sz w:val="18"/>
                <w:szCs w:val="18"/>
              </w:rPr>
            </w:pPr>
          </w:p>
        </w:tc>
      </w:tr>
      <w:tr w14:paraId="2D04C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0AD9364F">
            <w:pPr>
              <w:spacing w:line="360" w:lineRule="auto"/>
              <w:rPr>
                <w:rFonts w:ascii="宋体" w:hAnsi="宋体" w:eastAsia="宋体" w:cs="宋体"/>
                <w:sz w:val="18"/>
                <w:szCs w:val="18"/>
              </w:rPr>
            </w:pPr>
            <w:r>
              <w:rPr>
                <w:rFonts w:hint="eastAsia" w:ascii="宋体" w:hAnsi="宋体" w:eastAsia="宋体" w:cs="宋体"/>
                <w:sz w:val="18"/>
                <w:szCs w:val="18"/>
              </w:rPr>
              <w:t>2-3</w:t>
            </w:r>
          </w:p>
        </w:tc>
        <w:tc>
          <w:tcPr>
            <w:tcW w:w="4526" w:type="dxa"/>
            <w:tcBorders>
              <w:tl2br w:val="nil"/>
              <w:tr2bl w:val="nil"/>
            </w:tcBorders>
            <w:shd w:val="clear" w:color="auto" w:fill="auto"/>
          </w:tcPr>
          <w:p w14:paraId="3743E044">
            <w:pPr>
              <w:spacing w:line="360" w:lineRule="auto"/>
              <w:rPr>
                <w:rFonts w:ascii="宋体" w:hAnsi="宋体" w:eastAsia="宋体" w:cs="宋体"/>
                <w:sz w:val="18"/>
                <w:szCs w:val="18"/>
              </w:rPr>
            </w:pPr>
            <w:r>
              <w:rPr>
                <w:rFonts w:hint="eastAsia" w:ascii="宋体" w:hAnsi="宋体" w:eastAsia="宋体" w:cs="宋体"/>
                <w:sz w:val="18"/>
                <w:szCs w:val="18"/>
              </w:rPr>
              <w:t>能源管理人员不具备相关资质或技术能力</w:t>
            </w:r>
          </w:p>
        </w:tc>
        <w:tc>
          <w:tcPr>
            <w:tcW w:w="684" w:type="dxa"/>
            <w:tcBorders>
              <w:tl2br w:val="nil"/>
              <w:tr2bl w:val="nil"/>
            </w:tcBorders>
          </w:tcPr>
          <w:p w14:paraId="23E9C078">
            <w:pPr>
              <w:spacing w:line="360" w:lineRule="auto"/>
              <w:rPr>
                <w:rFonts w:ascii="宋体" w:hAnsi="宋体" w:eastAsia="宋体" w:cs="宋体"/>
                <w:sz w:val="18"/>
                <w:szCs w:val="18"/>
              </w:rPr>
            </w:pPr>
          </w:p>
        </w:tc>
        <w:tc>
          <w:tcPr>
            <w:tcW w:w="924" w:type="dxa"/>
            <w:gridSpan w:val="2"/>
            <w:tcBorders>
              <w:tl2br w:val="nil"/>
              <w:tr2bl w:val="nil"/>
            </w:tcBorders>
          </w:tcPr>
          <w:p w14:paraId="2BEDE1D3">
            <w:pPr>
              <w:spacing w:line="360" w:lineRule="auto"/>
              <w:rPr>
                <w:rFonts w:ascii="宋体" w:hAnsi="宋体" w:eastAsia="宋体" w:cs="宋体"/>
                <w:sz w:val="18"/>
                <w:szCs w:val="18"/>
              </w:rPr>
            </w:pPr>
          </w:p>
        </w:tc>
        <w:tc>
          <w:tcPr>
            <w:tcW w:w="984" w:type="dxa"/>
            <w:gridSpan w:val="2"/>
            <w:tcBorders>
              <w:tl2br w:val="nil"/>
              <w:tr2bl w:val="nil"/>
            </w:tcBorders>
          </w:tcPr>
          <w:p w14:paraId="32586C49">
            <w:pPr>
              <w:spacing w:line="360" w:lineRule="auto"/>
              <w:rPr>
                <w:rFonts w:ascii="宋体" w:hAnsi="宋体" w:eastAsia="宋体" w:cs="宋体"/>
                <w:sz w:val="18"/>
                <w:szCs w:val="18"/>
              </w:rPr>
            </w:pPr>
          </w:p>
        </w:tc>
      </w:tr>
      <w:tr w14:paraId="2566CB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4139F185">
            <w:pPr>
              <w:spacing w:line="360" w:lineRule="auto"/>
              <w:rPr>
                <w:rFonts w:ascii="宋体" w:hAnsi="宋体" w:eastAsia="宋体" w:cs="宋体"/>
                <w:sz w:val="18"/>
                <w:szCs w:val="18"/>
              </w:rPr>
            </w:pPr>
            <w:r>
              <w:rPr>
                <w:rFonts w:hint="eastAsia" w:ascii="宋体" w:hAnsi="宋体" w:eastAsia="宋体" w:cs="宋体"/>
                <w:sz w:val="18"/>
                <w:szCs w:val="18"/>
              </w:rPr>
              <w:t>2-4</w:t>
            </w:r>
          </w:p>
        </w:tc>
        <w:tc>
          <w:tcPr>
            <w:tcW w:w="4526" w:type="dxa"/>
            <w:tcBorders>
              <w:tl2br w:val="nil"/>
              <w:tr2bl w:val="nil"/>
            </w:tcBorders>
            <w:shd w:val="clear" w:color="auto" w:fill="auto"/>
          </w:tcPr>
          <w:p w14:paraId="51ED2130">
            <w:pPr>
              <w:spacing w:line="360" w:lineRule="auto"/>
              <w:rPr>
                <w:rFonts w:ascii="宋体" w:hAnsi="宋体" w:eastAsia="宋体" w:cs="宋体"/>
                <w:sz w:val="18"/>
                <w:szCs w:val="18"/>
              </w:rPr>
            </w:pPr>
            <w:r>
              <w:rPr>
                <w:rFonts w:hint="eastAsia" w:ascii="宋体" w:hAnsi="宋体" w:eastAsia="宋体" w:cs="宋体"/>
                <w:sz w:val="18"/>
                <w:szCs w:val="18"/>
              </w:rPr>
              <w:t>能源管理岗位职责不明确</w:t>
            </w:r>
          </w:p>
        </w:tc>
        <w:tc>
          <w:tcPr>
            <w:tcW w:w="684" w:type="dxa"/>
            <w:tcBorders>
              <w:tl2br w:val="nil"/>
              <w:tr2bl w:val="nil"/>
            </w:tcBorders>
          </w:tcPr>
          <w:p w14:paraId="453FAAA4">
            <w:pPr>
              <w:spacing w:line="360" w:lineRule="auto"/>
              <w:rPr>
                <w:rFonts w:ascii="宋体" w:hAnsi="宋体" w:eastAsia="宋体" w:cs="宋体"/>
                <w:sz w:val="18"/>
                <w:szCs w:val="18"/>
              </w:rPr>
            </w:pPr>
          </w:p>
        </w:tc>
        <w:tc>
          <w:tcPr>
            <w:tcW w:w="924" w:type="dxa"/>
            <w:gridSpan w:val="2"/>
            <w:tcBorders>
              <w:tl2br w:val="nil"/>
              <w:tr2bl w:val="nil"/>
            </w:tcBorders>
          </w:tcPr>
          <w:p w14:paraId="58212788">
            <w:pPr>
              <w:spacing w:line="360" w:lineRule="auto"/>
              <w:rPr>
                <w:rFonts w:ascii="宋体" w:hAnsi="宋体" w:eastAsia="宋体" w:cs="宋体"/>
                <w:sz w:val="18"/>
                <w:szCs w:val="18"/>
              </w:rPr>
            </w:pPr>
          </w:p>
        </w:tc>
        <w:tc>
          <w:tcPr>
            <w:tcW w:w="984" w:type="dxa"/>
            <w:gridSpan w:val="2"/>
            <w:tcBorders>
              <w:tl2br w:val="nil"/>
              <w:tr2bl w:val="nil"/>
            </w:tcBorders>
          </w:tcPr>
          <w:p w14:paraId="3EB83D5F">
            <w:pPr>
              <w:spacing w:line="360" w:lineRule="auto"/>
              <w:rPr>
                <w:rFonts w:ascii="宋体" w:hAnsi="宋体" w:eastAsia="宋体" w:cs="宋体"/>
                <w:sz w:val="18"/>
                <w:szCs w:val="18"/>
              </w:rPr>
            </w:pPr>
          </w:p>
        </w:tc>
      </w:tr>
      <w:tr w14:paraId="6FC5AC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5296F99F">
            <w:pPr>
              <w:spacing w:line="360" w:lineRule="auto"/>
              <w:rPr>
                <w:rFonts w:ascii="宋体" w:hAnsi="宋体" w:eastAsia="宋体" w:cs="宋体"/>
                <w:sz w:val="18"/>
                <w:szCs w:val="18"/>
              </w:rPr>
            </w:pPr>
            <w:r>
              <w:rPr>
                <w:rFonts w:hint="eastAsia" w:ascii="宋体" w:hAnsi="宋体" w:eastAsia="宋体" w:cs="宋体"/>
                <w:sz w:val="18"/>
                <w:szCs w:val="18"/>
              </w:rPr>
              <w:t>2-5</w:t>
            </w:r>
          </w:p>
        </w:tc>
        <w:tc>
          <w:tcPr>
            <w:tcW w:w="4526" w:type="dxa"/>
            <w:tcBorders>
              <w:tl2br w:val="nil"/>
              <w:tr2bl w:val="nil"/>
            </w:tcBorders>
            <w:shd w:val="clear" w:color="auto" w:fill="auto"/>
          </w:tcPr>
          <w:p w14:paraId="1496F4F3">
            <w:pPr>
              <w:spacing w:line="360" w:lineRule="auto"/>
              <w:rPr>
                <w:rFonts w:ascii="宋体" w:hAnsi="宋体" w:eastAsia="宋体" w:cs="宋体"/>
                <w:sz w:val="18"/>
                <w:szCs w:val="18"/>
              </w:rPr>
            </w:pPr>
            <w:r>
              <w:rPr>
                <w:rFonts w:hint="eastAsia" w:ascii="宋体" w:hAnsi="宋体" w:eastAsia="宋体" w:cs="宋体"/>
                <w:sz w:val="18"/>
                <w:szCs w:val="18"/>
              </w:rPr>
              <w:t>能源管理岗位权限不明确</w:t>
            </w:r>
          </w:p>
        </w:tc>
        <w:tc>
          <w:tcPr>
            <w:tcW w:w="684" w:type="dxa"/>
            <w:tcBorders>
              <w:tl2br w:val="nil"/>
              <w:tr2bl w:val="nil"/>
            </w:tcBorders>
          </w:tcPr>
          <w:p w14:paraId="6AF49176">
            <w:pPr>
              <w:spacing w:line="360" w:lineRule="auto"/>
              <w:rPr>
                <w:rFonts w:ascii="宋体" w:hAnsi="宋体" w:eastAsia="宋体" w:cs="宋体"/>
                <w:sz w:val="18"/>
                <w:szCs w:val="18"/>
              </w:rPr>
            </w:pPr>
          </w:p>
        </w:tc>
        <w:tc>
          <w:tcPr>
            <w:tcW w:w="924" w:type="dxa"/>
            <w:gridSpan w:val="2"/>
            <w:tcBorders>
              <w:tl2br w:val="nil"/>
              <w:tr2bl w:val="nil"/>
            </w:tcBorders>
          </w:tcPr>
          <w:p w14:paraId="70F9C8E2">
            <w:pPr>
              <w:spacing w:line="360" w:lineRule="auto"/>
              <w:rPr>
                <w:rFonts w:ascii="宋体" w:hAnsi="宋体" w:eastAsia="宋体" w:cs="宋体"/>
                <w:sz w:val="18"/>
                <w:szCs w:val="18"/>
              </w:rPr>
            </w:pPr>
          </w:p>
        </w:tc>
        <w:tc>
          <w:tcPr>
            <w:tcW w:w="984" w:type="dxa"/>
            <w:gridSpan w:val="2"/>
            <w:tcBorders>
              <w:tl2br w:val="nil"/>
              <w:tr2bl w:val="nil"/>
            </w:tcBorders>
          </w:tcPr>
          <w:p w14:paraId="371458CF">
            <w:pPr>
              <w:spacing w:line="360" w:lineRule="auto"/>
              <w:rPr>
                <w:rFonts w:ascii="宋体" w:hAnsi="宋体" w:eastAsia="宋体" w:cs="宋体"/>
                <w:sz w:val="18"/>
                <w:szCs w:val="18"/>
              </w:rPr>
            </w:pPr>
          </w:p>
        </w:tc>
      </w:tr>
      <w:tr w14:paraId="462AA1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5EE3F59C">
            <w:pPr>
              <w:spacing w:line="360" w:lineRule="auto"/>
              <w:rPr>
                <w:rFonts w:ascii="宋体" w:hAnsi="宋体" w:eastAsia="宋体" w:cs="宋体"/>
                <w:sz w:val="18"/>
                <w:szCs w:val="18"/>
              </w:rPr>
            </w:pPr>
            <w:r>
              <w:rPr>
                <w:rFonts w:hint="eastAsia" w:ascii="宋体" w:hAnsi="宋体" w:eastAsia="宋体" w:cs="宋体"/>
                <w:sz w:val="18"/>
                <w:szCs w:val="18"/>
              </w:rPr>
              <w:t>2-6</w:t>
            </w:r>
          </w:p>
        </w:tc>
        <w:tc>
          <w:tcPr>
            <w:tcW w:w="4526" w:type="dxa"/>
            <w:tcBorders>
              <w:tl2br w:val="nil"/>
              <w:tr2bl w:val="nil"/>
            </w:tcBorders>
          </w:tcPr>
          <w:p w14:paraId="131476C9">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309B7D17">
            <w:pPr>
              <w:spacing w:line="360" w:lineRule="auto"/>
              <w:rPr>
                <w:rFonts w:ascii="宋体" w:hAnsi="宋体" w:eastAsia="宋体" w:cs="宋体"/>
                <w:sz w:val="18"/>
                <w:szCs w:val="18"/>
              </w:rPr>
            </w:pPr>
          </w:p>
        </w:tc>
        <w:tc>
          <w:tcPr>
            <w:tcW w:w="924" w:type="dxa"/>
            <w:gridSpan w:val="2"/>
            <w:tcBorders>
              <w:tl2br w:val="nil"/>
              <w:tr2bl w:val="nil"/>
            </w:tcBorders>
          </w:tcPr>
          <w:p w14:paraId="68E2170E">
            <w:pPr>
              <w:spacing w:line="360" w:lineRule="auto"/>
              <w:rPr>
                <w:rFonts w:ascii="宋体" w:hAnsi="宋体" w:eastAsia="宋体" w:cs="宋体"/>
                <w:sz w:val="18"/>
                <w:szCs w:val="18"/>
              </w:rPr>
            </w:pPr>
          </w:p>
        </w:tc>
        <w:tc>
          <w:tcPr>
            <w:tcW w:w="984" w:type="dxa"/>
            <w:gridSpan w:val="2"/>
            <w:tcBorders>
              <w:tl2br w:val="nil"/>
              <w:tr2bl w:val="nil"/>
            </w:tcBorders>
          </w:tcPr>
          <w:p w14:paraId="7348F066">
            <w:pPr>
              <w:spacing w:line="360" w:lineRule="auto"/>
              <w:rPr>
                <w:rFonts w:ascii="宋体" w:hAnsi="宋体" w:eastAsia="宋体" w:cs="宋体"/>
                <w:sz w:val="18"/>
                <w:szCs w:val="18"/>
              </w:rPr>
            </w:pPr>
          </w:p>
        </w:tc>
      </w:tr>
      <w:tr w14:paraId="6B73E4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shd w:val="clear" w:color="auto" w:fill="auto"/>
          </w:tcPr>
          <w:p w14:paraId="292BA307">
            <w:pPr>
              <w:spacing w:line="360" w:lineRule="auto"/>
              <w:rPr>
                <w:rFonts w:ascii="宋体" w:hAnsi="宋体" w:eastAsia="宋体" w:cs="宋体"/>
                <w:sz w:val="18"/>
                <w:szCs w:val="18"/>
              </w:rPr>
            </w:pPr>
            <w:r>
              <w:rPr>
                <w:rFonts w:hint="eastAsia" w:ascii="宋体" w:hAnsi="宋体" w:eastAsia="宋体" w:cs="宋体"/>
                <w:b/>
                <w:bCs/>
                <w:sz w:val="18"/>
                <w:szCs w:val="18"/>
              </w:rPr>
              <w:t>3 制度建设</w:t>
            </w:r>
          </w:p>
        </w:tc>
      </w:tr>
      <w:tr w14:paraId="7EFCE3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2233BF1D">
            <w:pPr>
              <w:spacing w:line="360" w:lineRule="auto"/>
              <w:rPr>
                <w:rFonts w:ascii="宋体" w:hAnsi="宋体" w:eastAsia="宋体" w:cs="宋体"/>
                <w:sz w:val="18"/>
                <w:szCs w:val="18"/>
              </w:rPr>
            </w:pPr>
            <w:r>
              <w:rPr>
                <w:rFonts w:hint="eastAsia" w:ascii="宋体" w:hAnsi="宋体" w:eastAsia="宋体" w:cs="宋体"/>
                <w:sz w:val="18"/>
                <w:szCs w:val="18"/>
              </w:rPr>
              <w:t>3-1</w:t>
            </w:r>
          </w:p>
        </w:tc>
        <w:tc>
          <w:tcPr>
            <w:tcW w:w="4526" w:type="dxa"/>
            <w:tcBorders>
              <w:tl2br w:val="nil"/>
              <w:tr2bl w:val="nil"/>
            </w:tcBorders>
          </w:tcPr>
          <w:p w14:paraId="4A59899D">
            <w:pPr>
              <w:spacing w:line="360" w:lineRule="auto"/>
              <w:rPr>
                <w:rFonts w:ascii="宋体" w:hAnsi="宋体" w:eastAsia="宋体" w:cs="宋体"/>
                <w:sz w:val="18"/>
                <w:szCs w:val="18"/>
              </w:rPr>
            </w:pPr>
            <w:r>
              <w:rPr>
                <w:rFonts w:hint="eastAsia" w:ascii="宋体" w:hAnsi="宋体" w:eastAsia="宋体" w:cs="宋体"/>
                <w:sz w:val="18"/>
                <w:szCs w:val="18"/>
              </w:rPr>
              <w:t>没有建立能源管理规章制度</w:t>
            </w:r>
          </w:p>
        </w:tc>
        <w:tc>
          <w:tcPr>
            <w:tcW w:w="684" w:type="dxa"/>
            <w:tcBorders>
              <w:tl2br w:val="nil"/>
              <w:tr2bl w:val="nil"/>
            </w:tcBorders>
          </w:tcPr>
          <w:p w14:paraId="522A4E6A">
            <w:pPr>
              <w:spacing w:line="360" w:lineRule="auto"/>
              <w:rPr>
                <w:rFonts w:ascii="宋体" w:hAnsi="宋体" w:eastAsia="宋体" w:cs="宋体"/>
                <w:sz w:val="18"/>
                <w:szCs w:val="18"/>
              </w:rPr>
            </w:pPr>
          </w:p>
        </w:tc>
        <w:tc>
          <w:tcPr>
            <w:tcW w:w="924" w:type="dxa"/>
            <w:gridSpan w:val="2"/>
            <w:tcBorders>
              <w:tl2br w:val="nil"/>
              <w:tr2bl w:val="nil"/>
            </w:tcBorders>
          </w:tcPr>
          <w:p w14:paraId="3E4BD336">
            <w:pPr>
              <w:spacing w:line="360" w:lineRule="auto"/>
              <w:rPr>
                <w:rFonts w:ascii="宋体" w:hAnsi="宋体" w:eastAsia="宋体" w:cs="宋体"/>
                <w:sz w:val="18"/>
                <w:szCs w:val="18"/>
              </w:rPr>
            </w:pPr>
          </w:p>
        </w:tc>
        <w:tc>
          <w:tcPr>
            <w:tcW w:w="984" w:type="dxa"/>
            <w:gridSpan w:val="2"/>
            <w:tcBorders>
              <w:tl2br w:val="nil"/>
              <w:tr2bl w:val="nil"/>
            </w:tcBorders>
          </w:tcPr>
          <w:p w14:paraId="39006C05">
            <w:pPr>
              <w:spacing w:line="360" w:lineRule="auto"/>
              <w:rPr>
                <w:rFonts w:ascii="宋体" w:hAnsi="宋体" w:eastAsia="宋体" w:cs="宋体"/>
                <w:sz w:val="18"/>
                <w:szCs w:val="18"/>
              </w:rPr>
            </w:pPr>
          </w:p>
        </w:tc>
      </w:tr>
      <w:tr w14:paraId="01DD9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2A17AADC">
            <w:pPr>
              <w:spacing w:line="360" w:lineRule="auto"/>
              <w:rPr>
                <w:rFonts w:ascii="宋体" w:hAnsi="宋体" w:eastAsia="宋体" w:cs="宋体"/>
                <w:sz w:val="18"/>
                <w:szCs w:val="18"/>
              </w:rPr>
            </w:pPr>
            <w:r>
              <w:rPr>
                <w:rFonts w:hint="eastAsia" w:ascii="宋体" w:hAnsi="宋体" w:eastAsia="宋体" w:cs="宋体"/>
                <w:sz w:val="18"/>
                <w:szCs w:val="18"/>
              </w:rPr>
              <w:t>3-2</w:t>
            </w:r>
          </w:p>
        </w:tc>
        <w:tc>
          <w:tcPr>
            <w:tcW w:w="4526" w:type="dxa"/>
            <w:tcBorders>
              <w:tl2br w:val="nil"/>
              <w:tr2bl w:val="nil"/>
            </w:tcBorders>
          </w:tcPr>
          <w:p w14:paraId="0BC47F9E">
            <w:pPr>
              <w:spacing w:line="360" w:lineRule="auto"/>
              <w:rPr>
                <w:rFonts w:ascii="宋体" w:hAnsi="宋体" w:eastAsia="宋体" w:cs="宋体"/>
                <w:sz w:val="18"/>
                <w:szCs w:val="18"/>
              </w:rPr>
            </w:pPr>
            <w:r>
              <w:rPr>
                <w:rFonts w:hint="eastAsia" w:ascii="宋体" w:hAnsi="宋体" w:eastAsia="宋体" w:cs="宋体"/>
                <w:sz w:val="18"/>
                <w:szCs w:val="18"/>
              </w:rPr>
              <w:t>管理文件可操作性不足</w:t>
            </w:r>
          </w:p>
        </w:tc>
        <w:tc>
          <w:tcPr>
            <w:tcW w:w="684" w:type="dxa"/>
            <w:tcBorders>
              <w:tl2br w:val="nil"/>
              <w:tr2bl w:val="nil"/>
            </w:tcBorders>
          </w:tcPr>
          <w:p w14:paraId="2BE0667D">
            <w:pPr>
              <w:spacing w:line="360" w:lineRule="auto"/>
              <w:rPr>
                <w:rFonts w:ascii="宋体" w:hAnsi="宋体" w:eastAsia="宋体" w:cs="宋体"/>
                <w:sz w:val="18"/>
                <w:szCs w:val="18"/>
              </w:rPr>
            </w:pPr>
          </w:p>
        </w:tc>
        <w:tc>
          <w:tcPr>
            <w:tcW w:w="924" w:type="dxa"/>
            <w:gridSpan w:val="2"/>
            <w:tcBorders>
              <w:tl2br w:val="nil"/>
              <w:tr2bl w:val="nil"/>
            </w:tcBorders>
          </w:tcPr>
          <w:p w14:paraId="4A359D79">
            <w:pPr>
              <w:spacing w:line="360" w:lineRule="auto"/>
              <w:rPr>
                <w:rFonts w:ascii="宋体" w:hAnsi="宋体" w:eastAsia="宋体" w:cs="宋体"/>
                <w:sz w:val="18"/>
                <w:szCs w:val="18"/>
              </w:rPr>
            </w:pPr>
          </w:p>
        </w:tc>
        <w:tc>
          <w:tcPr>
            <w:tcW w:w="984" w:type="dxa"/>
            <w:gridSpan w:val="2"/>
            <w:tcBorders>
              <w:tl2br w:val="nil"/>
              <w:tr2bl w:val="nil"/>
            </w:tcBorders>
          </w:tcPr>
          <w:p w14:paraId="5B3F5B10">
            <w:pPr>
              <w:spacing w:line="360" w:lineRule="auto"/>
              <w:rPr>
                <w:rFonts w:ascii="宋体" w:hAnsi="宋体" w:eastAsia="宋体" w:cs="宋体"/>
                <w:sz w:val="18"/>
                <w:szCs w:val="18"/>
              </w:rPr>
            </w:pPr>
          </w:p>
        </w:tc>
      </w:tr>
      <w:tr w14:paraId="6761E2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593031B9">
            <w:pPr>
              <w:spacing w:line="360" w:lineRule="auto"/>
              <w:rPr>
                <w:rFonts w:ascii="宋体" w:hAnsi="宋体" w:eastAsia="宋体" w:cs="宋体"/>
                <w:sz w:val="18"/>
                <w:szCs w:val="18"/>
              </w:rPr>
            </w:pPr>
            <w:r>
              <w:rPr>
                <w:rFonts w:hint="eastAsia" w:ascii="宋体" w:hAnsi="宋体" w:eastAsia="宋体" w:cs="宋体"/>
                <w:sz w:val="18"/>
                <w:szCs w:val="18"/>
              </w:rPr>
              <w:t>3-3</w:t>
            </w:r>
          </w:p>
        </w:tc>
        <w:tc>
          <w:tcPr>
            <w:tcW w:w="4526" w:type="dxa"/>
            <w:tcBorders>
              <w:tl2br w:val="nil"/>
              <w:tr2bl w:val="nil"/>
            </w:tcBorders>
            <w:shd w:val="clear" w:color="auto" w:fill="auto"/>
          </w:tcPr>
          <w:p w14:paraId="28212A54">
            <w:pPr>
              <w:spacing w:line="360" w:lineRule="auto"/>
              <w:rPr>
                <w:rFonts w:ascii="宋体" w:hAnsi="宋体" w:eastAsia="宋体" w:cs="宋体"/>
                <w:sz w:val="18"/>
                <w:szCs w:val="18"/>
              </w:rPr>
            </w:pPr>
            <w:r>
              <w:rPr>
                <w:rFonts w:hint="eastAsia" w:ascii="宋体" w:hAnsi="宋体" w:eastAsia="宋体" w:cs="宋体"/>
                <w:sz w:val="18"/>
                <w:szCs w:val="18"/>
              </w:rPr>
              <w:t>技术文件缺失或陈旧落后</w:t>
            </w:r>
          </w:p>
        </w:tc>
        <w:tc>
          <w:tcPr>
            <w:tcW w:w="684" w:type="dxa"/>
            <w:tcBorders>
              <w:tl2br w:val="nil"/>
              <w:tr2bl w:val="nil"/>
            </w:tcBorders>
          </w:tcPr>
          <w:p w14:paraId="5893FDE1">
            <w:pPr>
              <w:spacing w:line="360" w:lineRule="auto"/>
              <w:rPr>
                <w:rFonts w:ascii="宋体" w:hAnsi="宋体" w:eastAsia="宋体" w:cs="宋体"/>
                <w:sz w:val="18"/>
                <w:szCs w:val="18"/>
              </w:rPr>
            </w:pPr>
          </w:p>
        </w:tc>
        <w:tc>
          <w:tcPr>
            <w:tcW w:w="924" w:type="dxa"/>
            <w:gridSpan w:val="2"/>
            <w:tcBorders>
              <w:tl2br w:val="nil"/>
              <w:tr2bl w:val="nil"/>
            </w:tcBorders>
          </w:tcPr>
          <w:p w14:paraId="6C9A8791">
            <w:pPr>
              <w:spacing w:line="360" w:lineRule="auto"/>
              <w:rPr>
                <w:rFonts w:ascii="宋体" w:hAnsi="宋体" w:eastAsia="宋体" w:cs="宋体"/>
                <w:sz w:val="18"/>
                <w:szCs w:val="18"/>
              </w:rPr>
            </w:pPr>
          </w:p>
        </w:tc>
        <w:tc>
          <w:tcPr>
            <w:tcW w:w="984" w:type="dxa"/>
            <w:gridSpan w:val="2"/>
            <w:tcBorders>
              <w:tl2br w:val="nil"/>
              <w:tr2bl w:val="nil"/>
            </w:tcBorders>
          </w:tcPr>
          <w:p w14:paraId="1D5F3451">
            <w:pPr>
              <w:spacing w:line="360" w:lineRule="auto"/>
              <w:rPr>
                <w:rFonts w:ascii="宋体" w:hAnsi="宋体" w:eastAsia="宋体" w:cs="宋体"/>
                <w:sz w:val="18"/>
                <w:szCs w:val="18"/>
              </w:rPr>
            </w:pPr>
          </w:p>
        </w:tc>
      </w:tr>
      <w:tr w14:paraId="373AC6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shd w:val="clear" w:color="auto" w:fill="auto"/>
          </w:tcPr>
          <w:p w14:paraId="488508C8">
            <w:pPr>
              <w:spacing w:line="360" w:lineRule="auto"/>
              <w:rPr>
                <w:rFonts w:ascii="宋体" w:hAnsi="宋体" w:eastAsia="宋体" w:cs="宋体"/>
                <w:sz w:val="18"/>
                <w:szCs w:val="18"/>
              </w:rPr>
            </w:pPr>
            <w:r>
              <w:rPr>
                <w:rFonts w:hint="eastAsia" w:ascii="宋体" w:hAnsi="宋体" w:eastAsia="宋体" w:cs="宋体"/>
                <w:sz w:val="18"/>
                <w:szCs w:val="18"/>
              </w:rPr>
              <w:t>3-4</w:t>
            </w:r>
          </w:p>
        </w:tc>
        <w:tc>
          <w:tcPr>
            <w:tcW w:w="4526" w:type="dxa"/>
            <w:tcBorders>
              <w:tl2br w:val="nil"/>
              <w:tr2bl w:val="nil"/>
            </w:tcBorders>
            <w:shd w:val="clear" w:color="auto" w:fill="auto"/>
          </w:tcPr>
          <w:p w14:paraId="568D4614">
            <w:pPr>
              <w:spacing w:line="360" w:lineRule="auto"/>
              <w:rPr>
                <w:rFonts w:ascii="宋体" w:hAnsi="宋体" w:eastAsia="宋体" w:cs="宋体"/>
                <w:sz w:val="18"/>
                <w:szCs w:val="18"/>
              </w:rPr>
            </w:pPr>
            <w:r>
              <w:rPr>
                <w:rFonts w:hint="eastAsia" w:ascii="宋体" w:hAnsi="宋体" w:eastAsia="宋体" w:cs="宋体"/>
                <w:sz w:val="18"/>
                <w:szCs w:val="18"/>
              </w:rPr>
              <w:t>档案资料缺失或未及时归档</w:t>
            </w:r>
          </w:p>
        </w:tc>
        <w:tc>
          <w:tcPr>
            <w:tcW w:w="684" w:type="dxa"/>
            <w:tcBorders>
              <w:tl2br w:val="nil"/>
              <w:tr2bl w:val="nil"/>
            </w:tcBorders>
          </w:tcPr>
          <w:p w14:paraId="339812B0">
            <w:pPr>
              <w:spacing w:line="360" w:lineRule="auto"/>
              <w:rPr>
                <w:rFonts w:ascii="宋体" w:hAnsi="宋体" w:eastAsia="宋体" w:cs="宋体"/>
                <w:sz w:val="18"/>
                <w:szCs w:val="18"/>
              </w:rPr>
            </w:pPr>
          </w:p>
        </w:tc>
        <w:tc>
          <w:tcPr>
            <w:tcW w:w="924" w:type="dxa"/>
            <w:gridSpan w:val="2"/>
            <w:tcBorders>
              <w:tl2br w:val="nil"/>
              <w:tr2bl w:val="nil"/>
            </w:tcBorders>
          </w:tcPr>
          <w:p w14:paraId="7023A049">
            <w:pPr>
              <w:spacing w:line="360" w:lineRule="auto"/>
              <w:rPr>
                <w:rFonts w:ascii="宋体" w:hAnsi="宋体" w:eastAsia="宋体" w:cs="宋体"/>
                <w:sz w:val="18"/>
                <w:szCs w:val="18"/>
              </w:rPr>
            </w:pPr>
          </w:p>
        </w:tc>
        <w:tc>
          <w:tcPr>
            <w:tcW w:w="984" w:type="dxa"/>
            <w:gridSpan w:val="2"/>
            <w:tcBorders>
              <w:tl2br w:val="nil"/>
              <w:tr2bl w:val="nil"/>
            </w:tcBorders>
          </w:tcPr>
          <w:p w14:paraId="142DBF1E">
            <w:pPr>
              <w:spacing w:line="360" w:lineRule="auto"/>
              <w:rPr>
                <w:rFonts w:ascii="宋体" w:hAnsi="宋体" w:eastAsia="宋体" w:cs="宋体"/>
                <w:sz w:val="18"/>
                <w:szCs w:val="18"/>
              </w:rPr>
            </w:pPr>
          </w:p>
        </w:tc>
      </w:tr>
      <w:tr w14:paraId="2BCFC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70AB597">
            <w:pPr>
              <w:spacing w:line="360" w:lineRule="auto"/>
              <w:rPr>
                <w:rFonts w:ascii="宋体" w:hAnsi="宋体" w:eastAsia="宋体" w:cs="宋体"/>
                <w:sz w:val="18"/>
                <w:szCs w:val="18"/>
              </w:rPr>
            </w:pPr>
            <w:r>
              <w:rPr>
                <w:rFonts w:hint="eastAsia" w:ascii="宋体" w:hAnsi="宋体" w:eastAsia="宋体" w:cs="宋体"/>
                <w:sz w:val="18"/>
                <w:szCs w:val="18"/>
              </w:rPr>
              <w:t>3-5</w:t>
            </w:r>
          </w:p>
        </w:tc>
        <w:tc>
          <w:tcPr>
            <w:tcW w:w="4526" w:type="dxa"/>
            <w:tcBorders>
              <w:tl2br w:val="nil"/>
              <w:tr2bl w:val="nil"/>
            </w:tcBorders>
            <w:shd w:val="clear" w:color="auto" w:fill="auto"/>
          </w:tcPr>
          <w:p w14:paraId="7405E9F3">
            <w:pPr>
              <w:spacing w:line="360" w:lineRule="auto"/>
              <w:rPr>
                <w:rFonts w:ascii="宋体" w:hAnsi="宋体" w:eastAsia="宋体" w:cs="宋体"/>
                <w:sz w:val="18"/>
                <w:szCs w:val="18"/>
              </w:rPr>
            </w:pPr>
            <w:r>
              <w:rPr>
                <w:rFonts w:hint="eastAsia" w:ascii="宋体" w:hAnsi="宋体" w:eastAsia="宋体" w:cs="宋体"/>
                <w:sz w:val="18"/>
                <w:szCs w:val="18"/>
              </w:rPr>
              <w:t>能源管理存在明显漏洞</w:t>
            </w:r>
          </w:p>
        </w:tc>
        <w:tc>
          <w:tcPr>
            <w:tcW w:w="684" w:type="dxa"/>
            <w:tcBorders>
              <w:tl2br w:val="nil"/>
              <w:tr2bl w:val="nil"/>
            </w:tcBorders>
          </w:tcPr>
          <w:p w14:paraId="42214BF5">
            <w:pPr>
              <w:spacing w:line="360" w:lineRule="auto"/>
              <w:rPr>
                <w:rFonts w:ascii="宋体" w:hAnsi="宋体" w:eastAsia="宋体" w:cs="宋体"/>
                <w:sz w:val="18"/>
                <w:szCs w:val="18"/>
              </w:rPr>
            </w:pPr>
          </w:p>
        </w:tc>
        <w:tc>
          <w:tcPr>
            <w:tcW w:w="924" w:type="dxa"/>
            <w:gridSpan w:val="2"/>
            <w:tcBorders>
              <w:tl2br w:val="nil"/>
              <w:tr2bl w:val="nil"/>
            </w:tcBorders>
          </w:tcPr>
          <w:p w14:paraId="01C3DB10">
            <w:pPr>
              <w:spacing w:line="360" w:lineRule="auto"/>
              <w:rPr>
                <w:rFonts w:ascii="宋体" w:hAnsi="宋体" w:eastAsia="宋体" w:cs="宋体"/>
                <w:sz w:val="18"/>
                <w:szCs w:val="18"/>
              </w:rPr>
            </w:pPr>
          </w:p>
        </w:tc>
        <w:tc>
          <w:tcPr>
            <w:tcW w:w="984" w:type="dxa"/>
            <w:gridSpan w:val="2"/>
            <w:tcBorders>
              <w:tl2br w:val="nil"/>
              <w:tr2bl w:val="nil"/>
            </w:tcBorders>
          </w:tcPr>
          <w:p w14:paraId="67B3B990">
            <w:pPr>
              <w:spacing w:line="360" w:lineRule="auto"/>
              <w:rPr>
                <w:rFonts w:ascii="宋体" w:hAnsi="宋体" w:eastAsia="宋体" w:cs="宋体"/>
                <w:sz w:val="18"/>
                <w:szCs w:val="18"/>
              </w:rPr>
            </w:pPr>
          </w:p>
        </w:tc>
      </w:tr>
      <w:tr w14:paraId="4FECD8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7BA96C4">
            <w:pPr>
              <w:spacing w:line="360" w:lineRule="auto"/>
              <w:rPr>
                <w:rFonts w:ascii="宋体" w:hAnsi="宋体" w:eastAsia="宋体" w:cs="宋体"/>
                <w:sz w:val="18"/>
                <w:szCs w:val="18"/>
              </w:rPr>
            </w:pPr>
            <w:r>
              <w:rPr>
                <w:rFonts w:hint="eastAsia" w:ascii="宋体" w:hAnsi="宋体" w:eastAsia="宋体" w:cs="宋体"/>
                <w:sz w:val="18"/>
                <w:szCs w:val="18"/>
              </w:rPr>
              <w:t>3-6</w:t>
            </w:r>
          </w:p>
        </w:tc>
        <w:tc>
          <w:tcPr>
            <w:tcW w:w="4526" w:type="dxa"/>
            <w:tcBorders>
              <w:tl2br w:val="nil"/>
              <w:tr2bl w:val="nil"/>
            </w:tcBorders>
            <w:shd w:val="clear" w:color="auto" w:fill="auto"/>
          </w:tcPr>
          <w:p w14:paraId="19E862FE">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380F2370">
            <w:pPr>
              <w:spacing w:line="360" w:lineRule="auto"/>
              <w:rPr>
                <w:rFonts w:ascii="宋体" w:hAnsi="宋体" w:eastAsia="宋体" w:cs="宋体"/>
                <w:sz w:val="18"/>
                <w:szCs w:val="18"/>
              </w:rPr>
            </w:pPr>
          </w:p>
        </w:tc>
        <w:tc>
          <w:tcPr>
            <w:tcW w:w="924" w:type="dxa"/>
            <w:gridSpan w:val="2"/>
            <w:tcBorders>
              <w:tl2br w:val="nil"/>
              <w:tr2bl w:val="nil"/>
            </w:tcBorders>
          </w:tcPr>
          <w:p w14:paraId="6DC813B5">
            <w:pPr>
              <w:spacing w:line="360" w:lineRule="auto"/>
              <w:rPr>
                <w:rFonts w:ascii="宋体" w:hAnsi="宋体" w:eastAsia="宋体" w:cs="宋体"/>
                <w:sz w:val="18"/>
                <w:szCs w:val="18"/>
              </w:rPr>
            </w:pPr>
          </w:p>
        </w:tc>
        <w:tc>
          <w:tcPr>
            <w:tcW w:w="984" w:type="dxa"/>
            <w:gridSpan w:val="2"/>
            <w:tcBorders>
              <w:tl2br w:val="nil"/>
              <w:tr2bl w:val="nil"/>
            </w:tcBorders>
          </w:tcPr>
          <w:p w14:paraId="6ADBBEBA">
            <w:pPr>
              <w:spacing w:line="360" w:lineRule="auto"/>
              <w:rPr>
                <w:rFonts w:ascii="宋体" w:hAnsi="宋体" w:eastAsia="宋体" w:cs="宋体"/>
                <w:sz w:val="18"/>
                <w:szCs w:val="18"/>
              </w:rPr>
            </w:pPr>
          </w:p>
        </w:tc>
      </w:tr>
      <w:tr w14:paraId="6AAD99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0F4E91B2">
            <w:pPr>
              <w:spacing w:line="360" w:lineRule="auto"/>
              <w:rPr>
                <w:rFonts w:ascii="宋体" w:hAnsi="宋体" w:eastAsia="宋体" w:cs="宋体"/>
                <w:sz w:val="18"/>
                <w:szCs w:val="18"/>
              </w:rPr>
            </w:pPr>
            <w:r>
              <w:rPr>
                <w:rFonts w:hint="eastAsia" w:ascii="宋体" w:hAnsi="宋体" w:eastAsia="宋体" w:cs="宋体"/>
                <w:b/>
                <w:bCs/>
                <w:sz w:val="18"/>
                <w:szCs w:val="18"/>
              </w:rPr>
              <w:t>4 管理绩效</w:t>
            </w:r>
          </w:p>
        </w:tc>
      </w:tr>
      <w:tr w14:paraId="20EF1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E45AB5C">
            <w:pPr>
              <w:spacing w:line="360" w:lineRule="auto"/>
              <w:rPr>
                <w:rFonts w:ascii="宋体" w:hAnsi="宋体" w:eastAsia="宋体" w:cs="宋体"/>
                <w:sz w:val="18"/>
                <w:szCs w:val="18"/>
              </w:rPr>
            </w:pPr>
            <w:r>
              <w:rPr>
                <w:rFonts w:hint="eastAsia" w:ascii="宋体" w:hAnsi="宋体" w:eastAsia="宋体" w:cs="宋体"/>
                <w:sz w:val="18"/>
                <w:szCs w:val="18"/>
              </w:rPr>
              <w:t>4-1</w:t>
            </w:r>
          </w:p>
        </w:tc>
        <w:tc>
          <w:tcPr>
            <w:tcW w:w="4526" w:type="dxa"/>
            <w:tcBorders>
              <w:tl2br w:val="nil"/>
              <w:tr2bl w:val="nil"/>
            </w:tcBorders>
          </w:tcPr>
          <w:p w14:paraId="2ECAE8D1">
            <w:pPr>
              <w:spacing w:line="360" w:lineRule="auto"/>
              <w:rPr>
                <w:rFonts w:ascii="宋体" w:hAnsi="宋体" w:eastAsia="宋体" w:cs="宋体"/>
                <w:sz w:val="18"/>
                <w:szCs w:val="18"/>
              </w:rPr>
            </w:pPr>
            <w:r>
              <w:rPr>
                <w:rFonts w:hint="eastAsia" w:ascii="宋体" w:hAnsi="宋体" w:eastAsia="宋体" w:cs="宋体"/>
                <w:sz w:val="18"/>
                <w:szCs w:val="18"/>
              </w:rPr>
              <w:t>节能效果不明显</w:t>
            </w:r>
          </w:p>
        </w:tc>
        <w:tc>
          <w:tcPr>
            <w:tcW w:w="684" w:type="dxa"/>
            <w:tcBorders>
              <w:tl2br w:val="nil"/>
              <w:tr2bl w:val="nil"/>
            </w:tcBorders>
          </w:tcPr>
          <w:p w14:paraId="102F9582">
            <w:pPr>
              <w:spacing w:line="360" w:lineRule="auto"/>
              <w:rPr>
                <w:rFonts w:ascii="宋体" w:hAnsi="宋体" w:eastAsia="宋体" w:cs="宋体"/>
                <w:sz w:val="18"/>
                <w:szCs w:val="18"/>
              </w:rPr>
            </w:pPr>
          </w:p>
        </w:tc>
        <w:tc>
          <w:tcPr>
            <w:tcW w:w="924" w:type="dxa"/>
            <w:gridSpan w:val="2"/>
            <w:tcBorders>
              <w:tl2br w:val="nil"/>
              <w:tr2bl w:val="nil"/>
            </w:tcBorders>
          </w:tcPr>
          <w:p w14:paraId="18967DA9">
            <w:pPr>
              <w:spacing w:line="360" w:lineRule="auto"/>
              <w:rPr>
                <w:rFonts w:ascii="宋体" w:hAnsi="宋体" w:eastAsia="宋体" w:cs="宋体"/>
                <w:sz w:val="18"/>
                <w:szCs w:val="18"/>
              </w:rPr>
            </w:pPr>
          </w:p>
        </w:tc>
        <w:tc>
          <w:tcPr>
            <w:tcW w:w="984" w:type="dxa"/>
            <w:gridSpan w:val="2"/>
            <w:tcBorders>
              <w:tl2br w:val="nil"/>
              <w:tr2bl w:val="nil"/>
            </w:tcBorders>
          </w:tcPr>
          <w:p w14:paraId="60516DD0">
            <w:pPr>
              <w:spacing w:line="360" w:lineRule="auto"/>
              <w:rPr>
                <w:rFonts w:ascii="宋体" w:hAnsi="宋体" w:eastAsia="宋体" w:cs="宋体"/>
                <w:sz w:val="18"/>
                <w:szCs w:val="18"/>
              </w:rPr>
            </w:pPr>
          </w:p>
        </w:tc>
      </w:tr>
      <w:tr w14:paraId="05F06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78A6A0D">
            <w:pPr>
              <w:spacing w:line="360" w:lineRule="auto"/>
              <w:rPr>
                <w:rFonts w:ascii="宋体" w:hAnsi="宋体" w:eastAsia="宋体" w:cs="宋体"/>
                <w:sz w:val="18"/>
                <w:szCs w:val="18"/>
              </w:rPr>
            </w:pPr>
            <w:r>
              <w:rPr>
                <w:rFonts w:hint="eastAsia" w:ascii="宋体" w:hAnsi="宋体" w:eastAsia="宋体" w:cs="宋体"/>
                <w:sz w:val="18"/>
                <w:szCs w:val="18"/>
              </w:rPr>
              <w:t>4-2</w:t>
            </w:r>
          </w:p>
        </w:tc>
        <w:tc>
          <w:tcPr>
            <w:tcW w:w="4526" w:type="dxa"/>
            <w:tcBorders>
              <w:tl2br w:val="nil"/>
              <w:tr2bl w:val="nil"/>
            </w:tcBorders>
          </w:tcPr>
          <w:p w14:paraId="48A064DD">
            <w:pPr>
              <w:spacing w:line="360" w:lineRule="auto"/>
              <w:rPr>
                <w:rFonts w:ascii="宋体" w:hAnsi="宋体" w:eastAsia="宋体" w:cs="宋体"/>
                <w:sz w:val="18"/>
                <w:szCs w:val="18"/>
              </w:rPr>
            </w:pPr>
            <w:r>
              <w:rPr>
                <w:rFonts w:hint="eastAsia" w:ascii="宋体" w:hAnsi="宋体" w:eastAsia="宋体" w:cs="宋体"/>
                <w:sz w:val="18"/>
                <w:szCs w:val="18"/>
              </w:rPr>
              <w:t>未开展能效提升工作</w:t>
            </w:r>
          </w:p>
        </w:tc>
        <w:tc>
          <w:tcPr>
            <w:tcW w:w="684" w:type="dxa"/>
            <w:tcBorders>
              <w:tl2br w:val="nil"/>
              <w:tr2bl w:val="nil"/>
            </w:tcBorders>
          </w:tcPr>
          <w:p w14:paraId="349E8EFA">
            <w:pPr>
              <w:spacing w:line="360" w:lineRule="auto"/>
              <w:rPr>
                <w:rFonts w:ascii="宋体" w:hAnsi="宋体" w:eastAsia="宋体" w:cs="宋体"/>
                <w:sz w:val="18"/>
                <w:szCs w:val="18"/>
              </w:rPr>
            </w:pPr>
          </w:p>
        </w:tc>
        <w:tc>
          <w:tcPr>
            <w:tcW w:w="924" w:type="dxa"/>
            <w:gridSpan w:val="2"/>
            <w:tcBorders>
              <w:tl2br w:val="nil"/>
              <w:tr2bl w:val="nil"/>
            </w:tcBorders>
          </w:tcPr>
          <w:p w14:paraId="4275C4E2">
            <w:pPr>
              <w:spacing w:line="360" w:lineRule="auto"/>
              <w:rPr>
                <w:rFonts w:ascii="宋体" w:hAnsi="宋体" w:eastAsia="宋体" w:cs="宋体"/>
                <w:sz w:val="18"/>
                <w:szCs w:val="18"/>
              </w:rPr>
            </w:pPr>
          </w:p>
        </w:tc>
        <w:tc>
          <w:tcPr>
            <w:tcW w:w="984" w:type="dxa"/>
            <w:gridSpan w:val="2"/>
            <w:tcBorders>
              <w:tl2br w:val="nil"/>
              <w:tr2bl w:val="nil"/>
            </w:tcBorders>
          </w:tcPr>
          <w:p w14:paraId="7227D05D">
            <w:pPr>
              <w:spacing w:line="360" w:lineRule="auto"/>
              <w:rPr>
                <w:rFonts w:ascii="宋体" w:hAnsi="宋体" w:eastAsia="宋体" w:cs="宋体"/>
                <w:sz w:val="18"/>
                <w:szCs w:val="18"/>
              </w:rPr>
            </w:pPr>
          </w:p>
        </w:tc>
      </w:tr>
      <w:tr w14:paraId="4C1EC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668BDB7A">
            <w:pPr>
              <w:spacing w:line="360" w:lineRule="auto"/>
              <w:rPr>
                <w:rFonts w:ascii="宋体" w:hAnsi="宋体" w:eastAsia="宋体" w:cs="宋体"/>
                <w:sz w:val="18"/>
                <w:szCs w:val="18"/>
              </w:rPr>
            </w:pPr>
            <w:r>
              <w:rPr>
                <w:rFonts w:hint="eastAsia" w:ascii="宋体" w:hAnsi="宋体" w:eastAsia="宋体" w:cs="宋体"/>
                <w:sz w:val="18"/>
                <w:szCs w:val="18"/>
              </w:rPr>
              <w:t>4-3</w:t>
            </w:r>
          </w:p>
        </w:tc>
        <w:tc>
          <w:tcPr>
            <w:tcW w:w="4526" w:type="dxa"/>
            <w:tcBorders>
              <w:tl2br w:val="nil"/>
              <w:tr2bl w:val="nil"/>
            </w:tcBorders>
          </w:tcPr>
          <w:p w14:paraId="792A1085">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62520C94">
            <w:pPr>
              <w:spacing w:line="360" w:lineRule="auto"/>
              <w:rPr>
                <w:rFonts w:ascii="宋体" w:hAnsi="宋体" w:eastAsia="宋体" w:cs="宋体"/>
                <w:sz w:val="18"/>
                <w:szCs w:val="18"/>
              </w:rPr>
            </w:pPr>
          </w:p>
        </w:tc>
        <w:tc>
          <w:tcPr>
            <w:tcW w:w="924" w:type="dxa"/>
            <w:gridSpan w:val="2"/>
            <w:tcBorders>
              <w:tl2br w:val="nil"/>
              <w:tr2bl w:val="nil"/>
            </w:tcBorders>
          </w:tcPr>
          <w:p w14:paraId="274E0B4C">
            <w:pPr>
              <w:spacing w:line="360" w:lineRule="auto"/>
              <w:rPr>
                <w:rFonts w:ascii="宋体" w:hAnsi="宋体" w:eastAsia="宋体" w:cs="宋体"/>
                <w:sz w:val="18"/>
                <w:szCs w:val="18"/>
              </w:rPr>
            </w:pPr>
          </w:p>
        </w:tc>
        <w:tc>
          <w:tcPr>
            <w:tcW w:w="984" w:type="dxa"/>
            <w:gridSpan w:val="2"/>
            <w:tcBorders>
              <w:tl2br w:val="nil"/>
              <w:tr2bl w:val="nil"/>
            </w:tcBorders>
          </w:tcPr>
          <w:p w14:paraId="6BF8043B">
            <w:pPr>
              <w:spacing w:line="360" w:lineRule="auto"/>
              <w:rPr>
                <w:rFonts w:ascii="宋体" w:hAnsi="宋体" w:eastAsia="宋体" w:cs="宋体"/>
                <w:sz w:val="18"/>
                <w:szCs w:val="18"/>
              </w:rPr>
            </w:pPr>
          </w:p>
        </w:tc>
      </w:tr>
      <w:tr w14:paraId="68CA5D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3F43E9B2">
            <w:pPr>
              <w:spacing w:line="360" w:lineRule="auto"/>
              <w:rPr>
                <w:rFonts w:ascii="宋体" w:hAnsi="宋体" w:eastAsia="宋体" w:cs="宋体"/>
                <w:sz w:val="18"/>
                <w:szCs w:val="18"/>
              </w:rPr>
            </w:pPr>
            <w:r>
              <w:rPr>
                <w:rFonts w:hint="eastAsia" w:ascii="宋体" w:hAnsi="宋体" w:eastAsia="宋体" w:cs="宋体"/>
                <w:b/>
                <w:bCs/>
                <w:sz w:val="18"/>
                <w:szCs w:val="18"/>
              </w:rPr>
              <w:t>5 能源资源计量及统计状况评估</w:t>
            </w:r>
          </w:p>
        </w:tc>
      </w:tr>
      <w:tr w14:paraId="2C583C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DB33BFB">
            <w:pPr>
              <w:spacing w:line="360" w:lineRule="auto"/>
              <w:rPr>
                <w:rFonts w:ascii="宋体" w:hAnsi="宋体" w:eastAsia="宋体" w:cs="宋体"/>
                <w:sz w:val="18"/>
                <w:szCs w:val="18"/>
              </w:rPr>
            </w:pPr>
            <w:r>
              <w:rPr>
                <w:rFonts w:hint="eastAsia" w:ascii="宋体" w:hAnsi="宋体" w:eastAsia="宋体" w:cs="宋体"/>
                <w:sz w:val="18"/>
                <w:szCs w:val="18"/>
              </w:rPr>
              <w:t>5-1</w:t>
            </w:r>
          </w:p>
        </w:tc>
        <w:tc>
          <w:tcPr>
            <w:tcW w:w="4526" w:type="dxa"/>
            <w:tcBorders>
              <w:tl2br w:val="nil"/>
              <w:tr2bl w:val="nil"/>
            </w:tcBorders>
          </w:tcPr>
          <w:p w14:paraId="33CC2F59">
            <w:pPr>
              <w:spacing w:line="360" w:lineRule="auto"/>
              <w:rPr>
                <w:rFonts w:ascii="宋体" w:hAnsi="宋体" w:eastAsia="宋体" w:cs="宋体"/>
                <w:sz w:val="18"/>
                <w:szCs w:val="18"/>
              </w:rPr>
            </w:pPr>
            <w:r>
              <w:rPr>
                <w:rFonts w:hint="eastAsia" w:ascii="宋体" w:hAnsi="宋体" w:eastAsia="宋体" w:cs="宋体"/>
                <w:sz w:val="18"/>
                <w:szCs w:val="18"/>
              </w:rPr>
              <w:t>计量器具配备率不足</w:t>
            </w:r>
          </w:p>
        </w:tc>
        <w:tc>
          <w:tcPr>
            <w:tcW w:w="684" w:type="dxa"/>
            <w:tcBorders>
              <w:tl2br w:val="nil"/>
              <w:tr2bl w:val="nil"/>
            </w:tcBorders>
          </w:tcPr>
          <w:p w14:paraId="0031097D">
            <w:pPr>
              <w:spacing w:line="360" w:lineRule="auto"/>
              <w:rPr>
                <w:rFonts w:ascii="宋体" w:hAnsi="宋体" w:eastAsia="宋体" w:cs="宋体"/>
                <w:sz w:val="18"/>
                <w:szCs w:val="18"/>
              </w:rPr>
            </w:pPr>
          </w:p>
        </w:tc>
        <w:tc>
          <w:tcPr>
            <w:tcW w:w="924" w:type="dxa"/>
            <w:gridSpan w:val="2"/>
            <w:tcBorders>
              <w:tl2br w:val="nil"/>
              <w:tr2bl w:val="nil"/>
            </w:tcBorders>
          </w:tcPr>
          <w:p w14:paraId="439D9660">
            <w:pPr>
              <w:spacing w:line="360" w:lineRule="auto"/>
              <w:rPr>
                <w:rFonts w:ascii="宋体" w:hAnsi="宋体" w:eastAsia="宋体" w:cs="宋体"/>
                <w:sz w:val="18"/>
                <w:szCs w:val="18"/>
              </w:rPr>
            </w:pPr>
          </w:p>
        </w:tc>
        <w:tc>
          <w:tcPr>
            <w:tcW w:w="984" w:type="dxa"/>
            <w:gridSpan w:val="2"/>
            <w:tcBorders>
              <w:tl2br w:val="nil"/>
              <w:tr2bl w:val="nil"/>
            </w:tcBorders>
          </w:tcPr>
          <w:p w14:paraId="02398231">
            <w:pPr>
              <w:spacing w:line="360" w:lineRule="auto"/>
              <w:rPr>
                <w:rFonts w:ascii="宋体" w:hAnsi="宋体" w:eastAsia="宋体" w:cs="宋体"/>
                <w:sz w:val="18"/>
                <w:szCs w:val="18"/>
              </w:rPr>
            </w:pPr>
          </w:p>
        </w:tc>
      </w:tr>
      <w:tr w14:paraId="586D54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0177E44">
            <w:pPr>
              <w:spacing w:line="360" w:lineRule="auto"/>
              <w:rPr>
                <w:rFonts w:ascii="宋体" w:hAnsi="宋体" w:eastAsia="宋体" w:cs="宋体"/>
                <w:sz w:val="18"/>
                <w:szCs w:val="18"/>
              </w:rPr>
            </w:pPr>
            <w:r>
              <w:rPr>
                <w:rFonts w:hint="eastAsia" w:ascii="宋体" w:hAnsi="宋体" w:eastAsia="宋体" w:cs="宋体"/>
                <w:sz w:val="18"/>
                <w:szCs w:val="18"/>
              </w:rPr>
              <w:t>5-2</w:t>
            </w:r>
          </w:p>
        </w:tc>
        <w:tc>
          <w:tcPr>
            <w:tcW w:w="4526" w:type="dxa"/>
            <w:tcBorders>
              <w:tl2br w:val="nil"/>
              <w:tr2bl w:val="nil"/>
            </w:tcBorders>
          </w:tcPr>
          <w:p w14:paraId="1DB311B0">
            <w:pPr>
              <w:spacing w:line="360" w:lineRule="auto"/>
              <w:rPr>
                <w:rFonts w:ascii="宋体" w:hAnsi="宋体" w:eastAsia="宋体" w:cs="宋体"/>
                <w:sz w:val="18"/>
                <w:szCs w:val="18"/>
              </w:rPr>
            </w:pPr>
            <w:r>
              <w:rPr>
                <w:rFonts w:hint="eastAsia" w:ascii="宋体" w:hAnsi="宋体" w:eastAsia="宋体" w:cs="宋体"/>
                <w:sz w:val="18"/>
                <w:szCs w:val="18"/>
              </w:rPr>
              <w:t>计量器具准确度等级不符合有关标准规定</w:t>
            </w:r>
          </w:p>
        </w:tc>
        <w:tc>
          <w:tcPr>
            <w:tcW w:w="684" w:type="dxa"/>
            <w:tcBorders>
              <w:tl2br w:val="nil"/>
              <w:tr2bl w:val="nil"/>
            </w:tcBorders>
          </w:tcPr>
          <w:p w14:paraId="7FCDA04F">
            <w:pPr>
              <w:spacing w:line="360" w:lineRule="auto"/>
              <w:rPr>
                <w:rFonts w:ascii="宋体" w:hAnsi="宋体" w:eastAsia="宋体" w:cs="宋体"/>
                <w:sz w:val="18"/>
                <w:szCs w:val="18"/>
              </w:rPr>
            </w:pPr>
          </w:p>
        </w:tc>
        <w:tc>
          <w:tcPr>
            <w:tcW w:w="924" w:type="dxa"/>
            <w:gridSpan w:val="2"/>
            <w:tcBorders>
              <w:tl2br w:val="nil"/>
              <w:tr2bl w:val="nil"/>
            </w:tcBorders>
          </w:tcPr>
          <w:p w14:paraId="50B40B0D">
            <w:pPr>
              <w:spacing w:line="360" w:lineRule="auto"/>
              <w:rPr>
                <w:rFonts w:ascii="宋体" w:hAnsi="宋体" w:eastAsia="宋体" w:cs="宋体"/>
                <w:sz w:val="18"/>
                <w:szCs w:val="18"/>
              </w:rPr>
            </w:pPr>
          </w:p>
        </w:tc>
        <w:tc>
          <w:tcPr>
            <w:tcW w:w="984" w:type="dxa"/>
            <w:gridSpan w:val="2"/>
            <w:tcBorders>
              <w:tl2br w:val="nil"/>
              <w:tr2bl w:val="nil"/>
            </w:tcBorders>
          </w:tcPr>
          <w:p w14:paraId="487B002F">
            <w:pPr>
              <w:spacing w:line="360" w:lineRule="auto"/>
              <w:rPr>
                <w:rFonts w:ascii="宋体" w:hAnsi="宋体" w:eastAsia="宋体" w:cs="宋体"/>
                <w:sz w:val="18"/>
                <w:szCs w:val="18"/>
              </w:rPr>
            </w:pPr>
          </w:p>
        </w:tc>
      </w:tr>
      <w:tr w14:paraId="2AFBB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6B67A75D">
            <w:pPr>
              <w:spacing w:line="360" w:lineRule="auto"/>
              <w:rPr>
                <w:rFonts w:ascii="宋体" w:hAnsi="宋体" w:eastAsia="宋体" w:cs="宋体"/>
                <w:sz w:val="18"/>
                <w:szCs w:val="18"/>
              </w:rPr>
            </w:pPr>
            <w:r>
              <w:rPr>
                <w:rFonts w:hint="eastAsia" w:ascii="宋体" w:hAnsi="宋体" w:eastAsia="宋体" w:cs="宋体"/>
                <w:sz w:val="18"/>
                <w:szCs w:val="18"/>
              </w:rPr>
              <w:t>5-3</w:t>
            </w:r>
          </w:p>
        </w:tc>
        <w:tc>
          <w:tcPr>
            <w:tcW w:w="4526" w:type="dxa"/>
            <w:tcBorders>
              <w:tl2br w:val="nil"/>
              <w:tr2bl w:val="nil"/>
            </w:tcBorders>
          </w:tcPr>
          <w:p w14:paraId="78CD93AC">
            <w:pPr>
              <w:spacing w:line="360" w:lineRule="auto"/>
              <w:rPr>
                <w:rFonts w:ascii="宋体" w:hAnsi="宋体" w:eastAsia="宋体" w:cs="宋体"/>
                <w:sz w:val="18"/>
                <w:szCs w:val="18"/>
              </w:rPr>
            </w:pPr>
            <w:r>
              <w:rPr>
                <w:rFonts w:hint="eastAsia" w:ascii="宋体" w:hAnsi="宋体" w:eastAsia="宋体" w:cs="宋体"/>
                <w:sz w:val="18"/>
                <w:szCs w:val="18"/>
              </w:rPr>
              <w:t>主要计量器具位置不合理</w:t>
            </w:r>
          </w:p>
        </w:tc>
        <w:tc>
          <w:tcPr>
            <w:tcW w:w="684" w:type="dxa"/>
            <w:tcBorders>
              <w:tl2br w:val="nil"/>
              <w:tr2bl w:val="nil"/>
            </w:tcBorders>
          </w:tcPr>
          <w:p w14:paraId="546E3F18">
            <w:pPr>
              <w:spacing w:line="360" w:lineRule="auto"/>
              <w:rPr>
                <w:rFonts w:ascii="宋体" w:hAnsi="宋体" w:eastAsia="宋体" w:cs="宋体"/>
                <w:sz w:val="18"/>
                <w:szCs w:val="18"/>
              </w:rPr>
            </w:pPr>
          </w:p>
        </w:tc>
        <w:tc>
          <w:tcPr>
            <w:tcW w:w="924" w:type="dxa"/>
            <w:gridSpan w:val="2"/>
            <w:tcBorders>
              <w:tl2br w:val="nil"/>
              <w:tr2bl w:val="nil"/>
            </w:tcBorders>
          </w:tcPr>
          <w:p w14:paraId="19415240">
            <w:pPr>
              <w:spacing w:line="360" w:lineRule="auto"/>
              <w:rPr>
                <w:rFonts w:ascii="宋体" w:hAnsi="宋体" w:eastAsia="宋体" w:cs="宋体"/>
                <w:sz w:val="18"/>
                <w:szCs w:val="18"/>
              </w:rPr>
            </w:pPr>
          </w:p>
        </w:tc>
        <w:tc>
          <w:tcPr>
            <w:tcW w:w="984" w:type="dxa"/>
            <w:gridSpan w:val="2"/>
            <w:tcBorders>
              <w:tl2br w:val="nil"/>
              <w:tr2bl w:val="nil"/>
            </w:tcBorders>
          </w:tcPr>
          <w:p w14:paraId="0B6F6C99">
            <w:pPr>
              <w:spacing w:line="360" w:lineRule="auto"/>
              <w:rPr>
                <w:rFonts w:ascii="宋体" w:hAnsi="宋体" w:eastAsia="宋体" w:cs="宋体"/>
                <w:sz w:val="18"/>
                <w:szCs w:val="18"/>
              </w:rPr>
            </w:pPr>
          </w:p>
        </w:tc>
      </w:tr>
      <w:tr w14:paraId="722FFF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2242EEF">
            <w:pPr>
              <w:spacing w:line="360" w:lineRule="auto"/>
              <w:rPr>
                <w:rFonts w:ascii="宋体" w:hAnsi="宋体" w:eastAsia="宋体" w:cs="宋体"/>
                <w:sz w:val="18"/>
                <w:szCs w:val="18"/>
              </w:rPr>
            </w:pPr>
            <w:r>
              <w:rPr>
                <w:rFonts w:hint="eastAsia" w:ascii="宋体" w:hAnsi="宋体" w:eastAsia="宋体" w:cs="宋体"/>
                <w:sz w:val="18"/>
                <w:szCs w:val="18"/>
              </w:rPr>
              <w:t>5-4</w:t>
            </w:r>
          </w:p>
        </w:tc>
        <w:tc>
          <w:tcPr>
            <w:tcW w:w="4526" w:type="dxa"/>
            <w:tcBorders>
              <w:tl2br w:val="nil"/>
              <w:tr2bl w:val="nil"/>
            </w:tcBorders>
          </w:tcPr>
          <w:p w14:paraId="68B7C148">
            <w:pPr>
              <w:spacing w:line="360" w:lineRule="auto"/>
              <w:rPr>
                <w:rFonts w:ascii="宋体" w:hAnsi="宋体" w:eastAsia="宋体" w:cs="宋体"/>
                <w:sz w:val="18"/>
                <w:szCs w:val="18"/>
              </w:rPr>
            </w:pPr>
            <w:r>
              <w:rPr>
                <w:rFonts w:hint="eastAsia" w:ascii="宋体" w:hAnsi="宋体" w:eastAsia="宋体" w:cs="宋体"/>
                <w:sz w:val="18"/>
                <w:szCs w:val="18"/>
              </w:rPr>
              <w:t>计量操作不规范</w:t>
            </w:r>
          </w:p>
        </w:tc>
        <w:tc>
          <w:tcPr>
            <w:tcW w:w="684" w:type="dxa"/>
            <w:tcBorders>
              <w:tl2br w:val="nil"/>
              <w:tr2bl w:val="nil"/>
            </w:tcBorders>
          </w:tcPr>
          <w:p w14:paraId="568EE3C7">
            <w:pPr>
              <w:spacing w:line="360" w:lineRule="auto"/>
              <w:rPr>
                <w:rFonts w:ascii="宋体" w:hAnsi="宋体" w:eastAsia="宋体" w:cs="宋体"/>
                <w:sz w:val="18"/>
                <w:szCs w:val="18"/>
              </w:rPr>
            </w:pPr>
          </w:p>
        </w:tc>
        <w:tc>
          <w:tcPr>
            <w:tcW w:w="924" w:type="dxa"/>
            <w:gridSpan w:val="2"/>
            <w:tcBorders>
              <w:tl2br w:val="nil"/>
              <w:tr2bl w:val="nil"/>
            </w:tcBorders>
          </w:tcPr>
          <w:p w14:paraId="27BA9B37">
            <w:pPr>
              <w:spacing w:line="360" w:lineRule="auto"/>
              <w:rPr>
                <w:rFonts w:ascii="宋体" w:hAnsi="宋体" w:eastAsia="宋体" w:cs="宋体"/>
                <w:sz w:val="18"/>
                <w:szCs w:val="18"/>
              </w:rPr>
            </w:pPr>
          </w:p>
        </w:tc>
        <w:tc>
          <w:tcPr>
            <w:tcW w:w="984" w:type="dxa"/>
            <w:gridSpan w:val="2"/>
            <w:tcBorders>
              <w:tl2br w:val="nil"/>
              <w:tr2bl w:val="nil"/>
            </w:tcBorders>
          </w:tcPr>
          <w:p w14:paraId="0766198D">
            <w:pPr>
              <w:spacing w:line="360" w:lineRule="auto"/>
              <w:rPr>
                <w:rFonts w:ascii="宋体" w:hAnsi="宋体" w:eastAsia="宋体" w:cs="宋体"/>
                <w:sz w:val="18"/>
                <w:szCs w:val="18"/>
              </w:rPr>
            </w:pPr>
          </w:p>
        </w:tc>
      </w:tr>
      <w:tr w14:paraId="19778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6DC4ECA8">
            <w:pPr>
              <w:spacing w:line="360" w:lineRule="auto"/>
              <w:rPr>
                <w:rFonts w:ascii="宋体" w:hAnsi="宋体" w:eastAsia="宋体" w:cs="宋体"/>
                <w:sz w:val="18"/>
                <w:szCs w:val="18"/>
              </w:rPr>
            </w:pPr>
            <w:r>
              <w:rPr>
                <w:rFonts w:hint="eastAsia" w:ascii="宋体" w:hAnsi="宋体" w:eastAsia="宋体" w:cs="宋体"/>
                <w:sz w:val="18"/>
                <w:szCs w:val="18"/>
              </w:rPr>
              <w:t>5-5</w:t>
            </w:r>
          </w:p>
        </w:tc>
        <w:tc>
          <w:tcPr>
            <w:tcW w:w="4526" w:type="dxa"/>
            <w:tcBorders>
              <w:tl2br w:val="nil"/>
              <w:tr2bl w:val="nil"/>
            </w:tcBorders>
          </w:tcPr>
          <w:p w14:paraId="00C14538">
            <w:pPr>
              <w:spacing w:line="360" w:lineRule="auto"/>
              <w:rPr>
                <w:rFonts w:ascii="宋体" w:hAnsi="宋体" w:eastAsia="宋体" w:cs="宋体"/>
                <w:sz w:val="18"/>
                <w:szCs w:val="18"/>
              </w:rPr>
            </w:pPr>
            <w:r>
              <w:rPr>
                <w:rFonts w:hint="eastAsia" w:ascii="宋体" w:hAnsi="宋体" w:eastAsia="宋体" w:cs="宋体"/>
                <w:sz w:val="18"/>
                <w:szCs w:val="18"/>
              </w:rPr>
              <w:t>计量器具不满足数据采集的需要</w:t>
            </w:r>
          </w:p>
        </w:tc>
        <w:tc>
          <w:tcPr>
            <w:tcW w:w="684" w:type="dxa"/>
            <w:tcBorders>
              <w:tl2br w:val="nil"/>
              <w:tr2bl w:val="nil"/>
            </w:tcBorders>
          </w:tcPr>
          <w:p w14:paraId="32CE60C3">
            <w:pPr>
              <w:spacing w:line="360" w:lineRule="auto"/>
              <w:rPr>
                <w:rFonts w:ascii="宋体" w:hAnsi="宋体" w:eastAsia="宋体" w:cs="宋体"/>
                <w:sz w:val="18"/>
                <w:szCs w:val="18"/>
              </w:rPr>
            </w:pPr>
          </w:p>
        </w:tc>
        <w:tc>
          <w:tcPr>
            <w:tcW w:w="924" w:type="dxa"/>
            <w:gridSpan w:val="2"/>
            <w:tcBorders>
              <w:tl2br w:val="nil"/>
              <w:tr2bl w:val="nil"/>
            </w:tcBorders>
          </w:tcPr>
          <w:p w14:paraId="189AA9CD">
            <w:pPr>
              <w:spacing w:line="360" w:lineRule="auto"/>
              <w:rPr>
                <w:rFonts w:ascii="宋体" w:hAnsi="宋体" w:eastAsia="宋体" w:cs="宋体"/>
                <w:sz w:val="18"/>
                <w:szCs w:val="18"/>
              </w:rPr>
            </w:pPr>
          </w:p>
        </w:tc>
        <w:tc>
          <w:tcPr>
            <w:tcW w:w="984" w:type="dxa"/>
            <w:gridSpan w:val="2"/>
            <w:tcBorders>
              <w:tl2br w:val="nil"/>
              <w:tr2bl w:val="nil"/>
            </w:tcBorders>
          </w:tcPr>
          <w:p w14:paraId="674ACA66">
            <w:pPr>
              <w:spacing w:line="360" w:lineRule="auto"/>
              <w:rPr>
                <w:rFonts w:ascii="宋体" w:hAnsi="宋体" w:eastAsia="宋体" w:cs="宋体"/>
                <w:sz w:val="18"/>
                <w:szCs w:val="18"/>
              </w:rPr>
            </w:pPr>
          </w:p>
        </w:tc>
      </w:tr>
      <w:tr w14:paraId="060C2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6AF9011A">
            <w:pPr>
              <w:spacing w:line="360" w:lineRule="auto"/>
              <w:rPr>
                <w:rFonts w:ascii="宋体" w:hAnsi="宋体" w:eastAsia="宋体" w:cs="宋体"/>
                <w:sz w:val="18"/>
                <w:szCs w:val="18"/>
              </w:rPr>
            </w:pPr>
            <w:r>
              <w:rPr>
                <w:rFonts w:hint="eastAsia" w:ascii="宋体" w:hAnsi="宋体" w:eastAsia="宋体" w:cs="宋体"/>
                <w:sz w:val="18"/>
                <w:szCs w:val="18"/>
              </w:rPr>
              <w:t>5-6</w:t>
            </w:r>
          </w:p>
        </w:tc>
        <w:tc>
          <w:tcPr>
            <w:tcW w:w="4526" w:type="dxa"/>
            <w:tcBorders>
              <w:tl2br w:val="nil"/>
              <w:tr2bl w:val="nil"/>
            </w:tcBorders>
          </w:tcPr>
          <w:p w14:paraId="1AFB5836">
            <w:pPr>
              <w:spacing w:line="360" w:lineRule="auto"/>
              <w:rPr>
                <w:rFonts w:ascii="宋体" w:hAnsi="宋体" w:eastAsia="宋体" w:cs="宋体"/>
                <w:sz w:val="18"/>
                <w:szCs w:val="18"/>
              </w:rPr>
            </w:pPr>
            <w:r>
              <w:rPr>
                <w:rFonts w:hint="eastAsia" w:ascii="宋体" w:hAnsi="宋体" w:eastAsia="宋体" w:cs="宋体"/>
                <w:sz w:val="18"/>
                <w:szCs w:val="18"/>
              </w:rPr>
              <w:t>计量器具是没有专人管理</w:t>
            </w:r>
          </w:p>
        </w:tc>
        <w:tc>
          <w:tcPr>
            <w:tcW w:w="684" w:type="dxa"/>
            <w:tcBorders>
              <w:tl2br w:val="nil"/>
              <w:tr2bl w:val="nil"/>
            </w:tcBorders>
          </w:tcPr>
          <w:p w14:paraId="452D66A5">
            <w:pPr>
              <w:spacing w:line="360" w:lineRule="auto"/>
              <w:rPr>
                <w:rFonts w:ascii="宋体" w:hAnsi="宋体" w:eastAsia="宋体" w:cs="宋体"/>
                <w:sz w:val="18"/>
                <w:szCs w:val="18"/>
              </w:rPr>
            </w:pPr>
          </w:p>
        </w:tc>
        <w:tc>
          <w:tcPr>
            <w:tcW w:w="924" w:type="dxa"/>
            <w:gridSpan w:val="2"/>
            <w:tcBorders>
              <w:tl2br w:val="nil"/>
              <w:tr2bl w:val="nil"/>
            </w:tcBorders>
          </w:tcPr>
          <w:p w14:paraId="37E311A1">
            <w:pPr>
              <w:spacing w:line="360" w:lineRule="auto"/>
              <w:rPr>
                <w:rFonts w:ascii="宋体" w:hAnsi="宋体" w:eastAsia="宋体" w:cs="宋体"/>
                <w:sz w:val="18"/>
                <w:szCs w:val="18"/>
              </w:rPr>
            </w:pPr>
          </w:p>
        </w:tc>
        <w:tc>
          <w:tcPr>
            <w:tcW w:w="984" w:type="dxa"/>
            <w:gridSpan w:val="2"/>
            <w:tcBorders>
              <w:tl2br w:val="nil"/>
              <w:tr2bl w:val="nil"/>
            </w:tcBorders>
          </w:tcPr>
          <w:p w14:paraId="4090008A">
            <w:pPr>
              <w:spacing w:line="360" w:lineRule="auto"/>
              <w:rPr>
                <w:rFonts w:ascii="宋体" w:hAnsi="宋体" w:eastAsia="宋体" w:cs="宋体"/>
                <w:sz w:val="18"/>
                <w:szCs w:val="18"/>
              </w:rPr>
            </w:pPr>
          </w:p>
        </w:tc>
      </w:tr>
      <w:tr w14:paraId="7C0E3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76078B14">
            <w:pPr>
              <w:spacing w:line="360" w:lineRule="auto"/>
              <w:rPr>
                <w:rFonts w:ascii="宋体" w:hAnsi="宋体" w:eastAsia="宋体" w:cs="宋体"/>
                <w:sz w:val="18"/>
                <w:szCs w:val="18"/>
              </w:rPr>
            </w:pPr>
            <w:r>
              <w:rPr>
                <w:rFonts w:hint="eastAsia" w:ascii="宋体" w:hAnsi="宋体" w:eastAsia="宋体" w:cs="宋体"/>
                <w:sz w:val="18"/>
                <w:szCs w:val="18"/>
              </w:rPr>
              <w:t>5-7</w:t>
            </w:r>
          </w:p>
        </w:tc>
        <w:tc>
          <w:tcPr>
            <w:tcW w:w="4526" w:type="dxa"/>
            <w:tcBorders>
              <w:tl2br w:val="nil"/>
              <w:tr2bl w:val="nil"/>
            </w:tcBorders>
          </w:tcPr>
          <w:p w14:paraId="53653B96">
            <w:pPr>
              <w:spacing w:line="360" w:lineRule="auto"/>
              <w:rPr>
                <w:rFonts w:ascii="宋体" w:hAnsi="宋体" w:eastAsia="宋体" w:cs="宋体"/>
                <w:sz w:val="18"/>
                <w:szCs w:val="18"/>
              </w:rPr>
            </w:pPr>
            <w:r>
              <w:rPr>
                <w:rFonts w:hint="eastAsia" w:ascii="宋体" w:hAnsi="宋体" w:eastAsia="宋体" w:cs="宋体"/>
                <w:sz w:val="18"/>
                <w:szCs w:val="18"/>
              </w:rPr>
              <w:t>计量器具检定、校准和维修人员不具有相应资质</w:t>
            </w:r>
          </w:p>
        </w:tc>
        <w:tc>
          <w:tcPr>
            <w:tcW w:w="684" w:type="dxa"/>
            <w:tcBorders>
              <w:tl2br w:val="nil"/>
              <w:tr2bl w:val="nil"/>
            </w:tcBorders>
          </w:tcPr>
          <w:p w14:paraId="11FC8B72">
            <w:pPr>
              <w:spacing w:line="360" w:lineRule="auto"/>
              <w:rPr>
                <w:rFonts w:ascii="宋体" w:hAnsi="宋体" w:eastAsia="宋体" w:cs="宋体"/>
                <w:sz w:val="18"/>
                <w:szCs w:val="18"/>
              </w:rPr>
            </w:pPr>
          </w:p>
        </w:tc>
        <w:tc>
          <w:tcPr>
            <w:tcW w:w="924" w:type="dxa"/>
            <w:gridSpan w:val="2"/>
            <w:tcBorders>
              <w:tl2br w:val="nil"/>
              <w:tr2bl w:val="nil"/>
            </w:tcBorders>
          </w:tcPr>
          <w:p w14:paraId="7AAF71F4">
            <w:pPr>
              <w:spacing w:line="360" w:lineRule="auto"/>
              <w:rPr>
                <w:rFonts w:ascii="宋体" w:hAnsi="宋体" w:eastAsia="宋体" w:cs="宋体"/>
                <w:sz w:val="18"/>
                <w:szCs w:val="18"/>
              </w:rPr>
            </w:pPr>
          </w:p>
        </w:tc>
        <w:tc>
          <w:tcPr>
            <w:tcW w:w="984" w:type="dxa"/>
            <w:gridSpan w:val="2"/>
            <w:tcBorders>
              <w:tl2br w:val="nil"/>
              <w:tr2bl w:val="nil"/>
            </w:tcBorders>
          </w:tcPr>
          <w:p w14:paraId="19A0AE3A">
            <w:pPr>
              <w:spacing w:line="360" w:lineRule="auto"/>
              <w:rPr>
                <w:rFonts w:ascii="宋体" w:hAnsi="宋体" w:eastAsia="宋体" w:cs="宋体"/>
                <w:sz w:val="18"/>
                <w:szCs w:val="18"/>
              </w:rPr>
            </w:pPr>
          </w:p>
        </w:tc>
      </w:tr>
      <w:tr w14:paraId="77300B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3032B2C6">
            <w:pPr>
              <w:spacing w:line="360" w:lineRule="auto"/>
              <w:rPr>
                <w:rFonts w:ascii="宋体" w:hAnsi="宋体" w:eastAsia="宋体" w:cs="宋体"/>
                <w:sz w:val="18"/>
                <w:szCs w:val="18"/>
              </w:rPr>
            </w:pPr>
            <w:r>
              <w:rPr>
                <w:rFonts w:hint="eastAsia" w:ascii="宋体" w:hAnsi="宋体" w:eastAsia="宋体" w:cs="宋体"/>
                <w:sz w:val="18"/>
                <w:szCs w:val="18"/>
              </w:rPr>
              <w:t>5-8</w:t>
            </w:r>
          </w:p>
        </w:tc>
        <w:tc>
          <w:tcPr>
            <w:tcW w:w="4526" w:type="dxa"/>
            <w:tcBorders>
              <w:tl2br w:val="nil"/>
              <w:tr2bl w:val="nil"/>
            </w:tcBorders>
          </w:tcPr>
          <w:p w14:paraId="61DCBE48">
            <w:pPr>
              <w:spacing w:line="360" w:lineRule="auto"/>
              <w:rPr>
                <w:rFonts w:ascii="宋体" w:hAnsi="宋体" w:eastAsia="宋体" w:cs="宋体"/>
                <w:sz w:val="18"/>
                <w:szCs w:val="18"/>
              </w:rPr>
            </w:pPr>
            <w:r>
              <w:rPr>
                <w:rFonts w:hint="eastAsia" w:ascii="宋体" w:hAnsi="宋体" w:eastAsia="宋体" w:cs="宋体"/>
                <w:sz w:val="18"/>
                <w:szCs w:val="18"/>
              </w:rPr>
              <w:t>存在计量器具逾期未检定</w:t>
            </w:r>
          </w:p>
        </w:tc>
        <w:tc>
          <w:tcPr>
            <w:tcW w:w="684" w:type="dxa"/>
            <w:tcBorders>
              <w:tl2br w:val="nil"/>
              <w:tr2bl w:val="nil"/>
            </w:tcBorders>
          </w:tcPr>
          <w:p w14:paraId="6C6DDE78">
            <w:pPr>
              <w:spacing w:line="360" w:lineRule="auto"/>
              <w:rPr>
                <w:rFonts w:ascii="宋体" w:hAnsi="宋体" w:eastAsia="宋体" w:cs="宋体"/>
                <w:sz w:val="18"/>
                <w:szCs w:val="18"/>
              </w:rPr>
            </w:pPr>
          </w:p>
        </w:tc>
        <w:tc>
          <w:tcPr>
            <w:tcW w:w="924" w:type="dxa"/>
            <w:gridSpan w:val="2"/>
            <w:tcBorders>
              <w:tl2br w:val="nil"/>
              <w:tr2bl w:val="nil"/>
            </w:tcBorders>
          </w:tcPr>
          <w:p w14:paraId="490D1E26">
            <w:pPr>
              <w:spacing w:line="360" w:lineRule="auto"/>
              <w:rPr>
                <w:rFonts w:ascii="宋体" w:hAnsi="宋体" w:eastAsia="宋体" w:cs="宋体"/>
                <w:sz w:val="18"/>
                <w:szCs w:val="18"/>
              </w:rPr>
            </w:pPr>
          </w:p>
        </w:tc>
        <w:tc>
          <w:tcPr>
            <w:tcW w:w="984" w:type="dxa"/>
            <w:gridSpan w:val="2"/>
            <w:tcBorders>
              <w:tl2br w:val="nil"/>
              <w:tr2bl w:val="nil"/>
            </w:tcBorders>
          </w:tcPr>
          <w:p w14:paraId="0EC74DC8">
            <w:pPr>
              <w:spacing w:line="360" w:lineRule="auto"/>
              <w:rPr>
                <w:rFonts w:ascii="宋体" w:hAnsi="宋体" w:eastAsia="宋体" w:cs="宋体"/>
                <w:sz w:val="18"/>
                <w:szCs w:val="18"/>
              </w:rPr>
            </w:pPr>
          </w:p>
        </w:tc>
      </w:tr>
      <w:tr w14:paraId="413E2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554FB510">
            <w:pPr>
              <w:spacing w:line="360" w:lineRule="auto"/>
              <w:rPr>
                <w:rFonts w:ascii="宋体" w:hAnsi="宋体" w:eastAsia="宋体" w:cs="宋体"/>
                <w:sz w:val="18"/>
                <w:szCs w:val="18"/>
              </w:rPr>
            </w:pPr>
            <w:r>
              <w:rPr>
                <w:rFonts w:hint="eastAsia" w:ascii="宋体" w:hAnsi="宋体" w:eastAsia="宋体" w:cs="宋体"/>
                <w:sz w:val="18"/>
                <w:szCs w:val="18"/>
              </w:rPr>
              <w:t>5-9</w:t>
            </w:r>
          </w:p>
        </w:tc>
        <w:tc>
          <w:tcPr>
            <w:tcW w:w="4526" w:type="dxa"/>
            <w:tcBorders>
              <w:tl2br w:val="nil"/>
              <w:tr2bl w:val="nil"/>
            </w:tcBorders>
          </w:tcPr>
          <w:p w14:paraId="0AA41D12">
            <w:pPr>
              <w:spacing w:line="360" w:lineRule="auto"/>
              <w:rPr>
                <w:rFonts w:ascii="宋体" w:hAnsi="宋体" w:eastAsia="宋体" w:cs="宋体"/>
                <w:sz w:val="18"/>
                <w:szCs w:val="18"/>
              </w:rPr>
            </w:pPr>
            <w:r>
              <w:rPr>
                <w:rFonts w:hint="eastAsia" w:ascii="宋体" w:hAnsi="宋体" w:eastAsia="宋体" w:cs="宋体"/>
                <w:sz w:val="18"/>
                <w:szCs w:val="18"/>
              </w:rPr>
              <w:t>计量器具的抄表不规范</w:t>
            </w:r>
          </w:p>
        </w:tc>
        <w:tc>
          <w:tcPr>
            <w:tcW w:w="684" w:type="dxa"/>
            <w:tcBorders>
              <w:tl2br w:val="nil"/>
              <w:tr2bl w:val="nil"/>
            </w:tcBorders>
          </w:tcPr>
          <w:p w14:paraId="651191A7">
            <w:pPr>
              <w:spacing w:line="360" w:lineRule="auto"/>
              <w:rPr>
                <w:rFonts w:ascii="宋体" w:hAnsi="宋体" w:eastAsia="宋体" w:cs="宋体"/>
                <w:sz w:val="18"/>
                <w:szCs w:val="18"/>
              </w:rPr>
            </w:pPr>
          </w:p>
        </w:tc>
        <w:tc>
          <w:tcPr>
            <w:tcW w:w="924" w:type="dxa"/>
            <w:gridSpan w:val="2"/>
            <w:tcBorders>
              <w:tl2br w:val="nil"/>
              <w:tr2bl w:val="nil"/>
            </w:tcBorders>
          </w:tcPr>
          <w:p w14:paraId="620B9CC0">
            <w:pPr>
              <w:spacing w:line="360" w:lineRule="auto"/>
              <w:rPr>
                <w:rFonts w:ascii="宋体" w:hAnsi="宋体" w:eastAsia="宋体" w:cs="宋体"/>
                <w:sz w:val="18"/>
                <w:szCs w:val="18"/>
              </w:rPr>
            </w:pPr>
          </w:p>
        </w:tc>
        <w:tc>
          <w:tcPr>
            <w:tcW w:w="984" w:type="dxa"/>
            <w:gridSpan w:val="2"/>
            <w:tcBorders>
              <w:tl2br w:val="nil"/>
              <w:tr2bl w:val="nil"/>
            </w:tcBorders>
          </w:tcPr>
          <w:p w14:paraId="2458716C">
            <w:pPr>
              <w:spacing w:line="360" w:lineRule="auto"/>
              <w:rPr>
                <w:rFonts w:ascii="宋体" w:hAnsi="宋体" w:eastAsia="宋体" w:cs="宋体"/>
                <w:sz w:val="18"/>
                <w:szCs w:val="18"/>
              </w:rPr>
            </w:pPr>
          </w:p>
        </w:tc>
      </w:tr>
      <w:tr w14:paraId="75EA6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308B4438">
            <w:pPr>
              <w:spacing w:line="360" w:lineRule="auto"/>
              <w:rPr>
                <w:rFonts w:ascii="宋体" w:hAnsi="宋体" w:eastAsia="宋体" w:cs="宋体"/>
                <w:sz w:val="18"/>
                <w:szCs w:val="18"/>
              </w:rPr>
            </w:pPr>
            <w:r>
              <w:rPr>
                <w:rFonts w:hint="eastAsia" w:ascii="宋体" w:hAnsi="宋体" w:eastAsia="宋体" w:cs="宋体"/>
                <w:sz w:val="18"/>
                <w:szCs w:val="18"/>
              </w:rPr>
              <w:t>5-10</w:t>
            </w:r>
          </w:p>
        </w:tc>
        <w:tc>
          <w:tcPr>
            <w:tcW w:w="4526" w:type="dxa"/>
            <w:tcBorders>
              <w:tl2br w:val="nil"/>
              <w:tr2bl w:val="nil"/>
            </w:tcBorders>
          </w:tcPr>
          <w:p w14:paraId="4F54025E">
            <w:pPr>
              <w:spacing w:line="360" w:lineRule="auto"/>
              <w:rPr>
                <w:rFonts w:ascii="宋体" w:hAnsi="宋体" w:eastAsia="宋体" w:cs="宋体"/>
                <w:sz w:val="18"/>
                <w:szCs w:val="18"/>
              </w:rPr>
            </w:pPr>
            <w:r>
              <w:rPr>
                <w:rFonts w:hint="eastAsia" w:ascii="宋体" w:hAnsi="宋体" w:eastAsia="宋体" w:cs="宋体"/>
                <w:sz w:val="18"/>
                <w:szCs w:val="18"/>
              </w:rPr>
              <w:t>计量数据未得到有效利用</w:t>
            </w:r>
          </w:p>
        </w:tc>
        <w:tc>
          <w:tcPr>
            <w:tcW w:w="684" w:type="dxa"/>
            <w:tcBorders>
              <w:tl2br w:val="nil"/>
              <w:tr2bl w:val="nil"/>
            </w:tcBorders>
          </w:tcPr>
          <w:p w14:paraId="36D7A55E">
            <w:pPr>
              <w:spacing w:line="360" w:lineRule="auto"/>
              <w:rPr>
                <w:rFonts w:ascii="宋体" w:hAnsi="宋体" w:eastAsia="宋体" w:cs="宋体"/>
                <w:sz w:val="18"/>
                <w:szCs w:val="18"/>
              </w:rPr>
            </w:pPr>
          </w:p>
        </w:tc>
        <w:tc>
          <w:tcPr>
            <w:tcW w:w="924" w:type="dxa"/>
            <w:gridSpan w:val="2"/>
            <w:tcBorders>
              <w:tl2br w:val="nil"/>
              <w:tr2bl w:val="nil"/>
            </w:tcBorders>
          </w:tcPr>
          <w:p w14:paraId="18FFCCC6">
            <w:pPr>
              <w:spacing w:line="360" w:lineRule="auto"/>
              <w:rPr>
                <w:rFonts w:ascii="宋体" w:hAnsi="宋体" w:eastAsia="宋体" w:cs="宋体"/>
                <w:sz w:val="18"/>
                <w:szCs w:val="18"/>
              </w:rPr>
            </w:pPr>
          </w:p>
        </w:tc>
        <w:tc>
          <w:tcPr>
            <w:tcW w:w="984" w:type="dxa"/>
            <w:gridSpan w:val="2"/>
            <w:tcBorders>
              <w:tl2br w:val="nil"/>
              <w:tr2bl w:val="nil"/>
            </w:tcBorders>
          </w:tcPr>
          <w:p w14:paraId="3162F6D1">
            <w:pPr>
              <w:spacing w:line="360" w:lineRule="auto"/>
              <w:rPr>
                <w:rFonts w:ascii="宋体" w:hAnsi="宋体" w:eastAsia="宋体" w:cs="宋体"/>
                <w:sz w:val="18"/>
                <w:szCs w:val="18"/>
              </w:rPr>
            </w:pPr>
          </w:p>
        </w:tc>
      </w:tr>
      <w:tr w14:paraId="3F19C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284E6618">
            <w:pPr>
              <w:spacing w:line="360" w:lineRule="auto"/>
              <w:rPr>
                <w:rFonts w:ascii="宋体" w:hAnsi="宋体" w:eastAsia="宋体" w:cs="宋体"/>
                <w:sz w:val="18"/>
                <w:szCs w:val="18"/>
              </w:rPr>
            </w:pPr>
            <w:r>
              <w:rPr>
                <w:rFonts w:hint="eastAsia" w:ascii="宋体" w:hAnsi="宋体" w:eastAsia="宋体" w:cs="宋体"/>
                <w:sz w:val="18"/>
                <w:szCs w:val="18"/>
              </w:rPr>
              <w:t>5-11</w:t>
            </w:r>
          </w:p>
        </w:tc>
        <w:tc>
          <w:tcPr>
            <w:tcW w:w="4526" w:type="dxa"/>
            <w:tcBorders>
              <w:tl2br w:val="nil"/>
              <w:tr2bl w:val="nil"/>
            </w:tcBorders>
          </w:tcPr>
          <w:p w14:paraId="5DB59797">
            <w:pPr>
              <w:spacing w:line="360" w:lineRule="auto"/>
              <w:rPr>
                <w:rFonts w:ascii="宋体" w:hAnsi="宋体" w:eastAsia="宋体" w:cs="宋体"/>
                <w:sz w:val="18"/>
                <w:szCs w:val="18"/>
              </w:rPr>
            </w:pPr>
            <w:r>
              <w:rPr>
                <w:rFonts w:hint="eastAsia" w:ascii="宋体" w:hAnsi="宋体" w:eastAsia="宋体" w:cs="宋体"/>
                <w:sz w:val="18"/>
                <w:szCs w:val="18"/>
              </w:rPr>
              <w:t>能源资源统计工作不规范</w:t>
            </w:r>
          </w:p>
        </w:tc>
        <w:tc>
          <w:tcPr>
            <w:tcW w:w="684" w:type="dxa"/>
            <w:tcBorders>
              <w:tl2br w:val="nil"/>
              <w:tr2bl w:val="nil"/>
            </w:tcBorders>
          </w:tcPr>
          <w:p w14:paraId="034E9425">
            <w:pPr>
              <w:spacing w:line="360" w:lineRule="auto"/>
              <w:rPr>
                <w:rFonts w:ascii="宋体" w:hAnsi="宋体" w:eastAsia="宋体" w:cs="宋体"/>
                <w:sz w:val="18"/>
                <w:szCs w:val="18"/>
              </w:rPr>
            </w:pPr>
          </w:p>
        </w:tc>
        <w:tc>
          <w:tcPr>
            <w:tcW w:w="924" w:type="dxa"/>
            <w:gridSpan w:val="2"/>
            <w:tcBorders>
              <w:tl2br w:val="nil"/>
              <w:tr2bl w:val="nil"/>
            </w:tcBorders>
          </w:tcPr>
          <w:p w14:paraId="4FE3C943">
            <w:pPr>
              <w:spacing w:line="360" w:lineRule="auto"/>
              <w:rPr>
                <w:rFonts w:ascii="宋体" w:hAnsi="宋体" w:eastAsia="宋体" w:cs="宋体"/>
                <w:sz w:val="18"/>
                <w:szCs w:val="18"/>
              </w:rPr>
            </w:pPr>
          </w:p>
        </w:tc>
        <w:tc>
          <w:tcPr>
            <w:tcW w:w="984" w:type="dxa"/>
            <w:gridSpan w:val="2"/>
            <w:tcBorders>
              <w:tl2br w:val="nil"/>
              <w:tr2bl w:val="nil"/>
            </w:tcBorders>
          </w:tcPr>
          <w:p w14:paraId="0B3C9EDC">
            <w:pPr>
              <w:spacing w:line="360" w:lineRule="auto"/>
              <w:rPr>
                <w:rFonts w:ascii="宋体" w:hAnsi="宋体" w:eastAsia="宋体" w:cs="宋体"/>
                <w:sz w:val="18"/>
                <w:szCs w:val="18"/>
              </w:rPr>
            </w:pPr>
          </w:p>
        </w:tc>
      </w:tr>
      <w:tr w14:paraId="5D0C98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0BB1B62">
            <w:pPr>
              <w:spacing w:line="360" w:lineRule="auto"/>
              <w:rPr>
                <w:rFonts w:ascii="宋体" w:hAnsi="宋体" w:eastAsia="宋体" w:cs="宋体"/>
                <w:sz w:val="18"/>
                <w:szCs w:val="18"/>
              </w:rPr>
            </w:pPr>
            <w:r>
              <w:rPr>
                <w:rFonts w:hint="eastAsia" w:ascii="宋体" w:hAnsi="宋体" w:eastAsia="宋体" w:cs="宋体"/>
                <w:sz w:val="18"/>
                <w:szCs w:val="18"/>
              </w:rPr>
              <w:t>5-12</w:t>
            </w:r>
          </w:p>
        </w:tc>
        <w:tc>
          <w:tcPr>
            <w:tcW w:w="4526" w:type="dxa"/>
            <w:tcBorders>
              <w:tl2br w:val="nil"/>
              <w:tr2bl w:val="nil"/>
            </w:tcBorders>
          </w:tcPr>
          <w:p w14:paraId="6CA31B78">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497C8CA9">
            <w:pPr>
              <w:spacing w:line="360" w:lineRule="auto"/>
              <w:rPr>
                <w:rFonts w:ascii="宋体" w:hAnsi="宋体" w:eastAsia="宋体" w:cs="宋体"/>
                <w:sz w:val="18"/>
                <w:szCs w:val="18"/>
              </w:rPr>
            </w:pPr>
          </w:p>
        </w:tc>
        <w:tc>
          <w:tcPr>
            <w:tcW w:w="924" w:type="dxa"/>
            <w:gridSpan w:val="2"/>
            <w:tcBorders>
              <w:tl2br w:val="nil"/>
              <w:tr2bl w:val="nil"/>
            </w:tcBorders>
          </w:tcPr>
          <w:p w14:paraId="010AEC04">
            <w:pPr>
              <w:spacing w:line="360" w:lineRule="auto"/>
              <w:rPr>
                <w:rFonts w:ascii="宋体" w:hAnsi="宋体" w:eastAsia="宋体" w:cs="宋体"/>
                <w:sz w:val="18"/>
                <w:szCs w:val="18"/>
              </w:rPr>
            </w:pPr>
          </w:p>
        </w:tc>
        <w:tc>
          <w:tcPr>
            <w:tcW w:w="984" w:type="dxa"/>
            <w:gridSpan w:val="2"/>
            <w:tcBorders>
              <w:tl2br w:val="nil"/>
              <w:tr2bl w:val="nil"/>
            </w:tcBorders>
          </w:tcPr>
          <w:p w14:paraId="35BBEA6E">
            <w:pPr>
              <w:spacing w:line="360" w:lineRule="auto"/>
              <w:rPr>
                <w:rFonts w:ascii="宋体" w:hAnsi="宋体" w:eastAsia="宋体" w:cs="宋体"/>
                <w:sz w:val="18"/>
                <w:szCs w:val="18"/>
              </w:rPr>
            </w:pPr>
          </w:p>
        </w:tc>
      </w:tr>
      <w:tr w14:paraId="6007F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3F58BE8D">
            <w:pPr>
              <w:spacing w:line="360" w:lineRule="auto"/>
              <w:rPr>
                <w:rFonts w:ascii="宋体" w:hAnsi="宋体" w:eastAsia="宋体" w:cs="宋体"/>
                <w:sz w:val="18"/>
                <w:szCs w:val="18"/>
              </w:rPr>
            </w:pPr>
            <w:r>
              <w:rPr>
                <w:rFonts w:hint="eastAsia" w:ascii="宋体" w:hAnsi="宋体" w:eastAsia="宋体" w:cs="宋体"/>
                <w:b/>
                <w:bCs/>
                <w:sz w:val="18"/>
                <w:szCs w:val="18"/>
              </w:rPr>
              <w:t>6 能效监管系统</w:t>
            </w:r>
          </w:p>
        </w:tc>
      </w:tr>
      <w:tr w14:paraId="449B6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0A4B55A9">
            <w:pPr>
              <w:spacing w:line="360" w:lineRule="auto"/>
              <w:rPr>
                <w:rFonts w:ascii="宋体" w:hAnsi="宋体" w:eastAsia="宋体" w:cs="宋体"/>
                <w:sz w:val="18"/>
                <w:szCs w:val="18"/>
              </w:rPr>
            </w:pPr>
            <w:r>
              <w:rPr>
                <w:rFonts w:hint="eastAsia" w:ascii="宋体" w:hAnsi="宋体" w:eastAsia="宋体" w:cs="宋体"/>
                <w:sz w:val="18"/>
                <w:szCs w:val="18"/>
              </w:rPr>
              <w:t>6-1</w:t>
            </w:r>
          </w:p>
        </w:tc>
        <w:tc>
          <w:tcPr>
            <w:tcW w:w="4526" w:type="dxa"/>
            <w:tcBorders>
              <w:tl2br w:val="nil"/>
              <w:tr2bl w:val="nil"/>
            </w:tcBorders>
          </w:tcPr>
          <w:p w14:paraId="776C435A">
            <w:pPr>
              <w:spacing w:line="360" w:lineRule="auto"/>
              <w:rPr>
                <w:rFonts w:ascii="宋体" w:hAnsi="宋体" w:eastAsia="宋体" w:cs="宋体"/>
                <w:sz w:val="18"/>
                <w:szCs w:val="18"/>
              </w:rPr>
            </w:pPr>
            <w:r>
              <w:rPr>
                <w:rFonts w:hint="eastAsia" w:ascii="宋体" w:hAnsi="宋体" w:eastAsia="宋体" w:cs="宋体"/>
                <w:sz w:val="18"/>
                <w:szCs w:val="18"/>
              </w:rPr>
              <w:t>建筑未设置能效监管系统</w:t>
            </w:r>
          </w:p>
        </w:tc>
        <w:tc>
          <w:tcPr>
            <w:tcW w:w="684" w:type="dxa"/>
            <w:tcBorders>
              <w:tl2br w:val="nil"/>
              <w:tr2bl w:val="nil"/>
            </w:tcBorders>
          </w:tcPr>
          <w:p w14:paraId="47C82359">
            <w:pPr>
              <w:spacing w:line="360" w:lineRule="auto"/>
              <w:rPr>
                <w:rFonts w:ascii="宋体" w:hAnsi="宋体" w:eastAsia="宋体" w:cs="宋体"/>
                <w:sz w:val="18"/>
                <w:szCs w:val="18"/>
              </w:rPr>
            </w:pPr>
          </w:p>
        </w:tc>
        <w:tc>
          <w:tcPr>
            <w:tcW w:w="924" w:type="dxa"/>
            <w:gridSpan w:val="2"/>
            <w:tcBorders>
              <w:tl2br w:val="nil"/>
              <w:tr2bl w:val="nil"/>
            </w:tcBorders>
          </w:tcPr>
          <w:p w14:paraId="4A7305FF">
            <w:pPr>
              <w:spacing w:line="360" w:lineRule="auto"/>
              <w:rPr>
                <w:rFonts w:ascii="宋体" w:hAnsi="宋体" w:eastAsia="宋体" w:cs="宋体"/>
                <w:sz w:val="18"/>
                <w:szCs w:val="18"/>
              </w:rPr>
            </w:pPr>
          </w:p>
        </w:tc>
        <w:tc>
          <w:tcPr>
            <w:tcW w:w="984" w:type="dxa"/>
            <w:gridSpan w:val="2"/>
            <w:tcBorders>
              <w:tl2br w:val="nil"/>
              <w:tr2bl w:val="nil"/>
            </w:tcBorders>
          </w:tcPr>
          <w:p w14:paraId="6037BE37">
            <w:pPr>
              <w:spacing w:line="360" w:lineRule="auto"/>
              <w:rPr>
                <w:rFonts w:ascii="宋体" w:hAnsi="宋体" w:eastAsia="宋体" w:cs="宋体"/>
                <w:sz w:val="18"/>
                <w:szCs w:val="18"/>
              </w:rPr>
            </w:pPr>
          </w:p>
        </w:tc>
      </w:tr>
      <w:tr w14:paraId="75E6E3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277E22C9">
            <w:pPr>
              <w:spacing w:line="360" w:lineRule="auto"/>
              <w:rPr>
                <w:rFonts w:ascii="宋体" w:hAnsi="宋体" w:eastAsia="宋体" w:cs="宋体"/>
                <w:sz w:val="18"/>
                <w:szCs w:val="18"/>
              </w:rPr>
            </w:pPr>
            <w:r>
              <w:rPr>
                <w:rFonts w:hint="eastAsia" w:ascii="宋体" w:hAnsi="宋体" w:eastAsia="宋体" w:cs="宋体"/>
                <w:sz w:val="18"/>
                <w:szCs w:val="18"/>
              </w:rPr>
              <w:t>6-2</w:t>
            </w:r>
          </w:p>
        </w:tc>
        <w:tc>
          <w:tcPr>
            <w:tcW w:w="4526" w:type="dxa"/>
            <w:tcBorders>
              <w:tl2br w:val="nil"/>
              <w:tr2bl w:val="nil"/>
            </w:tcBorders>
          </w:tcPr>
          <w:p w14:paraId="0E53A773">
            <w:pPr>
              <w:spacing w:line="360" w:lineRule="auto"/>
              <w:rPr>
                <w:rFonts w:ascii="宋体" w:hAnsi="宋体" w:eastAsia="宋体" w:cs="宋体"/>
                <w:sz w:val="18"/>
                <w:szCs w:val="18"/>
              </w:rPr>
            </w:pPr>
            <w:r>
              <w:rPr>
                <w:rFonts w:hint="eastAsia" w:ascii="宋体" w:hAnsi="宋体" w:eastAsia="宋体" w:cs="宋体"/>
                <w:sz w:val="18"/>
                <w:szCs w:val="18"/>
              </w:rPr>
              <w:t>能效监管系统不能正常运行</w:t>
            </w:r>
          </w:p>
        </w:tc>
        <w:tc>
          <w:tcPr>
            <w:tcW w:w="684" w:type="dxa"/>
            <w:tcBorders>
              <w:tl2br w:val="nil"/>
              <w:tr2bl w:val="nil"/>
            </w:tcBorders>
          </w:tcPr>
          <w:p w14:paraId="59A04A34">
            <w:pPr>
              <w:spacing w:line="360" w:lineRule="auto"/>
              <w:rPr>
                <w:rFonts w:ascii="宋体" w:hAnsi="宋体" w:eastAsia="宋体" w:cs="宋体"/>
                <w:sz w:val="18"/>
                <w:szCs w:val="18"/>
              </w:rPr>
            </w:pPr>
          </w:p>
        </w:tc>
        <w:tc>
          <w:tcPr>
            <w:tcW w:w="924" w:type="dxa"/>
            <w:gridSpan w:val="2"/>
            <w:tcBorders>
              <w:tl2br w:val="nil"/>
              <w:tr2bl w:val="nil"/>
            </w:tcBorders>
          </w:tcPr>
          <w:p w14:paraId="665BA677">
            <w:pPr>
              <w:spacing w:line="360" w:lineRule="auto"/>
              <w:rPr>
                <w:rFonts w:ascii="宋体" w:hAnsi="宋体" w:eastAsia="宋体" w:cs="宋体"/>
                <w:sz w:val="18"/>
                <w:szCs w:val="18"/>
              </w:rPr>
            </w:pPr>
          </w:p>
        </w:tc>
        <w:tc>
          <w:tcPr>
            <w:tcW w:w="984" w:type="dxa"/>
            <w:gridSpan w:val="2"/>
            <w:tcBorders>
              <w:tl2br w:val="nil"/>
              <w:tr2bl w:val="nil"/>
            </w:tcBorders>
          </w:tcPr>
          <w:p w14:paraId="601EFA8F">
            <w:pPr>
              <w:spacing w:line="360" w:lineRule="auto"/>
              <w:rPr>
                <w:rFonts w:ascii="宋体" w:hAnsi="宋体" w:eastAsia="宋体" w:cs="宋体"/>
                <w:sz w:val="18"/>
                <w:szCs w:val="18"/>
              </w:rPr>
            </w:pPr>
          </w:p>
        </w:tc>
      </w:tr>
      <w:tr w14:paraId="3CBFF5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0204660A">
            <w:pPr>
              <w:spacing w:line="360" w:lineRule="auto"/>
              <w:rPr>
                <w:rFonts w:ascii="宋体" w:hAnsi="宋体" w:eastAsia="宋体" w:cs="宋体"/>
                <w:sz w:val="18"/>
                <w:szCs w:val="18"/>
              </w:rPr>
            </w:pPr>
            <w:r>
              <w:rPr>
                <w:rFonts w:hint="eastAsia" w:ascii="宋体" w:hAnsi="宋体" w:eastAsia="宋体" w:cs="宋体"/>
                <w:sz w:val="18"/>
                <w:szCs w:val="18"/>
              </w:rPr>
              <w:t>6-3</w:t>
            </w:r>
          </w:p>
        </w:tc>
        <w:tc>
          <w:tcPr>
            <w:tcW w:w="4526" w:type="dxa"/>
            <w:tcBorders>
              <w:tl2br w:val="nil"/>
              <w:tr2bl w:val="nil"/>
            </w:tcBorders>
          </w:tcPr>
          <w:p w14:paraId="3C67B0D9">
            <w:pPr>
              <w:spacing w:line="360" w:lineRule="auto"/>
              <w:rPr>
                <w:rFonts w:ascii="宋体" w:hAnsi="宋体" w:eastAsia="宋体" w:cs="宋体"/>
                <w:sz w:val="18"/>
                <w:szCs w:val="18"/>
              </w:rPr>
            </w:pPr>
            <w:r>
              <w:rPr>
                <w:rFonts w:hint="eastAsia" w:ascii="宋体" w:hAnsi="宋体" w:eastAsia="宋体" w:cs="宋体"/>
                <w:sz w:val="18"/>
                <w:szCs w:val="18"/>
              </w:rPr>
              <w:t>能效监管系统功能不符合有关标准的要求</w:t>
            </w:r>
          </w:p>
        </w:tc>
        <w:tc>
          <w:tcPr>
            <w:tcW w:w="684" w:type="dxa"/>
            <w:tcBorders>
              <w:tl2br w:val="nil"/>
              <w:tr2bl w:val="nil"/>
            </w:tcBorders>
          </w:tcPr>
          <w:p w14:paraId="4F30F471">
            <w:pPr>
              <w:spacing w:line="360" w:lineRule="auto"/>
              <w:rPr>
                <w:rFonts w:ascii="宋体" w:hAnsi="宋体" w:eastAsia="宋体" w:cs="宋体"/>
                <w:sz w:val="18"/>
                <w:szCs w:val="18"/>
              </w:rPr>
            </w:pPr>
          </w:p>
        </w:tc>
        <w:tc>
          <w:tcPr>
            <w:tcW w:w="924" w:type="dxa"/>
            <w:gridSpan w:val="2"/>
            <w:tcBorders>
              <w:tl2br w:val="nil"/>
              <w:tr2bl w:val="nil"/>
            </w:tcBorders>
          </w:tcPr>
          <w:p w14:paraId="2D31F03D">
            <w:pPr>
              <w:spacing w:line="360" w:lineRule="auto"/>
              <w:rPr>
                <w:rFonts w:ascii="宋体" w:hAnsi="宋体" w:eastAsia="宋体" w:cs="宋体"/>
                <w:sz w:val="18"/>
                <w:szCs w:val="18"/>
              </w:rPr>
            </w:pPr>
          </w:p>
        </w:tc>
        <w:tc>
          <w:tcPr>
            <w:tcW w:w="984" w:type="dxa"/>
            <w:gridSpan w:val="2"/>
            <w:tcBorders>
              <w:tl2br w:val="nil"/>
              <w:tr2bl w:val="nil"/>
            </w:tcBorders>
          </w:tcPr>
          <w:p w14:paraId="7818D4F2">
            <w:pPr>
              <w:spacing w:line="360" w:lineRule="auto"/>
              <w:rPr>
                <w:rFonts w:ascii="宋体" w:hAnsi="宋体" w:eastAsia="宋体" w:cs="宋体"/>
                <w:sz w:val="18"/>
                <w:szCs w:val="18"/>
              </w:rPr>
            </w:pPr>
          </w:p>
        </w:tc>
      </w:tr>
      <w:tr w14:paraId="648DC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8B8EA6D">
            <w:pPr>
              <w:spacing w:line="360" w:lineRule="auto"/>
              <w:rPr>
                <w:rFonts w:ascii="宋体" w:hAnsi="宋体" w:eastAsia="宋体" w:cs="宋体"/>
                <w:sz w:val="18"/>
                <w:szCs w:val="18"/>
              </w:rPr>
            </w:pPr>
            <w:r>
              <w:rPr>
                <w:rFonts w:hint="eastAsia" w:ascii="宋体" w:hAnsi="宋体" w:eastAsia="宋体" w:cs="宋体"/>
                <w:sz w:val="18"/>
                <w:szCs w:val="18"/>
              </w:rPr>
              <w:t>6-4</w:t>
            </w:r>
          </w:p>
        </w:tc>
        <w:tc>
          <w:tcPr>
            <w:tcW w:w="4526" w:type="dxa"/>
            <w:tcBorders>
              <w:tl2br w:val="nil"/>
              <w:tr2bl w:val="nil"/>
            </w:tcBorders>
          </w:tcPr>
          <w:p w14:paraId="539D64CA">
            <w:pPr>
              <w:spacing w:line="360" w:lineRule="auto"/>
              <w:rPr>
                <w:rFonts w:ascii="宋体" w:hAnsi="宋体" w:eastAsia="宋体" w:cs="宋体"/>
                <w:sz w:val="18"/>
                <w:szCs w:val="18"/>
              </w:rPr>
            </w:pPr>
            <w:r>
              <w:rPr>
                <w:rFonts w:hint="eastAsia" w:ascii="宋体" w:hAnsi="宋体" w:eastAsia="宋体" w:cs="宋体"/>
                <w:sz w:val="18"/>
                <w:szCs w:val="18"/>
              </w:rPr>
              <w:t>其他</w:t>
            </w:r>
          </w:p>
        </w:tc>
        <w:tc>
          <w:tcPr>
            <w:tcW w:w="684" w:type="dxa"/>
            <w:tcBorders>
              <w:tl2br w:val="nil"/>
              <w:tr2bl w:val="nil"/>
            </w:tcBorders>
          </w:tcPr>
          <w:p w14:paraId="7F3F936B">
            <w:pPr>
              <w:spacing w:line="360" w:lineRule="auto"/>
              <w:rPr>
                <w:rFonts w:ascii="宋体" w:hAnsi="宋体" w:eastAsia="宋体" w:cs="宋体"/>
                <w:sz w:val="18"/>
                <w:szCs w:val="18"/>
              </w:rPr>
            </w:pPr>
          </w:p>
        </w:tc>
        <w:tc>
          <w:tcPr>
            <w:tcW w:w="924" w:type="dxa"/>
            <w:gridSpan w:val="2"/>
            <w:tcBorders>
              <w:tl2br w:val="nil"/>
              <w:tr2bl w:val="nil"/>
            </w:tcBorders>
          </w:tcPr>
          <w:p w14:paraId="6B4401E6">
            <w:pPr>
              <w:spacing w:line="360" w:lineRule="auto"/>
              <w:rPr>
                <w:rFonts w:ascii="宋体" w:hAnsi="宋体" w:eastAsia="宋体" w:cs="宋体"/>
                <w:sz w:val="18"/>
                <w:szCs w:val="18"/>
              </w:rPr>
            </w:pPr>
          </w:p>
        </w:tc>
        <w:tc>
          <w:tcPr>
            <w:tcW w:w="984" w:type="dxa"/>
            <w:gridSpan w:val="2"/>
            <w:tcBorders>
              <w:tl2br w:val="nil"/>
              <w:tr2bl w:val="nil"/>
            </w:tcBorders>
          </w:tcPr>
          <w:p w14:paraId="24C24561">
            <w:pPr>
              <w:spacing w:line="360" w:lineRule="auto"/>
              <w:rPr>
                <w:rFonts w:ascii="宋体" w:hAnsi="宋体" w:eastAsia="宋体" w:cs="宋体"/>
                <w:sz w:val="18"/>
                <w:szCs w:val="18"/>
              </w:rPr>
            </w:pPr>
          </w:p>
        </w:tc>
      </w:tr>
      <w:tr w14:paraId="599C3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52" w:type="dxa"/>
            <w:gridSpan w:val="7"/>
            <w:tcBorders>
              <w:tl2br w:val="nil"/>
              <w:tr2bl w:val="nil"/>
            </w:tcBorders>
          </w:tcPr>
          <w:p w14:paraId="3DEEA06C">
            <w:pPr>
              <w:spacing w:line="360" w:lineRule="auto"/>
              <w:rPr>
                <w:rFonts w:ascii="宋体" w:hAnsi="宋体" w:eastAsia="宋体" w:cs="宋体"/>
                <w:sz w:val="18"/>
                <w:szCs w:val="18"/>
              </w:rPr>
            </w:pPr>
            <w:r>
              <w:rPr>
                <w:rFonts w:hint="eastAsia" w:ascii="宋体" w:hAnsi="宋体" w:eastAsia="宋体" w:cs="宋体"/>
                <w:b/>
                <w:bCs/>
                <w:sz w:val="18"/>
                <w:szCs w:val="18"/>
              </w:rPr>
              <w:t>7 其他</w:t>
            </w:r>
          </w:p>
        </w:tc>
      </w:tr>
      <w:tr w14:paraId="497DF2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22E0B8BD">
            <w:pPr>
              <w:spacing w:line="360" w:lineRule="auto"/>
              <w:rPr>
                <w:rFonts w:ascii="宋体" w:hAnsi="宋体" w:eastAsia="宋体" w:cs="宋体"/>
                <w:sz w:val="18"/>
                <w:szCs w:val="18"/>
              </w:rPr>
            </w:pPr>
            <w:r>
              <w:rPr>
                <w:rFonts w:hint="eastAsia" w:ascii="宋体" w:hAnsi="宋体" w:eastAsia="宋体" w:cs="宋体"/>
                <w:sz w:val="18"/>
                <w:szCs w:val="18"/>
              </w:rPr>
              <w:t>7-1</w:t>
            </w:r>
          </w:p>
        </w:tc>
        <w:tc>
          <w:tcPr>
            <w:tcW w:w="4526" w:type="dxa"/>
            <w:tcBorders>
              <w:tl2br w:val="nil"/>
              <w:tr2bl w:val="nil"/>
            </w:tcBorders>
          </w:tcPr>
          <w:p w14:paraId="02E6F435">
            <w:pPr>
              <w:spacing w:line="360" w:lineRule="auto"/>
              <w:rPr>
                <w:rFonts w:ascii="宋体" w:hAnsi="宋体" w:eastAsia="宋体" w:cs="宋体"/>
                <w:sz w:val="18"/>
                <w:szCs w:val="18"/>
              </w:rPr>
            </w:pPr>
            <w:r>
              <w:rPr>
                <w:rFonts w:hint="eastAsia" w:ascii="宋体" w:hAnsi="宋体" w:eastAsia="宋体" w:cs="宋体"/>
                <w:sz w:val="18"/>
                <w:szCs w:val="18"/>
              </w:rPr>
              <w:t>自定义</w:t>
            </w:r>
          </w:p>
        </w:tc>
        <w:tc>
          <w:tcPr>
            <w:tcW w:w="780" w:type="dxa"/>
            <w:gridSpan w:val="2"/>
            <w:tcBorders>
              <w:tl2br w:val="nil"/>
              <w:tr2bl w:val="nil"/>
            </w:tcBorders>
          </w:tcPr>
          <w:p w14:paraId="2F201E79">
            <w:pPr>
              <w:spacing w:line="360" w:lineRule="auto"/>
              <w:rPr>
                <w:rFonts w:ascii="宋体" w:hAnsi="宋体" w:eastAsia="宋体" w:cs="宋体"/>
                <w:sz w:val="18"/>
                <w:szCs w:val="18"/>
              </w:rPr>
            </w:pPr>
          </w:p>
        </w:tc>
        <w:tc>
          <w:tcPr>
            <w:tcW w:w="1248" w:type="dxa"/>
            <w:gridSpan w:val="2"/>
            <w:tcBorders>
              <w:tl2br w:val="nil"/>
              <w:tr2bl w:val="nil"/>
            </w:tcBorders>
          </w:tcPr>
          <w:p w14:paraId="11B6775E">
            <w:pPr>
              <w:spacing w:line="360" w:lineRule="auto"/>
              <w:rPr>
                <w:rFonts w:ascii="宋体" w:hAnsi="宋体" w:eastAsia="宋体" w:cs="宋体"/>
                <w:sz w:val="18"/>
                <w:szCs w:val="18"/>
              </w:rPr>
            </w:pPr>
          </w:p>
        </w:tc>
        <w:tc>
          <w:tcPr>
            <w:tcW w:w="564" w:type="dxa"/>
            <w:tcBorders>
              <w:tl2br w:val="nil"/>
              <w:tr2bl w:val="nil"/>
            </w:tcBorders>
          </w:tcPr>
          <w:p w14:paraId="6161F38E">
            <w:pPr>
              <w:spacing w:line="360" w:lineRule="auto"/>
              <w:rPr>
                <w:rFonts w:ascii="宋体" w:hAnsi="宋体" w:eastAsia="宋体" w:cs="宋体"/>
                <w:sz w:val="18"/>
                <w:szCs w:val="18"/>
              </w:rPr>
            </w:pPr>
          </w:p>
        </w:tc>
      </w:tr>
      <w:tr w14:paraId="5940F1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4" w:type="dxa"/>
            <w:tcBorders>
              <w:tl2br w:val="nil"/>
              <w:tr2bl w:val="nil"/>
            </w:tcBorders>
          </w:tcPr>
          <w:p w14:paraId="16EB8771">
            <w:pPr>
              <w:spacing w:line="360" w:lineRule="auto"/>
              <w:rPr>
                <w:rFonts w:ascii="宋体" w:hAnsi="宋体" w:eastAsia="宋体" w:cs="宋体"/>
                <w:sz w:val="18"/>
                <w:szCs w:val="18"/>
              </w:rPr>
            </w:pPr>
            <w:r>
              <w:rPr>
                <w:rFonts w:hint="eastAsia" w:ascii="宋体" w:hAnsi="宋体" w:eastAsia="宋体" w:cs="宋体"/>
                <w:sz w:val="18"/>
                <w:szCs w:val="18"/>
              </w:rPr>
              <w:t>7-2</w:t>
            </w:r>
          </w:p>
        </w:tc>
        <w:tc>
          <w:tcPr>
            <w:tcW w:w="4526" w:type="dxa"/>
            <w:tcBorders>
              <w:tl2br w:val="nil"/>
              <w:tr2bl w:val="nil"/>
            </w:tcBorders>
          </w:tcPr>
          <w:p w14:paraId="78EF7FAB">
            <w:pPr>
              <w:spacing w:line="360" w:lineRule="auto"/>
              <w:rPr>
                <w:rFonts w:ascii="宋体" w:hAnsi="宋体" w:eastAsia="宋体" w:cs="宋体"/>
                <w:sz w:val="18"/>
                <w:szCs w:val="18"/>
              </w:rPr>
            </w:pPr>
            <w:r>
              <w:rPr>
                <w:rFonts w:hint="eastAsia" w:ascii="宋体" w:hAnsi="宋体" w:eastAsia="宋体" w:cs="宋体"/>
                <w:sz w:val="18"/>
                <w:szCs w:val="18"/>
              </w:rPr>
              <w:t>自定义</w:t>
            </w:r>
          </w:p>
        </w:tc>
        <w:tc>
          <w:tcPr>
            <w:tcW w:w="780" w:type="dxa"/>
            <w:gridSpan w:val="2"/>
            <w:tcBorders>
              <w:tl2br w:val="nil"/>
              <w:tr2bl w:val="nil"/>
            </w:tcBorders>
          </w:tcPr>
          <w:p w14:paraId="313847E0">
            <w:pPr>
              <w:spacing w:line="360" w:lineRule="auto"/>
              <w:rPr>
                <w:rFonts w:ascii="宋体" w:hAnsi="宋体" w:eastAsia="宋体" w:cs="宋体"/>
                <w:sz w:val="18"/>
                <w:szCs w:val="18"/>
              </w:rPr>
            </w:pPr>
          </w:p>
        </w:tc>
        <w:tc>
          <w:tcPr>
            <w:tcW w:w="1248" w:type="dxa"/>
            <w:gridSpan w:val="2"/>
            <w:tcBorders>
              <w:tl2br w:val="nil"/>
              <w:tr2bl w:val="nil"/>
            </w:tcBorders>
          </w:tcPr>
          <w:p w14:paraId="697E00B9">
            <w:pPr>
              <w:spacing w:line="360" w:lineRule="auto"/>
              <w:rPr>
                <w:rFonts w:ascii="宋体" w:hAnsi="宋体" w:eastAsia="宋体" w:cs="宋体"/>
                <w:sz w:val="18"/>
                <w:szCs w:val="18"/>
              </w:rPr>
            </w:pPr>
          </w:p>
        </w:tc>
        <w:tc>
          <w:tcPr>
            <w:tcW w:w="564" w:type="dxa"/>
            <w:tcBorders>
              <w:tl2br w:val="nil"/>
              <w:tr2bl w:val="nil"/>
            </w:tcBorders>
          </w:tcPr>
          <w:p w14:paraId="62F1FD54">
            <w:pPr>
              <w:spacing w:line="360" w:lineRule="auto"/>
              <w:rPr>
                <w:rFonts w:ascii="宋体" w:hAnsi="宋体" w:eastAsia="宋体" w:cs="宋体"/>
                <w:sz w:val="18"/>
                <w:szCs w:val="18"/>
              </w:rPr>
            </w:pPr>
          </w:p>
        </w:tc>
      </w:tr>
    </w:tbl>
    <w:p w14:paraId="6FB787D0">
      <w:pPr>
        <w:spacing w:line="360" w:lineRule="auto"/>
        <w:rPr>
          <w:rFonts w:ascii="Times New Roman" w:hAnsi="Times New Roman" w:cs="Times New Roman"/>
          <w:sz w:val="30"/>
          <w:szCs w:val="30"/>
        </w:rPr>
      </w:pPr>
      <w:r>
        <w:rPr>
          <w:rFonts w:ascii="Times New Roman" w:hAnsi="Times New Roman" w:cs="Times New Roman"/>
          <w:sz w:val="30"/>
          <w:szCs w:val="30"/>
        </w:rPr>
        <w:br w:type="page"/>
      </w:r>
    </w:p>
    <w:p w14:paraId="57388AB5">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96" w:name="_Toc18838"/>
      <w:bookmarkStart w:id="97" w:name="_Toc3084"/>
      <w:r>
        <w:rPr>
          <w:rFonts w:ascii="Times New Roman" w:hAnsi="Times New Roman" w:cs="Times New Roman"/>
          <w:color w:val="000000" w:themeColor="text1"/>
          <w:sz w:val="30"/>
          <w:szCs w:val="30"/>
          <w14:textFill>
            <w14:solidFill>
              <w14:schemeClr w14:val="tx1"/>
            </w14:solidFill>
          </w14:textFill>
        </w:rPr>
        <w:t>附录D 公共建筑能效诊断报告简表</w:t>
      </w:r>
      <w:bookmarkEnd w:id="96"/>
      <w:bookmarkEnd w:id="97"/>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1136"/>
        <w:gridCol w:w="567"/>
        <w:gridCol w:w="175"/>
        <w:gridCol w:w="1432"/>
        <w:gridCol w:w="95"/>
        <w:gridCol w:w="569"/>
        <w:gridCol w:w="85"/>
        <w:gridCol w:w="1050"/>
        <w:gridCol w:w="168"/>
        <w:gridCol w:w="1537"/>
      </w:tblGrid>
      <w:tr w14:paraId="0958FF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6" w:type="dxa"/>
            <w:gridSpan w:val="11"/>
            <w:tcBorders>
              <w:tl2br w:val="nil"/>
              <w:tr2bl w:val="nil"/>
            </w:tcBorders>
            <w:vAlign w:val="center"/>
          </w:tcPr>
          <w:p w14:paraId="5897A26D">
            <w:pPr>
              <w:spacing w:line="360" w:lineRule="auto"/>
              <w:jc w:val="center"/>
              <w:rPr>
                <w:rFonts w:ascii="Times New Roman" w:hAnsi="Times New Roman" w:cs="Times New Roman"/>
                <w:color w:val="000000" w:themeColor="text1"/>
                <w:kern w:val="44"/>
                <w:sz w:val="30"/>
                <w:szCs w:val="30"/>
                <w14:textFill>
                  <w14:solidFill>
                    <w14:schemeClr w14:val="tx1"/>
                  </w14:solidFill>
                </w14:textFill>
              </w:rPr>
            </w:pPr>
            <w:r>
              <w:rPr>
                <w:rFonts w:ascii="Times New Roman" w:hAnsi="Times New Roman" w:eastAsia="宋体" w:cs="Times New Roman"/>
                <w:b/>
                <w:bCs/>
                <w:sz w:val="18"/>
                <w:szCs w:val="18"/>
              </w:rPr>
              <w:t>建筑基本信息</w:t>
            </w:r>
          </w:p>
        </w:tc>
      </w:tr>
      <w:tr w14:paraId="5B66FB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63C232C0">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建筑名称</w:t>
            </w:r>
          </w:p>
        </w:tc>
        <w:tc>
          <w:tcPr>
            <w:tcW w:w="6814" w:type="dxa"/>
            <w:gridSpan w:val="10"/>
            <w:tcBorders>
              <w:tl2br w:val="nil"/>
              <w:tr2bl w:val="nil"/>
            </w:tcBorders>
          </w:tcPr>
          <w:p w14:paraId="68058568">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61FF2B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2469FFE0">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所在</w:t>
            </w:r>
            <w:r>
              <w:rPr>
                <w:rFonts w:ascii="Times New Roman" w:hAnsi="Times New Roman" w:eastAsia="宋体" w:cs="Times New Roman"/>
                <w:color w:val="auto"/>
                <w:sz w:val="18"/>
                <w:szCs w:val="18"/>
              </w:rPr>
              <w:t>地址</w:t>
            </w:r>
          </w:p>
        </w:tc>
        <w:tc>
          <w:tcPr>
            <w:tcW w:w="6814" w:type="dxa"/>
            <w:gridSpan w:val="10"/>
            <w:tcBorders>
              <w:tl2br w:val="nil"/>
              <w:tr2bl w:val="nil"/>
            </w:tcBorders>
          </w:tcPr>
          <w:p w14:paraId="1D089647">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5C199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6E441CB7">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开工时间</w:t>
            </w:r>
          </w:p>
        </w:tc>
        <w:tc>
          <w:tcPr>
            <w:tcW w:w="3310" w:type="dxa"/>
            <w:gridSpan w:val="4"/>
            <w:tcBorders>
              <w:tl2br w:val="nil"/>
              <w:tr2bl w:val="nil"/>
            </w:tcBorders>
          </w:tcPr>
          <w:p w14:paraId="0BFC5291">
            <w:pPr>
              <w:spacing w:line="360" w:lineRule="auto"/>
              <w:rPr>
                <w:rFonts w:ascii="Times New Roman" w:hAnsi="Times New Roman" w:cs="Times New Roman"/>
                <w:color w:val="000000" w:themeColor="text1"/>
                <w:kern w:val="44"/>
                <w:sz w:val="30"/>
                <w:szCs w:val="30"/>
                <w14:textFill>
                  <w14:solidFill>
                    <w14:schemeClr w14:val="tx1"/>
                  </w14:solidFill>
                </w14:textFill>
              </w:rPr>
            </w:pPr>
          </w:p>
        </w:tc>
        <w:tc>
          <w:tcPr>
            <w:tcW w:w="1967" w:type="dxa"/>
            <w:gridSpan w:val="5"/>
            <w:tcBorders>
              <w:tl2br w:val="nil"/>
              <w:tr2bl w:val="nil"/>
            </w:tcBorders>
            <w:shd w:val="clear" w:color="000000" w:fill="FFFFFF"/>
            <w:vAlign w:val="center"/>
          </w:tcPr>
          <w:p w14:paraId="22A155F4">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竣工时间</w:t>
            </w:r>
          </w:p>
        </w:tc>
        <w:tc>
          <w:tcPr>
            <w:tcW w:w="1537" w:type="dxa"/>
            <w:tcBorders>
              <w:tl2br w:val="nil"/>
              <w:tr2bl w:val="nil"/>
            </w:tcBorders>
          </w:tcPr>
          <w:p w14:paraId="02722EE2">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51063D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596EE60F">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设计单位</w:t>
            </w:r>
          </w:p>
        </w:tc>
        <w:tc>
          <w:tcPr>
            <w:tcW w:w="3310" w:type="dxa"/>
            <w:gridSpan w:val="4"/>
            <w:tcBorders>
              <w:tl2br w:val="nil"/>
              <w:tr2bl w:val="nil"/>
            </w:tcBorders>
          </w:tcPr>
          <w:p w14:paraId="036096D0">
            <w:pPr>
              <w:spacing w:line="360" w:lineRule="auto"/>
              <w:rPr>
                <w:rFonts w:ascii="Times New Roman" w:hAnsi="Times New Roman" w:cs="Times New Roman"/>
                <w:color w:val="000000" w:themeColor="text1"/>
                <w:kern w:val="44"/>
                <w:sz w:val="30"/>
                <w:szCs w:val="30"/>
                <w14:textFill>
                  <w14:solidFill>
                    <w14:schemeClr w14:val="tx1"/>
                  </w14:solidFill>
                </w14:textFill>
              </w:rPr>
            </w:pPr>
          </w:p>
        </w:tc>
        <w:tc>
          <w:tcPr>
            <w:tcW w:w="1967" w:type="dxa"/>
            <w:gridSpan w:val="5"/>
            <w:tcBorders>
              <w:tl2br w:val="nil"/>
              <w:tr2bl w:val="nil"/>
            </w:tcBorders>
            <w:shd w:val="clear" w:color="000000" w:fill="FFFFFF"/>
            <w:vAlign w:val="center"/>
          </w:tcPr>
          <w:p w14:paraId="69155B93">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施工单位</w:t>
            </w:r>
          </w:p>
        </w:tc>
        <w:tc>
          <w:tcPr>
            <w:tcW w:w="1537" w:type="dxa"/>
            <w:tcBorders>
              <w:tl2br w:val="nil"/>
              <w:tr2bl w:val="nil"/>
            </w:tcBorders>
          </w:tcPr>
          <w:p w14:paraId="1711B4E2">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59B874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245AF0B4">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所在气候区</w:t>
            </w:r>
          </w:p>
        </w:tc>
        <w:tc>
          <w:tcPr>
            <w:tcW w:w="6814" w:type="dxa"/>
            <w:gridSpan w:val="10"/>
            <w:tcBorders>
              <w:tl2br w:val="nil"/>
              <w:tr2bl w:val="nil"/>
            </w:tcBorders>
            <w:shd w:val="clear" w:color="000000" w:fill="FFFFFF"/>
            <w:vAlign w:val="center"/>
          </w:tcPr>
          <w:p w14:paraId="0240BBBE">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sym w:font="Wingdings 2" w:char="00A3"/>
            </w:r>
            <w:r>
              <w:rPr>
                <w:rFonts w:ascii="Times New Roman" w:hAnsi="Times New Roman" w:eastAsia="宋体" w:cs="Times New Roman"/>
                <w:color w:val="auto"/>
                <w:sz w:val="18"/>
                <w:szCs w:val="18"/>
              </w:rPr>
              <w:t>寒冷地区B区</w:t>
            </w:r>
            <w:r>
              <w:rPr>
                <w:rFonts w:hint="eastAsia" w:ascii="Times New Roman" w:hAnsi="Times New Roman" w:eastAsia="宋体" w:cs="Times New Roman"/>
                <w:color w:val="auto"/>
                <w:sz w:val="18"/>
                <w:szCs w:val="18"/>
              </w:rPr>
              <w:t xml:space="preserve">    </w:t>
            </w:r>
            <w:r>
              <w:rPr>
                <w:rFonts w:ascii="Times New Roman" w:hAnsi="Times New Roman" w:eastAsia="宋体" w:cs="Times New Roman"/>
                <w:color w:val="auto"/>
                <w:sz w:val="18"/>
                <w:szCs w:val="18"/>
              </w:rPr>
              <w:sym w:font="Wingdings 2" w:char="00A3"/>
            </w:r>
            <w:r>
              <w:rPr>
                <w:rFonts w:ascii="Times New Roman" w:hAnsi="Times New Roman" w:eastAsia="宋体" w:cs="Times New Roman"/>
                <w:color w:val="auto"/>
                <w:sz w:val="18"/>
                <w:szCs w:val="18"/>
              </w:rPr>
              <w:t>夏热冬冷地区A区</w:t>
            </w:r>
          </w:p>
        </w:tc>
      </w:tr>
      <w:tr w14:paraId="4C0AD8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vAlign w:val="center"/>
          </w:tcPr>
          <w:p w14:paraId="1B7E71C0">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建筑类型</w:t>
            </w:r>
          </w:p>
        </w:tc>
        <w:tc>
          <w:tcPr>
            <w:tcW w:w="6814" w:type="dxa"/>
            <w:gridSpan w:val="10"/>
            <w:tcBorders>
              <w:tl2br w:val="nil"/>
              <w:tr2bl w:val="nil"/>
            </w:tcBorders>
            <w:vAlign w:val="center"/>
          </w:tcPr>
          <w:p w14:paraId="3F3ED92D">
            <w:pPr>
              <w:spacing w:line="360" w:lineRule="auto"/>
              <w:jc w:val="center"/>
              <w:rPr>
                <w:rFonts w:ascii="Times New Roman" w:hAnsi="Times New Roman" w:cs="Times New Roman"/>
                <w:color w:val="000000" w:themeColor="text1"/>
                <w:kern w:val="44"/>
                <w:sz w:val="30"/>
                <w:szCs w:val="30"/>
                <w14:textFill>
                  <w14:solidFill>
                    <w14:schemeClr w14:val="tx1"/>
                  </w14:solidFill>
                </w14:textFill>
              </w:rPr>
            </w:pPr>
          </w:p>
        </w:tc>
      </w:tr>
      <w:tr w14:paraId="309E0B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tcBorders>
              <w:tl2br w:val="nil"/>
              <w:tr2bl w:val="nil"/>
            </w:tcBorders>
            <w:shd w:val="clear" w:color="000000" w:fill="FFFFFF"/>
            <w:vAlign w:val="center"/>
          </w:tcPr>
          <w:p w14:paraId="4C4E9063">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建筑高度及层数</w:t>
            </w:r>
          </w:p>
        </w:tc>
        <w:tc>
          <w:tcPr>
            <w:tcW w:w="3310" w:type="dxa"/>
            <w:gridSpan w:val="4"/>
            <w:tcBorders>
              <w:tl2br w:val="nil"/>
              <w:tr2bl w:val="nil"/>
            </w:tcBorders>
            <w:shd w:val="clear" w:color="000000" w:fill="FFFFFF"/>
            <w:vAlign w:val="center"/>
          </w:tcPr>
          <w:p w14:paraId="43D40580">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高度</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m</w:t>
            </w:r>
          </w:p>
          <w:p w14:paraId="5FCE62FF">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地上</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层</w:t>
            </w:r>
          </w:p>
          <w:p w14:paraId="4EC7003C">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地下</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层</w:t>
            </w:r>
          </w:p>
        </w:tc>
        <w:tc>
          <w:tcPr>
            <w:tcW w:w="749" w:type="dxa"/>
            <w:gridSpan w:val="3"/>
            <w:tcBorders>
              <w:tl2br w:val="nil"/>
              <w:tr2bl w:val="nil"/>
            </w:tcBorders>
            <w:shd w:val="clear" w:color="000000" w:fill="FFFFFF"/>
            <w:vAlign w:val="center"/>
          </w:tcPr>
          <w:p w14:paraId="3D96D269">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建筑面积</w:t>
            </w:r>
          </w:p>
        </w:tc>
        <w:tc>
          <w:tcPr>
            <w:tcW w:w="2755" w:type="dxa"/>
            <w:gridSpan w:val="3"/>
            <w:tcBorders>
              <w:tl2br w:val="nil"/>
              <w:tr2bl w:val="nil"/>
            </w:tcBorders>
            <w:shd w:val="clear" w:color="000000" w:fill="FFFFFF"/>
            <w:vAlign w:val="center"/>
          </w:tcPr>
          <w:p w14:paraId="5141D695">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总建筑面积</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m</w:t>
            </w:r>
            <w:r>
              <w:rPr>
                <w:rFonts w:ascii="Times New Roman" w:hAnsi="Times New Roman" w:eastAsia="宋体" w:cs="Times New Roman"/>
                <w:color w:val="auto"/>
                <w:sz w:val="18"/>
                <w:szCs w:val="18"/>
                <w:vertAlign w:val="superscript"/>
              </w:rPr>
              <w:t>2</w:t>
            </w:r>
          </w:p>
          <w:p w14:paraId="355EDDA7">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其中，供暖面积</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m</w:t>
            </w:r>
            <w:r>
              <w:rPr>
                <w:rFonts w:ascii="Times New Roman" w:hAnsi="Times New Roman" w:eastAsia="宋体" w:cs="Times New Roman"/>
                <w:color w:val="auto"/>
                <w:sz w:val="18"/>
                <w:szCs w:val="18"/>
                <w:vertAlign w:val="superscript"/>
              </w:rPr>
              <w:t>2</w:t>
            </w:r>
          </w:p>
          <w:p w14:paraId="3E5853D4">
            <w:pPr>
              <w:pStyle w:val="47"/>
              <w:spacing w:line="360" w:lineRule="auto"/>
              <w:ind w:firstLine="540" w:firstLineChars="300"/>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空调面积</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m</w:t>
            </w:r>
            <w:r>
              <w:rPr>
                <w:rFonts w:ascii="Times New Roman" w:hAnsi="Times New Roman" w:eastAsia="宋体" w:cs="Times New Roman"/>
                <w:color w:val="auto"/>
                <w:sz w:val="18"/>
                <w:szCs w:val="18"/>
                <w:vertAlign w:val="superscript"/>
              </w:rPr>
              <w:t>2</w:t>
            </w:r>
          </w:p>
        </w:tc>
      </w:tr>
      <w:tr w14:paraId="6ADDF1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tcBorders>
              <w:tl2br w:val="nil"/>
              <w:tr2bl w:val="nil"/>
            </w:tcBorders>
            <w:shd w:val="clear" w:color="000000" w:fill="FFFFFF"/>
            <w:vAlign w:val="center"/>
          </w:tcPr>
          <w:p w14:paraId="1052A76F">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建筑</w:t>
            </w:r>
            <w:r>
              <w:rPr>
                <w:rFonts w:ascii="Times New Roman" w:hAnsi="Times New Roman" w:eastAsia="宋体" w:cs="Times New Roman"/>
                <w:color w:val="auto"/>
                <w:sz w:val="18"/>
                <w:szCs w:val="18"/>
              </w:rPr>
              <w:t>功能区域面积</w:t>
            </w:r>
          </w:p>
          <w:p w14:paraId="7BF6B997">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c>
          <w:tcPr>
            <w:tcW w:w="6814" w:type="dxa"/>
            <w:gridSpan w:val="10"/>
            <w:tcBorders>
              <w:tl2br w:val="nil"/>
              <w:tr2bl w:val="nil"/>
            </w:tcBorders>
            <w:shd w:val="clear" w:color="000000" w:fill="FFFFFF"/>
            <w:vAlign w:val="center"/>
          </w:tcPr>
          <w:p w14:paraId="18A7F8C9">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办公</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宾馆</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商业</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餐饮</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p>
          <w:p w14:paraId="7B6FAD4D">
            <w:pPr>
              <w:pStyle w:val="47"/>
              <w:spacing w:line="360" w:lineRule="auto"/>
              <w:jc w:val="left"/>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医疗</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教育</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科研</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设备层</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p>
          <w:p w14:paraId="463D7C0B">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体育</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仓库</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地下</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r>
              <w:rPr>
                <w:rFonts w:hint="eastAsia" w:ascii="Times New Roman" w:hAnsi="Times New Roman" w:eastAsia="宋体" w:cs="Times New Roman"/>
                <w:color w:val="auto"/>
                <w:sz w:val="18"/>
                <w:szCs w:val="18"/>
              </w:rPr>
              <w:t>车库</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w:t>
            </w:r>
          </w:p>
          <w:p w14:paraId="65284749">
            <w:pPr>
              <w:pStyle w:val="47"/>
              <w:spacing w:line="360" w:lineRule="auto"/>
              <w:jc w:val="lef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特殊</w:t>
            </w:r>
            <w:r>
              <w:rPr>
                <w:rFonts w:ascii="Times New Roman" w:hAnsi="Times New Roman" w:eastAsia="宋体" w:cs="Times New Roman"/>
                <w:color w:val="auto"/>
                <w:sz w:val="18"/>
                <w:szCs w:val="18"/>
                <w:u w:val="single"/>
              </w:rPr>
              <w:t xml:space="preserve">       </w:t>
            </w:r>
            <w:r>
              <w:rPr>
                <w:rFonts w:ascii="Times New Roman" w:hAnsi="Times New Roman" w:eastAsia="宋体" w:cs="Times New Roman"/>
                <w:color w:val="auto"/>
                <w:sz w:val="18"/>
                <w:szCs w:val="18"/>
              </w:rPr>
              <w:t xml:space="preserve">  其他</w:t>
            </w:r>
            <w:r>
              <w:rPr>
                <w:rFonts w:ascii="Times New Roman" w:hAnsi="Times New Roman" w:eastAsia="宋体" w:cs="Times New Roman"/>
                <w:color w:val="auto"/>
                <w:sz w:val="18"/>
                <w:szCs w:val="18"/>
                <w:u w:val="single"/>
              </w:rPr>
              <w:t xml:space="preserve">       </w:t>
            </w:r>
            <w:r>
              <w:rPr>
                <w:rFonts w:hint="eastAsia" w:ascii="Times New Roman" w:hAnsi="Times New Roman" w:eastAsia="宋体" w:cs="Times New Roman"/>
                <w:color w:val="auto"/>
                <w:sz w:val="18"/>
                <w:szCs w:val="18"/>
              </w:rPr>
              <w:t>（请注明功能，可另加行）</w:t>
            </w:r>
            <w:r>
              <w:rPr>
                <w:rFonts w:ascii="Times New Roman" w:hAnsi="Times New Roman" w:eastAsia="宋体" w:cs="Times New Roman"/>
                <w:color w:val="auto"/>
                <w:sz w:val="18"/>
                <w:szCs w:val="18"/>
              </w:rPr>
              <w:t xml:space="preserve">  </w:t>
            </w:r>
          </w:p>
        </w:tc>
      </w:tr>
      <w:tr w14:paraId="67E07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35A6A118">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建筑朝向</w:t>
            </w:r>
          </w:p>
        </w:tc>
        <w:tc>
          <w:tcPr>
            <w:tcW w:w="3310" w:type="dxa"/>
            <w:gridSpan w:val="4"/>
            <w:tcBorders>
              <w:tl2br w:val="nil"/>
              <w:tr2bl w:val="nil"/>
            </w:tcBorders>
            <w:shd w:val="clear" w:color="000000" w:fill="FFFFFF"/>
            <w:vAlign w:val="center"/>
          </w:tcPr>
          <w:p w14:paraId="36A3D8EE">
            <w:pPr>
              <w:pStyle w:val="47"/>
              <w:spacing w:line="360" w:lineRule="auto"/>
              <w:jc w:val="left"/>
              <w:rPr>
                <w:rFonts w:ascii="Times New Roman" w:hAnsi="Times New Roman" w:eastAsia="宋体" w:cs="Times New Roman"/>
                <w:color w:val="auto"/>
                <w:sz w:val="18"/>
                <w:szCs w:val="18"/>
              </w:rPr>
            </w:pPr>
          </w:p>
        </w:tc>
        <w:tc>
          <w:tcPr>
            <w:tcW w:w="1967" w:type="dxa"/>
            <w:gridSpan w:val="5"/>
            <w:tcBorders>
              <w:tl2br w:val="nil"/>
              <w:tr2bl w:val="nil"/>
            </w:tcBorders>
            <w:shd w:val="clear" w:color="000000" w:fill="FFFFFF"/>
            <w:vAlign w:val="center"/>
          </w:tcPr>
          <w:p w14:paraId="2923F689">
            <w:pPr>
              <w:pStyle w:val="47"/>
              <w:spacing w:line="360" w:lineRule="auto"/>
              <w:jc w:val="left"/>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常驻（设计）人员数量</w:t>
            </w:r>
          </w:p>
        </w:tc>
        <w:tc>
          <w:tcPr>
            <w:tcW w:w="1537" w:type="dxa"/>
            <w:tcBorders>
              <w:tl2br w:val="nil"/>
              <w:tr2bl w:val="nil"/>
            </w:tcBorders>
          </w:tcPr>
          <w:p w14:paraId="7B08048B">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790D1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3C86B854">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典型房间供暖温度</w:t>
            </w:r>
          </w:p>
        </w:tc>
        <w:tc>
          <w:tcPr>
            <w:tcW w:w="3310" w:type="dxa"/>
            <w:gridSpan w:val="4"/>
            <w:tcBorders>
              <w:tl2br w:val="nil"/>
              <w:tr2bl w:val="nil"/>
            </w:tcBorders>
            <w:shd w:val="clear" w:color="000000" w:fill="FFFFFF"/>
            <w:vAlign w:val="center"/>
          </w:tcPr>
          <w:p w14:paraId="5C0C3049">
            <w:pPr>
              <w:pStyle w:val="47"/>
              <w:spacing w:line="360" w:lineRule="auto"/>
              <w:jc w:val="both"/>
              <w:rPr>
                <w:rFonts w:ascii="Times New Roman" w:hAnsi="Times New Roman" w:eastAsia="宋体" w:cs="Times New Roman"/>
                <w:color w:val="auto"/>
                <w:sz w:val="18"/>
                <w:szCs w:val="18"/>
              </w:rPr>
            </w:pPr>
          </w:p>
        </w:tc>
        <w:tc>
          <w:tcPr>
            <w:tcW w:w="1967" w:type="dxa"/>
            <w:gridSpan w:val="5"/>
            <w:tcBorders>
              <w:tl2br w:val="nil"/>
              <w:tr2bl w:val="nil"/>
            </w:tcBorders>
            <w:shd w:val="clear" w:color="000000" w:fill="FFFFFF"/>
            <w:vAlign w:val="center"/>
          </w:tcPr>
          <w:p w14:paraId="68C0A6DD">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典型空调供冷温度</w:t>
            </w:r>
          </w:p>
        </w:tc>
        <w:tc>
          <w:tcPr>
            <w:tcW w:w="1537" w:type="dxa"/>
            <w:tcBorders>
              <w:tl2br w:val="nil"/>
              <w:tr2bl w:val="nil"/>
            </w:tcBorders>
          </w:tcPr>
          <w:p w14:paraId="57AE7B44">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4594D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6C8B3C6E">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过渡空间供暖温度</w:t>
            </w:r>
          </w:p>
        </w:tc>
        <w:tc>
          <w:tcPr>
            <w:tcW w:w="3310" w:type="dxa"/>
            <w:gridSpan w:val="4"/>
            <w:tcBorders>
              <w:tl2br w:val="nil"/>
              <w:tr2bl w:val="nil"/>
            </w:tcBorders>
            <w:shd w:val="clear" w:color="000000" w:fill="FFFFFF"/>
            <w:vAlign w:val="center"/>
          </w:tcPr>
          <w:p w14:paraId="43726EE0">
            <w:pPr>
              <w:pStyle w:val="47"/>
              <w:spacing w:line="360" w:lineRule="auto"/>
              <w:jc w:val="both"/>
              <w:rPr>
                <w:rFonts w:ascii="Times New Roman" w:hAnsi="Times New Roman" w:eastAsia="宋体" w:cs="Times New Roman"/>
                <w:color w:val="auto"/>
                <w:sz w:val="18"/>
                <w:szCs w:val="18"/>
              </w:rPr>
            </w:pPr>
          </w:p>
        </w:tc>
        <w:tc>
          <w:tcPr>
            <w:tcW w:w="1967" w:type="dxa"/>
            <w:gridSpan w:val="5"/>
            <w:tcBorders>
              <w:tl2br w:val="nil"/>
              <w:tr2bl w:val="nil"/>
            </w:tcBorders>
            <w:shd w:val="clear" w:color="000000" w:fill="FFFFFF"/>
            <w:vAlign w:val="center"/>
          </w:tcPr>
          <w:p w14:paraId="14174097">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过渡空间供冷温度</w:t>
            </w:r>
          </w:p>
        </w:tc>
        <w:tc>
          <w:tcPr>
            <w:tcW w:w="1537" w:type="dxa"/>
            <w:tcBorders>
              <w:tl2br w:val="nil"/>
              <w:tr2bl w:val="nil"/>
            </w:tcBorders>
          </w:tcPr>
          <w:p w14:paraId="5CCA5399">
            <w:pPr>
              <w:spacing w:line="360" w:lineRule="auto"/>
              <w:rPr>
                <w:rFonts w:ascii="Times New Roman" w:hAnsi="Times New Roman" w:cs="Times New Roman"/>
                <w:color w:val="000000" w:themeColor="text1"/>
                <w:kern w:val="44"/>
                <w:sz w:val="30"/>
                <w:szCs w:val="30"/>
                <w14:textFill>
                  <w14:solidFill>
                    <w14:schemeClr w14:val="tx1"/>
                  </w14:solidFill>
                </w14:textFill>
              </w:rPr>
            </w:pPr>
          </w:p>
        </w:tc>
      </w:tr>
      <w:tr w14:paraId="4EF935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6" w:type="dxa"/>
            <w:gridSpan w:val="11"/>
            <w:tcBorders>
              <w:tl2br w:val="nil"/>
              <w:tr2bl w:val="nil"/>
            </w:tcBorders>
            <w:vAlign w:val="center"/>
          </w:tcPr>
          <w:p w14:paraId="0ABC4983">
            <w:pPr>
              <w:spacing w:line="360" w:lineRule="auto"/>
              <w:jc w:val="center"/>
              <w:rPr>
                <w:rFonts w:ascii="Times New Roman" w:hAnsi="Times New Roman" w:cs="Times New Roman"/>
                <w:color w:val="000000" w:themeColor="text1"/>
                <w:kern w:val="44"/>
                <w:sz w:val="30"/>
                <w:szCs w:val="30"/>
                <w14:textFill>
                  <w14:solidFill>
                    <w14:schemeClr w14:val="tx1"/>
                  </w14:solidFill>
                </w14:textFill>
              </w:rPr>
            </w:pPr>
            <w:r>
              <w:rPr>
                <w:rFonts w:hint="eastAsia" w:ascii="Times New Roman" w:hAnsi="Times New Roman" w:eastAsia="宋体" w:cs="Times New Roman"/>
                <w:b/>
                <w:bCs/>
                <w:sz w:val="18"/>
                <w:szCs w:val="18"/>
              </w:rPr>
              <w:t>能效分级</w:t>
            </w:r>
          </w:p>
        </w:tc>
      </w:tr>
      <w:tr w14:paraId="386BA9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2AE6ECC7">
            <w:pPr>
              <w:pStyle w:val="47"/>
              <w:spacing w:line="360" w:lineRule="auto"/>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诊断内容</w:t>
            </w:r>
          </w:p>
        </w:tc>
        <w:tc>
          <w:tcPr>
            <w:tcW w:w="1703" w:type="dxa"/>
            <w:gridSpan w:val="2"/>
            <w:tcBorders>
              <w:tl2br w:val="nil"/>
              <w:tr2bl w:val="nil"/>
            </w:tcBorders>
            <w:shd w:val="clear" w:color="000000" w:fill="FFFFFF"/>
            <w:vAlign w:val="center"/>
          </w:tcPr>
          <w:p w14:paraId="7920FE4B">
            <w:pPr>
              <w:pStyle w:val="47"/>
              <w:spacing w:line="360" w:lineRule="auto"/>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诊断</w:t>
            </w:r>
            <w:r>
              <w:rPr>
                <w:rFonts w:hint="eastAsia" w:ascii="Times New Roman" w:hAnsi="Times New Roman" w:eastAsia="宋体" w:cs="Times New Roman"/>
                <w:b/>
                <w:bCs/>
                <w:color w:val="auto"/>
                <w:sz w:val="18"/>
                <w:szCs w:val="18"/>
              </w:rPr>
              <w:t>方法</w:t>
            </w:r>
          </w:p>
        </w:tc>
        <w:tc>
          <w:tcPr>
            <w:tcW w:w="1702" w:type="dxa"/>
            <w:gridSpan w:val="3"/>
            <w:tcBorders>
              <w:tl2br w:val="nil"/>
              <w:tr2bl w:val="nil"/>
            </w:tcBorders>
            <w:shd w:val="clear" w:color="000000" w:fill="FFFFFF"/>
            <w:vAlign w:val="center"/>
          </w:tcPr>
          <w:p w14:paraId="7094C44D">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诊断结果</w:t>
            </w:r>
          </w:p>
        </w:tc>
        <w:tc>
          <w:tcPr>
            <w:tcW w:w="1704" w:type="dxa"/>
            <w:gridSpan w:val="3"/>
            <w:tcBorders>
              <w:tl2br w:val="nil"/>
              <w:tr2bl w:val="nil"/>
            </w:tcBorders>
            <w:shd w:val="clear" w:color="000000" w:fill="FFFFFF"/>
            <w:vAlign w:val="center"/>
          </w:tcPr>
          <w:p w14:paraId="43F7BDCB">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能效得分</w:t>
            </w:r>
          </w:p>
        </w:tc>
        <w:tc>
          <w:tcPr>
            <w:tcW w:w="1705" w:type="dxa"/>
            <w:gridSpan w:val="2"/>
            <w:tcBorders>
              <w:tl2br w:val="nil"/>
              <w:tr2bl w:val="nil"/>
            </w:tcBorders>
            <w:shd w:val="clear" w:color="000000" w:fill="FFFFFF"/>
            <w:vAlign w:val="center"/>
          </w:tcPr>
          <w:p w14:paraId="03CE3B21">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能效分级</w:t>
            </w:r>
          </w:p>
        </w:tc>
      </w:tr>
      <w:tr w14:paraId="47ADC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42F39D14">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综合能耗</w:t>
            </w:r>
            <w:r>
              <w:rPr>
                <w:rFonts w:ascii="Times New Roman" w:hAnsi="Times New Roman" w:eastAsia="宋体" w:cs="Times New Roman"/>
                <w:color w:val="auto"/>
                <w:sz w:val="18"/>
                <w:szCs w:val="18"/>
              </w:rPr>
              <w:t>（kWh/a）</w:t>
            </w:r>
          </w:p>
        </w:tc>
        <w:tc>
          <w:tcPr>
            <w:tcW w:w="1703" w:type="dxa"/>
            <w:gridSpan w:val="2"/>
            <w:tcBorders>
              <w:tl2br w:val="nil"/>
              <w:tr2bl w:val="nil"/>
            </w:tcBorders>
            <w:shd w:val="clear" w:color="000000" w:fill="FFFFFF"/>
            <w:vAlign w:val="center"/>
          </w:tcPr>
          <w:p w14:paraId="41D5E2C5">
            <w:pPr>
              <w:pStyle w:val="47"/>
              <w:spacing w:line="360" w:lineRule="auto"/>
              <w:rPr>
                <w:rFonts w:ascii="Times New Roman" w:hAnsi="Times New Roman" w:eastAsia="宋体" w:cs="Times New Roman"/>
                <w:color w:val="auto"/>
                <w:sz w:val="18"/>
                <w:szCs w:val="18"/>
              </w:rPr>
            </w:pPr>
          </w:p>
        </w:tc>
        <w:tc>
          <w:tcPr>
            <w:tcW w:w="1702" w:type="dxa"/>
            <w:gridSpan w:val="3"/>
            <w:tcBorders>
              <w:tl2br w:val="nil"/>
              <w:tr2bl w:val="nil"/>
            </w:tcBorders>
            <w:shd w:val="clear" w:color="000000" w:fill="FFFFFF"/>
            <w:vAlign w:val="center"/>
          </w:tcPr>
          <w:p w14:paraId="5E248B3A">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6BE52C28">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7ED82D9C">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0DC57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tcBorders>
              <w:tl2br w:val="nil"/>
              <w:tr2bl w:val="nil"/>
            </w:tcBorders>
            <w:shd w:val="clear" w:color="000000" w:fill="FFFFFF"/>
            <w:vAlign w:val="center"/>
          </w:tcPr>
          <w:p w14:paraId="50FDC913">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综合</w:t>
            </w:r>
            <w:r>
              <w:rPr>
                <w:rFonts w:ascii="Times New Roman" w:hAnsi="Times New Roman" w:eastAsia="宋体" w:cs="Times New Roman"/>
                <w:color w:val="auto"/>
                <w:sz w:val="18"/>
                <w:szCs w:val="18"/>
              </w:rPr>
              <w:t>能耗指标（kWh/</w:t>
            </w:r>
            <w:r>
              <w:rPr>
                <w:rFonts w:hint="eastAsia" w:ascii="Times New Roman" w:hAnsi="Times New Roman" w:eastAsia="宋体" w:cs="Times New Roman"/>
                <w:color w:val="auto"/>
                <w:sz w:val="18"/>
                <w:szCs w:val="18"/>
              </w:rPr>
              <w:t>（</w:t>
            </w:r>
            <w:r>
              <w:rPr>
                <w:rFonts w:ascii="Times New Roman" w:hAnsi="Times New Roman" w:eastAsia="宋体" w:cs="Times New Roman"/>
                <w:color w:val="auto"/>
                <w:sz w:val="18"/>
                <w:szCs w:val="18"/>
              </w:rPr>
              <w:t>m</w:t>
            </w:r>
            <w:r>
              <w:rPr>
                <w:rFonts w:ascii="Times New Roman" w:hAnsi="Times New Roman" w:eastAsia="宋体" w:cs="Times New Roman"/>
                <w:color w:val="auto"/>
                <w:sz w:val="18"/>
                <w:szCs w:val="18"/>
                <w:vertAlign w:val="superscript"/>
              </w:rPr>
              <w:t>2</w:t>
            </w:r>
            <w:r>
              <w:rPr>
                <w:rFonts w:ascii="Times New Roman" w:hAnsi="Times New Roman" w:eastAsia="宋体" w:cs="Times New Roman"/>
                <w:color w:val="auto"/>
                <w:sz w:val="18"/>
                <w:szCs w:val="18"/>
              </w:rPr>
              <w:t>·a</w:t>
            </w:r>
            <w:r>
              <w:rPr>
                <w:rFonts w:hint="eastAsia" w:ascii="Times New Roman" w:hAnsi="Times New Roman" w:eastAsia="宋体" w:cs="Times New Roman"/>
                <w:color w:val="auto"/>
                <w:sz w:val="18"/>
                <w:szCs w:val="18"/>
              </w:rPr>
              <w:t>）</w:t>
            </w:r>
            <w:r>
              <w:rPr>
                <w:rFonts w:ascii="Times New Roman" w:hAnsi="Times New Roman" w:eastAsia="宋体" w:cs="Times New Roman"/>
                <w:color w:val="auto"/>
                <w:sz w:val="18"/>
                <w:szCs w:val="18"/>
              </w:rPr>
              <w:t>）</w:t>
            </w:r>
          </w:p>
        </w:tc>
        <w:tc>
          <w:tcPr>
            <w:tcW w:w="1703" w:type="dxa"/>
            <w:gridSpan w:val="2"/>
            <w:tcBorders>
              <w:tl2br w:val="nil"/>
              <w:tr2bl w:val="nil"/>
            </w:tcBorders>
            <w:shd w:val="clear" w:color="000000" w:fill="FFFFFF"/>
            <w:vAlign w:val="center"/>
          </w:tcPr>
          <w:p w14:paraId="2974B813">
            <w:pPr>
              <w:pStyle w:val="47"/>
              <w:spacing w:line="360" w:lineRule="auto"/>
              <w:rPr>
                <w:rFonts w:ascii="Times New Roman" w:hAnsi="Times New Roman" w:eastAsia="宋体" w:cs="Times New Roman"/>
                <w:color w:val="auto"/>
                <w:sz w:val="18"/>
                <w:szCs w:val="18"/>
              </w:rPr>
            </w:pPr>
          </w:p>
        </w:tc>
        <w:tc>
          <w:tcPr>
            <w:tcW w:w="1702" w:type="dxa"/>
            <w:gridSpan w:val="3"/>
            <w:tcBorders>
              <w:tl2br w:val="nil"/>
              <w:tr2bl w:val="nil"/>
            </w:tcBorders>
            <w:shd w:val="clear" w:color="000000" w:fill="FFFFFF"/>
            <w:vAlign w:val="center"/>
          </w:tcPr>
          <w:p w14:paraId="06DD9D69">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0CB33CB2">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6CE50E8F">
            <w:pPr>
              <w:pStyle w:val="47"/>
              <w:spacing w:line="360" w:lineRule="auto"/>
              <w:rPr>
                <w:rFonts w:ascii="Times New Roman" w:hAnsi="Times New Roman" w:eastAsia="宋体" w:cs="Times New Roman"/>
                <w:color w:val="auto"/>
                <w:sz w:val="18"/>
                <w:szCs w:val="18"/>
              </w:rPr>
            </w:pPr>
          </w:p>
        </w:tc>
      </w:tr>
      <w:tr w14:paraId="563B0F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6" w:type="dxa"/>
            <w:gridSpan w:val="11"/>
            <w:tcBorders>
              <w:tl2br w:val="nil"/>
              <w:tr2bl w:val="nil"/>
            </w:tcBorders>
            <w:vAlign w:val="center"/>
          </w:tcPr>
          <w:p w14:paraId="6D3343E5">
            <w:pPr>
              <w:spacing w:line="360" w:lineRule="auto"/>
              <w:jc w:val="center"/>
              <w:rPr>
                <w:rFonts w:ascii="Times New Roman" w:hAnsi="Times New Roman" w:cs="Times New Roman"/>
                <w:color w:val="000000" w:themeColor="text1"/>
                <w:kern w:val="44"/>
                <w:sz w:val="30"/>
                <w:szCs w:val="30"/>
                <w14:textFill>
                  <w14:solidFill>
                    <w14:schemeClr w14:val="tx1"/>
                  </w14:solidFill>
                </w14:textFill>
              </w:rPr>
            </w:pPr>
            <w:r>
              <w:rPr>
                <w:rFonts w:hint="eastAsia" w:ascii="Times New Roman" w:hAnsi="Times New Roman" w:eastAsia="宋体" w:cs="Times New Roman"/>
                <w:b/>
                <w:bCs/>
                <w:sz w:val="18"/>
                <w:szCs w:val="18"/>
              </w:rPr>
              <w:t>分项能效诊断</w:t>
            </w:r>
          </w:p>
        </w:tc>
      </w:tr>
      <w:tr w14:paraId="5768B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0AF0A50F">
            <w:pPr>
              <w:spacing w:line="360" w:lineRule="auto"/>
              <w:jc w:val="center"/>
              <w:rPr>
                <w:rFonts w:ascii="Times New Roman" w:hAnsi="Times New Roman" w:cs="Times New Roman"/>
                <w:color w:val="000000" w:themeColor="text1"/>
                <w:kern w:val="44"/>
                <w:sz w:val="30"/>
                <w:szCs w:val="30"/>
                <w14:textFill>
                  <w14:solidFill>
                    <w14:schemeClr w14:val="tx1"/>
                  </w14:solidFill>
                </w14:textFill>
              </w:rPr>
            </w:pPr>
            <w:r>
              <w:rPr>
                <w:rFonts w:hint="eastAsia" w:ascii="Times New Roman" w:hAnsi="Times New Roman" w:eastAsia="宋体" w:cs="Times New Roman"/>
                <w:b/>
                <w:bCs/>
                <w:sz w:val="18"/>
                <w:szCs w:val="18"/>
              </w:rPr>
              <w:t>分项能效性能评估</w:t>
            </w:r>
          </w:p>
        </w:tc>
        <w:tc>
          <w:tcPr>
            <w:tcW w:w="1527" w:type="dxa"/>
            <w:gridSpan w:val="2"/>
            <w:tcBorders>
              <w:tl2br w:val="nil"/>
              <w:tr2bl w:val="nil"/>
            </w:tcBorders>
          </w:tcPr>
          <w:p w14:paraId="0535FE64">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诊断方法</w:t>
            </w:r>
          </w:p>
        </w:tc>
        <w:tc>
          <w:tcPr>
            <w:tcW w:w="1704" w:type="dxa"/>
            <w:gridSpan w:val="3"/>
            <w:tcBorders>
              <w:tl2br w:val="nil"/>
              <w:tr2bl w:val="nil"/>
            </w:tcBorders>
          </w:tcPr>
          <w:p w14:paraId="069C67DD">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诊断结果</w:t>
            </w:r>
          </w:p>
        </w:tc>
        <w:tc>
          <w:tcPr>
            <w:tcW w:w="1705" w:type="dxa"/>
            <w:gridSpan w:val="2"/>
            <w:tcBorders>
              <w:tl2br w:val="nil"/>
              <w:tr2bl w:val="nil"/>
            </w:tcBorders>
          </w:tcPr>
          <w:p w14:paraId="097240E8">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诊断等级</w:t>
            </w:r>
          </w:p>
        </w:tc>
      </w:tr>
      <w:tr w14:paraId="57B12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vAlign w:val="center"/>
          </w:tcPr>
          <w:p w14:paraId="4076E72E">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围护结构</w:t>
            </w:r>
          </w:p>
        </w:tc>
        <w:tc>
          <w:tcPr>
            <w:tcW w:w="1878" w:type="dxa"/>
            <w:gridSpan w:val="3"/>
            <w:tcBorders>
              <w:tl2br w:val="nil"/>
              <w:tr2bl w:val="nil"/>
            </w:tcBorders>
            <w:vAlign w:val="center"/>
          </w:tcPr>
          <w:p w14:paraId="7B5E736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外墙构造形式</w:t>
            </w:r>
          </w:p>
        </w:tc>
        <w:tc>
          <w:tcPr>
            <w:tcW w:w="1527" w:type="dxa"/>
            <w:gridSpan w:val="2"/>
            <w:tcBorders>
              <w:tl2br w:val="nil"/>
              <w:tr2bl w:val="nil"/>
            </w:tcBorders>
            <w:vAlign w:val="center"/>
          </w:tcPr>
          <w:p w14:paraId="250138C2">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68980E62">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0098711">
            <w:pPr>
              <w:spacing w:line="360" w:lineRule="auto"/>
              <w:jc w:val="center"/>
              <w:rPr>
                <w:rFonts w:ascii="Times New Roman" w:hAnsi="Times New Roman" w:eastAsia="宋体" w:cs="Times New Roman"/>
                <w:kern w:val="0"/>
                <w:sz w:val="18"/>
                <w:szCs w:val="18"/>
              </w:rPr>
            </w:pPr>
          </w:p>
        </w:tc>
      </w:tr>
      <w:tr w14:paraId="02D67D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vMerge w:val="continue"/>
            <w:tcBorders>
              <w:tl2br w:val="nil"/>
              <w:tr2bl w:val="nil"/>
            </w:tcBorders>
            <w:vAlign w:val="center"/>
          </w:tcPr>
          <w:p w14:paraId="4BF18254">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7CD61FE7">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外表面、表面、热工缺陷</w:t>
            </w:r>
          </w:p>
        </w:tc>
        <w:tc>
          <w:tcPr>
            <w:tcW w:w="1527" w:type="dxa"/>
            <w:gridSpan w:val="2"/>
            <w:tcBorders>
              <w:tl2br w:val="nil"/>
              <w:tr2bl w:val="nil"/>
            </w:tcBorders>
            <w:vAlign w:val="center"/>
          </w:tcPr>
          <w:p w14:paraId="6307492A">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0629F8FF">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1989E14">
            <w:pPr>
              <w:spacing w:line="360" w:lineRule="auto"/>
              <w:jc w:val="center"/>
              <w:rPr>
                <w:rFonts w:ascii="Times New Roman" w:hAnsi="Times New Roman" w:eastAsia="宋体" w:cs="Times New Roman"/>
                <w:kern w:val="0"/>
                <w:sz w:val="18"/>
                <w:szCs w:val="18"/>
              </w:rPr>
            </w:pPr>
          </w:p>
        </w:tc>
      </w:tr>
      <w:tr w14:paraId="24738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537086A8">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29F0E661">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热桥部位内表面温度</w:t>
            </w:r>
          </w:p>
        </w:tc>
        <w:tc>
          <w:tcPr>
            <w:tcW w:w="1527" w:type="dxa"/>
            <w:gridSpan w:val="2"/>
            <w:tcBorders>
              <w:tl2br w:val="nil"/>
              <w:tr2bl w:val="nil"/>
            </w:tcBorders>
            <w:vAlign w:val="center"/>
          </w:tcPr>
          <w:p w14:paraId="508D473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48365E49">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C51B936">
            <w:pPr>
              <w:spacing w:line="360" w:lineRule="auto"/>
              <w:jc w:val="center"/>
              <w:rPr>
                <w:rFonts w:ascii="Times New Roman" w:hAnsi="Times New Roman" w:eastAsia="宋体" w:cs="Times New Roman"/>
                <w:kern w:val="0"/>
                <w:sz w:val="18"/>
                <w:szCs w:val="18"/>
              </w:rPr>
            </w:pPr>
          </w:p>
        </w:tc>
      </w:tr>
      <w:tr w14:paraId="51D454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5BD87592">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270EFF2D">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外窗气密性</w:t>
            </w:r>
          </w:p>
        </w:tc>
        <w:tc>
          <w:tcPr>
            <w:tcW w:w="1527" w:type="dxa"/>
            <w:gridSpan w:val="2"/>
            <w:tcBorders>
              <w:tl2br w:val="nil"/>
              <w:tr2bl w:val="nil"/>
            </w:tcBorders>
            <w:vAlign w:val="center"/>
          </w:tcPr>
          <w:p w14:paraId="0367A58D">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7F54AA3A">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09EADD6B">
            <w:pPr>
              <w:spacing w:line="360" w:lineRule="auto"/>
              <w:jc w:val="center"/>
              <w:rPr>
                <w:rFonts w:ascii="Times New Roman" w:hAnsi="Times New Roman" w:eastAsia="宋体" w:cs="Times New Roman"/>
                <w:kern w:val="0"/>
                <w:sz w:val="18"/>
                <w:szCs w:val="18"/>
              </w:rPr>
            </w:pPr>
          </w:p>
        </w:tc>
      </w:tr>
      <w:tr w14:paraId="1EEB49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1D748103">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CDA3B8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透光幕墙气密性</w:t>
            </w:r>
          </w:p>
        </w:tc>
        <w:tc>
          <w:tcPr>
            <w:tcW w:w="1527" w:type="dxa"/>
            <w:gridSpan w:val="2"/>
            <w:tcBorders>
              <w:tl2br w:val="nil"/>
              <w:tr2bl w:val="nil"/>
            </w:tcBorders>
            <w:vAlign w:val="center"/>
          </w:tcPr>
          <w:p w14:paraId="389EB3E3">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41BB7918">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F0B89C9">
            <w:pPr>
              <w:spacing w:line="360" w:lineRule="auto"/>
              <w:jc w:val="center"/>
              <w:rPr>
                <w:rFonts w:ascii="Times New Roman" w:hAnsi="Times New Roman" w:eastAsia="宋体" w:cs="Times New Roman"/>
                <w:kern w:val="0"/>
                <w:sz w:val="18"/>
                <w:szCs w:val="18"/>
              </w:rPr>
            </w:pPr>
          </w:p>
        </w:tc>
      </w:tr>
      <w:tr w14:paraId="778CD6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528627D5">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075D25C">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遮阳设施</w:t>
            </w:r>
          </w:p>
        </w:tc>
        <w:tc>
          <w:tcPr>
            <w:tcW w:w="1527" w:type="dxa"/>
            <w:gridSpan w:val="2"/>
            <w:tcBorders>
              <w:tl2br w:val="nil"/>
              <w:tr2bl w:val="nil"/>
            </w:tcBorders>
            <w:vAlign w:val="center"/>
          </w:tcPr>
          <w:p w14:paraId="1E2DA33B">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0372EDDE">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7D523BF7">
            <w:pPr>
              <w:spacing w:line="360" w:lineRule="auto"/>
              <w:jc w:val="center"/>
              <w:rPr>
                <w:rFonts w:ascii="Times New Roman" w:hAnsi="Times New Roman" w:eastAsia="宋体" w:cs="Times New Roman"/>
                <w:kern w:val="0"/>
                <w:sz w:val="18"/>
                <w:szCs w:val="18"/>
              </w:rPr>
            </w:pPr>
          </w:p>
        </w:tc>
      </w:tr>
      <w:tr w14:paraId="485190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vAlign w:val="center"/>
          </w:tcPr>
          <w:p w14:paraId="42897031">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冷热源及空调设备</w:t>
            </w:r>
          </w:p>
        </w:tc>
        <w:tc>
          <w:tcPr>
            <w:tcW w:w="1878" w:type="dxa"/>
            <w:gridSpan w:val="3"/>
            <w:tcBorders>
              <w:tl2br w:val="nil"/>
              <w:tr2bl w:val="nil"/>
            </w:tcBorders>
            <w:vAlign w:val="center"/>
          </w:tcPr>
          <w:p w14:paraId="39277C0B">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冷水（热泵）机组</w:t>
            </w:r>
          </w:p>
        </w:tc>
        <w:tc>
          <w:tcPr>
            <w:tcW w:w="1527" w:type="dxa"/>
            <w:gridSpan w:val="2"/>
            <w:tcBorders>
              <w:tl2br w:val="nil"/>
              <w:tr2bl w:val="nil"/>
            </w:tcBorders>
            <w:vAlign w:val="center"/>
          </w:tcPr>
          <w:p w14:paraId="101B19DA">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7F5973CE">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6A8D636C">
            <w:pPr>
              <w:spacing w:line="360" w:lineRule="auto"/>
              <w:jc w:val="center"/>
              <w:rPr>
                <w:rFonts w:ascii="Times New Roman" w:hAnsi="Times New Roman" w:eastAsia="宋体" w:cs="Times New Roman"/>
                <w:kern w:val="0"/>
                <w:sz w:val="18"/>
                <w:szCs w:val="18"/>
              </w:rPr>
            </w:pPr>
          </w:p>
        </w:tc>
      </w:tr>
      <w:tr w14:paraId="659820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0CABCBF2">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D0B48CD">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锅炉</w:t>
            </w:r>
          </w:p>
        </w:tc>
        <w:tc>
          <w:tcPr>
            <w:tcW w:w="1527" w:type="dxa"/>
            <w:gridSpan w:val="2"/>
            <w:tcBorders>
              <w:tl2br w:val="nil"/>
              <w:tr2bl w:val="nil"/>
            </w:tcBorders>
            <w:vAlign w:val="center"/>
          </w:tcPr>
          <w:p w14:paraId="04BE2EAD">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2EA0AB5C">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75B09C69">
            <w:pPr>
              <w:spacing w:line="360" w:lineRule="auto"/>
              <w:jc w:val="center"/>
              <w:rPr>
                <w:rFonts w:ascii="Times New Roman" w:hAnsi="Times New Roman" w:eastAsia="宋体" w:cs="Times New Roman"/>
                <w:kern w:val="0"/>
                <w:sz w:val="18"/>
                <w:szCs w:val="18"/>
              </w:rPr>
            </w:pPr>
          </w:p>
        </w:tc>
      </w:tr>
      <w:tr w14:paraId="36C5A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vMerge w:val="continue"/>
            <w:tcBorders>
              <w:tl2br w:val="nil"/>
              <w:tr2bl w:val="nil"/>
            </w:tcBorders>
            <w:vAlign w:val="center"/>
          </w:tcPr>
          <w:p w14:paraId="78DEFEC1">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3DBD2AE9">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多联式空调（热泵）机组</w:t>
            </w:r>
          </w:p>
        </w:tc>
        <w:tc>
          <w:tcPr>
            <w:tcW w:w="1527" w:type="dxa"/>
            <w:gridSpan w:val="2"/>
            <w:tcBorders>
              <w:tl2br w:val="nil"/>
              <w:tr2bl w:val="nil"/>
            </w:tcBorders>
            <w:vAlign w:val="center"/>
          </w:tcPr>
          <w:p w14:paraId="1B3BF701">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43758BB3">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EC6E544">
            <w:pPr>
              <w:spacing w:line="360" w:lineRule="auto"/>
              <w:jc w:val="center"/>
              <w:rPr>
                <w:rFonts w:ascii="Times New Roman" w:hAnsi="Times New Roman" w:eastAsia="宋体" w:cs="Times New Roman"/>
                <w:kern w:val="0"/>
                <w:sz w:val="18"/>
                <w:szCs w:val="18"/>
              </w:rPr>
            </w:pPr>
          </w:p>
        </w:tc>
      </w:tr>
      <w:tr w14:paraId="12AADE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BCAC789">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47522B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房间空气调节器</w:t>
            </w:r>
          </w:p>
        </w:tc>
        <w:tc>
          <w:tcPr>
            <w:tcW w:w="1527" w:type="dxa"/>
            <w:gridSpan w:val="2"/>
            <w:tcBorders>
              <w:tl2br w:val="nil"/>
              <w:tr2bl w:val="nil"/>
            </w:tcBorders>
            <w:vAlign w:val="center"/>
          </w:tcPr>
          <w:p w14:paraId="55E84CBE">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653677A6">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7A58249A">
            <w:pPr>
              <w:spacing w:line="360" w:lineRule="auto"/>
              <w:jc w:val="center"/>
              <w:rPr>
                <w:rFonts w:ascii="Times New Roman" w:hAnsi="Times New Roman" w:eastAsia="宋体" w:cs="Times New Roman"/>
                <w:kern w:val="0"/>
                <w:sz w:val="18"/>
                <w:szCs w:val="18"/>
              </w:rPr>
            </w:pPr>
          </w:p>
        </w:tc>
      </w:tr>
      <w:tr w14:paraId="5B523D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0A3F7EC7">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01D4187">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空气源热泵热风机</w:t>
            </w:r>
          </w:p>
        </w:tc>
        <w:tc>
          <w:tcPr>
            <w:tcW w:w="1527" w:type="dxa"/>
            <w:gridSpan w:val="2"/>
            <w:tcBorders>
              <w:tl2br w:val="nil"/>
              <w:tr2bl w:val="nil"/>
            </w:tcBorders>
            <w:vAlign w:val="center"/>
          </w:tcPr>
          <w:p w14:paraId="6CDE7A2D">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0E5C07E8">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37B8BDC2">
            <w:pPr>
              <w:spacing w:line="360" w:lineRule="auto"/>
              <w:jc w:val="center"/>
              <w:rPr>
                <w:rFonts w:ascii="Times New Roman" w:hAnsi="Times New Roman" w:eastAsia="宋体" w:cs="Times New Roman"/>
                <w:kern w:val="0"/>
                <w:sz w:val="18"/>
                <w:szCs w:val="18"/>
              </w:rPr>
            </w:pPr>
          </w:p>
        </w:tc>
      </w:tr>
      <w:tr w14:paraId="52816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vMerge w:val="continue"/>
            <w:tcBorders>
              <w:tl2br w:val="nil"/>
              <w:tr2bl w:val="nil"/>
            </w:tcBorders>
            <w:vAlign w:val="center"/>
          </w:tcPr>
          <w:p w14:paraId="183B78C3">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05CCCB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空气源热泵（冷水）</w:t>
            </w:r>
          </w:p>
        </w:tc>
        <w:tc>
          <w:tcPr>
            <w:tcW w:w="1527" w:type="dxa"/>
            <w:gridSpan w:val="2"/>
            <w:tcBorders>
              <w:tl2br w:val="nil"/>
              <w:tr2bl w:val="nil"/>
            </w:tcBorders>
            <w:vAlign w:val="center"/>
          </w:tcPr>
          <w:p w14:paraId="333AEC79">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5A778416">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3BAE519E">
            <w:pPr>
              <w:spacing w:line="360" w:lineRule="auto"/>
              <w:jc w:val="center"/>
              <w:rPr>
                <w:rFonts w:ascii="Times New Roman" w:hAnsi="Times New Roman" w:eastAsia="宋体" w:cs="Times New Roman"/>
                <w:kern w:val="0"/>
                <w:sz w:val="18"/>
                <w:szCs w:val="18"/>
              </w:rPr>
            </w:pPr>
          </w:p>
        </w:tc>
      </w:tr>
      <w:tr w14:paraId="0EA48C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02" w:type="dxa"/>
            <w:vMerge w:val="continue"/>
            <w:tcBorders>
              <w:tl2br w:val="nil"/>
              <w:tr2bl w:val="nil"/>
            </w:tcBorders>
            <w:vAlign w:val="center"/>
          </w:tcPr>
          <w:p w14:paraId="08A6460D">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B91C54B">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水（地）源热泵机组</w:t>
            </w:r>
          </w:p>
        </w:tc>
        <w:tc>
          <w:tcPr>
            <w:tcW w:w="1527" w:type="dxa"/>
            <w:gridSpan w:val="2"/>
            <w:tcBorders>
              <w:tl2br w:val="nil"/>
              <w:tr2bl w:val="nil"/>
            </w:tcBorders>
            <w:vAlign w:val="center"/>
          </w:tcPr>
          <w:p w14:paraId="7CAA5590">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7E0C091">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15E6A7E">
            <w:pPr>
              <w:spacing w:line="360" w:lineRule="auto"/>
              <w:jc w:val="center"/>
              <w:rPr>
                <w:rFonts w:ascii="Times New Roman" w:hAnsi="Times New Roman" w:eastAsia="宋体" w:cs="Times New Roman"/>
                <w:kern w:val="0"/>
                <w:sz w:val="18"/>
                <w:szCs w:val="18"/>
              </w:rPr>
            </w:pPr>
          </w:p>
        </w:tc>
      </w:tr>
      <w:tr w14:paraId="33AC1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3AC6131E">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36B3C33">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风机</w:t>
            </w:r>
          </w:p>
        </w:tc>
        <w:tc>
          <w:tcPr>
            <w:tcW w:w="1527" w:type="dxa"/>
            <w:gridSpan w:val="2"/>
            <w:tcBorders>
              <w:tl2br w:val="nil"/>
              <w:tr2bl w:val="nil"/>
            </w:tcBorders>
            <w:vAlign w:val="center"/>
          </w:tcPr>
          <w:p w14:paraId="1BCA0A89">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3CDED309">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3A9B8A3E">
            <w:pPr>
              <w:spacing w:line="360" w:lineRule="auto"/>
              <w:jc w:val="center"/>
              <w:rPr>
                <w:rFonts w:ascii="Times New Roman" w:hAnsi="Times New Roman" w:eastAsia="宋体" w:cs="Times New Roman"/>
                <w:kern w:val="0"/>
                <w:sz w:val="18"/>
                <w:szCs w:val="18"/>
              </w:rPr>
            </w:pPr>
          </w:p>
        </w:tc>
      </w:tr>
      <w:tr w14:paraId="518BCC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DA52C8E">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7345BADD">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循环水泵</w:t>
            </w:r>
          </w:p>
        </w:tc>
        <w:tc>
          <w:tcPr>
            <w:tcW w:w="1527" w:type="dxa"/>
            <w:gridSpan w:val="2"/>
            <w:tcBorders>
              <w:tl2br w:val="nil"/>
              <w:tr2bl w:val="nil"/>
            </w:tcBorders>
            <w:vAlign w:val="center"/>
          </w:tcPr>
          <w:p w14:paraId="2132667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30978624">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05EF1771">
            <w:pPr>
              <w:spacing w:line="360" w:lineRule="auto"/>
              <w:jc w:val="center"/>
              <w:rPr>
                <w:rFonts w:ascii="Times New Roman" w:hAnsi="Times New Roman" w:eastAsia="宋体" w:cs="Times New Roman"/>
                <w:kern w:val="0"/>
                <w:sz w:val="18"/>
                <w:szCs w:val="18"/>
              </w:rPr>
            </w:pPr>
          </w:p>
        </w:tc>
      </w:tr>
      <w:tr w14:paraId="31E1E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4FE14AFE">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C84229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配套电动机</w:t>
            </w:r>
          </w:p>
        </w:tc>
        <w:tc>
          <w:tcPr>
            <w:tcW w:w="1527" w:type="dxa"/>
            <w:gridSpan w:val="2"/>
            <w:tcBorders>
              <w:tl2br w:val="nil"/>
              <w:tr2bl w:val="nil"/>
            </w:tcBorders>
            <w:vAlign w:val="center"/>
          </w:tcPr>
          <w:p w14:paraId="6CA8862B">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7AE422A">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0933503">
            <w:pPr>
              <w:spacing w:line="360" w:lineRule="auto"/>
              <w:jc w:val="center"/>
              <w:rPr>
                <w:rFonts w:ascii="Times New Roman" w:hAnsi="Times New Roman" w:eastAsia="宋体" w:cs="Times New Roman"/>
                <w:kern w:val="0"/>
                <w:sz w:val="18"/>
                <w:szCs w:val="18"/>
              </w:rPr>
            </w:pPr>
          </w:p>
        </w:tc>
      </w:tr>
      <w:tr w14:paraId="3A138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081EFFD2">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B975535">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其他</w:t>
            </w:r>
          </w:p>
        </w:tc>
        <w:tc>
          <w:tcPr>
            <w:tcW w:w="1527" w:type="dxa"/>
            <w:gridSpan w:val="2"/>
            <w:tcBorders>
              <w:tl2br w:val="nil"/>
              <w:tr2bl w:val="nil"/>
            </w:tcBorders>
            <w:vAlign w:val="center"/>
          </w:tcPr>
          <w:p w14:paraId="0DB50C8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5565BB67">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6F97F563">
            <w:pPr>
              <w:spacing w:line="360" w:lineRule="auto"/>
              <w:jc w:val="center"/>
              <w:rPr>
                <w:rFonts w:ascii="Times New Roman" w:hAnsi="Times New Roman" w:eastAsia="宋体" w:cs="Times New Roman"/>
                <w:kern w:val="0"/>
                <w:sz w:val="18"/>
                <w:szCs w:val="18"/>
              </w:rPr>
            </w:pPr>
          </w:p>
        </w:tc>
      </w:tr>
      <w:tr w14:paraId="38858D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shd w:val="clear" w:color="auto" w:fill="auto"/>
            <w:vAlign w:val="center"/>
          </w:tcPr>
          <w:p w14:paraId="11F3875A">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照明与插座</w:t>
            </w:r>
          </w:p>
        </w:tc>
        <w:tc>
          <w:tcPr>
            <w:tcW w:w="1878" w:type="dxa"/>
            <w:gridSpan w:val="3"/>
            <w:tcBorders>
              <w:tl2br w:val="nil"/>
              <w:tr2bl w:val="nil"/>
            </w:tcBorders>
            <w:shd w:val="clear" w:color="auto" w:fill="auto"/>
            <w:vAlign w:val="center"/>
          </w:tcPr>
          <w:p w14:paraId="6096F228">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照明功率密度</w:t>
            </w:r>
          </w:p>
        </w:tc>
        <w:tc>
          <w:tcPr>
            <w:tcW w:w="1527" w:type="dxa"/>
            <w:gridSpan w:val="2"/>
            <w:tcBorders>
              <w:tl2br w:val="nil"/>
              <w:tr2bl w:val="nil"/>
            </w:tcBorders>
            <w:shd w:val="clear" w:color="auto" w:fill="auto"/>
            <w:vAlign w:val="center"/>
          </w:tcPr>
          <w:p w14:paraId="4D0C1903">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shd w:val="clear" w:color="auto" w:fill="auto"/>
            <w:vAlign w:val="center"/>
          </w:tcPr>
          <w:p w14:paraId="117629C3">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shd w:val="clear" w:color="auto" w:fill="auto"/>
            <w:vAlign w:val="center"/>
          </w:tcPr>
          <w:p w14:paraId="0A222B20">
            <w:pPr>
              <w:spacing w:line="360" w:lineRule="auto"/>
              <w:jc w:val="center"/>
              <w:rPr>
                <w:rFonts w:ascii="Times New Roman" w:hAnsi="Times New Roman" w:eastAsia="宋体" w:cs="Times New Roman"/>
                <w:kern w:val="0"/>
                <w:sz w:val="18"/>
                <w:szCs w:val="18"/>
              </w:rPr>
            </w:pPr>
          </w:p>
        </w:tc>
      </w:tr>
      <w:tr w14:paraId="127AD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153AD50">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shd w:val="clear" w:color="auto" w:fill="auto"/>
            <w:vAlign w:val="center"/>
          </w:tcPr>
          <w:p w14:paraId="487DF16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照明产品</w:t>
            </w:r>
          </w:p>
        </w:tc>
        <w:tc>
          <w:tcPr>
            <w:tcW w:w="1527" w:type="dxa"/>
            <w:gridSpan w:val="2"/>
            <w:tcBorders>
              <w:tl2br w:val="nil"/>
              <w:tr2bl w:val="nil"/>
            </w:tcBorders>
            <w:shd w:val="clear" w:color="auto" w:fill="auto"/>
            <w:vAlign w:val="center"/>
          </w:tcPr>
          <w:p w14:paraId="4F6DC00F">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shd w:val="clear" w:color="auto" w:fill="auto"/>
            <w:vAlign w:val="center"/>
          </w:tcPr>
          <w:p w14:paraId="0DDCD925">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shd w:val="clear" w:color="auto" w:fill="auto"/>
            <w:vAlign w:val="center"/>
          </w:tcPr>
          <w:p w14:paraId="50FEA83F">
            <w:pPr>
              <w:spacing w:line="360" w:lineRule="auto"/>
              <w:jc w:val="center"/>
              <w:rPr>
                <w:rFonts w:ascii="Times New Roman" w:hAnsi="Times New Roman" w:eastAsia="宋体" w:cs="Times New Roman"/>
                <w:kern w:val="0"/>
                <w:sz w:val="18"/>
                <w:szCs w:val="18"/>
              </w:rPr>
            </w:pPr>
          </w:p>
        </w:tc>
      </w:tr>
      <w:tr w14:paraId="796C25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3853DF1">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shd w:val="clear" w:color="auto" w:fill="auto"/>
            <w:vAlign w:val="center"/>
          </w:tcPr>
          <w:p w14:paraId="43364CEE">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插座上的设备</w:t>
            </w:r>
          </w:p>
        </w:tc>
        <w:tc>
          <w:tcPr>
            <w:tcW w:w="1527" w:type="dxa"/>
            <w:gridSpan w:val="2"/>
            <w:tcBorders>
              <w:tl2br w:val="nil"/>
              <w:tr2bl w:val="nil"/>
            </w:tcBorders>
            <w:shd w:val="clear" w:color="auto" w:fill="auto"/>
            <w:vAlign w:val="center"/>
          </w:tcPr>
          <w:p w14:paraId="7946BA50">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shd w:val="clear" w:color="auto" w:fill="auto"/>
            <w:vAlign w:val="center"/>
          </w:tcPr>
          <w:p w14:paraId="5188CEF3">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shd w:val="clear" w:color="auto" w:fill="auto"/>
            <w:vAlign w:val="center"/>
          </w:tcPr>
          <w:p w14:paraId="222A383C">
            <w:pPr>
              <w:spacing w:line="360" w:lineRule="auto"/>
              <w:jc w:val="center"/>
              <w:rPr>
                <w:rFonts w:ascii="Times New Roman" w:hAnsi="Times New Roman" w:eastAsia="宋体" w:cs="Times New Roman"/>
                <w:kern w:val="0"/>
                <w:sz w:val="18"/>
                <w:szCs w:val="18"/>
              </w:rPr>
            </w:pPr>
          </w:p>
        </w:tc>
      </w:tr>
      <w:tr w14:paraId="76E914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vAlign w:val="center"/>
          </w:tcPr>
          <w:p w14:paraId="03EA934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供配电系统、生活热水系统</w:t>
            </w:r>
          </w:p>
        </w:tc>
        <w:tc>
          <w:tcPr>
            <w:tcW w:w="1878" w:type="dxa"/>
            <w:gridSpan w:val="3"/>
            <w:tcBorders>
              <w:tl2br w:val="nil"/>
              <w:tr2bl w:val="nil"/>
            </w:tcBorders>
            <w:vAlign w:val="center"/>
          </w:tcPr>
          <w:p w14:paraId="3476497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接触器</w:t>
            </w:r>
          </w:p>
        </w:tc>
        <w:tc>
          <w:tcPr>
            <w:tcW w:w="1527" w:type="dxa"/>
            <w:gridSpan w:val="2"/>
            <w:tcBorders>
              <w:tl2br w:val="nil"/>
              <w:tr2bl w:val="nil"/>
            </w:tcBorders>
            <w:vAlign w:val="center"/>
          </w:tcPr>
          <w:p w14:paraId="729195B8">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2EBCF9F4">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7D0C292">
            <w:pPr>
              <w:spacing w:line="360" w:lineRule="auto"/>
              <w:jc w:val="center"/>
              <w:rPr>
                <w:rFonts w:ascii="Times New Roman" w:hAnsi="Times New Roman" w:eastAsia="宋体" w:cs="Times New Roman"/>
                <w:kern w:val="0"/>
                <w:sz w:val="18"/>
                <w:szCs w:val="18"/>
              </w:rPr>
            </w:pPr>
          </w:p>
        </w:tc>
      </w:tr>
      <w:tr w14:paraId="57B88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32F88732">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55FFEC2E">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电力变压器</w:t>
            </w:r>
          </w:p>
        </w:tc>
        <w:tc>
          <w:tcPr>
            <w:tcW w:w="1527" w:type="dxa"/>
            <w:gridSpan w:val="2"/>
            <w:tcBorders>
              <w:tl2br w:val="nil"/>
              <w:tr2bl w:val="nil"/>
            </w:tcBorders>
            <w:vAlign w:val="center"/>
          </w:tcPr>
          <w:p w14:paraId="5B4561F6">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5907F91E">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88628C1">
            <w:pPr>
              <w:spacing w:line="360" w:lineRule="auto"/>
              <w:jc w:val="center"/>
              <w:rPr>
                <w:rFonts w:ascii="Times New Roman" w:hAnsi="Times New Roman" w:eastAsia="宋体" w:cs="Times New Roman"/>
                <w:kern w:val="0"/>
                <w:sz w:val="18"/>
                <w:szCs w:val="18"/>
              </w:rPr>
            </w:pPr>
          </w:p>
        </w:tc>
      </w:tr>
      <w:tr w14:paraId="200ABD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133D4AAB">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CA4D338">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三相负荷不平衡率</w:t>
            </w:r>
          </w:p>
        </w:tc>
        <w:tc>
          <w:tcPr>
            <w:tcW w:w="1527" w:type="dxa"/>
            <w:gridSpan w:val="2"/>
            <w:tcBorders>
              <w:tl2br w:val="nil"/>
              <w:tr2bl w:val="nil"/>
            </w:tcBorders>
            <w:vAlign w:val="center"/>
          </w:tcPr>
          <w:p w14:paraId="452046B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059C4B81">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32206F5">
            <w:pPr>
              <w:spacing w:line="360" w:lineRule="auto"/>
              <w:jc w:val="center"/>
              <w:rPr>
                <w:rFonts w:ascii="Times New Roman" w:hAnsi="Times New Roman" w:eastAsia="宋体" w:cs="Times New Roman"/>
                <w:kern w:val="0"/>
                <w:sz w:val="18"/>
                <w:szCs w:val="18"/>
              </w:rPr>
            </w:pPr>
          </w:p>
        </w:tc>
      </w:tr>
      <w:tr w14:paraId="6F65F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24ABE955">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6F9667B9">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热水器</w:t>
            </w:r>
          </w:p>
        </w:tc>
        <w:tc>
          <w:tcPr>
            <w:tcW w:w="1527" w:type="dxa"/>
            <w:gridSpan w:val="2"/>
            <w:tcBorders>
              <w:tl2br w:val="nil"/>
              <w:tr2bl w:val="nil"/>
            </w:tcBorders>
            <w:vAlign w:val="center"/>
          </w:tcPr>
          <w:p w14:paraId="39D96961">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2E0BBAE7">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A4FB79D">
            <w:pPr>
              <w:spacing w:line="360" w:lineRule="auto"/>
              <w:jc w:val="center"/>
              <w:rPr>
                <w:rFonts w:ascii="Times New Roman" w:hAnsi="Times New Roman" w:eastAsia="宋体" w:cs="Times New Roman"/>
                <w:kern w:val="0"/>
                <w:sz w:val="18"/>
                <w:szCs w:val="18"/>
              </w:rPr>
            </w:pPr>
          </w:p>
        </w:tc>
      </w:tr>
      <w:tr w14:paraId="61423D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2821F352">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0FF111A9">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其他设备</w:t>
            </w:r>
          </w:p>
        </w:tc>
        <w:tc>
          <w:tcPr>
            <w:tcW w:w="1527" w:type="dxa"/>
            <w:gridSpan w:val="2"/>
            <w:tcBorders>
              <w:tl2br w:val="nil"/>
              <w:tr2bl w:val="nil"/>
            </w:tcBorders>
            <w:vAlign w:val="center"/>
          </w:tcPr>
          <w:p w14:paraId="5DC2AA6B">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7BC1A326">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0612E9D2">
            <w:pPr>
              <w:spacing w:line="360" w:lineRule="auto"/>
              <w:jc w:val="center"/>
              <w:rPr>
                <w:rFonts w:ascii="Times New Roman" w:hAnsi="Times New Roman" w:eastAsia="宋体" w:cs="Times New Roman"/>
                <w:kern w:val="0"/>
                <w:sz w:val="18"/>
                <w:szCs w:val="18"/>
              </w:rPr>
            </w:pPr>
          </w:p>
        </w:tc>
      </w:tr>
      <w:tr w14:paraId="641B6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vAlign w:val="center"/>
          </w:tcPr>
          <w:p w14:paraId="2F8AB481">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动力设备</w:t>
            </w:r>
          </w:p>
        </w:tc>
        <w:tc>
          <w:tcPr>
            <w:tcW w:w="1878" w:type="dxa"/>
            <w:gridSpan w:val="3"/>
            <w:tcBorders>
              <w:tl2br w:val="nil"/>
              <w:tr2bl w:val="nil"/>
            </w:tcBorders>
            <w:vAlign w:val="center"/>
          </w:tcPr>
          <w:p w14:paraId="05321AAF">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乘客电梯</w:t>
            </w:r>
          </w:p>
        </w:tc>
        <w:tc>
          <w:tcPr>
            <w:tcW w:w="1527" w:type="dxa"/>
            <w:gridSpan w:val="2"/>
            <w:tcBorders>
              <w:tl2br w:val="nil"/>
              <w:tr2bl w:val="nil"/>
            </w:tcBorders>
            <w:vAlign w:val="center"/>
          </w:tcPr>
          <w:p w14:paraId="7335226C">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31CBC331">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8C4FE53">
            <w:pPr>
              <w:spacing w:line="360" w:lineRule="auto"/>
              <w:jc w:val="center"/>
              <w:rPr>
                <w:rFonts w:ascii="Times New Roman" w:hAnsi="Times New Roman" w:eastAsia="宋体" w:cs="Times New Roman"/>
                <w:kern w:val="0"/>
                <w:sz w:val="18"/>
                <w:szCs w:val="18"/>
              </w:rPr>
            </w:pPr>
          </w:p>
        </w:tc>
      </w:tr>
      <w:tr w14:paraId="069A5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23ABBB1C">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1ACCE2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载货电梯</w:t>
            </w:r>
          </w:p>
        </w:tc>
        <w:tc>
          <w:tcPr>
            <w:tcW w:w="1527" w:type="dxa"/>
            <w:gridSpan w:val="2"/>
            <w:tcBorders>
              <w:tl2br w:val="nil"/>
              <w:tr2bl w:val="nil"/>
            </w:tcBorders>
            <w:vAlign w:val="center"/>
          </w:tcPr>
          <w:p w14:paraId="0EA22BE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CA5DBAE">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16DF7F07">
            <w:pPr>
              <w:spacing w:line="360" w:lineRule="auto"/>
              <w:jc w:val="center"/>
              <w:rPr>
                <w:rFonts w:ascii="Times New Roman" w:hAnsi="Times New Roman" w:eastAsia="宋体" w:cs="Times New Roman"/>
                <w:kern w:val="0"/>
                <w:sz w:val="18"/>
                <w:szCs w:val="18"/>
              </w:rPr>
            </w:pPr>
          </w:p>
        </w:tc>
      </w:tr>
      <w:tr w14:paraId="7DD986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58BBC636">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4D22D068">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自动扶梯</w:t>
            </w:r>
          </w:p>
        </w:tc>
        <w:tc>
          <w:tcPr>
            <w:tcW w:w="1527" w:type="dxa"/>
            <w:gridSpan w:val="2"/>
            <w:tcBorders>
              <w:tl2br w:val="nil"/>
              <w:tr2bl w:val="nil"/>
            </w:tcBorders>
            <w:vAlign w:val="center"/>
          </w:tcPr>
          <w:p w14:paraId="5F588B2F">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29FD4948">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78969911">
            <w:pPr>
              <w:spacing w:line="360" w:lineRule="auto"/>
              <w:jc w:val="center"/>
              <w:rPr>
                <w:rFonts w:ascii="Times New Roman" w:hAnsi="Times New Roman" w:eastAsia="宋体" w:cs="Times New Roman"/>
                <w:kern w:val="0"/>
                <w:sz w:val="18"/>
                <w:szCs w:val="18"/>
              </w:rPr>
            </w:pPr>
          </w:p>
        </w:tc>
      </w:tr>
      <w:tr w14:paraId="0B5295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08C94EE">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3AE658F">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自动人行道</w:t>
            </w:r>
          </w:p>
        </w:tc>
        <w:tc>
          <w:tcPr>
            <w:tcW w:w="1527" w:type="dxa"/>
            <w:gridSpan w:val="2"/>
            <w:tcBorders>
              <w:tl2br w:val="nil"/>
              <w:tr2bl w:val="nil"/>
            </w:tcBorders>
            <w:vAlign w:val="center"/>
          </w:tcPr>
          <w:p w14:paraId="3559C15A">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07B44117">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7F7639EC">
            <w:pPr>
              <w:spacing w:line="360" w:lineRule="auto"/>
              <w:jc w:val="center"/>
              <w:rPr>
                <w:rFonts w:ascii="Times New Roman" w:hAnsi="Times New Roman" w:eastAsia="宋体" w:cs="Times New Roman"/>
                <w:kern w:val="0"/>
                <w:sz w:val="18"/>
                <w:szCs w:val="18"/>
              </w:rPr>
            </w:pPr>
          </w:p>
        </w:tc>
      </w:tr>
      <w:tr w14:paraId="0E6F5E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F69B9B0">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39407A1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离心式清水泵</w:t>
            </w:r>
          </w:p>
        </w:tc>
        <w:tc>
          <w:tcPr>
            <w:tcW w:w="1527" w:type="dxa"/>
            <w:gridSpan w:val="2"/>
            <w:tcBorders>
              <w:tl2br w:val="nil"/>
              <w:tr2bl w:val="nil"/>
            </w:tcBorders>
            <w:vAlign w:val="center"/>
          </w:tcPr>
          <w:p w14:paraId="3107F49F">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AEB2621">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38FC37CF">
            <w:pPr>
              <w:spacing w:line="360" w:lineRule="auto"/>
              <w:jc w:val="center"/>
              <w:rPr>
                <w:rFonts w:ascii="Times New Roman" w:hAnsi="Times New Roman" w:eastAsia="宋体" w:cs="Times New Roman"/>
                <w:kern w:val="0"/>
                <w:sz w:val="18"/>
                <w:szCs w:val="18"/>
              </w:rPr>
            </w:pPr>
          </w:p>
        </w:tc>
      </w:tr>
      <w:tr w14:paraId="30116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BB09E36">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4FB119E8">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其他类型水泵</w:t>
            </w:r>
          </w:p>
        </w:tc>
        <w:tc>
          <w:tcPr>
            <w:tcW w:w="1527" w:type="dxa"/>
            <w:gridSpan w:val="2"/>
            <w:tcBorders>
              <w:tl2br w:val="nil"/>
              <w:tr2bl w:val="nil"/>
            </w:tcBorders>
            <w:vAlign w:val="center"/>
          </w:tcPr>
          <w:p w14:paraId="4015BDD9">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3A93FCC8">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78274E0">
            <w:pPr>
              <w:spacing w:line="360" w:lineRule="auto"/>
              <w:jc w:val="center"/>
              <w:rPr>
                <w:rFonts w:ascii="Times New Roman" w:hAnsi="Times New Roman" w:eastAsia="宋体" w:cs="Times New Roman"/>
                <w:kern w:val="0"/>
                <w:sz w:val="18"/>
                <w:szCs w:val="18"/>
              </w:rPr>
            </w:pPr>
          </w:p>
        </w:tc>
      </w:tr>
      <w:tr w14:paraId="1CF4B9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5D7E7D8D">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41598D2A">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风机</w:t>
            </w:r>
          </w:p>
        </w:tc>
        <w:tc>
          <w:tcPr>
            <w:tcW w:w="1527" w:type="dxa"/>
            <w:gridSpan w:val="2"/>
            <w:tcBorders>
              <w:tl2br w:val="nil"/>
              <w:tr2bl w:val="nil"/>
            </w:tcBorders>
            <w:vAlign w:val="center"/>
          </w:tcPr>
          <w:p w14:paraId="22BB6FFB">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3F8668E">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462AF5FF">
            <w:pPr>
              <w:spacing w:line="360" w:lineRule="auto"/>
              <w:jc w:val="center"/>
              <w:rPr>
                <w:rFonts w:ascii="Times New Roman" w:hAnsi="Times New Roman" w:eastAsia="宋体" w:cs="Times New Roman"/>
                <w:kern w:val="0"/>
                <w:sz w:val="18"/>
                <w:szCs w:val="18"/>
              </w:rPr>
            </w:pPr>
          </w:p>
        </w:tc>
      </w:tr>
      <w:tr w14:paraId="6621FE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28B00788">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510D1854">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电动机</w:t>
            </w:r>
          </w:p>
        </w:tc>
        <w:tc>
          <w:tcPr>
            <w:tcW w:w="1527" w:type="dxa"/>
            <w:gridSpan w:val="2"/>
            <w:tcBorders>
              <w:tl2br w:val="nil"/>
              <w:tr2bl w:val="nil"/>
            </w:tcBorders>
            <w:vAlign w:val="center"/>
          </w:tcPr>
          <w:p w14:paraId="305B5A50">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10EFE583">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2BDBF40E">
            <w:pPr>
              <w:spacing w:line="360" w:lineRule="auto"/>
              <w:jc w:val="center"/>
              <w:rPr>
                <w:rFonts w:ascii="Times New Roman" w:hAnsi="Times New Roman" w:eastAsia="宋体" w:cs="Times New Roman"/>
                <w:kern w:val="0"/>
                <w:sz w:val="18"/>
                <w:szCs w:val="18"/>
              </w:rPr>
            </w:pPr>
          </w:p>
        </w:tc>
      </w:tr>
      <w:tr w14:paraId="7AF9B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6266428B">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166C6FEF">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其他</w:t>
            </w:r>
          </w:p>
        </w:tc>
        <w:tc>
          <w:tcPr>
            <w:tcW w:w="1527" w:type="dxa"/>
            <w:gridSpan w:val="2"/>
            <w:tcBorders>
              <w:tl2br w:val="nil"/>
              <w:tr2bl w:val="nil"/>
            </w:tcBorders>
            <w:vAlign w:val="center"/>
          </w:tcPr>
          <w:p w14:paraId="6ABA860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220804C0">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038510EE">
            <w:pPr>
              <w:spacing w:line="360" w:lineRule="auto"/>
              <w:jc w:val="center"/>
              <w:rPr>
                <w:rFonts w:ascii="Times New Roman" w:hAnsi="Times New Roman" w:eastAsia="宋体" w:cs="Times New Roman"/>
                <w:kern w:val="0"/>
                <w:sz w:val="18"/>
                <w:szCs w:val="18"/>
              </w:rPr>
            </w:pPr>
          </w:p>
        </w:tc>
      </w:tr>
      <w:tr w14:paraId="7F6D73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restart"/>
            <w:tcBorders>
              <w:tl2br w:val="nil"/>
              <w:tr2bl w:val="nil"/>
            </w:tcBorders>
            <w:vAlign w:val="center"/>
          </w:tcPr>
          <w:p w14:paraId="2D12E3FB">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特殊设备</w:t>
            </w:r>
          </w:p>
        </w:tc>
        <w:tc>
          <w:tcPr>
            <w:tcW w:w="1878" w:type="dxa"/>
            <w:gridSpan w:val="3"/>
            <w:tcBorders>
              <w:tl2br w:val="nil"/>
              <w:tr2bl w:val="nil"/>
            </w:tcBorders>
            <w:vAlign w:val="center"/>
          </w:tcPr>
          <w:p w14:paraId="18882585">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办公设备</w:t>
            </w:r>
          </w:p>
        </w:tc>
        <w:tc>
          <w:tcPr>
            <w:tcW w:w="1527" w:type="dxa"/>
            <w:gridSpan w:val="2"/>
            <w:tcBorders>
              <w:tl2br w:val="nil"/>
              <w:tr2bl w:val="nil"/>
            </w:tcBorders>
            <w:vAlign w:val="center"/>
          </w:tcPr>
          <w:p w14:paraId="0B3C118D">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76070DCC">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36B5BE94">
            <w:pPr>
              <w:spacing w:line="360" w:lineRule="auto"/>
              <w:jc w:val="center"/>
              <w:rPr>
                <w:rFonts w:ascii="Times New Roman" w:hAnsi="Times New Roman" w:eastAsia="宋体" w:cs="Times New Roman"/>
                <w:kern w:val="0"/>
                <w:sz w:val="18"/>
                <w:szCs w:val="18"/>
              </w:rPr>
            </w:pPr>
          </w:p>
        </w:tc>
      </w:tr>
      <w:tr w14:paraId="6AB819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736A160A">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405D82C9">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厨房设备</w:t>
            </w:r>
          </w:p>
        </w:tc>
        <w:tc>
          <w:tcPr>
            <w:tcW w:w="1527" w:type="dxa"/>
            <w:gridSpan w:val="2"/>
            <w:tcBorders>
              <w:tl2br w:val="nil"/>
              <w:tr2bl w:val="nil"/>
            </w:tcBorders>
            <w:vAlign w:val="center"/>
          </w:tcPr>
          <w:p w14:paraId="6C7D1FB7">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47D11E82">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044A284F">
            <w:pPr>
              <w:spacing w:line="360" w:lineRule="auto"/>
              <w:jc w:val="center"/>
              <w:rPr>
                <w:rFonts w:ascii="Times New Roman" w:hAnsi="Times New Roman" w:eastAsia="宋体" w:cs="Times New Roman"/>
                <w:kern w:val="0"/>
                <w:sz w:val="18"/>
                <w:szCs w:val="18"/>
              </w:rPr>
            </w:pPr>
          </w:p>
        </w:tc>
      </w:tr>
      <w:tr w14:paraId="36CBC0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2" w:type="dxa"/>
            <w:vMerge w:val="continue"/>
            <w:tcBorders>
              <w:tl2br w:val="nil"/>
              <w:tr2bl w:val="nil"/>
            </w:tcBorders>
            <w:vAlign w:val="center"/>
          </w:tcPr>
          <w:p w14:paraId="25832F18">
            <w:pPr>
              <w:spacing w:line="360" w:lineRule="auto"/>
              <w:jc w:val="center"/>
              <w:rPr>
                <w:rFonts w:ascii="Times New Roman" w:hAnsi="Times New Roman" w:eastAsia="宋体" w:cs="Times New Roman"/>
                <w:kern w:val="0"/>
                <w:sz w:val="18"/>
                <w:szCs w:val="18"/>
              </w:rPr>
            </w:pPr>
          </w:p>
        </w:tc>
        <w:tc>
          <w:tcPr>
            <w:tcW w:w="1878" w:type="dxa"/>
            <w:gridSpan w:val="3"/>
            <w:tcBorders>
              <w:tl2br w:val="nil"/>
              <w:tr2bl w:val="nil"/>
            </w:tcBorders>
            <w:vAlign w:val="center"/>
          </w:tcPr>
          <w:p w14:paraId="32E60A81">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其他</w:t>
            </w:r>
          </w:p>
        </w:tc>
        <w:tc>
          <w:tcPr>
            <w:tcW w:w="1527" w:type="dxa"/>
            <w:gridSpan w:val="2"/>
            <w:tcBorders>
              <w:tl2br w:val="nil"/>
              <w:tr2bl w:val="nil"/>
            </w:tcBorders>
            <w:vAlign w:val="center"/>
          </w:tcPr>
          <w:p w14:paraId="022ABF25">
            <w:pPr>
              <w:spacing w:line="360" w:lineRule="auto"/>
              <w:jc w:val="center"/>
              <w:rPr>
                <w:rFonts w:ascii="Times New Roman" w:hAnsi="Times New Roman" w:eastAsia="宋体" w:cs="Times New Roman"/>
                <w:kern w:val="0"/>
                <w:sz w:val="18"/>
                <w:szCs w:val="18"/>
              </w:rPr>
            </w:pPr>
          </w:p>
        </w:tc>
        <w:tc>
          <w:tcPr>
            <w:tcW w:w="1704" w:type="dxa"/>
            <w:gridSpan w:val="3"/>
            <w:tcBorders>
              <w:tl2br w:val="nil"/>
              <w:tr2bl w:val="nil"/>
            </w:tcBorders>
            <w:vAlign w:val="center"/>
          </w:tcPr>
          <w:p w14:paraId="389BC234">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1E2D9B63">
            <w:pPr>
              <w:spacing w:line="360" w:lineRule="auto"/>
              <w:jc w:val="center"/>
              <w:rPr>
                <w:rFonts w:ascii="Times New Roman" w:hAnsi="Times New Roman" w:eastAsia="宋体" w:cs="Times New Roman"/>
                <w:kern w:val="0"/>
                <w:sz w:val="18"/>
                <w:szCs w:val="18"/>
              </w:rPr>
            </w:pPr>
          </w:p>
        </w:tc>
      </w:tr>
      <w:tr w14:paraId="77CC6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7105DE6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kern w:val="0"/>
                <w:sz w:val="18"/>
                <w:szCs w:val="18"/>
              </w:rPr>
              <w:t>分项能效分级</w:t>
            </w:r>
          </w:p>
        </w:tc>
        <w:tc>
          <w:tcPr>
            <w:tcW w:w="1527" w:type="dxa"/>
            <w:gridSpan w:val="2"/>
            <w:tcBorders>
              <w:tl2br w:val="nil"/>
              <w:tr2bl w:val="nil"/>
            </w:tcBorders>
            <w:shd w:val="clear" w:color="000000" w:fill="FFFFFF"/>
            <w:vAlign w:val="center"/>
          </w:tcPr>
          <w:p w14:paraId="156116F6">
            <w:pPr>
              <w:pStyle w:val="47"/>
              <w:spacing w:line="360" w:lineRule="auto"/>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诊断</w:t>
            </w:r>
            <w:r>
              <w:rPr>
                <w:rFonts w:hint="eastAsia" w:ascii="Times New Roman" w:hAnsi="Times New Roman" w:eastAsia="宋体" w:cs="Times New Roman"/>
                <w:b/>
                <w:bCs/>
                <w:color w:val="auto"/>
                <w:sz w:val="18"/>
                <w:szCs w:val="18"/>
              </w:rPr>
              <w:t>方法</w:t>
            </w:r>
          </w:p>
        </w:tc>
        <w:tc>
          <w:tcPr>
            <w:tcW w:w="1704" w:type="dxa"/>
            <w:gridSpan w:val="3"/>
            <w:tcBorders>
              <w:tl2br w:val="nil"/>
              <w:tr2bl w:val="nil"/>
            </w:tcBorders>
            <w:shd w:val="clear" w:color="000000" w:fill="FFFFFF"/>
            <w:vAlign w:val="center"/>
          </w:tcPr>
          <w:p w14:paraId="10DDCA0E">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诊断结果</w:t>
            </w:r>
          </w:p>
        </w:tc>
        <w:tc>
          <w:tcPr>
            <w:tcW w:w="1705" w:type="dxa"/>
            <w:gridSpan w:val="2"/>
            <w:tcBorders>
              <w:tl2br w:val="nil"/>
              <w:tr2bl w:val="nil"/>
            </w:tcBorders>
            <w:shd w:val="clear" w:color="000000" w:fill="FFFFFF"/>
            <w:vAlign w:val="center"/>
          </w:tcPr>
          <w:p w14:paraId="517AF2B4">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能效分级</w:t>
            </w:r>
          </w:p>
        </w:tc>
      </w:tr>
      <w:tr w14:paraId="1411D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493DF8F0">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供暖能耗</w:t>
            </w:r>
            <w:r>
              <w:rPr>
                <w:rFonts w:ascii="Times New Roman" w:hAnsi="Times New Roman" w:eastAsia="宋体" w:cs="Times New Roman"/>
                <w:color w:val="auto"/>
                <w:sz w:val="18"/>
                <w:szCs w:val="18"/>
              </w:rPr>
              <w:t>（kWh/a）</w:t>
            </w:r>
          </w:p>
        </w:tc>
        <w:tc>
          <w:tcPr>
            <w:tcW w:w="1527" w:type="dxa"/>
            <w:gridSpan w:val="2"/>
            <w:tcBorders>
              <w:tl2br w:val="nil"/>
              <w:tr2bl w:val="nil"/>
            </w:tcBorders>
            <w:shd w:val="clear" w:color="000000" w:fill="FFFFFF"/>
            <w:vAlign w:val="center"/>
          </w:tcPr>
          <w:p w14:paraId="71B1D4C8">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3F6BEE70">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5F45A80F">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062DA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3CAA86B5">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供暖分项能耗指标（</w:t>
            </w:r>
            <w:r>
              <w:rPr>
                <w:rFonts w:ascii="Times New Roman" w:hAnsi="Times New Roman" w:eastAsia="宋体" w:cs="Times New Roman"/>
                <w:color w:val="auto"/>
                <w:sz w:val="18"/>
                <w:szCs w:val="18"/>
              </w:rPr>
              <w:t>kWh/m</w:t>
            </w:r>
            <w:r>
              <w:rPr>
                <w:rFonts w:ascii="Times New Roman" w:hAnsi="Times New Roman" w:eastAsia="宋体" w:cs="Times New Roman"/>
                <w:color w:val="auto"/>
                <w:sz w:val="18"/>
                <w:szCs w:val="18"/>
                <w:vertAlign w:val="superscript"/>
              </w:rPr>
              <w:t>2</w:t>
            </w:r>
            <w:r>
              <w:rPr>
                <w:rFonts w:hint="eastAsia" w:ascii="Times New Roman" w:hAnsi="Times New Roman" w:eastAsia="宋体" w:cs="Times New Roman"/>
                <w:color w:val="auto"/>
                <w:sz w:val="18"/>
                <w:szCs w:val="18"/>
              </w:rPr>
              <w:t>）</w:t>
            </w:r>
          </w:p>
        </w:tc>
        <w:tc>
          <w:tcPr>
            <w:tcW w:w="1527" w:type="dxa"/>
            <w:gridSpan w:val="2"/>
            <w:tcBorders>
              <w:tl2br w:val="nil"/>
              <w:tr2bl w:val="nil"/>
            </w:tcBorders>
            <w:shd w:val="clear" w:color="000000" w:fill="FFFFFF"/>
            <w:vAlign w:val="center"/>
          </w:tcPr>
          <w:p w14:paraId="7A9A3C9B">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2CE1E989">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16D5BAFA">
            <w:pPr>
              <w:pStyle w:val="47"/>
              <w:spacing w:line="360" w:lineRule="auto"/>
              <w:rPr>
                <w:rFonts w:ascii="Times New Roman" w:hAnsi="Times New Roman" w:eastAsia="宋体" w:cs="Times New Roman"/>
                <w:color w:val="auto"/>
                <w:sz w:val="18"/>
                <w:szCs w:val="18"/>
              </w:rPr>
            </w:pPr>
          </w:p>
        </w:tc>
      </w:tr>
      <w:tr w14:paraId="3B8879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43E1F31F">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空调能耗</w:t>
            </w:r>
            <w:r>
              <w:rPr>
                <w:rFonts w:ascii="Times New Roman" w:hAnsi="Times New Roman" w:eastAsia="宋体" w:cs="Times New Roman"/>
                <w:color w:val="auto"/>
                <w:sz w:val="18"/>
                <w:szCs w:val="18"/>
              </w:rPr>
              <w:t>（kWh/a）</w:t>
            </w:r>
          </w:p>
        </w:tc>
        <w:tc>
          <w:tcPr>
            <w:tcW w:w="1527" w:type="dxa"/>
            <w:gridSpan w:val="2"/>
            <w:tcBorders>
              <w:tl2br w:val="nil"/>
              <w:tr2bl w:val="nil"/>
            </w:tcBorders>
            <w:shd w:val="clear" w:color="000000" w:fill="FFFFFF"/>
            <w:vAlign w:val="center"/>
          </w:tcPr>
          <w:p w14:paraId="5896BCA0">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39A6EF49">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6808CE69">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76D56E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7F49E753">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空调分项能耗指标（</w:t>
            </w:r>
            <w:r>
              <w:rPr>
                <w:rFonts w:ascii="Times New Roman" w:hAnsi="Times New Roman" w:eastAsia="宋体" w:cs="Times New Roman"/>
                <w:color w:val="auto"/>
                <w:sz w:val="18"/>
                <w:szCs w:val="18"/>
              </w:rPr>
              <w:t>kWh/m</w:t>
            </w:r>
            <w:r>
              <w:rPr>
                <w:rFonts w:ascii="Times New Roman" w:hAnsi="Times New Roman" w:eastAsia="宋体" w:cs="Times New Roman"/>
                <w:color w:val="auto"/>
                <w:sz w:val="18"/>
                <w:szCs w:val="18"/>
                <w:vertAlign w:val="superscript"/>
              </w:rPr>
              <w:t>2</w:t>
            </w:r>
            <w:r>
              <w:rPr>
                <w:rFonts w:hint="eastAsia" w:ascii="Times New Roman" w:hAnsi="Times New Roman" w:eastAsia="宋体" w:cs="Times New Roman"/>
                <w:color w:val="auto"/>
                <w:sz w:val="18"/>
                <w:szCs w:val="18"/>
              </w:rPr>
              <w:t>）</w:t>
            </w:r>
          </w:p>
        </w:tc>
        <w:tc>
          <w:tcPr>
            <w:tcW w:w="1527" w:type="dxa"/>
            <w:gridSpan w:val="2"/>
            <w:tcBorders>
              <w:tl2br w:val="nil"/>
              <w:tr2bl w:val="nil"/>
            </w:tcBorders>
            <w:shd w:val="clear" w:color="000000" w:fill="FFFFFF"/>
            <w:vAlign w:val="center"/>
          </w:tcPr>
          <w:p w14:paraId="189B6F80">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4CED004A">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1B942F53">
            <w:pPr>
              <w:pStyle w:val="47"/>
              <w:spacing w:line="360" w:lineRule="auto"/>
              <w:rPr>
                <w:rFonts w:ascii="Times New Roman" w:hAnsi="Times New Roman" w:eastAsia="宋体" w:cs="Times New Roman"/>
                <w:color w:val="auto"/>
                <w:sz w:val="18"/>
                <w:szCs w:val="18"/>
              </w:rPr>
            </w:pPr>
          </w:p>
        </w:tc>
      </w:tr>
      <w:tr w14:paraId="74AFBC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43BC7AFE">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照明和插座分项能耗</w:t>
            </w:r>
            <w:r>
              <w:rPr>
                <w:rFonts w:ascii="Times New Roman" w:hAnsi="Times New Roman" w:eastAsia="宋体" w:cs="Times New Roman"/>
                <w:color w:val="auto"/>
                <w:sz w:val="18"/>
                <w:szCs w:val="18"/>
              </w:rPr>
              <w:t>（kWh/a）</w:t>
            </w:r>
          </w:p>
        </w:tc>
        <w:tc>
          <w:tcPr>
            <w:tcW w:w="1527" w:type="dxa"/>
            <w:gridSpan w:val="2"/>
            <w:tcBorders>
              <w:tl2br w:val="nil"/>
              <w:tr2bl w:val="nil"/>
            </w:tcBorders>
            <w:shd w:val="clear" w:color="000000" w:fill="FFFFFF"/>
            <w:vAlign w:val="center"/>
          </w:tcPr>
          <w:p w14:paraId="7283B4D4">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381CCBCC">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578178C3">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06B45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218CC4BB">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照明和插座分项能耗（</w:t>
            </w:r>
            <w:r>
              <w:rPr>
                <w:rFonts w:ascii="Times New Roman" w:hAnsi="Times New Roman" w:eastAsia="宋体" w:cs="Times New Roman"/>
                <w:color w:val="auto"/>
                <w:sz w:val="18"/>
                <w:szCs w:val="18"/>
              </w:rPr>
              <w:t>kWh/m</w:t>
            </w:r>
            <w:r>
              <w:rPr>
                <w:rFonts w:ascii="Times New Roman" w:hAnsi="Times New Roman" w:eastAsia="宋体" w:cs="Times New Roman"/>
                <w:color w:val="auto"/>
                <w:sz w:val="18"/>
                <w:szCs w:val="18"/>
                <w:vertAlign w:val="superscript"/>
              </w:rPr>
              <w:t>2</w:t>
            </w:r>
            <w:r>
              <w:rPr>
                <w:rFonts w:hint="eastAsia" w:ascii="Times New Roman" w:hAnsi="Times New Roman" w:eastAsia="宋体" w:cs="Times New Roman"/>
                <w:color w:val="auto"/>
                <w:sz w:val="18"/>
                <w:szCs w:val="18"/>
              </w:rPr>
              <w:t>）</w:t>
            </w:r>
          </w:p>
        </w:tc>
        <w:tc>
          <w:tcPr>
            <w:tcW w:w="1527" w:type="dxa"/>
            <w:gridSpan w:val="2"/>
            <w:tcBorders>
              <w:tl2br w:val="nil"/>
              <w:tr2bl w:val="nil"/>
            </w:tcBorders>
            <w:shd w:val="clear" w:color="000000" w:fill="FFFFFF"/>
            <w:vAlign w:val="center"/>
          </w:tcPr>
          <w:p w14:paraId="76D32B8C">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104579D8">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5E68E199">
            <w:pPr>
              <w:pStyle w:val="47"/>
              <w:spacing w:line="360" w:lineRule="auto"/>
              <w:rPr>
                <w:rFonts w:ascii="Times New Roman" w:hAnsi="Times New Roman" w:eastAsia="宋体" w:cs="Times New Roman"/>
                <w:color w:val="auto"/>
                <w:sz w:val="18"/>
                <w:szCs w:val="18"/>
              </w:rPr>
            </w:pPr>
          </w:p>
        </w:tc>
      </w:tr>
      <w:tr w14:paraId="72CD9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0227608B">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动力设备分项能耗</w:t>
            </w:r>
            <w:r>
              <w:rPr>
                <w:rFonts w:ascii="Times New Roman" w:hAnsi="Times New Roman" w:eastAsia="宋体" w:cs="Times New Roman"/>
                <w:color w:val="auto"/>
                <w:sz w:val="18"/>
                <w:szCs w:val="18"/>
              </w:rPr>
              <w:t>（kWh/a）</w:t>
            </w:r>
          </w:p>
        </w:tc>
        <w:tc>
          <w:tcPr>
            <w:tcW w:w="1527" w:type="dxa"/>
            <w:gridSpan w:val="2"/>
            <w:tcBorders>
              <w:tl2br w:val="nil"/>
              <w:tr2bl w:val="nil"/>
            </w:tcBorders>
            <w:shd w:val="clear" w:color="000000" w:fill="FFFFFF"/>
            <w:vAlign w:val="center"/>
          </w:tcPr>
          <w:p w14:paraId="71D8D410">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113914C3">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28BCE1B7">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5574EF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458D2CEA">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动力设备分项能耗指标（</w:t>
            </w:r>
            <w:r>
              <w:rPr>
                <w:rFonts w:ascii="Times New Roman" w:hAnsi="Times New Roman" w:eastAsia="宋体" w:cs="Times New Roman"/>
                <w:color w:val="auto"/>
                <w:sz w:val="18"/>
                <w:szCs w:val="18"/>
              </w:rPr>
              <w:t>kWh/m</w:t>
            </w:r>
            <w:r>
              <w:rPr>
                <w:rFonts w:ascii="Times New Roman" w:hAnsi="Times New Roman" w:eastAsia="宋体" w:cs="Times New Roman"/>
                <w:color w:val="auto"/>
                <w:sz w:val="18"/>
                <w:szCs w:val="18"/>
                <w:vertAlign w:val="superscript"/>
              </w:rPr>
              <w:t>2</w:t>
            </w:r>
            <w:r>
              <w:rPr>
                <w:rFonts w:hint="eastAsia" w:ascii="Times New Roman" w:hAnsi="Times New Roman" w:eastAsia="宋体" w:cs="Times New Roman"/>
                <w:color w:val="auto"/>
                <w:sz w:val="18"/>
                <w:szCs w:val="18"/>
              </w:rPr>
              <w:t>）</w:t>
            </w:r>
          </w:p>
        </w:tc>
        <w:tc>
          <w:tcPr>
            <w:tcW w:w="1527" w:type="dxa"/>
            <w:gridSpan w:val="2"/>
            <w:tcBorders>
              <w:tl2br w:val="nil"/>
              <w:tr2bl w:val="nil"/>
            </w:tcBorders>
            <w:shd w:val="clear" w:color="000000" w:fill="FFFFFF"/>
            <w:vAlign w:val="center"/>
          </w:tcPr>
          <w:p w14:paraId="171D2319">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2F222F39">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2258AE92">
            <w:pPr>
              <w:pStyle w:val="47"/>
              <w:spacing w:line="360" w:lineRule="auto"/>
              <w:rPr>
                <w:rFonts w:ascii="Times New Roman" w:hAnsi="Times New Roman" w:eastAsia="宋体" w:cs="Times New Roman"/>
                <w:color w:val="auto"/>
                <w:sz w:val="18"/>
                <w:szCs w:val="18"/>
              </w:rPr>
            </w:pPr>
          </w:p>
        </w:tc>
      </w:tr>
      <w:tr w14:paraId="11869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1CAA4941">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特殊设备分项能耗</w:t>
            </w:r>
            <w:r>
              <w:rPr>
                <w:rFonts w:ascii="Times New Roman" w:hAnsi="Times New Roman" w:eastAsia="宋体" w:cs="Times New Roman"/>
                <w:color w:val="auto"/>
                <w:sz w:val="18"/>
                <w:szCs w:val="18"/>
              </w:rPr>
              <w:t>（kWh/a）</w:t>
            </w:r>
          </w:p>
        </w:tc>
        <w:tc>
          <w:tcPr>
            <w:tcW w:w="1527" w:type="dxa"/>
            <w:gridSpan w:val="2"/>
            <w:tcBorders>
              <w:tl2br w:val="nil"/>
              <w:tr2bl w:val="nil"/>
            </w:tcBorders>
            <w:shd w:val="clear" w:color="000000" w:fill="FFFFFF"/>
            <w:vAlign w:val="center"/>
          </w:tcPr>
          <w:p w14:paraId="3AF90454">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472DFE7C">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0B9368AE">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w:t>
            </w:r>
          </w:p>
        </w:tc>
      </w:tr>
      <w:tr w14:paraId="263967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0D9F4EB4">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特殊设备能耗（</w:t>
            </w:r>
            <w:r>
              <w:rPr>
                <w:rFonts w:ascii="Times New Roman" w:hAnsi="Times New Roman" w:eastAsia="宋体" w:cs="Times New Roman"/>
                <w:color w:val="auto"/>
                <w:sz w:val="18"/>
                <w:szCs w:val="18"/>
              </w:rPr>
              <w:t>kWh/m</w:t>
            </w:r>
            <w:r>
              <w:rPr>
                <w:rFonts w:ascii="Times New Roman" w:hAnsi="Times New Roman" w:eastAsia="宋体" w:cs="Times New Roman"/>
                <w:color w:val="auto"/>
                <w:sz w:val="18"/>
                <w:szCs w:val="18"/>
                <w:vertAlign w:val="superscript"/>
              </w:rPr>
              <w:t>2</w:t>
            </w:r>
            <w:r>
              <w:rPr>
                <w:rFonts w:hint="eastAsia" w:ascii="Times New Roman" w:hAnsi="Times New Roman" w:eastAsia="宋体" w:cs="Times New Roman"/>
                <w:color w:val="auto"/>
                <w:sz w:val="18"/>
                <w:szCs w:val="18"/>
              </w:rPr>
              <w:t>）</w:t>
            </w:r>
          </w:p>
        </w:tc>
        <w:tc>
          <w:tcPr>
            <w:tcW w:w="1527" w:type="dxa"/>
            <w:gridSpan w:val="2"/>
            <w:tcBorders>
              <w:tl2br w:val="nil"/>
              <w:tr2bl w:val="nil"/>
            </w:tcBorders>
            <w:shd w:val="clear" w:color="000000" w:fill="FFFFFF"/>
            <w:vAlign w:val="center"/>
          </w:tcPr>
          <w:p w14:paraId="273562FF">
            <w:pPr>
              <w:pStyle w:val="47"/>
              <w:spacing w:line="360" w:lineRule="auto"/>
              <w:rPr>
                <w:rFonts w:ascii="Times New Roman" w:hAnsi="Times New Roman" w:eastAsia="宋体" w:cs="Times New Roman"/>
                <w:color w:val="auto"/>
                <w:sz w:val="18"/>
                <w:szCs w:val="18"/>
              </w:rPr>
            </w:pPr>
          </w:p>
        </w:tc>
        <w:tc>
          <w:tcPr>
            <w:tcW w:w="1704" w:type="dxa"/>
            <w:gridSpan w:val="3"/>
            <w:tcBorders>
              <w:tl2br w:val="nil"/>
              <w:tr2bl w:val="nil"/>
            </w:tcBorders>
            <w:shd w:val="clear" w:color="000000" w:fill="FFFFFF"/>
            <w:vAlign w:val="center"/>
          </w:tcPr>
          <w:p w14:paraId="0B16811E">
            <w:pPr>
              <w:pStyle w:val="47"/>
              <w:spacing w:line="360" w:lineRule="auto"/>
              <w:rPr>
                <w:rFonts w:ascii="Times New Roman" w:hAnsi="Times New Roman" w:eastAsia="宋体" w:cs="Times New Roman"/>
                <w:color w:val="auto"/>
                <w:sz w:val="18"/>
                <w:szCs w:val="18"/>
              </w:rPr>
            </w:pPr>
          </w:p>
        </w:tc>
        <w:tc>
          <w:tcPr>
            <w:tcW w:w="1705" w:type="dxa"/>
            <w:gridSpan w:val="2"/>
            <w:tcBorders>
              <w:tl2br w:val="nil"/>
              <w:tr2bl w:val="nil"/>
            </w:tcBorders>
            <w:shd w:val="clear" w:color="000000" w:fill="FFFFFF"/>
            <w:vAlign w:val="center"/>
          </w:tcPr>
          <w:p w14:paraId="75F03032">
            <w:pPr>
              <w:pStyle w:val="47"/>
              <w:spacing w:line="360" w:lineRule="auto"/>
              <w:rPr>
                <w:rFonts w:ascii="Times New Roman" w:hAnsi="Times New Roman" w:eastAsia="宋体" w:cs="Times New Roman"/>
                <w:color w:val="auto"/>
                <w:sz w:val="18"/>
                <w:szCs w:val="18"/>
              </w:rPr>
            </w:pPr>
          </w:p>
        </w:tc>
      </w:tr>
      <w:tr w14:paraId="3847C9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exact"/>
        </w:trPr>
        <w:tc>
          <w:tcPr>
            <w:tcW w:w="8516" w:type="dxa"/>
            <w:gridSpan w:val="11"/>
            <w:tcBorders>
              <w:tl2br w:val="nil"/>
              <w:tr2bl w:val="nil"/>
            </w:tcBorders>
            <w:vAlign w:val="center"/>
          </w:tcPr>
          <w:p w14:paraId="4C53172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sz w:val="18"/>
                <w:szCs w:val="18"/>
              </w:rPr>
              <w:t>能源管理诊断</w:t>
            </w:r>
          </w:p>
        </w:tc>
      </w:tr>
      <w:tr w14:paraId="33D891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auto" w:fill="auto"/>
            <w:vAlign w:val="center"/>
          </w:tcPr>
          <w:p w14:paraId="6BB5044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kern w:val="0"/>
                <w:sz w:val="18"/>
                <w:szCs w:val="18"/>
              </w:rPr>
              <w:t>诊断内容</w:t>
            </w:r>
          </w:p>
        </w:tc>
        <w:tc>
          <w:tcPr>
            <w:tcW w:w="1527" w:type="dxa"/>
            <w:gridSpan w:val="2"/>
            <w:tcBorders>
              <w:tl2br w:val="nil"/>
              <w:tr2bl w:val="nil"/>
            </w:tcBorders>
            <w:shd w:val="clear" w:color="000000" w:fill="FFFFFF"/>
            <w:vAlign w:val="center"/>
          </w:tcPr>
          <w:p w14:paraId="125EEAF4">
            <w:pPr>
              <w:pStyle w:val="47"/>
              <w:spacing w:line="360" w:lineRule="auto"/>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诊断</w:t>
            </w:r>
            <w:r>
              <w:rPr>
                <w:rFonts w:hint="eastAsia" w:ascii="Times New Roman" w:hAnsi="Times New Roman" w:eastAsia="宋体" w:cs="Times New Roman"/>
                <w:b/>
                <w:bCs/>
                <w:color w:val="auto"/>
                <w:sz w:val="18"/>
                <w:szCs w:val="18"/>
              </w:rPr>
              <w:t>方法</w:t>
            </w:r>
          </w:p>
        </w:tc>
        <w:tc>
          <w:tcPr>
            <w:tcW w:w="3409" w:type="dxa"/>
            <w:gridSpan w:val="5"/>
            <w:tcBorders>
              <w:tl2br w:val="nil"/>
              <w:tr2bl w:val="nil"/>
            </w:tcBorders>
            <w:shd w:val="clear" w:color="000000" w:fill="FFFFFF"/>
            <w:vAlign w:val="center"/>
          </w:tcPr>
          <w:p w14:paraId="06FC6AA6">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诊断结果</w:t>
            </w:r>
          </w:p>
        </w:tc>
      </w:tr>
      <w:tr w14:paraId="48EC7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39799A77">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能源管理方针、目标</w:t>
            </w:r>
          </w:p>
        </w:tc>
        <w:tc>
          <w:tcPr>
            <w:tcW w:w="1527" w:type="dxa"/>
            <w:gridSpan w:val="2"/>
            <w:tcBorders>
              <w:tl2br w:val="nil"/>
              <w:tr2bl w:val="nil"/>
            </w:tcBorders>
            <w:vAlign w:val="center"/>
          </w:tcPr>
          <w:p w14:paraId="12FBDA69">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6301A65A">
            <w:pPr>
              <w:spacing w:line="360" w:lineRule="auto"/>
              <w:jc w:val="center"/>
              <w:rPr>
                <w:rFonts w:ascii="Times New Roman" w:hAnsi="Times New Roman" w:eastAsia="宋体" w:cs="Times New Roman"/>
                <w:kern w:val="0"/>
                <w:sz w:val="18"/>
                <w:szCs w:val="18"/>
              </w:rPr>
            </w:pPr>
          </w:p>
        </w:tc>
      </w:tr>
      <w:tr w14:paraId="745242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37514F4B">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机构设置</w:t>
            </w:r>
          </w:p>
        </w:tc>
        <w:tc>
          <w:tcPr>
            <w:tcW w:w="1527" w:type="dxa"/>
            <w:gridSpan w:val="2"/>
            <w:tcBorders>
              <w:tl2br w:val="nil"/>
              <w:tr2bl w:val="nil"/>
            </w:tcBorders>
            <w:vAlign w:val="center"/>
          </w:tcPr>
          <w:p w14:paraId="3661502A">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5BC969C5">
            <w:pPr>
              <w:spacing w:line="360" w:lineRule="auto"/>
              <w:jc w:val="center"/>
              <w:rPr>
                <w:rFonts w:ascii="Times New Roman" w:hAnsi="Times New Roman" w:eastAsia="宋体" w:cs="Times New Roman"/>
                <w:kern w:val="0"/>
                <w:sz w:val="18"/>
                <w:szCs w:val="18"/>
              </w:rPr>
            </w:pPr>
          </w:p>
        </w:tc>
      </w:tr>
      <w:tr w14:paraId="67CDDC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4769D926">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制度建设</w:t>
            </w:r>
          </w:p>
        </w:tc>
        <w:tc>
          <w:tcPr>
            <w:tcW w:w="1527" w:type="dxa"/>
            <w:gridSpan w:val="2"/>
            <w:tcBorders>
              <w:tl2br w:val="nil"/>
              <w:tr2bl w:val="nil"/>
            </w:tcBorders>
            <w:vAlign w:val="center"/>
          </w:tcPr>
          <w:p w14:paraId="5B2056CF">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176C3273">
            <w:pPr>
              <w:spacing w:line="360" w:lineRule="auto"/>
              <w:jc w:val="center"/>
              <w:rPr>
                <w:rFonts w:ascii="Times New Roman" w:hAnsi="Times New Roman" w:eastAsia="宋体" w:cs="Times New Roman"/>
                <w:kern w:val="0"/>
                <w:sz w:val="18"/>
                <w:szCs w:val="18"/>
              </w:rPr>
            </w:pPr>
          </w:p>
        </w:tc>
      </w:tr>
      <w:tr w14:paraId="27670D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13D16E2F">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管理绩效</w:t>
            </w:r>
          </w:p>
        </w:tc>
        <w:tc>
          <w:tcPr>
            <w:tcW w:w="1527" w:type="dxa"/>
            <w:gridSpan w:val="2"/>
            <w:tcBorders>
              <w:tl2br w:val="nil"/>
              <w:tr2bl w:val="nil"/>
            </w:tcBorders>
            <w:vAlign w:val="center"/>
          </w:tcPr>
          <w:p w14:paraId="2B3DA2E9">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430A860C">
            <w:pPr>
              <w:spacing w:line="360" w:lineRule="auto"/>
              <w:jc w:val="center"/>
              <w:rPr>
                <w:rFonts w:ascii="Times New Roman" w:hAnsi="Times New Roman" w:eastAsia="宋体" w:cs="Times New Roman"/>
                <w:kern w:val="0"/>
                <w:sz w:val="18"/>
                <w:szCs w:val="18"/>
              </w:rPr>
            </w:pPr>
          </w:p>
        </w:tc>
      </w:tr>
      <w:tr w14:paraId="4A17F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6C186ADB">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能源资源计量及统计状况评估</w:t>
            </w:r>
          </w:p>
        </w:tc>
        <w:tc>
          <w:tcPr>
            <w:tcW w:w="1527" w:type="dxa"/>
            <w:gridSpan w:val="2"/>
            <w:tcBorders>
              <w:tl2br w:val="nil"/>
              <w:tr2bl w:val="nil"/>
            </w:tcBorders>
            <w:vAlign w:val="center"/>
          </w:tcPr>
          <w:p w14:paraId="0AB841EB">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7584D347">
            <w:pPr>
              <w:spacing w:line="360" w:lineRule="auto"/>
              <w:jc w:val="center"/>
              <w:rPr>
                <w:rFonts w:ascii="Times New Roman" w:hAnsi="Times New Roman" w:eastAsia="宋体" w:cs="Times New Roman"/>
                <w:kern w:val="0"/>
                <w:sz w:val="18"/>
                <w:szCs w:val="18"/>
              </w:rPr>
            </w:pPr>
          </w:p>
        </w:tc>
      </w:tr>
      <w:tr w14:paraId="0E7535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vAlign w:val="center"/>
          </w:tcPr>
          <w:p w14:paraId="33636301">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能效监管系统</w:t>
            </w:r>
          </w:p>
        </w:tc>
        <w:tc>
          <w:tcPr>
            <w:tcW w:w="1527" w:type="dxa"/>
            <w:gridSpan w:val="2"/>
            <w:tcBorders>
              <w:tl2br w:val="nil"/>
              <w:tr2bl w:val="nil"/>
            </w:tcBorders>
            <w:vAlign w:val="center"/>
          </w:tcPr>
          <w:p w14:paraId="4B40BB5E">
            <w:pPr>
              <w:spacing w:line="360" w:lineRule="auto"/>
              <w:jc w:val="center"/>
              <w:rPr>
                <w:rFonts w:ascii="Times New Roman" w:hAnsi="Times New Roman" w:eastAsia="宋体" w:cs="Times New Roman"/>
                <w:kern w:val="0"/>
                <w:sz w:val="18"/>
                <w:szCs w:val="18"/>
              </w:rPr>
            </w:pPr>
          </w:p>
        </w:tc>
        <w:tc>
          <w:tcPr>
            <w:tcW w:w="3409" w:type="dxa"/>
            <w:gridSpan w:val="5"/>
            <w:tcBorders>
              <w:tl2br w:val="nil"/>
              <w:tr2bl w:val="nil"/>
            </w:tcBorders>
            <w:vAlign w:val="center"/>
          </w:tcPr>
          <w:p w14:paraId="604FEDDF">
            <w:pPr>
              <w:spacing w:line="360" w:lineRule="auto"/>
              <w:jc w:val="center"/>
              <w:rPr>
                <w:rFonts w:ascii="Times New Roman" w:hAnsi="Times New Roman" w:eastAsia="宋体" w:cs="Times New Roman"/>
                <w:kern w:val="0"/>
                <w:sz w:val="18"/>
                <w:szCs w:val="18"/>
              </w:rPr>
            </w:pPr>
          </w:p>
        </w:tc>
      </w:tr>
      <w:tr w14:paraId="4AF9C2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exact"/>
        </w:trPr>
        <w:tc>
          <w:tcPr>
            <w:tcW w:w="8516" w:type="dxa"/>
            <w:gridSpan w:val="11"/>
            <w:tcBorders>
              <w:tl2br w:val="nil"/>
              <w:tr2bl w:val="nil"/>
            </w:tcBorders>
            <w:vAlign w:val="center"/>
          </w:tcPr>
          <w:p w14:paraId="3E5038AA">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sz w:val="18"/>
                <w:szCs w:val="18"/>
              </w:rPr>
              <w:t>可再生能源利用</w:t>
            </w:r>
          </w:p>
        </w:tc>
      </w:tr>
      <w:tr w14:paraId="4E22A7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auto" w:fill="auto"/>
            <w:vAlign w:val="center"/>
          </w:tcPr>
          <w:p w14:paraId="5B016F20">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kern w:val="0"/>
                <w:sz w:val="18"/>
                <w:szCs w:val="18"/>
              </w:rPr>
              <w:t>诊断内容</w:t>
            </w:r>
          </w:p>
        </w:tc>
        <w:tc>
          <w:tcPr>
            <w:tcW w:w="3231" w:type="dxa"/>
            <w:gridSpan w:val="5"/>
            <w:tcBorders>
              <w:tl2br w:val="nil"/>
              <w:tr2bl w:val="nil"/>
            </w:tcBorders>
            <w:shd w:val="clear" w:color="000000" w:fill="FFFFFF"/>
            <w:vAlign w:val="center"/>
          </w:tcPr>
          <w:p w14:paraId="04B0F89E">
            <w:pPr>
              <w:pStyle w:val="47"/>
              <w:spacing w:line="360" w:lineRule="auto"/>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诊断结果</w:t>
            </w:r>
          </w:p>
        </w:tc>
        <w:tc>
          <w:tcPr>
            <w:tcW w:w="1705" w:type="dxa"/>
            <w:gridSpan w:val="2"/>
            <w:tcBorders>
              <w:tl2br w:val="nil"/>
              <w:tr2bl w:val="nil"/>
            </w:tcBorders>
            <w:vAlign w:val="center"/>
          </w:tcPr>
          <w:p w14:paraId="49CC4E7D">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kern w:val="0"/>
                <w:sz w:val="18"/>
                <w:szCs w:val="18"/>
              </w:rPr>
              <w:t>诊断得分</w:t>
            </w:r>
          </w:p>
        </w:tc>
      </w:tr>
      <w:tr w14:paraId="2C9B0F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5DF70FA7">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可再生能源提供生活热水</w:t>
            </w:r>
          </w:p>
        </w:tc>
        <w:tc>
          <w:tcPr>
            <w:tcW w:w="3231" w:type="dxa"/>
            <w:gridSpan w:val="5"/>
            <w:tcBorders>
              <w:tl2br w:val="nil"/>
              <w:tr2bl w:val="nil"/>
            </w:tcBorders>
            <w:vAlign w:val="center"/>
          </w:tcPr>
          <w:p w14:paraId="3CC33642">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AF1B9A6">
            <w:pPr>
              <w:spacing w:line="360" w:lineRule="auto"/>
              <w:jc w:val="center"/>
              <w:rPr>
                <w:rFonts w:ascii="Times New Roman" w:hAnsi="Times New Roman" w:eastAsia="宋体" w:cs="Times New Roman"/>
                <w:kern w:val="0"/>
                <w:sz w:val="18"/>
                <w:szCs w:val="18"/>
              </w:rPr>
            </w:pPr>
          </w:p>
        </w:tc>
      </w:tr>
      <w:tr w14:paraId="3C5C70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3D792578">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可再生能源提供空调冷量和热量</w:t>
            </w:r>
          </w:p>
        </w:tc>
        <w:tc>
          <w:tcPr>
            <w:tcW w:w="3231" w:type="dxa"/>
            <w:gridSpan w:val="5"/>
            <w:tcBorders>
              <w:tl2br w:val="nil"/>
              <w:tr2bl w:val="nil"/>
            </w:tcBorders>
            <w:vAlign w:val="center"/>
          </w:tcPr>
          <w:p w14:paraId="23316246">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1EF1E90A">
            <w:pPr>
              <w:spacing w:line="360" w:lineRule="auto"/>
              <w:jc w:val="center"/>
              <w:rPr>
                <w:rFonts w:ascii="Times New Roman" w:hAnsi="Times New Roman" w:eastAsia="宋体" w:cs="Times New Roman"/>
                <w:kern w:val="0"/>
                <w:sz w:val="18"/>
                <w:szCs w:val="18"/>
              </w:rPr>
            </w:pPr>
          </w:p>
        </w:tc>
      </w:tr>
      <w:tr w14:paraId="267A4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580" w:type="dxa"/>
            <w:gridSpan w:val="4"/>
            <w:tcBorders>
              <w:tl2br w:val="nil"/>
              <w:tr2bl w:val="nil"/>
            </w:tcBorders>
            <w:shd w:val="clear" w:color="000000" w:fill="FFFFFF"/>
            <w:vAlign w:val="center"/>
          </w:tcPr>
          <w:p w14:paraId="2A15E596">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可再生能源提供电量</w:t>
            </w:r>
          </w:p>
        </w:tc>
        <w:tc>
          <w:tcPr>
            <w:tcW w:w="3231" w:type="dxa"/>
            <w:gridSpan w:val="5"/>
            <w:tcBorders>
              <w:tl2br w:val="nil"/>
              <w:tr2bl w:val="nil"/>
            </w:tcBorders>
            <w:vAlign w:val="center"/>
          </w:tcPr>
          <w:p w14:paraId="5E9BB0FC">
            <w:pPr>
              <w:spacing w:line="360" w:lineRule="auto"/>
              <w:jc w:val="center"/>
              <w:rPr>
                <w:rFonts w:ascii="Times New Roman" w:hAnsi="Times New Roman" w:eastAsia="宋体" w:cs="Times New Roman"/>
                <w:kern w:val="0"/>
                <w:sz w:val="18"/>
                <w:szCs w:val="18"/>
              </w:rPr>
            </w:pPr>
          </w:p>
        </w:tc>
        <w:tc>
          <w:tcPr>
            <w:tcW w:w="1705" w:type="dxa"/>
            <w:gridSpan w:val="2"/>
            <w:tcBorders>
              <w:tl2br w:val="nil"/>
              <w:tr2bl w:val="nil"/>
            </w:tcBorders>
            <w:vAlign w:val="center"/>
          </w:tcPr>
          <w:p w14:paraId="5FF548CA">
            <w:pPr>
              <w:spacing w:line="360" w:lineRule="auto"/>
              <w:jc w:val="center"/>
              <w:rPr>
                <w:rFonts w:ascii="Times New Roman" w:hAnsi="Times New Roman" w:eastAsia="宋体" w:cs="Times New Roman"/>
                <w:kern w:val="0"/>
                <w:sz w:val="18"/>
                <w:szCs w:val="18"/>
              </w:rPr>
            </w:pPr>
          </w:p>
        </w:tc>
      </w:tr>
      <w:tr w14:paraId="7F107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11" w:type="dxa"/>
            <w:gridSpan w:val="9"/>
            <w:tcBorders>
              <w:tl2br w:val="nil"/>
              <w:tr2bl w:val="nil"/>
            </w:tcBorders>
            <w:vAlign w:val="center"/>
          </w:tcPr>
          <w:p w14:paraId="66C54F96">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合计</w:t>
            </w:r>
          </w:p>
        </w:tc>
        <w:tc>
          <w:tcPr>
            <w:tcW w:w="1705" w:type="dxa"/>
            <w:gridSpan w:val="2"/>
            <w:tcBorders>
              <w:tl2br w:val="nil"/>
              <w:tr2bl w:val="nil"/>
            </w:tcBorders>
            <w:vAlign w:val="center"/>
          </w:tcPr>
          <w:p w14:paraId="5FA6F13D">
            <w:pPr>
              <w:spacing w:line="360" w:lineRule="auto"/>
              <w:jc w:val="center"/>
              <w:rPr>
                <w:rFonts w:ascii="Times New Roman" w:hAnsi="Times New Roman" w:eastAsia="宋体" w:cs="Times New Roman"/>
                <w:kern w:val="0"/>
                <w:sz w:val="18"/>
                <w:szCs w:val="18"/>
              </w:rPr>
            </w:pPr>
          </w:p>
        </w:tc>
      </w:tr>
      <w:tr w14:paraId="7EF0F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6" w:type="dxa"/>
            <w:gridSpan w:val="11"/>
            <w:tcBorders>
              <w:tl2br w:val="nil"/>
              <w:tr2bl w:val="nil"/>
            </w:tcBorders>
            <w:vAlign w:val="center"/>
          </w:tcPr>
          <w:p w14:paraId="177D69CC">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b/>
                <w:bCs/>
                <w:sz w:val="18"/>
                <w:szCs w:val="18"/>
              </w:rPr>
              <w:t>能效诊断结论</w:t>
            </w:r>
          </w:p>
        </w:tc>
      </w:tr>
      <w:tr w14:paraId="011DF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12" w:type="dxa"/>
            <w:gridSpan w:val="5"/>
            <w:tcBorders>
              <w:tl2br w:val="nil"/>
              <w:tr2bl w:val="nil"/>
            </w:tcBorders>
            <w:vAlign w:val="center"/>
          </w:tcPr>
          <w:p w14:paraId="676D60A0">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sz w:val="18"/>
                <w:szCs w:val="18"/>
              </w:rPr>
              <w:t>建筑能效等级</w:t>
            </w:r>
          </w:p>
        </w:tc>
        <w:tc>
          <w:tcPr>
            <w:tcW w:w="3504" w:type="dxa"/>
            <w:gridSpan w:val="6"/>
            <w:tcBorders>
              <w:tl2br w:val="nil"/>
              <w:tr2bl w:val="nil"/>
            </w:tcBorders>
            <w:vAlign w:val="center"/>
          </w:tcPr>
          <w:p w14:paraId="2DA77228">
            <w:pPr>
              <w:spacing w:line="360" w:lineRule="auto"/>
              <w:jc w:val="center"/>
              <w:rPr>
                <w:rFonts w:ascii="Times New Roman" w:hAnsi="Times New Roman" w:eastAsia="宋体" w:cs="Times New Roman"/>
                <w:b/>
                <w:bCs/>
                <w:sz w:val="18"/>
                <w:szCs w:val="18"/>
              </w:rPr>
            </w:pPr>
          </w:p>
        </w:tc>
      </w:tr>
      <w:tr w14:paraId="3D1B85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38" w:type="dxa"/>
            <w:gridSpan w:val="2"/>
            <w:vMerge w:val="restart"/>
            <w:tcBorders>
              <w:tl2br w:val="nil"/>
              <w:tr2bl w:val="nil"/>
            </w:tcBorders>
            <w:vAlign w:val="center"/>
          </w:tcPr>
          <w:p w14:paraId="47948CCF">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sz w:val="18"/>
                <w:szCs w:val="18"/>
              </w:rPr>
              <w:t>能效提升建议</w:t>
            </w:r>
          </w:p>
        </w:tc>
        <w:tc>
          <w:tcPr>
            <w:tcW w:w="2838" w:type="dxa"/>
            <w:gridSpan w:val="5"/>
            <w:tcBorders>
              <w:tl2br w:val="nil"/>
              <w:tr2bl w:val="nil"/>
            </w:tcBorders>
            <w:shd w:val="clear" w:color="000000" w:fill="FFFFFF"/>
            <w:vAlign w:val="center"/>
          </w:tcPr>
          <w:p w14:paraId="40DC7BBF">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能效</w:t>
            </w:r>
            <w:r>
              <w:rPr>
                <w:rFonts w:hint="eastAsia" w:ascii="Times New Roman" w:hAnsi="Times New Roman" w:eastAsia="宋体" w:cs="Times New Roman"/>
                <w:color w:val="auto"/>
                <w:sz w:val="18"/>
                <w:szCs w:val="18"/>
              </w:rPr>
              <w:t>分级</w:t>
            </w:r>
          </w:p>
        </w:tc>
        <w:tc>
          <w:tcPr>
            <w:tcW w:w="2840" w:type="dxa"/>
            <w:gridSpan w:val="4"/>
            <w:tcBorders>
              <w:tl2br w:val="nil"/>
              <w:tr2bl w:val="nil"/>
            </w:tcBorders>
            <w:vAlign w:val="center"/>
          </w:tcPr>
          <w:p w14:paraId="442BFDE2">
            <w:pPr>
              <w:spacing w:line="360" w:lineRule="auto"/>
              <w:jc w:val="center"/>
              <w:rPr>
                <w:rFonts w:ascii="Times New Roman" w:hAnsi="Times New Roman" w:eastAsia="宋体" w:cs="Times New Roman"/>
                <w:b/>
                <w:bCs/>
                <w:sz w:val="18"/>
                <w:szCs w:val="18"/>
              </w:rPr>
            </w:pPr>
          </w:p>
        </w:tc>
      </w:tr>
      <w:tr w14:paraId="0064C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38" w:type="dxa"/>
            <w:gridSpan w:val="2"/>
            <w:vMerge w:val="continue"/>
            <w:tcBorders>
              <w:tl2br w:val="nil"/>
              <w:tr2bl w:val="nil"/>
            </w:tcBorders>
            <w:vAlign w:val="center"/>
          </w:tcPr>
          <w:p w14:paraId="4C1D9B44">
            <w:pPr>
              <w:spacing w:line="360" w:lineRule="auto"/>
              <w:jc w:val="center"/>
              <w:rPr>
                <w:rFonts w:ascii="Times New Roman" w:hAnsi="Times New Roman" w:eastAsia="宋体" w:cs="Times New Roman"/>
                <w:b/>
                <w:bCs/>
                <w:sz w:val="18"/>
                <w:szCs w:val="18"/>
              </w:rPr>
            </w:pPr>
          </w:p>
        </w:tc>
        <w:tc>
          <w:tcPr>
            <w:tcW w:w="2838" w:type="dxa"/>
            <w:gridSpan w:val="5"/>
            <w:tcBorders>
              <w:tl2br w:val="nil"/>
              <w:tr2bl w:val="nil"/>
            </w:tcBorders>
            <w:shd w:val="clear" w:color="000000" w:fill="FFFFFF"/>
            <w:vAlign w:val="center"/>
          </w:tcPr>
          <w:p w14:paraId="3CBF416F">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分项能效</w:t>
            </w:r>
          </w:p>
        </w:tc>
        <w:tc>
          <w:tcPr>
            <w:tcW w:w="2840" w:type="dxa"/>
            <w:gridSpan w:val="4"/>
            <w:tcBorders>
              <w:tl2br w:val="nil"/>
              <w:tr2bl w:val="nil"/>
            </w:tcBorders>
            <w:vAlign w:val="center"/>
          </w:tcPr>
          <w:p w14:paraId="57C98B32">
            <w:pPr>
              <w:spacing w:line="360" w:lineRule="auto"/>
              <w:jc w:val="center"/>
              <w:rPr>
                <w:rFonts w:ascii="Times New Roman" w:hAnsi="Times New Roman" w:eastAsia="宋体" w:cs="Times New Roman"/>
                <w:b/>
                <w:bCs/>
                <w:sz w:val="18"/>
                <w:szCs w:val="18"/>
              </w:rPr>
            </w:pPr>
          </w:p>
        </w:tc>
      </w:tr>
      <w:tr w14:paraId="2FE9C3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38" w:type="dxa"/>
            <w:gridSpan w:val="2"/>
            <w:vMerge w:val="continue"/>
            <w:tcBorders>
              <w:tl2br w:val="nil"/>
              <w:tr2bl w:val="nil"/>
            </w:tcBorders>
            <w:vAlign w:val="center"/>
          </w:tcPr>
          <w:p w14:paraId="076E59F3">
            <w:pPr>
              <w:spacing w:line="360" w:lineRule="auto"/>
              <w:jc w:val="center"/>
              <w:rPr>
                <w:rFonts w:ascii="Times New Roman" w:hAnsi="Times New Roman" w:eastAsia="宋体" w:cs="Times New Roman"/>
                <w:b/>
                <w:bCs/>
                <w:sz w:val="18"/>
                <w:szCs w:val="18"/>
              </w:rPr>
            </w:pPr>
          </w:p>
        </w:tc>
        <w:tc>
          <w:tcPr>
            <w:tcW w:w="2838" w:type="dxa"/>
            <w:gridSpan w:val="5"/>
            <w:tcBorders>
              <w:tl2br w:val="nil"/>
              <w:tr2bl w:val="nil"/>
            </w:tcBorders>
            <w:shd w:val="clear" w:color="000000" w:fill="FFFFFF"/>
            <w:vAlign w:val="center"/>
          </w:tcPr>
          <w:p w14:paraId="24967A13">
            <w:pPr>
              <w:pStyle w:val="47"/>
              <w:spacing w:line="360" w:lineRule="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能源管理</w:t>
            </w:r>
          </w:p>
        </w:tc>
        <w:tc>
          <w:tcPr>
            <w:tcW w:w="2840" w:type="dxa"/>
            <w:gridSpan w:val="4"/>
            <w:tcBorders>
              <w:tl2br w:val="nil"/>
              <w:tr2bl w:val="nil"/>
            </w:tcBorders>
            <w:vAlign w:val="center"/>
          </w:tcPr>
          <w:p w14:paraId="1E978505">
            <w:pPr>
              <w:spacing w:line="360" w:lineRule="auto"/>
              <w:jc w:val="center"/>
              <w:rPr>
                <w:rFonts w:ascii="Times New Roman" w:hAnsi="Times New Roman" w:eastAsia="宋体" w:cs="Times New Roman"/>
                <w:b/>
                <w:bCs/>
                <w:sz w:val="18"/>
                <w:szCs w:val="18"/>
              </w:rPr>
            </w:pPr>
          </w:p>
        </w:tc>
      </w:tr>
      <w:tr w14:paraId="0D8C87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38" w:type="dxa"/>
            <w:gridSpan w:val="2"/>
            <w:tcBorders>
              <w:tl2br w:val="nil"/>
              <w:tr2bl w:val="nil"/>
            </w:tcBorders>
            <w:vAlign w:val="center"/>
          </w:tcPr>
          <w:p w14:paraId="1BA62A34">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sz w:val="18"/>
                <w:szCs w:val="18"/>
              </w:rPr>
              <w:t>诊断机构（盖章）</w:t>
            </w:r>
          </w:p>
        </w:tc>
        <w:tc>
          <w:tcPr>
            <w:tcW w:w="2174" w:type="dxa"/>
            <w:gridSpan w:val="3"/>
            <w:tcBorders>
              <w:tl2br w:val="nil"/>
              <w:tr2bl w:val="nil"/>
            </w:tcBorders>
            <w:shd w:val="clear" w:color="000000" w:fill="FFFFFF"/>
            <w:vAlign w:val="center"/>
          </w:tcPr>
          <w:p w14:paraId="4E177D95">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负责人（签名）</w:t>
            </w:r>
          </w:p>
        </w:tc>
        <w:tc>
          <w:tcPr>
            <w:tcW w:w="1967" w:type="dxa"/>
            <w:gridSpan w:val="5"/>
            <w:tcBorders>
              <w:tl2br w:val="nil"/>
              <w:tr2bl w:val="nil"/>
            </w:tcBorders>
            <w:shd w:val="clear" w:color="000000" w:fill="FFFFFF"/>
            <w:vAlign w:val="center"/>
          </w:tcPr>
          <w:p w14:paraId="40B27561">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审核人（签名）</w:t>
            </w:r>
          </w:p>
        </w:tc>
        <w:tc>
          <w:tcPr>
            <w:tcW w:w="1537" w:type="dxa"/>
            <w:tcBorders>
              <w:tl2br w:val="nil"/>
              <w:tr2bl w:val="nil"/>
            </w:tcBorders>
            <w:shd w:val="clear" w:color="000000" w:fill="FFFFFF"/>
            <w:vAlign w:val="center"/>
          </w:tcPr>
          <w:p w14:paraId="0B7A3449">
            <w:pPr>
              <w:pStyle w:val="47"/>
              <w:spacing w:line="360" w:lineRule="auto"/>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日期</w:t>
            </w:r>
          </w:p>
        </w:tc>
      </w:tr>
      <w:tr w14:paraId="7B997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38" w:type="dxa"/>
            <w:gridSpan w:val="2"/>
            <w:tcBorders>
              <w:tl2br w:val="nil"/>
              <w:tr2bl w:val="nil"/>
            </w:tcBorders>
            <w:vAlign w:val="center"/>
          </w:tcPr>
          <w:p w14:paraId="7D578F09">
            <w:pPr>
              <w:spacing w:line="360" w:lineRule="auto"/>
              <w:jc w:val="center"/>
              <w:rPr>
                <w:rFonts w:ascii="Times New Roman" w:hAnsi="Times New Roman" w:eastAsia="宋体" w:cs="Times New Roman"/>
                <w:b/>
                <w:bCs/>
                <w:sz w:val="18"/>
                <w:szCs w:val="18"/>
              </w:rPr>
            </w:pPr>
          </w:p>
        </w:tc>
        <w:tc>
          <w:tcPr>
            <w:tcW w:w="2174" w:type="dxa"/>
            <w:gridSpan w:val="3"/>
            <w:tcBorders>
              <w:tl2br w:val="nil"/>
              <w:tr2bl w:val="nil"/>
            </w:tcBorders>
            <w:vAlign w:val="center"/>
          </w:tcPr>
          <w:p w14:paraId="5785BFED">
            <w:pPr>
              <w:spacing w:line="360" w:lineRule="auto"/>
              <w:jc w:val="center"/>
              <w:rPr>
                <w:rFonts w:ascii="Times New Roman" w:hAnsi="Times New Roman" w:eastAsia="宋体" w:cs="Times New Roman"/>
                <w:b/>
                <w:bCs/>
                <w:sz w:val="18"/>
                <w:szCs w:val="18"/>
              </w:rPr>
            </w:pPr>
          </w:p>
        </w:tc>
        <w:tc>
          <w:tcPr>
            <w:tcW w:w="1967" w:type="dxa"/>
            <w:gridSpan w:val="5"/>
            <w:tcBorders>
              <w:tl2br w:val="nil"/>
              <w:tr2bl w:val="nil"/>
            </w:tcBorders>
            <w:vAlign w:val="center"/>
          </w:tcPr>
          <w:p w14:paraId="67AD213E">
            <w:pPr>
              <w:spacing w:line="360" w:lineRule="auto"/>
              <w:jc w:val="center"/>
              <w:rPr>
                <w:rFonts w:ascii="Times New Roman" w:hAnsi="Times New Roman" w:eastAsia="宋体" w:cs="Times New Roman"/>
                <w:b/>
                <w:bCs/>
                <w:sz w:val="18"/>
                <w:szCs w:val="18"/>
              </w:rPr>
            </w:pPr>
          </w:p>
        </w:tc>
        <w:tc>
          <w:tcPr>
            <w:tcW w:w="1537" w:type="dxa"/>
            <w:tcBorders>
              <w:tl2br w:val="nil"/>
              <w:tr2bl w:val="nil"/>
            </w:tcBorders>
            <w:vAlign w:val="center"/>
          </w:tcPr>
          <w:p w14:paraId="7465B31A">
            <w:pPr>
              <w:spacing w:line="360" w:lineRule="auto"/>
              <w:jc w:val="center"/>
              <w:rPr>
                <w:rFonts w:ascii="Times New Roman" w:hAnsi="Times New Roman" w:eastAsia="宋体" w:cs="Times New Roman"/>
                <w:b/>
                <w:bCs/>
                <w:sz w:val="18"/>
                <w:szCs w:val="18"/>
              </w:rPr>
            </w:pPr>
          </w:p>
        </w:tc>
      </w:tr>
      <w:tr w14:paraId="02C61C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6" w:type="dxa"/>
            <w:gridSpan w:val="11"/>
            <w:tcBorders>
              <w:tl2br w:val="nil"/>
              <w:tr2bl w:val="nil"/>
            </w:tcBorders>
            <w:vAlign w:val="center"/>
          </w:tcPr>
          <w:p w14:paraId="660EEAFA">
            <w:pPr>
              <w:spacing w:line="360" w:lineRule="auto"/>
              <w:jc w:val="left"/>
              <w:rPr>
                <w:rFonts w:ascii="Times New Roman" w:hAnsi="Times New Roman" w:eastAsia="宋体" w:cs="Times New Roman"/>
                <w:b/>
                <w:bCs/>
                <w:sz w:val="18"/>
                <w:szCs w:val="18"/>
              </w:rPr>
            </w:pPr>
            <w:r>
              <w:rPr>
                <w:rFonts w:hint="eastAsia" w:ascii="Times New Roman" w:hAnsi="Times New Roman" w:eastAsia="宋体" w:cs="Times New Roman"/>
                <w:sz w:val="18"/>
                <w:szCs w:val="18"/>
              </w:rPr>
              <w:t>备注</w:t>
            </w:r>
            <w:r>
              <w:rPr>
                <w:rFonts w:ascii="Times New Roman" w:hAnsi="Times New Roman" w:eastAsia="宋体" w:cs="Times New Roman"/>
                <w:sz w:val="18"/>
                <w:szCs w:val="18"/>
              </w:rPr>
              <w:t>：</w:t>
            </w:r>
          </w:p>
        </w:tc>
      </w:tr>
    </w:tbl>
    <w:p w14:paraId="336BBFB3">
      <w:pPr>
        <w:spacing w:line="360" w:lineRule="auto"/>
        <w:rPr>
          <w:rFonts w:ascii="Times New Roman" w:hAnsi="Times New Roman" w:cs="Times New Roman"/>
        </w:rPr>
      </w:pPr>
    </w:p>
    <w:p w14:paraId="0280D545">
      <w:pPr>
        <w:spacing w:line="360" w:lineRule="auto"/>
        <w:ind w:firstLine="420" w:firstLineChars="200"/>
        <w:rPr>
          <w:rFonts w:ascii="Times New Roman" w:hAnsi="Times New Roman" w:eastAsia="宋体" w:cs="Times New Roman"/>
          <w:iCs/>
          <w:szCs w:val="21"/>
        </w:rPr>
      </w:pPr>
      <w:r>
        <w:rPr>
          <w:rFonts w:ascii="Times New Roman" w:hAnsi="Times New Roman" w:eastAsia="宋体" w:cs="Times New Roman"/>
          <w:iCs/>
          <w:szCs w:val="21"/>
        </w:rPr>
        <w:br w:type="page"/>
      </w:r>
    </w:p>
    <w:p w14:paraId="34BCF338">
      <w:pPr>
        <w:pStyle w:val="2"/>
        <w:spacing w:after="156"/>
        <w:jc w:val="center"/>
        <w:rPr>
          <w:rFonts w:ascii="Times New Roman" w:hAnsi="Times New Roman" w:cs="Times New Roman"/>
          <w:color w:val="000000" w:themeColor="text1"/>
          <w:sz w:val="30"/>
          <w:szCs w:val="30"/>
          <w14:textFill>
            <w14:solidFill>
              <w14:schemeClr w14:val="tx1"/>
            </w14:solidFill>
          </w14:textFill>
        </w:rPr>
      </w:pPr>
      <w:bookmarkStart w:id="98" w:name="_Toc140052659"/>
      <w:bookmarkStart w:id="99" w:name="_Toc348"/>
      <w:bookmarkStart w:id="100" w:name="_Toc22826"/>
      <w:r>
        <w:rPr>
          <w:rFonts w:ascii="Times New Roman" w:hAnsi="Times New Roman" w:cs="Times New Roman"/>
          <w:color w:val="000000" w:themeColor="text1"/>
          <w:sz w:val="30"/>
          <w:szCs w:val="30"/>
          <w14:textFill>
            <w14:solidFill>
              <w14:schemeClr w14:val="tx1"/>
            </w14:solidFill>
          </w14:textFill>
        </w:rPr>
        <w:t>本标准用词说明</w:t>
      </w:r>
      <w:bookmarkEnd w:id="98"/>
      <w:bookmarkEnd w:id="99"/>
    </w:p>
    <w:p w14:paraId="480FC665">
      <w:pPr>
        <w:spacing w:line="360" w:lineRule="auto"/>
        <w:rPr>
          <w:rFonts w:ascii="Times New Roman" w:hAnsi="Times New Roman" w:cs="Times New Roman"/>
          <w:iCs/>
          <w:color w:val="000000" w:themeColor="text1"/>
          <w:szCs w:val="21"/>
          <w14:textFill>
            <w14:solidFill>
              <w14:schemeClr w14:val="tx1"/>
            </w14:solidFill>
          </w14:textFill>
        </w:rPr>
      </w:pPr>
      <w:r>
        <w:rPr>
          <w:rFonts w:ascii="Times New Roman" w:hAnsi="Times New Roman" w:cs="Times New Roman"/>
          <w:iCs/>
          <w:color w:val="000000" w:themeColor="text1"/>
          <w:szCs w:val="21"/>
          <w14:textFill>
            <w14:solidFill>
              <w14:schemeClr w14:val="tx1"/>
            </w14:solidFill>
          </w14:textFill>
        </w:rPr>
        <w:t>1 为便于在执行本标准条文时区别对待，对要求严格程度不同的用词说明如下：</w:t>
      </w:r>
    </w:p>
    <w:p w14:paraId="0AC51C1D">
      <w:pPr>
        <w:spacing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1） 表示很严格，非这样做不可的：</w:t>
      </w:r>
    </w:p>
    <w:p w14:paraId="2E9AA5CA">
      <w:pPr>
        <w:spacing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正面词采用“必须”，反面词采用“严禁”；</w:t>
      </w:r>
    </w:p>
    <w:p w14:paraId="3D1A20D8">
      <w:pPr>
        <w:spacing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2） 表示严格，在正常情况下均应这样做的：正面词采用“应”，反面词采用“不应”或“不得”；</w:t>
      </w:r>
    </w:p>
    <w:p w14:paraId="677C2D44">
      <w:pPr>
        <w:spacing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3） 表示允许稍有选择，在条件许可时首先应这样做的：正面词采用“宜”，反面词采用“不宜”；</w:t>
      </w:r>
    </w:p>
    <w:p w14:paraId="2DC077AB">
      <w:pPr>
        <w:spacing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4） 表示有选择，在一定条件下可以这样做的，采用“可”。</w:t>
      </w:r>
    </w:p>
    <w:p w14:paraId="5CA3039C">
      <w:pPr>
        <w:spacing w:line="360" w:lineRule="auto"/>
        <w:rPr>
          <w:rFonts w:ascii="Times New Roman" w:hAnsi="Times New Roman" w:cs="Times New Roman"/>
          <w:iCs/>
          <w:color w:val="000000" w:themeColor="text1"/>
          <w:szCs w:val="21"/>
          <w14:textFill>
            <w14:solidFill>
              <w14:schemeClr w14:val="tx1"/>
            </w14:solidFill>
          </w14:textFill>
        </w:rPr>
      </w:pPr>
      <w:r>
        <w:rPr>
          <w:rFonts w:ascii="Times New Roman" w:hAnsi="Times New Roman" w:cs="Times New Roman"/>
          <w:iCs/>
          <w:color w:val="000000" w:themeColor="text1"/>
          <w:szCs w:val="21"/>
          <w14:textFill>
            <w14:solidFill>
              <w14:schemeClr w14:val="tx1"/>
            </w14:solidFill>
          </w14:textFill>
        </w:rPr>
        <w:t>2 条文中指明应按其他有关标准执行的写法为“应符合……的规定”或“应按……执行”。</w:t>
      </w:r>
    </w:p>
    <w:bookmarkEnd w:id="100"/>
    <w:p w14:paraId="71504F57">
      <w:pPr>
        <w:rPr>
          <w:rFonts w:ascii="Times New Roman" w:hAnsi="Times New Roman" w:eastAsia="宋体" w:cs="Times New Roman"/>
        </w:rPr>
      </w:pPr>
      <w:r>
        <w:rPr>
          <w:rFonts w:ascii="Times New Roman" w:hAnsi="Times New Roman" w:eastAsia="宋体" w:cs="Times New Roman"/>
        </w:rPr>
        <w:br w:type="page"/>
      </w:r>
    </w:p>
    <w:p w14:paraId="71D4BA0B">
      <w:pPr>
        <w:pStyle w:val="2"/>
        <w:spacing w:after="156" w:line="480" w:lineRule="auto"/>
        <w:jc w:val="center"/>
        <w:rPr>
          <w:rFonts w:ascii="Times New Roman" w:hAnsi="Times New Roman" w:cs="Times New Roman"/>
          <w:color w:val="000000" w:themeColor="text1"/>
          <w:sz w:val="30"/>
          <w:szCs w:val="30"/>
          <w14:textFill>
            <w14:solidFill>
              <w14:schemeClr w14:val="tx1"/>
            </w14:solidFill>
          </w14:textFill>
        </w:rPr>
      </w:pPr>
      <w:bookmarkStart w:id="101" w:name="_Toc9398"/>
      <w:bookmarkStart w:id="102" w:name="_Toc17980"/>
      <w:r>
        <w:rPr>
          <w:rFonts w:ascii="Times New Roman" w:hAnsi="Times New Roman" w:cs="Times New Roman"/>
          <w:color w:val="000000" w:themeColor="text1"/>
          <w:sz w:val="30"/>
          <w:szCs w:val="30"/>
          <w14:textFill>
            <w14:solidFill>
              <w14:schemeClr w14:val="tx1"/>
            </w14:solidFill>
          </w14:textFill>
        </w:rPr>
        <w:t>引用标准名录</w:t>
      </w:r>
      <w:bookmarkEnd w:id="101"/>
      <w:bookmarkEnd w:id="102"/>
    </w:p>
    <w:p w14:paraId="0A9314A2">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《建筑节能与可再生能源利用通用规范》GB55015</w:t>
      </w:r>
    </w:p>
    <w:p w14:paraId="1D78A8C0">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《建筑电气与智能化通用规范》GB 55024</w:t>
      </w:r>
    </w:p>
    <w:p w14:paraId="52AF90D6">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《综合能耗计算通则》GB/T</w:t>
      </w:r>
      <w:r>
        <w:rPr>
          <w:rFonts w:hint="eastAsia" w:cs="Times New Roman"/>
        </w:rPr>
        <w:t xml:space="preserve"> </w:t>
      </w:r>
      <w:r>
        <w:rPr>
          <w:rFonts w:hint="eastAsia" w:ascii="Times New Roman" w:hAnsi="Times New Roman" w:eastAsia="宋体" w:cs="Times New Roman"/>
        </w:rPr>
        <w:t xml:space="preserve">2589 </w:t>
      </w:r>
    </w:p>
    <w:p w14:paraId="7C03BB6A">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《能源审计技术通则》GB/T 17166</w:t>
      </w:r>
    </w:p>
    <w:p w14:paraId="2FAF7AC6">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《电动机能效限定值及能效等级》GB 18613</w:t>
      </w:r>
    </w:p>
    <w:p w14:paraId="778A0C61">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热泵和冷水机组能效限定值及能效等级</w:t>
      </w:r>
      <w:r>
        <w:rPr>
          <w:rFonts w:ascii="Times New Roman" w:hAnsi="Times New Roman" w:eastAsia="宋体" w:cs="Times New Roman"/>
        </w:rPr>
        <w:t>》GB 19577</w:t>
      </w:r>
    </w:p>
    <w:p w14:paraId="0248100F">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《通风机能效限定值及能效等级》GB 19761</w:t>
      </w:r>
    </w:p>
    <w:p w14:paraId="408D4B7A">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《清水离心泵能效限定值及节能评价值》GB 19762</w:t>
      </w:r>
    </w:p>
    <w:p w14:paraId="09F3D9F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《电力变压器能效限定值及能效等级》GB 2005</w:t>
      </w:r>
      <w:r>
        <w:rPr>
          <w:rFonts w:hint="eastAsia" w:cs="Times New Roman"/>
        </w:rPr>
        <w:t>2</w:t>
      </w:r>
    </w:p>
    <w:p w14:paraId="059B67D4">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《家用燃气快速热水器和燃气采暖热水炉能效限定值及能效等级》GB 20665</w:t>
      </w:r>
    </w:p>
    <w:p w14:paraId="1F60C3F3">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《交流接触器能效限定值及能效等级》GB 2151</w:t>
      </w:r>
      <w:r>
        <w:rPr>
          <w:rFonts w:hint="eastAsia" w:cs="Times New Roman"/>
        </w:rPr>
        <w:t>8</w:t>
      </w:r>
    </w:p>
    <w:p w14:paraId="5B433BF7">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《储水式电热水器能效限定值及能效等级》</w:t>
      </w:r>
      <w:r>
        <w:rPr>
          <w:rFonts w:ascii="Times New Roman" w:hAnsi="Times New Roman" w:eastAsia="宋体" w:cs="Times New Roman"/>
        </w:rPr>
        <w:t>GB 21519</w:t>
      </w:r>
    </w:p>
    <w:p w14:paraId="37B95275">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《能源管理体系 要求及使用指南》GB/T 23331</w:t>
      </w:r>
    </w:p>
    <w:p w14:paraId="2CF12B50">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《公共机构能源资源计量器具配备和管理要求》GB/T</w:t>
      </w:r>
      <w:r>
        <w:rPr>
          <w:rFonts w:hint="eastAsia" w:ascii="Times New Roman" w:hAnsi="Times New Roman" w:eastAsia="宋体" w:cs="Times New Roman"/>
        </w:rPr>
        <w:t xml:space="preserve"> </w:t>
      </w:r>
      <w:r>
        <w:rPr>
          <w:rFonts w:ascii="Times New Roman" w:hAnsi="Times New Roman" w:eastAsia="宋体" w:cs="Times New Roman"/>
        </w:rPr>
        <w:t>29149</w:t>
      </w:r>
    </w:p>
    <w:p w14:paraId="2E20FC4B">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《室内照明用LED产品能效限定值及能效等级》GB 30255</w:t>
      </w:r>
    </w:p>
    <w:p w14:paraId="30F51959">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《公共机构能源资源管理绩效评价导则》GB/T 30260</w:t>
      </w:r>
    </w:p>
    <w:p w14:paraId="1C0E8CBD">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《电梯、自动扶梯和自动人行道的能量性能 第3部分:自动扶梯和自动人行道的能量计算与分级》GB/T 30559.3</w:t>
      </w:r>
    </w:p>
    <w:p w14:paraId="358ED223">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《公共机构能源审计技术导则》GB/T 31342</w:t>
      </w:r>
    </w:p>
    <w:p w14:paraId="258FE7DE">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《建筑幕墙、门窗通用技术条件》 GB/T 31433</w:t>
      </w:r>
    </w:p>
    <w:p w14:paraId="5158E46D">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《潜水电泵能效限定值及能效等级》GB 32030</w:t>
      </w:r>
    </w:p>
    <w:p w14:paraId="45241072">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《普通照明用LED平板灯能效限定值及能效等级》GB 38450</w:t>
      </w:r>
    </w:p>
    <w:p w14:paraId="67607544">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《建筑照明设计标准》GB 50034</w:t>
      </w:r>
    </w:p>
    <w:p w14:paraId="5F8A40F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《公共建筑节能设计标准》GB/T 50189</w:t>
      </w:r>
    </w:p>
    <w:p w14:paraId="56F60FC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《智能建筑设计标准》GB 50314</w:t>
      </w:r>
    </w:p>
    <w:p w14:paraId="6B7BF6FC">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《绿色建筑评价标准》GB/T 50378</w:t>
      </w:r>
    </w:p>
    <w:p w14:paraId="4F4A5F2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《民用建筑能耗标准》GB/T 51161</w:t>
      </w:r>
    </w:p>
    <w:p w14:paraId="476CA02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《民用建筑电气设计标准》GB 51348</w:t>
      </w:r>
    </w:p>
    <w:p w14:paraId="4EDF09E2">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《公共建筑节能改造技术规范》JGJ 176</w:t>
      </w:r>
    </w:p>
    <w:p w14:paraId="73FCDCEB">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《公共建筑节能检测标准》JGJ/T 177</w:t>
      </w:r>
    </w:p>
    <w:p w14:paraId="5E2DA829">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《建筑智能化系统运行维护技术规范》JGJ/T 417</w:t>
      </w:r>
    </w:p>
    <w:p w14:paraId="4D1D60FF">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《安徽省公共建筑节能设计标准》DB34/ 1467</w:t>
      </w:r>
    </w:p>
    <w:p w14:paraId="3D6D0C7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《公共建筑能耗监测系统技术规范》DB34/T 1922</w:t>
      </w:r>
    </w:p>
    <w:p w14:paraId="60483009">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公共机构综合能效定额及计算方法</w:t>
      </w:r>
      <w:r>
        <w:rPr>
          <w:rFonts w:hint="eastAsia" w:ascii="Times New Roman" w:hAnsi="Times New Roman" w:eastAsia="宋体" w:cs="Times New Roman"/>
        </w:rPr>
        <w:t>》DB34/T 3774</w:t>
      </w:r>
    </w:p>
    <w:p w14:paraId="3A816A13">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《电梯能源效率评价导则》DB34/T 3892</w:t>
      </w:r>
    </w:p>
    <w:p w14:paraId="2F37BD22">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《公共建筑供暖空调系统能效提升技术标准》DB34/T 3960</w:t>
      </w:r>
    </w:p>
    <w:p w14:paraId="43006FB2">
      <w:pPr>
        <w:spacing w:line="360" w:lineRule="auto"/>
        <w:ind w:firstLine="420" w:firstLineChars="200"/>
        <w:rPr>
          <w:rFonts w:ascii="Times New Roman" w:hAnsi="Times New Roman" w:eastAsia="宋体" w:cs="Times New Roman"/>
        </w:rPr>
        <w:sectPr>
          <w:pgSz w:w="11906" w:h="16838"/>
          <w:pgMar w:top="1440" w:right="1803" w:bottom="1440" w:left="1803" w:header="851" w:footer="992" w:gutter="0"/>
          <w:pgNumType w:fmt="decimal"/>
          <w:cols w:space="0" w:num="1"/>
          <w:docGrid w:type="lines" w:linePitch="319" w:charSpace="0"/>
        </w:sectPr>
      </w:pPr>
      <w:r>
        <w:rPr>
          <w:rFonts w:ascii="Times New Roman" w:hAnsi="Times New Roman" w:eastAsia="宋体" w:cs="Times New Roman"/>
        </w:rPr>
        <w:t>《既有公共建筑节能改造技术规程》DB34/T 5057</w:t>
      </w:r>
    </w:p>
    <w:p w14:paraId="5C4C8D20">
      <w:pPr>
        <w:jc w:val="center"/>
        <w:rPr>
          <w:rFonts w:ascii="Times New Roman" w:hAnsi="Times New Roman" w:cs="Times New Roman"/>
          <w:b/>
          <w:color w:val="000000" w:themeColor="text1"/>
          <w:sz w:val="44"/>
          <w:szCs w:val="44"/>
          <w14:textFill>
            <w14:solidFill>
              <w14:schemeClr w14:val="tx1"/>
            </w14:solidFill>
          </w14:textFill>
        </w:rPr>
      </w:pPr>
      <w:r>
        <w:rPr>
          <w:rFonts w:ascii="Times New Roman" w:hAnsi="Times New Roman" w:cs="Times New Roman"/>
          <w:b/>
          <w:color w:val="000000" w:themeColor="text1"/>
          <w:sz w:val="44"/>
          <w:szCs w:val="44"/>
          <w14:textFill>
            <w14:solidFill>
              <w14:schemeClr w14:val="tx1"/>
            </w14:solidFill>
          </w14:textFill>
        </w:rPr>
        <w:t>安 徽 省 地 方 标 准</w:t>
      </w:r>
    </w:p>
    <w:p w14:paraId="49E649C9">
      <w:pPr>
        <w:spacing w:line="680" w:lineRule="exact"/>
        <w:ind w:firstLine="720" w:firstLineChars="150"/>
        <w:textAlignment w:val="center"/>
        <w:rPr>
          <w:rFonts w:ascii="Times New Roman" w:hAnsi="Times New Roman" w:eastAsia="宋体" w:cs="Times New Roman"/>
          <w:color w:val="000000" w:themeColor="text1"/>
          <w:sz w:val="48"/>
          <w:szCs w:val="48"/>
          <w14:textFill>
            <w14:solidFill>
              <w14:schemeClr w14:val="tx1"/>
            </w14:solidFill>
          </w14:textFill>
        </w:rPr>
      </w:pPr>
    </w:p>
    <w:p w14:paraId="1265C1E1">
      <w:pPr>
        <w:spacing w:line="360" w:lineRule="auto"/>
        <w:jc w:val="center"/>
        <w:rPr>
          <w:rFonts w:ascii="Times New Roman" w:hAnsi="Times New Roman" w:cs="Times New Roman"/>
          <w:b/>
          <w:color w:val="000000" w:themeColor="text1"/>
          <w:sz w:val="44"/>
          <w:szCs w:val="44"/>
          <w14:textFill>
            <w14:solidFill>
              <w14:schemeClr w14:val="tx1"/>
            </w14:solidFill>
          </w14:textFill>
        </w:rPr>
      </w:pPr>
      <w:r>
        <w:rPr>
          <w:rFonts w:hint="eastAsia" w:ascii="Times New Roman" w:hAnsi="Times New Roman" w:cs="Times New Roman"/>
          <w:b/>
          <w:color w:val="000000" w:themeColor="text1"/>
          <w:sz w:val="44"/>
          <w:szCs w:val="44"/>
          <w14:textFill>
            <w14:solidFill>
              <w14:schemeClr w14:val="tx1"/>
            </w14:solidFill>
          </w14:textFill>
        </w:rPr>
        <w:t>公共建筑能效诊断技术标准</w:t>
      </w:r>
    </w:p>
    <w:p w14:paraId="5BF88752">
      <w:pPr>
        <w:jc w:val="center"/>
        <w:rPr>
          <w:rFonts w:ascii="Times New Roman" w:hAnsi="Times New Roman" w:eastAsia="黑体" w:cs="Times New Roman"/>
          <w:b/>
          <w:color w:val="000000" w:themeColor="text1"/>
          <w:sz w:val="28"/>
          <w:szCs w:val="28"/>
          <w14:textFill>
            <w14:solidFill>
              <w14:schemeClr w14:val="tx1"/>
            </w14:solidFill>
          </w14:textFill>
        </w:rPr>
      </w:pPr>
    </w:p>
    <w:p w14:paraId="7FD106C2">
      <w:pPr>
        <w:jc w:val="center"/>
        <w:rPr>
          <w:rFonts w:ascii="Times New Roman" w:hAnsi="Times New Roman" w:eastAsia="黑体" w:cs="Times New Roman"/>
          <w:b/>
          <w:color w:val="000000" w:themeColor="text1"/>
          <w:sz w:val="28"/>
          <w:szCs w:val="28"/>
          <w14:textFill>
            <w14:solidFill>
              <w14:schemeClr w14:val="tx1"/>
            </w14:solidFill>
          </w14:textFill>
        </w:rPr>
      </w:pPr>
      <w:r>
        <w:rPr>
          <w:rFonts w:hint="eastAsia" w:ascii="Times New Roman" w:hAnsi="Times New Roman" w:eastAsia="黑体" w:cs="Times New Roman"/>
          <w:b/>
          <w:color w:val="000000" w:themeColor="text1"/>
          <w:sz w:val="28"/>
          <w:szCs w:val="28"/>
          <w14:textFill>
            <w14:solidFill>
              <w14:schemeClr w14:val="tx1"/>
            </w14:solidFill>
          </w14:textFill>
        </w:rPr>
        <w:t>DB34/T***-202*</w:t>
      </w:r>
    </w:p>
    <w:p w14:paraId="603D43D6">
      <w:pPr>
        <w:jc w:val="center"/>
        <w:rPr>
          <w:rFonts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b/>
          <w:color w:val="000000" w:themeColor="text1"/>
          <w14:textFill>
            <w14:solidFill>
              <w14:schemeClr w14:val="tx1"/>
            </w14:solidFill>
          </w14:textFill>
        </w:rPr>
        <w:t>Technical standard for energy efficiency diagnosis of public buildings</w:t>
      </w:r>
    </w:p>
    <w:p w14:paraId="673E236F">
      <w:pPr>
        <w:jc w:val="center"/>
        <w:rPr>
          <w:rFonts w:ascii="Times New Roman" w:hAnsi="Times New Roman" w:cs="Times New Roman"/>
          <w:color w:val="000000" w:themeColor="text1"/>
          <w:sz w:val="24"/>
          <w14:textFill>
            <w14:solidFill>
              <w14:schemeClr w14:val="tx1"/>
            </w14:solidFill>
          </w14:textFill>
        </w:rPr>
      </w:pPr>
    </w:p>
    <w:p w14:paraId="6BD4D727">
      <w:pPr>
        <w:jc w:val="center"/>
        <w:rPr>
          <w:rFonts w:ascii="Times New Roman" w:hAnsi="Times New Roman" w:cs="Times New Roman"/>
          <w:color w:val="000000" w:themeColor="text1"/>
          <w:sz w:val="24"/>
          <w14:textFill>
            <w14:solidFill>
              <w14:schemeClr w14:val="tx1"/>
            </w14:solidFill>
          </w14:textFill>
        </w:rPr>
      </w:pPr>
    </w:p>
    <w:p w14:paraId="29E2DF80">
      <w:pPr>
        <w:jc w:val="center"/>
        <w:rPr>
          <w:rFonts w:ascii="Times New Roman" w:hAnsi="Times New Roman" w:cs="Times New Roman"/>
          <w:color w:val="000000" w:themeColor="text1"/>
          <w:sz w:val="24"/>
          <w14:textFill>
            <w14:solidFill>
              <w14:schemeClr w14:val="tx1"/>
            </w14:solidFill>
          </w14:textFill>
        </w:rPr>
      </w:pPr>
    </w:p>
    <w:p w14:paraId="43C151CC">
      <w:pPr>
        <w:pStyle w:val="2"/>
        <w:spacing w:after="156"/>
        <w:jc w:val="center"/>
        <w:rPr>
          <w:rFonts w:ascii="Times New Roman" w:hAnsi="Times New Roman" w:cs="Times New Roman"/>
          <w:color w:val="000000" w:themeColor="text1"/>
          <w:szCs w:val="30"/>
          <w14:textFill>
            <w14:solidFill>
              <w14:schemeClr w14:val="tx1"/>
            </w14:solidFill>
          </w14:textFill>
        </w:rPr>
        <w:sectPr>
          <w:pgSz w:w="11906" w:h="16838"/>
          <w:pgMar w:top="1440" w:right="1803" w:bottom="1440" w:left="1803" w:header="851" w:footer="992" w:gutter="0"/>
          <w:pgNumType w:fmt="decimal"/>
          <w:cols w:space="0" w:num="1"/>
          <w:docGrid w:type="lines" w:linePitch="319" w:charSpace="0"/>
        </w:sectPr>
      </w:pPr>
      <w:bookmarkStart w:id="103" w:name="_Toc13399"/>
      <w:bookmarkStart w:id="104" w:name="_Toc137066778"/>
      <w:bookmarkStart w:id="105" w:name="_Toc135234946"/>
      <w:bookmarkStart w:id="106" w:name="_Toc282719933"/>
      <w:bookmarkStart w:id="107" w:name="_Toc137050175"/>
      <w:bookmarkStart w:id="108" w:name="_Toc139814589"/>
      <w:bookmarkStart w:id="109" w:name="_Toc140052661"/>
      <w:bookmarkStart w:id="110" w:name="_Toc522137644"/>
      <w:r>
        <w:rPr>
          <w:rFonts w:ascii="Times New Roman" w:hAnsi="Times New Roman" w:cs="Times New Roman"/>
          <w:color w:val="000000" w:themeColor="text1"/>
          <w:szCs w:val="30"/>
          <w14:textFill>
            <w14:solidFill>
              <w14:schemeClr w14:val="tx1"/>
            </w14:solidFill>
          </w14:textFill>
        </w:rPr>
        <w:t>条  文  说  明</w:t>
      </w:r>
      <w:bookmarkEnd w:id="103"/>
      <w:bookmarkEnd w:id="104"/>
      <w:bookmarkEnd w:id="105"/>
      <w:bookmarkEnd w:id="106"/>
      <w:bookmarkEnd w:id="107"/>
      <w:bookmarkEnd w:id="108"/>
      <w:bookmarkEnd w:id="109"/>
      <w:bookmarkEnd w:id="110"/>
    </w:p>
    <w:p w14:paraId="0A75B998">
      <w:pPr>
        <w:jc w:val="center"/>
        <w:rPr>
          <w:rFonts w:ascii="Times New Roman" w:hAnsi="Times New Roman" w:cs="Times New Roman"/>
          <w:b/>
          <w:bCs/>
          <w:sz w:val="30"/>
          <w:szCs w:val="30"/>
        </w:rPr>
      </w:pPr>
      <w:r>
        <w:rPr>
          <w:rFonts w:ascii="Times New Roman" w:hAnsi="Times New Roman" w:cs="Times New Roman"/>
          <w:b/>
          <w:bCs/>
          <w:sz w:val="30"/>
          <w:szCs w:val="30"/>
        </w:rPr>
        <w:t>制</w:t>
      </w:r>
      <w:r>
        <w:rPr>
          <w:rFonts w:hint="eastAsia" w:ascii="Times New Roman" w:hAnsi="Times New Roman" w:cs="Times New Roman"/>
          <w:b/>
          <w:bCs/>
          <w:sz w:val="30"/>
          <w:szCs w:val="30"/>
          <w:lang w:val="en-US" w:eastAsia="zh-CN"/>
        </w:rPr>
        <w:t>定</w:t>
      </w:r>
      <w:r>
        <w:rPr>
          <w:rFonts w:ascii="Times New Roman" w:hAnsi="Times New Roman" w:cs="Times New Roman"/>
          <w:b/>
          <w:bCs/>
          <w:sz w:val="30"/>
          <w:szCs w:val="30"/>
        </w:rPr>
        <w:t>说明</w:t>
      </w:r>
    </w:p>
    <w:p w14:paraId="6BC75568">
      <w:pPr>
        <w:spacing w:line="360" w:lineRule="auto"/>
        <w:ind w:firstLine="424" w:firstLineChars="202"/>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公共建筑能效诊断技术标准</w:t>
      </w:r>
      <w:r>
        <w:rPr>
          <w:rFonts w:ascii="Times New Roman" w:hAnsi="Times New Roman" w:cs="Times New Roman"/>
          <w:color w:val="000000" w:themeColor="text1"/>
          <w:szCs w:val="21"/>
          <w14:textFill>
            <w14:solidFill>
              <w14:schemeClr w14:val="tx1"/>
            </w14:solidFill>
          </w14:textFill>
        </w:rPr>
        <w:t>》DB34/T***-20</w:t>
      </w: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，经安徽省市场监督管理局20xx年xx月xx日以第xx号公告批准发布。</w:t>
      </w:r>
    </w:p>
    <w:p w14:paraId="3DBB1769">
      <w:pPr>
        <w:spacing w:line="360" w:lineRule="auto"/>
        <w:ind w:firstLine="424" w:firstLineChars="202"/>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本标准制订过程中，编制组对</w:t>
      </w:r>
      <w:r>
        <w:rPr>
          <w:rFonts w:hint="eastAsia" w:ascii="Times New Roman" w:hAnsi="Times New Roman" w:cs="Times New Roman"/>
          <w:color w:val="000000" w:themeColor="text1"/>
          <w:szCs w:val="21"/>
          <w14:textFill>
            <w14:solidFill>
              <w14:schemeClr w14:val="tx1"/>
            </w14:solidFill>
          </w14:textFill>
        </w:rPr>
        <w:t>公共建筑能效诊断</w:t>
      </w:r>
      <w:r>
        <w:rPr>
          <w:rFonts w:ascii="Times New Roman" w:hAnsi="Times New Roman" w:cs="Times New Roman"/>
          <w:color w:val="000000" w:themeColor="text1"/>
          <w:szCs w:val="21"/>
          <w14:textFill>
            <w14:solidFill>
              <w14:schemeClr w14:val="tx1"/>
            </w14:solidFill>
          </w14:textFill>
        </w:rPr>
        <w:t>系统建设进行了广泛调查研究，结合我省</w:t>
      </w:r>
      <w:r>
        <w:rPr>
          <w:rFonts w:hint="eastAsia" w:ascii="Times New Roman" w:hAnsi="Times New Roman" w:cs="Times New Roman"/>
          <w:color w:val="000000" w:themeColor="text1"/>
          <w:szCs w:val="21"/>
          <w14:textFill>
            <w14:solidFill>
              <w14:schemeClr w14:val="tx1"/>
            </w14:solidFill>
          </w14:textFill>
        </w:rPr>
        <w:t>公共建筑能效诊断</w:t>
      </w:r>
      <w:r>
        <w:rPr>
          <w:rFonts w:ascii="Times New Roman" w:hAnsi="Times New Roman" w:cs="Times New Roman"/>
          <w:color w:val="000000" w:themeColor="text1"/>
          <w:szCs w:val="21"/>
          <w14:textFill>
            <w14:solidFill>
              <w14:schemeClr w14:val="tx1"/>
            </w14:solidFill>
          </w14:textFill>
        </w:rPr>
        <w:t>系统建设的实际情况，认真总结实践经验，参考了国内外、行业和地方的技术法规、技术标准，取得了制订本标准所必要的重要技术参数，并在广泛征求意见的基础上，最后经审查定稿。</w:t>
      </w:r>
    </w:p>
    <w:p w14:paraId="1E41DF0B">
      <w:pPr>
        <w:spacing w:line="360" w:lineRule="auto"/>
        <w:ind w:firstLine="424" w:firstLineChars="202"/>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为便于广大设计、科研、学校等单位有关人员在使用本标准时能正确理解和执行条文规定，《</w:t>
      </w:r>
      <w:r>
        <w:rPr>
          <w:rFonts w:hint="eastAsia" w:ascii="Times New Roman" w:hAnsi="Times New Roman" w:cs="Times New Roman"/>
          <w:color w:val="000000" w:themeColor="text1"/>
          <w:szCs w:val="21"/>
          <w14:textFill>
            <w14:solidFill>
              <w14:schemeClr w14:val="tx1"/>
            </w14:solidFill>
          </w14:textFill>
        </w:rPr>
        <w:t>公共建筑能效诊断</w:t>
      </w:r>
      <w:r>
        <w:rPr>
          <w:rFonts w:ascii="Times New Roman" w:hAnsi="Times New Roman" w:cs="Times New Roman"/>
          <w:color w:val="000000" w:themeColor="text1"/>
          <w:szCs w:val="21"/>
          <w14:textFill>
            <w14:solidFill>
              <w14:schemeClr w14:val="tx1"/>
            </w14:solidFill>
          </w14:textFill>
        </w:rPr>
        <w:t>技术标准》编制组按章、节、条顺序编制了本标准的条文说明，对条文规定的目的、依据以及执行中需注意的有关事项进行了说明。但是，本条文说明不具备与标准正文同等的法律效力，仅供使用者作为理解和把握标准规定的参考。</w:t>
      </w:r>
    </w:p>
    <w:p w14:paraId="125F412E">
      <w:pPr>
        <w:sectPr>
          <w:pgSz w:w="11906" w:h="16838"/>
          <w:pgMar w:top="1440" w:right="1803" w:bottom="1440" w:left="1803" w:header="851" w:footer="992" w:gutter="0"/>
          <w:pgNumType w:fmt="decimal"/>
          <w:cols w:space="0" w:num="1"/>
          <w:docGrid w:type="lines" w:linePitch="319" w:charSpace="0"/>
        </w:sectPr>
      </w:pPr>
    </w:p>
    <w:p w14:paraId="64E55CAC">
      <w:pPr>
        <w:widowControl/>
        <w:jc w:val="center"/>
        <w:rPr>
          <w:rFonts w:ascii="Times New Roman" w:hAnsi="Times New Roman" w:cs="Times New Roman"/>
          <w:b/>
          <w:sz w:val="28"/>
          <w:szCs w:val="36"/>
        </w:rPr>
      </w:pPr>
      <w:bookmarkStart w:id="111" w:name="_Toc452712136"/>
      <w:bookmarkStart w:id="112" w:name="_Toc452714220"/>
      <w:bookmarkStart w:id="113" w:name="_Toc452713563"/>
      <w:bookmarkStart w:id="114" w:name="_Toc452729997"/>
      <w:bookmarkStart w:id="115" w:name="_Toc19588"/>
      <w:bookmarkStart w:id="116" w:name="_Toc1940"/>
      <w:bookmarkStart w:id="117" w:name="_Toc452714414"/>
      <w:bookmarkStart w:id="118" w:name="_Toc32733"/>
      <w:bookmarkStart w:id="119" w:name="_Toc452651995"/>
      <w:r>
        <w:rPr>
          <w:rFonts w:ascii="Times New Roman" w:hAnsi="Times New Roman" w:cs="Times New Roman"/>
          <w:b/>
          <w:sz w:val="28"/>
          <w:szCs w:val="36"/>
        </w:rPr>
        <w:t>目次</w:t>
      </w:r>
      <w:bookmarkEnd w:id="111"/>
      <w:bookmarkEnd w:id="112"/>
      <w:bookmarkEnd w:id="113"/>
      <w:bookmarkEnd w:id="114"/>
      <w:bookmarkEnd w:id="115"/>
      <w:bookmarkEnd w:id="116"/>
      <w:bookmarkEnd w:id="117"/>
      <w:bookmarkEnd w:id="118"/>
      <w:bookmarkEnd w:id="119"/>
    </w:p>
    <w:p w14:paraId="38A546A6">
      <w:pPr>
        <w:widowControl/>
        <w:jc w:val="center"/>
        <w:rPr>
          <w:rFonts w:ascii="Times New Roman" w:hAnsi="Times New Roman" w:cs="Times New Roman"/>
          <w:b/>
          <w:sz w:val="28"/>
          <w:szCs w:val="36"/>
        </w:rPr>
      </w:pPr>
    </w:p>
    <w:sdt>
      <w:sdtPr>
        <w:rPr>
          <w:rFonts w:asciiTheme="minorHAnsi" w:hAnsiTheme="minorHAnsi" w:eastAsiaTheme="minorEastAsia" w:cstheme="minorBidi"/>
          <w:b w:val="0"/>
          <w:bCs w:val="0"/>
          <w:caps w:val="0"/>
          <w:smallCaps/>
          <w:lang w:val="zh-CN"/>
        </w:rPr>
        <w:id w:val="-1044365103"/>
        <w:docPartObj>
          <w:docPartGallery w:val="Table of Contents"/>
          <w:docPartUnique/>
        </w:docPartObj>
      </w:sdtPr>
      <w:sdtEndPr>
        <w:rPr>
          <w:rFonts w:ascii="Times New Roman" w:hAnsi="Times New Roman" w:eastAsia="宋体" w:cs="Times New Roman"/>
          <w:b w:val="0"/>
          <w:bCs w:val="0"/>
          <w:caps w:val="0"/>
          <w:smallCaps/>
          <w:sz w:val="20"/>
          <w:szCs w:val="20"/>
          <w:lang w:val="zh-CN"/>
        </w:rPr>
      </w:sdtEndPr>
      <w:sdtContent>
        <w:p w14:paraId="1B5AEA05">
          <w:pPr>
            <w:pStyle w:val="13"/>
            <w:tabs>
              <w:tab w:val="right" w:leader="dot" w:pos="8306"/>
            </w:tabs>
            <w:spacing w:line="360" w:lineRule="auto"/>
          </w:pPr>
          <w:r>
            <w:fldChar w:fldCharType="begin"/>
          </w:r>
          <w:r>
            <w:instrText xml:space="preserve"> TOC \o "1-3" \h \z \u </w:instrText>
          </w:r>
          <w:r>
            <w:fldChar w:fldCharType="separate"/>
          </w:r>
          <w:r>
            <w:fldChar w:fldCharType="begin"/>
          </w:r>
          <w:r>
            <w:instrText xml:space="preserve"> HYPERLINK \l "_Toc19284" </w:instrText>
          </w:r>
          <w:r>
            <w:fldChar w:fldCharType="separate"/>
          </w:r>
          <w:r>
            <w:rPr>
              <w:szCs w:val="30"/>
            </w:rPr>
            <w:t>1 总  则</w:t>
          </w:r>
          <w:r>
            <w:tab/>
          </w:r>
          <w:r>
            <w:rPr>
              <w:b w:val="0"/>
              <w:bCs w:val="0"/>
            </w:rPr>
            <w:fldChar w:fldCharType="begin"/>
          </w:r>
          <w:r>
            <w:rPr>
              <w:b w:val="0"/>
              <w:bCs w:val="0"/>
            </w:rPr>
            <w:instrText xml:space="preserve"> PAGEREF _Toc19284 \h </w:instrText>
          </w:r>
          <w:r>
            <w:rPr>
              <w:b w:val="0"/>
              <w:bCs w:val="0"/>
            </w:rPr>
            <w:fldChar w:fldCharType="separate"/>
          </w:r>
          <w:r>
            <w:rPr>
              <w:b w:val="0"/>
              <w:bCs w:val="0"/>
            </w:rPr>
            <w:t>36</w:t>
          </w:r>
          <w:r>
            <w:rPr>
              <w:b w:val="0"/>
              <w:bCs w:val="0"/>
            </w:rPr>
            <w:fldChar w:fldCharType="end"/>
          </w:r>
          <w:r>
            <w:rPr>
              <w:b w:val="0"/>
              <w:bCs w:val="0"/>
            </w:rPr>
            <w:fldChar w:fldCharType="end"/>
          </w:r>
        </w:p>
        <w:p w14:paraId="6B3EA970">
          <w:pPr>
            <w:pStyle w:val="13"/>
            <w:tabs>
              <w:tab w:val="right" w:leader="dot" w:pos="8306"/>
            </w:tabs>
            <w:spacing w:line="360" w:lineRule="auto"/>
          </w:pPr>
          <w:r>
            <w:fldChar w:fldCharType="begin"/>
          </w:r>
          <w:r>
            <w:instrText xml:space="preserve"> HYPERLINK \l "_Toc23533" </w:instrText>
          </w:r>
          <w:r>
            <w:fldChar w:fldCharType="separate"/>
          </w:r>
          <w:r>
            <w:rPr>
              <w:szCs w:val="30"/>
            </w:rPr>
            <w:t>2 术语</w:t>
          </w:r>
          <w:r>
            <w:tab/>
          </w:r>
          <w:r>
            <w:rPr>
              <w:b w:val="0"/>
              <w:bCs w:val="0"/>
            </w:rPr>
            <w:fldChar w:fldCharType="begin"/>
          </w:r>
          <w:r>
            <w:rPr>
              <w:b w:val="0"/>
              <w:bCs w:val="0"/>
            </w:rPr>
            <w:instrText xml:space="preserve"> PAGEREF _Toc23533 \h </w:instrText>
          </w:r>
          <w:r>
            <w:rPr>
              <w:b w:val="0"/>
              <w:bCs w:val="0"/>
            </w:rPr>
            <w:fldChar w:fldCharType="separate"/>
          </w:r>
          <w:r>
            <w:rPr>
              <w:b w:val="0"/>
              <w:bCs w:val="0"/>
            </w:rPr>
            <w:t>36</w:t>
          </w:r>
          <w:r>
            <w:rPr>
              <w:b w:val="0"/>
              <w:bCs w:val="0"/>
            </w:rPr>
            <w:fldChar w:fldCharType="end"/>
          </w:r>
          <w:r>
            <w:rPr>
              <w:b w:val="0"/>
              <w:bCs w:val="0"/>
            </w:rPr>
            <w:fldChar w:fldCharType="end"/>
          </w:r>
        </w:p>
        <w:p w14:paraId="6D929817">
          <w:pPr>
            <w:pStyle w:val="13"/>
            <w:tabs>
              <w:tab w:val="right" w:leader="dot" w:pos="8306"/>
            </w:tabs>
            <w:spacing w:line="360" w:lineRule="auto"/>
          </w:pPr>
          <w:r>
            <w:fldChar w:fldCharType="begin"/>
          </w:r>
          <w:r>
            <w:instrText xml:space="preserve"> HYPERLINK \l "_Toc29667" </w:instrText>
          </w:r>
          <w:r>
            <w:fldChar w:fldCharType="separate"/>
          </w:r>
          <w:r>
            <w:rPr>
              <w:rFonts w:hint="eastAsia"/>
              <w:szCs w:val="30"/>
            </w:rPr>
            <w:t>3</w:t>
          </w:r>
          <w:r>
            <w:rPr>
              <w:szCs w:val="30"/>
            </w:rPr>
            <w:t xml:space="preserve"> </w:t>
          </w:r>
          <w:r>
            <w:rPr>
              <w:rFonts w:hint="eastAsia"/>
              <w:szCs w:val="30"/>
            </w:rPr>
            <w:t>基本规定</w:t>
          </w:r>
          <w:r>
            <w:tab/>
          </w:r>
          <w:r>
            <w:fldChar w:fldCharType="begin"/>
          </w:r>
          <w:r>
            <w:instrText xml:space="preserve"> PAGEREF _Toc29667 \h </w:instrText>
          </w:r>
          <w:r>
            <w:fldChar w:fldCharType="separate"/>
          </w:r>
          <w:r>
            <w:t>36</w:t>
          </w:r>
          <w:r>
            <w:fldChar w:fldCharType="end"/>
          </w:r>
          <w:r>
            <w:fldChar w:fldCharType="end"/>
          </w:r>
        </w:p>
        <w:p w14:paraId="4C359B59">
          <w:pPr>
            <w:pStyle w:val="13"/>
            <w:tabs>
              <w:tab w:val="right" w:leader="dot" w:pos="8306"/>
            </w:tabs>
            <w:spacing w:line="360" w:lineRule="auto"/>
          </w:pPr>
          <w:r>
            <w:fldChar w:fldCharType="begin"/>
          </w:r>
          <w:r>
            <w:instrText xml:space="preserve"> HYPERLINK \l "_Toc12143" </w:instrText>
          </w:r>
          <w:r>
            <w:fldChar w:fldCharType="separate"/>
          </w:r>
          <w:r>
            <w:rPr>
              <w:szCs w:val="30"/>
            </w:rPr>
            <w:t xml:space="preserve">4 </w:t>
          </w:r>
          <w:r>
            <w:rPr>
              <w:rFonts w:hint="eastAsia"/>
              <w:szCs w:val="30"/>
            </w:rPr>
            <w:t>诊断方法</w:t>
          </w:r>
          <w:r>
            <w:tab/>
          </w:r>
          <w:r>
            <w:fldChar w:fldCharType="begin"/>
          </w:r>
          <w:r>
            <w:instrText xml:space="preserve"> PAGEREF _Toc12143 \h </w:instrText>
          </w:r>
          <w:r>
            <w:fldChar w:fldCharType="separate"/>
          </w:r>
          <w:r>
            <w:t>37</w:t>
          </w:r>
          <w:r>
            <w:fldChar w:fldCharType="end"/>
          </w:r>
          <w:r>
            <w:fldChar w:fldCharType="end"/>
          </w:r>
        </w:p>
        <w:p w14:paraId="3263E9B7">
          <w:pPr>
            <w:pStyle w:val="14"/>
            <w:tabs>
              <w:tab w:val="right" w:leader="dot" w:pos="8306"/>
            </w:tabs>
            <w:spacing w:line="360" w:lineRule="auto"/>
          </w:pPr>
          <w:r>
            <w:fldChar w:fldCharType="begin"/>
          </w:r>
          <w:r>
            <w:instrText xml:space="preserve"> HYPERLINK \l "_Toc4207" </w:instrText>
          </w:r>
          <w:r>
            <w:fldChar w:fldCharType="separate"/>
          </w:r>
          <w:r>
            <w:rPr>
              <w:szCs w:val="28"/>
            </w:rPr>
            <w:t xml:space="preserve">4.1 </w:t>
          </w:r>
          <w:r>
            <w:rPr>
              <w:rFonts w:hint="eastAsia"/>
              <w:szCs w:val="28"/>
            </w:rPr>
            <w:t>诊断原则</w:t>
          </w:r>
          <w:r>
            <w:tab/>
          </w:r>
          <w:r>
            <w:fldChar w:fldCharType="begin"/>
          </w:r>
          <w:r>
            <w:instrText xml:space="preserve"> PAGEREF _Toc4207 \h </w:instrText>
          </w:r>
          <w:r>
            <w:fldChar w:fldCharType="separate"/>
          </w:r>
          <w:r>
            <w:t>37</w:t>
          </w:r>
          <w:r>
            <w:fldChar w:fldCharType="end"/>
          </w:r>
          <w:r>
            <w:fldChar w:fldCharType="end"/>
          </w:r>
        </w:p>
        <w:p w14:paraId="3A2BE64B">
          <w:pPr>
            <w:pStyle w:val="14"/>
            <w:tabs>
              <w:tab w:val="right" w:leader="dot" w:pos="8306"/>
            </w:tabs>
            <w:spacing w:line="360" w:lineRule="auto"/>
          </w:pPr>
          <w:r>
            <w:fldChar w:fldCharType="begin"/>
          </w:r>
          <w:r>
            <w:instrText xml:space="preserve"> HYPERLINK \l "_Toc6325" </w:instrText>
          </w:r>
          <w:r>
            <w:fldChar w:fldCharType="separate"/>
          </w:r>
          <w:r>
            <w:rPr>
              <w:szCs w:val="28"/>
            </w:rPr>
            <w:t>4.</w:t>
          </w:r>
          <w:r>
            <w:rPr>
              <w:rFonts w:hint="eastAsia"/>
              <w:szCs w:val="28"/>
            </w:rPr>
            <w:t>2</w:t>
          </w:r>
          <w:r>
            <w:rPr>
              <w:szCs w:val="28"/>
            </w:rPr>
            <w:t xml:space="preserve"> </w:t>
          </w:r>
          <w:r>
            <w:rPr>
              <w:rFonts w:hint="eastAsia"/>
              <w:szCs w:val="28"/>
            </w:rPr>
            <w:t>数据采集与处理</w:t>
          </w:r>
          <w:r>
            <w:tab/>
          </w:r>
          <w:r>
            <w:fldChar w:fldCharType="begin"/>
          </w:r>
          <w:r>
            <w:instrText xml:space="preserve"> PAGEREF _Toc6325 \h </w:instrText>
          </w:r>
          <w:r>
            <w:fldChar w:fldCharType="separate"/>
          </w:r>
          <w:r>
            <w:t>38</w:t>
          </w:r>
          <w:r>
            <w:fldChar w:fldCharType="end"/>
          </w:r>
          <w:r>
            <w:fldChar w:fldCharType="end"/>
          </w:r>
        </w:p>
        <w:p w14:paraId="2E8AF6BD">
          <w:pPr>
            <w:pStyle w:val="13"/>
            <w:tabs>
              <w:tab w:val="right" w:leader="dot" w:pos="8306"/>
            </w:tabs>
            <w:spacing w:line="360" w:lineRule="auto"/>
          </w:pPr>
          <w:r>
            <w:fldChar w:fldCharType="begin"/>
          </w:r>
          <w:r>
            <w:instrText xml:space="preserve"> HYPERLINK \l "_Toc2948" </w:instrText>
          </w:r>
          <w:r>
            <w:fldChar w:fldCharType="separate"/>
          </w:r>
          <w:r>
            <w:rPr>
              <w:rFonts w:hint="eastAsia"/>
              <w:szCs w:val="30"/>
            </w:rPr>
            <w:t>5</w:t>
          </w:r>
          <w:r>
            <w:rPr>
              <w:szCs w:val="30"/>
            </w:rPr>
            <w:t xml:space="preserve"> </w:t>
          </w:r>
          <w:r>
            <w:rPr>
              <w:rFonts w:hint="eastAsia"/>
              <w:szCs w:val="30"/>
            </w:rPr>
            <w:t>能效诊断</w:t>
          </w:r>
          <w:r>
            <w:tab/>
          </w:r>
          <w:r>
            <w:fldChar w:fldCharType="begin"/>
          </w:r>
          <w:r>
            <w:instrText xml:space="preserve"> PAGEREF _Toc2948 \h </w:instrText>
          </w:r>
          <w:r>
            <w:fldChar w:fldCharType="separate"/>
          </w:r>
          <w:r>
            <w:t>38</w:t>
          </w:r>
          <w:r>
            <w:fldChar w:fldCharType="end"/>
          </w:r>
          <w:r>
            <w:fldChar w:fldCharType="end"/>
          </w:r>
        </w:p>
        <w:p w14:paraId="4D0C9492">
          <w:pPr>
            <w:pStyle w:val="14"/>
            <w:tabs>
              <w:tab w:val="right" w:leader="dot" w:pos="8306"/>
            </w:tabs>
            <w:spacing w:line="360" w:lineRule="auto"/>
          </w:pPr>
          <w:r>
            <w:fldChar w:fldCharType="begin"/>
          </w:r>
          <w:r>
            <w:instrText xml:space="preserve"> HYPERLINK \l "_Toc10208" </w:instrText>
          </w:r>
          <w:r>
            <w:fldChar w:fldCharType="separate"/>
          </w:r>
          <w:r>
            <w:rPr>
              <w:rFonts w:hint="eastAsia"/>
              <w:szCs w:val="28"/>
            </w:rPr>
            <w:t>5</w:t>
          </w:r>
          <w:r>
            <w:rPr>
              <w:szCs w:val="28"/>
            </w:rPr>
            <w:t xml:space="preserve">.1 </w:t>
          </w:r>
          <w:r>
            <w:rPr>
              <w:rFonts w:hint="eastAsia"/>
              <w:szCs w:val="28"/>
            </w:rPr>
            <w:t>能效分级</w:t>
          </w:r>
          <w:r>
            <w:tab/>
          </w:r>
          <w:r>
            <w:fldChar w:fldCharType="begin"/>
          </w:r>
          <w:r>
            <w:instrText xml:space="preserve"> PAGEREF _Toc10208 \h </w:instrText>
          </w:r>
          <w:r>
            <w:fldChar w:fldCharType="separate"/>
          </w:r>
          <w:r>
            <w:t>38</w:t>
          </w:r>
          <w:r>
            <w:fldChar w:fldCharType="end"/>
          </w:r>
          <w:r>
            <w:fldChar w:fldCharType="end"/>
          </w:r>
        </w:p>
        <w:p w14:paraId="2BB20E7C">
          <w:pPr>
            <w:pStyle w:val="14"/>
            <w:tabs>
              <w:tab w:val="right" w:leader="dot" w:pos="8306"/>
            </w:tabs>
            <w:spacing w:line="360" w:lineRule="auto"/>
          </w:pPr>
          <w:r>
            <w:fldChar w:fldCharType="begin"/>
          </w:r>
          <w:r>
            <w:instrText xml:space="preserve"> HYPERLINK \l "_Toc28001" </w:instrText>
          </w:r>
          <w:r>
            <w:fldChar w:fldCharType="separate"/>
          </w:r>
          <w:r>
            <w:rPr>
              <w:rFonts w:hint="eastAsia"/>
              <w:szCs w:val="28"/>
            </w:rPr>
            <w:t>5</w:t>
          </w:r>
          <w:r>
            <w:rPr>
              <w:szCs w:val="28"/>
            </w:rPr>
            <w:t>.</w:t>
          </w:r>
          <w:r>
            <w:rPr>
              <w:rFonts w:hint="eastAsia"/>
              <w:szCs w:val="28"/>
            </w:rPr>
            <w:t>2</w:t>
          </w:r>
          <w:r>
            <w:rPr>
              <w:szCs w:val="28"/>
            </w:rPr>
            <w:t xml:space="preserve"> </w:t>
          </w:r>
          <w:r>
            <w:rPr>
              <w:rFonts w:hint="eastAsia"/>
              <w:szCs w:val="28"/>
            </w:rPr>
            <w:t>分项能效诊断</w:t>
          </w:r>
          <w:r>
            <w:tab/>
          </w:r>
          <w:r>
            <w:fldChar w:fldCharType="begin"/>
          </w:r>
          <w:r>
            <w:instrText xml:space="preserve"> PAGEREF _Toc28001 \h </w:instrText>
          </w:r>
          <w:r>
            <w:fldChar w:fldCharType="separate"/>
          </w:r>
          <w:r>
            <w:t>39</w:t>
          </w:r>
          <w:r>
            <w:fldChar w:fldCharType="end"/>
          </w:r>
          <w:r>
            <w:fldChar w:fldCharType="end"/>
          </w:r>
        </w:p>
        <w:p w14:paraId="01B539B5">
          <w:pPr>
            <w:pStyle w:val="14"/>
            <w:tabs>
              <w:tab w:val="right" w:leader="dot" w:pos="8306"/>
            </w:tabs>
            <w:spacing w:line="360" w:lineRule="auto"/>
          </w:pPr>
          <w:r>
            <w:fldChar w:fldCharType="begin"/>
          </w:r>
          <w:r>
            <w:instrText xml:space="preserve"> HYPERLINK \l "_Toc8788" </w:instrText>
          </w:r>
          <w:r>
            <w:fldChar w:fldCharType="separate"/>
          </w:r>
          <w:r>
            <w:rPr>
              <w:rFonts w:hint="eastAsia"/>
              <w:szCs w:val="28"/>
            </w:rPr>
            <w:t>5</w:t>
          </w:r>
          <w:r>
            <w:rPr>
              <w:szCs w:val="28"/>
            </w:rPr>
            <w:t>.</w:t>
          </w:r>
          <w:r>
            <w:rPr>
              <w:rFonts w:hint="eastAsia"/>
              <w:szCs w:val="28"/>
            </w:rPr>
            <w:t>3</w:t>
          </w:r>
          <w:r>
            <w:rPr>
              <w:szCs w:val="28"/>
            </w:rPr>
            <w:t xml:space="preserve"> </w:t>
          </w:r>
          <w:r>
            <w:rPr>
              <w:rFonts w:hint="eastAsia"/>
              <w:szCs w:val="28"/>
            </w:rPr>
            <w:t>能源管理诊断</w:t>
          </w:r>
          <w:r>
            <w:tab/>
          </w:r>
          <w:r>
            <w:fldChar w:fldCharType="begin"/>
          </w:r>
          <w:r>
            <w:instrText xml:space="preserve"> PAGEREF _Toc8788 \h </w:instrText>
          </w:r>
          <w:r>
            <w:fldChar w:fldCharType="separate"/>
          </w:r>
          <w:r>
            <w:t>40</w:t>
          </w:r>
          <w:r>
            <w:fldChar w:fldCharType="end"/>
          </w:r>
          <w:r>
            <w:fldChar w:fldCharType="end"/>
          </w:r>
        </w:p>
        <w:p w14:paraId="3D868787">
          <w:pPr>
            <w:tabs>
              <w:tab w:val="right" w:leader="dot" w:pos="8296"/>
            </w:tabs>
            <w:spacing w:before="120" w:after="120" w:line="360" w:lineRule="auto"/>
            <w:rPr>
              <w:rFonts w:ascii="Times New Roman" w:hAnsi="Times New Roman" w:cs="Times New Roman"/>
            </w:rPr>
          </w:pPr>
          <w:r>
            <w:fldChar w:fldCharType="begin"/>
          </w:r>
          <w:r>
            <w:instrText xml:space="preserve"> HYPERLINK \l "_Toc13195" </w:instrText>
          </w:r>
          <w:r>
            <w:fldChar w:fldCharType="separate"/>
          </w:r>
          <w:r>
            <w:rPr>
              <w:rFonts w:hint="eastAsia" w:ascii="Times New Roman" w:hAnsi="Times New Roman" w:cs="Times New Roman"/>
              <w:b/>
              <w:bCs/>
              <w:szCs w:val="30"/>
            </w:rPr>
            <w:t>6</w:t>
          </w:r>
          <w:r>
            <w:rPr>
              <w:rFonts w:ascii="Times New Roman" w:hAnsi="Times New Roman" w:cs="Times New Roman"/>
              <w:b/>
              <w:bCs/>
              <w:szCs w:val="30"/>
            </w:rPr>
            <w:t xml:space="preserve"> </w:t>
          </w:r>
          <w:r>
            <w:rPr>
              <w:rFonts w:hint="eastAsia" w:ascii="Times New Roman" w:hAnsi="Times New Roman" w:cs="Times New Roman"/>
              <w:b/>
              <w:bCs/>
              <w:szCs w:val="30"/>
            </w:rPr>
            <w:t>能效提升</w:t>
          </w:r>
          <w:r>
            <w:rPr>
              <w:b/>
              <w:bCs/>
            </w:rPr>
            <w:tab/>
          </w:r>
          <w:r>
            <w:rPr>
              <w:b/>
              <w:bCs/>
            </w:rPr>
            <w:fldChar w:fldCharType="begin"/>
          </w:r>
          <w:r>
            <w:rPr>
              <w:b/>
              <w:bCs/>
            </w:rPr>
            <w:instrText xml:space="preserve"> PAGEREF _Toc13195 \h </w:instrText>
          </w:r>
          <w:r>
            <w:rPr>
              <w:b/>
              <w:bCs/>
            </w:rPr>
            <w:fldChar w:fldCharType="separate"/>
          </w:r>
          <w:r>
            <w:rPr>
              <w:b/>
            </w:rPr>
            <w:t>错误！未定义书签。</w:t>
          </w:r>
          <w:r>
            <w:rPr>
              <w:b/>
              <w:bCs/>
            </w:rPr>
            <w:fldChar w:fldCharType="end"/>
          </w:r>
          <w:r>
            <w:rPr>
              <w:b/>
              <w:bCs/>
            </w:rPr>
            <w:fldChar w:fldCharType="end"/>
          </w:r>
        </w:p>
        <w:p w14:paraId="5FAE0553">
          <w:pPr>
            <w:tabs>
              <w:tab w:val="right" w:leader="dot" w:pos="8296"/>
            </w:tabs>
            <w:spacing w:before="120" w:after="120"/>
            <w:rPr>
              <w:rFonts w:ascii="Times New Roman" w:hAnsi="Times New Roman" w:cs="Times New Roman"/>
              <w:color w:val="000000" w:themeColor="text1"/>
              <w:sz w:val="24"/>
              <w14:textFill>
                <w14:solidFill>
                  <w14:schemeClr w14:val="tx1"/>
                </w14:solidFill>
              </w14:textFill>
            </w:rPr>
          </w:pPr>
          <w:r>
            <w:rPr>
              <w:rFonts w:ascii="Times New Roman" w:hAnsi="Times New Roman" w:eastAsia="宋体" w:cs="Times New Roman"/>
              <w:b/>
              <w:bCs/>
              <w:smallCaps/>
              <w:lang w:val="zh-CN"/>
            </w:rPr>
            <w:fldChar w:fldCharType="end"/>
          </w:r>
        </w:p>
      </w:sdtContent>
    </w:sdt>
    <w:p w14:paraId="11823E0B">
      <w:pPr>
        <w:spacing w:line="360" w:lineRule="auto"/>
        <w:rPr>
          <w:rFonts w:ascii="Times New Roman" w:hAnsi="Times New Roman" w:eastAsia="宋体" w:cs="Times New Roman"/>
        </w:rPr>
        <w:sectPr>
          <w:pgSz w:w="11906" w:h="16838"/>
          <w:pgMar w:top="1440" w:right="1803" w:bottom="1440" w:left="1803" w:header="851" w:footer="992" w:gutter="0"/>
          <w:pgNumType w:fmt="decimal"/>
          <w:cols w:space="0" w:num="1"/>
          <w:docGrid w:type="lines" w:linePitch="319" w:charSpace="0"/>
        </w:sectPr>
      </w:pPr>
    </w:p>
    <w:p w14:paraId="45CAF38C">
      <w:pPr>
        <w:pStyle w:val="2"/>
        <w:keepNext w:val="0"/>
        <w:keepLines w:val="0"/>
        <w:spacing w:before="319" w:beforeLines="100" w:after="319" w:afterLines="100"/>
        <w:jc w:val="center"/>
        <w:rPr>
          <w:rFonts w:ascii="Times New Roman" w:hAnsi="Times New Roman" w:cs="Times New Roman"/>
          <w:color w:val="000000" w:themeColor="text1"/>
          <w:kern w:val="2"/>
          <w:sz w:val="30"/>
          <w:szCs w:val="30"/>
          <w14:textFill>
            <w14:solidFill>
              <w14:schemeClr w14:val="tx1"/>
            </w14:solidFill>
          </w14:textFill>
        </w:rPr>
      </w:pPr>
      <w:bookmarkStart w:id="120" w:name="_Toc19284"/>
      <w:bookmarkStart w:id="121" w:name="_Toc140049584"/>
      <w:bookmarkStart w:id="122" w:name="_Toc139814521"/>
      <w:bookmarkStart w:id="123" w:name="_Toc140160814"/>
      <w:r>
        <w:rPr>
          <w:rFonts w:ascii="Times New Roman" w:hAnsi="Times New Roman" w:cs="Times New Roman"/>
          <w:color w:val="000000" w:themeColor="text1"/>
          <w:kern w:val="2"/>
          <w:sz w:val="30"/>
          <w:szCs w:val="30"/>
          <w14:textFill>
            <w14:solidFill>
              <w14:schemeClr w14:val="tx1"/>
            </w14:solidFill>
          </w14:textFill>
        </w:rPr>
        <w:t>1 总  则</w:t>
      </w:r>
      <w:bookmarkEnd w:id="120"/>
      <w:bookmarkEnd w:id="121"/>
      <w:bookmarkEnd w:id="122"/>
      <w:bookmarkEnd w:id="123"/>
    </w:p>
    <w:p w14:paraId="360A3575">
      <w:pPr>
        <w:spacing w:line="360" w:lineRule="auto"/>
        <w:rPr>
          <w:rFonts w:ascii="Times New Roman" w:hAnsi="Times New Roman" w:cs="Times New Roman"/>
          <w:iCs/>
          <w:color w:val="000000" w:themeColor="text1"/>
          <w:szCs w:val="21"/>
          <w14:textFill>
            <w14:solidFill>
              <w14:schemeClr w14:val="tx1"/>
            </w14:solidFill>
          </w14:textFill>
        </w:rPr>
      </w:pPr>
      <w:r>
        <w:rPr>
          <w:rFonts w:ascii="Times New Roman" w:hAnsi="Times New Roman" w:cs="Times New Roman"/>
          <w:iCs/>
          <w:color w:val="000000" w:themeColor="text1"/>
          <w:szCs w:val="21"/>
          <w14:textFill>
            <w14:solidFill>
              <w14:schemeClr w14:val="tx1"/>
            </w14:solidFill>
          </w14:textFill>
        </w:rPr>
        <w:t>1.0.</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本标准在编制过程中参考了国家、安徽省以及长三角地区现行各项能效有关标准规范，目的是规范和指导我省公共建筑能效等级划分、能效诊断方法、能效诊断工作流程、基于能效诊断的能效提升等工作。通过对公共建筑进行能效诊断和提升，达到降低建筑物的实际运行能耗（即“结果节能”）的目的，助力建筑领域节能降碳。</w:t>
      </w:r>
    </w:p>
    <w:p w14:paraId="447798F0">
      <w:pPr>
        <w:pStyle w:val="2"/>
        <w:spacing w:after="156"/>
        <w:jc w:val="center"/>
        <w:rPr>
          <w:rFonts w:ascii="Times New Roman" w:hAnsi="Times New Roman" w:cs="Times New Roman"/>
          <w:color w:val="000000" w:themeColor="text1"/>
          <w:sz w:val="30"/>
          <w:szCs w:val="30"/>
          <w14:textFill>
            <w14:solidFill>
              <w14:schemeClr w14:val="tx1"/>
            </w14:solidFill>
          </w14:textFill>
        </w:rPr>
      </w:pPr>
      <w:bookmarkStart w:id="124" w:name="_Toc23533"/>
      <w:bookmarkStart w:id="125" w:name="_Toc140160815"/>
      <w:r>
        <w:rPr>
          <w:rFonts w:ascii="Times New Roman" w:hAnsi="Times New Roman" w:cs="Times New Roman"/>
          <w:color w:val="000000" w:themeColor="text1"/>
          <w:sz w:val="30"/>
          <w:szCs w:val="30"/>
          <w14:textFill>
            <w14:solidFill>
              <w14:schemeClr w14:val="tx1"/>
            </w14:solidFill>
          </w14:textFill>
        </w:rPr>
        <w:t>2 术语</w:t>
      </w:r>
      <w:bookmarkEnd w:id="124"/>
      <w:bookmarkEnd w:id="125"/>
    </w:p>
    <w:p w14:paraId="611F1BF7">
      <w:pPr>
        <w:spacing w:line="360" w:lineRule="auto"/>
        <w:rPr>
          <w:rFonts w:ascii="Times New Roman" w:hAnsi="Times New Roman" w:cs="Times New Roman"/>
          <w:iCs/>
          <w:color w:val="000000" w:themeColor="text1"/>
          <w:szCs w:val="21"/>
          <w14:textFill>
            <w14:solidFill>
              <w14:schemeClr w14:val="tx1"/>
            </w14:solidFill>
          </w14:textFill>
        </w:rPr>
      </w:pPr>
      <w:r>
        <w:rPr>
          <w:rFonts w:ascii="Times New Roman" w:hAnsi="Times New Roman" w:cs="Times New Roman"/>
          <w:iCs/>
          <w:color w:val="000000" w:themeColor="text1"/>
          <w:szCs w:val="21"/>
          <w14:textFill>
            <w14:solidFill>
              <w14:schemeClr w14:val="tx1"/>
            </w14:solidFill>
          </w14:textFill>
        </w:rPr>
        <w:t>2.</w:t>
      </w:r>
      <w:r>
        <w:rPr>
          <w:rFonts w:hint="eastAsia" w:ascii="Times New Roman" w:hAnsi="Times New Roman" w:cs="Times New Roman"/>
          <w:iCs/>
          <w:color w:val="000000" w:themeColor="text1"/>
          <w:szCs w:val="21"/>
          <w14:textFill>
            <w14:solidFill>
              <w14:schemeClr w14:val="tx1"/>
            </w14:solidFill>
          </w14:textFill>
        </w:rPr>
        <w:t>0</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3</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确定能耗边界通常具有以下作用：</w:t>
      </w:r>
    </w:p>
    <w:p w14:paraId="2828E7BD">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建筑能耗监测。能耗边界用于明确监测范围，确保监测数据的准确性和完整性；</w:t>
      </w:r>
    </w:p>
    <w:p w14:paraId="3F0229AA">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建筑能效诊断和能源审计。能耗边界用于确定诊断或审计的范围，确保分析结果的科学性和可比性；</w:t>
      </w:r>
    </w:p>
    <w:p w14:paraId="3A67ACFB">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节能改造项目。能耗边界用于界定节能改造措施的影响范围，确保节能量的准确核算。本标准纳入统计的能源消耗应属于建筑自用能耗，不包含对外输出能耗系统和景观照明等非自用耗能量。</w:t>
      </w:r>
    </w:p>
    <w:p w14:paraId="55215AEA">
      <w:pPr>
        <w:pStyle w:val="2"/>
        <w:spacing w:after="156"/>
        <w:jc w:val="center"/>
        <w:rPr>
          <w:rFonts w:ascii="Times New Roman" w:hAnsi="Times New Roman" w:cs="Times New Roman"/>
          <w:color w:val="000000" w:themeColor="text1"/>
          <w:sz w:val="30"/>
          <w:szCs w:val="30"/>
          <w14:textFill>
            <w14:solidFill>
              <w14:schemeClr w14:val="tx1"/>
            </w14:solidFill>
          </w14:textFill>
        </w:rPr>
      </w:pPr>
      <w:bookmarkStart w:id="126" w:name="_Toc29667"/>
      <w:r>
        <w:rPr>
          <w:rFonts w:hint="eastAsia" w:ascii="Times New Roman" w:hAnsi="Times New Roman" w:cs="Times New Roman"/>
          <w:color w:val="000000" w:themeColor="text1"/>
          <w:sz w:val="30"/>
          <w:szCs w:val="30"/>
          <w14:textFill>
            <w14:solidFill>
              <w14:schemeClr w14:val="tx1"/>
            </w14:solidFill>
          </w14:textFill>
        </w:rPr>
        <w:t>3</w:t>
      </w:r>
      <w:r>
        <w:rPr>
          <w:rFonts w:ascii="Times New Roman" w:hAnsi="Times New Roman" w:cs="Times New Roman"/>
          <w:color w:val="000000" w:themeColor="text1"/>
          <w:sz w:val="30"/>
          <w:szCs w:val="30"/>
          <w14:textFill>
            <w14:solidFill>
              <w14:schemeClr w14:val="tx1"/>
            </w14:solidFill>
          </w14:textFill>
        </w:rPr>
        <w:t xml:space="preserve"> </w:t>
      </w:r>
      <w:r>
        <w:rPr>
          <w:rFonts w:hint="eastAsia" w:ascii="Times New Roman" w:hAnsi="Times New Roman" w:cs="Times New Roman"/>
          <w:color w:val="000000" w:themeColor="text1"/>
          <w:sz w:val="30"/>
          <w:szCs w:val="30"/>
          <w14:textFill>
            <w14:solidFill>
              <w14:schemeClr w14:val="tx1"/>
            </w14:solidFill>
          </w14:textFill>
        </w:rPr>
        <w:t>基本规定</w:t>
      </w:r>
      <w:bookmarkEnd w:id="126"/>
    </w:p>
    <w:p w14:paraId="3876BD9F">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0</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本标准中，公共建筑能效诊断包括能效分级、分项能效和能源管理三部分诊断内容，其中：</w:t>
      </w:r>
    </w:p>
    <w:p w14:paraId="613CC5AC">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能效分级是以建筑实际能源消耗量作为评判的主要依据，确定公共建筑能效与平均水平的相对关系；</w:t>
      </w:r>
    </w:p>
    <w:p w14:paraId="3D0FF84E">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分项能效诊断从围护结构、系统设备方面进一步探寻影响公共建筑能效的技术因素；</w:t>
      </w:r>
    </w:p>
    <w:p w14:paraId="4F499889">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能源管理诊断是落实国家标准《能源审计技术通则》GB/T 17166、《公共机构能源审计技术导则》GB/T 31342和住房</w:t>
      </w:r>
      <w:r>
        <w:rPr>
          <w:rFonts w:hint="eastAsia" w:ascii="Times New Roman" w:hAnsi="Times New Roman" w:cs="Times New Roman"/>
          <w:iCs/>
          <w:color w:val="000000" w:themeColor="text1"/>
          <w:szCs w:val="21"/>
          <w:lang w:val="en-US" w:eastAsia="zh-CN"/>
          <w14:textFill>
            <w14:solidFill>
              <w14:schemeClr w14:val="tx1"/>
            </w14:solidFill>
          </w14:textFill>
        </w:rPr>
        <w:t>和</w:t>
      </w:r>
      <w:r>
        <w:rPr>
          <w:rFonts w:hint="eastAsia" w:ascii="Times New Roman" w:hAnsi="Times New Roman" w:cs="Times New Roman"/>
          <w:iCs/>
          <w:color w:val="000000" w:themeColor="text1"/>
          <w:szCs w:val="21"/>
          <w14:textFill>
            <w14:solidFill>
              <w14:schemeClr w14:val="tx1"/>
            </w14:solidFill>
          </w14:textFill>
        </w:rPr>
        <w:t>城乡建设部建筑节能与科技司在2016年发布的《公共建筑能源审计导则》等对能源审计要求，目的是发现影响公共建筑能效的管理因素。</w:t>
      </w:r>
    </w:p>
    <w:p w14:paraId="30E0CA1E">
      <w:pPr>
        <w:pStyle w:val="2"/>
        <w:spacing w:after="156"/>
        <w:jc w:val="center"/>
        <w:rPr>
          <w:rFonts w:ascii="Times New Roman" w:hAnsi="Times New Roman" w:cs="Times New Roman"/>
          <w:color w:val="000000" w:themeColor="text1"/>
          <w:sz w:val="30"/>
          <w:szCs w:val="30"/>
          <w14:textFill>
            <w14:solidFill>
              <w14:schemeClr w14:val="tx1"/>
            </w14:solidFill>
          </w14:textFill>
        </w:rPr>
      </w:pPr>
      <w:bookmarkStart w:id="127" w:name="_Toc139814524"/>
      <w:bookmarkStart w:id="128" w:name="_Toc140160818"/>
      <w:bookmarkStart w:id="129" w:name="_Toc140049587"/>
      <w:bookmarkStart w:id="130" w:name="_Toc137046365"/>
      <w:bookmarkStart w:id="131" w:name="_Toc12143"/>
      <w:r>
        <w:rPr>
          <w:rFonts w:ascii="Times New Roman" w:hAnsi="Times New Roman" w:cs="Times New Roman"/>
          <w:color w:val="000000" w:themeColor="text1"/>
          <w:sz w:val="30"/>
          <w:szCs w:val="30"/>
          <w14:textFill>
            <w14:solidFill>
              <w14:schemeClr w14:val="tx1"/>
            </w14:solidFill>
          </w14:textFill>
        </w:rPr>
        <w:t xml:space="preserve">4 </w:t>
      </w:r>
      <w:bookmarkEnd w:id="127"/>
      <w:bookmarkEnd w:id="128"/>
      <w:bookmarkEnd w:id="129"/>
      <w:bookmarkEnd w:id="130"/>
      <w:r>
        <w:rPr>
          <w:rFonts w:hint="eastAsia" w:ascii="Times New Roman" w:hAnsi="Times New Roman" w:cs="Times New Roman"/>
          <w:color w:val="000000" w:themeColor="text1"/>
          <w:sz w:val="30"/>
          <w:szCs w:val="30"/>
          <w14:textFill>
            <w14:solidFill>
              <w14:schemeClr w14:val="tx1"/>
            </w14:solidFill>
          </w14:textFill>
        </w:rPr>
        <w:t>诊断方法</w:t>
      </w:r>
      <w:bookmarkEnd w:id="131"/>
    </w:p>
    <w:p w14:paraId="4EB3CC71">
      <w:pPr>
        <w:pStyle w:val="3"/>
        <w:spacing w:before="0" w:after="0" w:line="360" w:lineRule="auto"/>
        <w:jc w:val="center"/>
        <w:rPr>
          <w:rFonts w:ascii="Times New Roman" w:hAnsi="Times New Roman" w:cs="Times New Roman"/>
          <w:color w:val="000000" w:themeColor="text1"/>
          <w:sz w:val="30"/>
          <w:szCs w:val="30"/>
          <w14:textFill>
            <w14:solidFill>
              <w14:schemeClr w14:val="tx1"/>
            </w14:solidFill>
          </w14:textFill>
        </w:rPr>
      </w:pPr>
      <w:bookmarkStart w:id="132" w:name="_Toc137046366"/>
      <w:bookmarkStart w:id="133" w:name="_Toc140049588"/>
      <w:bookmarkStart w:id="134" w:name="_Toc140160819"/>
      <w:bookmarkStart w:id="135" w:name="_Toc139814525"/>
      <w:bookmarkStart w:id="136" w:name="_Toc4207"/>
      <w:r>
        <w:rPr>
          <w:rFonts w:ascii="Times New Roman" w:hAnsi="Times New Roman" w:cs="Times New Roman"/>
          <w:color w:val="000000" w:themeColor="text1"/>
          <w:sz w:val="28"/>
          <w:szCs w:val="28"/>
          <w14:textFill>
            <w14:solidFill>
              <w14:schemeClr w14:val="tx1"/>
            </w14:solidFill>
          </w14:textFill>
        </w:rPr>
        <w:t xml:space="preserve">4.1 </w:t>
      </w:r>
      <w:bookmarkEnd w:id="132"/>
      <w:bookmarkEnd w:id="133"/>
      <w:bookmarkEnd w:id="134"/>
      <w:bookmarkEnd w:id="135"/>
      <w:r>
        <w:rPr>
          <w:rFonts w:hint="eastAsia" w:ascii="Times New Roman" w:hAnsi="Times New Roman" w:cs="Times New Roman"/>
          <w:color w:val="000000" w:themeColor="text1"/>
          <w:sz w:val="28"/>
          <w:szCs w:val="28"/>
          <w14:textFill>
            <w14:solidFill>
              <w14:schemeClr w14:val="tx1"/>
            </w14:solidFill>
          </w14:textFill>
        </w:rPr>
        <w:t>诊断原则</w:t>
      </w:r>
      <w:bookmarkEnd w:id="136"/>
    </w:p>
    <w:p w14:paraId="68B7BFEE">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公共建筑能效诊断的方法。计算评估是指依据特定的方法进行量化分析和评判的过程；性能评估是指根据特定标准进行定性分析和评判的过程。性能评估的方式包括文件审查、现场核查和性能检测。其中：</w:t>
      </w:r>
    </w:p>
    <w:p w14:paraId="4839F96B">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文件审查是指根据特定标准对给定文件资料进行评判；</w:t>
      </w:r>
    </w:p>
    <w:p w14:paraId="0B333FF7">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现场核查是指到现场进行实地调查和验证；</w:t>
      </w:r>
    </w:p>
    <w:p w14:paraId="36B9D78C">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性能检测是指通过量化指标和测试方法获取性能参数的实际数值。</w:t>
      </w:r>
    </w:p>
    <w:p w14:paraId="0E1C8F24">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本条规定了公共建筑能耗数据的采集范围。能耗数据必须为建筑自身消耗的，不应包括向其他建筑（或其他功能分区）输出的能耗。数据采集范围根据《综合能耗计算通则》GB/T 2589和《民用建筑能耗标准》GB/T 51161的规定确定。</w:t>
      </w:r>
    </w:p>
    <w:p w14:paraId="4CD0E50E">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针对通过建筑的配电系统向各类电动交通工具提供电力以及应市政部门要求用于建筑外景照明的用电，明确规定应从建筑实测能耗中扣除；</w:t>
      </w:r>
    </w:p>
    <w:p w14:paraId="568F3913">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可再生能源中的自用部分能量是建筑运行能耗的组成部分之一，应纳入综合能耗统计范围，非自用部分不纳入综合能耗的统计范围；</w:t>
      </w:r>
    </w:p>
    <w:p w14:paraId="16349979">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当前国家和地方标准中建筑能耗指标计算所采集的数据范围尚存在不一致的情况，当引用的建筑能耗指标值不包含可再生能源用能时需要进行修正。</w:t>
      </w:r>
    </w:p>
    <w:p w14:paraId="212AAD0E">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3</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公共建筑中可再生能源应用的评估方式。建筑中利用可再生能源具有重要的环境、经济和社会意义。对公共建筑中可再生能源利用情况进行评估，在能效诊断中予以承认有利于促进可再生能源利用。可再生能源利用情况的评估方法应按《绿色建筑评价标准》GB/T 50378的有关规定执行。</w:t>
      </w:r>
    </w:p>
    <w:p w14:paraId="4A79CF15">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同一公共建筑具有多种功能类别时能耗指标的基准值、约束值和引导值的计算方法。根据第3.0.3条，当单栋建筑内存在不同功能类别的建筑面积指标小于本条规定时，该功能类别的能耗部分可纳入主要功能类别进行诊断。这种情况下，应对建筑的能耗指标值进行修正，以保证指标值与建筑运营情况吻合，提升能效诊断的科学性。</w:t>
      </w:r>
    </w:p>
    <w:p w14:paraId="747B1FDB">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建筑中存在余热回收利用时的能耗统计原则。从能耗角度分析，余热回收设备的运行能耗已经计入各系统设备运行能耗中，回收利用的能量并不需要额外能源消耗。类似情况的能量也不应计入总能耗，如热泵设备从空气、水、土壤等周围环境中获取的能量等。</w:t>
      </w:r>
    </w:p>
    <w:p w14:paraId="552A1183">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7</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能效诊断准备阶段的主要内容包括：1 根据第3.0.2条、第3.0.3条和第3.0.4条的要求统一建筑边界和能耗边界；2 收集公共建筑基本信息，具体内容可参考附录B；3 对能耗数据进行核查校验，甄别异常、错位和缺失数据并进行处理，数据核查校验按本标准第4.2.1条、第4.2.4条和第4.2.5条的规定执行。</w:t>
      </w:r>
    </w:p>
    <w:p w14:paraId="12ACE50E">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能效诊断实施阶段的主要内容包括：1 根据公共建筑类型、规模、等级、运营及所属气候区域识别建筑分类；2 根据第4.1.4条和第4.1.6条确定基准建筑能耗指标；3 按第5.1节的规定进行能效分级；4 进行分项能效诊断和能源管理诊断；5 出具能效诊断报告。</w:t>
      </w:r>
    </w:p>
    <w:p w14:paraId="3EA8A53D">
      <w:pPr>
        <w:pStyle w:val="3"/>
        <w:spacing w:before="0" w:after="0" w:line="360" w:lineRule="auto"/>
        <w:jc w:val="center"/>
        <w:rPr>
          <w:rFonts w:ascii="Times New Roman" w:hAnsi="Times New Roman" w:cs="Times New Roman"/>
          <w:color w:val="000000" w:themeColor="text1"/>
          <w:sz w:val="30"/>
          <w:szCs w:val="30"/>
          <w14:textFill>
            <w14:solidFill>
              <w14:schemeClr w14:val="tx1"/>
            </w14:solidFill>
          </w14:textFill>
        </w:rPr>
      </w:pPr>
      <w:bookmarkStart w:id="137" w:name="_Toc6325"/>
      <w:r>
        <w:rPr>
          <w:rFonts w:ascii="Times New Roman" w:hAnsi="Times New Roman" w:cs="Times New Roman"/>
          <w:color w:val="000000" w:themeColor="text1"/>
          <w:sz w:val="28"/>
          <w:szCs w:val="28"/>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 xml:space="preserve"> </w:t>
      </w:r>
      <w:r>
        <w:rPr>
          <w:rFonts w:hint="eastAsia" w:ascii="Times New Roman" w:hAnsi="Times New Roman" w:eastAsia="宋体" w:cs="Times New Roman"/>
          <w:sz w:val="28"/>
          <w:szCs w:val="28"/>
        </w:rPr>
        <w:t>数据采集与处理</w:t>
      </w:r>
      <w:bookmarkEnd w:id="137"/>
    </w:p>
    <w:p w14:paraId="233C54B8">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3</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本条规定了建筑分类能耗和分项能耗，并要求建筑能效监管系统具备将建筑分类和分项能耗数据上传至相应的建筑能效监管平台的能力。根据第4.1.2条公共建筑能效诊断数据采集指标应包括：</w:t>
      </w:r>
    </w:p>
    <w:p w14:paraId="75F9BED3">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电量；</w:t>
      </w:r>
    </w:p>
    <w:p w14:paraId="4D110AD9">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水耗量；</w:t>
      </w:r>
    </w:p>
    <w:p w14:paraId="3DC94B2F">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燃气量；</w:t>
      </w:r>
    </w:p>
    <w:p w14:paraId="551875FB">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 集中供热（含集中热水）耗热量；</w:t>
      </w:r>
    </w:p>
    <w:p w14:paraId="70DAD1AB">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 集中供冷耗冷量；</w:t>
      </w:r>
    </w:p>
    <w:p w14:paraId="77F9D271">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6 可再生能源量；</w:t>
      </w:r>
    </w:p>
    <w:p w14:paraId="7CDA8C9E">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 xml:space="preserve">7 </w:t>
      </w:r>
      <w:bookmarkStart w:id="142" w:name="_GoBack"/>
      <w:r>
        <w:rPr>
          <w:rFonts w:hint="eastAsia" w:ascii="Times New Roman" w:hAnsi="Times New Roman" w:cs="Times New Roman"/>
          <w:iCs/>
          <w:color w:val="000000" w:themeColor="text1"/>
          <w:szCs w:val="21"/>
          <w14:textFill>
            <w14:solidFill>
              <w14:schemeClr w14:val="tx1"/>
            </w14:solidFill>
          </w14:textFill>
        </w:rPr>
        <w:t>其它能源</w:t>
      </w:r>
      <w:bookmarkEnd w:id="142"/>
      <w:r>
        <w:rPr>
          <w:rFonts w:hint="eastAsia" w:ascii="Times New Roman" w:hAnsi="Times New Roman" w:cs="Times New Roman"/>
          <w:iCs/>
          <w:color w:val="000000" w:themeColor="text1"/>
          <w:szCs w:val="21"/>
          <w14:textFill>
            <w14:solidFill>
              <w14:schemeClr w14:val="tx1"/>
            </w14:solidFill>
          </w14:textFill>
        </w:rPr>
        <w:t>应用量，如压缩空气、煤、油等。</w:t>
      </w:r>
    </w:p>
    <w:p w14:paraId="6DD37743">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分类能耗应进一步分项，作为分项能效分级的依据。</w:t>
      </w:r>
    </w:p>
    <w:p w14:paraId="0BE6B821">
      <w:pPr>
        <w:pStyle w:val="2"/>
        <w:spacing w:after="156"/>
        <w:jc w:val="center"/>
        <w:rPr>
          <w:rFonts w:ascii="Times New Roman" w:hAnsi="Times New Roman" w:cs="Times New Roman"/>
          <w:color w:val="000000" w:themeColor="text1"/>
          <w:sz w:val="30"/>
          <w:szCs w:val="30"/>
          <w14:textFill>
            <w14:solidFill>
              <w14:schemeClr w14:val="tx1"/>
            </w14:solidFill>
          </w14:textFill>
        </w:rPr>
      </w:pPr>
      <w:bookmarkStart w:id="138" w:name="_Toc2948"/>
      <w:r>
        <w:rPr>
          <w:rFonts w:hint="eastAsia" w:ascii="Times New Roman" w:hAnsi="Times New Roman" w:cs="Times New Roman"/>
          <w:color w:val="000000" w:themeColor="text1"/>
          <w:sz w:val="30"/>
          <w:szCs w:val="30"/>
          <w14:textFill>
            <w14:solidFill>
              <w14:schemeClr w14:val="tx1"/>
            </w14:solidFill>
          </w14:textFill>
        </w:rPr>
        <w:t>5</w:t>
      </w:r>
      <w:r>
        <w:rPr>
          <w:rFonts w:ascii="Times New Roman" w:hAnsi="Times New Roman" w:cs="Times New Roman"/>
          <w:color w:val="000000" w:themeColor="text1"/>
          <w:sz w:val="30"/>
          <w:szCs w:val="30"/>
          <w14:textFill>
            <w14:solidFill>
              <w14:schemeClr w14:val="tx1"/>
            </w14:solidFill>
          </w14:textFill>
        </w:rPr>
        <w:t xml:space="preserve"> </w:t>
      </w:r>
      <w:r>
        <w:rPr>
          <w:rFonts w:hint="eastAsia" w:ascii="Times New Roman" w:hAnsi="Times New Roman" w:cs="Times New Roman"/>
          <w:color w:val="000000" w:themeColor="text1"/>
          <w:sz w:val="30"/>
          <w:szCs w:val="30"/>
          <w14:textFill>
            <w14:solidFill>
              <w14:schemeClr w14:val="tx1"/>
            </w14:solidFill>
          </w14:textFill>
        </w:rPr>
        <w:t>能效诊断</w:t>
      </w:r>
      <w:bookmarkEnd w:id="138"/>
    </w:p>
    <w:p w14:paraId="7CC4FBF9">
      <w:pPr>
        <w:pStyle w:val="3"/>
        <w:spacing w:before="0" w:after="0" w:line="360" w:lineRule="auto"/>
        <w:jc w:val="center"/>
        <w:rPr>
          <w:rFonts w:ascii="Times New Roman" w:hAnsi="Times New Roman" w:cs="Times New Roman"/>
          <w:color w:val="000000" w:themeColor="text1"/>
          <w:sz w:val="30"/>
          <w:szCs w:val="30"/>
          <w14:textFill>
            <w14:solidFill>
              <w14:schemeClr w14:val="tx1"/>
            </w14:solidFill>
          </w14:textFill>
        </w:rPr>
      </w:pPr>
      <w:bookmarkStart w:id="139" w:name="_Toc10208"/>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 xml:space="preserve">.1 </w:t>
      </w:r>
      <w:r>
        <w:rPr>
          <w:rFonts w:hint="eastAsia" w:ascii="Times New Roman" w:hAnsi="Times New Roman" w:cs="Times New Roman"/>
          <w:color w:val="000000" w:themeColor="text1"/>
          <w:sz w:val="28"/>
          <w:szCs w:val="28"/>
          <w14:textFill>
            <w14:solidFill>
              <w14:schemeClr w14:val="tx1"/>
            </w14:solidFill>
          </w14:textFill>
        </w:rPr>
        <w:t>能效分级</w:t>
      </w:r>
      <w:bookmarkEnd w:id="139"/>
    </w:p>
    <w:p w14:paraId="495BE8A4">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能效得分的计算方法。能效得分是公共建筑能效分级的依据，是将公共建筑综合能耗指标与相同气候区域同类型同等级同规模基准建筑能耗指标的差值折算为标准分的一种计分方式。本标准将公共建筑能效的基础得分定义为50分，即相对节能率为0。建筑的综合能耗指标可利用公式5.1.2的线性差分得到能效得分，根据5.19条进行能效分级。</w:t>
      </w:r>
    </w:p>
    <w:p w14:paraId="1D7ADCFF">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本条规定了基准建筑计算模型的选取原则：</w:t>
      </w:r>
    </w:p>
    <w:p w14:paraId="58651B91">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基准建筑应满足本标准第2.0.8条规定；</w:t>
      </w:r>
    </w:p>
    <w:p w14:paraId="71229E1A">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基准建筑功能类型为主要功能类型，当存在多种功能类型同时进行诊断时，应符合第4.1.4条的规定；</w:t>
      </w:r>
    </w:p>
    <w:p w14:paraId="4749BC3D">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所选取的平台、软件或工具应具备逐时计算能力；</w:t>
      </w:r>
    </w:p>
    <w:p w14:paraId="5BAFB982">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4 根据国家相关标准要求，能耗模型与诊断建筑模型一致，输入条件相同。</w:t>
      </w:r>
    </w:p>
    <w:p w14:paraId="7E392765">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当诊断公共建筑基准能耗值大于建筑能耗指标约束值，则以约束值为准，当小于建筑能耗指标引导值，则以引导值为准。</w:t>
      </w:r>
    </w:p>
    <w:p w14:paraId="495420C9">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8</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综合能耗的计算方法。第4.1.2条规定了公共建筑能耗数据的采集范围。其中规定通过建筑的配电系统向各类电动交通工具等外接设备提供的电力以及用于景观照明的用电均属于非自身能耗，本标准将二者统一纳入</w:t>
      </w:r>
      <w:r>
        <w:rPr>
          <w:rFonts w:hint="eastAsia" w:ascii="Times New Roman" w:hAnsi="Times New Roman" w:cs="Times New Roman"/>
          <w:i/>
          <w:color w:val="000000" w:themeColor="text1"/>
          <w:szCs w:val="21"/>
          <w14:textFill>
            <w14:solidFill>
              <w14:schemeClr w14:val="tx1"/>
            </w14:solidFill>
          </w14:textFill>
        </w:rPr>
        <w:t>E</w:t>
      </w:r>
      <w:r>
        <w:rPr>
          <w:rFonts w:hint="eastAsia" w:ascii="Times New Roman" w:hAnsi="Times New Roman" w:cs="Times New Roman"/>
          <w:i/>
          <w:color w:val="000000" w:themeColor="text1"/>
          <w:szCs w:val="21"/>
          <w:vertAlign w:val="subscript"/>
          <w14:textFill>
            <w14:solidFill>
              <w14:schemeClr w14:val="tx1"/>
            </w14:solidFill>
          </w14:textFill>
        </w:rPr>
        <w:t>out</w:t>
      </w:r>
      <w:r>
        <w:rPr>
          <w:rFonts w:hint="eastAsia" w:ascii="Times New Roman" w:hAnsi="Times New Roman" w:cs="Times New Roman"/>
          <w:iCs/>
          <w:color w:val="000000" w:themeColor="text1"/>
          <w:szCs w:val="21"/>
          <w14:textFill>
            <w14:solidFill>
              <w14:schemeClr w14:val="tx1"/>
            </w14:solidFill>
          </w14:textFill>
        </w:rPr>
        <w:t>，区别于建筑自身能耗。建筑自身各分类能耗通过电力折算系数折算为等效电后进行统计。</w:t>
      </w:r>
    </w:p>
    <w:p w14:paraId="58F83D9F">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9</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能效分级标准和响应措施。能效分级依据建筑实际运行能耗，参考标准为相同气候区域同类型同等级同规模公共建筑能效的平均水平。由于实际能耗值的复杂性，分级过细会降低标准的可操作性。因此，本标准将能效分级定为4个等级。</w:t>
      </w:r>
    </w:p>
    <w:p w14:paraId="59CA7294">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1 根据第4.1.3条，将可再生能源用能比例作为能效分级依据有助于在综合能耗指标和可再生能源应用中取得平衡。因此，本标准规定通过式（5.1.2）计算得到的能效得分位于III级和IV级范围的公共建筑在满足条件时可上调能效分级1级，通过式（5.1.2）计算得到能效得分位于I级和II级范围内的公共建筑不上调。</w:t>
      </w:r>
    </w:p>
    <w:p w14:paraId="59F01DC9">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2 第3.0.4条规定“建筑群内的同类型公共建筑，可抽取有代表性的单栋建筑进行诊断，抽取数量不应少于20%，并不应少于1栋。”当建筑群内同类型公共建筑符合抽样要求，且抽样数量大于1时，抽样范围内其他同类型建筑能效等级“就低不就高”。</w:t>
      </w:r>
    </w:p>
    <w:p w14:paraId="19AB6A41">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3 能效指标的确定原则与第5.1.1条能效分级的原则一致。</w:t>
      </w:r>
    </w:p>
    <w:p w14:paraId="73C281E4">
      <w:pPr>
        <w:pStyle w:val="3"/>
        <w:spacing w:before="0" w:after="0" w:line="360" w:lineRule="auto"/>
        <w:jc w:val="center"/>
        <w:rPr>
          <w:rFonts w:ascii="Times New Roman" w:hAnsi="Times New Roman" w:cs="Times New Roman"/>
          <w:color w:val="000000" w:themeColor="text1"/>
          <w:sz w:val="30"/>
          <w:szCs w:val="30"/>
          <w14:textFill>
            <w14:solidFill>
              <w14:schemeClr w14:val="tx1"/>
            </w14:solidFill>
          </w14:textFill>
        </w:rPr>
      </w:pPr>
      <w:bookmarkStart w:id="140" w:name="_Toc28001"/>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分项能效诊断</w:t>
      </w:r>
      <w:bookmarkEnd w:id="140"/>
    </w:p>
    <w:p w14:paraId="2A0FB7B5">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4</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分项设备信息和分项能耗信息是进行分项能效诊断的数据基础。根据第4.1.7条，所有参与诊断公共建筑均应完善分项数据信息，为分项能效诊断提供数据支撑。</w:t>
      </w:r>
    </w:p>
    <w:p w14:paraId="0CD31961">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是对不同能效等级公共建筑响应措施的具体执行。能效分级为I级和II级的公共建筑能效水平处于相对较高位置，可进行分项能效诊断。能效分级为III级和IV级的公共建筑能效水平较低，应通过分项能效诊断探寻围护结构和系统设备方面影响能效的因素。</w:t>
      </w:r>
    </w:p>
    <w:p w14:paraId="47957ED8">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11</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规定了分项能效性能评估的依据。为保证诊断的科学性，分项能效性能评估的依据应出自具有相关资质的检测单位出具的检测报告或验收报告。相关资料可来自于建筑竣工验收资料、设备检定资料、自主或委托进行的检验检测等。当缺少上述资料时，应在能源管理诊断报告对应部分进行记录，公共建筑宜自主或委托具有相关资质的检测单位进行检测并出具检测报告。</w:t>
      </w:r>
    </w:p>
    <w:p w14:paraId="7D2CF171">
      <w:pPr>
        <w:pStyle w:val="3"/>
        <w:spacing w:line="360" w:lineRule="auto"/>
        <w:jc w:val="center"/>
        <w:rPr>
          <w:rFonts w:ascii="Times New Roman" w:hAnsi="Times New Roman" w:cs="Times New Roman"/>
          <w:iCs/>
          <w:color w:val="000000" w:themeColor="text1"/>
          <w:szCs w:val="21"/>
          <w14:textFill>
            <w14:solidFill>
              <w14:schemeClr w14:val="tx1"/>
            </w14:solidFill>
          </w14:textFill>
        </w:rPr>
      </w:pPr>
      <w:bookmarkStart w:id="141" w:name="_Toc8788"/>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3</w:t>
      </w:r>
      <w:r>
        <w:rPr>
          <w:rFonts w:ascii="Times New Roman" w:hAnsi="Times New Roman" w:cs="Times New Roman"/>
          <w:color w:val="000000" w:themeColor="text1"/>
          <w:sz w:val="28"/>
          <w:szCs w:val="28"/>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能源管理诊断</w:t>
      </w:r>
      <w:bookmarkEnd w:id="141"/>
    </w:p>
    <w:p w14:paraId="00DE195C">
      <w:pPr>
        <w:spacing w:line="360" w:lineRule="auto"/>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5</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3</w:t>
      </w:r>
      <w:r>
        <w:rPr>
          <w:rFonts w:ascii="Times New Roman" w:hAnsi="Times New Roman" w:cs="Times New Roman"/>
          <w:iCs/>
          <w:color w:val="000000" w:themeColor="text1"/>
          <w:szCs w:val="21"/>
          <w14:textFill>
            <w14:solidFill>
              <w14:schemeClr w14:val="tx1"/>
            </w14:solidFill>
          </w14:textFill>
        </w:rPr>
        <w:t>.</w:t>
      </w:r>
      <w:r>
        <w:rPr>
          <w:rFonts w:hint="eastAsia" w:ascii="Times New Roman" w:hAnsi="Times New Roman" w:cs="Times New Roman"/>
          <w:iCs/>
          <w:color w:val="000000" w:themeColor="text1"/>
          <w:szCs w:val="21"/>
          <w14:textFill>
            <w14:solidFill>
              <w14:schemeClr w14:val="tx1"/>
            </w14:solidFill>
          </w14:textFill>
        </w:rPr>
        <w:t>2</w:t>
      </w:r>
      <w:r>
        <w:rPr>
          <w:rFonts w:ascii="Times New Roman" w:hAnsi="Times New Roman" w:cs="Times New Roman"/>
          <w:iCs/>
          <w:color w:val="000000" w:themeColor="text1"/>
          <w:szCs w:val="21"/>
          <w14:textFill>
            <w14:solidFill>
              <w14:schemeClr w14:val="tx1"/>
            </w14:solidFill>
          </w14:textFill>
        </w:rPr>
        <w:t xml:space="preserve"> </w:t>
      </w:r>
      <w:r>
        <w:rPr>
          <w:rFonts w:hint="eastAsia" w:ascii="Times New Roman" w:hAnsi="Times New Roman" w:cs="Times New Roman"/>
          <w:iCs/>
          <w:color w:val="000000" w:themeColor="text1"/>
          <w:szCs w:val="21"/>
          <w14:textFill>
            <w14:solidFill>
              <w14:schemeClr w14:val="tx1"/>
            </w14:solidFill>
          </w14:textFill>
        </w:rPr>
        <w:t>本条是对不同能效等级公共建筑响应措施的具体执行。能源管理诊断内容由第5.3.3条进行规定，其中大部分内容难以进行定量评价，且一般应根据现场实际情况确定。因此，能源管理诊断仅针对发现的问题提出改进建议，不进行合格与否的区分或等级的划分。</w:t>
      </w:r>
    </w:p>
    <w:p w14:paraId="7829F4D6">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r>
        <w:rPr>
          <w:rFonts w:hint="eastAsia" w:ascii="Times New Roman" w:hAnsi="Times New Roman" w:cs="Times New Roman"/>
          <w:iCs/>
          <w:color w:val="000000" w:themeColor="text1"/>
          <w:szCs w:val="21"/>
          <w14:textFill>
            <w14:solidFill>
              <w14:schemeClr w14:val="tx1"/>
            </w14:solidFill>
          </w14:textFill>
        </w:rPr>
        <w:t>根据第5.1.9条，能效分级为I级和II级的公共建筑能效水平处于相对较高位置，可进行能源管理诊断；能效分级为III级和IV级能效水平较低，应通过能源管理诊断发现在运行管理方面影响能效的因素。</w:t>
      </w:r>
    </w:p>
    <w:p w14:paraId="3BEF4A7F">
      <w:pPr>
        <w:spacing w:line="360" w:lineRule="auto"/>
        <w:ind w:firstLine="420" w:firstLineChars="200"/>
        <w:rPr>
          <w:rFonts w:ascii="Times New Roman" w:hAnsi="Times New Roman" w:cs="Times New Roman"/>
          <w:iCs/>
          <w:color w:val="000000" w:themeColor="text1"/>
          <w:szCs w:val="21"/>
          <w14:textFill>
            <w14:solidFill>
              <w14:schemeClr w14:val="tx1"/>
            </w14:solidFill>
          </w14:textFill>
        </w:rPr>
      </w:pPr>
    </w:p>
    <w:sectPr>
      <w:pgSz w:w="11906" w:h="16838"/>
      <w:pgMar w:top="1440" w:right="1803" w:bottom="1440" w:left="1803" w:header="851"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1036710"/>
    </w:sdtPr>
    <w:sdtContent>
      <w:p w14:paraId="5E0680A1">
        <w:pPr>
          <w:pStyle w:val="11"/>
          <w:jc w:val="center"/>
        </w:pPr>
        <w:r>
          <w:fldChar w:fldCharType="begin"/>
        </w:r>
        <w:r>
          <w:instrText xml:space="preserve">PAGE   \* MERGEFORMAT</w:instrText>
        </w:r>
        <w:r>
          <w:fldChar w:fldCharType="separate"/>
        </w:r>
        <w:r>
          <w:rPr>
            <w:lang w:val="zh-CN"/>
          </w:rPr>
          <w:t>4</w:t>
        </w:r>
        <w:r>
          <w:fldChar w:fldCharType="end"/>
        </w:r>
      </w:p>
    </w:sdtContent>
  </w:sdt>
  <w:p w14:paraId="58D04133">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C85">
    <w:pPr>
      <w:pStyle w:val="11"/>
      <w:framePr w:wrap="around" w:vAnchor="text" w:hAnchor="margin" w:xAlign="right" w:y="1"/>
      <w:rPr>
        <w:rStyle w:val="21"/>
      </w:rPr>
    </w:pPr>
    <w:r>
      <w:rPr>
        <w:rStyle w:val="21"/>
      </w:rPr>
      <w:fldChar w:fldCharType="begin"/>
    </w:r>
    <w:r>
      <w:rPr>
        <w:rStyle w:val="21"/>
      </w:rPr>
      <w:instrText xml:space="preserve">PAGE  </w:instrText>
    </w:r>
    <w:r>
      <w:rPr>
        <w:rStyle w:val="21"/>
      </w:rPr>
      <w:fldChar w:fldCharType="end"/>
    </w:r>
  </w:p>
  <w:p w14:paraId="65CBB5CD">
    <w:pPr>
      <w:ind w:right="360"/>
      <w:rPr>
        <w:rStyle w:val="21"/>
      </w:rPr>
    </w:pPr>
  </w:p>
  <w:p w14:paraId="30DB66A5"/>
  <w:p w14:paraId="7262A66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31DF4">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5F95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00B5F95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22148">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658"/>
                          </w:sdtPr>
                          <w:sdtContent>
                            <w:p w14:paraId="0FFA2C4A">
                              <w:pPr>
                                <w:pStyle w:val="11"/>
                                <w:jc w:val="center"/>
                              </w:pPr>
                              <w:r>
                                <w:fldChar w:fldCharType="begin"/>
                              </w:r>
                              <w:r>
                                <w:instrText xml:space="preserve">PAGE   \* MERGEFORMAT</w:instrText>
                              </w:r>
                              <w:r>
                                <w:fldChar w:fldCharType="separate"/>
                              </w:r>
                              <w:r>
                                <w:rPr>
                                  <w:lang w:val="zh-CN"/>
                                </w:rPr>
                                <w:t>4</w:t>
                              </w:r>
                              <w:r>
                                <w:fldChar w:fldCharType="end"/>
                              </w:r>
                            </w:p>
                          </w:sdtContent>
                        </w:sdt>
                        <w:p w14:paraId="00A9E24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75658"/>
                    </w:sdtPr>
                    <w:sdtContent>
                      <w:p w14:paraId="0FFA2C4A">
                        <w:pPr>
                          <w:pStyle w:val="11"/>
                          <w:jc w:val="center"/>
                        </w:pPr>
                        <w:r>
                          <w:fldChar w:fldCharType="begin"/>
                        </w:r>
                        <w:r>
                          <w:instrText xml:space="preserve">PAGE   \* MERGEFORMAT</w:instrText>
                        </w:r>
                        <w:r>
                          <w:fldChar w:fldCharType="separate"/>
                        </w:r>
                        <w:r>
                          <w:rPr>
                            <w:lang w:val="zh-CN"/>
                          </w:rPr>
                          <w:t>4</w:t>
                        </w:r>
                        <w:r>
                          <w:fldChar w:fldCharType="end"/>
                        </w:r>
                      </w:p>
                    </w:sdtContent>
                  </w:sdt>
                  <w:p w14:paraId="00A9E24B"/>
                </w:txbxContent>
              </v:textbox>
            </v:shape>
          </w:pict>
        </mc:Fallback>
      </mc:AlternateContent>
    </w:r>
  </w:p>
  <w:p w14:paraId="77EBB5B7">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7514">
    <w:pPr>
      <w:pStyle w:val="11"/>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734"/>
                          </w:sdtPr>
                          <w:sdtContent>
                            <w:p w14:paraId="753F45B0">
                              <w:pPr>
                                <w:pStyle w:val="11"/>
                                <w:jc w:val="center"/>
                              </w:pPr>
                              <w:r>
                                <w:fldChar w:fldCharType="begin"/>
                              </w:r>
                              <w:r>
                                <w:instrText xml:space="preserve">PAGE   \* MERGEFORMAT</w:instrText>
                              </w:r>
                              <w:r>
                                <w:fldChar w:fldCharType="separate"/>
                              </w:r>
                              <w:r>
                                <w:rPr>
                                  <w:lang w:val="zh-CN"/>
                                </w:rPr>
                                <w:t>4</w:t>
                              </w:r>
                              <w:r>
                                <w:fldChar w:fldCharType="end"/>
                              </w:r>
                            </w:p>
                          </w:sdtContent>
                        </w:sdt>
                        <w:p w14:paraId="6D3C149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82734"/>
                    </w:sdtPr>
                    <w:sdtContent>
                      <w:p w14:paraId="753F45B0">
                        <w:pPr>
                          <w:pStyle w:val="11"/>
                          <w:jc w:val="center"/>
                        </w:pPr>
                        <w:r>
                          <w:fldChar w:fldCharType="begin"/>
                        </w:r>
                        <w:r>
                          <w:instrText xml:space="preserve">PAGE   \* MERGEFORMAT</w:instrText>
                        </w:r>
                        <w:r>
                          <w:fldChar w:fldCharType="separate"/>
                        </w:r>
                        <w:r>
                          <w:rPr>
                            <w:lang w:val="zh-CN"/>
                          </w:rPr>
                          <w:t>4</w:t>
                        </w:r>
                        <w:r>
                          <w:fldChar w:fldCharType="end"/>
                        </w:r>
                      </w:p>
                    </w:sdtContent>
                  </w:sdt>
                  <w:p w14:paraId="6D3C149E"/>
                </w:txbxContent>
              </v:textbox>
            </v:shape>
          </w:pict>
        </mc:Fallback>
      </mc:AlternateContent>
    </w:r>
  </w:p>
  <w:p w14:paraId="47F4892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170A7"/>
  <w:p w14:paraId="61AACB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5378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MDYwYzQ0ODk2ODFkNjM5MWU5NDVkN2YzZmJmZmUifQ=="/>
    <w:docVar w:name="KSO_WPS_MARK_KEY" w:val="4a5fd022-5667-4335-97f0-1ebcdd8374e3"/>
  </w:docVars>
  <w:rsids>
    <w:rsidRoot w:val="007A5B20"/>
    <w:rsid w:val="00000AD4"/>
    <w:rsid w:val="00001BF1"/>
    <w:rsid w:val="00002E4D"/>
    <w:rsid w:val="00003CC2"/>
    <w:rsid w:val="000055BD"/>
    <w:rsid w:val="000079CF"/>
    <w:rsid w:val="000113E2"/>
    <w:rsid w:val="00015707"/>
    <w:rsid w:val="00015B06"/>
    <w:rsid w:val="00023394"/>
    <w:rsid w:val="000247E7"/>
    <w:rsid w:val="00034578"/>
    <w:rsid w:val="00034CDD"/>
    <w:rsid w:val="00042F4F"/>
    <w:rsid w:val="00043FB4"/>
    <w:rsid w:val="0004469E"/>
    <w:rsid w:val="000456A0"/>
    <w:rsid w:val="00046699"/>
    <w:rsid w:val="00046D4A"/>
    <w:rsid w:val="000472BE"/>
    <w:rsid w:val="00050C0E"/>
    <w:rsid w:val="000517C1"/>
    <w:rsid w:val="000527EA"/>
    <w:rsid w:val="00053614"/>
    <w:rsid w:val="00055F78"/>
    <w:rsid w:val="000632CD"/>
    <w:rsid w:val="0006506B"/>
    <w:rsid w:val="00066422"/>
    <w:rsid w:val="00070711"/>
    <w:rsid w:val="000708EB"/>
    <w:rsid w:val="00071CF4"/>
    <w:rsid w:val="0007448A"/>
    <w:rsid w:val="00080258"/>
    <w:rsid w:val="00081197"/>
    <w:rsid w:val="000811E0"/>
    <w:rsid w:val="00081BAF"/>
    <w:rsid w:val="0008317E"/>
    <w:rsid w:val="0008376C"/>
    <w:rsid w:val="0008776A"/>
    <w:rsid w:val="0009425B"/>
    <w:rsid w:val="00094F86"/>
    <w:rsid w:val="00096B85"/>
    <w:rsid w:val="000A1FE6"/>
    <w:rsid w:val="000A4C82"/>
    <w:rsid w:val="000A5CCF"/>
    <w:rsid w:val="000A7789"/>
    <w:rsid w:val="000B01A3"/>
    <w:rsid w:val="000B040F"/>
    <w:rsid w:val="000B2375"/>
    <w:rsid w:val="000B4D7C"/>
    <w:rsid w:val="000B5B13"/>
    <w:rsid w:val="000B6650"/>
    <w:rsid w:val="000C05BE"/>
    <w:rsid w:val="000C4628"/>
    <w:rsid w:val="000C4733"/>
    <w:rsid w:val="000D0AFF"/>
    <w:rsid w:val="000D2EA2"/>
    <w:rsid w:val="000D35D9"/>
    <w:rsid w:val="000D4994"/>
    <w:rsid w:val="000D5B42"/>
    <w:rsid w:val="000D69E9"/>
    <w:rsid w:val="000D7EC1"/>
    <w:rsid w:val="000E0F92"/>
    <w:rsid w:val="000E4E0E"/>
    <w:rsid w:val="000F0C10"/>
    <w:rsid w:val="000F0E06"/>
    <w:rsid w:val="000F21F5"/>
    <w:rsid w:val="000F25C2"/>
    <w:rsid w:val="000F2D59"/>
    <w:rsid w:val="001004FD"/>
    <w:rsid w:val="00101F17"/>
    <w:rsid w:val="00105D0F"/>
    <w:rsid w:val="001070E0"/>
    <w:rsid w:val="001103D0"/>
    <w:rsid w:val="0011406A"/>
    <w:rsid w:val="00120F90"/>
    <w:rsid w:val="00122D68"/>
    <w:rsid w:val="00126A85"/>
    <w:rsid w:val="00126B7E"/>
    <w:rsid w:val="00126C5D"/>
    <w:rsid w:val="0012701B"/>
    <w:rsid w:val="00131F8B"/>
    <w:rsid w:val="00133387"/>
    <w:rsid w:val="00140689"/>
    <w:rsid w:val="00141525"/>
    <w:rsid w:val="0014346F"/>
    <w:rsid w:val="001479AE"/>
    <w:rsid w:val="00147CAD"/>
    <w:rsid w:val="001532BD"/>
    <w:rsid w:val="00153930"/>
    <w:rsid w:val="00154363"/>
    <w:rsid w:val="0015467F"/>
    <w:rsid w:val="00160989"/>
    <w:rsid w:val="001717B5"/>
    <w:rsid w:val="0017722B"/>
    <w:rsid w:val="001774FE"/>
    <w:rsid w:val="00177848"/>
    <w:rsid w:val="00180D3F"/>
    <w:rsid w:val="0018470D"/>
    <w:rsid w:val="00184937"/>
    <w:rsid w:val="0019024F"/>
    <w:rsid w:val="0019107E"/>
    <w:rsid w:val="00194F41"/>
    <w:rsid w:val="00195C87"/>
    <w:rsid w:val="001970E2"/>
    <w:rsid w:val="001A04DF"/>
    <w:rsid w:val="001A7F78"/>
    <w:rsid w:val="001B342E"/>
    <w:rsid w:val="001B44B2"/>
    <w:rsid w:val="001B472D"/>
    <w:rsid w:val="001B5954"/>
    <w:rsid w:val="001B5C00"/>
    <w:rsid w:val="001B6CD6"/>
    <w:rsid w:val="001C2106"/>
    <w:rsid w:val="001C3727"/>
    <w:rsid w:val="001C708D"/>
    <w:rsid w:val="001D088E"/>
    <w:rsid w:val="001D5751"/>
    <w:rsid w:val="001D711D"/>
    <w:rsid w:val="001F1759"/>
    <w:rsid w:val="001F58CA"/>
    <w:rsid w:val="001F7E59"/>
    <w:rsid w:val="002010F2"/>
    <w:rsid w:val="00210D71"/>
    <w:rsid w:val="00213F0E"/>
    <w:rsid w:val="00213F97"/>
    <w:rsid w:val="002161C2"/>
    <w:rsid w:val="00216E50"/>
    <w:rsid w:val="00220EE6"/>
    <w:rsid w:val="002275D9"/>
    <w:rsid w:val="00233B4F"/>
    <w:rsid w:val="002405A2"/>
    <w:rsid w:val="002410F1"/>
    <w:rsid w:val="0024212F"/>
    <w:rsid w:val="002428E6"/>
    <w:rsid w:val="00243760"/>
    <w:rsid w:val="00246CD2"/>
    <w:rsid w:val="00246EB3"/>
    <w:rsid w:val="0025052C"/>
    <w:rsid w:val="00251FFE"/>
    <w:rsid w:val="00253F17"/>
    <w:rsid w:val="002546C5"/>
    <w:rsid w:val="00255195"/>
    <w:rsid w:val="00255360"/>
    <w:rsid w:val="0025784B"/>
    <w:rsid w:val="00262A97"/>
    <w:rsid w:val="00265A83"/>
    <w:rsid w:val="002804A0"/>
    <w:rsid w:val="0028569E"/>
    <w:rsid w:val="00287594"/>
    <w:rsid w:val="00293B1D"/>
    <w:rsid w:val="00297318"/>
    <w:rsid w:val="002A1125"/>
    <w:rsid w:val="002A5152"/>
    <w:rsid w:val="002B15CC"/>
    <w:rsid w:val="002B2368"/>
    <w:rsid w:val="002B6F05"/>
    <w:rsid w:val="002C4A1E"/>
    <w:rsid w:val="002C7039"/>
    <w:rsid w:val="002D667E"/>
    <w:rsid w:val="002E3A17"/>
    <w:rsid w:val="002F10B3"/>
    <w:rsid w:val="00302BA9"/>
    <w:rsid w:val="0030373E"/>
    <w:rsid w:val="00304E91"/>
    <w:rsid w:val="00305A27"/>
    <w:rsid w:val="00311CDD"/>
    <w:rsid w:val="00311E74"/>
    <w:rsid w:val="00315B43"/>
    <w:rsid w:val="00322FE9"/>
    <w:rsid w:val="00330DC8"/>
    <w:rsid w:val="00333E59"/>
    <w:rsid w:val="003355E5"/>
    <w:rsid w:val="003356D4"/>
    <w:rsid w:val="00336386"/>
    <w:rsid w:val="00336666"/>
    <w:rsid w:val="00337F15"/>
    <w:rsid w:val="00343AE9"/>
    <w:rsid w:val="00344C01"/>
    <w:rsid w:val="00345CC2"/>
    <w:rsid w:val="00346B5E"/>
    <w:rsid w:val="00350FA3"/>
    <w:rsid w:val="00352470"/>
    <w:rsid w:val="0036029D"/>
    <w:rsid w:val="00362657"/>
    <w:rsid w:val="00362997"/>
    <w:rsid w:val="00366B00"/>
    <w:rsid w:val="00366B88"/>
    <w:rsid w:val="00367271"/>
    <w:rsid w:val="003704D3"/>
    <w:rsid w:val="00374807"/>
    <w:rsid w:val="0037603D"/>
    <w:rsid w:val="0038438A"/>
    <w:rsid w:val="00384902"/>
    <w:rsid w:val="00384A99"/>
    <w:rsid w:val="003944DE"/>
    <w:rsid w:val="00397184"/>
    <w:rsid w:val="00397238"/>
    <w:rsid w:val="003A1FE8"/>
    <w:rsid w:val="003A2427"/>
    <w:rsid w:val="003A43E9"/>
    <w:rsid w:val="003A44C5"/>
    <w:rsid w:val="003B1022"/>
    <w:rsid w:val="003C14BB"/>
    <w:rsid w:val="003C6457"/>
    <w:rsid w:val="003D0032"/>
    <w:rsid w:val="003D366F"/>
    <w:rsid w:val="003D6900"/>
    <w:rsid w:val="003E2E0B"/>
    <w:rsid w:val="003F23CE"/>
    <w:rsid w:val="003F544B"/>
    <w:rsid w:val="003F70F9"/>
    <w:rsid w:val="00401FAF"/>
    <w:rsid w:val="004043D2"/>
    <w:rsid w:val="0041165A"/>
    <w:rsid w:val="00412794"/>
    <w:rsid w:val="00412DFC"/>
    <w:rsid w:val="00414949"/>
    <w:rsid w:val="00417FC7"/>
    <w:rsid w:val="00420687"/>
    <w:rsid w:val="00421B1E"/>
    <w:rsid w:val="00430419"/>
    <w:rsid w:val="0043314C"/>
    <w:rsid w:val="00435CD5"/>
    <w:rsid w:val="00435E29"/>
    <w:rsid w:val="00436CD2"/>
    <w:rsid w:val="0043788E"/>
    <w:rsid w:val="00441B59"/>
    <w:rsid w:val="00441FC8"/>
    <w:rsid w:val="0044215C"/>
    <w:rsid w:val="004422BD"/>
    <w:rsid w:val="004429EC"/>
    <w:rsid w:val="00447598"/>
    <w:rsid w:val="00452549"/>
    <w:rsid w:val="004532F9"/>
    <w:rsid w:val="004555CC"/>
    <w:rsid w:val="00457BEE"/>
    <w:rsid w:val="00462F52"/>
    <w:rsid w:val="00463E93"/>
    <w:rsid w:val="004658F6"/>
    <w:rsid w:val="00465B95"/>
    <w:rsid w:val="00465DAC"/>
    <w:rsid w:val="00472EEA"/>
    <w:rsid w:val="004752CA"/>
    <w:rsid w:val="00475430"/>
    <w:rsid w:val="00476C3A"/>
    <w:rsid w:val="00480BC2"/>
    <w:rsid w:val="00484B3D"/>
    <w:rsid w:val="00493C5E"/>
    <w:rsid w:val="00493E0E"/>
    <w:rsid w:val="0049608C"/>
    <w:rsid w:val="004A1AF6"/>
    <w:rsid w:val="004A2AE7"/>
    <w:rsid w:val="004A3555"/>
    <w:rsid w:val="004A4CDC"/>
    <w:rsid w:val="004A4D48"/>
    <w:rsid w:val="004A50EA"/>
    <w:rsid w:val="004B6284"/>
    <w:rsid w:val="004B7184"/>
    <w:rsid w:val="004C0371"/>
    <w:rsid w:val="004C1C1A"/>
    <w:rsid w:val="004C7875"/>
    <w:rsid w:val="004C7B4C"/>
    <w:rsid w:val="004C7DA5"/>
    <w:rsid w:val="004D18B8"/>
    <w:rsid w:val="004D2FC6"/>
    <w:rsid w:val="004D4138"/>
    <w:rsid w:val="004D5080"/>
    <w:rsid w:val="004D5733"/>
    <w:rsid w:val="004D61E6"/>
    <w:rsid w:val="004D6C3F"/>
    <w:rsid w:val="004D7AF6"/>
    <w:rsid w:val="004E1880"/>
    <w:rsid w:val="004E3D53"/>
    <w:rsid w:val="004E4FBA"/>
    <w:rsid w:val="004E5F54"/>
    <w:rsid w:val="004E7562"/>
    <w:rsid w:val="004F16E0"/>
    <w:rsid w:val="004F1FCF"/>
    <w:rsid w:val="004F39F3"/>
    <w:rsid w:val="004F53C6"/>
    <w:rsid w:val="004F6918"/>
    <w:rsid w:val="00501B13"/>
    <w:rsid w:val="00506D09"/>
    <w:rsid w:val="00511AF7"/>
    <w:rsid w:val="00511F29"/>
    <w:rsid w:val="005131D3"/>
    <w:rsid w:val="00521B77"/>
    <w:rsid w:val="00526339"/>
    <w:rsid w:val="005325F5"/>
    <w:rsid w:val="00533CB5"/>
    <w:rsid w:val="005358C3"/>
    <w:rsid w:val="005438A5"/>
    <w:rsid w:val="0054444D"/>
    <w:rsid w:val="00544E87"/>
    <w:rsid w:val="00547C38"/>
    <w:rsid w:val="00553059"/>
    <w:rsid w:val="00553CF6"/>
    <w:rsid w:val="00554676"/>
    <w:rsid w:val="005546E5"/>
    <w:rsid w:val="005555F3"/>
    <w:rsid w:val="00560356"/>
    <w:rsid w:val="00563016"/>
    <w:rsid w:val="00563938"/>
    <w:rsid w:val="00565537"/>
    <w:rsid w:val="0057059B"/>
    <w:rsid w:val="0058071A"/>
    <w:rsid w:val="00583446"/>
    <w:rsid w:val="005846CE"/>
    <w:rsid w:val="00596F50"/>
    <w:rsid w:val="005A1AED"/>
    <w:rsid w:val="005A2D64"/>
    <w:rsid w:val="005A5E9C"/>
    <w:rsid w:val="005B5E07"/>
    <w:rsid w:val="005C08A5"/>
    <w:rsid w:val="005C5106"/>
    <w:rsid w:val="005C68E2"/>
    <w:rsid w:val="005D488E"/>
    <w:rsid w:val="005D6542"/>
    <w:rsid w:val="005E4645"/>
    <w:rsid w:val="005E5DE3"/>
    <w:rsid w:val="005E66FD"/>
    <w:rsid w:val="005E7365"/>
    <w:rsid w:val="005F1A0C"/>
    <w:rsid w:val="005F3C43"/>
    <w:rsid w:val="005F481F"/>
    <w:rsid w:val="005F677F"/>
    <w:rsid w:val="005F6D5C"/>
    <w:rsid w:val="00601320"/>
    <w:rsid w:val="006053B9"/>
    <w:rsid w:val="00605421"/>
    <w:rsid w:val="00610A70"/>
    <w:rsid w:val="00610E8A"/>
    <w:rsid w:val="0061129E"/>
    <w:rsid w:val="0061136F"/>
    <w:rsid w:val="006113A8"/>
    <w:rsid w:val="00613A3A"/>
    <w:rsid w:val="006172AE"/>
    <w:rsid w:val="00623913"/>
    <w:rsid w:val="00625994"/>
    <w:rsid w:val="0062666D"/>
    <w:rsid w:val="006271CB"/>
    <w:rsid w:val="006378EE"/>
    <w:rsid w:val="00637BFD"/>
    <w:rsid w:val="00642482"/>
    <w:rsid w:val="0064377F"/>
    <w:rsid w:val="006522C0"/>
    <w:rsid w:val="0065426B"/>
    <w:rsid w:val="00656726"/>
    <w:rsid w:val="00662083"/>
    <w:rsid w:val="006661AF"/>
    <w:rsid w:val="006667B9"/>
    <w:rsid w:val="00670205"/>
    <w:rsid w:val="00671B39"/>
    <w:rsid w:val="00676309"/>
    <w:rsid w:val="00684A69"/>
    <w:rsid w:val="00690376"/>
    <w:rsid w:val="006911BA"/>
    <w:rsid w:val="006921FD"/>
    <w:rsid w:val="00693B7C"/>
    <w:rsid w:val="0069747A"/>
    <w:rsid w:val="006A02FF"/>
    <w:rsid w:val="006A2F78"/>
    <w:rsid w:val="006A56AD"/>
    <w:rsid w:val="006A7EBE"/>
    <w:rsid w:val="006B2386"/>
    <w:rsid w:val="006B2661"/>
    <w:rsid w:val="006C0133"/>
    <w:rsid w:val="006C438D"/>
    <w:rsid w:val="006C694D"/>
    <w:rsid w:val="006C7B31"/>
    <w:rsid w:val="006D17B8"/>
    <w:rsid w:val="006D51B4"/>
    <w:rsid w:val="006E05D5"/>
    <w:rsid w:val="006E22FA"/>
    <w:rsid w:val="006E356A"/>
    <w:rsid w:val="006E51B1"/>
    <w:rsid w:val="006E51C9"/>
    <w:rsid w:val="006E7EFA"/>
    <w:rsid w:val="006F4E30"/>
    <w:rsid w:val="00702006"/>
    <w:rsid w:val="007061D8"/>
    <w:rsid w:val="00707B12"/>
    <w:rsid w:val="007118F8"/>
    <w:rsid w:val="00714654"/>
    <w:rsid w:val="00721648"/>
    <w:rsid w:val="00721A20"/>
    <w:rsid w:val="00721BBE"/>
    <w:rsid w:val="00724780"/>
    <w:rsid w:val="007339C4"/>
    <w:rsid w:val="007342F2"/>
    <w:rsid w:val="00735CA9"/>
    <w:rsid w:val="0074104D"/>
    <w:rsid w:val="00751321"/>
    <w:rsid w:val="00752080"/>
    <w:rsid w:val="00753145"/>
    <w:rsid w:val="007561CD"/>
    <w:rsid w:val="00760CEA"/>
    <w:rsid w:val="007643B0"/>
    <w:rsid w:val="00772BAB"/>
    <w:rsid w:val="007747FD"/>
    <w:rsid w:val="00774F9C"/>
    <w:rsid w:val="0077770A"/>
    <w:rsid w:val="00791767"/>
    <w:rsid w:val="00793634"/>
    <w:rsid w:val="00795B4A"/>
    <w:rsid w:val="007A09E5"/>
    <w:rsid w:val="007A486B"/>
    <w:rsid w:val="007A5940"/>
    <w:rsid w:val="007A5B20"/>
    <w:rsid w:val="007A7553"/>
    <w:rsid w:val="007A796B"/>
    <w:rsid w:val="007B065E"/>
    <w:rsid w:val="007B0FD6"/>
    <w:rsid w:val="007B633C"/>
    <w:rsid w:val="007B6D67"/>
    <w:rsid w:val="007B7155"/>
    <w:rsid w:val="007C054E"/>
    <w:rsid w:val="007C12EA"/>
    <w:rsid w:val="007C1689"/>
    <w:rsid w:val="007C1828"/>
    <w:rsid w:val="007C387B"/>
    <w:rsid w:val="007C3B99"/>
    <w:rsid w:val="007C3ECB"/>
    <w:rsid w:val="007C6873"/>
    <w:rsid w:val="007D25A9"/>
    <w:rsid w:val="007D42F7"/>
    <w:rsid w:val="007E2ED8"/>
    <w:rsid w:val="007E43A5"/>
    <w:rsid w:val="007F6E07"/>
    <w:rsid w:val="00803F99"/>
    <w:rsid w:val="008165E9"/>
    <w:rsid w:val="0081668F"/>
    <w:rsid w:val="00824BAC"/>
    <w:rsid w:val="00826713"/>
    <w:rsid w:val="00826C7B"/>
    <w:rsid w:val="00834D83"/>
    <w:rsid w:val="0083649C"/>
    <w:rsid w:val="008367A9"/>
    <w:rsid w:val="00840D29"/>
    <w:rsid w:val="00841C31"/>
    <w:rsid w:val="00852CDB"/>
    <w:rsid w:val="00857864"/>
    <w:rsid w:val="0086474F"/>
    <w:rsid w:val="0086593E"/>
    <w:rsid w:val="008741CA"/>
    <w:rsid w:val="00880161"/>
    <w:rsid w:val="00883CBF"/>
    <w:rsid w:val="00884A60"/>
    <w:rsid w:val="00892391"/>
    <w:rsid w:val="008924FA"/>
    <w:rsid w:val="00892514"/>
    <w:rsid w:val="00896B4B"/>
    <w:rsid w:val="008974EC"/>
    <w:rsid w:val="008A2BF0"/>
    <w:rsid w:val="008A4B69"/>
    <w:rsid w:val="008A55A5"/>
    <w:rsid w:val="008B1541"/>
    <w:rsid w:val="008B3832"/>
    <w:rsid w:val="008C48BE"/>
    <w:rsid w:val="008D0240"/>
    <w:rsid w:val="008D1A69"/>
    <w:rsid w:val="008D4696"/>
    <w:rsid w:val="008D4802"/>
    <w:rsid w:val="008E2E13"/>
    <w:rsid w:val="008E5DC0"/>
    <w:rsid w:val="008F1186"/>
    <w:rsid w:val="008F1AC2"/>
    <w:rsid w:val="008F3B83"/>
    <w:rsid w:val="00900F24"/>
    <w:rsid w:val="00901A3A"/>
    <w:rsid w:val="00902C2A"/>
    <w:rsid w:val="00903223"/>
    <w:rsid w:val="00920878"/>
    <w:rsid w:val="00921792"/>
    <w:rsid w:val="00921FED"/>
    <w:rsid w:val="0092637D"/>
    <w:rsid w:val="00936530"/>
    <w:rsid w:val="00936C77"/>
    <w:rsid w:val="009401A1"/>
    <w:rsid w:val="00940F1E"/>
    <w:rsid w:val="00940F73"/>
    <w:rsid w:val="00943ACC"/>
    <w:rsid w:val="0094459E"/>
    <w:rsid w:val="00947191"/>
    <w:rsid w:val="00957CAA"/>
    <w:rsid w:val="00960E7B"/>
    <w:rsid w:val="00975783"/>
    <w:rsid w:val="009826B2"/>
    <w:rsid w:val="0098282D"/>
    <w:rsid w:val="00982F2A"/>
    <w:rsid w:val="00991809"/>
    <w:rsid w:val="00992AAB"/>
    <w:rsid w:val="00992CDF"/>
    <w:rsid w:val="009950DF"/>
    <w:rsid w:val="00995D89"/>
    <w:rsid w:val="00996C08"/>
    <w:rsid w:val="009A08B3"/>
    <w:rsid w:val="009A1BEA"/>
    <w:rsid w:val="009A5A35"/>
    <w:rsid w:val="009A763D"/>
    <w:rsid w:val="009B743D"/>
    <w:rsid w:val="009B747F"/>
    <w:rsid w:val="009C0B2E"/>
    <w:rsid w:val="009C37E4"/>
    <w:rsid w:val="009C456C"/>
    <w:rsid w:val="009C4901"/>
    <w:rsid w:val="009C6D4C"/>
    <w:rsid w:val="009D21A3"/>
    <w:rsid w:val="009D56CE"/>
    <w:rsid w:val="009D657F"/>
    <w:rsid w:val="009D6D70"/>
    <w:rsid w:val="009E083B"/>
    <w:rsid w:val="009E0E4B"/>
    <w:rsid w:val="009E16EA"/>
    <w:rsid w:val="009E6CB5"/>
    <w:rsid w:val="009F10C7"/>
    <w:rsid w:val="009F1F23"/>
    <w:rsid w:val="009F4878"/>
    <w:rsid w:val="00A001EB"/>
    <w:rsid w:val="00A00830"/>
    <w:rsid w:val="00A047BA"/>
    <w:rsid w:val="00A04F78"/>
    <w:rsid w:val="00A1075D"/>
    <w:rsid w:val="00A11E13"/>
    <w:rsid w:val="00A20FB3"/>
    <w:rsid w:val="00A22E2F"/>
    <w:rsid w:val="00A23045"/>
    <w:rsid w:val="00A23D60"/>
    <w:rsid w:val="00A241B6"/>
    <w:rsid w:val="00A242A6"/>
    <w:rsid w:val="00A3469D"/>
    <w:rsid w:val="00A348BB"/>
    <w:rsid w:val="00A36014"/>
    <w:rsid w:val="00A405E1"/>
    <w:rsid w:val="00A41A8D"/>
    <w:rsid w:val="00A42231"/>
    <w:rsid w:val="00A467CE"/>
    <w:rsid w:val="00A46DAD"/>
    <w:rsid w:val="00A626E9"/>
    <w:rsid w:val="00A649AD"/>
    <w:rsid w:val="00A65B84"/>
    <w:rsid w:val="00A711BD"/>
    <w:rsid w:val="00A72FAB"/>
    <w:rsid w:val="00A732B7"/>
    <w:rsid w:val="00A7380B"/>
    <w:rsid w:val="00A7601C"/>
    <w:rsid w:val="00A7716B"/>
    <w:rsid w:val="00A77389"/>
    <w:rsid w:val="00A83768"/>
    <w:rsid w:val="00A84719"/>
    <w:rsid w:val="00A86097"/>
    <w:rsid w:val="00A87A47"/>
    <w:rsid w:val="00A92344"/>
    <w:rsid w:val="00A946A2"/>
    <w:rsid w:val="00A94E9D"/>
    <w:rsid w:val="00A95B0C"/>
    <w:rsid w:val="00A96902"/>
    <w:rsid w:val="00AA1C3C"/>
    <w:rsid w:val="00AA58A5"/>
    <w:rsid w:val="00AA7725"/>
    <w:rsid w:val="00AB52D5"/>
    <w:rsid w:val="00AB6B24"/>
    <w:rsid w:val="00AC08C2"/>
    <w:rsid w:val="00AC2CCF"/>
    <w:rsid w:val="00AC3403"/>
    <w:rsid w:val="00AC44E7"/>
    <w:rsid w:val="00AC4B1E"/>
    <w:rsid w:val="00AC6017"/>
    <w:rsid w:val="00AD0641"/>
    <w:rsid w:val="00AE0381"/>
    <w:rsid w:val="00AE08C2"/>
    <w:rsid w:val="00AE4F68"/>
    <w:rsid w:val="00AE75B3"/>
    <w:rsid w:val="00AE7A49"/>
    <w:rsid w:val="00AF0539"/>
    <w:rsid w:val="00AF4C6B"/>
    <w:rsid w:val="00B0007C"/>
    <w:rsid w:val="00B04711"/>
    <w:rsid w:val="00B06E28"/>
    <w:rsid w:val="00B10B53"/>
    <w:rsid w:val="00B11479"/>
    <w:rsid w:val="00B115D8"/>
    <w:rsid w:val="00B17768"/>
    <w:rsid w:val="00B20E73"/>
    <w:rsid w:val="00B21239"/>
    <w:rsid w:val="00B313EF"/>
    <w:rsid w:val="00B3299E"/>
    <w:rsid w:val="00B35574"/>
    <w:rsid w:val="00B361B2"/>
    <w:rsid w:val="00B44557"/>
    <w:rsid w:val="00B44770"/>
    <w:rsid w:val="00B45F73"/>
    <w:rsid w:val="00B4640F"/>
    <w:rsid w:val="00B46CA8"/>
    <w:rsid w:val="00B4731E"/>
    <w:rsid w:val="00B47A3E"/>
    <w:rsid w:val="00B612DA"/>
    <w:rsid w:val="00B64834"/>
    <w:rsid w:val="00B64A75"/>
    <w:rsid w:val="00B704FC"/>
    <w:rsid w:val="00B726E9"/>
    <w:rsid w:val="00B76800"/>
    <w:rsid w:val="00B76C06"/>
    <w:rsid w:val="00B82A7E"/>
    <w:rsid w:val="00B856D1"/>
    <w:rsid w:val="00B85BCC"/>
    <w:rsid w:val="00B86B82"/>
    <w:rsid w:val="00B8741D"/>
    <w:rsid w:val="00B9414E"/>
    <w:rsid w:val="00BA0953"/>
    <w:rsid w:val="00BA2084"/>
    <w:rsid w:val="00BA323C"/>
    <w:rsid w:val="00BA43AB"/>
    <w:rsid w:val="00BA56D1"/>
    <w:rsid w:val="00BB0A4E"/>
    <w:rsid w:val="00BB48EF"/>
    <w:rsid w:val="00BB54E2"/>
    <w:rsid w:val="00BB63F6"/>
    <w:rsid w:val="00BB7640"/>
    <w:rsid w:val="00BC3960"/>
    <w:rsid w:val="00BC6CC3"/>
    <w:rsid w:val="00BD1D78"/>
    <w:rsid w:val="00BD605A"/>
    <w:rsid w:val="00BD6AFD"/>
    <w:rsid w:val="00BE1B21"/>
    <w:rsid w:val="00BE31FC"/>
    <w:rsid w:val="00BE3EC8"/>
    <w:rsid w:val="00BE531B"/>
    <w:rsid w:val="00BE652D"/>
    <w:rsid w:val="00BF52CF"/>
    <w:rsid w:val="00C00F0B"/>
    <w:rsid w:val="00C02A1B"/>
    <w:rsid w:val="00C05522"/>
    <w:rsid w:val="00C055B9"/>
    <w:rsid w:val="00C07831"/>
    <w:rsid w:val="00C1507C"/>
    <w:rsid w:val="00C2019E"/>
    <w:rsid w:val="00C20532"/>
    <w:rsid w:val="00C215BA"/>
    <w:rsid w:val="00C22754"/>
    <w:rsid w:val="00C22A1A"/>
    <w:rsid w:val="00C234A5"/>
    <w:rsid w:val="00C24BBE"/>
    <w:rsid w:val="00C30D0D"/>
    <w:rsid w:val="00C33BFE"/>
    <w:rsid w:val="00C41276"/>
    <w:rsid w:val="00C41330"/>
    <w:rsid w:val="00C42B0F"/>
    <w:rsid w:val="00C44D75"/>
    <w:rsid w:val="00C53CAE"/>
    <w:rsid w:val="00C55B9F"/>
    <w:rsid w:val="00C560FF"/>
    <w:rsid w:val="00C56F15"/>
    <w:rsid w:val="00C60469"/>
    <w:rsid w:val="00C62A05"/>
    <w:rsid w:val="00C62BD9"/>
    <w:rsid w:val="00C63735"/>
    <w:rsid w:val="00C63B80"/>
    <w:rsid w:val="00C71119"/>
    <w:rsid w:val="00C71333"/>
    <w:rsid w:val="00C8227E"/>
    <w:rsid w:val="00C922BA"/>
    <w:rsid w:val="00C933FD"/>
    <w:rsid w:val="00C95655"/>
    <w:rsid w:val="00C97325"/>
    <w:rsid w:val="00CA1CDD"/>
    <w:rsid w:val="00CA5BC4"/>
    <w:rsid w:val="00CB28D0"/>
    <w:rsid w:val="00CB6866"/>
    <w:rsid w:val="00CB782F"/>
    <w:rsid w:val="00CB7EDC"/>
    <w:rsid w:val="00CC2F22"/>
    <w:rsid w:val="00CC72D0"/>
    <w:rsid w:val="00CD7981"/>
    <w:rsid w:val="00CE1F91"/>
    <w:rsid w:val="00CE33C4"/>
    <w:rsid w:val="00CE725E"/>
    <w:rsid w:val="00CF1A2B"/>
    <w:rsid w:val="00CF3894"/>
    <w:rsid w:val="00CF601C"/>
    <w:rsid w:val="00D00310"/>
    <w:rsid w:val="00D05DAD"/>
    <w:rsid w:val="00D368F4"/>
    <w:rsid w:val="00D41226"/>
    <w:rsid w:val="00D4758F"/>
    <w:rsid w:val="00D50CD7"/>
    <w:rsid w:val="00D512E9"/>
    <w:rsid w:val="00D537C6"/>
    <w:rsid w:val="00D60AA1"/>
    <w:rsid w:val="00D60AF5"/>
    <w:rsid w:val="00D6252A"/>
    <w:rsid w:val="00D64168"/>
    <w:rsid w:val="00D662C8"/>
    <w:rsid w:val="00D6683F"/>
    <w:rsid w:val="00D67050"/>
    <w:rsid w:val="00D731C7"/>
    <w:rsid w:val="00D80000"/>
    <w:rsid w:val="00D82A0C"/>
    <w:rsid w:val="00D83293"/>
    <w:rsid w:val="00D87476"/>
    <w:rsid w:val="00D91B34"/>
    <w:rsid w:val="00D94E66"/>
    <w:rsid w:val="00D95AC6"/>
    <w:rsid w:val="00D97BCD"/>
    <w:rsid w:val="00DA0648"/>
    <w:rsid w:val="00DB492F"/>
    <w:rsid w:val="00DC36F2"/>
    <w:rsid w:val="00DC5409"/>
    <w:rsid w:val="00DC6B58"/>
    <w:rsid w:val="00DC7626"/>
    <w:rsid w:val="00DC7950"/>
    <w:rsid w:val="00DC7FAD"/>
    <w:rsid w:val="00DE0AFE"/>
    <w:rsid w:val="00DE5743"/>
    <w:rsid w:val="00DE62C0"/>
    <w:rsid w:val="00DE79B4"/>
    <w:rsid w:val="00DF2058"/>
    <w:rsid w:val="00E014A5"/>
    <w:rsid w:val="00E01B2F"/>
    <w:rsid w:val="00E10239"/>
    <w:rsid w:val="00E11C40"/>
    <w:rsid w:val="00E16FE2"/>
    <w:rsid w:val="00E179AA"/>
    <w:rsid w:val="00E31438"/>
    <w:rsid w:val="00E315AE"/>
    <w:rsid w:val="00E40AD2"/>
    <w:rsid w:val="00E41324"/>
    <w:rsid w:val="00E4218B"/>
    <w:rsid w:val="00E42ABB"/>
    <w:rsid w:val="00E436C6"/>
    <w:rsid w:val="00E4437A"/>
    <w:rsid w:val="00E4623D"/>
    <w:rsid w:val="00E50BF0"/>
    <w:rsid w:val="00E55257"/>
    <w:rsid w:val="00E561F0"/>
    <w:rsid w:val="00E56679"/>
    <w:rsid w:val="00E6459B"/>
    <w:rsid w:val="00E66AF1"/>
    <w:rsid w:val="00E66B8F"/>
    <w:rsid w:val="00E732B5"/>
    <w:rsid w:val="00E825E0"/>
    <w:rsid w:val="00E83B2F"/>
    <w:rsid w:val="00E84822"/>
    <w:rsid w:val="00E872FA"/>
    <w:rsid w:val="00E91E5C"/>
    <w:rsid w:val="00E932CB"/>
    <w:rsid w:val="00E95224"/>
    <w:rsid w:val="00E97EE8"/>
    <w:rsid w:val="00EA5FF0"/>
    <w:rsid w:val="00EB0CF3"/>
    <w:rsid w:val="00EB5BC1"/>
    <w:rsid w:val="00EB719B"/>
    <w:rsid w:val="00EB7D43"/>
    <w:rsid w:val="00EC10AA"/>
    <w:rsid w:val="00EC4723"/>
    <w:rsid w:val="00ED1F5C"/>
    <w:rsid w:val="00ED4437"/>
    <w:rsid w:val="00ED4AF7"/>
    <w:rsid w:val="00ED5E0E"/>
    <w:rsid w:val="00ED72B8"/>
    <w:rsid w:val="00EF2270"/>
    <w:rsid w:val="00EF3237"/>
    <w:rsid w:val="00EF7A37"/>
    <w:rsid w:val="00F02D3D"/>
    <w:rsid w:val="00F05B2D"/>
    <w:rsid w:val="00F11208"/>
    <w:rsid w:val="00F1303B"/>
    <w:rsid w:val="00F14421"/>
    <w:rsid w:val="00F22D16"/>
    <w:rsid w:val="00F26230"/>
    <w:rsid w:val="00F27381"/>
    <w:rsid w:val="00F273F3"/>
    <w:rsid w:val="00F27A45"/>
    <w:rsid w:val="00F302B0"/>
    <w:rsid w:val="00F313E4"/>
    <w:rsid w:val="00F32895"/>
    <w:rsid w:val="00F34117"/>
    <w:rsid w:val="00F361D2"/>
    <w:rsid w:val="00F42337"/>
    <w:rsid w:val="00F50CDF"/>
    <w:rsid w:val="00F5256F"/>
    <w:rsid w:val="00F60474"/>
    <w:rsid w:val="00F607A1"/>
    <w:rsid w:val="00F61229"/>
    <w:rsid w:val="00F620FC"/>
    <w:rsid w:val="00F630BB"/>
    <w:rsid w:val="00F64598"/>
    <w:rsid w:val="00F67506"/>
    <w:rsid w:val="00F71FD1"/>
    <w:rsid w:val="00F77144"/>
    <w:rsid w:val="00F8054F"/>
    <w:rsid w:val="00F818E8"/>
    <w:rsid w:val="00F82980"/>
    <w:rsid w:val="00F8541D"/>
    <w:rsid w:val="00F93588"/>
    <w:rsid w:val="00FA204F"/>
    <w:rsid w:val="00FA6A3F"/>
    <w:rsid w:val="00FA7AC8"/>
    <w:rsid w:val="00FB354E"/>
    <w:rsid w:val="00FC4F5C"/>
    <w:rsid w:val="00FD0709"/>
    <w:rsid w:val="00FD07DE"/>
    <w:rsid w:val="00FD1315"/>
    <w:rsid w:val="00FE02C1"/>
    <w:rsid w:val="00FE3120"/>
    <w:rsid w:val="00FE3458"/>
    <w:rsid w:val="00FE6053"/>
    <w:rsid w:val="00FE689B"/>
    <w:rsid w:val="00FE68D5"/>
    <w:rsid w:val="00FE7893"/>
    <w:rsid w:val="00FF0FB9"/>
    <w:rsid w:val="00FF402C"/>
    <w:rsid w:val="01065C45"/>
    <w:rsid w:val="0116312F"/>
    <w:rsid w:val="011D2DA6"/>
    <w:rsid w:val="013712F7"/>
    <w:rsid w:val="014C4DA3"/>
    <w:rsid w:val="014F03EF"/>
    <w:rsid w:val="015974C0"/>
    <w:rsid w:val="015E4AD6"/>
    <w:rsid w:val="01645E0F"/>
    <w:rsid w:val="019B2F5A"/>
    <w:rsid w:val="01A66302"/>
    <w:rsid w:val="01B03E72"/>
    <w:rsid w:val="01C506B1"/>
    <w:rsid w:val="02000345"/>
    <w:rsid w:val="020877CF"/>
    <w:rsid w:val="02535CBD"/>
    <w:rsid w:val="0265064B"/>
    <w:rsid w:val="02702D13"/>
    <w:rsid w:val="02720839"/>
    <w:rsid w:val="028208F3"/>
    <w:rsid w:val="029B28BF"/>
    <w:rsid w:val="02A12ECC"/>
    <w:rsid w:val="02AE7397"/>
    <w:rsid w:val="02B04EBD"/>
    <w:rsid w:val="02C01514"/>
    <w:rsid w:val="02C46BBB"/>
    <w:rsid w:val="02D07C00"/>
    <w:rsid w:val="02DE6C21"/>
    <w:rsid w:val="02ED5226"/>
    <w:rsid w:val="02F07035"/>
    <w:rsid w:val="02FF0557"/>
    <w:rsid w:val="0325741D"/>
    <w:rsid w:val="034326CE"/>
    <w:rsid w:val="03791753"/>
    <w:rsid w:val="03A013D6"/>
    <w:rsid w:val="03A74512"/>
    <w:rsid w:val="03B60BF9"/>
    <w:rsid w:val="03C54792"/>
    <w:rsid w:val="03CC27D0"/>
    <w:rsid w:val="03D746CC"/>
    <w:rsid w:val="03D93BE1"/>
    <w:rsid w:val="03D942D2"/>
    <w:rsid w:val="03E46B7D"/>
    <w:rsid w:val="03FB485E"/>
    <w:rsid w:val="044932CB"/>
    <w:rsid w:val="045B70AB"/>
    <w:rsid w:val="046A7ED6"/>
    <w:rsid w:val="0475016D"/>
    <w:rsid w:val="047D34C5"/>
    <w:rsid w:val="04806A54"/>
    <w:rsid w:val="049A4077"/>
    <w:rsid w:val="04B2316F"/>
    <w:rsid w:val="04C9670A"/>
    <w:rsid w:val="04D86F93"/>
    <w:rsid w:val="04EE6171"/>
    <w:rsid w:val="04EE7F1F"/>
    <w:rsid w:val="04FE63B4"/>
    <w:rsid w:val="05035BC7"/>
    <w:rsid w:val="051528EC"/>
    <w:rsid w:val="051813CE"/>
    <w:rsid w:val="0521756E"/>
    <w:rsid w:val="05410997"/>
    <w:rsid w:val="054C69BD"/>
    <w:rsid w:val="054D2E98"/>
    <w:rsid w:val="05524952"/>
    <w:rsid w:val="055665EC"/>
    <w:rsid w:val="05600E1D"/>
    <w:rsid w:val="0578456E"/>
    <w:rsid w:val="0591547A"/>
    <w:rsid w:val="05A6147D"/>
    <w:rsid w:val="05CD5D86"/>
    <w:rsid w:val="05E8344F"/>
    <w:rsid w:val="05F96B7B"/>
    <w:rsid w:val="06020126"/>
    <w:rsid w:val="06473D8B"/>
    <w:rsid w:val="064B13A2"/>
    <w:rsid w:val="064F02DD"/>
    <w:rsid w:val="069421C3"/>
    <w:rsid w:val="06A40858"/>
    <w:rsid w:val="06DB7FD4"/>
    <w:rsid w:val="06F51A39"/>
    <w:rsid w:val="0702667C"/>
    <w:rsid w:val="07041C7C"/>
    <w:rsid w:val="07094AC4"/>
    <w:rsid w:val="072C55D0"/>
    <w:rsid w:val="07416A0E"/>
    <w:rsid w:val="075C3866"/>
    <w:rsid w:val="07711320"/>
    <w:rsid w:val="077C1812"/>
    <w:rsid w:val="079F1B8B"/>
    <w:rsid w:val="07F61A69"/>
    <w:rsid w:val="07FB4E2D"/>
    <w:rsid w:val="08125780"/>
    <w:rsid w:val="081D1247"/>
    <w:rsid w:val="083656BB"/>
    <w:rsid w:val="084A1910"/>
    <w:rsid w:val="089578CA"/>
    <w:rsid w:val="08AA23AF"/>
    <w:rsid w:val="08AC2AD2"/>
    <w:rsid w:val="08B6442F"/>
    <w:rsid w:val="08B97DD4"/>
    <w:rsid w:val="08D062B9"/>
    <w:rsid w:val="08D5567E"/>
    <w:rsid w:val="08D618F2"/>
    <w:rsid w:val="08F024B8"/>
    <w:rsid w:val="08FA1588"/>
    <w:rsid w:val="09031B9E"/>
    <w:rsid w:val="090D306A"/>
    <w:rsid w:val="091D0DD3"/>
    <w:rsid w:val="091E23D2"/>
    <w:rsid w:val="092403B3"/>
    <w:rsid w:val="09293304"/>
    <w:rsid w:val="092E626A"/>
    <w:rsid w:val="092F704F"/>
    <w:rsid w:val="093F0D49"/>
    <w:rsid w:val="09442803"/>
    <w:rsid w:val="09464701"/>
    <w:rsid w:val="09483590"/>
    <w:rsid w:val="095567BF"/>
    <w:rsid w:val="096B44B4"/>
    <w:rsid w:val="096B7D90"/>
    <w:rsid w:val="09750C0F"/>
    <w:rsid w:val="09905A49"/>
    <w:rsid w:val="09A94DD0"/>
    <w:rsid w:val="09C91C70"/>
    <w:rsid w:val="09D00907"/>
    <w:rsid w:val="09D973F0"/>
    <w:rsid w:val="09DA6CC4"/>
    <w:rsid w:val="09FF40F5"/>
    <w:rsid w:val="0A67483F"/>
    <w:rsid w:val="0A9B55D0"/>
    <w:rsid w:val="0AAE6186"/>
    <w:rsid w:val="0AB13EC9"/>
    <w:rsid w:val="0ABA0CF3"/>
    <w:rsid w:val="0B00275A"/>
    <w:rsid w:val="0B072C8F"/>
    <w:rsid w:val="0B1B3AE5"/>
    <w:rsid w:val="0B310B66"/>
    <w:rsid w:val="0B680A2B"/>
    <w:rsid w:val="0B6958E1"/>
    <w:rsid w:val="0B7D682E"/>
    <w:rsid w:val="0BA457DB"/>
    <w:rsid w:val="0BAB6B6A"/>
    <w:rsid w:val="0BAD493F"/>
    <w:rsid w:val="0BBC0D77"/>
    <w:rsid w:val="0BBF2615"/>
    <w:rsid w:val="0BEE53E6"/>
    <w:rsid w:val="0C1F0139"/>
    <w:rsid w:val="0C1F7EFB"/>
    <w:rsid w:val="0C2A7A8F"/>
    <w:rsid w:val="0C324B95"/>
    <w:rsid w:val="0C3B522B"/>
    <w:rsid w:val="0C3C5A14"/>
    <w:rsid w:val="0C61547A"/>
    <w:rsid w:val="0C7156BE"/>
    <w:rsid w:val="0C841D65"/>
    <w:rsid w:val="0C8E44C1"/>
    <w:rsid w:val="0C907481"/>
    <w:rsid w:val="0C931AD8"/>
    <w:rsid w:val="0CB11F5E"/>
    <w:rsid w:val="0CC31935"/>
    <w:rsid w:val="0CC37087"/>
    <w:rsid w:val="0CD619C5"/>
    <w:rsid w:val="0CFF716D"/>
    <w:rsid w:val="0D044784"/>
    <w:rsid w:val="0D6421B7"/>
    <w:rsid w:val="0D7A2C98"/>
    <w:rsid w:val="0DA24826"/>
    <w:rsid w:val="0DB55A7E"/>
    <w:rsid w:val="0DBF68FD"/>
    <w:rsid w:val="0DDE7A3D"/>
    <w:rsid w:val="0DF30FD2"/>
    <w:rsid w:val="0DF742E8"/>
    <w:rsid w:val="0E024E89"/>
    <w:rsid w:val="0E2805A4"/>
    <w:rsid w:val="0E364E11"/>
    <w:rsid w:val="0E6D45AA"/>
    <w:rsid w:val="0E835B7C"/>
    <w:rsid w:val="0E925DBF"/>
    <w:rsid w:val="0E963B01"/>
    <w:rsid w:val="0E9A3896"/>
    <w:rsid w:val="0EB9159E"/>
    <w:rsid w:val="0EBB44C4"/>
    <w:rsid w:val="0EBE0962"/>
    <w:rsid w:val="0ECC59C6"/>
    <w:rsid w:val="0EE314B8"/>
    <w:rsid w:val="0EEC0056"/>
    <w:rsid w:val="0F07055B"/>
    <w:rsid w:val="0F45027E"/>
    <w:rsid w:val="0F4C41C0"/>
    <w:rsid w:val="0F4F272E"/>
    <w:rsid w:val="0F751969"/>
    <w:rsid w:val="0FBD45CA"/>
    <w:rsid w:val="0FCD5369"/>
    <w:rsid w:val="0FF35455"/>
    <w:rsid w:val="100435C8"/>
    <w:rsid w:val="100B407B"/>
    <w:rsid w:val="100D7DF3"/>
    <w:rsid w:val="102F7D69"/>
    <w:rsid w:val="10502F5D"/>
    <w:rsid w:val="105570A4"/>
    <w:rsid w:val="105E5783"/>
    <w:rsid w:val="106832A3"/>
    <w:rsid w:val="108B66B5"/>
    <w:rsid w:val="109346A6"/>
    <w:rsid w:val="10AA3894"/>
    <w:rsid w:val="10B607EB"/>
    <w:rsid w:val="10C61D50"/>
    <w:rsid w:val="10E741A0"/>
    <w:rsid w:val="110C3C07"/>
    <w:rsid w:val="11221A85"/>
    <w:rsid w:val="113118BF"/>
    <w:rsid w:val="11382C4E"/>
    <w:rsid w:val="114F3E52"/>
    <w:rsid w:val="11643A43"/>
    <w:rsid w:val="11963E18"/>
    <w:rsid w:val="119D0B89"/>
    <w:rsid w:val="11B0107E"/>
    <w:rsid w:val="11B60016"/>
    <w:rsid w:val="11BC4CC4"/>
    <w:rsid w:val="11D23BFF"/>
    <w:rsid w:val="11E76422"/>
    <w:rsid w:val="120B45B5"/>
    <w:rsid w:val="12271455"/>
    <w:rsid w:val="12307395"/>
    <w:rsid w:val="123C49C0"/>
    <w:rsid w:val="1249238F"/>
    <w:rsid w:val="1274523D"/>
    <w:rsid w:val="127A46B0"/>
    <w:rsid w:val="128D0D77"/>
    <w:rsid w:val="129A6ADA"/>
    <w:rsid w:val="12B97DBE"/>
    <w:rsid w:val="12BC5323"/>
    <w:rsid w:val="12C56763"/>
    <w:rsid w:val="12CA1CA1"/>
    <w:rsid w:val="12CB7D38"/>
    <w:rsid w:val="12F927D9"/>
    <w:rsid w:val="130546B8"/>
    <w:rsid w:val="131E40C5"/>
    <w:rsid w:val="13203B66"/>
    <w:rsid w:val="13243DA7"/>
    <w:rsid w:val="1336140F"/>
    <w:rsid w:val="13562087"/>
    <w:rsid w:val="136D43E1"/>
    <w:rsid w:val="13750FFA"/>
    <w:rsid w:val="137A741B"/>
    <w:rsid w:val="13A26AA4"/>
    <w:rsid w:val="13A943D2"/>
    <w:rsid w:val="13DF3855"/>
    <w:rsid w:val="13ED7334"/>
    <w:rsid w:val="1401717D"/>
    <w:rsid w:val="14027543"/>
    <w:rsid w:val="140B464A"/>
    <w:rsid w:val="140F3629"/>
    <w:rsid w:val="14180B15"/>
    <w:rsid w:val="14261483"/>
    <w:rsid w:val="14CB202B"/>
    <w:rsid w:val="14FA079D"/>
    <w:rsid w:val="14FB46BE"/>
    <w:rsid w:val="15067A1B"/>
    <w:rsid w:val="15145780"/>
    <w:rsid w:val="15192CD5"/>
    <w:rsid w:val="15192D96"/>
    <w:rsid w:val="152A0AFF"/>
    <w:rsid w:val="15396F94"/>
    <w:rsid w:val="153A6F61"/>
    <w:rsid w:val="155A5456"/>
    <w:rsid w:val="15744470"/>
    <w:rsid w:val="15787ABD"/>
    <w:rsid w:val="158346B4"/>
    <w:rsid w:val="15895853"/>
    <w:rsid w:val="158A3942"/>
    <w:rsid w:val="15D41DB2"/>
    <w:rsid w:val="15E22455"/>
    <w:rsid w:val="15E50ECA"/>
    <w:rsid w:val="1666200B"/>
    <w:rsid w:val="16855E64"/>
    <w:rsid w:val="16951811"/>
    <w:rsid w:val="16B54D41"/>
    <w:rsid w:val="16B9038D"/>
    <w:rsid w:val="16D3742C"/>
    <w:rsid w:val="16EA49EA"/>
    <w:rsid w:val="16ED7ECD"/>
    <w:rsid w:val="16EF3DAF"/>
    <w:rsid w:val="171E55F4"/>
    <w:rsid w:val="17237EFC"/>
    <w:rsid w:val="17361ED0"/>
    <w:rsid w:val="173B5246"/>
    <w:rsid w:val="173D3A52"/>
    <w:rsid w:val="17434771"/>
    <w:rsid w:val="17606A5A"/>
    <w:rsid w:val="178C5AA1"/>
    <w:rsid w:val="17A008BD"/>
    <w:rsid w:val="17DB4333"/>
    <w:rsid w:val="17EC0401"/>
    <w:rsid w:val="17F46899"/>
    <w:rsid w:val="17F83137"/>
    <w:rsid w:val="180447B3"/>
    <w:rsid w:val="1811244B"/>
    <w:rsid w:val="182262E4"/>
    <w:rsid w:val="18390BAC"/>
    <w:rsid w:val="18552337"/>
    <w:rsid w:val="186863CE"/>
    <w:rsid w:val="187D1248"/>
    <w:rsid w:val="18A425D8"/>
    <w:rsid w:val="18E32865"/>
    <w:rsid w:val="18FE184C"/>
    <w:rsid w:val="190E59A5"/>
    <w:rsid w:val="191044B0"/>
    <w:rsid w:val="19157D18"/>
    <w:rsid w:val="191968D0"/>
    <w:rsid w:val="191E6BCD"/>
    <w:rsid w:val="19461686"/>
    <w:rsid w:val="19520625"/>
    <w:rsid w:val="195720DF"/>
    <w:rsid w:val="195737B8"/>
    <w:rsid w:val="19876098"/>
    <w:rsid w:val="199A53DC"/>
    <w:rsid w:val="199C696E"/>
    <w:rsid w:val="19A9382C"/>
    <w:rsid w:val="19AC5F87"/>
    <w:rsid w:val="19AF3CC9"/>
    <w:rsid w:val="19B412DF"/>
    <w:rsid w:val="19BF6612"/>
    <w:rsid w:val="19D379B8"/>
    <w:rsid w:val="19E679C4"/>
    <w:rsid w:val="1A107ED6"/>
    <w:rsid w:val="1A17490B"/>
    <w:rsid w:val="1A3146DE"/>
    <w:rsid w:val="1A3431F1"/>
    <w:rsid w:val="1A4815AD"/>
    <w:rsid w:val="1A55661F"/>
    <w:rsid w:val="1A7B1FBB"/>
    <w:rsid w:val="1A87237C"/>
    <w:rsid w:val="1AE34C66"/>
    <w:rsid w:val="1B1E0D0E"/>
    <w:rsid w:val="1B30700D"/>
    <w:rsid w:val="1B3A3A66"/>
    <w:rsid w:val="1B50328A"/>
    <w:rsid w:val="1B830330"/>
    <w:rsid w:val="1B9E5484"/>
    <w:rsid w:val="1BB05AD7"/>
    <w:rsid w:val="1BBF215F"/>
    <w:rsid w:val="1BCA5175"/>
    <w:rsid w:val="1BD76AD0"/>
    <w:rsid w:val="1BDE56D1"/>
    <w:rsid w:val="1C03680B"/>
    <w:rsid w:val="1C06730F"/>
    <w:rsid w:val="1C067A87"/>
    <w:rsid w:val="1C2E5D6C"/>
    <w:rsid w:val="1C393D1E"/>
    <w:rsid w:val="1C3F55D8"/>
    <w:rsid w:val="1C3F7586"/>
    <w:rsid w:val="1C63376E"/>
    <w:rsid w:val="1C784846"/>
    <w:rsid w:val="1C7979FF"/>
    <w:rsid w:val="1CA4388D"/>
    <w:rsid w:val="1CA94A00"/>
    <w:rsid w:val="1CB04639"/>
    <w:rsid w:val="1CB60D1E"/>
    <w:rsid w:val="1CCC6180"/>
    <w:rsid w:val="1CD039FB"/>
    <w:rsid w:val="1CD32A5C"/>
    <w:rsid w:val="1CDE0054"/>
    <w:rsid w:val="1CE123EB"/>
    <w:rsid w:val="1CE26164"/>
    <w:rsid w:val="1CE30E2E"/>
    <w:rsid w:val="1CF6124F"/>
    <w:rsid w:val="1CFF0AC4"/>
    <w:rsid w:val="1D0600A4"/>
    <w:rsid w:val="1D391384"/>
    <w:rsid w:val="1D557268"/>
    <w:rsid w:val="1D891432"/>
    <w:rsid w:val="1D9218B4"/>
    <w:rsid w:val="1DA1488B"/>
    <w:rsid w:val="1DAB3EEB"/>
    <w:rsid w:val="1DDB7338"/>
    <w:rsid w:val="1DFE1D7A"/>
    <w:rsid w:val="1E0839A8"/>
    <w:rsid w:val="1E0C16EA"/>
    <w:rsid w:val="1E2D340E"/>
    <w:rsid w:val="1E324286"/>
    <w:rsid w:val="1E340C41"/>
    <w:rsid w:val="1E403142"/>
    <w:rsid w:val="1E873102"/>
    <w:rsid w:val="1EB4157E"/>
    <w:rsid w:val="1EB61224"/>
    <w:rsid w:val="1EC177EA"/>
    <w:rsid w:val="1EC43D73"/>
    <w:rsid w:val="1ED17E9D"/>
    <w:rsid w:val="1EEC5078"/>
    <w:rsid w:val="1EF16AB2"/>
    <w:rsid w:val="1F3F33F9"/>
    <w:rsid w:val="1F4E5D32"/>
    <w:rsid w:val="1F505E8E"/>
    <w:rsid w:val="1F605A6F"/>
    <w:rsid w:val="1F7312F5"/>
    <w:rsid w:val="1F7C464D"/>
    <w:rsid w:val="1FA1114A"/>
    <w:rsid w:val="1FC67FF8"/>
    <w:rsid w:val="1FC9115D"/>
    <w:rsid w:val="1FCE656C"/>
    <w:rsid w:val="1FCF29CF"/>
    <w:rsid w:val="1FED6E2E"/>
    <w:rsid w:val="1FF36F99"/>
    <w:rsid w:val="20054643"/>
    <w:rsid w:val="200A70EA"/>
    <w:rsid w:val="202905D3"/>
    <w:rsid w:val="20360CA0"/>
    <w:rsid w:val="208C4E43"/>
    <w:rsid w:val="209D2ACD"/>
    <w:rsid w:val="20AC0F62"/>
    <w:rsid w:val="20B9692A"/>
    <w:rsid w:val="20DF4631"/>
    <w:rsid w:val="21246D8E"/>
    <w:rsid w:val="21374CD0"/>
    <w:rsid w:val="214116AB"/>
    <w:rsid w:val="214756F2"/>
    <w:rsid w:val="21533FAB"/>
    <w:rsid w:val="215F5FD5"/>
    <w:rsid w:val="216567FF"/>
    <w:rsid w:val="216655B5"/>
    <w:rsid w:val="21904DE4"/>
    <w:rsid w:val="21930481"/>
    <w:rsid w:val="21A25F35"/>
    <w:rsid w:val="21AB3CD7"/>
    <w:rsid w:val="21B069DD"/>
    <w:rsid w:val="21C978F2"/>
    <w:rsid w:val="21CC4190"/>
    <w:rsid w:val="21ED538F"/>
    <w:rsid w:val="222114DC"/>
    <w:rsid w:val="22596EC8"/>
    <w:rsid w:val="22791472"/>
    <w:rsid w:val="22AC18CE"/>
    <w:rsid w:val="22B83BEE"/>
    <w:rsid w:val="22B87A3C"/>
    <w:rsid w:val="22CC1448"/>
    <w:rsid w:val="22D36913"/>
    <w:rsid w:val="22F460AA"/>
    <w:rsid w:val="22F56BF1"/>
    <w:rsid w:val="22F7244E"/>
    <w:rsid w:val="233948CD"/>
    <w:rsid w:val="2343161D"/>
    <w:rsid w:val="23452FA8"/>
    <w:rsid w:val="234C4337"/>
    <w:rsid w:val="234F49E0"/>
    <w:rsid w:val="2353610B"/>
    <w:rsid w:val="23586C07"/>
    <w:rsid w:val="23621DAC"/>
    <w:rsid w:val="2378512C"/>
    <w:rsid w:val="23DF33FD"/>
    <w:rsid w:val="23F0560A"/>
    <w:rsid w:val="240F3CE2"/>
    <w:rsid w:val="24172B97"/>
    <w:rsid w:val="241C77B7"/>
    <w:rsid w:val="24403763"/>
    <w:rsid w:val="24523BCF"/>
    <w:rsid w:val="245B0CD5"/>
    <w:rsid w:val="246467BE"/>
    <w:rsid w:val="24763785"/>
    <w:rsid w:val="24942439"/>
    <w:rsid w:val="24AE0D3C"/>
    <w:rsid w:val="24E72569"/>
    <w:rsid w:val="24EB1659"/>
    <w:rsid w:val="250A5D8B"/>
    <w:rsid w:val="251B31A1"/>
    <w:rsid w:val="251F7F55"/>
    <w:rsid w:val="25452873"/>
    <w:rsid w:val="25493224"/>
    <w:rsid w:val="25586AFD"/>
    <w:rsid w:val="2584425C"/>
    <w:rsid w:val="25924CFD"/>
    <w:rsid w:val="25960A20"/>
    <w:rsid w:val="259844E0"/>
    <w:rsid w:val="25A44990"/>
    <w:rsid w:val="25B044C6"/>
    <w:rsid w:val="25BE5CC5"/>
    <w:rsid w:val="25BE6FE6"/>
    <w:rsid w:val="25C12DBA"/>
    <w:rsid w:val="262A4E03"/>
    <w:rsid w:val="265348A3"/>
    <w:rsid w:val="26571970"/>
    <w:rsid w:val="2663070A"/>
    <w:rsid w:val="266F4784"/>
    <w:rsid w:val="2673093B"/>
    <w:rsid w:val="26B02E2F"/>
    <w:rsid w:val="26B446CD"/>
    <w:rsid w:val="26FE3B9A"/>
    <w:rsid w:val="270E04AF"/>
    <w:rsid w:val="27604855"/>
    <w:rsid w:val="27740FF4"/>
    <w:rsid w:val="27825914"/>
    <w:rsid w:val="278840DD"/>
    <w:rsid w:val="279A7D67"/>
    <w:rsid w:val="27E76BAE"/>
    <w:rsid w:val="27FD6499"/>
    <w:rsid w:val="280504DB"/>
    <w:rsid w:val="281151CB"/>
    <w:rsid w:val="281C7166"/>
    <w:rsid w:val="281F026C"/>
    <w:rsid w:val="28252856"/>
    <w:rsid w:val="282A3834"/>
    <w:rsid w:val="2838132E"/>
    <w:rsid w:val="284C1B65"/>
    <w:rsid w:val="287405B8"/>
    <w:rsid w:val="2879543D"/>
    <w:rsid w:val="2880795B"/>
    <w:rsid w:val="28A92F22"/>
    <w:rsid w:val="28BE0691"/>
    <w:rsid w:val="29676922"/>
    <w:rsid w:val="298A55F3"/>
    <w:rsid w:val="298F4F7D"/>
    <w:rsid w:val="29AC6E62"/>
    <w:rsid w:val="29AE4CAA"/>
    <w:rsid w:val="29CE3CF8"/>
    <w:rsid w:val="29DA16FB"/>
    <w:rsid w:val="29DA269C"/>
    <w:rsid w:val="29E52E1B"/>
    <w:rsid w:val="29F01EC0"/>
    <w:rsid w:val="29F33D7B"/>
    <w:rsid w:val="29F411BD"/>
    <w:rsid w:val="2A04596B"/>
    <w:rsid w:val="2A05736B"/>
    <w:rsid w:val="2A09614E"/>
    <w:rsid w:val="2A3D38E0"/>
    <w:rsid w:val="2A4746C2"/>
    <w:rsid w:val="2A4915D0"/>
    <w:rsid w:val="2A4B5348"/>
    <w:rsid w:val="2A6111B2"/>
    <w:rsid w:val="2A6308E4"/>
    <w:rsid w:val="2A73489F"/>
    <w:rsid w:val="2A895E70"/>
    <w:rsid w:val="2A9278E9"/>
    <w:rsid w:val="2AE632C3"/>
    <w:rsid w:val="2B065713"/>
    <w:rsid w:val="2B08148B"/>
    <w:rsid w:val="2B2067D5"/>
    <w:rsid w:val="2B29672B"/>
    <w:rsid w:val="2B322750"/>
    <w:rsid w:val="2B373B1E"/>
    <w:rsid w:val="2B3A7DEF"/>
    <w:rsid w:val="2B3B3C73"/>
    <w:rsid w:val="2B47265F"/>
    <w:rsid w:val="2B5365ED"/>
    <w:rsid w:val="2B6A5CA2"/>
    <w:rsid w:val="2B7B1C5D"/>
    <w:rsid w:val="2BAC4BCB"/>
    <w:rsid w:val="2BCC6950"/>
    <w:rsid w:val="2BDB094E"/>
    <w:rsid w:val="2BDB6BA0"/>
    <w:rsid w:val="2BE441AD"/>
    <w:rsid w:val="2BEE68D3"/>
    <w:rsid w:val="2BF32FF5"/>
    <w:rsid w:val="2C0644CE"/>
    <w:rsid w:val="2C11436F"/>
    <w:rsid w:val="2C136339"/>
    <w:rsid w:val="2C193B38"/>
    <w:rsid w:val="2C1B0D4A"/>
    <w:rsid w:val="2C1F6A8C"/>
    <w:rsid w:val="2C262747"/>
    <w:rsid w:val="2C2A3B34"/>
    <w:rsid w:val="2C5A215C"/>
    <w:rsid w:val="2C5F4A1E"/>
    <w:rsid w:val="2C697FAA"/>
    <w:rsid w:val="2C7457CE"/>
    <w:rsid w:val="2C7F577D"/>
    <w:rsid w:val="2C8D7E9A"/>
    <w:rsid w:val="2C9E6855"/>
    <w:rsid w:val="2CAA2BEF"/>
    <w:rsid w:val="2CAF08EB"/>
    <w:rsid w:val="2CB11676"/>
    <w:rsid w:val="2CC82EB7"/>
    <w:rsid w:val="2CCD0296"/>
    <w:rsid w:val="2CE60EE2"/>
    <w:rsid w:val="2CF54DE5"/>
    <w:rsid w:val="2D12039F"/>
    <w:rsid w:val="2D147FB0"/>
    <w:rsid w:val="2D42414C"/>
    <w:rsid w:val="2D4358A3"/>
    <w:rsid w:val="2D744BB6"/>
    <w:rsid w:val="2D7C4FB3"/>
    <w:rsid w:val="2D8017AD"/>
    <w:rsid w:val="2D985DAA"/>
    <w:rsid w:val="2D9D235F"/>
    <w:rsid w:val="2DA35033"/>
    <w:rsid w:val="2DAD5552"/>
    <w:rsid w:val="2DBF0527"/>
    <w:rsid w:val="2DC86CB0"/>
    <w:rsid w:val="2E265E4C"/>
    <w:rsid w:val="2E293BF2"/>
    <w:rsid w:val="2E61338C"/>
    <w:rsid w:val="2E68527D"/>
    <w:rsid w:val="2E783282"/>
    <w:rsid w:val="2E84707B"/>
    <w:rsid w:val="2EAF5B06"/>
    <w:rsid w:val="2EDE49DD"/>
    <w:rsid w:val="2F224C8D"/>
    <w:rsid w:val="2F3F3E60"/>
    <w:rsid w:val="2F540059"/>
    <w:rsid w:val="2F9652B7"/>
    <w:rsid w:val="2FD91648"/>
    <w:rsid w:val="2FF40230"/>
    <w:rsid w:val="300C557A"/>
    <w:rsid w:val="3014442E"/>
    <w:rsid w:val="301F0C21"/>
    <w:rsid w:val="302428C3"/>
    <w:rsid w:val="302C1E36"/>
    <w:rsid w:val="302E0C83"/>
    <w:rsid w:val="306242CF"/>
    <w:rsid w:val="30647164"/>
    <w:rsid w:val="3071362F"/>
    <w:rsid w:val="30785AC0"/>
    <w:rsid w:val="30B44C83"/>
    <w:rsid w:val="30CA0C03"/>
    <w:rsid w:val="30CD2F5B"/>
    <w:rsid w:val="30D7262B"/>
    <w:rsid w:val="30EF028A"/>
    <w:rsid w:val="311961A0"/>
    <w:rsid w:val="313C59EB"/>
    <w:rsid w:val="31570A76"/>
    <w:rsid w:val="31692FC1"/>
    <w:rsid w:val="317A4765"/>
    <w:rsid w:val="317D7B97"/>
    <w:rsid w:val="31831161"/>
    <w:rsid w:val="319B25AD"/>
    <w:rsid w:val="319C0B7F"/>
    <w:rsid w:val="31A104F5"/>
    <w:rsid w:val="31B23E16"/>
    <w:rsid w:val="31C205E6"/>
    <w:rsid w:val="31E56082"/>
    <w:rsid w:val="321B1AA4"/>
    <w:rsid w:val="3227669B"/>
    <w:rsid w:val="3234700A"/>
    <w:rsid w:val="323808A8"/>
    <w:rsid w:val="32445673"/>
    <w:rsid w:val="32456B21"/>
    <w:rsid w:val="32473AFE"/>
    <w:rsid w:val="32504413"/>
    <w:rsid w:val="32546D64"/>
    <w:rsid w:val="325925CC"/>
    <w:rsid w:val="326B4CBD"/>
    <w:rsid w:val="32793C2D"/>
    <w:rsid w:val="327A2C6E"/>
    <w:rsid w:val="329A5551"/>
    <w:rsid w:val="32B315B6"/>
    <w:rsid w:val="32DD58C3"/>
    <w:rsid w:val="32E368FB"/>
    <w:rsid w:val="32E4633A"/>
    <w:rsid w:val="32FB0BBF"/>
    <w:rsid w:val="330578E4"/>
    <w:rsid w:val="33064502"/>
    <w:rsid w:val="33141998"/>
    <w:rsid w:val="3344132A"/>
    <w:rsid w:val="33484B1B"/>
    <w:rsid w:val="3349035C"/>
    <w:rsid w:val="334D584B"/>
    <w:rsid w:val="334E5EA9"/>
    <w:rsid w:val="336F745C"/>
    <w:rsid w:val="33730803"/>
    <w:rsid w:val="337615D3"/>
    <w:rsid w:val="338D41DC"/>
    <w:rsid w:val="339270BE"/>
    <w:rsid w:val="33992EDC"/>
    <w:rsid w:val="339F29A7"/>
    <w:rsid w:val="33B45D0C"/>
    <w:rsid w:val="33C724D0"/>
    <w:rsid w:val="33E7320A"/>
    <w:rsid w:val="33F64577"/>
    <w:rsid w:val="34237336"/>
    <w:rsid w:val="34245764"/>
    <w:rsid w:val="34643BF0"/>
    <w:rsid w:val="3474193F"/>
    <w:rsid w:val="347B35FE"/>
    <w:rsid w:val="34901563"/>
    <w:rsid w:val="349F106B"/>
    <w:rsid w:val="34BA7642"/>
    <w:rsid w:val="34C5219B"/>
    <w:rsid w:val="34D9584D"/>
    <w:rsid w:val="34ED4587"/>
    <w:rsid w:val="34FF58A6"/>
    <w:rsid w:val="35004599"/>
    <w:rsid w:val="35150A2C"/>
    <w:rsid w:val="35527ED3"/>
    <w:rsid w:val="355748A5"/>
    <w:rsid w:val="355E6AC9"/>
    <w:rsid w:val="356E45E1"/>
    <w:rsid w:val="357A3ADB"/>
    <w:rsid w:val="358636D8"/>
    <w:rsid w:val="35881C00"/>
    <w:rsid w:val="358A5A38"/>
    <w:rsid w:val="358B6F41"/>
    <w:rsid w:val="35940BD6"/>
    <w:rsid w:val="35AF4BCA"/>
    <w:rsid w:val="35B31C3F"/>
    <w:rsid w:val="35CA7B9C"/>
    <w:rsid w:val="35D24B6F"/>
    <w:rsid w:val="35F1149A"/>
    <w:rsid w:val="35FC1D81"/>
    <w:rsid w:val="36280C33"/>
    <w:rsid w:val="364B56AC"/>
    <w:rsid w:val="364F0EE7"/>
    <w:rsid w:val="366373D1"/>
    <w:rsid w:val="366A0E00"/>
    <w:rsid w:val="366F3EA2"/>
    <w:rsid w:val="368C2F70"/>
    <w:rsid w:val="369167D9"/>
    <w:rsid w:val="36A22794"/>
    <w:rsid w:val="36E52680"/>
    <w:rsid w:val="37127DB1"/>
    <w:rsid w:val="37133692"/>
    <w:rsid w:val="372123E2"/>
    <w:rsid w:val="37515C12"/>
    <w:rsid w:val="37674058"/>
    <w:rsid w:val="37781747"/>
    <w:rsid w:val="37867026"/>
    <w:rsid w:val="378907AA"/>
    <w:rsid w:val="379E73FF"/>
    <w:rsid w:val="37BC08F4"/>
    <w:rsid w:val="37E1628C"/>
    <w:rsid w:val="37EA43F2"/>
    <w:rsid w:val="37EC25E0"/>
    <w:rsid w:val="37EF7C5B"/>
    <w:rsid w:val="37F27B13"/>
    <w:rsid w:val="38066E78"/>
    <w:rsid w:val="381B2F1B"/>
    <w:rsid w:val="38341B11"/>
    <w:rsid w:val="383E0804"/>
    <w:rsid w:val="38413B6F"/>
    <w:rsid w:val="384D7CDC"/>
    <w:rsid w:val="385463E2"/>
    <w:rsid w:val="387D5F26"/>
    <w:rsid w:val="38946F29"/>
    <w:rsid w:val="38A05EBA"/>
    <w:rsid w:val="38AA1DD4"/>
    <w:rsid w:val="38BB5DF5"/>
    <w:rsid w:val="38CB0AC1"/>
    <w:rsid w:val="38D60A41"/>
    <w:rsid w:val="38D7744E"/>
    <w:rsid w:val="38D806EF"/>
    <w:rsid w:val="38DE441A"/>
    <w:rsid w:val="38E712F0"/>
    <w:rsid w:val="38F0336C"/>
    <w:rsid w:val="38F31B4D"/>
    <w:rsid w:val="394A2C6F"/>
    <w:rsid w:val="39700927"/>
    <w:rsid w:val="39A46355"/>
    <w:rsid w:val="39B23F95"/>
    <w:rsid w:val="39CD1DBC"/>
    <w:rsid w:val="39E210F9"/>
    <w:rsid w:val="39FA28E7"/>
    <w:rsid w:val="3A06358A"/>
    <w:rsid w:val="3A100A04"/>
    <w:rsid w:val="3A103EB8"/>
    <w:rsid w:val="3A3E0A25"/>
    <w:rsid w:val="3A3E27D3"/>
    <w:rsid w:val="3A4467C4"/>
    <w:rsid w:val="3A470700"/>
    <w:rsid w:val="3A483652"/>
    <w:rsid w:val="3A524858"/>
    <w:rsid w:val="3A695377"/>
    <w:rsid w:val="3A864D51"/>
    <w:rsid w:val="3AA7481D"/>
    <w:rsid w:val="3ABB404A"/>
    <w:rsid w:val="3AD7040A"/>
    <w:rsid w:val="3AFE01B5"/>
    <w:rsid w:val="3B031C9A"/>
    <w:rsid w:val="3B1E43B3"/>
    <w:rsid w:val="3B365BA1"/>
    <w:rsid w:val="3B3F16C0"/>
    <w:rsid w:val="3B542B8C"/>
    <w:rsid w:val="3B5F22EE"/>
    <w:rsid w:val="3B710987"/>
    <w:rsid w:val="3B9005FC"/>
    <w:rsid w:val="3BA8157E"/>
    <w:rsid w:val="3BAB37B0"/>
    <w:rsid w:val="3BAC19BF"/>
    <w:rsid w:val="3BB23479"/>
    <w:rsid w:val="3BD21711"/>
    <w:rsid w:val="3BDA652C"/>
    <w:rsid w:val="3BDC22A4"/>
    <w:rsid w:val="3BE4787D"/>
    <w:rsid w:val="3BF61FFF"/>
    <w:rsid w:val="3BF93960"/>
    <w:rsid w:val="3C065573"/>
    <w:rsid w:val="3C3245BA"/>
    <w:rsid w:val="3C3B2277"/>
    <w:rsid w:val="3C6329C5"/>
    <w:rsid w:val="3C7365F5"/>
    <w:rsid w:val="3C9444C5"/>
    <w:rsid w:val="3C97266F"/>
    <w:rsid w:val="3C9C7C85"/>
    <w:rsid w:val="3CA8149C"/>
    <w:rsid w:val="3CA8662A"/>
    <w:rsid w:val="3CAD7391"/>
    <w:rsid w:val="3CCE73A0"/>
    <w:rsid w:val="3CD814E0"/>
    <w:rsid w:val="3CE24B60"/>
    <w:rsid w:val="3CEB35BD"/>
    <w:rsid w:val="3CFD6262"/>
    <w:rsid w:val="3D015F95"/>
    <w:rsid w:val="3D0E0B83"/>
    <w:rsid w:val="3D246A7E"/>
    <w:rsid w:val="3D251A29"/>
    <w:rsid w:val="3D361E88"/>
    <w:rsid w:val="3D423410"/>
    <w:rsid w:val="3D64127D"/>
    <w:rsid w:val="3D6C3AF1"/>
    <w:rsid w:val="3D6D5EB2"/>
    <w:rsid w:val="3D8660C5"/>
    <w:rsid w:val="3D934BE4"/>
    <w:rsid w:val="3D9B618F"/>
    <w:rsid w:val="3DA80DD5"/>
    <w:rsid w:val="3DC512A1"/>
    <w:rsid w:val="3DC7091A"/>
    <w:rsid w:val="3DE96EFA"/>
    <w:rsid w:val="3DFE39DB"/>
    <w:rsid w:val="3DFE4A0A"/>
    <w:rsid w:val="3E1C2324"/>
    <w:rsid w:val="3E1D0985"/>
    <w:rsid w:val="3E434BD2"/>
    <w:rsid w:val="3E886892"/>
    <w:rsid w:val="3ED25BE0"/>
    <w:rsid w:val="3EEF22EE"/>
    <w:rsid w:val="3EF773F5"/>
    <w:rsid w:val="3F0062A9"/>
    <w:rsid w:val="3F051FBF"/>
    <w:rsid w:val="3F082400"/>
    <w:rsid w:val="3F1C50AD"/>
    <w:rsid w:val="3F2165EC"/>
    <w:rsid w:val="3F227B8E"/>
    <w:rsid w:val="3F381EE7"/>
    <w:rsid w:val="3F3E52FD"/>
    <w:rsid w:val="3F544847"/>
    <w:rsid w:val="3F8E7D59"/>
    <w:rsid w:val="3F9133A5"/>
    <w:rsid w:val="3F9A4C79"/>
    <w:rsid w:val="3FA37FDE"/>
    <w:rsid w:val="3FBF50B2"/>
    <w:rsid w:val="3FC96FE3"/>
    <w:rsid w:val="3FCF1B32"/>
    <w:rsid w:val="3FDF6807"/>
    <w:rsid w:val="3FFF2A05"/>
    <w:rsid w:val="402A6E3C"/>
    <w:rsid w:val="40331044"/>
    <w:rsid w:val="40381A73"/>
    <w:rsid w:val="40774C91"/>
    <w:rsid w:val="409A0980"/>
    <w:rsid w:val="40BB45BD"/>
    <w:rsid w:val="40C41559"/>
    <w:rsid w:val="40D456B2"/>
    <w:rsid w:val="40DB4712"/>
    <w:rsid w:val="40ED0AAF"/>
    <w:rsid w:val="410E4043"/>
    <w:rsid w:val="411918A4"/>
    <w:rsid w:val="413F6666"/>
    <w:rsid w:val="41774854"/>
    <w:rsid w:val="41800079"/>
    <w:rsid w:val="41B31CF9"/>
    <w:rsid w:val="41B63597"/>
    <w:rsid w:val="41C03A59"/>
    <w:rsid w:val="41C77552"/>
    <w:rsid w:val="41CB61F9"/>
    <w:rsid w:val="423D7BFB"/>
    <w:rsid w:val="42602D8C"/>
    <w:rsid w:val="428F200F"/>
    <w:rsid w:val="429D0DB9"/>
    <w:rsid w:val="42A04E24"/>
    <w:rsid w:val="42B14736"/>
    <w:rsid w:val="42C41CE4"/>
    <w:rsid w:val="42C94F65"/>
    <w:rsid w:val="42CD2635"/>
    <w:rsid w:val="42D44ABF"/>
    <w:rsid w:val="42EC2C93"/>
    <w:rsid w:val="42F9196C"/>
    <w:rsid w:val="430673EB"/>
    <w:rsid w:val="432A5FEB"/>
    <w:rsid w:val="433E55F2"/>
    <w:rsid w:val="43503578"/>
    <w:rsid w:val="435C1B88"/>
    <w:rsid w:val="43662581"/>
    <w:rsid w:val="437E00E5"/>
    <w:rsid w:val="4386463B"/>
    <w:rsid w:val="43947908"/>
    <w:rsid w:val="439E42E3"/>
    <w:rsid w:val="43A23DD3"/>
    <w:rsid w:val="43B44FFA"/>
    <w:rsid w:val="43BA7BF0"/>
    <w:rsid w:val="43C33D49"/>
    <w:rsid w:val="43D14A77"/>
    <w:rsid w:val="43DC3E9A"/>
    <w:rsid w:val="43E73EDC"/>
    <w:rsid w:val="43ED0B90"/>
    <w:rsid w:val="43ED0DC6"/>
    <w:rsid w:val="43F12F34"/>
    <w:rsid w:val="43F77AD8"/>
    <w:rsid w:val="43FD54AD"/>
    <w:rsid w:val="44092EE7"/>
    <w:rsid w:val="4424484F"/>
    <w:rsid w:val="445A005D"/>
    <w:rsid w:val="445A3B32"/>
    <w:rsid w:val="44645CA3"/>
    <w:rsid w:val="447D039C"/>
    <w:rsid w:val="448B2AB9"/>
    <w:rsid w:val="448B4F95"/>
    <w:rsid w:val="44B02520"/>
    <w:rsid w:val="44BF72B8"/>
    <w:rsid w:val="44C10289"/>
    <w:rsid w:val="45043434"/>
    <w:rsid w:val="45097E82"/>
    <w:rsid w:val="4529111F"/>
    <w:rsid w:val="452D0964"/>
    <w:rsid w:val="45753E19"/>
    <w:rsid w:val="459671BF"/>
    <w:rsid w:val="459B56C8"/>
    <w:rsid w:val="45B02166"/>
    <w:rsid w:val="45B91596"/>
    <w:rsid w:val="45C23629"/>
    <w:rsid w:val="45C57AC9"/>
    <w:rsid w:val="45DD7344"/>
    <w:rsid w:val="45E52872"/>
    <w:rsid w:val="45EA380F"/>
    <w:rsid w:val="45F85188"/>
    <w:rsid w:val="46284338"/>
    <w:rsid w:val="465670F7"/>
    <w:rsid w:val="46820AB0"/>
    <w:rsid w:val="468974CC"/>
    <w:rsid w:val="46902609"/>
    <w:rsid w:val="46A7086A"/>
    <w:rsid w:val="46C67DD9"/>
    <w:rsid w:val="46E54CFB"/>
    <w:rsid w:val="46F873FF"/>
    <w:rsid w:val="46F96400"/>
    <w:rsid w:val="473867FC"/>
    <w:rsid w:val="474A0319"/>
    <w:rsid w:val="475E2707"/>
    <w:rsid w:val="477517FF"/>
    <w:rsid w:val="477C0DDF"/>
    <w:rsid w:val="479F3008"/>
    <w:rsid w:val="47B70C04"/>
    <w:rsid w:val="47B97FCD"/>
    <w:rsid w:val="47BB1907"/>
    <w:rsid w:val="47D96842"/>
    <w:rsid w:val="47E0311C"/>
    <w:rsid w:val="47E26E94"/>
    <w:rsid w:val="480E5EDB"/>
    <w:rsid w:val="48603FB6"/>
    <w:rsid w:val="486139CD"/>
    <w:rsid w:val="486917A3"/>
    <w:rsid w:val="488628AF"/>
    <w:rsid w:val="48BD345D"/>
    <w:rsid w:val="48CA1C78"/>
    <w:rsid w:val="49127647"/>
    <w:rsid w:val="49137227"/>
    <w:rsid w:val="49382AE4"/>
    <w:rsid w:val="493A4AAE"/>
    <w:rsid w:val="4955555E"/>
    <w:rsid w:val="495E0CBA"/>
    <w:rsid w:val="49635DB3"/>
    <w:rsid w:val="49674D38"/>
    <w:rsid w:val="497944E4"/>
    <w:rsid w:val="49890991"/>
    <w:rsid w:val="49A81C64"/>
    <w:rsid w:val="49CD5922"/>
    <w:rsid w:val="49EB75EB"/>
    <w:rsid w:val="49F12F33"/>
    <w:rsid w:val="49FB1844"/>
    <w:rsid w:val="49FB21CF"/>
    <w:rsid w:val="4A0D5D1E"/>
    <w:rsid w:val="4A1B043B"/>
    <w:rsid w:val="4A201EF6"/>
    <w:rsid w:val="4A343C69"/>
    <w:rsid w:val="4A4C579B"/>
    <w:rsid w:val="4A6A3171"/>
    <w:rsid w:val="4A724841"/>
    <w:rsid w:val="4A933D71"/>
    <w:rsid w:val="4AAD5DDB"/>
    <w:rsid w:val="4AB10DA0"/>
    <w:rsid w:val="4AB64608"/>
    <w:rsid w:val="4AB663B6"/>
    <w:rsid w:val="4AD36F68"/>
    <w:rsid w:val="4ADA510E"/>
    <w:rsid w:val="4AEA67DA"/>
    <w:rsid w:val="4AF07BD5"/>
    <w:rsid w:val="4B1530DD"/>
    <w:rsid w:val="4B282417"/>
    <w:rsid w:val="4B502367"/>
    <w:rsid w:val="4B5D4A84"/>
    <w:rsid w:val="4B6A1CC9"/>
    <w:rsid w:val="4B705A40"/>
    <w:rsid w:val="4B7754A4"/>
    <w:rsid w:val="4B86222C"/>
    <w:rsid w:val="4B8F7333"/>
    <w:rsid w:val="4B985ABC"/>
    <w:rsid w:val="4BA821A3"/>
    <w:rsid w:val="4BB26B7D"/>
    <w:rsid w:val="4BBA1ED6"/>
    <w:rsid w:val="4BBF129A"/>
    <w:rsid w:val="4BD550C4"/>
    <w:rsid w:val="4BE62CCB"/>
    <w:rsid w:val="4BE8259F"/>
    <w:rsid w:val="4BF4790D"/>
    <w:rsid w:val="4BF70A34"/>
    <w:rsid w:val="4BF929FE"/>
    <w:rsid w:val="4C027577"/>
    <w:rsid w:val="4C211F55"/>
    <w:rsid w:val="4C481290"/>
    <w:rsid w:val="4C7327B1"/>
    <w:rsid w:val="4C7425D6"/>
    <w:rsid w:val="4C9572E8"/>
    <w:rsid w:val="4C9B0124"/>
    <w:rsid w:val="4C9D7D93"/>
    <w:rsid w:val="4CE0771A"/>
    <w:rsid w:val="4CF25FC8"/>
    <w:rsid w:val="4D305E43"/>
    <w:rsid w:val="4D460C10"/>
    <w:rsid w:val="4D510618"/>
    <w:rsid w:val="4D53613E"/>
    <w:rsid w:val="4D5631A1"/>
    <w:rsid w:val="4D577A5D"/>
    <w:rsid w:val="4D64034B"/>
    <w:rsid w:val="4D6640C3"/>
    <w:rsid w:val="4D72393A"/>
    <w:rsid w:val="4D7E0CFE"/>
    <w:rsid w:val="4D84578E"/>
    <w:rsid w:val="4D926152"/>
    <w:rsid w:val="4D9C09D0"/>
    <w:rsid w:val="4DA22C22"/>
    <w:rsid w:val="4DB6260C"/>
    <w:rsid w:val="4DCC687B"/>
    <w:rsid w:val="4DD728CB"/>
    <w:rsid w:val="4DDF0122"/>
    <w:rsid w:val="4DF03663"/>
    <w:rsid w:val="4DF740D0"/>
    <w:rsid w:val="4E0B7665"/>
    <w:rsid w:val="4E140614"/>
    <w:rsid w:val="4E3769BF"/>
    <w:rsid w:val="4E6C5709"/>
    <w:rsid w:val="4E733A21"/>
    <w:rsid w:val="4EA03B2A"/>
    <w:rsid w:val="4EB8783A"/>
    <w:rsid w:val="4EBD41B7"/>
    <w:rsid w:val="4EBF1D6C"/>
    <w:rsid w:val="4EC45110"/>
    <w:rsid w:val="4EE71893"/>
    <w:rsid w:val="4EE87432"/>
    <w:rsid w:val="4EEE25C2"/>
    <w:rsid w:val="4F135B85"/>
    <w:rsid w:val="4F436E98"/>
    <w:rsid w:val="4F4435F4"/>
    <w:rsid w:val="4F506EA7"/>
    <w:rsid w:val="4F701229"/>
    <w:rsid w:val="4FA113E3"/>
    <w:rsid w:val="4FA774E3"/>
    <w:rsid w:val="4FB31116"/>
    <w:rsid w:val="4FD7228A"/>
    <w:rsid w:val="4FF65652"/>
    <w:rsid w:val="4FF74746"/>
    <w:rsid w:val="501C315F"/>
    <w:rsid w:val="501E4B62"/>
    <w:rsid w:val="50314179"/>
    <w:rsid w:val="50506965"/>
    <w:rsid w:val="506C6464"/>
    <w:rsid w:val="509133E8"/>
    <w:rsid w:val="50B769E4"/>
    <w:rsid w:val="50C65541"/>
    <w:rsid w:val="50DE6667"/>
    <w:rsid w:val="50EE68AA"/>
    <w:rsid w:val="51083951"/>
    <w:rsid w:val="51162584"/>
    <w:rsid w:val="51316796"/>
    <w:rsid w:val="51363175"/>
    <w:rsid w:val="516D77E4"/>
    <w:rsid w:val="51773978"/>
    <w:rsid w:val="518C7E71"/>
    <w:rsid w:val="519F20B6"/>
    <w:rsid w:val="51A274F2"/>
    <w:rsid w:val="51A74CAA"/>
    <w:rsid w:val="51AE6E8B"/>
    <w:rsid w:val="51B86EB8"/>
    <w:rsid w:val="51D81308"/>
    <w:rsid w:val="51EB103B"/>
    <w:rsid w:val="51EE0B2B"/>
    <w:rsid w:val="51F37EF0"/>
    <w:rsid w:val="52027171"/>
    <w:rsid w:val="52095BE4"/>
    <w:rsid w:val="523D4257"/>
    <w:rsid w:val="524B48B1"/>
    <w:rsid w:val="525B3F53"/>
    <w:rsid w:val="52650419"/>
    <w:rsid w:val="528F3CC3"/>
    <w:rsid w:val="528F7C18"/>
    <w:rsid w:val="52963543"/>
    <w:rsid w:val="529C4A78"/>
    <w:rsid w:val="52CC1B65"/>
    <w:rsid w:val="52CF44B9"/>
    <w:rsid w:val="52F57B4C"/>
    <w:rsid w:val="530C2E4C"/>
    <w:rsid w:val="530D7EC5"/>
    <w:rsid w:val="531A1D19"/>
    <w:rsid w:val="532435CD"/>
    <w:rsid w:val="53407165"/>
    <w:rsid w:val="537132FC"/>
    <w:rsid w:val="53AE40CE"/>
    <w:rsid w:val="53EC337F"/>
    <w:rsid w:val="541E78B6"/>
    <w:rsid w:val="54364E2C"/>
    <w:rsid w:val="544577AE"/>
    <w:rsid w:val="54486DDD"/>
    <w:rsid w:val="545A6004"/>
    <w:rsid w:val="54694499"/>
    <w:rsid w:val="547370C6"/>
    <w:rsid w:val="547461E9"/>
    <w:rsid w:val="54AF732E"/>
    <w:rsid w:val="54E11CA6"/>
    <w:rsid w:val="54E531E8"/>
    <w:rsid w:val="54F65F5B"/>
    <w:rsid w:val="55093F86"/>
    <w:rsid w:val="5516492A"/>
    <w:rsid w:val="553E5675"/>
    <w:rsid w:val="554C0043"/>
    <w:rsid w:val="55621614"/>
    <w:rsid w:val="55985036"/>
    <w:rsid w:val="559E0172"/>
    <w:rsid w:val="55AB6E71"/>
    <w:rsid w:val="55B31E70"/>
    <w:rsid w:val="55C7591B"/>
    <w:rsid w:val="55EB45B0"/>
    <w:rsid w:val="55F54B3D"/>
    <w:rsid w:val="561074A3"/>
    <w:rsid w:val="5648555A"/>
    <w:rsid w:val="569B767A"/>
    <w:rsid w:val="56C7144F"/>
    <w:rsid w:val="56E32B44"/>
    <w:rsid w:val="56E542AB"/>
    <w:rsid w:val="5719100E"/>
    <w:rsid w:val="57301AFE"/>
    <w:rsid w:val="574542A6"/>
    <w:rsid w:val="574F5BC8"/>
    <w:rsid w:val="57592CB3"/>
    <w:rsid w:val="576211C0"/>
    <w:rsid w:val="57624923"/>
    <w:rsid w:val="577613A7"/>
    <w:rsid w:val="579B705F"/>
    <w:rsid w:val="57B27F05"/>
    <w:rsid w:val="57C2639A"/>
    <w:rsid w:val="57E86FA4"/>
    <w:rsid w:val="57F329F7"/>
    <w:rsid w:val="586B35D5"/>
    <w:rsid w:val="58845D45"/>
    <w:rsid w:val="58914BEE"/>
    <w:rsid w:val="589D0BB5"/>
    <w:rsid w:val="58B511AF"/>
    <w:rsid w:val="58BA7D89"/>
    <w:rsid w:val="58D74AE6"/>
    <w:rsid w:val="58E32A6C"/>
    <w:rsid w:val="58E36145"/>
    <w:rsid w:val="59030A18"/>
    <w:rsid w:val="59043B17"/>
    <w:rsid w:val="590A76FB"/>
    <w:rsid w:val="59285AAF"/>
    <w:rsid w:val="592B3D00"/>
    <w:rsid w:val="59411541"/>
    <w:rsid w:val="594516AF"/>
    <w:rsid w:val="59594ADC"/>
    <w:rsid w:val="598633F7"/>
    <w:rsid w:val="59A26C05"/>
    <w:rsid w:val="59C4289D"/>
    <w:rsid w:val="59D73FD8"/>
    <w:rsid w:val="59F919F1"/>
    <w:rsid w:val="59FE07AB"/>
    <w:rsid w:val="5A0802B0"/>
    <w:rsid w:val="5A2A2876"/>
    <w:rsid w:val="5A2C5A66"/>
    <w:rsid w:val="5A5D23AA"/>
    <w:rsid w:val="5A6C083F"/>
    <w:rsid w:val="5A92354D"/>
    <w:rsid w:val="5A932270"/>
    <w:rsid w:val="5AA601F5"/>
    <w:rsid w:val="5AAB75B9"/>
    <w:rsid w:val="5AF53FC8"/>
    <w:rsid w:val="5B3A35E4"/>
    <w:rsid w:val="5B3A6E80"/>
    <w:rsid w:val="5B3C6463"/>
    <w:rsid w:val="5B4A6DD2"/>
    <w:rsid w:val="5B4C5E89"/>
    <w:rsid w:val="5B555777"/>
    <w:rsid w:val="5B5A4B3C"/>
    <w:rsid w:val="5B793214"/>
    <w:rsid w:val="5B9242D5"/>
    <w:rsid w:val="5BA948D2"/>
    <w:rsid w:val="5BAD7AA7"/>
    <w:rsid w:val="5BD62414"/>
    <w:rsid w:val="5BDC19F5"/>
    <w:rsid w:val="5BE63061"/>
    <w:rsid w:val="5C1E200D"/>
    <w:rsid w:val="5C5F68AD"/>
    <w:rsid w:val="5C743EE9"/>
    <w:rsid w:val="5C891B7C"/>
    <w:rsid w:val="5CB82B89"/>
    <w:rsid w:val="5CB85FBE"/>
    <w:rsid w:val="5CDF79EE"/>
    <w:rsid w:val="5CF17B03"/>
    <w:rsid w:val="5D080CF3"/>
    <w:rsid w:val="5D0A21B3"/>
    <w:rsid w:val="5D0E2082"/>
    <w:rsid w:val="5D2876BF"/>
    <w:rsid w:val="5D430421"/>
    <w:rsid w:val="5D440B5A"/>
    <w:rsid w:val="5D725790"/>
    <w:rsid w:val="5D885990"/>
    <w:rsid w:val="5D995DEF"/>
    <w:rsid w:val="5DAD189A"/>
    <w:rsid w:val="5DE255D1"/>
    <w:rsid w:val="5E100D18"/>
    <w:rsid w:val="5E11737B"/>
    <w:rsid w:val="5E135BA1"/>
    <w:rsid w:val="5E1866B8"/>
    <w:rsid w:val="5E186B1E"/>
    <w:rsid w:val="5E447E0C"/>
    <w:rsid w:val="5E521A08"/>
    <w:rsid w:val="5E734892"/>
    <w:rsid w:val="5E812AD6"/>
    <w:rsid w:val="5E892624"/>
    <w:rsid w:val="5EA902B4"/>
    <w:rsid w:val="5EAB588B"/>
    <w:rsid w:val="5EB129C6"/>
    <w:rsid w:val="5EB44021"/>
    <w:rsid w:val="5EF3152F"/>
    <w:rsid w:val="5EF552A7"/>
    <w:rsid w:val="5EFB253E"/>
    <w:rsid w:val="5F0C25F1"/>
    <w:rsid w:val="5F131145"/>
    <w:rsid w:val="5F1D657C"/>
    <w:rsid w:val="5F2E2D52"/>
    <w:rsid w:val="5F6661A5"/>
    <w:rsid w:val="5FA4095D"/>
    <w:rsid w:val="5FAD711C"/>
    <w:rsid w:val="5FCB425A"/>
    <w:rsid w:val="5FE61094"/>
    <w:rsid w:val="60120019"/>
    <w:rsid w:val="60212D77"/>
    <w:rsid w:val="602B518E"/>
    <w:rsid w:val="602E6C16"/>
    <w:rsid w:val="603342EB"/>
    <w:rsid w:val="60600E46"/>
    <w:rsid w:val="607D04A5"/>
    <w:rsid w:val="60880F62"/>
    <w:rsid w:val="60A277B2"/>
    <w:rsid w:val="60AF592A"/>
    <w:rsid w:val="60B020DA"/>
    <w:rsid w:val="60B371C8"/>
    <w:rsid w:val="60D0139A"/>
    <w:rsid w:val="61007F33"/>
    <w:rsid w:val="610A384A"/>
    <w:rsid w:val="61194785"/>
    <w:rsid w:val="61482C10"/>
    <w:rsid w:val="615362B5"/>
    <w:rsid w:val="61686204"/>
    <w:rsid w:val="616D55C9"/>
    <w:rsid w:val="61902733"/>
    <w:rsid w:val="61976FB6"/>
    <w:rsid w:val="619D1BB3"/>
    <w:rsid w:val="61AD4F6F"/>
    <w:rsid w:val="61BB6C21"/>
    <w:rsid w:val="61CF7625"/>
    <w:rsid w:val="61EB473F"/>
    <w:rsid w:val="62051CA5"/>
    <w:rsid w:val="624502F4"/>
    <w:rsid w:val="624667C3"/>
    <w:rsid w:val="624B3B02"/>
    <w:rsid w:val="62540537"/>
    <w:rsid w:val="626A43F4"/>
    <w:rsid w:val="626C3AD2"/>
    <w:rsid w:val="627F5FEF"/>
    <w:rsid w:val="62844843"/>
    <w:rsid w:val="629D24D1"/>
    <w:rsid w:val="62E31117"/>
    <w:rsid w:val="63185A08"/>
    <w:rsid w:val="631F746C"/>
    <w:rsid w:val="632862EB"/>
    <w:rsid w:val="635B47CA"/>
    <w:rsid w:val="636B3D8A"/>
    <w:rsid w:val="63716A79"/>
    <w:rsid w:val="637D1D0F"/>
    <w:rsid w:val="63915C95"/>
    <w:rsid w:val="63952BB5"/>
    <w:rsid w:val="63AD1F7A"/>
    <w:rsid w:val="63B374DF"/>
    <w:rsid w:val="63C811DC"/>
    <w:rsid w:val="63D01E3F"/>
    <w:rsid w:val="63D31A9A"/>
    <w:rsid w:val="63ED2292"/>
    <w:rsid w:val="63F40F8B"/>
    <w:rsid w:val="64830306"/>
    <w:rsid w:val="6484735D"/>
    <w:rsid w:val="64917820"/>
    <w:rsid w:val="64A210FA"/>
    <w:rsid w:val="64AA08E2"/>
    <w:rsid w:val="64B3252F"/>
    <w:rsid w:val="64CD49D9"/>
    <w:rsid w:val="64D60929"/>
    <w:rsid w:val="64DD2A65"/>
    <w:rsid w:val="64E77440"/>
    <w:rsid w:val="64EA5C27"/>
    <w:rsid w:val="64F34037"/>
    <w:rsid w:val="64F91CAE"/>
    <w:rsid w:val="64FD378D"/>
    <w:rsid w:val="650028B6"/>
    <w:rsid w:val="651A5A67"/>
    <w:rsid w:val="651D49A0"/>
    <w:rsid w:val="65271F32"/>
    <w:rsid w:val="65293EFC"/>
    <w:rsid w:val="652F1BCA"/>
    <w:rsid w:val="655D5954"/>
    <w:rsid w:val="65716E00"/>
    <w:rsid w:val="65870C23"/>
    <w:rsid w:val="658E3F61"/>
    <w:rsid w:val="65922A3E"/>
    <w:rsid w:val="65A33599"/>
    <w:rsid w:val="65B251A7"/>
    <w:rsid w:val="65B80DDC"/>
    <w:rsid w:val="65C3553D"/>
    <w:rsid w:val="65D200F0"/>
    <w:rsid w:val="65D53F00"/>
    <w:rsid w:val="65EC0770"/>
    <w:rsid w:val="65F8567D"/>
    <w:rsid w:val="65FF62CF"/>
    <w:rsid w:val="66016C0A"/>
    <w:rsid w:val="66083B12"/>
    <w:rsid w:val="66100C18"/>
    <w:rsid w:val="663F505A"/>
    <w:rsid w:val="668B64F1"/>
    <w:rsid w:val="668C4743"/>
    <w:rsid w:val="669B3EAF"/>
    <w:rsid w:val="669D6E94"/>
    <w:rsid w:val="66AF0431"/>
    <w:rsid w:val="66C537B1"/>
    <w:rsid w:val="66C74101"/>
    <w:rsid w:val="66CA2A7D"/>
    <w:rsid w:val="66D452D0"/>
    <w:rsid w:val="66DA265E"/>
    <w:rsid w:val="67185FD7"/>
    <w:rsid w:val="67340937"/>
    <w:rsid w:val="67566AFF"/>
    <w:rsid w:val="67851192"/>
    <w:rsid w:val="67890C82"/>
    <w:rsid w:val="679342C6"/>
    <w:rsid w:val="67A94E81"/>
    <w:rsid w:val="67B13D35"/>
    <w:rsid w:val="67CF40EE"/>
    <w:rsid w:val="67D3299C"/>
    <w:rsid w:val="67DB5354"/>
    <w:rsid w:val="67FF2CF3"/>
    <w:rsid w:val="68152516"/>
    <w:rsid w:val="6817628E"/>
    <w:rsid w:val="68757459"/>
    <w:rsid w:val="68852D1B"/>
    <w:rsid w:val="68D67EF7"/>
    <w:rsid w:val="690A194F"/>
    <w:rsid w:val="69132EFA"/>
    <w:rsid w:val="691F3187"/>
    <w:rsid w:val="692549DB"/>
    <w:rsid w:val="695502D9"/>
    <w:rsid w:val="695E3179"/>
    <w:rsid w:val="69635503"/>
    <w:rsid w:val="696516DB"/>
    <w:rsid w:val="697B284D"/>
    <w:rsid w:val="697D4817"/>
    <w:rsid w:val="69A41463"/>
    <w:rsid w:val="69BB0710"/>
    <w:rsid w:val="69E14DA6"/>
    <w:rsid w:val="69E72CD3"/>
    <w:rsid w:val="69EE74C3"/>
    <w:rsid w:val="69F356D2"/>
    <w:rsid w:val="69F806CE"/>
    <w:rsid w:val="6A25387A"/>
    <w:rsid w:val="6A3F387A"/>
    <w:rsid w:val="6A411915"/>
    <w:rsid w:val="6A5F4B23"/>
    <w:rsid w:val="6A8D1EFC"/>
    <w:rsid w:val="6A971908"/>
    <w:rsid w:val="6AA429B2"/>
    <w:rsid w:val="6AAC7127"/>
    <w:rsid w:val="6AB725D7"/>
    <w:rsid w:val="6B054AC4"/>
    <w:rsid w:val="6B09793F"/>
    <w:rsid w:val="6B0F5943"/>
    <w:rsid w:val="6B262F8C"/>
    <w:rsid w:val="6B4007C8"/>
    <w:rsid w:val="6B593982"/>
    <w:rsid w:val="6B741A32"/>
    <w:rsid w:val="6B8C634E"/>
    <w:rsid w:val="6BBD1287"/>
    <w:rsid w:val="6BFA214F"/>
    <w:rsid w:val="6C017A90"/>
    <w:rsid w:val="6C103720"/>
    <w:rsid w:val="6C2471CC"/>
    <w:rsid w:val="6C296590"/>
    <w:rsid w:val="6C476913"/>
    <w:rsid w:val="6C4933FE"/>
    <w:rsid w:val="6C4E4249"/>
    <w:rsid w:val="6C865790"/>
    <w:rsid w:val="6C94446B"/>
    <w:rsid w:val="6C9D6880"/>
    <w:rsid w:val="6CC75606"/>
    <w:rsid w:val="6CCD2D92"/>
    <w:rsid w:val="6CD81D64"/>
    <w:rsid w:val="6CE13E35"/>
    <w:rsid w:val="6CE140BA"/>
    <w:rsid w:val="6CE408C7"/>
    <w:rsid w:val="6CEB7CE9"/>
    <w:rsid w:val="6CEF2298"/>
    <w:rsid w:val="6CF21078"/>
    <w:rsid w:val="6D090170"/>
    <w:rsid w:val="6D62197C"/>
    <w:rsid w:val="6D796344"/>
    <w:rsid w:val="6D8D4265"/>
    <w:rsid w:val="6D91274C"/>
    <w:rsid w:val="6D9C0FE4"/>
    <w:rsid w:val="6DED351B"/>
    <w:rsid w:val="6DF40E20"/>
    <w:rsid w:val="6DF57072"/>
    <w:rsid w:val="6E052F4D"/>
    <w:rsid w:val="6E0A53D1"/>
    <w:rsid w:val="6E17755B"/>
    <w:rsid w:val="6E2427E6"/>
    <w:rsid w:val="6E36527B"/>
    <w:rsid w:val="6E414065"/>
    <w:rsid w:val="6E4E36FE"/>
    <w:rsid w:val="6E5D69C5"/>
    <w:rsid w:val="6E731D44"/>
    <w:rsid w:val="6E7705C2"/>
    <w:rsid w:val="6EE55ABC"/>
    <w:rsid w:val="6EFF5CCE"/>
    <w:rsid w:val="6F170D8A"/>
    <w:rsid w:val="6F3167F8"/>
    <w:rsid w:val="6F441A18"/>
    <w:rsid w:val="6F525F3B"/>
    <w:rsid w:val="6F564C97"/>
    <w:rsid w:val="6F620DE4"/>
    <w:rsid w:val="6F6C2D6B"/>
    <w:rsid w:val="6F71097A"/>
    <w:rsid w:val="6F71661B"/>
    <w:rsid w:val="6FAC19B2"/>
    <w:rsid w:val="6FD61A89"/>
    <w:rsid w:val="6FDF5BBC"/>
    <w:rsid w:val="6FE10C9C"/>
    <w:rsid w:val="6FE3682F"/>
    <w:rsid w:val="6FE53A8A"/>
    <w:rsid w:val="6FEA24DA"/>
    <w:rsid w:val="6FED5B27"/>
    <w:rsid w:val="6FF9096F"/>
    <w:rsid w:val="70221C74"/>
    <w:rsid w:val="7025260D"/>
    <w:rsid w:val="702C7BF2"/>
    <w:rsid w:val="703C6E2D"/>
    <w:rsid w:val="705A1311"/>
    <w:rsid w:val="70634E9C"/>
    <w:rsid w:val="706B361B"/>
    <w:rsid w:val="70787AE6"/>
    <w:rsid w:val="707F1509"/>
    <w:rsid w:val="709A5CAE"/>
    <w:rsid w:val="70BC5C25"/>
    <w:rsid w:val="70BF5715"/>
    <w:rsid w:val="70C2296E"/>
    <w:rsid w:val="70EB662F"/>
    <w:rsid w:val="712832BA"/>
    <w:rsid w:val="713559D7"/>
    <w:rsid w:val="71542301"/>
    <w:rsid w:val="717A32C8"/>
    <w:rsid w:val="717B788E"/>
    <w:rsid w:val="71B252A9"/>
    <w:rsid w:val="71BE2241"/>
    <w:rsid w:val="71D74BCE"/>
    <w:rsid w:val="71F155B0"/>
    <w:rsid w:val="720C498A"/>
    <w:rsid w:val="721E52E6"/>
    <w:rsid w:val="72255A4C"/>
    <w:rsid w:val="72326D7C"/>
    <w:rsid w:val="724A54B2"/>
    <w:rsid w:val="725D51E5"/>
    <w:rsid w:val="726475CA"/>
    <w:rsid w:val="729C539E"/>
    <w:rsid w:val="72A3273B"/>
    <w:rsid w:val="72B03567"/>
    <w:rsid w:val="72C15774"/>
    <w:rsid w:val="72C96C7E"/>
    <w:rsid w:val="72DE7177"/>
    <w:rsid w:val="72DF3E4C"/>
    <w:rsid w:val="72EC6569"/>
    <w:rsid w:val="72EC7B6F"/>
    <w:rsid w:val="72FD0776"/>
    <w:rsid w:val="731A4B7B"/>
    <w:rsid w:val="734463A5"/>
    <w:rsid w:val="736D487B"/>
    <w:rsid w:val="73753CB5"/>
    <w:rsid w:val="73886292"/>
    <w:rsid w:val="73AA0FD7"/>
    <w:rsid w:val="73BF7368"/>
    <w:rsid w:val="73C61CDF"/>
    <w:rsid w:val="73D40EA2"/>
    <w:rsid w:val="73D56C31"/>
    <w:rsid w:val="73D93D57"/>
    <w:rsid w:val="73ED2599"/>
    <w:rsid w:val="740827AF"/>
    <w:rsid w:val="74083898"/>
    <w:rsid w:val="74145D78"/>
    <w:rsid w:val="743472A1"/>
    <w:rsid w:val="745F123E"/>
    <w:rsid w:val="74602D6B"/>
    <w:rsid w:val="748B0829"/>
    <w:rsid w:val="74923E8B"/>
    <w:rsid w:val="74D77B93"/>
    <w:rsid w:val="74FB290E"/>
    <w:rsid w:val="752F6A88"/>
    <w:rsid w:val="75414B19"/>
    <w:rsid w:val="75556648"/>
    <w:rsid w:val="756D655D"/>
    <w:rsid w:val="757E45C5"/>
    <w:rsid w:val="759267AB"/>
    <w:rsid w:val="759F04CE"/>
    <w:rsid w:val="75A35605"/>
    <w:rsid w:val="75B470CD"/>
    <w:rsid w:val="75D03212"/>
    <w:rsid w:val="75D20734"/>
    <w:rsid w:val="760C71B7"/>
    <w:rsid w:val="7610431D"/>
    <w:rsid w:val="76216828"/>
    <w:rsid w:val="76264C32"/>
    <w:rsid w:val="76314FDC"/>
    <w:rsid w:val="763A75AE"/>
    <w:rsid w:val="764B0005"/>
    <w:rsid w:val="76657141"/>
    <w:rsid w:val="767B3E8C"/>
    <w:rsid w:val="7682346D"/>
    <w:rsid w:val="76831CB3"/>
    <w:rsid w:val="769A5B22"/>
    <w:rsid w:val="769F401E"/>
    <w:rsid w:val="76A72031"/>
    <w:rsid w:val="76B96A08"/>
    <w:rsid w:val="76BD6253"/>
    <w:rsid w:val="76CA63C9"/>
    <w:rsid w:val="76DF22B0"/>
    <w:rsid w:val="76E01E2C"/>
    <w:rsid w:val="76E23ED7"/>
    <w:rsid w:val="76F113CF"/>
    <w:rsid w:val="76F123A0"/>
    <w:rsid w:val="76FF7CE6"/>
    <w:rsid w:val="771816DB"/>
    <w:rsid w:val="771D13E7"/>
    <w:rsid w:val="772109BA"/>
    <w:rsid w:val="7726029C"/>
    <w:rsid w:val="772A449D"/>
    <w:rsid w:val="774E1825"/>
    <w:rsid w:val="775972A4"/>
    <w:rsid w:val="77633CE8"/>
    <w:rsid w:val="77731007"/>
    <w:rsid w:val="77737259"/>
    <w:rsid w:val="77807509"/>
    <w:rsid w:val="77935205"/>
    <w:rsid w:val="7796104D"/>
    <w:rsid w:val="77A15B74"/>
    <w:rsid w:val="77A6318B"/>
    <w:rsid w:val="77B92EBE"/>
    <w:rsid w:val="77C2067D"/>
    <w:rsid w:val="77CB39AB"/>
    <w:rsid w:val="77CD0A69"/>
    <w:rsid w:val="77CE573C"/>
    <w:rsid w:val="77D777E8"/>
    <w:rsid w:val="781225CE"/>
    <w:rsid w:val="78182C05"/>
    <w:rsid w:val="78623556"/>
    <w:rsid w:val="786F7A21"/>
    <w:rsid w:val="78704477"/>
    <w:rsid w:val="78713DC6"/>
    <w:rsid w:val="78886D34"/>
    <w:rsid w:val="788C0187"/>
    <w:rsid w:val="789B35FF"/>
    <w:rsid w:val="789D458E"/>
    <w:rsid w:val="78B908CC"/>
    <w:rsid w:val="78DB7356"/>
    <w:rsid w:val="78E57CE3"/>
    <w:rsid w:val="78E977D3"/>
    <w:rsid w:val="78F32400"/>
    <w:rsid w:val="78FF583B"/>
    <w:rsid w:val="790C5F87"/>
    <w:rsid w:val="79344E6E"/>
    <w:rsid w:val="7948394E"/>
    <w:rsid w:val="794F3A3E"/>
    <w:rsid w:val="797E7C8C"/>
    <w:rsid w:val="7981552C"/>
    <w:rsid w:val="799E6B62"/>
    <w:rsid w:val="79B869BB"/>
    <w:rsid w:val="79C60523"/>
    <w:rsid w:val="79CB3A87"/>
    <w:rsid w:val="79CB512B"/>
    <w:rsid w:val="79CE7FCA"/>
    <w:rsid w:val="79DF0BD6"/>
    <w:rsid w:val="79E33D17"/>
    <w:rsid w:val="7A1E34AC"/>
    <w:rsid w:val="7A2D1941"/>
    <w:rsid w:val="7A38580D"/>
    <w:rsid w:val="7A4949E5"/>
    <w:rsid w:val="7A565FC8"/>
    <w:rsid w:val="7A6337EA"/>
    <w:rsid w:val="7A65732D"/>
    <w:rsid w:val="7A6D1D3E"/>
    <w:rsid w:val="7A8A6D94"/>
    <w:rsid w:val="7A996FD7"/>
    <w:rsid w:val="7AA325A0"/>
    <w:rsid w:val="7ABB6F4D"/>
    <w:rsid w:val="7AC04563"/>
    <w:rsid w:val="7AE13AA3"/>
    <w:rsid w:val="7B160627"/>
    <w:rsid w:val="7B203254"/>
    <w:rsid w:val="7B312082"/>
    <w:rsid w:val="7B3274B3"/>
    <w:rsid w:val="7B5A0311"/>
    <w:rsid w:val="7B5D6EBF"/>
    <w:rsid w:val="7B71011E"/>
    <w:rsid w:val="7B7535A0"/>
    <w:rsid w:val="7B9A3006"/>
    <w:rsid w:val="7BA54715"/>
    <w:rsid w:val="7BB96C82"/>
    <w:rsid w:val="7BC75C21"/>
    <w:rsid w:val="7BD04C7A"/>
    <w:rsid w:val="7BEE6EAE"/>
    <w:rsid w:val="7BFB0002"/>
    <w:rsid w:val="7C643154"/>
    <w:rsid w:val="7C960195"/>
    <w:rsid w:val="7CA861A7"/>
    <w:rsid w:val="7CAB5963"/>
    <w:rsid w:val="7CC70154"/>
    <w:rsid w:val="7CDC31AB"/>
    <w:rsid w:val="7CE13C72"/>
    <w:rsid w:val="7CE81B50"/>
    <w:rsid w:val="7CF32614"/>
    <w:rsid w:val="7CF64458"/>
    <w:rsid w:val="7D496A92"/>
    <w:rsid w:val="7D4B0280"/>
    <w:rsid w:val="7D5B4A17"/>
    <w:rsid w:val="7D657644"/>
    <w:rsid w:val="7D7B29C4"/>
    <w:rsid w:val="7D9776C2"/>
    <w:rsid w:val="7D9F66B2"/>
    <w:rsid w:val="7DA45FC4"/>
    <w:rsid w:val="7DAB14FB"/>
    <w:rsid w:val="7DC507E5"/>
    <w:rsid w:val="7DDC2E8C"/>
    <w:rsid w:val="7DFB6752"/>
    <w:rsid w:val="7E3E2B12"/>
    <w:rsid w:val="7E43461F"/>
    <w:rsid w:val="7E590F57"/>
    <w:rsid w:val="7E5B6E67"/>
    <w:rsid w:val="7E61320B"/>
    <w:rsid w:val="7E7A2C7B"/>
    <w:rsid w:val="7E8835EA"/>
    <w:rsid w:val="7E933D3D"/>
    <w:rsid w:val="7EA321D2"/>
    <w:rsid w:val="7EA90D5A"/>
    <w:rsid w:val="7EC62364"/>
    <w:rsid w:val="7EEB261F"/>
    <w:rsid w:val="7F166E48"/>
    <w:rsid w:val="7F2F2DBC"/>
    <w:rsid w:val="7F324B28"/>
    <w:rsid w:val="7F346951"/>
    <w:rsid w:val="7F392B36"/>
    <w:rsid w:val="7F4514DB"/>
    <w:rsid w:val="7F7C4936"/>
    <w:rsid w:val="7F7D0C1F"/>
    <w:rsid w:val="7F7F63A8"/>
    <w:rsid w:val="7F8C19F4"/>
    <w:rsid w:val="7F9A45D7"/>
    <w:rsid w:val="7FBD0C23"/>
    <w:rsid w:val="7FE9630A"/>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0"/>
    <w:pPr>
      <w:keepNext/>
      <w:keepLines/>
      <w:spacing w:before="140" w:after="140"/>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4"/>
    <w:unhideWhenUsed/>
    <w:qFormat/>
    <w:uiPriority w:val="99"/>
    <w:pPr>
      <w:jc w:val="left"/>
    </w:pPr>
  </w:style>
  <w:style w:type="paragraph" w:styleId="6">
    <w:name w:val="Body Text"/>
    <w:basedOn w:val="1"/>
    <w:semiHidden/>
    <w:qFormat/>
    <w:uiPriority w:val="0"/>
    <w:pPr>
      <w:jc w:val="center"/>
    </w:pPr>
    <w:rPr>
      <w:rFonts w:ascii="宋体" w:hAnsi="宋体" w:eastAsia="宋体" w:cs="宋体"/>
      <w:sz w:val="28"/>
      <w:szCs w:val="28"/>
      <w:lang w:eastAsia="en-US"/>
    </w:rPr>
  </w:style>
  <w:style w:type="paragraph" w:styleId="7">
    <w:name w:val="toc 3"/>
    <w:basedOn w:val="1"/>
    <w:next w:val="1"/>
    <w:unhideWhenUsed/>
    <w:qFormat/>
    <w:uiPriority w:val="39"/>
    <w:pPr>
      <w:widowControl/>
      <w:spacing w:after="100" w:line="259" w:lineRule="auto"/>
      <w:ind w:left="440"/>
      <w:jc w:val="left"/>
    </w:pPr>
    <w:rPr>
      <w:rFonts w:cs="Times New Roman"/>
      <w:kern w:val="0"/>
      <w:sz w:val="22"/>
    </w:rPr>
  </w:style>
  <w:style w:type="paragraph" w:styleId="8">
    <w:name w:val="Plain Text"/>
    <w:basedOn w:val="1"/>
    <w:link w:val="33"/>
    <w:qFormat/>
    <w:uiPriority w:val="0"/>
    <w:pPr>
      <w:widowControl/>
      <w:spacing w:before="100" w:beforeAutospacing="1" w:after="100" w:afterAutospacing="1"/>
      <w:jc w:val="left"/>
    </w:pPr>
    <w:rPr>
      <w:rFonts w:ascii="Times New Roman" w:hAnsi="Times New Roman" w:eastAsia="宋体" w:cs="Times New Roman"/>
      <w:kern w:val="0"/>
      <w:szCs w:val="24"/>
    </w:rPr>
  </w:style>
  <w:style w:type="paragraph" w:styleId="9">
    <w:name w:val="Date"/>
    <w:basedOn w:val="1"/>
    <w:next w:val="1"/>
    <w:link w:val="38"/>
    <w:qFormat/>
    <w:uiPriority w:val="0"/>
    <w:pPr>
      <w:ind w:left="100" w:leftChars="2500"/>
    </w:pPr>
    <w:rPr>
      <w:rFonts w:ascii="Times New Roman" w:hAnsi="Times New Roman" w:eastAsia="宋体" w:cs="Times New Roman"/>
      <w:szCs w:val="24"/>
    </w:rPr>
  </w:style>
  <w:style w:type="paragraph" w:styleId="10">
    <w:name w:val="Balloon Text"/>
    <w:basedOn w:val="1"/>
    <w:link w:val="40"/>
    <w:semiHidden/>
    <w:unhideWhenUsed/>
    <w:qFormat/>
    <w:uiPriority w:val="99"/>
    <w:rPr>
      <w:sz w:val="18"/>
      <w:szCs w:val="18"/>
    </w:rPr>
  </w:style>
  <w:style w:type="paragraph" w:styleId="11">
    <w:name w:val="footer"/>
    <w:basedOn w:val="1"/>
    <w:link w:val="30"/>
    <w:unhideWhenUsed/>
    <w:qFormat/>
    <w:uiPriority w:val="99"/>
    <w:pPr>
      <w:tabs>
        <w:tab w:val="center" w:pos="4153"/>
        <w:tab w:val="right" w:pos="8306"/>
      </w:tabs>
      <w:snapToGrid w:val="0"/>
      <w:jc w:val="left"/>
    </w:pPr>
    <w:rPr>
      <w:sz w:val="18"/>
      <w:szCs w:val="18"/>
    </w:rPr>
  </w:style>
  <w:style w:type="paragraph" w:styleId="12">
    <w:name w:val="header"/>
    <w:basedOn w:val="1"/>
    <w:link w:val="29"/>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pPr>
    <w:rPr>
      <w:rFonts w:ascii="Times New Roman" w:hAnsi="Times New Roman" w:eastAsia="宋体" w:cs="Times New Roman"/>
      <w:b/>
      <w:bCs/>
      <w:caps/>
    </w:rPr>
  </w:style>
  <w:style w:type="paragraph" w:styleId="14">
    <w:name w:val="toc 2"/>
    <w:basedOn w:val="1"/>
    <w:next w:val="1"/>
    <w:qFormat/>
    <w:uiPriority w:val="39"/>
    <w:pPr>
      <w:ind w:left="210"/>
    </w:pPr>
    <w:rPr>
      <w:rFonts w:ascii="Times New Roman" w:hAnsi="Times New Roman" w:eastAsia="宋体" w:cs="Times New Roman"/>
      <w:smallCaps/>
    </w:rPr>
  </w:style>
  <w:style w:type="paragraph" w:styleId="15">
    <w:name w:val="Normal (Web)"/>
    <w:basedOn w:val="1"/>
    <w:unhideWhenUsed/>
    <w:qFormat/>
    <w:uiPriority w:val="99"/>
    <w:pPr>
      <w:spacing w:beforeAutospacing="1" w:afterAutospacing="1" w:line="330" w:lineRule="atLeast"/>
      <w:jc w:val="left"/>
    </w:pPr>
    <w:rPr>
      <w:rFonts w:ascii="Times New Roman" w:hAnsi="Times New Roman" w:eastAsia="宋体" w:cs="Times New Roman"/>
      <w:kern w:val="0"/>
      <w:sz w:val="22"/>
    </w:rPr>
  </w:style>
  <w:style w:type="paragraph" w:styleId="16">
    <w:name w:val="Title"/>
    <w:basedOn w:val="1"/>
    <w:next w:val="1"/>
    <w:qFormat/>
    <w:uiPriority w:val="0"/>
    <w:pPr>
      <w:spacing w:before="240" w:after="60"/>
      <w:jc w:val="center"/>
      <w:outlineLvl w:val="0"/>
    </w:pPr>
    <w:rPr>
      <w:rFonts w:asciiTheme="majorHAnsi" w:hAnsiTheme="majorHAnsi" w:cstheme="majorBidi"/>
      <w:b/>
      <w:bCs/>
      <w:sz w:val="36"/>
      <w:szCs w:val="36"/>
    </w:rPr>
  </w:style>
  <w:style w:type="paragraph" w:styleId="17">
    <w:name w:val="annotation subject"/>
    <w:basedOn w:val="5"/>
    <w:next w:val="5"/>
    <w:link w:val="45"/>
    <w:semiHidden/>
    <w:unhideWhenUsed/>
    <w:qFormat/>
    <w:uiPriority w:val="99"/>
    <w:rPr>
      <w:b/>
      <w:bCs/>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rFonts w:ascii="Times New Roman" w:hAnsi="Times New Roman" w:eastAsia="宋体"/>
      <w:sz w:val="18"/>
    </w:rPr>
  </w:style>
  <w:style w:type="character" w:styleId="22">
    <w:name w:val="FollowedHyperlink"/>
    <w:basedOn w:val="20"/>
    <w:semiHidden/>
    <w:unhideWhenUsed/>
    <w:qFormat/>
    <w:uiPriority w:val="99"/>
    <w:rPr>
      <w:color w:val="800080" w:themeColor="followedHyperlink"/>
      <w:u w:val="single"/>
      <w14:textFill>
        <w14:solidFill>
          <w14:schemeClr w14:val="folHlink"/>
        </w14:solidFill>
      </w14:textFill>
    </w:rPr>
  </w:style>
  <w:style w:type="character" w:styleId="23">
    <w:name w:val="Emphasis"/>
    <w:basedOn w:val="20"/>
    <w:qFormat/>
    <w:uiPriority w:val="20"/>
    <w:rPr>
      <w:i/>
      <w:iCs/>
    </w:rPr>
  </w:style>
  <w:style w:type="character" w:styleId="24">
    <w:name w:val="Hyperlink"/>
    <w:qFormat/>
    <w:uiPriority w:val="99"/>
    <w:rPr>
      <w:color w:val="0000FF"/>
      <w:u w:val="single"/>
    </w:rPr>
  </w:style>
  <w:style w:type="character" w:styleId="25">
    <w:name w:val="annotation reference"/>
    <w:basedOn w:val="20"/>
    <w:semiHidden/>
    <w:unhideWhenUsed/>
    <w:qFormat/>
    <w:uiPriority w:val="99"/>
    <w:rPr>
      <w:sz w:val="21"/>
      <w:szCs w:val="21"/>
    </w:rPr>
  </w:style>
  <w:style w:type="character" w:customStyle="1" w:styleId="26">
    <w:name w:val="标题 1 Char"/>
    <w:basedOn w:val="20"/>
    <w:qFormat/>
    <w:uiPriority w:val="0"/>
    <w:rPr>
      <w:b/>
      <w:bCs/>
      <w:kern w:val="44"/>
      <w:sz w:val="44"/>
      <w:szCs w:val="44"/>
    </w:rPr>
  </w:style>
  <w:style w:type="character" w:customStyle="1" w:styleId="27">
    <w:name w:val="标题 2 字符"/>
    <w:basedOn w:val="20"/>
    <w:link w:val="3"/>
    <w:qFormat/>
    <w:uiPriority w:val="0"/>
    <w:rPr>
      <w:rFonts w:asciiTheme="majorHAnsi" w:hAnsiTheme="majorHAnsi" w:eastAsiaTheme="majorEastAsia" w:cstheme="majorBidi"/>
      <w:b/>
      <w:bCs/>
      <w:sz w:val="32"/>
      <w:szCs w:val="32"/>
    </w:rPr>
  </w:style>
  <w:style w:type="character" w:customStyle="1" w:styleId="28">
    <w:name w:val="标题 3 字符"/>
    <w:basedOn w:val="20"/>
    <w:link w:val="4"/>
    <w:qFormat/>
    <w:uiPriority w:val="9"/>
    <w:rPr>
      <w:b/>
      <w:bCs/>
      <w:sz w:val="32"/>
      <w:szCs w:val="32"/>
    </w:rPr>
  </w:style>
  <w:style w:type="character" w:customStyle="1" w:styleId="29">
    <w:name w:val="页眉 字符"/>
    <w:basedOn w:val="20"/>
    <w:link w:val="12"/>
    <w:qFormat/>
    <w:uiPriority w:val="0"/>
    <w:rPr>
      <w:kern w:val="2"/>
      <w:sz w:val="18"/>
      <w:szCs w:val="18"/>
    </w:rPr>
  </w:style>
  <w:style w:type="character" w:customStyle="1" w:styleId="30">
    <w:name w:val="页脚 字符"/>
    <w:basedOn w:val="20"/>
    <w:link w:val="11"/>
    <w:qFormat/>
    <w:uiPriority w:val="99"/>
    <w:rPr>
      <w:kern w:val="2"/>
      <w:sz w:val="18"/>
      <w:szCs w:val="18"/>
    </w:rPr>
  </w:style>
  <w:style w:type="paragraph" w:customStyle="1" w:styleId="31">
    <w:name w:val="DB1"/>
    <w:basedOn w:val="1"/>
    <w:qFormat/>
    <w:uiPriority w:val="0"/>
    <w:pPr>
      <w:spacing w:beforeLines="100" w:afterLines="100" w:line="360" w:lineRule="auto"/>
      <w:jc w:val="center"/>
    </w:pPr>
    <w:rPr>
      <w:rFonts w:ascii="黑体" w:hAnsi="Times New Roman" w:eastAsia="黑体" w:cs="Times New Roman"/>
      <w:b/>
      <w:color w:val="000000"/>
      <w:sz w:val="32"/>
      <w:szCs w:val="24"/>
    </w:rPr>
  </w:style>
  <w:style w:type="paragraph" w:styleId="32">
    <w:name w:val="List Paragraph"/>
    <w:basedOn w:val="1"/>
    <w:qFormat/>
    <w:uiPriority w:val="34"/>
    <w:pPr>
      <w:ind w:firstLine="420" w:firstLineChars="200"/>
    </w:pPr>
    <w:rPr>
      <w:rFonts w:ascii="Calibri" w:hAnsi="Calibri" w:eastAsia="宋体" w:cs="Times New Roman"/>
    </w:rPr>
  </w:style>
  <w:style w:type="character" w:customStyle="1" w:styleId="33">
    <w:name w:val="纯文本 字符"/>
    <w:basedOn w:val="20"/>
    <w:link w:val="8"/>
    <w:qFormat/>
    <w:uiPriority w:val="0"/>
    <w:rPr>
      <w:rFonts w:ascii="Times New Roman" w:hAnsi="Times New Roman" w:eastAsia="宋体" w:cs="Times New Roman"/>
      <w:sz w:val="21"/>
      <w:szCs w:val="24"/>
    </w:rPr>
  </w:style>
  <w:style w:type="paragraph" w:customStyle="1" w:styleId="3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35">
    <w:name w:val="2001版正文样式 Char"/>
    <w:link w:val="36"/>
    <w:qFormat/>
    <w:uiPriority w:val="0"/>
    <w:rPr>
      <w:rFonts w:ascii="宋体" w:hAnsi="宋体" w:cs="Arial"/>
      <w:spacing w:val="20"/>
      <w:sz w:val="24"/>
    </w:rPr>
  </w:style>
  <w:style w:type="paragraph" w:customStyle="1" w:styleId="36">
    <w:name w:val="2001版正文样式"/>
    <w:basedOn w:val="1"/>
    <w:link w:val="35"/>
    <w:qFormat/>
    <w:uiPriority w:val="0"/>
    <w:pPr>
      <w:autoSpaceDE w:val="0"/>
      <w:autoSpaceDN w:val="0"/>
      <w:adjustRightInd w:val="0"/>
      <w:snapToGrid w:val="0"/>
      <w:spacing w:line="360" w:lineRule="auto"/>
      <w:ind w:firstLine="629" w:firstLineChars="242"/>
      <w:textAlignment w:val="bottom"/>
    </w:pPr>
    <w:rPr>
      <w:rFonts w:ascii="宋体" w:hAnsi="宋体" w:cs="Arial"/>
      <w:spacing w:val="20"/>
      <w:kern w:val="0"/>
      <w:sz w:val="24"/>
      <w:szCs w:val="20"/>
    </w:rPr>
  </w:style>
  <w:style w:type="paragraph" w:customStyle="1" w:styleId="37">
    <w:name w:val="name"/>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38">
    <w:name w:val="日期 字符"/>
    <w:basedOn w:val="20"/>
    <w:link w:val="9"/>
    <w:qFormat/>
    <w:uiPriority w:val="0"/>
    <w:rPr>
      <w:rFonts w:ascii="Times New Roman" w:hAnsi="Times New Roman" w:eastAsia="宋体" w:cs="Times New Roman"/>
      <w:kern w:val="2"/>
      <w:sz w:val="21"/>
      <w:szCs w:val="24"/>
    </w:rPr>
  </w:style>
  <w:style w:type="character" w:customStyle="1" w:styleId="39">
    <w:name w:val="markedcontent"/>
    <w:basedOn w:val="20"/>
    <w:qFormat/>
    <w:uiPriority w:val="0"/>
  </w:style>
  <w:style w:type="character" w:customStyle="1" w:styleId="40">
    <w:name w:val="批注框文本 字符"/>
    <w:basedOn w:val="20"/>
    <w:link w:val="10"/>
    <w:semiHidden/>
    <w:qFormat/>
    <w:uiPriority w:val="99"/>
    <w:rPr>
      <w:kern w:val="2"/>
      <w:sz w:val="18"/>
      <w:szCs w:val="18"/>
    </w:rPr>
  </w:style>
  <w:style w:type="character" w:customStyle="1" w:styleId="41">
    <w:name w:val="content-right_8zs40"/>
    <w:basedOn w:val="20"/>
    <w:qFormat/>
    <w:uiPriority w:val="0"/>
  </w:style>
  <w:style w:type="character" w:customStyle="1" w:styleId="42">
    <w:name w:val="bjh-p"/>
    <w:basedOn w:val="20"/>
    <w:qFormat/>
    <w:uiPriority w:val="0"/>
  </w:style>
  <w:style w:type="paragraph" w:customStyle="1" w:styleId="4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44">
    <w:name w:val="批注文字 字符"/>
    <w:basedOn w:val="20"/>
    <w:link w:val="5"/>
    <w:qFormat/>
    <w:uiPriority w:val="99"/>
    <w:rPr>
      <w:kern w:val="2"/>
      <w:sz w:val="21"/>
      <w:szCs w:val="22"/>
    </w:rPr>
  </w:style>
  <w:style w:type="character" w:customStyle="1" w:styleId="45">
    <w:name w:val="批注主题 字符"/>
    <w:basedOn w:val="44"/>
    <w:link w:val="17"/>
    <w:semiHidden/>
    <w:qFormat/>
    <w:uiPriority w:val="99"/>
    <w:rPr>
      <w:b/>
      <w:bCs/>
      <w:kern w:val="2"/>
      <w:sz w:val="21"/>
      <w:szCs w:val="22"/>
    </w:rPr>
  </w:style>
  <w:style w:type="paragraph" w:customStyle="1" w:styleId="46">
    <w:name w:val="条文"/>
    <w:basedOn w:val="1"/>
    <w:qFormat/>
    <w:uiPriority w:val="0"/>
    <w:pPr>
      <w:spacing w:line="300" w:lineRule="auto"/>
      <w:ind w:firstLine="200" w:firstLineChars="200"/>
    </w:pPr>
    <w:rPr>
      <w:rFonts w:cs="Times New Roman"/>
      <w:szCs w:val="21"/>
    </w:rPr>
  </w:style>
  <w:style w:type="paragraph" w:customStyle="1" w:styleId="47">
    <w:name w:val="表格"/>
    <w:basedOn w:val="1"/>
    <w:qFormat/>
    <w:uiPriority w:val="0"/>
    <w:pPr>
      <w:widowControl/>
      <w:spacing w:line="400" w:lineRule="exact"/>
      <w:jc w:val="center"/>
    </w:pPr>
    <w:rPr>
      <w:rFonts w:cs="宋体"/>
      <w:color w:val="000000"/>
      <w:kern w:val="0"/>
    </w:rPr>
  </w:style>
  <w:style w:type="character" w:customStyle="1" w:styleId="48">
    <w:name w:val="标题 1 字符"/>
    <w:basedOn w:val="20"/>
    <w:link w:val="2"/>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BB569-FB95-43BB-9891-DEA2C344012E}">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1518</Words>
  <Characters>2398</Characters>
  <Lines>172</Lines>
  <Paragraphs>48</Paragraphs>
  <TotalTime>7</TotalTime>
  <ScaleCrop>false</ScaleCrop>
  <LinksUpToDate>false</LinksUpToDate>
  <CharactersWithSpaces>2724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2023-07-13T09:05:00Z</dcterms:created>
  <dc:creator>lulu</dc:creator>
  <cp:lastModifiedBy>忐忑</cp:lastModifiedBy>
  <cp:lastPrinted>2024-09-22T23:17:00Z</cp:lastPrinted>
  <dcterms:modified xsi:type="dcterms:W3CDTF">2025-05-13T07:25:02Z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55BF892E8394402BBAAFF2F04AB565E8_13</vt:lpwstr>
  </property>
  <property fmtid="{D5CDD505-2E9C-101B-9397-08002B2CF9AE}" pid="4" name="KSOTemplateDocerSaveRecord">
    <vt:lpwstr>eyJoZGlkIjoiMjE1MGZmOTRhZjllMGExZDlkZTMzYmYzNTljMTkwODUiLCJ1c2VySWQiOiI0MzYwMTU0NjQifQ==</vt:lpwstr>
  </property>
</Properties>
</file>