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42F67">
      <w:pPr>
        <w:adjustRightInd w:val="0"/>
        <w:spacing w:before="312" w:after="312" w:line="680" w:lineRule="exact"/>
        <w:ind w:firstLine="883"/>
        <w:jc w:val="center"/>
        <w:textAlignment w:val="center"/>
        <w:rPr>
          <w:rFonts w:eastAsia="宋体" w:cs="Times New Roman"/>
          <w:b/>
          <w:sz w:val="44"/>
          <w:szCs w:val="44"/>
        </w:rPr>
      </w:pPr>
    </w:p>
    <w:p w14:paraId="1B9F0853">
      <w:pPr>
        <w:adjustRightInd w:val="0"/>
        <w:spacing w:before="312" w:after="312" w:line="680" w:lineRule="exact"/>
        <w:ind w:left="0" w:leftChars="0" w:firstLine="0" w:firstLineChars="0"/>
        <w:jc w:val="center"/>
        <w:textAlignment w:val="center"/>
        <w:rPr>
          <w:rFonts w:eastAsia="宋体" w:cs="Times New Roman"/>
          <w:b/>
          <w:sz w:val="44"/>
          <w:szCs w:val="44"/>
        </w:rPr>
      </w:pPr>
      <w:r>
        <w:rPr>
          <w:rFonts w:eastAsia="宋体" w:cs="Times New Roman"/>
          <w:b/>
          <w:sz w:val="44"/>
          <w:szCs w:val="44"/>
        </w:rPr>
        <w:t>城市生命线工程监测设施技术标准</w:t>
      </w:r>
      <w:bookmarkStart w:id="155" w:name="_GoBack"/>
      <w:bookmarkEnd w:id="155"/>
    </w:p>
    <w:p w14:paraId="1647190D">
      <w:pPr>
        <w:snapToGrid w:val="0"/>
        <w:ind w:firstLine="0" w:firstLineChars="0"/>
        <w:jc w:val="center"/>
        <w:rPr>
          <w:rFonts w:eastAsia="宋体" w:cs="Times New Roman"/>
          <w:b/>
          <w:kern w:val="0"/>
          <w:sz w:val="28"/>
          <w:szCs w:val="28"/>
        </w:rPr>
      </w:pPr>
    </w:p>
    <w:p w14:paraId="56642277">
      <w:pPr>
        <w:widowControl/>
        <w:spacing w:line="360" w:lineRule="auto"/>
        <w:ind w:left="0" w:leftChars="0" w:firstLine="0" w:firstLineChars="0"/>
        <w:jc w:val="center"/>
        <w:rPr>
          <w:rFonts w:eastAsia="宋体" w:cs="Times New Roman"/>
          <w:b/>
          <w:kern w:val="0"/>
          <w:sz w:val="24"/>
          <w:szCs w:val="24"/>
        </w:rPr>
      </w:pPr>
      <w:r>
        <w:rPr>
          <w:rFonts w:eastAsia="宋体" w:cs="Times New Roman"/>
          <w:b/>
          <w:kern w:val="0"/>
          <w:sz w:val="24"/>
          <w:szCs w:val="24"/>
        </w:rPr>
        <w:t xml:space="preserve">Technical standard for monitoring facilities of urban lifeline </w:t>
      </w:r>
      <w:r>
        <w:rPr>
          <w:rFonts w:hint="eastAsia" w:eastAsia="宋体" w:cs="Times New Roman"/>
          <w:b/>
          <w:kern w:val="0"/>
          <w:sz w:val="24"/>
          <w:szCs w:val="24"/>
        </w:rPr>
        <w:t>engineering</w:t>
      </w:r>
    </w:p>
    <w:p w14:paraId="30A4FFEC">
      <w:pPr>
        <w:widowControl/>
        <w:spacing w:line="360" w:lineRule="auto"/>
        <w:ind w:firstLine="482"/>
        <w:jc w:val="center"/>
        <w:rPr>
          <w:rFonts w:eastAsia="宋体" w:cs="Times New Roman"/>
          <w:b/>
          <w:kern w:val="0"/>
          <w:sz w:val="24"/>
          <w:szCs w:val="24"/>
        </w:rPr>
      </w:pPr>
    </w:p>
    <w:p w14:paraId="6F2E1E2C">
      <w:pPr>
        <w:widowControl/>
        <w:pBdr>
          <w:bottom w:val="single" w:color="auto" w:sz="6" w:space="1"/>
        </w:pBdr>
        <w:spacing w:before="312" w:beforeAutospacing="1" w:after="312" w:afterAutospacing="1" w:line="360" w:lineRule="auto"/>
        <w:ind w:left="0" w:leftChars="0" w:firstLine="0" w:firstLineChars="0"/>
        <w:jc w:val="center"/>
        <w:rPr>
          <w:rFonts w:eastAsia="宋体" w:cs="Times New Roman"/>
          <w:b/>
          <w:kern w:val="0"/>
          <w:sz w:val="44"/>
          <w:szCs w:val="44"/>
        </w:rPr>
      </w:pPr>
      <w:bookmarkStart w:id="0" w:name="_Toc212891139"/>
      <w:bookmarkStart w:id="1" w:name="_Toc207781878"/>
      <w:bookmarkStart w:id="2" w:name="_Toc207596292"/>
      <w:r>
        <w:rPr>
          <w:rFonts w:eastAsia="宋体" w:cs="Times New Roman"/>
          <w:b/>
          <w:kern w:val="0"/>
          <w:sz w:val="44"/>
          <w:szCs w:val="44"/>
        </w:rPr>
        <w:t>（征求意见稿）</w:t>
      </w:r>
      <w:bookmarkEnd w:id="0"/>
      <w:bookmarkEnd w:id="1"/>
      <w:bookmarkEnd w:id="2"/>
    </w:p>
    <w:p w14:paraId="28FEE052">
      <w:pPr>
        <w:widowControl/>
        <w:pBdr>
          <w:bottom w:val="single" w:color="auto" w:sz="6" w:space="1"/>
        </w:pBdr>
        <w:spacing w:before="312" w:beforeAutospacing="1" w:after="312" w:afterAutospacing="1" w:line="360" w:lineRule="auto"/>
        <w:ind w:firstLine="883"/>
        <w:jc w:val="center"/>
        <w:rPr>
          <w:rFonts w:eastAsia="宋体" w:cs="Times New Roman"/>
          <w:b/>
          <w:kern w:val="0"/>
          <w:sz w:val="44"/>
          <w:szCs w:val="44"/>
        </w:rPr>
      </w:pPr>
    </w:p>
    <w:p w14:paraId="19B1297A">
      <w:pPr>
        <w:widowControl/>
        <w:pBdr>
          <w:bottom w:val="single" w:color="auto" w:sz="6" w:space="1"/>
        </w:pBdr>
        <w:spacing w:before="312" w:beforeAutospacing="1" w:after="312" w:afterAutospacing="1" w:line="360" w:lineRule="auto"/>
        <w:ind w:firstLine="883"/>
        <w:jc w:val="center"/>
        <w:rPr>
          <w:rFonts w:eastAsia="宋体" w:cs="Times New Roman"/>
          <w:b/>
          <w:kern w:val="0"/>
          <w:sz w:val="44"/>
          <w:szCs w:val="44"/>
        </w:rPr>
      </w:pPr>
    </w:p>
    <w:p w14:paraId="73C92028">
      <w:pPr>
        <w:widowControl/>
        <w:pBdr>
          <w:bottom w:val="single" w:color="auto" w:sz="6" w:space="1"/>
        </w:pBdr>
        <w:spacing w:before="312" w:beforeAutospacing="1" w:after="312" w:afterAutospacing="1" w:line="360" w:lineRule="auto"/>
        <w:ind w:firstLine="883"/>
        <w:jc w:val="center"/>
        <w:rPr>
          <w:rFonts w:eastAsia="宋体" w:cs="Times New Roman"/>
          <w:b/>
          <w:kern w:val="0"/>
          <w:sz w:val="44"/>
          <w:szCs w:val="44"/>
        </w:rPr>
      </w:pPr>
    </w:p>
    <w:p w14:paraId="0933447E">
      <w:pPr>
        <w:widowControl/>
        <w:pBdr>
          <w:bottom w:val="single" w:color="auto" w:sz="6" w:space="1"/>
        </w:pBdr>
        <w:spacing w:before="312" w:beforeAutospacing="1" w:after="312" w:afterAutospacing="1" w:line="360" w:lineRule="auto"/>
        <w:ind w:firstLine="883"/>
        <w:jc w:val="center"/>
        <w:rPr>
          <w:rFonts w:eastAsia="宋体" w:cs="Times New Roman"/>
          <w:b/>
          <w:kern w:val="0"/>
          <w:sz w:val="44"/>
          <w:szCs w:val="44"/>
        </w:rPr>
      </w:pPr>
    </w:p>
    <w:p w14:paraId="79562064">
      <w:pPr>
        <w:widowControl/>
        <w:pBdr>
          <w:bottom w:val="single" w:color="auto" w:sz="6" w:space="1"/>
        </w:pBdr>
        <w:spacing w:before="312" w:beforeAutospacing="1" w:after="312" w:afterAutospacing="1" w:line="360" w:lineRule="auto"/>
        <w:ind w:firstLine="883"/>
        <w:jc w:val="center"/>
        <w:rPr>
          <w:rFonts w:eastAsia="宋体" w:cs="Times New Roman"/>
          <w:b/>
          <w:kern w:val="0"/>
          <w:sz w:val="44"/>
          <w:szCs w:val="44"/>
        </w:rPr>
      </w:pPr>
    </w:p>
    <w:p w14:paraId="54CC5238">
      <w:pPr>
        <w:widowControl/>
        <w:pBdr>
          <w:bottom w:val="single" w:color="auto" w:sz="6" w:space="1"/>
        </w:pBdr>
        <w:spacing w:before="312" w:beforeAutospacing="1" w:after="312" w:afterAutospacing="1" w:line="360" w:lineRule="auto"/>
        <w:ind w:firstLine="883"/>
        <w:jc w:val="center"/>
        <w:rPr>
          <w:rFonts w:eastAsia="宋体" w:cs="Times New Roman"/>
          <w:b/>
          <w:kern w:val="0"/>
          <w:sz w:val="44"/>
          <w:szCs w:val="44"/>
        </w:rPr>
      </w:pPr>
    </w:p>
    <w:p w14:paraId="575316E4">
      <w:pPr>
        <w:widowControl/>
        <w:pBdr>
          <w:bottom w:val="single" w:color="auto" w:sz="6" w:space="1"/>
        </w:pBdr>
        <w:spacing w:before="312" w:beforeAutospacing="1" w:after="312" w:afterAutospacing="1" w:line="360" w:lineRule="auto"/>
        <w:ind w:firstLine="883"/>
        <w:jc w:val="center"/>
        <w:rPr>
          <w:rFonts w:eastAsia="宋体" w:cs="Times New Roman"/>
          <w:b/>
          <w:kern w:val="0"/>
          <w:sz w:val="44"/>
          <w:szCs w:val="44"/>
        </w:rPr>
      </w:pPr>
    </w:p>
    <w:p w14:paraId="671C3557">
      <w:pPr>
        <w:widowControl/>
        <w:pBdr>
          <w:bottom w:val="single" w:color="auto" w:sz="6" w:space="1"/>
        </w:pBdr>
        <w:spacing w:before="312" w:beforeAutospacing="1" w:after="312" w:afterAutospacing="1" w:line="360" w:lineRule="auto"/>
        <w:ind w:firstLine="883"/>
        <w:jc w:val="center"/>
        <w:rPr>
          <w:rFonts w:eastAsia="宋体" w:cs="Times New Roman"/>
          <w:b/>
          <w:kern w:val="0"/>
          <w:sz w:val="44"/>
          <w:szCs w:val="44"/>
        </w:rPr>
      </w:pPr>
    </w:p>
    <w:p w14:paraId="38493079">
      <w:pPr>
        <w:rPr>
          <w:rFonts w:eastAsia="宋体" w:cs="Times New Roman"/>
          <w:b/>
          <w:bCs/>
        </w:rPr>
      </w:pPr>
      <w:bookmarkStart w:id="3" w:name="_Toc172221036"/>
      <w:bookmarkStart w:id="4" w:name="_Toc172282426"/>
      <w:bookmarkStart w:id="5" w:name="_Toc172278313"/>
      <w:bookmarkStart w:id="6" w:name="_Toc172282490"/>
      <w:bookmarkStart w:id="7" w:name="_Toc172281983"/>
      <w:bookmarkStart w:id="8" w:name="_Toc119400133"/>
      <w:bookmarkStart w:id="9" w:name="_Toc119398671"/>
      <w:bookmarkStart w:id="10" w:name="_Toc41590860"/>
      <w:bookmarkStart w:id="11" w:name="_Toc119379962"/>
      <w:bookmarkStart w:id="12" w:name="SectionMark0"/>
      <w:bookmarkStart w:id="13" w:name="_Toc25086523"/>
      <w:bookmarkStart w:id="14" w:name="_Toc36420910"/>
      <w:bookmarkStart w:id="15" w:name="_Toc120031715"/>
      <w:bookmarkStart w:id="16" w:name="SectionMark2"/>
      <w:bookmarkStart w:id="17" w:name="_Toc119943800"/>
      <w:bookmarkStart w:id="18" w:name="_Toc25180010"/>
      <w:bookmarkStart w:id="19" w:name="_Toc44282310"/>
      <w:r>
        <w:rPr>
          <w:rFonts w:eastAsia="宋体" w:cs="Times New Roman"/>
          <w:b/>
          <w:bCs/>
        </w:rPr>
        <w:br w:type="page"/>
      </w:r>
    </w:p>
    <w:p w14:paraId="25559F62">
      <w:pPr>
        <w:spacing w:line="360" w:lineRule="auto"/>
        <w:ind w:firstLine="0" w:firstLineChars="0"/>
        <w:jc w:val="center"/>
        <w:outlineLvl w:val="0"/>
        <w:rPr>
          <w:rFonts w:eastAsia="黑体" w:cs="Times New Roman"/>
        </w:rPr>
      </w:pPr>
      <w:r>
        <w:rPr>
          <w:rFonts w:eastAsia="宋体" w:cs="Times New Roman"/>
          <w:b/>
          <w:bCs/>
        </w:rPr>
        <w:t>前   言</w:t>
      </w:r>
      <w:bookmarkEnd w:id="3"/>
      <w:bookmarkEnd w:id="4"/>
      <w:bookmarkEnd w:id="5"/>
      <w:bookmarkEnd w:id="6"/>
      <w:bookmarkEnd w:id="7"/>
    </w:p>
    <w:p w14:paraId="40B2D465">
      <w:pPr>
        <w:spacing w:line="360" w:lineRule="auto"/>
        <w:ind w:firstLine="480" w:firstLineChars="0"/>
        <w:rPr>
          <w:rFonts w:eastAsia="宋体" w:cs="Times New Roman"/>
          <w:sz w:val="21"/>
          <w:szCs w:val="21"/>
        </w:rPr>
      </w:pPr>
    </w:p>
    <w:p w14:paraId="727059BF">
      <w:pPr>
        <w:spacing w:line="360" w:lineRule="auto"/>
        <w:ind w:firstLine="480" w:firstLineChars="0"/>
        <w:rPr>
          <w:rFonts w:eastAsia="宋体" w:cs="Times New Roman"/>
          <w:sz w:val="21"/>
          <w:szCs w:val="21"/>
        </w:rPr>
      </w:pPr>
      <w:r>
        <w:rPr>
          <w:rFonts w:eastAsia="宋体" w:cs="Times New Roman"/>
          <w:sz w:val="21"/>
          <w:szCs w:val="21"/>
        </w:rPr>
        <w:t>根据《安徽省市场监督管理局关于下达 2024 年第四批安徽省地方标准制修订计划的通知》（皖市监函〔2024〕524号）的要求，标准编制组经广泛调查研究，认真总结实践经验，参考国家和行业相关标准，在广泛征求意见的基础上，制定本标准。</w:t>
      </w:r>
    </w:p>
    <w:p w14:paraId="547D2134">
      <w:pPr>
        <w:spacing w:line="360" w:lineRule="auto"/>
        <w:ind w:firstLine="420"/>
        <w:rPr>
          <w:rFonts w:eastAsia="宋体" w:cs="Times New Roman"/>
          <w:sz w:val="21"/>
          <w:szCs w:val="21"/>
        </w:rPr>
      </w:pPr>
      <w:r>
        <w:rPr>
          <w:rFonts w:eastAsia="宋体" w:cs="Times New Roman"/>
          <w:sz w:val="21"/>
          <w:szCs w:val="21"/>
        </w:rPr>
        <w:t>本标准的主要内容包括：1.总则；2.</w:t>
      </w:r>
      <w:r>
        <w:rPr>
          <w:rFonts w:hint="eastAsia" w:eastAsia="宋体" w:cs="Times New Roman"/>
          <w:sz w:val="21"/>
          <w:szCs w:val="21"/>
        </w:rPr>
        <w:t>术语、符号和缩略语</w:t>
      </w:r>
      <w:r>
        <w:rPr>
          <w:rFonts w:eastAsia="宋体" w:cs="Times New Roman"/>
          <w:sz w:val="21"/>
          <w:szCs w:val="21"/>
        </w:rPr>
        <w:t>；3.基本规定；4.前端监测设施；5.信号传输设施；6.监测中心及</w:t>
      </w:r>
      <w:r>
        <w:rPr>
          <w:rFonts w:hint="eastAsia" w:eastAsia="宋体" w:cs="Times New Roman"/>
          <w:sz w:val="21"/>
          <w:szCs w:val="21"/>
        </w:rPr>
        <w:t>其他</w:t>
      </w:r>
      <w:r>
        <w:rPr>
          <w:rFonts w:eastAsia="宋体" w:cs="Times New Roman"/>
          <w:sz w:val="21"/>
          <w:szCs w:val="21"/>
        </w:rPr>
        <w:t>设施；7.验收</w:t>
      </w:r>
      <w:r>
        <w:rPr>
          <w:rFonts w:hint="eastAsia" w:eastAsia="宋体" w:cs="Times New Roman"/>
          <w:sz w:val="21"/>
          <w:szCs w:val="21"/>
        </w:rPr>
        <w:t>和交付</w:t>
      </w:r>
      <w:r>
        <w:rPr>
          <w:rFonts w:eastAsia="宋体" w:cs="Times New Roman"/>
          <w:sz w:val="21"/>
          <w:szCs w:val="21"/>
        </w:rPr>
        <w:t>。</w:t>
      </w:r>
    </w:p>
    <w:p w14:paraId="35550C86">
      <w:pPr>
        <w:spacing w:line="360" w:lineRule="auto"/>
        <w:ind w:firstLine="420"/>
        <w:rPr>
          <w:rFonts w:eastAsia="宋体" w:cs="Times New Roman"/>
          <w:sz w:val="21"/>
          <w:szCs w:val="21"/>
        </w:rPr>
      </w:pPr>
      <w:r>
        <w:rPr>
          <w:rFonts w:eastAsia="宋体" w:cs="Times New Roman"/>
          <w:sz w:val="21"/>
          <w:szCs w:val="21"/>
        </w:rPr>
        <w:t>本标准由安徽省住房和城乡建设厅归口管理，委托清华大学合肥公共安全研究院负责具体内容的解释。在执行过程中，请各单位注意总结经验，积累资料，如发现需要修改或补充之处，请将意见和建议反馈给清华大学合肥公共安全研究院（地址：安徽省合肥市经济技术开发区习友路5999号，邮政编码：230601，电子邮箱：THHl@tsinghua-hf.edu.cn）。</w:t>
      </w:r>
    </w:p>
    <w:p w14:paraId="046489D2">
      <w:pPr>
        <w:spacing w:line="360" w:lineRule="auto"/>
        <w:ind w:firstLine="420"/>
        <w:rPr>
          <w:rFonts w:eastAsia="宋体" w:cs="Times New Roman"/>
          <w:sz w:val="21"/>
          <w:szCs w:val="21"/>
        </w:rPr>
      </w:pPr>
      <w:r>
        <w:rPr>
          <w:rFonts w:eastAsia="宋体" w:cs="Times New Roman"/>
          <w:sz w:val="21"/>
          <w:szCs w:val="21"/>
        </w:rPr>
        <w:t>主编单位：</w:t>
      </w:r>
      <w:bookmarkStart w:id="20" w:name="_Hlk192795990"/>
      <w:r>
        <w:rPr>
          <w:rFonts w:eastAsia="宋体" w:cs="Times New Roman"/>
          <w:sz w:val="21"/>
          <w:szCs w:val="21"/>
        </w:rPr>
        <w:t>清华大学合肥公共安全研究院</w:t>
      </w:r>
      <w:bookmarkEnd w:id="20"/>
    </w:p>
    <w:p w14:paraId="44CDBAB1">
      <w:pPr>
        <w:spacing w:line="360" w:lineRule="auto"/>
        <w:ind w:firstLine="1434" w:firstLineChars="683"/>
        <w:rPr>
          <w:rFonts w:eastAsia="宋体" w:cs="Times New Roman"/>
          <w:sz w:val="21"/>
          <w:szCs w:val="21"/>
        </w:rPr>
      </w:pPr>
      <w:r>
        <w:rPr>
          <w:rFonts w:eastAsia="宋体" w:cs="Times New Roman"/>
          <w:sz w:val="21"/>
          <w:szCs w:val="21"/>
        </w:rPr>
        <w:t>合肥工业大学设计院（集团）有限公司</w:t>
      </w:r>
    </w:p>
    <w:p w14:paraId="5FAA397A">
      <w:pPr>
        <w:spacing w:line="360" w:lineRule="auto"/>
        <w:ind w:firstLine="420"/>
        <w:rPr>
          <w:rFonts w:eastAsia="宋体" w:cs="Times New Roman"/>
          <w:sz w:val="21"/>
          <w:szCs w:val="21"/>
        </w:rPr>
      </w:pPr>
      <w:r>
        <w:rPr>
          <w:rFonts w:eastAsia="宋体" w:cs="Times New Roman"/>
          <w:sz w:val="21"/>
          <w:szCs w:val="21"/>
        </w:rPr>
        <w:t>参编单位：合肥市城市生命线工程安全运行监测中心</w:t>
      </w:r>
    </w:p>
    <w:p w14:paraId="36481BB7">
      <w:pPr>
        <w:spacing w:line="360" w:lineRule="auto"/>
        <w:ind w:firstLine="1434" w:firstLineChars="683"/>
        <w:rPr>
          <w:rFonts w:eastAsia="宋体" w:cs="Times New Roman"/>
          <w:sz w:val="21"/>
          <w:szCs w:val="21"/>
        </w:rPr>
      </w:pPr>
      <w:r>
        <w:rPr>
          <w:rFonts w:eastAsia="宋体" w:cs="Times New Roman"/>
          <w:sz w:val="21"/>
          <w:szCs w:val="21"/>
        </w:rPr>
        <w:t>中国建筑标准设计研究院有限公司</w:t>
      </w:r>
    </w:p>
    <w:p w14:paraId="5285F2FB">
      <w:pPr>
        <w:spacing w:line="360" w:lineRule="auto"/>
        <w:ind w:firstLine="1434" w:firstLineChars="683"/>
        <w:rPr>
          <w:rFonts w:eastAsia="宋体" w:cs="Times New Roman"/>
          <w:sz w:val="21"/>
          <w:szCs w:val="21"/>
        </w:rPr>
      </w:pPr>
      <w:r>
        <w:rPr>
          <w:rFonts w:eastAsia="宋体" w:cs="Times New Roman"/>
          <w:sz w:val="21"/>
          <w:szCs w:val="21"/>
        </w:rPr>
        <w:t>安徽省建筑设计研究总院股份有限公司</w:t>
      </w:r>
    </w:p>
    <w:p w14:paraId="632D093F">
      <w:pPr>
        <w:spacing w:line="360" w:lineRule="auto"/>
        <w:ind w:firstLine="1434" w:firstLineChars="683"/>
        <w:rPr>
          <w:rFonts w:eastAsia="宋体" w:cs="Times New Roman"/>
          <w:sz w:val="21"/>
          <w:szCs w:val="21"/>
        </w:rPr>
      </w:pPr>
      <w:r>
        <w:rPr>
          <w:rFonts w:eastAsia="宋体" w:cs="Times New Roman"/>
          <w:sz w:val="21"/>
          <w:szCs w:val="21"/>
        </w:rPr>
        <w:t>城市生命线产业发展集团（安徽）有限公司</w:t>
      </w:r>
    </w:p>
    <w:p w14:paraId="5CC058D9">
      <w:pPr>
        <w:spacing w:line="360" w:lineRule="auto"/>
        <w:ind w:firstLine="1434" w:firstLineChars="683"/>
        <w:rPr>
          <w:rFonts w:eastAsia="宋体" w:cs="Times New Roman"/>
          <w:sz w:val="21"/>
          <w:szCs w:val="21"/>
        </w:rPr>
      </w:pPr>
      <w:r>
        <w:rPr>
          <w:rFonts w:eastAsia="宋体" w:cs="Times New Roman"/>
          <w:sz w:val="21"/>
          <w:szCs w:val="21"/>
        </w:rPr>
        <w:t>安徽省建筑科学研究设计院</w:t>
      </w:r>
    </w:p>
    <w:p w14:paraId="11DE05A3">
      <w:pPr>
        <w:spacing w:line="360" w:lineRule="auto"/>
        <w:ind w:firstLine="1434" w:firstLineChars="683"/>
        <w:rPr>
          <w:rFonts w:eastAsia="宋体" w:cs="Times New Roman"/>
          <w:sz w:val="21"/>
          <w:szCs w:val="21"/>
        </w:rPr>
      </w:pPr>
      <w:r>
        <w:rPr>
          <w:rFonts w:eastAsia="宋体" w:cs="Times New Roman"/>
          <w:sz w:val="21"/>
          <w:szCs w:val="21"/>
        </w:rPr>
        <w:t>合肥工业大学</w:t>
      </w:r>
    </w:p>
    <w:p w14:paraId="3DCD439F">
      <w:pPr>
        <w:spacing w:line="360" w:lineRule="auto"/>
        <w:ind w:firstLine="1434" w:firstLineChars="683"/>
        <w:rPr>
          <w:rFonts w:eastAsia="宋体" w:cs="Times New Roman"/>
          <w:sz w:val="21"/>
          <w:szCs w:val="21"/>
        </w:rPr>
      </w:pPr>
      <w:r>
        <w:rPr>
          <w:rFonts w:eastAsia="宋体" w:cs="Times New Roman"/>
          <w:sz w:val="21"/>
          <w:szCs w:val="21"/>
        </w:rPr>
        <w:t>合肥泽众城市智能科技有限公司</w:t>
      </w:r>
    </w:p>
    <w:p w14:paraId="3B099137">
      <w:pPr>
        <w:spacing w:line="360" w:lineRule="auto"/>
        <w:ind w:firstLine="1434" w:firstLineChars="683"/>
        <w:rPr>
          <w:rFonts w:eastAsia="宋体" w:cs="Times New Roman"/>
          <w:sz w:val="21"/>
          <w:szCs w:val="21"/>
        </w:rPr>
      </w:pPr>
      <w:r>
        <w:rPr>
          <w:rFonts w:eastAsia="宋体" w:cs="Times New Roman"/>
          <w:sz w:val="21"/>
          <w:szCs w:val="21"/>
        </w:rPr>
        <w:t>华为技术有限公司</w:t>
      </w:r>
    </w:p>
    <w:p w14:paraId="29F573FF">
      <w:pPr>
        <w:spacing w:line="360" w:lineRule="auto"/>
        <w:ind w:firstLine="1434" w:firstLineChars="683"/>
        <w:rPr>
          <w:rFonts w:eastAsia="宋体" w:cs="Times New Roman"/>
          <w:sz w:val="21"/>
          <w:szCs w:val="21"/>
        </w:rPr>
      </w:pPr>
      <w:r>
        <w:rPr>
          <w:rFonts w:eastAsia="宋体" w:cs="Times New Roman"/>
          <w:sz w:val="21"/>
          <w:szCs w:val="21"/>
        </w:rPr>
        <w:t>中国能源建设集团安徽省电力设计院有限公司</w:t>
      </w:r>
    </w:p>
    <w:p w14:paraId="6ED388F7">
      <w:pPr>
        <w:spacing w:line="360" w:lineRule="auto"/>
        <w:ind w:firstLine="1470" w:firstLineChars="700"/>
        <w:rPr>
          <w:rFonts w:eastAsia="宋体" w:cs="Times New Roman"/>
          <w:sz w:val="21"/>
          <w:szCs w:val="21"/>
        </w:rPr>
      </w:pPr>
    </w:p>
    <w:p w14:paraId="3FC9AFB7">
      <w:pPr>
        <w:spacing w:line="360" w:lineRule="auto"/>
        <w:ind w:firstLine="420"/>
        <w:rPr>
          <w:rFonts w:eastAsia="宋体" w:cs="Times New Roman"/>
          <w:sz w:val="21"/>
          <w:szCs w:val="21"/>
        </w:rPr>
      </w:pPr>
      <w:r>
        <w:rPr>
          <w:rFonts w:eastAsia="宋体" w:cs="Times New Roman"/>
          <w:sz w:val="21"/>
          <w:szCs w:val="21"/>
        </w:rPr>
        <w:t>主要起草人员：</w:t>
      </w:r>
      <w:r>
        <w:rPr>
          <w:rFonts w:hint="eastAsia" w:eastAsia="宋体" w:cs="Times New Roman"/>
          <w:sz w:val="21"/>
          <w:szCs w:val="21"/>
        </w:rPr>
        <w:t xml:space="preserve">孟  磊   韩心星   梁光华   汤  威   郑  驹   万  力   付  明  </w:t>
      </w:r>
    </w:p>
    <w:p w14:paraId="5D9ECEF4">
      <w:pPr>
        <w:spacing w:line="360" w:lineRule="auto"/>
        <w:ind w:firstLine="1879" w:firstLineChars="895"/>
        <w:rPr>
          <w:rFonts w:eastAsia="宋体" w:cs="Times New Roman"/>
          <w:sz w:val="21"/>
          <w:szCs w:val="21"/>
        </w:rPr>
      </w:pPr>
      <w:r>
        <w:rPr>
          <w:rFonts w:hint="eastAsia" w:eastAsia="宋体" w:cs="Times New Roman"/>
          <w:sz w:val="21"/>
          <w:szCs w:val="21"/>
        </w:rPr>
        <w:t xml:space="preserve">祝  健   张  健   贾鲁峰   汪正兴   高晓明   王丽娟   张壮壮  </w:t>
      </w:r>
    </w:p>
    <w:p w14:paraId="42C6C7F2">
      <w:pPr>
        <w:spacing w:line="360" w:lineRule="auto"/>
        <w:ind w:firstLine="1879" w:firstLineChars="895"/>
        <w:rPr>
          <w:rFonts w:eastAsia="宋体" w:cs="Times New Roman"/>
          <w:sz w:val="21"/>
          <w:szCs w:val="21"/>
        </w:rPr>
      </w:pPr>
      <w:r>
        <w:rPr>
          <w:rFonts w:hint="eastAsia" w:eastAsia="宋体" w:cs="Times New Roman"/>
          <w:sz w:val="21"/>
          <w:szCs w:val="21"/>
        </w:rPr>
        <w:t xml:space="preserve">李海培   李帅豪   程之宽   李  猛   孟  陈   余  波   杜军虎  </w:t>
      </w:r>
    </w:p>
    <w:p w14:paraId="44CD208C">
      <w:pPr>
        <w:spacing w:line="360" w:lineRule="auto"/>
        <w:ind w:firstLine="1879" w:firstLineChars="895"/>
        <w:rPr>
          <w:rFonts w:eastAsia="宋体" w:cs="Times New Roman"/>
          <w:sz w:val="21"/>
          <w:szCs w:val="21"/>
        </w:rPr>
      </w:pPr>
      <w:r>
        <w:rPr>
          <w:rFonts w:hint="eastAsia" w:eastAsia="宋体" w:cs="Times New Roman"/>
          <w:sz w:val="21"/>
          <w:szCs w:val="21"/>
        </w:rPr>
        <w:t xml:space="preserve">刘  波   韩  运   汤  凯   郑晓浩   孙  路   李  舒   周  洋  </w:t>
      </w:r>
    </w:p>
    <w:p w14:paraId="269F0873">
      <w:pPr>
        <w:spacing w:line="360" w:lineRule="auto"/>
        <w:ind w:firstLine="1879" w:firstLineChars="895"/>
        <w:rPr>
          <w:rFonts w:eastAsia="宋体" w:cs="Times New Roman"/>
          <w:sz w:val="21"/>
          <w:szCs w:val="21"/>
        </w:rPr>
      </w:pPr>
      <w:r>
        <w:rPr>
          <w:rFonts w:hint="eastAsia" w:eastAsia="宋体" w:cs="Times New Roman"/>
          <w:sz w:val="21"/>
          <w:szCs w:val="21"/>
        </w:rPr>
        <w:t>高永新   张  京   伍亚虎   汪  强   王  琨</w:t>
      </w:r>
    </w:p>
    <w:p w14:paraId="1122AB03">
      <w:pPr>
        <w:spacing w:line="360" w:lineRule="auto"/>
        <w:ind w:firstLine="420"/>
        <w:rPr>
          <w:rFonts w:eastAsia="宋体" w:cs="Times New Roman"/>
          <w:b/>
          <w:sz w:val="21"/>
          <w:szCs w:val="21"/>
        </w:rPr>
      </w:pPr>
      <w:r>
        <w:rPr>
          <w:rFonts w:eastAsia="宋体" w:cs="Times New Roman"/>
          <w:sz w:val="21"/>
          <w:szCs w:val="21"/>
        </w:rPr>
        <w:t>主要审查人员：</w:t>
      </w:r>
    </w:p>
    <w:p w14:paraId="5BB0A75A">
      <w:pPr>
        <w:spacing w:line="360" w:lineRule="auto"/>
        <w:ind w:firstLine="480"/>
        <w:rPr>
          <w:rFonts w:eastAsia="宋体" w:cs="Times New Roman"/>
          <w:sz w:val="24"/>
          <w:szCs w:val="24"/>
          <w:lang w:bidi="ar"/>
        </w:rPr>
      </w:pPr>
    </w:p>
    <w:p w14:paraId="5005324C">
      <w:pPr>
        <w:widowControl/>
        <w:ind w:firstLine="0" w:firstLineChars="0"/>
        <w:jc w:val="left"/>
        <w:rPr>
          <w:rFonts w:eastAsia="宋体" w:cs="Times New Roman"/>
          <w:sz w:val="24"/>
          <w:szCs w:val="24"/>
          <w:lang w:bidi="ar"/>
        </w:rPr>
      </w:pPr>
      <w:r>
        <w:rPr>
          <w:rFonts w:eastAsia="宋体" w:cs="Times New Roman"/>
          <w:sz w:val="24"/>
          <w:szCs w:val="24"/>
          <w:lang w:bidi="ar"/>
        </w:rPr>
        <w:br w:type="page"/>
      </w:r>
    </w:p>
    <w:p w14:paraId="3335C763">
      <w:pPr>
        <w:pStyle w:val="2"/>
        <w:spacing w:before="340" w:line="360" w:lineRule="auto"/>
        <w:jc w:val="center"/>
        <w:rPr>
          <w:rFonts w:ascii="宋体" w:hAnsi="宋体" w:eastAsia="宋体"/>
          <w:sz w:val="21"/>
          <w:szCs w:val="21"/>
        </w:rPr>
      </w:pPr>
      <w:bookmarkStart w:id="21" w:name="_Toc192256285"/>
      <w:bookmarkStart w:id="22" w:name="_Toc192799290"/>
      <w:r>
        <w:rPr>
          <w:rFonts w:eastAsia="宋体" w:cs="Times New Roman"/>
          <w:b/>
          <w:color w:val="000000" w:themeColor="text1"/>
          <w:sz w:val="36"/>
          <w:szCs w:val="36"/>
          <w14:textFill>
            <w14:solidFill>
              <w14:schemeClr w14:val="tx1"/>
            </w14:solidFill>
          </w14:textFill>
        </w:rPr>
        <w:t>目  次</w:t>
      </w:r>
      <w:bookmarkEnd w:id="21"/>
      <w:bookmarkEnd w:id="22"/>
      <w:bookmarkStart w:id="23" w:name="_Toc8101"/>
      <w:bookmarkStart w:id="24" w:name="_Toc18781"/>
      <w:bookmarkStart w:id="25" w:name="_Toc4595"/>
      <w:bookmarkStart w:id="26" w:name="_Toc172221037"/>
      <w:bookmarkStart w:id="27" w:name="_Toc162779515"/>
      <w:bookmarkStart w:id="28" w:name="_Toc392170397"/>
      <w:bookmarkStart w:id="29" w:name="_Toc422257501"/>
      <w:r>
        <w:rPr>
          <w:rFonts w:ascii="宋体" w:hAnsi="宋体" w:eastAsia="宋体" w:cs="Times New Roman"/>
          <w:sz w:val="21"/>
          <w:szCs w:val="21"/>
        </w:rPr>
        <w:fldChar w:fldCharType="begin"/>
      </w:r>
      <w:r>
        <w:rPr>
          <w:rFonts w:ascii="宋体" w:hAnsi="宋体" w:eastAsia="宋体" w:cs="Times New Roman"/>
          <w:sz w:val="21"/>
          <w:szCs w:val="21"/>
        </w:rPr>
        <w:instrText xml:space="preserve"> TOC \o "1-2" \h \z \u </w:instrText>
      </w:r>
      <w:r>
        <w:rPr>
          <w:rFonts w:ascii="宋体" w:hAnsi="宋体" w:eastAsia="宋体" w:cs="Times New Roman"/>
          <w:sz w:val="21"/>
          <w:szCs w:val="21"/>
        </w:rPr>
        <w:fldChar w:fldCharType="separate"/>
      </w:r>
    </w:p>
    <w:p w14:paraId="0CF130C5">
      <w:pPr>
        <w:pStyle w:val="14"/>
        <w:tabs>
          <w:tab w:val="right" w:leader="dot" w:pos="9632"/>
        </w:tabs>
        <w:spacing w:before="120" w:after="120"/>
        <w:rPr>
          <w:rFonts w:ascii="宋体" w:hAnsi="宋体" w:eastAsia="宋体" w:cs="宋体"/>
          <w:b/>
          <w:bCs/>
          <w:sz w:val="20"/>
          <w:szCs w:val="20"/>
        </w:rPr>
      </w:pPr>
      <w:r>
        <w:fldChar w:fldCharType="begin"/>
      </w:r>
      <w:r>
        <w:instrText xml:space="preserve"> HYPERLINK \l "_Toc192799291" </w:instrText>
      </w:r>
      <w:r>
        <w:fldChar w:fldCharType="separate"/>
      </w:r>
      <w:r>
        <w:rPr>
          <w:rFonts w:eastAsia="宋体" w:cs="Times New Roman"/>
          <w:b/>
          <w:bCs/>
          <w:sz w:val="20"/>
          <w:szCs w:val="20"/>
        </w:rPr>
        <w:t xml:space="preserve">1 </w:t>
      </w:r>
      <w:r>
        <w:rPr>
          <w:rFonts w:hint="eastAsia" w:ascii="宋体" w:hAnsi="宋体" w:eastAsia="宋体" w:cs="宋体"/>
          <w:b/>
          <w:bCs/>
          <w:sz w:val="20"/>
          <w:szCs w:val="20"/>
        </w:rPr>
        <w:t>总 则</w:t>
      </w:r>
      <w:r>
        <w:rPr>
          <w:rFonts w:hint="eastAsia" w:ascii="宋体" w:hAnsi="宋体" w:eastAsia="宋体" w:cs="宋体"/>
          <w:b/>
          <w:bCs/>
          <w:sz w:val="20"/>
          <w:szCs w:val="20"/>
        </w:rPr>
        <w:tab/>
      </w:r>
      <w:r>
        <w:rPr>
          <w:rFonts w:hint="eastAsia" w:ascii="宋体" w:hAnsi="宋体" w:eastAsia="宋体" w:cs="宋体"/>
          <w:b/>
          <w:bCs/>
          <w:sz w:val="20"/>
          <w:szCs w:val="20"/>
        </w:rPr>
        <w:fldChar w:fldCharType="end"/>
      </w:r>
      <w:r>
        <w:rPr>
          <w:rFonts w:hint="eastAsia" w:ascii="宋体" w:hAnsi="宋体" w:eastAsia="宋体" w:cs="宋体"/>
          <w:b/>
          <w:bCs/>
          <w:sz w:val="20"/>
          <w:szCs w:val="20"/>
        </w:rPr>
        <w:t>5</w:t>
      </w:r>
    </w:p>
    <w:p w14:paraId="6A0DC6FF">
      <w:pPr>
        <w:pStyle w:val="14"/>
        <w:tabs>
          <w:tab w:val="right" w:leader="dot" w:pos="9632"/>
        </w:tabs>
        <w:spacing w:before="120" w:after="120"/>
        <w:rPr>
          <w:rFonts w:ascii="宋体" w:hAnsi="宋体" w:eastAsia="宋体"/>
          <w:bCs/>
          <w:sz w:val="21"/>
          <w:szCs w:val="21"/>
        </w:rPr>
      </w:pPr>
      <w:r>
        <w:fldChar w:fldCharType="begin"/>
      </w:r>
      <w:r>
        <w:instrText xml:space="preserve"> HYPERLINK \l "_Toc192799292" </w:instrText>
      </w:r>
      <w:r>
        <w:fldChar w:fldCharType="separate"/>
      </w:r>
      <w:r>
        <w:rPr>
          <w:rFonts w:eastAsia="宋体" w:cs="Times New Roman"/>
          <w:b/>
          <w:bCs/>
          <w:sz w:val="20"/>
          <w:szCs w:val="20"/>
        </w:rPr>
        <w:t xml:space="preserve">2 </w:t>
      </w:r>
      <w:r>
        <w:rPr>
          <w:rFonts w:hint="eastAsia" w:ascii="宋体" w:hAnsi="宋体" w:eastAsia="宋体" w:cs="宋体"/>
          <w:b/>
          <w:bCs/>
          <w:sz w:val="20"/>
          <w:szCs w:val="20"/>
        </w:rPr>
        <w:t>术语、符号和缩略语</w:t>
      </w:r>
      <w:r>
        <w:rPr>
          <w:rFonts w:hint="eastAsia" w:ascii="宋体" w:hAnsi="宋体" w:eastAsia="宋体" w:cs="宋体"/>
          <w:b/>
          <w:bCs/>
          <w:sz w:val="20"/>
          <w:szCs w:val="20"/>
        </w:rPr>
        <w:tab/>
      </w:r>
      <w:r>
        <w:rPr>
          <w:rFonts w:hint="eastAsia" w:ascii="宋体" w:hAnsi="宋体" w:eastAsia="宋体" w:cs="宋体"/>
          <w:b/>
          <w:bCs/>
          <w:sz w:val="20"/>
          <w:szCs w:val="20"/>
        </w:rPr>
        <w:fldChar w:fldCharType="end"/>
      </w:r>
      <w:r>
        <w:rPr>
          <w:rFonts w:hint="eastAsia" w:ascii="宋体" w:hAnsi="宋体" w:eastAsia="宋体" w:cs="宋体"/>
          <w:b/>
          <w:bCs/>
          <w:sz w:val="20"/>
          <w:szCs w:val="20"/>
        </w:rPr>
        <w:t>6</w:t>
      </w:r>
    </w:p>
    <w:p w14:paraId="4AAF5A24">
      <w:pPr>
        <w:pStyle w:val="15"/>
        <w:tabs>
          <w:tab w:val="right" w:leader="dot" w:pos="9632"/>
        </w:tabs>
        <w:ind w:left="210" w:leftChars="0"/>
        <w:rPr>
          <w:rFonts w:ascii="宋体" w:hAnsi="宋体" w:eastAsia="宋体" w:cs="宋体"/>
          <w:sz w:val="20"/>
          <w:szCs w:val="20"/>
        </w:rPr>
      </w:pPr>
      <w:r>
        <w:fldChar w:fldCharType="begin"/>
      </w:r>
      <w:r>
        <w:instrText xml:space="preserve"> HYPERLINK \l "_Toc192799293" </w:instrText>
      </w:r>
      <w:r>
        <w:fldChar w:fldCharType="separate"/>
      </w:r>
      <w:r>
        <w:rPr>
          <w:rFonts w:eastAsia="宋体" w:cs="Times New Roman"/>
          <w:sz w:val="20"/>
          <w:szCs w:val="20"/>
        </w:rPr>
        <w:t>2.1</w:t>
      </w:r>
      <w:r>
        <w:rPr>
          <w:rFonts w:hint="eastAsia" w:ascii="宋体" w:hAnsi="宋体" w:eastAsia="宋体" w:cs="宋体"/>
          <w:sz w:val="20"/>
          <w:szCs w:val="20"/>
        </w:rPr>
        <w:t xml:space="preserve"> 术  语</w:t>
      </w:r>
      <w:r>
        <w:rPr>
          <w:rFonts w:hint="eastAsia" w:ascii="宋体" w:hAnsi="宋体" w:eastAsia="宋体" w:cs="宋体"/>
          <w:sz w:val="20"/>
          <w:szCs w:val="20"/>
        </w:rPr>
        <w:tab/>
      </w:r>
      <w:r>
        <w:rPr>
          <w:rFonts w:hint="eastAsia" w:ascii="宋体" w:hAnsi="宋体" w:eastAsia="宋体" w:cs="宋体"/>
          <w:sz w:val="20"/>
          <w:szCs w:val="20"/>
        </w:rPr>
        <w:fldChar w:fldCharType="end"/>
      </w:r>
      <w:r>
        <w:rPr>
          <w:rFonts w:hint="eastAsia" w:ascii="宋体" w:hAnsi="宋体" w:eastAsia="宋体" w:cs="宋体"/>
          <w:sz w:val="20"/>
          <w:szCs w:val="20"/>
        </w:rPr>
        <w:t>6</w:t>
      </w:r>
    </w:p>
    <w:p w14:paraId="557796F7">
      <w:pPr>
        <w:pStyle w:val="15"/>
        <w:tabs>
          <w:tab w:val="right" w:leader="dot" w:pos="9632"/>
        </w:tabs>
        <w:ind w:left="210" w:leftChars="0"/>
        <w:rPr>
          <w:rFonts w:ascii="宋体" w:hAnsi="宋体" w:eastAsia="宋体" w:cs="宋体"/>
          <w:sz w:val="20"/>
          <w:szCs w:val="20"/>
        </w:rPr>
      </w:pPr>
      <w:r>
        <w:fldChar w:fldCharType="begin"/>
      </w:r>
      <w:r>
        <w:instrText xml:space="preserve"> HYPERLINK \l "_Toc192799294" </w:instrText>
      </w:r>
      <w:r>
        <w:fldChar w:fldCharType="separate"/>
      </w:r>
      <w:r>
        <w:rPr>
          <w:rFonts w:eastAsia="宋体" w:cs="Times New Roman"/>
          <w:sz w:val="20"/>
          <w:szCs w:val="20"/>
        </w:rPr>
        <w:t>2.2</w:t>
      </w:r>
      <w:r>
        <w:rPr>
          <w:rFonts w:hint="eastAsia" w:ascii="宋体" w:hAnsi="宋体" w:eastAsia="宋体" w:cs="宋体"/>
          <w:sz w:val="20"/>
          <w:szCs w:val="20"/>
        </w:rPr>
        <w:t xml:space="preserve"> 符  号</w:t>
      </w:r>
      <w:r>
        <w:rPr>
          <w:rFonts w:hint="eastAsia" w:ascii="宋体" w:hAnsi="宋体" w:eastAsia="宋体" w:cs="宋体"/>
          <w:sz w:val="20"/>
          <w:szCs w:val="20"/>
        </w:rPr>
        <w:tab/>
      </w:r>
      <w:r>
        <w:rPr>
          <w:rFonts w:hint="eastAsia" w:ascii="宋体" w:hAnsi="宋体" w:eastAsia="宋体" w:cs="宋体"/>
          <w:sz w:val="20"/>
          <w:szCs w:val="20"/>
        </w:rPr>
        <w:fldChar w:fldCharType="end"/>
      </w:r>
      <w:r>
        <w:rPr>
          <w:rFonts w:hint="eastAsia" w:ascii="宋体" w:hAnsi="宋体" w:eastAsia="宋体" w:cs="宋体"/>
          <w:sz w:val="20"/>
          <w:szCs w:val="20"/>
        </w:rPr>
        <w:t>7</w:t>
      </w:r>
    </w:p>
    <w:p w14:paraId="3F49349D">
      <w:pPr>
        <w:pStyle w:val="15"/>
        <w:tabs>
          <w:tab w:val="right" w:leader="dot" w:pos="9632"/>
        </w:tabs>
        <w:ind w:left="210" w:leftChars="0"/>
        <w:rPr>
          <w:rFonts w:ascii="宋体" w:hAnsi="宋体" w:eastAsia="宋体" w:cs="宋体"/>
          <w:sz w:val="20"/>
          <w:szCs w:val="20"/>
        </w:rPr>
      </w:pPr>
      <w:r>
        <w:fldChar w:fldCharType="begin"/>
      </w:r>
      <w:r>
        <w:instrText xml:space="preserve"> HYPERLINK \l "_Toc192799295" </w:instrText>
      </w:r>
      <w:r>
        <w:fldChar w:fldCharType="separate"/>
      </w:r>
      <w:r>
        <w:rPr>
          <w:rFonts w:eastAsia="宋体" w:cs="Times New Roman"/>
          <w:sz w:val="20"/>
          <w:szCs w:val="20"/>
        </w:rPr>
        <w:t>2.3</w:t>
      </w:r>
      <w:r>
        <w:rPr>
          <w:rFonts w:hint="eastAsia" w:ascii="宋体" w:hAnsi="宋体" w:eastAsia="宋体" w:cs="宋体"/>
          <w:sz w:val="20"/>
          <w:szCs w:val="20"/>
        </w:rPr>
        <w:t xml:space="preserve"> 缩 略 语</w:t>
      </w:r>
      <w:r>
        <w:rPr>
          <w:rFonts w:hint="eastAsia" w:ascii="宋体" w:hAnsi="宋体" w:eastAsia="宋体" w:cs="宋体"/>
          <w:sz w:val="20"/>
          <w:szCs w:val="20"/>
        </w:rPr>
        <w:tab/>
      </w:r>
      <w:r>
        <w:rPr>
          <w:rFonts w:hint="eastAsia" w:ascii="宋体" w:hAnsi="宋体" w:eastAsia="宋体" w:cs="宋体"/>
          <w:sz w:val="20"/>
          <w:szCs w:val="20"/>
        </w:rPr>
        <w:fldChar w:fldCharType="end"/>
      </w:r>
      <w:r>
        <w:rPr>
          <w:rFonts w:hint="eastAsia" w:ascii="宋体" w:hAnsi="宋体" w:eastAsia="宋体" w:cs="宋体"/>
          <w:sz w:val="20"/>
          <w:szCs w:val="20"/>
        </w:rPr>
        <w:t>8</w:t>
      </w:r>
    </w:p>
    <w:p w14:paraId="3338C26D">
      <w:pPr>
        <w:pStyle w:val="14"/>
        <w:tabs>
          <w:tab w:val="right" w:leader="dot" w:pos="9632"/>
        </w:tabs>
        <w:spacing w:before="120" w:after="120"/>
        <w:rPr>
          <w:rFonts w:ascii="宋体" w:hAnsi="宋体" w:eastAsia="宋体" w:cs="宋体"/>
          <w:b/>
          <w:bCs/>
          <w:sz w:val="20"/>
          <w:szCs w:val="20"/>
        </w:rPr>
      </w:pPr>
      <w:r>
        <w:fldChar w:fldCharType="begin"/>
      </w:r>
      <w:r>
        <w:instrText xml:space="preserve"> HYPERLINK \l "_Toc192799296" </w:instrText>
      </w:r>
      <w:r>
        <w:fldChar w:fldCharType="separate"/>
      </w:r>
      <w:r>
        <w:rPr>
          <w:rFonts w:eastAsia="宋体" w:cs="Times New Roman"/>
          <w:b/>
          <w:bCs/>
          <w:sz w:val="20"/>
          <w:szCs w:val="20"/>
        </w:rPr>
        <w:t>3</w:t>
      </w:r>
      <w:r>
        <w:rPr>
          <w:rFonts w:hint="eastAsia" w:ascii="宋体" w:hAnsi="宋体" w:eastAsia="宋体" w:cs="宋体"/>
          <w:b/>
          <w:bCs/>
          <w:sz w:val="20"/>
          <w:szCs w:val="20"/>
        </w:rPr>
        <w:t xml:space="preserve"> 基本规定</w:t>
      </w:r>
      <w:r>
        <w:rPr>
          <w:rFonts w:hint="eastAsia" w:ascii="宋体" w:hAnsi="宋体" w:eastAsia="宋体" w:cs="宋体"/>
          <w:b/>
          <w:bCs/>
          <w:sz w:val="20"/>
          <w:szCs w:val="20"/>
        </w:rPr>
        <w:tab/>
      </w:r>
      <w:r>
        <w:rPr>
          <w:rFonts w:hint="eastAsia" w:ascii="宋体" w:hAnsi="宋体" w:eastAsia="宋体" w:cs="宋体"/>
          <w:b/>
          <w:bCs/>
          <w:sz w:val="20"/>
          <w:szCs w:val="20"/>
        </w:rPr>
        <w:fldChar w:fldCharType="end"/>
      </w:r>
      <w:r>
        <w:rPr>
          <w:rFonts w:hint="eastAsia" w:ascii="宋体" w:hAnsi="宋体" w:eastAsia="宋体" w:cs="宋体"/>
          <w:b/>
          <w:bCs/>
          <w:sz w:val="20"/>
          <w:szCs w:val="20"/>
        </w:rPr>
        <w:t>9</w:t>
      </w:r>
    </w:p>
    <w:p w14:paraId="111EEEE8">
      <w:pPr>
        <w:pStyle w:val="14"/>
        <w:tabs>
          <w:tab w:val="right" w:leader="dot" w:pos="9632"/>
        </w:tabs>
        <w:spacing w:before="120" w:after="120"/>
        <w:rPr>
          <w:rFonts w:ascii="宋体" w:hAnsi="宋体" w:eastAsia="宋体"/>
          <w:bCs/>
          <w:sz w:val="21"/>
          <w:szCs w:val="21"/>
        </w:rPr>
      </w:pPr>
      <w:r>
        <w:fldChar w:fldCharType="begin"/>
      </w:r>
      <w:r>
        <w:instrText xml:space="preserve"> HYPERLINK \l "_Toc192799297" </w:instrText>
      </w:r>
      <w:r>
        <w:fldChar w:fldCharType="separate"/>
      </w:r>
      <w:r>
        <w:rPr>
          <w:rFonts w:eastAsia="宋体" w:cs="Times New Roman"/>
          <w:b/>
          <w:bCs/>
          <w:sz w:val="20"/>
          <w:szCs w:val="20"/>
        </w:rPr>
        <w:t>4</w:t>
      </w:r>
      <w:r>
        <w:rPr>
          <w:rFonts w:hint="eastAsia" w:ascii="宋体" w:hAnsi="宋体" w:eastAsia="宋体" w:cs="宋体"/>
          <w:b/>
          <w:bCs/>
          <w:sz w:val="20"/>
          <w:szCs w:val="20"/>
        </w:rPr>
        <w:t xml:space="preserve"> 前端监测设施</w:t>
      </w:r>
      <w:r>
        <w:rPr>
          <w:rFonts w:hint="eastAsia" w:ascii="宋体" w:hAnsi="宋体" w:eastAsia="宋体" w:cs="宋体"/>
          <w:b/>
          <w:bCs/>
          <w:sz w:val="20"/>
          <w:szCs w:val="20"/>
        </w:rPr>
        <w:tab/>
      </w:r>
      <w:r>
        <w:rPr>
          <w:rFonts w:hint="eastAsia" w:ascii="宋体" w:hAnsi="宋体" w:eastAsia="宋体" w:cs="宋体"/>
          <w:b/>
          <w:bCs/>
          <w:sz w:val="20"/>
          <w:szCs w:val="20"/>
        </w:rPr>
        <w:fldChar w:fldCharType="end"/>
      </w:r>
      <w:r>
        <w:rPr>
          <w:rFonts w:hint="eastAsia" w:ascii="宋体" w:hAnsi="宋体" w:eastAsia="宋体" w:cs="宋体"/>
          <w:b/>
          <w:bCs/>
          <w:sz w:val="20"/>
          <w:szCs w:val="20"/>
        </w:rPr>
        <w:t>10</w:t>
      </w:r>
    </w:p>
    <w:p w14:paraId="33CBEE8B">
      <w:pPr>
        <w:pStyle w:val="15"/>
        <w:tabs>
          <w:tab w:val="right" w:leader="dot" w:pos="9632"/>
        </w:tabs>
        <w:ind w:left="210" w:leftChars="0"/>
        <w:rPr>
          <w:rFonts w:ascii="宋体" w:hAnsi="宋体" w:eastAsia="宋体" w:cs="宋体"/>
          <w:sz w:val="20"/>
          <w:szCs w:val="20"/>
        </w:rPr>
      </w:pPr>
      <w:r>
        <w:fldChar w:fldCharType="begin"/>
      </w:r>
      <w:r>
        <w:instrText xml:space="preserve"> HYPERLINK \l "_Toc192799298" </w:instrText>
      </w:r>
      <w:r>
        <w:fldChar w:fldCharType="separate"/>
      </w:r>
      <w:r>
        <w:rPr>
          <w:rFonts w:eastAsia="宋体" w:cs="Times New Roman"/>
          <w:sz w:val="20"/>
          <w:szCs w:val="20"/>
        </w:rPr>
        <w:t>4.1</w:t>
      </w:r>
      <w:r>
        <w:rPr>
          <w:rFonts w:hint="eastAsia" w:ascii="宋体" w:hAnsi="宋体" w:eastAsia="宋体" w:cs="宋体"/>
          <w:sz w:val="20"/>
          <w:szCs w:val="20"/>
        </w:rPr>
        <w:t xml:space="preserve"> 一般规定</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_Toc192799298 \h </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0</w:t>
      </w:r>
    </w:p>
    <w:p w14:paraId="6F8C3FAB">
      <w:pPr>
        <w:pStyle w:val="15"/>
        <w:tabs>
          <w:tab w:val="right" w:leader="dot" w:pos="9632"/>
        </w:tabs>
        <w:ind w:left="210" w:leftChars="0"/>
        <w:rPr>
          <w:rFonts w:ascii="宋体" w:hAnsi="宋体" w:eastAsia="宋体" w:cs="宋体"/>
          <w:sz w:val="20"/>
          <w:szCs w:val="20"/>
        </w:rPr>
      </w:pPr>
      <w:r>
        <w:fldChar w:fldCharType="begin"/>
      </w:r>
      <w:r>
        <w:instrText xml:space="preserve"> HYPERLINK \l "_Toc192799299" </w:instrText>
      </w:r>
      <w:r>
        <w:fldChar w:fldCharType="separate"/>
      </w:r>
      <w:r>
        <w:rPr>
          <w:rFonts w:eastAsia="宋体" w:cs="Times New Roman"/>
          <w:sz w:val="20"/>
          <w:szCs w:val="20"/>
        </w:rPr>
        <w:t>4.2</w:t>
      </w:r>
      <w:r>
        <w:rPr>
          <w:rFonts w:hint="eastAsia" w:ascii="宋体" w:hAnsi="宋体" w:eastAsia="宋体" w:cs="宋体"/>
          <w:sz w:val="20"/>
          <w:szCs w:val="20"/>
        </w:rPr>
        <w:t xml:space="preserve"> 燃气</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_Toc192799299 \h </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0</w:t>
      </w:r>
    </w:p>
    <w:p w14:paraId="13D83143">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"_Toc192799300" </w:instrText>
      </w:r>
      <w:r>
        <w:fldChar w:fldCharType="separate"/>
      </w:r>
      <w:r>
        <w:rPr>
          <w:rFonts w:eastAsia="宋体" w:cs="Times New Roman"/>
          <w:sz w:val="20"/>
          <w:szCs w:val="20"/>
        </w:rPr>
        <w:t>4.3</w:t>
      </w:r>
      <w:r>
        <w:rPr>
          <w:rFonts w:hint="eastAsia" w:ascii="宋体" w:hAnsi="宋体" w:eastAsia="宋体" w:cs="宋体"/>
          <w:sz w:val="20"/>
          <w:szCs w:val="20"/>
        </w:rPr>
        <w:t xml:space="preserve"> 供水</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_Toc192799300 \h </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1</w:t>
      </w:r>
    </w:p>
    <w:p w14:paraId="5250E5D9">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"_Toc192799301" </w:instrText>
      </w:r>
      <w:r>
        <w:fldChar w:fldCharType="separate"/>
      </w:r>
      <w:r>
        <w:rPr>
          <w:rFonts w:eastAsia="宋体" w:cs="Times New Roman"/>
          <w:sz w:val="20"/>
          <w:szCs w:val="20"/>
        </w:rPr>
        <w:t>4.4</w:t>
      </w:r>
      <w:r>
        <w:rPr>
          <w:rFonts w:hint="eastAsia" w:ascii="宋体" w:hAnsi="宋体" w:eastAsia="宋体" w:cs="宋体"/>
          <w:sz w:val="20"/>
          <w:szCs w:val="20"/>
        </w:rPr>
        <w:t xml:space="preserve"> 排水</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_Toc192799301 \h </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3</w:t>
      </w:r>
    </w:p>
    <w:p w14:paraId="59007546">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"_Toc192799302" </w:instrText>
      </w:r>
      <w:r>
        <w:fldChar w:fldCharType="separate"/>
      </w:r>
      <w:r>
        <w:rPr>
          <w:rFonts w:eastAsia="宋体" w:cs="Times New Roman"/>
          <w:sz w:val="20"/>
          <w:szCs w:val="20"/>
        </w:rPr>
        <w:t>4.5</w:t>
      </w:r>
      <w:r>
        <w:rPr>
          <w:rFonts w:hint="eastAsia" w:ascii="宋体" w:hAnsi="宋体" w:eastAsia="宋体" w:cs="宋体"/>
          <w:sz w:val="20"/>
          <w:szCs w:val="20"/>
        </w:rPr>
        <w:t xml:space="preserve"> 热力</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_Toc192799302 \h </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6</w:t>
      </w:r>
    </w:p>
    <w:p w14:paraId="4D977C9E">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"_Toc192799303" </w:instrText>
      </w:r>
      <w:r>
        <w:fldChar w:fldCharType="separate"/>
      </w:r>
      <w:r>
        <w:rPr>
          <w:rFonts w:eastAsia="宋体" w:cs="Times New Roman"/>
          <w:sz w:val="20"/>
          <w:szCs w:val="20"/>
        </w:rPr>
        <w:t>4.6</w:t>
      </w:r>
      <w:r>
        <w:rPr>
          <w:rFonts w:hint="eastAsia" w:ascii="宋体" w:hAnsi="宋体" w:eastAsia="宋体" w:cs="宋体"/>
          <w:sz w:val="20"/>
          <w:szCs w:val="20"/>
        </w:rPr>
        <w:t xml:space="preserve"> 桥梁</w:t>
      </w:r>
      <w:r>
        <w:rPr>
          <w:rFonts w:hint="eastAsia" w:ascii="宋体" w:hAnsi="宋体" w:eastAsia="宋体" w:cs="宋体"/>
          <w:sz w:val="20"/>
          <w:szCs w:val="20"/>
        </w:rPr>
        <w:tab/>
      </w:r>
      <w:r>
        <w:rPr>
          <w:rFonts w:hint="eastAsia" w:ascii="宋体" w:hAnsi="宋体" w:eastAsia="宋体" w:cs="宋体"/>
          <w:sz w:val="20"/>
          <w:szCs w:val="20"/>
        </w:rPr>
        <w:fldChar w:fldCharType="end"/>
      </w:r>
      <w:r>
        <w:rPr>
          <w:rFonts w:hint="eastAsia" w:ascii="宋体" w:hAnsi="宋体" w:eastAsia="宋体" w:cs="宋体"/>
          <w:sz w:val="20"/>
          <w:szCs w:val="20"/>
        </w:rPr>
        <w:t>17</w:t>
      </w:r>
    </w:p>
    <w:p w14:paraId="68FA59AE">
      <w:pPr>
        <w:pStyle w:val="15"/>
        <w:tabs>
          <w:tab w:val="right" w:leader="dot" w:pos="9632"/>
        </w:tabs>
        <w:ind w:left="210" w:leftChars="0"/>
        <w:rPr>
          <w:rFonts w:ascii="宋体" w:hAnsi="宋体" w:eastAsia="宋体"/>
          <w:bCs/>
          <w:sz w:val="21"/>
          <w:szCs w:val="21"/>
        </w:rPr>
      </w:pPr>
      <w:r>
        <w:fldChar w:fldCharType="begin"/>
      </w:r>
      <w:r>
        <w:instrText xml:space="preserve"> HYPERLINK \l "_Toc192799304" </w:instrText>
      </w:r>
      <w:r>
        <w:fldChar w:fldCharType="separate"/>
      </w:r>
      <w:r>
        <w:rPr>
          <w:rFonts w:eastAsia="宋体" w:cs="Times New Roman"/>
          <w:sz w:val="20"/>
          <w:szCs w:val="20"/>
        </w:rPr>
        <w:t>4.7</w:t>
      </w:r>
      <w:r>
        <w:rPr>
          <w:rFonts w:hint="eastAsia" w:ascii="宋体" w:hAnsi="宋体" w:eastAsia="宋体" w:cs="宋体"/>
          <w:sz w:val="20"/>
          <w:szCs w:val="20"/>
        </w:rPr>
        <w:t xml:space="preserve"> 综合管廊</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_Toc192799304 \h </w:instrText>
      </w:r>
      <w:r>
        <w:rPr>
          <w:rFonts w:hint="eastAsia" w:ascii="宋体" w:hAnsi="宋体" w:eastAsia="宋体" w:cs="宋体"/>
          <w:sz w:val="20"/>
          <w:szCs w:val="20"/>
        </w:rPr>
        <w:fldChar w:fldCharType="separate"/>
      </w:r>
      <w:r>
        <w:rPr>
          <w:rFonts w:hint="eastAsia" w:ascii="宋体" w:hAnsi="宋体" w:eastAsia="宋体" w:cs="宋体"/>
          <w:sz w:val="20"/>
          <w:szCs w:val="20"/>
        </w:rPr>
        <w:t>2</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4</w:t>
      </w:r>
    </w:p>
    <w:p w14:paraId="5CC6D704">
      <w:pPr>
        <w:pStyle w:val="14"/>
        <w:tabs>
          <w:tab w:val="right" w:leader="dot" w:pos="9632"/>
        </w:tabs>
        <w:spacing w:before="120" w:after="120"/>
        <w:rPr>
          <w:rFonts w:ascii="宋体" w:hAnsi="宋体" w:eastAsia="宋体" w:cs="宋体"/>
          <w:b/>
          <w:bCs/>
          <w:sz w:val="20"/>
          <w:szCs w:val="20"/>
        </w:rPr>
      </w:pPr>
      <w:r>
        <w:fldChar w:fldCharType="begin"/>
      </w:r>
      <w:r>
        <w:instrText xml:space="preserve"> HYPERLINK \l "_Toc192799305" </w:instrText>
      </w:r>
      <w:r>
        <w:fldChar w:fldCharType="separate"/>
      </w:r>
      <w:r>
        <w:rPr>
          <w:rFonts w:eastAsia="宋体" w:cs="Times New Roman"/>
          <w:b/>
          <w:bCs/>
          <w:sz w:val="20"/>
          <w:szCs w:val="20"/>
        </w:rPr>
        <w:t>5</w:t>
      </w:r>
      <w:r>
        <w:rPr>
          <w:rFonts w:hint="eastAsia" w:ascii="宋体" w:hAnsi="宋体" w:eastAsia="宋体" w:cs="宋体"/>
          <w:b/>
          <w:bCs/>
          <w:sz w:val="20"/>
          <w:szCs w:val="20"/>
        </w:rPr>
        <w:t xml:space="preserve"> 信号传输设施</w:t>
      </w:r>
      <w:r>
        <w:rPr>
          <w:rFonts w:hint="eastAsia" w:ascii="宋体" w:hAnsi="宋体" w:eastAsia="宋体" w:cs="宋体"/>
          <w:b/>
          <w:bCs/>
          <w:sz w:val="20"/>
          <w:szCs w:val="20"/>
        </w:rPr>
        <w:tab/>
      </w:r>
      <w:r>
        <w:rPr>
          <w:rFonts w:hint="eastAsia" w:ascii="宋体" w:hAnsi="宋体" w:eastAsia="宋体" w:cs="宋体"/>
          <w:b/>
          <w:bCs/>
          <w:sz w:val="20"/>
          <w:szCs w:val="20"/>
        </w:rPr>
        <w:fldChar w:fldCharType="end"/>
      </w:r>
      <w:r>
        <w:rPr>
          <w:rFonts w:hint="eastAsia" w:ascii="宋体" w:hAnsi="宋体" w:eastAsia="宋体" w:cs="宋体"/>
          <w:b/>
          <w:bCs/>
          <w:sz w:val="20"/>
          <w:szCs w:val="20"/>
        </w:rPr>
        <w:t>28</w:t>
      </w:r>
    </w:p>
    <w:p w14:paraId="6F9CAED8">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"_Toc192799306" </w:instrText>
      </w:r>
      <w:r>
        <w:fldChar w:fldCharType="separate"/>
      </w:r>
      <w:r>
        <w:rPr>
          <w:rFonts w:eastAsia="宋体" w:cs="Times New Roman"/>
          <w:sz w:val="20"/>
          <w:szCs w:val="20"/>
        </w:rPr>
        <w:t>5.1</w:t>
      </w:r>
      <w:r>
        <w:rPr>
          <w:rFonts w:hint="eastAsia" w:ascii="宋体" w:hAnsi="宋体" w:eastAsia="宋体" w:cs="宋体"/>
          <w:sz w:val="20"/>
          <w:szCs w:val="20"/>
        </w:rPr>
        <w:t xml:space="preserve"> 一般规定</w:t>
      </w:r>
      <w:r>
        <w:rPr>
          <w:rFonts w:hint="eastAsia" w:ascii="宋体" w:hAnsi="宋体" w:eastAsia="宋体" w:cs="宋体"/>
          <w:sz w:val="20"/>
          <w:szCs w:val="20"/>
        </w:rPr>
        <w:tab/>
      </w:r>
      <w:r>
        <w:rPr>
          <w:rFonts w:hint="eastAsia" w:ascii="宋体" w:hAnsi="宋体" w:eastAsia="宋体" w:cs="宋体"/>
          <w:sz w:val="20"/>
          <w:szCs w:val="20"/>
        </w:rPr>
        <w:fldChar w:fldCharType="end"/>
      </w:r>
      <w:r>
        <w:rPr>
          <w:rFonts w:hint="eastAsia" w:ascii="宋体" w:hAnsi="宋体" w:eastAsia="宋体" w:cs="宋体"/>
          <w:sz w:val="20"/>
          <w:szCs w:val="20"/>
        </w:rPr>
        <w:t>28</w:t>
      </w:r>
    </w:p>
    <w:p w14:paraId="699122E0">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"_Toc192799307" </w:instrText>
      </w:r>
      <w:r>
        <w:fldChar w:fldCharType="separate"/>
      </w:r>
      <w:r>
        <w:rPr>
          <w:rFonts w:eastAsia="宋体" w:cs="Times New Roman"/>
          <w:sz w:val="20"/>
          <w:szCs w:val="20"/>
        </w:rPr>
        <w:t>5.2</w:t>
      </w:r>
      <w:r>
        <w:rPr>
          <w:rFonts w:hint="eastAsia" w:ascii="宋体" w:hAnsi="宋体" w:eastAsia="宋体" w:cs="宋体"/>
          <w:sz w:val="20"/>
          <w:szCs w:val="20"/>
        </w:rPr>
        <w:t xml:space="preserve"> 传输方式</w:t>
      </w:r>
      <w:r>
        <w:rPr>
          <w:rFonts w:hint="eastAsia" w:ascii="宋体" w:hAnsi="宋体" w:eastAsia="宋体" w:cs="宋体"/>
          <w:sz w:val="20"/>
          <w:szCs w:val="20"/>
        </w:rPr>
        <w:tab/>
      </w:r>
      <w:r>
        <w:rPr>
          <w:rFonts w:hint="eastAsia" w:ascii="宋体" w:hAnsi="宋体" w:eastAsia="宋体" w:cs="宋体"/>
          <w:sz w:val="20"/>
          <w:szCs w:val="20"/>
        </w:rPr>
        <w:fldChar w:fldCharType="end"/>
      </w:r>
      <w:r>
        <w:rPr>
          <w:rFonts w:hint="eastAsia" w:ascii="宋体" w:hAnsi="宋体" w:eastAsia="宋体" w:cs="宋体"/>
          <w:sz w:val="20"/>
          <w:szCs w:val="20"/>
        </w:rPr>
        <w:t>28</w:t>
      </w:r>
    </w:p>
    <w:p w14:paraId="3A2101F1">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"_Toc192799308" </w:instrText>
      </w:r>
      <w:r>
        <w:fldChar w:fldCharType="separate"/>
      </w:r>
      <w:r>
        <w:rPr>
          <w:rFonts w:eastAsia="宋体" w:cs="Times New Roman"/>
          <w:sz w:val="20"/>
          <w:szCs w:val="20"/>
        </w:rPr>
        <w:t>5.3</w:t>
      </w:r>
      <w:r>
        <w:rPr>
          <w:rFonts w:hint="eastAsia" w:ascii="宋体" w:hAnsi="宋体" w:eastAsia="宋体" w:cs="宋体"/>
          <w:sz w:val="20"/>
          <w:szCs w:val="20"/>
        </w:rPr>
        <w:t xml:space="preserve"> 线缆选择</w:t>
      </w:r>
      <w:r>
        <w:rPr>
          <w:rFonts w:hint="eastAsia" w:ascii="宋体" w:hAnsi="宋体" w:eastAsia="宋体" w:cs="宋体"/>
          <w:sz w:val="20"/>
          <w:szCs w:val="20"/>
        </w:rPr>
        <w:tab/>
      </w:r>
      <w:r>
        <w:rPr>
          <w:rFonts w:hint="eastAsia" w:ascii="宋体" w:hAnsi="宋体" w:eastAsia="宋体" w:cs="宋体"/>
          <w:sz w:val="20"/>
          <w:szCs w:val="20"/>
        </w:rPr>
        <w:fldChar w:fldCharType="end"/>
      </w:r>
      <w:r>
        <w:rPr>
          <w:rFonts w:hint="eastAsia" w:ascii="宋体" w:hAnsi="宋体" w:eastAsia="宋体" w:cs="宋体"/>
          <w:sz w:val="20"/>
          <w:szCs w:val="20"/>
        </w:rPr>
        <w:t>28</w:t>
      </w:r>
    </w:p>
    <w:p w14:paraId="41D7BB55">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"_Toc192799309" </w:instrText>
      </w:r>
      <w:r>
        <w:fldChar w:fldCharType="separate"/>
      </w:r>
      <w:r>
        <w:rPr>
          <w:rFonts w:eastAsia="宋体" w:cs="Times New Roman"/>
          <w:sz w:val="20"/>
          <w:szCs w:val="20"/>
        </w:rPr>
        <w:t>5.4</w:t>
      </w:r>
      <w:r>
        <w:rPr>
          <w:rFonts w:hint="eastAsia" w:ascii="宋体" w:hAnsi="宋体" w:eastAsia="宋体" w:cs="宋体"/>
          <w:sz w:val="20"/>
          <w:szCs w:val="20"/>
        </w:rPr>
        <w:t xml:space="preserve"> 通信网关</w:t>
      </w:r>
      <w:r>
        <w:rPr>
          <w:rFonts w:hint="eastAsia" w:ascii="宋体" w:hAnsi="宋体" w:eastAsia="宋体" w:cs="宋体"/>
          <w:sz w:val="20"/>
          <w:szCs w:val="20"/>
        </w:rPr>
        <w:tab/>
      </w:r>
      <w:r>
        <w:rPr>
          <w:rFonts w:hint="eastAsia" w:ascii="宋体" w:hAnsi="宋体" w:eastAsia="宋体" w:cs="宋体"/>
          <w:sz w:val="20"/>
          <w:szCs w:val="20"/>
        </w:rPr>
        <w:fldChar w:fldCharType="end"/>
      </w:r>
      <w:r>
        <w:rPr>
          <w:rFonts w:hint="eastAsia" w:ascii="宋体" w:hAnsi="宋体" w:eastAsia="宋体" w:cs="宋体"/>
          <w:sz w:val="20"/>
          <w:szCs w:val="20"/>
        </w:rPr>
        <w:t>29</w:t>
      </w:r>
    </w:p>
    <w:p w14:paraId="2502F618">
      <w:pPr>
        <w:pStyle w:val="15"/>
        <w:tabs>
          <w:tab w:val="right" w:leader="dot" w:pos="9632"/>
        </w:tabs>
        <w:ind w:left="210" w:leftChars="0"/>
        <w:rPr>
          <w:rFonts w:ascii="宋体" w:hAnsi="宋体" w:eastAsia="宋体"/>
          <w:bCs/>
          <w:sz w:val="21"/>
          <w:szCs w:val="21"/>
        </w:rPr>
      </w:pPr>
      <w:r>
        <w:fldChar w:fldCharType="begin"/>
      </w:r>
      <w:r>
        <w:instrText xml:space="preserve"> HYPERLINK \l "_Toc192799310" </w:instrText>
      </w:r>
      <w:r>
        <w:fldChar w:fldCharType="separate"/>
      </w:r>
      <w:r>
        <w:rPr>
          <w:rFonts w:eastAsia="宋体" w:cs="Times New Roman"/>
          <w:sz w:val="20"/>
          <w:szCs w:val="20"/>
        </w:rPr>
        <w:t>5.5</w:t>
      </w:r>
      <w:r>
        <w:rPr>
          <w:rFonts w:hint="eastAsia" w:ascii="宋体" w:hAnsi="宋体" w:eastAsia="宋体" w:cs="宋体"/>
          <w:sz w:val="20"/>
          <w:szCs w:val="20"/>
        </w:rPr>
        <w:t xml:space="preserve"> 智慧应用</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_Toc192799310 \h </w:instrText>
      </w:r>
      <w:r>
        <w:rPr>
          <w:rFonts w:hint="eastAsia" w:ascii="宋体" w:hAnsi="宋体" w:eastAsia="宋体" w:cs="宋体"/>
          <w:sz w:val="20"/>
          <w:szCs w:val="20"/>
        </w:rPr>
        <w:fldChar w:fldCharType="separate"/>
      </w:r>
      <w:r>
        <w:rPr>
          <w:rFonts w:hint="eastAsia" w:ascii="宋体" w:hAnsi="宋体" w:eastAsia="宋体" w:cs="宋体"/>
          <w:sz w:val="20"/>
          <w:szCs w:val="20"/>
        </w:rPr>
        <w:t>3</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0</w:t>
      </w:r>
    </w:p>
    <w:p w14:paraId="77D1F388">
      <w:pPr>
        <w:pStyle w:val="14"/>
        <w:tabs>
          <w:tab w:val="right" w:leader="dot" w:pos="9632"/>
        </w:tabs>
        <w:spacing w:before="120" w:after="120"/>
        <w:rPr>
          <w:rFonts w:ascii="宋体" w:hAnsi="宋体" w:eastAsia="宋体" w:cs="宋体"/>
          <w:b/>
          <w:bCs/>
          <w:sz w:val="20"/>
          <w:szCs w:val="20"/>
        </w:rPr>
      </w:pPr>
      <w:r>
        <w:fldChar w:fldCharType="begin"/>
      </w:r>
      <w:r>
        <w:instrText xml:space="preserve"> HYPERLINK \l "_Toc192799311" </w:instrText>
      </w:r>
      <w:r>
        <w:fldChar w:fldCharType="separate"/>
      </w:r>
      <w:r>
        <w:rPr>
          <w:rFonts w:eastAsia="宋体" w:cs="Times New Roman"/>
          <w:b/>
          <w:bCs/>
          <w:sz w:val="20"/>
          <w:szCs w:val="20"/>
        </w:rPr>
        <w:t>6</w:t>
      </w:r>
      <w:r>
        <w:rPr>
          <w:rFonts w:hint="eastAsia" w:ascii="宋体" w:hAnsi="宋体" w:eastAsia="宋体" w:cs="宋体"/>
          <w:b/>
          <w:bCs/>
          <w:sz w:val="20"/>
          <w:szCs w:val="20"/>
        </w:rPr>
        <w:t xml:space="preserve"> 监测中心及其他设施</w:t>
      </w:r>
      <w:r>
        <w:rPr>
          <w:rFonts w:hint="eastAsia" w:ascii="宋体" w:hAnsi="宋体" w:eastAsia="宋体" w:cs="宋体"/>
          <w:b/>
          <w:bCs/>
          <w:sz w:val="20"/>
          <w:szCs w:val="20"/>
        </w:rPr>
        <w:tab/>
      </w:r>
      <w:r>
        <w:rPr>
          <w:rFonts w:hint="eastAsia" w:ascii="宋体" w:hAnsi="宋体" w:eastAsia="宋体" w:cs="宋体"/>
          <w:b/>
          <w:bCs/>
          <w:sz w:val="20"/>
          <w:szCs w:val="20"/>
        </w:rPr>
        <w:fldChar w:fldCharType="begin"/>
      </w:r>
      <w:r>
        <w:rPr>
          <w:rFonts w:hint="eastAsia" w:ascii="宋体" w:hAnsi="宋体" w:eastAsia="宋体" w:cs="宋体"/>
          <w:b/>
          <w:bCs/>
          <w:sz w:val="20"/>
          <w:szCs w:val="20"/>
        </w:rPr>
        <w:instrText xml:space="preserve"> PAGEREF _Toc192799311 \h </w:instrText>
      </w:r>
      <w:r>
        <w:rPr>
          <w:rFonts w:hint="eastAsia" w:ascii="宋体" w:hAnsi="宋体" w:eastAsia="宋体" w:cs="宋体"/>
          <w:b/>
          <w:bCs/>
          <w:sz w:val="20"/>
          <w:szCs w:val="20"/>
        </w:rPr>
        <w:fldChar w:fldCharType="separate"/>
      </w:r>
      <w:r>
        <w:rPr>
          <w:rFonts w:hint="eastAsia" w:ascii="宋体" w:hAnsi="宋体" w:eastAsia="宋体" w:cs="宋体"/>
          <w:b/>
          <w:bCs/>
          <w:sz w:val="20"/>
          <w:szCs w:val="20"/>
        </w:rPr>
        <w:t>3</w:t>
      </w:r>
      <w:r>
        <w:rPr>
          <w:rFonts w:hint="eastAsia" w:ascii="宋体" w:hAnsi="宋体" w:eastAsia="宋体" w:cs="宋体"/>
          <w:b/>
          <w:bCs/>
          <w:sz w:val="20"/>
          <w:szCs w:val="20"/>
        </w:rPr>
        <w:fldChar w:fldCharType="end"/>
      </w:r>
      <w:r>
        <w:rPr>
          <w:rFonts w:hint="eastAsia" w:ascii="宋体" w:hAnsi="宋体" w:eastAsia="宋体" w:cs="宋体"/>
          <w:b/>
          <w:bCs/>
          <w:sz w:val="20"/>
          <w:szCs w:val="20"/>
        </w:rPr>
        <w:fldChar w:fldCharType="end"/>
      </w:r>
      <w:r>
        <w:rPr>
          <w:rFonts w:hint="eastAsia" w:ascii="宋体" w:hAnsi="宋体" w:eastAsia="宋体" w:cs="宋体"/>
          <w:b/>
          <w:bCs/>
          <w:sz w:val="20"/>
          <w:szCs w:val="20"/>
        </w:rPr>
        <w:t>2</w:t>
      </w:r>
    </w:p>
    <w:p w14:paraId="6956E230">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"_Toc192799312" </w:instrText>
      </w:r>
      <w:r>
        <w:fldChar w:fldCharType="separate"/>
      </w:r>
      <w:r>
        <w:rPr>
          <w:rFonts w:eastAsia="宋体" w:cs="Times New Roman"/>
          <w:sz w:val="20"/>
          <w:szCs w:val="20"/>
        </w:rPr>
        <w:t>6.1</w:t>
      </w:r>
      <w:r>
        <w:rPr>
          <w:rFonts w:hint="eastAsia" w:ascii="宋体" w:hAnsi="宋体" w:eastAsia="宋体" w:cs="宋体"/>
          <w:sz w:val="20"/>
          <w:szCs w:val="20"/>
        </w:rPr>
        <w:t xml:space="preserve"> 一般规定</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_Toc192799312 \h </w:instrText>
      </w:r>
      <w:r>
        <w:rPr>
          <w:rFonts w:hint="eastAsia" w:ascii="宋体" w:hAnsi="宋体" w:eastAsia="宋体" w:cs="宋体"/>
          <w:sz w:val="20"/>
          <w:szCs w:val="20"/>
        </w:rPr>
        <w:fldChar w:fldCharType="separate"/>
      </w:r>
      <w:r>
        <w:rPr>
          <w:rFonts w:hint="eastAsia" w:ascii="宋体" w:hAnsi="宋体" w:eastAsia="宋体" w:cs="宋体"/>
          <w:sz w:val="20"/>
          <w:szCs w:val="20"/>
        </w:rPr>
        <w:t>3</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2</w:t>
      </w:r>
    </w:p>
    <w:p w14:paraId="39FE5F0E">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"_Toc192799313" </w:instrText>
      </w:r>
      <w:r>
        <w:fldChar w:fldCharType="separate"/>
      </w:r>
      <w:r>
        <w:rPr>
          <w:rFonts w:eastAsia="宋体" w:cs="Times New Roman"/>
          <w:sz w:val="20"/>
          <w:szCs w:val="20"/>
        </w:rPr>
        <w:t>6.2</w:t>
      </w:r>
      <w:r>
        <w:rPr>
          <w:rFonts w:hint="eastAsia" w:ascii="宋体" w:hAnsi="宋体" w:eastAsia="宋体" w:cs="宋体"/>
          <w:sz w:val="20"/>
          <w:szCs w:val="20"/>
        </w:rPr>
        <w:t xml:space="preserve"> 前端设备间</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_Toc192799313 \h </w:instrText>
      </w:r>
      <w:r>
        <w:rPr>
          <w:rFonts w:hint="eastAsia" w:ascii="宋体" w:hAnsi="宋体" w:eastAsia="宋体" w:cs="宋体"/>
          <w:sz w:val="20"/>
          <w:szCs w:val="20"/>
        </w:rPr>
        <w:fldChar w:fldCharType="separate"/>
      </w:r>
      <w:r>
        <w:rPr>
          <w:rFonts w:hint="eastAsia" w:ascii="宋体" w:hAnsi="宋体" w:eastAsia="宋体" w:cs="宋体"/>
          <w:sz w:val="20"/>
          <w:szCs w:val="20"/>
        </w:rPr>
        <w:t>3</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2</w:t>
      </w:r>
    </w:p>
    <w:p w14:paraId="7935C523">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"_Toc192799314" </w:instrText>
      </w:r>
      <w:r>
        <w:fldChar w:fldCharType="separate"/>
      </w:r>
      <w:r>
        <w:rPr>
          <w:rFonts w:eastAsia="宋体" w:cs="Times New Roman"/>
          <w:sz w:val="20"/>
          <w:szCs w:val="20"/>
        </w:rPr>
        <w:t>6.3</w:t>
      </w:r>
      <w:r>
        <w:rPr>
          <w:rFonts w:hint="eastAsia" w:ascii="宋体" w:hAnsi="宋体" w:eastAsia="宋体" w:cs="宋体"/>
          <w:sz w:val="20"/>
          <w:szCs w:val="20"/>
        </w:rPr>
        <w:t xml:space="preserve"> 监测中心</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_Toc192799314 \h </w:instrText>
      </w:r>
      <w:r>
        <w:rPr>
          <w:rFonts w:hint="eastAsia" w:ascii="宋体" w:hAnsi="宋体" w:eastAsia="宋体" w:cs="宋体"/>
          <w:sz w:val="20"/>
          <w:szCs w:val="20"/>
        </w:rPr>
        <w:fldChar w:fldCharType="separate"/>
      </w:r>
      <w:r>
        <w:rPr>
          <w:rFonts w:hint="eastAsia" w:ascii="宋体" w:hAnsi="宋体" w:eastAsia="宋体" w:cs="宋体"/>
          <w:sz w:val="20"/>
          <w:szCs w:val="20"/>
        </w:rPr>
        <w:t>3</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3</w:t>
      </w:r>
    </w:p>
    <w:p w14:paraId="6B7DC8A7">
      <w:pPr>
        <w:pStyle w:val="15"/>
        <w:tabs>
          <w:tab w:val="right" w:leader="dot" w:pos="9632"/>
        </w:tabs>
        <w:ind w:left="210" w:leftChars="0"/>
        <w:rPr>
          <w:rFonts w:ascii="宋体" w:hAnsi="宋体" w:eastAsia="宋体"/>
          <w:bCs/>
          <w:sz w:val="21"/>
          <w:szCs w:val="21"/>
        </w:rPr>
      </w:pPr>
      <w:r>
        <w:fldChar w:fldCharType="begin"/>
      </w:r>
      <w:r>
        <w:instrText xml:space="preserve"> HYPERLINK \l "_Toc192799315" </w:instrText>
      </w:r>
      <w:r>
        <w:fldChar w:fldCharType="separate"/>
      </w:r>
      <w:r>
        <w:rPr>
          <w:rFonts w:eastAsia="宋体" w:cs="Times New Roman"/>
          <w:sz w:val="20"/>
          <w:szCs w:val="20"/>
        </w:rPr>
        <w:t>6.4</w:t>
      </w:r>
      <w:r>
        <w:rPr>
          <w:rFonts w:hint="eastAsia" w:ascii="宋体" w:hAnsi="宋体" w:eastAsia="宋体" w:cs="宋体"/>
          <w:sz w:val="20"/>
          <w:szCs w:val="20"/>
        </w:rPr>
        <w:t xml:space="preserve"> 其他设施</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_Toc192799315 \h </w:instrText>
      </w:r>
      <w:r>
        <w:rPr>
          <w:rFonts w:hint="eastAsia" w:ascii="宋体" w:hAnsi="宋体" w:eastAsia="宋体" w:cs="宋体"/>
          <w:sz w:val="20"/>
          <w:szCs w:val="20"/>
        </w:rPr>
        <w:fldChar w:fldCharType="separate"/>
      </w:r>
      <w:r>
        <w:rPr>
          <w:rFonts w:hint="eastAsia" w:ascii="宋体" w:hAnsi="宋体" w:eastAsia="宋体" w:cs="宋体"/>
          <w:sz w:val="20"/>
          <w:szCs w:val="20"/>
        </w:rPr>
        <w:t>3</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3</w:t>
      </w:r>
    </w:p>
    <w:p w14:paraId="5D094CD9">
      <w:pPr>
        <w:pStyle w:val="14"/>
        <w:tabs>
          <w:tab w:val="right" w:leader="dot" w:pos="9632"/>
        </w:tabs>
        <w:spacing w:before="120" w:after="120"/>
        <w:rPr>
          <w:rFonts w:ascii="宋体" w:hAnsi="宋体" w:eastAsia="宋体" w:cs="宋体"/>
          <w:b/>
          <w:bCs/>
          <w:sz w:val="20"/>
          <w:szCs w:val="20"/>
        </w:rPr>
      </w:pPr>
      <w:r>
        <w:fldChar w:fldCharType="begin"/>
      </w:r>
      <w:r>
        <w:instrText xml:space="preserve"> HYPERLINK \l "_Toc192799316" </w:instrText>
      </w:r>
      <w:r>
        <w:fldChar w:fldCharType="separate"/>
      </w:r>
      <w:r>
        <w:rPr>
          <w:rFonts w:eastAsia="宋体" w:cs="Times New Roman"/>
          <w:b/>
          <w:bCs/>
          <w:sz w:val="20"/>
          <w:szCs w:val="20"/>
        </w:rPr>
        <w:t>7</w:t>
      </w:r>
      <w:r>
        <w:rPr>
          <w:rFonts w:hint="eastAsia" w:ascii="宋体" w:hAnsi="宋体" w:eastAsia="宋体" w:cs="宋体"/>
          <w:b/>
          <w:bCs/>
          <w:sz w:val="20"/>
          <w:szCs w:val="20"/>
        </w:rPr>
        <w:t xml:space="preserve"> 验收和交付</w:t>
      </w:r>
      <w:r>
        <w:rPr>
          <w:rFonts w:hint="eastAsia" w:ascii="宋体" w:hAnsi="宋体" w:eastAsia="宋体" w:cs="宋体"/>
          <w:b/>
          <w:bCs/>
          <w:sz w:val="20"/>
          <w:szCs w:val="20"/>
        </w:rPr>
        <w:tab/>
      </w:r>
      <w:r>
        <w:rPr>
          <w:rFonts w:hint="eastAsia" w:ascii="宋体" w:hAnsi="宋体" w:eastAsia="宋体" w:cs="宋体"/>
          <w:b/>
          <w:bCs/>
          <w:sz w:val="20"/>
          <w:szCs w:val="20"/>
        </w:rPr>
        <w:fldChar w:fldCharType="begin"/>
      </w:r>
      <w:r>
        <w:rPr>
          <w:rFonts w:hint="eastAsia" w:ascii="宋体" w:hAnsi="宋体" w:eastAsia="宋体" w:cs="宋体"/>
          <w:b/>
          <w:bCs/>
          <w:sz w:val="20"/>
          <w:szCs w:val="20"/>
        </w:rPr>
        <w:instrText xml:space="preserve"> PAGEREF _Toc192799316 \h </w:instrText>
      </w:r>
      <w:r>
        <w:rPr>
          <w:rFonts w:hint="eastAsia" w:ascii="宋体" w:hAnsi="宋体" w:eastAsia="宋体" w:cs="宋体"/>
          <w:b/>
          <w:bCs/>
          <w:sz w:val="20"/>
          <w:szCs w:val="20"/>
        </w:rPr>
        <w:fldChar w:fldCharType="separate"/>
      </w:r>
      <w:r>
        <w:rPr>
          <w:rFonts w:hint="eastAsia" w:ascii="宋体" w:hAnsi="宋体" w:eastAsia="宋体" w:cs="宋体"/>
          <w:b/>
          <w:bCs/>
          <w:sz w:val="20"/>
          <w:szCs w:val="20"/>
        </w:rPr>
        <w:t>3</w:t>
      </w:r>
      <w:r>
        <w:rPr>
          <w:rFonts w:hint="eastAsia" w:ascii="宋体" w:hAnsi="宋体" w:eastAsia="宋体" w:cs="宋体"/>
          <w:b/>
          <w:bCs/>
          <w:sz w:val="20"/>
          <w:szCs w:val="20"/>
        </w:rPr>
        <w:fldChar w:fldCharType="end"/>
      </w:r>
      <w:r>
        <w:rPr>
          <w:rFonts w:hint="eastAsia" w:ascii="宋体" w:hAnsi="宋体" w:eastAsia="宋体" w:cs="宋体"/>
          <w:b/>
          <w:bCs/>
          <w:sz w:val="20"/>
          <w:szCs w:val="20"/>
        </w:rPr>
        <w:fldChar w:fldCharType="end"/>
      </w:r>
      <w:r>
        <w:rPr>
          <w:rFonts w:hint="eastAsia" w:ascii="宋体" w:hAnsi="宋体" w:eastAsia="宋体" w:cs="宋体"/>
          <w:b/>
          <w:bCs/>
          <w:sz w:val="20"/>
          <w:szCs w:val="20"/>
        </w:rPr>
        <w:t>5</w:t>
      </w:r>
    </w:p>
    <w:p w14:paraId="561EAB7F">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"_Toc192799317" </w:instrText>
      </w:r>
      <w:r>
        <w:fldChar w:fldCharType="separate"/>
      </w:r>
      <w:r>
        <w:rPr>
          <w:rFonts w:eastAsia="宋体" w:cs="Times New Roman"/>
          <w:sz w:val="20"/>
          <w:szCs w:val="20"/>
        </w:rPr>
        <w:t>7.1</w:t>
      </w:r>
      <w:r>
        <w:rPr>
          <w:rFonts w:hint="eastAsia" w:ascii="宋体" w:hAnsi="宋体" w:eastAsia="宋体" w:cs="宋体"/>
          <w:sz w:val="20"/>
          <w:szCs w:val="20"/>
        </w:rPr>
        <w:t xml:space="preserve"> 一般规定</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_Toc192799317 \h </w:instrText>
      </w:r>
      <w:r>
        <w:rPr>
          <w:rFonts w:hint="eastAsia" w:ascii="宋体" w:hAnsi="宋体" w:eastAsia="宋体" w:cs="宋体"/>
          <w:sz w:val="20"/>
          <w:szCs w:val="20"/>
        </w:rPr>
        <w:fldChar w:fldCharType="separate"/>
      </w:r>
      <w:r>
        <w:rPr>
          <w:rFonts w:hint="eastAsia" w:ascii="宋体" w:hAnsi="宋体" w:eastAsia="宋体" w:cs="宋体"/>
          <w:sz w:val="20"/>
          <w:szCs w:val="20"/>
        </w:rPr>
        <w:t>3</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5</w:t>
      </w:r>
    </w:p>
    <w:p w14:paraId="099F96C5">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"_Toc192799318" </w:instrText>
      </w:r>
      <w:r>
        <w:fldChar w:fldCharType="separate"/>
      </w:r>
      <w:r>
        <w:rPr>
          <w:rFonts w:eastAsia="宋体" w:cs="Times New Roman"/>
          <w:sz w:val="20"/>
          <w:szCs w:val="20"/>
        </w:rPr>
        <w:t>7.2</w:t>
      </w:r>
      <w:r>
        <w:rPr>
          <w:rFonts w:hint="eastAsia" w:ascii="宋体" w:hAnsi="宋体" w:eastAsia="宋体" w:cs="宋体"/>
          <w:sz w:val="20"/>
          <w:szCs w:val="20"/>
        </w:rPr>
        <w:t xml:space="preserve"> 验收要求</w:t>
      </w:r>
      <w:r>
        <w:rPr>
          <w:rFonts w:hint="eastAsia" w:ascii="宋体" w:hAnsi="宋体" w:eastAsia="宋体" w:cs="宋体"/>
          <w:sz w:val="20"/>
          <w:szCs w:val="20"/>
        </w:rPr>
        <w:tab/>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PAGEREF _Toc192799318 \h </w:instrText>
      </w:r>
      <w:r>
        <w:rPr>
          <w:rFonts w:hint="eastAsia" w:ascii="宋体" w:hAnsi="宋体" w:eastAsia="宋体" w:cs="宋体"/>
          <w:sz w:val="20"/>
          <w:szCs w:val="20"/>
        </w:rPr>
        <w:fldChar w:fldCharType="separate"/>
      </w:r>
      <w:r>
        <w:rPr>
          <w:rFonts w:hint="eastAsia" w:ascii="宋体" w:hAnsi="宋体" w:eastAsia="宋体" w:cs="宋体"/>
          <w:sz w:val="20"/>
          <w:szCs w:val="20"/>
        </w:rPr>
        <w:t>3</w:t>
      </w:r>
      <w:r>
        <w:rPr>
          <w:rFonts w:hint="eastAsia" w:ascii="宋体" w:hAnsi="宋体" w:eastAsia="宋体" w:cs="宋体"/>
          <w:sz w:val="20"/>
          <w:szCs w:val="20"/>
        </w:rPr>
        <w:fldChar w:fldCharType="end"/>
      </w:r>
      <w:r>
        <w:rPr>
          <w:rFonts w:hint="eastAsia" w:ascii="宋体" w:hAnsi="宋体" w:eastAsia="宋体" w:cs="宋体"/>
          <w:sz w:val="20"/>
          <w:szCs w:val="20"/>
        </w:rPr>
        <w:fldChar w:fldCharType="end"/>
      </w:r>
      <w:r>
        <w:rPr>
          <w:rFonts w:hint="eastAsia" w:ascii="宋体" w:hAnsi="宋体" w:eastAsia="宋体" w:cs="宋体"/>
          <w:sz w:val="20"/>
          <w:szCs w:val="20"/>
        </w:rPr>
        <w:t>5</w:t>
      </w:r>
    </w:p>
    <w:p w14:paraId="77D56C92">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"_Toc192799319" </w:instrText>
      </w:r>
      <w:r>
        <w:fldChar w:fldCharType="separate"/>
      </w:r>
      <w:r>
        <w:rPr>
          <w:rFonts w:eastAsia="宋体" w:cs="Times New Roman"/>
          <w:sz w:val="20"/>
          <w:szCs w:val="20"/>
        </w:rPr>
        <w:t>7.3</w:t>
      </w:r>
      <w:r>
        <w:rPr>
          <w:rFonts w:hint="eastAsia" w:ascii="宋体" w:hAnsi="宋体" w:eastAsia="宋体" w:cs="宋体"/>
          <w:sz w:val="20"/>
          <w:szCs w:val="20"/>
        </w:rPr>
        <w:t xml:space="preserve"> 验收文件</w:t>
      </w:r>
      <w:r>
        <w:rPr>
          <w:rFonts w:hint="eastAsia" w:ascii="宋体" w:hAnsi="宋体" w:eastAsia="宋体" w:cs="宋体"/>
          <w:sz w:val="20"/>
          <w:szCs w:val="20"/>
        </w:rPr>
        <w:tab/>
      </w:r>
      <w:r>
        <w:rPr>
          <w:rFonts w:hint="eastAsia" w:ascii="宋体" w:hAnsi="宋体" w:eastAsia="宋体" w:cs="宋体"/>
          <w:sz w:val="20"/>
          <w:szCs w:val="20"/>
        </w:rPr>
        <w:fldChar w:fldCharType="end"/>
      </w:r>
      <w:r>
        <w:rPr>
          <w:rFonts w:hint="eastAsia" w:ascii="宋体" w:hAnsi="宋体" w:eastAsia="宋体" w:cs="宋体"/>
          <w:sz w:val="20"/>
          <w:szCs w:val="20"/>
        </w:rPr>
        <w:t>36</w:t>
      </w:r>
    </w:p>
    <w:p w14:paraId="1EAB668D">
      <w:pPr>
        <w:pStyle w:val="15"/>
        <w:tabs>
          <w:tab w:val="right" w:leader="dot" w:pos="9632"/>
        </w:tabs>
        <w:ind w:left="210" w:leftChars="0"/>
        <w:rPr>
          <w:rFonts w:ascii="宋体" w:hAnsi="宋体" w:eastAsia="宋体" w:cs="宋体"/>
          <w:sz w:val="20"/>
          <w:szCs w:val="20"/>
        </w:rPr>
      </w:pPr>
      <w:r>
        <w:fldChar w:fldCharType="begin"/>
      </w:r>
      <w:r>
        <w:instrText xml:space="preserve"> HYPERLINK \l "_Toc192799320" </w:instrText>
      </w:r>
      <w:r>
        <w:fldChar w:fldCharType="separate"/>
      </w:r>
      <w:r>
        <w:rPr>
          <w:rFonts w:eastAsia="宋体" w:cs="Times New Roman"/>
          <w:sz w:val="20"/>
          <w:szCs w:val="20"/>
        </w:rPr>
        <w:t>7.4</w:t>
      </w:r>
      <w:r>
        <w:rPr>
          <w:rFonts w:hint="eastAsia" w:ascii="宋体" w:hAnsi="宋体" w:eastAsia="宋体" w:cs="宋体"/>
          <w:sz w:val="20"/>
          <w:szCs w:val="20"/>
        </w:rPr>
        <w:t xml:space="preserve"> 验收记录与结论</w:t>
      </w:r>
      <w:r>
        <w:rPr>
          <w:rFonts w:hint="eastAsia" w:ascii="宋体" w:hAnsi="宋体" w:eastAsia="宋体" w:cs="宋体"/>
          <w:sz w:val="20"/>
          <w:szCs w:val="20"/>
        </w:rPr>
        <w:tab/>
      </w:r>
      <w:r>
        <w:rPr>
          <w:rFonts w:hint="eastAsia" w:ascii="宋体" w:hAnsi="宋体" w:eastAsia="宋体" w:cs="宋体"/>
          <w:sz w:val="20"/>
          <w:szCs w:val="20"/>
        </w:rPr>
        <w:fldChar w:fldCharType="end"/>
      </w:r>
      <w:r>
        <w:rPr>
          <w:rFonts w:hint="eastAsia" w:ascii="宋体" w:hAnsi="宋体" w:eastAsia="宋体" w:cs="宋体"/>
          <w:sz w:val="20"/>
          <w:szCs w:val="20"/>
        </w:rPr>
        <w:t>36</w:t>
      </w:r>
    </w:p>
    <w:p w14:paraId="16048196">
      <w:pPr>
        <w:pStyle w:val="15"/>
        <w:tabs>
          <w:tab w:val="right" w:leader="dot" w:pos="9632"/>
        </w:tabs>
        <w:ind w:left="210" w:leftChars="0"/>
        <w:rPr>
          <w:rFonts w:ascii="宋体" w:hAnsi="宋体" w:eastAsia="宋体"/>
          <w:bCs/>
          <w:sz w:val="21"/>
          <w:szCs w:val="21"/>
        </w:rPr>
      </w:pPr>
      <w:r>
        <w:fldChar w:fldCharType="begin"/>
      </w:r>
      <w:r>
        <w:instrText xml:space="preserve"> HYPERLINK \l "_Toc192799321" </w:instrText>
      </w:r>
      <w:r>
        <w:fldChar w:fldCharType="separate"/>
      </w:r>
      <w:r>
        <w:rPr>
          <w:rFonts w:eastAsia="宋体" w:cs="Times New Roman"/>
          <w:sz w:val="20"/>
          <w:szCs w:val="20"/>
        </w:rPr>
        <w:t xml:space="preserve">7.5 </w:t>
      </w:r>
      <w:r>
        <w:rPr>
          <w:rFonts w:hint="eastAsia" w:ascii="宋体" w:hAnsi="宋体" w:eastAsia="宋体" w:cs="宋体"/>
          <w:sz w:val="20"/>
          <w:szCs w:val="20"/>
        </w:rPr>
        <w:t>综合调适与交付</w:t>
      </w:r>
      <w:r>
        <w:rPr>
          <w:rFonts w:hint="eastAsia" w:ascii="宋体" w:hAnsi="宋体" w:eastAsia="宋体" w:cs="宋体"/>
          <w:sz w:val="20"/>
          <w:szCs w:val="20"/>
        </w:rPr>
        <w:tab/>
      </w:r>
      <w:r>
        <w:rPr>
          <w:rFonts w:hint="eastAsia" w:ascii="宋体" w:hAnsi="宋体" w:eastAsia="宋体" w:cs="宋体"/>
          <w:sz w:val="20"/>
          <w:szCs w:val="20"/>
        </w:rPr>
        <w:fldChar w:fldCharType="end"/>
      </w:r>
      <w:r>
        <w:rPr>
          <w:rFonts w:hint="eastAsia" w:ascii="宋体" w:hAnsi="宋体" w:eastAsia="宋体" w:cs="宋体"/>
          <w:sz w:val="20"/>
          <w:szCs w:val="20"/>
        </w:rPr>
        <w:t>37</w:t>
      </w:r>
    </w:p>
    <w:p w14:paraId="501BEC3D">
      <w:pPr>
        <w:pStyle w:val="14"/>
        <w:tabs>
          <w:tab w:val="right" w:leader="dot" w:pos="9632"/>
        </w:tabs>
        <w:spacing w:before="120" w:after="120"/>
        <w:rPr>
          <w:rFonts w:ascii="宋体" w:hAnsi="宋体" w:eastAsia="宋体" w:cs="宋体"/>
          <w:b/>
          <w:bCs/>
          <w:sz w:val="20"/>
          <w:szCs w:val="20"/>
        </w:rPr>
      </w:pPr>
      <w:r>
        <w:fldChar w:fldCharType="begin"/>
      </w:r>
      <w:r>
        <w:instrText xml:space="preserve"> HYPERLINK \l "_Toc192799322" </w:instrText>
      </w:r>
      <w:r>
        <w:fldChar w:fldCharType="separate"/>
      </w:r>
      <w:r>
        <w:rPr>
          <w:rFonts w:hint="eastAsia" w:ascii="宋体" w:hAnsi="宋体" w:eastAsia="宋体" w:cs="宋体"/>
          <w:b/>
          <w:bCs/>
          <w:sz w:val="20"/>
          <w:szCs w:val="20"/>
        </w:rPr>
        <w:t>附录A 监测设施验收表</w:t>
      </w:r>
      <w:r>
        <w:rPr>
          <w:rFonts w:hint="eastAsia" w:ascii="宋体" w:hAnsi="宋体" w:eastAsia="宋体" w:cs="宋体"/>
          <w:b/>
          <w:bCs/>
          <w:sz w:val="20"/>
          <w:szCs w:val="20"/>
        </w:rPr>
        <w:tab/>
      </w:r>
      <w:r>
        <w:rPr>
          <w:rFonts w:hint="eastAsia" w:ascii="宋体" w:hAnsi="宋体" w:eastAsia="宋体" w:cs="宋体"/>
          <w:b/>
          <w:bCs/>
          <w:sz w:val="20"/>
          <w:szCs w:val="20"/>
        </w:rPr>
        <w:fldChar w:fldCharType="end"/>
      </w:r>
      <w:r>
        <w:rPr>
          <w:rFonts w:hint="eastAsia" w:ascii="宋体" w:hAnsi="宋体" w:eastAsia="宋体" w:cs="宋体"/>
          <w:b/>
          <w:bCs/>
          <w:sz w:val="20"/>
          <w:szCs w:val="20"/>
        </w:rPr>
        <w:t>38</w:t>
      </w:r>
    </w:p>
    <w:p w14:paraId="559D0F71">
      <w:pPr>
        <w:pStyle w:val="14"/>
        <w:tabs>
          <w:tab w:val="right" w:leader="dot" w:pos="9632"/>
        </w:tabs>
        <w:spacing w:before="120" w:after="120"/>
        <w:rPr>
          <w:rFonts w:ascii="宋体" w:hAnsi="宋体" w:eastAsia="宋体" w:cs="宋体"/>
          <w:b/>
          <w:bCs/>
          <w:sz w:val="20"/>
          <w:szCs w:val="20"/>
        </w:rPr>
      </w:pPr>
      <w:r>
        <w:fldChar w:fldCharType="begin"/>
      </w:r>
      <w:r>
        <w:instrText xml:space="preserve"> HYPERLINK \l "_Toc192799323" </w:instrText>
      </w:r>
      <w:r>
        <w:fldChar w:fldCharType="separate"/>
      </w:r>
      <w:r>
        <w:rPr>
          <w:rFonts w:hint="eastAsia" w:ascii="宋体" w:hAnsi="宋体" w:eastAsia="宋体" w:cs="宋体"/>
          <w:b/>
          <w:bCs/>
          <w:sz w:val="20"/>
          <w:szCs w:val="20"/>
        </w:rPr>
        <w:t>附录B 综合调适与交付清单</w:t>
      </w:r>
      <w:r>
        <w:rPr>
          <w:rFonts w:hint="eastAsia" w:ascii="宋体" w:hAnsi="宋体" w:eastAsia="宋体" w:cs="宋体"/>
          <w:b/>
          <w:bCs/>
          <w:sz w:val="20"/>
          <w:szCs w:val="20"/>
        </w:rPr>
        <w:tab/>
      </w:r>
      <w:r>
        <w:rPr>
          <w:rFonts w:hint="eastAsia" w:ascii="宋体" w:hAnsi="宋体" w:eastAsia="宋体" w:cs="宋体"/>
          <w:b/>
          <w:bCs/>
          <w:sz w:val="20"/>
          <w:szCs w:val="20"/>
        </w:rPr>
        <w:fldChar w:fldCharType="begin"/>
      </w:r>
      <w:r>
        <w:rPr>
          <w:rFonts w:hint="eastAsia" w:ascii="宋体" w:hAnsi="宋体" w:eastAsia="宋体" w:cs="宋体"/>
          <w:b/>
          <w:bCs/>
          <w:sz w:val="20"/>
          <w:szCs w:val="20"/>
        </w:rPr>
        <w:instrText xml:space="preserve"> PAGEREF _Toc192799323 \h </w:instrText>
      </w:r>
      <w:r>
        <w:rPr>
          <w:rFonts w:hint="eastAsia" w:ascii="宋体" w:hAnsi="宋体" w:eastAsia="宋体" w:cs="宋体"/>
          <w:b/>
          <w:bCs/>
          <w:sz w:val="20"/>
          <w:szCs w:val="20"/>
        </w:rPr>
        <w:fldChar w:fldCharType="separate"/>
      </w:r>
      <w:r>
        <w:rPr>
          <w:rFonts w:hint="eastAsia" w:ascii="宋体" w:hAnsi="宋体" w:eastAsia="宋体" w:cs="宋体"/>
          <w:b/>
          <w:bCs/>
          <w:sz w:val="20"/>
          <w:szCs w:val="20"/>
        </w:rPr>
        <w:t>4</w:t>
      </w:r>
      <w:r>
        <w:rPr>
          <w:rFonts w:hint="eastAsia" w:ascii="宋体" w:hAnsi="宋体" w:eastAsia="宋体" w:cs="宋体"/>
          <w:b/>
          <w:bCs/>
          <w:sz w:val="20"/>
          <w:szCs w:val="20"/>
        </w:rPr>
        <w:fldChar w:fldCharType="end"/>
      </w:r>
      <w:r>
        <w:rPr>
          <w:rFonts w:hint="eastAsia" w:ascii="宋体" w:hAnsi="宋体" w:eastAsia="宋体" w:cs="宋体"/>
          <w:b/>
          <w:bCs/>
          <w:sz w:val="20"/>
          <w:szCs w:val="20"/>
        </w:rPr>
        <w:fldChar w:fldCharType="end"/>
      </w:r>
      <w:r>
        <w:rPr>
          <w:rFonts w:hint="eastAsia" w:ascii="宋体" w:hAnsi="宋体" w:eastAsia="宋体" w:cs="宋体"/>
          <w:b/>
          <w:bCs/>
          <w:sz w:val="20"/>
          <w:szCs w:val="20"/>
        </w:rPr>
        <w:t>1</w:t>
      </w:r>
    </w:p>
    <w:p w14:paraId="6FD1C33F">
      <w:pPr>
        <w:pStyle w:val="14"/>
        <w:tabs>
          <w:tab w:val="right" w:leader="dot" w:pos="9632"/>
        </w:tabs>
        <w:spacing w:before="120" w:after="120"/>
        <w:rPr>
          <w:rFonts w:ascii="宋体" w:hAnsi="宋体" w:eastAsia="宋体" w:cs="宋体"/>
          <w:b/>
          <w:bCs/>
          <w:sz w:val="20"/>
          <w:szCs w:val="20"/>
        </w:rPr>
      </w:pPr>
      <w:r>
        <w:fldChar w:fldCharType="begin"/>
      </w:r>
      <w:r>
        <w:instrText xml:space="preserve"> HYPERLINK \l "_Toc192799324" </w:instrText>
      </w:r>
      <w:r>
        <w:fldChar w:fldCharType="separate"/>
      </w:r>
      <w:r>
        <w:rPr>
          <w:rFonts w:hint="eastAsia" w:ascii="宋体" w:hAnsi="宋体" w:eastAsia="宋体" w:cs="宋体"/>
          <w:b/>
          <w:bCs/>
          <w:sz w:val="20"/>
          <w:szCs w:val="20"/>
        </w:rPr>
        <w:t>本标准用词说明</w:t>
      </w:r>
      <w:r>
        <w:rPr>
          <w:rFonts w:hint="eastAsia" w:ascii="宋体" w:hAnsi="宋体" w:eastAsia="宋体" w:cs="宋体"/>
          <w:b/>
          <w:bCs/>
          <w:sz w:val="20"/>
          <w:szCs w:val="20"/>
        </w:rPr>
        <w:tab/>
      </w:r>
      <w:r>
        <w:rPr>
          <w:rFonts w:hint="eastAsia" w:ascii="宋体" w:hAnsi="宋体" w:eastAsia="宋体" w:cs="宋体"/>
          <w:b/>
          <w:bCs/>
          <w:sz w:val="20"/>
          <w:szCs w:val="20"/>
        </w:rPr>
        <w:fldChar w:fldCharType="begin"/>
      </w:r>
      <w:r>
        <w:rPr>
          <w:rFonts w:hint="eastAsia" w:ascii="宋体" w:hAnsi="宋体" w:eastAsia="宋体" w:cs="宋体"/>
          <w:b/>
          <w:bCs/>
          <w:sz w:val="20"/>
          <w:szCs w:val="20"/>
        </w:rPr>
        <w:instrText xml:space="preserve"> PAGEREF _Toc192799324 \h </w:instrText>
      </w:r>
      <w:r>
        <w:rPr>
          <w:rFonts w:hint="eastAsia" w:ascii="宋体" w:hAnsi="宋体" w:eastAsia="宋体" w:cs="宋体"/>
          <w:b/>
          <w:bCs/>
          <w:sz w:val="20"/>
          <w:szCs w:val="20"/>
        </w:rPr>
        <w:fldChar w:fldCharType="separate"/>
      </w:r>
      <w:r>
        <w:rPr>
          <w:rFonts w:hint="eastAsia" w:ascii="宋体" w:hAnsi="宋体" w:eastAsia="宋体" w:cs="宋体"/>
          <w:b/>
          <w:bCs/>
          <w:sz w:val="20"/>
          <w:szCs w:val="20"/>
        </w:rPr>
        <w:t>4</w:t>
      </w:r>
      <w:r>
        <w:rPr>
          <w:rFonts w:hint="eastAsia" w:ascii="宋体" w:hAnsi="宋体" w:eastAsia="宋体" w:cs="宋体"/>
          <w:b/>
          <w:bCs/>
          <w:sz w:val="20"/>
          <w:szCs w:val="20"/>
        </w:rPr>
        <w:fldChar w:fldCharType="end"/>
      </w:r>
      <w:r>
        <w:rPr>
          <w:rFonts w:hint="eastAsia" w:ascii="宋体" w:hAnsi="宋体" w:eastAsia="宋体" w:cs="宋体"/>
          <w:b/>
          <w:bCs/>
          <w:sz w:val="20"/>
          <w:szCs w:val="20"/>
        </w:rPr>
        <w:fldChar w:fldCharType="end"/>
      </w:r>
      <w:r>
        <w:rPr>
          <w:rFonts w:hint="eastAsia" w:ascii="宋体" w:hAnsi="宋体" w:eastAsia="宋体" w:cs="宋体"/>
          <w:b/>
          <w:bCs/>
          <w:sz w:val="20"/>
          <w:szCs w:val="20"/>
        </w:rPr>
        <w:t>2</w:t>
      </w:r>
    </w:p>
    <w:p w14:paraId="0D07EEF5">
      <w:pPr>
        <w:pStyle w:val="14"/>
        <w:tabs>
          <w:tab w:val="right" w:leader="dot" w:pos="9632"/>
        </w:tabs>
        <w:spacing w:before="120" w:after="120"/>
        <w:rPr>
          <w:rFonts w:ascii="宋体" w:hAnsi="宋体" w:eastAsia="宋体" w:cs="宋体"/>
          <w:b/>
          <w:bCs/>
          <w:sz w:val="20"/>
          <w:szCs w:val="20"/>
        </w:rPr>
      </w:pPr>
      <w:r>
        <w:fldChar w:fldCharType="begin"/>
      </w:r>
      <w:r>
        <w:instrText xml:space="preserve"> HYPERLINK \l "_Toc192799325" </w:instrText>
      </w:r>
      <w:r>
        <w:fldChar w:fldCharType="separate"/>
      </w:r>
      <w:r>
        <w:rPr>
          <w:rFonts w:hint="eastAsia" w:ascii="宋体" w:hAnsi="宋体" w:eastAsia="宋体" w:cs="宋体"/>
          <w:b/>
          <w:bCs/>
          <w:sz w:val="20"/>
          <w:szCs w:val="20"/>
        </w:rPr>
        <w:t>引用标准名录</w:t>
      </w:r>
      <w:r>
        <w:rPr>
          <w:rFonts w:hint="eastAsia" w:ascii="宋体" w:hAnsi="宋体" w:eastAsia="宋体" w:cs="宋体"/>
          <w:b/>
          <w:bCs/>
          <w:sz w:val="20"/>
          <w:szCs w:val="20"/>
        </w:rPr>
        <w:tab/>
      </w:r>
      <w:r>
        <w:rPr>
          <w:rFonts w:hint="eastAsia" w:ascii="宋体" w:hAnsi="宋体" w:eastAsia="宋体" w:cs="宋体"/>
          <w:b/>
          <w:bCs/>
          <w:sz w:val="20"/>
          <w:szCs w:val="20"/>
        </w:rPr>
        <w:fldChar w:fldCharType="begin"/>
      </w:r>
      <w:r>
        <w:rPr>
          <w:rFonts w:hint="eastAsia" w:ascii="宋体" w:hAnsi="宋体" w:eastAsia="宋体" w:cs="宋体"/>
          <w:b/>
          <w:bCs/>
          <w:sz w:val="20"/>
          <w:szCs w:val="20"/>
        </w:rPr>
        <w:instrText xml:space="preserve"> PAGEREF _Toc192799325 \h </w:instrText>
      </w:r>
      <w:r>
        <w:rPr>
          <w:rFonts w:hint="eastAsia" w:ascii="宋体" w:hAnsi="宋体" w:eastAsia="宋体" w:cs="宋体"/>
          <w:b/>
          <w:bCs/>
          <w:sz w:val="20"/>
          <w:szCs w:val="20"/>
        </w:rPr>
        <w:fldChar w:fldCharType="separate"/>
      </w:r>
      <w:r>
        <w:rPr>
          <w:rFonts w:hint="eastAsia" w:ascii="宋体" w:hAnsi="宋体" w:eastAsia="宋体" w:cs="宋体"/>
          <w:b/>
          <w:bCs/>
          <w:sz w:val="20"/>
          <w:szCs w:val="20"/>
        </w:rPr>
        <w:t>4</w:t>
      </w:r>
      <w:r>
        <w:rPr>
          <w:rFonts w:hint="eastAsia" w:ascii="宋体" w:hAnsi="宋体" w:eastAsia="宋体" w:cs="宋体"/>
          <w:b/>
          <w:bCs/>
          <w:sz w:val="20"/>
          <w:szCs w:val="20"/>
        </w:rPr>
        <w:fldChar w:fldCharType="end"/>
      </w:r>
      <w:r>
        <w:rPr>
          <w:rFonts w:hint="eastAsia" w:ascii="宋体" w:hAnsi="宋体" w:eastAsia="宋体" w:cs="宋体"/>
          <w:b/>
          <w:bCs/>
          <w:sz w:val="20"/>
          <w:szCs w:val="20"/>
        </w:rPr>
        <w:fldChar w:fldCharType="end"/>
      </w:r>
      <w:r>
        <w:rPr>
          <w:rFonts w:hint="eastAsia" w:ascii="宋体" w:hAnsi="宋体" w:eastAsia="宋体" w:cs="宋体"/>
          <w:b/>
          <w:bCs/>
          <w:sz w:val="20"/>
          <w:szCs w:val="20"/>
        </w:rPr>
        <w:t>3</w:t>
      </w:r>
    </w:p>
    <w:p w14:paraId="073D2D74">
      <w:pPr>
        <w:pStyle w:val="14"/>
        <w:tabs>
          <w:tab w:val="right" w:leader="dot" w:pos="9632"/>
        </w:tabs>
        <w:spacing w:before="120" w:after="120"/>
        <w:rPr>
          <w:rFonts w:ascii="宋体" w:hAnsi="宋体" w:eastAsia="宋体"/>
          <w:bCs/>
          <w:sz w:val="21"/>
          <w:szCs w:val="21"/>
        </w:rPr>
      </w:pPr>
      <w:r>
        <w:fldChar w:fldCharType="begin"/>
      </w:r>
      <w:r>
        <w:instrText xml:space="preserve"> HYPERLINK \l "_Toc192799325" </w:instrText>
      </w:r>
      <w:r>
        <w:fldChar w:fldCharType="separate"/>
      </w:r>
      <w:r>
        <w:rPr>
          <w:rFonts w:hint="eastAsia" w:ascii="宋体" w:hAnsi="宋体" w:eastAsia="宋体" w:cs="宋体"/>
          <w:b/>
          <w:bCs/>
          <w:sz w:val="20"/>
          <w:szCs w:val="20"/>
        </w:rPr>
        <w:t>附：条  文  说  明</w:t>
      </w:r>
      <w:r>
        <w:rPr>
          <w:rFonts w:hint="eastAsia" w:ascii="宋体" w:hAnsi="宋体" w:eastAsia="宋体" w:cs="宋体"/>
          <w:b/>
          <w:bCs/>
          <w:sz w:val="20"/>
          <w:szCs w:val="20"/>
        </w:rPr>
        <w:tab/>
      </w:r>
      <w:r>
        <w:rPr>
          <w:rFonts w:hint="eastAsia" w:ascii="宋体" w:hAnsi="宋体" w:eastAsia="宋体" w:cs="宋体"/>
          <w:b/>
          <w:bCs/>
          <w:sz w:val="20"/>
          <w:szCs w:val="20"/>
        </w:rPr>
        <w:fldChar w:fldCharType="begin"/>
      </w:r>
      <w:r>
        <w:rPr>
          <w:rFonts w:hint="eastAsia" w:ascii="宋体" w:hAnsi="宋体" w:eastAsia="宋体" w:cs="宋体"/>
          <w:b/>
          <w:bCs/>
          <w:sz w:val="20"/>
          <w:szCs w:val="20"/>
        </w:rPr>
        <w:instrText xml:space="preserve"> PAGEREF _Toc192799325 \h </w:instrText>
      </w:r>
      <w:r>
        <w:rPr>
          <w:rFonts w:hint="eastAsia" w:ascii="宋体" w:hAnsi="宋体" w:eastAsia="宋体" w:cs="宋体"/>
          <w:b/>
          <w:bCs/>
          <w:sz w:val="20"/>
          <w:szCs w:val="20"/>
        </w:rPr>
        <w:fldChar w:fldCharType="separate"/>
      </w:r>
      <w:r>
        <w:rPr>
          <w:rFonts w:hint="eastAsia" w:ascii="宋体" w:hAnsi="宋体" w:eastAsia="宋体" w:cs="宋体"/>
          <w:b/>
          <w:bCs/>
          <w:sz w:val="20"/>
          <w:szCs w:val="20"/>
        </w:rPr>
        <w:t>4</w:t>
      </w:r>
      <w:r>
        <w:rPr>
          <w:rFonts w:hint="eastAsia" w:ascii="宋体" w:hAnsi="宋体" w:eastAsia="宋体" w:cs="宋体"/>
          <w:b/>
          <w:bCs/>
          <w:sz w:val="20"/>
          <w:szCs w:val="20"/>
        </w:rPr>
        <w:fldChar w:fldCharType="end"/>
      </w:r>
      <w:r>
        <w:rPr>
          <w:rFonts w:hint="eastAsia" w:ascii="宋体" w:hAnsi="宋体" w:eastAsia="宋体" w:cs="宋体"/>
          <w:b/>
          <w:bCs/>
          <w:sz w:val="20"/>
          <w:szCs w:val="20"/>
        </w:rPr>
        <w:fldChar w:fldCharType="end"/>
      </w:r>
      <w:r>
        <w:rPr>
          <w:rFonts w:hint="eastAsia" w:ascii="宋体" w:hAnsi="宋体" w:eastAsia="宋体" w:cs="宋体"/>
          <w:b/>
          <w:bCs/>
          <w:sz w:val="20"/>
          <w:szCs w:val="20"/>
        </w:rPr>
        <w:t>5</w:t>
      </w:r>
    </w:p>
    <w:p w14:paraId="18B077AB">
      <w:pPr>
        <w:ind w:firstLine="0" w:firstLineChars="0"/>
      </w:pPr>
    </w:p>
    <w:p w14:paraId="030545C3">
      <w:pPr>
        <w:ind w:firstLine="0" w:firstLineChars="0"/>
      </w:pPr>
    </w:p>
    <w:p w14:paraId="0F10E54B">
      <w:pPr>
        <w:pStyle w:val="14"/>
        <w:widowControl/>
        <w:tabs>
          <w:tab w:val="right" w:leader="dot" w:pos="9632"/>
        </w:tabs>
        <w:spacing w:before="120" w:after="120" w:line="360" w:lineRule="auto"/>
        <w:jc w:val="center"/>
        <w:rPr>
          <w:rFonts w:eastAsia="宋体" w:cs="Times New Roman"/>
          <w:b/>
          <w:color w:val="000000" w:themeColor="text1"/>
          <w:sz w:val="36"/>
          <w14:textFill>
            <w14:solidFill>
              <w14:schemeClr w14:val="tx1"/>
            </w14:solidFill>
          </w14:textFill>
        </w:rPr>
      </w:pPr>
      <w:r>
        <w:rPr>
          <w:rFonts w:ascii="宋体" w:hAnsi="宋体" w:eastAsia="宋体" w:cs="Times New Roman"/>
          <w:bCs/>
          <w:color w:val="365F91"/>
          <w:kern w:val="0"/>
          <w:sz w:val="21"/>
          <w:szCs w:val="21"/>
        </w:rPr>
        <w:fldChar w:fldCharType="end"/>
      </w:r>
      <w:r>
        <w:rPr>
          <w:rFonts w:eastAsia="宋体" w:cs="Times New Roman"/>
          <w:b/>
          <w:color w:val="000000" w:themeColor="text1"/>
          <w:sz w:val="36"/>
          <w:szCs w:val="36"/>
          <w14:textFill>
            <w14:solidFill>
              <w14:schemeClr w14:val="tx1"/>
            </w14:solidFill>
          </w14:textFill>
        </w:rPr>
        <w:t>Contents</w:t>
      </w:r>
    </w:p>
    <w:p w14:paraId="0F32489D">
      <w:pPr>
        <w:pStyle w:val="14"/>
        <w:tabs>
          <w:tab w:val="right" w:leader="dot" w:pos="9632"/>
        </w:tabs>
        <w:spacing w:before="120" w:after="120"/>
        <w:rPr>
          <w:rFonts w:eastAsia="宋体" w:cs="Times New Roman"/>
          <w:b/>
          <w:bCs/>
          <w:sz w:val="20"/>
          <w:szCs w:val="20"/>
        </w:rPr>
      </w:pPr>
      <w:r>
        <w:rPr>
          <w:rFonts w:eastAsia="宋体" w:cs="Times New Roman"/>
          <w:bCs/>
          <w:sz w:val="21"/>
          <w:szCs w:val="21"/>
        </w:rPr>
        <w:fldChar w:fldCharType="begin"/>
      </w:r>
      <w:r>
        <w:rPr>
          <w:rFonts w:eastAsia="宋体" w:cs="Times New Roman"/>
          <w:bCs/>
          <w:sz w:val="21"/>
          <w:szCs w:val="21"/>
        </w:rPr>
        <w:instrText xml:space="preserve"> TOC \o "1-2" \h \z \u </w:instrText>
      </w:r>
      <w:r>
        <w:rPr>
          <w:rFonts w:eastAsia="宋体" w:cs="Times New Roman"/>
          <w:bCs/>
          <w:sz w:val="21"/>
          <w:szCs w:val="21"/>
        </w:rPr>
        <w:fldChar w:fldCharType="separate"/>
      </w:r>
      <w:r>
        <w:fldChar w:fldCharType="begin"/>
      </w:r>
      <w:r>
        <w:instrText xml:space="preserve"> HYPERLINK \l "_Toc192256286" </w:instrText>
      </w:r>
      <w:r>
        <w:fldChar w:fldCharType="separate"/>
      </w:r>
      <w:r>
        <w:rPr>
          <w:rFonts w:eastAsia="宋体" w:cs="Times New Roman"/>
          <w:b/>
          <w:bCs/>
          <w:sz w:val="20"/>
          <w:szCs w:val="20"/>
        </w:rPr>
        <w:t>1</w:t>
      </w:r>
      <w:r>
        <w:rPr>
          <w:rFonts w:hint="eastAsia" w:eastAsia="宋体" w:cs="Times New Roman"/>
          <w:b/>
          <w:bCs/>
          <w:sz w:val="20"/>
          <w:szCs w:val="20"/>
        </w:rPr>
        <w:t xml:space="preserve"> </w:t>
      </w:r>
      <w:r>
        <w:rPr>
          <w:rFonts w:eastAsia="宋体" w:cs="Times New Roman"/>
          <w:b/>
          <w:bCs/>
          <w:sz w:val="20"/>
          <w:szCs w:val="20"/>
        </w:rPr>
        <w:t>General Provisions</w:t>
      </w:r>
      <w:r>
        <w:rPr>
          <w:rFonts w:eastAsia="宋体" w:cs="Times New Roman"/>
          <w:b/>
          <w:bCs/>
          <w:sz w:val="20"/>
          <w:szCs w:val="20"/>
        </w:rPr>
        <w:tab/>
      </w:r>
      <w:r>
        <w:rPr>
          <w:rFonts w:eastAsia="宋体" w:cs="Times New Roman"/>
          <w:b/>
          <w:bCs/>
          <w:sz w:val="20"/>
          <w:szCs w:val="20"/>
        </w:rPr>
        <w:fldChar w:fldCharType="begin"/>
      </w:r>
      <w:r>
        <w:rPr>
          <w:rFonts w:eastAsia="宋体" w:cs="Times New Roman"/>
          <w:b/>
          <w:bCs/>
          <w:sz w:val="20"/>
          <w:szCs w:val="20"/>
        </w:rPr>
        <w:instrText xml:space="preserve"> PAGEREF _Toc192256286 \h </w:instrText>
      </w:r>
      <w:r>
        <w:rPr>
          <w:rFonts w:eastAsia="宋体" w:cs="Times New Roman"/>
          <w:b/>
          <w:bCs/>
          <w:sz w:val="20"/>
          <w:szCs w:val="20"/>
        </w:rPr>
        <w:fldChar w:fldCharType="separate"/>
      </w:r>
      <w:r>
        <w:rPr>
          <w:rFonts w:eastAsia="宋体" w:cs="Times New Roman"/>
          <w:b/>
          <w:bCs/>
          <w:sz w:val="20"/>
          <w:szCs w:val="20"/>
        </w:rPr>
        <w:t>5</w:t>
      </w:r>
      <w:r>
        <w:rPr>
          <w:rFonts w:eastAsia="宋体" w:cs="Times New Roman"/>
          <w:b/>
          <w:bCs/>
          <w:sz w:val="20"/>
          <w:szCs w:val="20"/>
        </w:rPr>
        <w:fldChar w:fldCharType="end"/>
      </w:r>
      <w:r>
        <w:rPr>
          <w:rFonts w:eastAsia="宋体" w:cs="Times New Roman"/>
          <w:b/>
          <w:bCs/>
          <w:sz w:val="20"/>
          <w:szCs w:val="20"/>
        </w:rPr>
        <w:fldChar w:fldCharType="end"/>
      </w:r>
    </w:p>
    <w:p w14:paraId="77EC0AC5">
      <w:pPr>
        <w:pStyle w:val="14"/>
        <w:tabs>
          <w:tab w:val="right" w:leader="dot" w:pos="9632"/>
        </w:tabs>
        <w:spacing w:before="120" w:after="120"/>
        <w:rPr>
          <w:rFonts w:eastAsia="宋体" w:cs="Times New Roman"/>
          <w:b/>
          <w:bCs/>
          <w:sz w:val="20"/>
          <w:szCs w:val="20"/>
        </w:rPr>
      </w:pPr>
      <w:r>
        <w:fldChar w:fldCharType="begin"/>
      </w:r>
      <w:r>
        <w:instrText xml:space="preserve"> HYPERLINK \l "_Toc192256287" </w:instrText>
      </w:r>
      <w:r>
        <w:fldChar w:fldCharType="separate"/>
      </w:r>
      <w:r>
        <w:rPr>
          <w:rFonts w:eastAsia="宋体" w:cs="Times New Roman"/>
          <w:b/>
          <w:bCs/>
          <w:sz w:val="20"/>
          <w:szCs w:val="20"/>
        </w:rPr>
        <w:t>2</w:t>
      </w:r>
      <w:r>
        <w:rPr>
          <w:rFonts w:hint="eastAsia" w:eastAsia="宋体" w:cs="Times New Roman"/>
          <w:b/>
          <w:bCs/>
          <w:sz w:val="20"/>
          <w:szCs w:val="20"/>
        </w:rPr>
        <w:t xml:space="preserve"> </w:t>
      </w:r>
      <w:r>
        <w:rPr>
          <w:rFonts w:eastAsia="宋体" w:cs="Times New Roman"/>
          <w:b/>
          <w:bCs/>
          <w:sz w:val="20"/>
          <w:szCs w:val="20"/>
        </w:rPr>
        <w:t>Terms</w:t>
      </w:r>
      <w:r>
        <w:rPr>
          <w:rFonts w:hint="eastAsia" w:eastAsia="宋体" w:cs="Times New Roman"/>
          <w:b/>
          <w:bCs/>
          <w:sz w:val="20"/>
          <w:szCs w:val="20"/>
        </w:rPr>
        <w:t xml:space="preserve"> </w:t>
      </w:r>
      <w:r>
        <w:rPr>
          <w:rFonts w:eastAsia="宋体" w:cs="Times New Roman"/>
          <w:b/>
          <w:bCs/>
          <w:sz w:val="20"/>
          <w:szCs w:val="20"/>
        </w:rPr>
        <w:t>Symbols and Abbreviations</w:t>
      </w:r>
      <w:r>
        <w:rPr>
          <w:rFonts w:eastAsia="宋体" w:cs="Times New Roman"/>
          <w:b/>
          <w:bCs/>
          <w:sz w:val="20"/>
          <w:szCs w:val="20"/>
        </w:rPr>
        <w:tab/>
      </w:r>
      <w:r>
        <w:rPr>
          <w:rFonts w:eastAsia="宋体" w:cs="Times New Roman"/>
          <w:b/>
          <w:bCs/>
          <w:sz w:val="20"/>
          <w:szCs w:val="20"/>
        </w:rPr>
        <w:fldChar w:fldCharType="end"/>
      </w:r>
      <w:r>
        <w:rPr>
          <w:rFonts w:hint="eastAsia" w:eastAsia="宋体" w:cs="Times New Roman"/>
          <w:b/>
          <w:bCs/>
          <w:sz w:val="20"/>
          <w:szCs w:val="20"/>
        </w:rPr>
        <w:t>6</w:t>
      </w:r>
    </w:p>
    <w:p w14:paraId="7BED65C7">
      <w:pPr>
        <w:pStyle w:val="15"/>
        <w:tabs>
          <w:tab w:val="right" w:leader="dot" w:pos="9632"/>
        </w:tabs>
        <w:ind w:left="210" w:leftChars="0"/>
        <w:rPr>
          <w:rFonts w:eastAsia="宋体" w:cs="Times New Roman"/>
          <w:sz w:val="20"/>
          <w:szCs w:val="20"/>
        </w:rPr>
      </w:pPr>
      <w:r>
        <w:fldChar w:fldCharType="begin"/>
      </w:r>
      <w:r>
        <w:instrText xml:space="preserve"> HYPERLINK \l "_Toc192256288" </w:instrText>
      </w:r>
      <w:r>
        <w:fldChar w:fldCharType="separate"/>
      </w:r>
      <w:r>
        <w:rPr>
          <w:rStyle w:val="26"/>
          <w:rFonts w:eastAsia="宋体" w:cs="Times New Roman"/>
          <w:bCs/>
          <w:color w:val="auto"/>
          <w:sz w:val="20"/>
          <w:szCs w:val="20"/>
        </w:rPr>
        <w:t>2.1 Terms</w:t>
      </w:r>
      <w:r>
        <w:rPr>
          <w:rFonts w:eastAsia="宋体" w:cs="Times New Roman"/>
          <w:sz w:val="20"/>
          <w:szCs w:val="20"/>
        </w:rPr>
        <w:tab/>
      </w:r>
      <w:r>
        <w:rPr>
          <w:rFonts w:eastAsia="宋体" w:cs="Times New Roman"/>
          <w:sz w:val="20"/>
          <w:szCs w:val="20"/>
        </w:rPr>
        <w:fldChar w:fldCharType="end"/>
      </w:r>
      <w:r>
        <w:rPr>
          <w:rFonts w:hint="eastAsia" w:eastAsia="宋体" w:cs="Times New Roman"/>
          <w:sz w:val="20"/>
          <w:szCs w:val="20"/>
        </w:rPr>
        <w:t>6</w:t>
      </w:r>
    </w:p>
    <w:p w14:paraId="49B341C8">
      <w:pPr>
        <w:pStyle w:val="15"/>
        <w:tabs>
          <w:tab w:val="right" w:leader="dot" w:pos="9632"/>
        </w:tabs>
        <w:ind w:left="210" w:leftChars="0"/>
        <w:rPr>
          <w:rFonts w:eastAsia="宋体" w:cs="Times New Roman"/>
          <w:sz w:val="20"/>
          <w:szCs w:val="20"/>
        </w:rPr>
      </w:pPr>
      <w:r>
        <w:fldChar w:fldCharType="begin"/>
      </w:r>
      <w:r>
        <w:instrText xml:space="preserve"> HYPERLINK \l "_Toc192256288" </w:instrText>
      </w:r>
      <w:r>
        <w:fldChar w:fldCharType="separate"/>
      </w:r>
      <w:r>
        <w:rPr>
          <w:rStyle w:val="26"/>
          <w:rFonts w:eastAsia="宋体" w:cs="Times New Roman"/>
          <w:bCs/>
          <w:color w:val="auto"/>
          <w:sz w:val="20"/>
          <w:szCs w:val="20"/>
        </w:rPr>
        <w:t>2.2 Symbols</w:t>
      </w:r>
      <w:r>
        <w:rPr>
          <w:rFonts w:eastAsia="宋体" w:cs="Times New Roman"/>
          <w:sz w:val="20"/>
          <w:szCs w:val="20"/>
        </w:rPr>
        <w:tab/>
      </w:r>
      <w:r>
        <w:rPr>
          <w:rFonts w:eastAsia="宋体" w:cs="Times New Roman"/>
          <w:sz w:val="20"/>
          <w:szCs w:val="20"/>
        </w:rPr>
        <w:fldChar w:fldCharType="end"/>
      </w:r>
      <w:r>
        <w:rPr>
          <w:rFonts w:hint="eastAsia" w:eastAsia="宋体" w:cs="Times New Roman"/>
          <w:sz w:val="20"/>
          <w:szCs w:val="20"/>
        </w:rPr>
        <w:t>7</w:t>
      </w:r>
    </w:p>
    <w:p w14:paraId="69598518">
      <w:pPr>
        <w:pStyle w:val="15"/>
        <w:tabs>
          <w:tab w:val="right" w:leader="dot" w:pos="9632"/>
        </w:tabs>
        <w:ind w:left="210" w:leftChars="0"/>
        <w:rPr>
          <w:rFonts w:eastAsia="宋体" w:cs="Times New Roman"/>
          <w:sz w:val="20"/>
          <w:szCs w:val="20"/>
        </w:rPr>
      </w:pPr>
      <w:r>
        <w:fldChar w:fldCharType="begin"/>
      </w:r>
      <w:r>
        <w:instrText xml:space="preserve"> HYPERLINK \l "_Toc192256289" </w:instrText>
      </w:r>
      <w:r>
        <w:fldChar w:fldCharType="separate"/>
      </w:r>
      <w:r>
        <w:rPr>
          <w:rStyle w:val="26"/>
          <w:rFonts w:eastAsia="宋体" w:cs="Times New Roman"/>
          <w:bCs/>
          <w:color w:val="auto"/>
          <w:sz w:val="20"/>
          <w:szCs w:val="20"/>
        </w:rPr>
        <w:t>2.3 Abbreviations</w:t>
      </w:r>
      <w:r>
        <w:rPr>
          <w:rFonts w:eastAsia="宋体" w:cs="Times New Roman"/>
          <w:sz w:val="20"/>
          <w:szCs w:val="20"/>
        </w:rPr>
        <w:tab/>
      </w:r>
      <w:r>
        <w:rPr>
          <w:rFonts w:eastAsia="宋体" w:cs="Times New Roman"/>
          <w:sz w:val="20"/>
          <w:szCs w:val="20"/>
        </w:rPr>
        <w:fldChar w:fldCharType="end"/>
      </w:r>
      <w:r>
        <w:rPr>
          <w:rFonts w:hint="eastAsia" w:eastAsia="宋体" w:cs="Times New Roman"/>
          <w:sz w:val="20"/>
          <w:szCs w:val="20"/>
        </w:rPr>
        <w:t>8</w:t>
      </w:r>
    </w:p>
    <w:p w14:paraId="1FE87179">
      <w:pPr>
        <w:pStyle w:val="14"/>
        <w:tabs>
          <w:tab w:val="right" w:leader="dot" w:pos="9632"/>
        </w:tabs>
        <w:spacing w:before="120" w:after="120"/>
        <w:rPr>
          <w:rFonts w:eastAsia="宋体" w:cs="Times New Roman"/>
          <w:b/>
          <w:bCs/>
          <w:sz w:val="20"/>
          <w:szCs w:val="20"/>
        </w:rPr>
      </w:pPr>
      <w:r>
        <w:fldChar w:fldCharType="begin"/>
      </w:r>
      <w:r>
        <w:instrText xml:space="preserve"> HYPERLINK \l "_Toc192256290" </w:instrText>
      </w:r>
      <w:r>
        <w:fldChar w:fldCharType="separate"/>
      </w:r>
      <w:r>
        <w:rPr>
          <w:rFonts w:eastAsia="宋体" w:cs="Times New Roman"/>
          <w:b/>
          <w:bCs/>
          <w:sz w:val="20"/>
          <w:szCs w:val="20"/>
        </w:rPr>
        <w:t>3</w:t>
      </w:r>
      <w:r>
        <w:rPr>
          <w:rFonts w:hint="eastAsia" w:eastAsia="宋体" w:cs="Times New Roman"/>
          <w:b/>
          <w:bCs/>
          <w:sz w:val="20"/>
          <w:szCs w:val="20"/>
        </w:rPr>
        <w:t xml:space="preserve"> </w:t>
      </w:r>
      <w:r>
        <w:rPr>
          <w:rFonts w:eastAsia="宋体" w:cs="Times New Roman"/>
          <w:b/>
          <w:bCs/>
          <w:sz w:val="20"/>
          <w:szCs w:val="20"/>
        </w:rPr>
        <w:t>Basic Requirements</w:t>
      </w:r>
      <w:r>
        <w:rPr>
          <w:rFonts w:eastAsia="宋体" w:cs="Times New Roman"/>
          <w:b/>
          <w:bCs/>
          <w:sz w:val="20"/>
          <w:szCs w:val="20"/>
        </w:rPr>
        <w:tab/>
      </w:r>
      <w:r>
        <w:rPr>
          <w:rFonts w:eastAsia="宋体" w:cs="Times New Roman"/>
          <w:b/>
          <w:bCs/>
          <w:sz w:val="20"/>
          <w:szCs w:val="20"/>
        </w:rPr>
        <w:fldChar w:fldCharType="end"/>
      </w:r>
      <w:r>
        <w:rPr>
          <w:rFonts w:hint="eastAsia" w:eastAsia="宋体" w:cs="Times New Roman"/>
          <w:b/>
          <w:bCs/>
          <w:sz w:val="20"/>
          <w:szCs w:val="20"/>
        </w:rPr>
        <w:t>9</w:t>
      </w:r>
    </w:p>
    <w:p w14:paraId="43CCFEF4">
      <w:pPr>
        <w:pStyle w:val="14"/>
        <w:tabs>
          <w:tab w:val="right" w:leader="dot" w:pos="9632"/>
        </w:tabs>
        <w:spacing w:before="120" w:after="120"/>
        <w:rPr>
          <w:rFonts w:eastAsia="宋体" w:cs="Times New Roman"/>
          <w:b/>
          <w:bCs/>
          <w:sz w:val="20"/>
          <w:szCs w:val="20"/>
        </w:rPr>
      </w:pPr>
      <w:r>
        <w:fldChar w:fldCharType="begin"/>
      </w:r>
      <w:r>
        <w:instrText xml:space="preserve"> HYPERLINK \l "_Toc192256291" </w:instrText>
      </w:r>
      <w:r>
        <w:fldChar w:fldCharType="separate"/>
      </w:r>
      <w:r>
        <w:rPr>
          <w:rFonts w:eastAsia="宋体" w:cs="Times New Roman"/>
          <w:b/>
          <w:bCs/>
          <w:sz w:val="20"/>
          <w:szCs w:val="20"/>
        </w:rPr>
        <w:t>4</w:t>
      </w:r>
      <w:r>
        <w:rPr>
          <w:rFonts w:hint="eastAsia" w:eastAsia="宋体" w:cs="Times New Roman"/>
          <w:b/>
          <w:bCs/>
          <w:sz w:val="20"/>
          <w:szCs w:val="20"/>
        </w:rPr>
        <w:t xml:space="preserve"> </w:t>
      </w:r>
      <w:r>
        <w:rPr>
          <w:rFonts w:eastAsia="宋体" w:cs="Times New Roman"/>
          <w:b/>
          <w:bCs/>
          <w:sz w:val="20"/>
          <w:szCs w:val="20"/>
        </w:rPr>
        <w:t>Front-end Monitoring Facilities</w:t>
      </w:r>
      <w:r>
        <w:rPr>
          <w:rFonts w:eastAsia="宋体" w:cs="Times New Roman"/>
          <w:b/>
          <w:bCs/>
          <w:sz w:val="20"/>
          <w:szCs w:val="20"/>
        </w:rPr>
        <w:tab/>
      </w:r>
      <w:r>
        <w:rPr>
          <w:rFonts w:eastAsia="宋体" w:cs="Times New Roman"/>
          <w:b/>
          <w:bCs/>
          <w:sz w:val="20"/>
          <w:szCs w:val="20"/>
        </w:rPr>
        <w:t>10</w:t>
      </w:r>
      <w:r>
        <w:rPr>
          <w:rFonts w:eastAsia="宋体" w:cs="Times New Roman"/>
          <w:b/>
          <w:bCs/>
          <w:sz w:val="20"/>
          <w:szCs w:val="20"/>
        </w:rPr>
        <w:fldChar w:fldCharType="end"/>
      </w:r>
    </w:p>
    <w:p w14:paraId="261704F7">
      <w:pPr>
        <w:pStyle w:val="15"/>
        <w:tabs>
          <w:tab w:val="right" w:leader="dot" w:pos="9632"/>
        </w:tabs>
        <w:ind w:left="210" w:leftChars="0"/>
        <w:rPr>
          <w:rFonts w:eastAsia="宋体" w:cs="Times New Roman"/>
          <w:sz w:val="20"/>
          <w:szCs w:val="20"/>
        </w:rPr>
      </w:pPr>
      <w:r>
        <w:fldChar w:fldCharType="begin"/>
      </w:r>
      <w:r>
        <w:instrText xml:space="preserve"> HYPERLINK \l "_Toc192256292" </w:instrText>
      </w:r>
      <w:r>
        <w:fldChar w:fldCharType="separate"/>
      </w:r>
      <w:r>
        <w:rPr>
          <w:rFonts w:eastAsia="宋体" w:cs="Times New Roman"/>
          <w:sz w:val="20"/>
          <w:szCs w:val="20"/>
        </w:rPr>
        <w:t>4.1 General Requirements</w:t>
      </w:r>
      <w:r>
        <w:rPr>
          <w:rFonts w:eastAsia="宋体" w:cs="Times New Roman"/>
          <w:sz w:val="20"/>
          <w:szCs w:val="20"/>
        </w:rPr>
        <w:tab/>
      </w:r>
      <w:r>
        <w:rPr>
          <w:rFonts w:eastAsia="宋体" w:cs="Times New Roman"/>
          <w:sz w:val="20"/>
          <w:szCs w:val="20"/>
        </w:rPr>
        <w:t>1</w:t>
      </w:r>
      <w:r>
        <w:rPr>
          <w:rFonts w:eastAsia="宋体" w:cs="Times New Roman"/>
          <w:sz w:val="20"/>
          <w:szCs w:val="20"/>
        </w:rPr>
        <w:fldChar w:fldCharType="end"/>
      </w:r>
      <w:r>
        <w:rPr>
          <w:rFonts w:hint="eastAsia" w:eastAsia="宋体" w:cs="Times New Roman"/>
          <w:sz w:val="20"/>
          <w:szCs w:val="20"/>
        </w:rPr>
        <w:t>0</w:t>
      </w:r>
    </w:p>
    <w:p w14:paraId="4756CECE">
      <w:pPr>
        <w:pStyle w:val="15"/>
        <w:tabs>
          <w:tab w:val="right" w:leader="dot" w:pos="9632"/>
        </w:tabs>
        <w:ind w:left="210" w:leftChars="0"/>
        <w:rPr>
          <w:rFonts w:eastAsia="宋体" w:cs="Times New Roman"/>
          <w:sz w:val="20"/>
          <w:szCs w:val="20"/>
        </w:rPr>
      </w:pPr>
      <w:r>
        <w:fldChar w:fldCharType="begin"/>
      </w:r>
      <w:r>
        <w:instrText xml:space="preserve"> HYPERLINK \l "_Toc192256293" </w:instrText>
      </w:r>
      <w:r>
        <w:fldChar w:fldCharType="separate"/>
      </w:r>
      <w:r>
        <w:rPr>
          <w:rFonts w:eastAsia="宋体" w:cs="Times New Roman"/>
          <w:sz w:val="20"/>
          <w:szCs w:val="20"/>
        </w:rPr>
        <w:t>4.2 Gas</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_Toc192256293 \h </w:instrText>
      </w:r>
      <w:r>
        <w:rPr>
          <w:rFonts w:eastAsia="宋体" w:cs="Times New Roman"/>
          <w:sz w:val="20"/>
          <w:szCs w:val="20"/>
        </w:rPr>
        <w:fldChar w:fldCharType="separate"/>
      </w:r>
      <w:r>
        <w:rPr>
          <w:rFonts w:eastAsia="宋体" w:cs="Times New Roman"/>
          <w:sz w:val="20"/>
          <w:szCs w:val="20"/>
        </w:rPr>
        <w:t>1</w:t>
      </w:r>
      <w:r>
        <w:rPr>
          <w:rFonts w:eastAsia="宋体" w:cs="Times New Roman"/>
          <w:sz w:val="20"/>
          <w:szCs w:val="20"/>
        </w:rPr>
        <w:fldChar w:fldCharType="end"/>
      </w:r>
      <w:r>
        <w:rPr>
          <w:rFonts w:eastAsia="宋体" w:cs="Times New Roman"/>
          <w:sz w:val="20"/>
          <w:szCs w:val="20"/>
        </w:rPr>
        <w:fldChar w:fldCharType="end"/>
      </w:r>
      <w:r>
        <w:rPr>
          <w:rFonts w:hint="eastAsia" w:eastAsia="宋体" w:cs="Times New Roman"/>
          <w:sz w:val="20"/>
          <w:szCs w:val="20"/>
        </w:rPr>
        <w:t>0</w:t>
      </w:r>
    </w:p>
    <w:p w14:paraId="5F4DF82B">
      <w:pPr>
        <w:pStyle w:val="15"/>
        <w:tabs>
          <w:tab w:val="right" w:leader="dot" w:pos="9632"/>
        </w:tabs>
        <w:ind w:left="210" w:leftChars="0"/>
        <w:rPr>
          <w:rFonts w:eastAsia="宋体" w:cs="Times New Roman"/>
          <w:sz w:val="20"/>
          <w:szCs w:val="20"/>
        </w:rPr>
      </w:pPr>
      <w:r>
        <w:fldChar w:fldCharType="begin"/>
      </w:r>
      <w:r>
        <w:instrText xml:space="preserve"> HYPERLINK \l "_Toc192256294" </w:instrText>
      </w:r>
      <w:r>
        <w:fldChar w:fldCharType="separate"/>
      </w:r>
      <w:r>
        <w:rPr>
          <w:rFonts w:eastAsia="宋体" w:cs="Times New Roman"/>
          <w:sz w:val="20"/>
          <w:szCs w:val="20"/>
        </w:rPr>
        <w:t>4.3 Water Supply</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_Toc192256294 \h </w:instrText>
      </w:r>
      <w:r>
        <w:rPr>
          <w:rFonts w:eastAsia="宋体" w:cs="Times New Roman"/>
          <w:sz w:val="20"/>
          <w:szCs w:val="20"/>
        </w:rPr>
        <w:fldChar w:fldCharType="separate"/>
      </w:r>
      <w:r>
        <w:rPr>
          <w:rFonts w:eastAsia="宋体" w:cs="Times New Roman"/>
          <w:sz w:val="20"/>
          <w:szCs w:val="20"/>
        </w:rPr>
        <w:t>1</w:t>
      </w:r>
      <w:r>
        <w:rPr>
          <w:rFonts w:eastAsia="宋体" w:cs="Times New Roman"/>
          <w:sz w:val="20"/>
          <w:szCs w:val="20"/>
        </w:rPr>
        <w:fldChar w:fldCharType="end"/>
      </w:r>
      <w:r>
        <w:rPr>
          <w:rFonts w:eastAsia="宋体" w:cs="Times New Roman"/>
          <w:sz w:val="20"/>
          <w:szCs w:val="20"/>
        </w:rPr>
        <w:fldChar w:fldCharType="end"/>
      </w:r>
      <w:r>
        <w:rPr>
          <w:rFonts w:hint="eastAsia" w:eastAsia="宋体" w:cs="Times New Roman"/>
          <w:sz w:val="20"/>
          <w:szCs w:val="20"/>
        </w:rPr>
        <w:t>1</w:t>
      </w:r>
    </w:p>
    <w:p w14:paraId="415FBC9E">
      <w:pPr>
        <w:pStyle w:val="15"/>
        <w:tabs>
          <w:tab w:val="right" w:leader="dot" w:pos="9632"/>
        </w:tabs>
        <w:ind w:left="210" w:leftChars="0"/>
        <w:rPr>
          <w:rFonts w:eastAsia="宋体" w:cs="Times New Roman"/>
          <w:sz w:val="20"/>
          <w:szCs w:val="20"/>
        </w:rPr>
      </w:pPr>
      <w:r>
        <w:fldChar w:fldCharType="begin"/>
      </w:r>
      <w:r>
        <w:instrText xml:space="preserve"> HYPERLINK \l "_Toc192256295" </w:instrText>
      </w:r>
      <w:r>
        <w:fldChar w:fldCharType="separate"/>
      </w:r>
      <w:r>
        <w:rPr>
          <w:rFonts w:eastAsia="宋体" w:cs="Times New Roman"/>
          <w:sz w:val="20"/>
          <w:szCs w:val="20"/>
        </w:rPr>
        <w:t>4.4 Drainage</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_Toc192256295 \h </w:instrText>
      </w:r>
      <w:r>
        <w:rPr>
          <w:rFonts w:eastAsia="宋体" w:cs="Times New Roman"/>
          <w:sz w:val="20"/>
          <w:szCs w:val="20"/>
        </w:rPr>
        <w:fldChar w:fldCharType="separate"/>
      </w:r>
      <w:r>
        <w:rPr>
          <w:rFonts w:eastAsia="宋体" w:cs="Times New Roman"/>
          <w:sz w:val="20"/>
          <w:szCs w:val="20"/>
        </w:rPr>
        <w:t>1</w:t>
      </w:r>
      <w:r>
        <w:rPr>
          <w:rFonts w:eastAsia="宋体" w:cs="Times New Roman"/>
          <w:sz w:val="20"/>
          <w:szCs w:val="20"/>
        </w:rPr>
        <w:fldChar w:fldCharType="end"/>
      </w:r>
      <w:r>
        <w:rPr>
          <w:rFonts w:eastAsia="宋体" w:cs="Times New Roman"/>
          <w:sz w:val="20"/>
          <w:szCs w:val="20"/>
        </w:rPr>
        <w:fldChar w:fldCharType="end"/>
      </w:r>
      <w:r>
        <w:rPr>
          <w:rFonts w:hint="eastAsia" w:eastAsia="宋体" w:cs="Times New Roman"/>
          <w:sz w:val="20"/>
          <w:szCs w:val="20"/>
        </w:rPr>
        <w:t>3</w:t>
      </w:r>
    </w:p>
    <w:p w14:paraId="2866B172">
      <w:pPr>
        <w:pStyle w:val="15"/>
        <w:tabs>
          <w:tab w:val="right" w:leader="dot" w:pos="9632"/>
        </w:tabs>
        <w:ind w:left="210" w:leftChars="0"/>
        <w:rPr>
          <w:rFonts w:eastAsia="宋体" w:cs="Times New Roman"/>
          <w:sz w:val="20"/>
          <w:szCs w:val="20"/>
        </w:rPr>
      </w:pPr>
      <w:r>
        <w:fldChar w:fldCharType="begin"/>
      </w:r>
      <w:r>
        <w:instrText xml:space="preserve"> HYPERLINK \l "_Toc192256296" </w:instrText>
      </w:r>
      <w:r>
        <w:fldChar w:fldCharType="separate"/>
      </w:r>
      <w:r>
        <w:rPr>
          <w:rFonts w:eastAsia="宋体" w:cs="Times New Roman"/>
          <w:sz w:val="20"/>
          <w:szCs w:val="20"/>
        </w:rPr>
        <w:t>4.5 Heating</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_Toc192256296 \h </w:instrText>
      </w:r>
      <w:r>
        <w:rPr>
          <w:rFonts w:eastAsia="宋体" w:cs="Times New Roman"/>
          <w:sz w:val="20"/>
          <w:szCs w:val="20"/>
        </w:rPr>
        <w:fldChar w:fldCharType="separate"/>
      </w:r>
      <w:r>
        <w:rPr>
          <w:rFonts w:eastAsia="宋体" w:cs="Times New Roman"/>
          <w:sz w:val="20"/>
          <w:szCs w:val="20"/>
        </w:rPr>
        <w:t>16</w:t>
      </w:r>
      <w:r>
        <w:rPr>
          <w:rFonts w:eastAsia="宋体" w:cs="Times New Roman"/>
          <w:sz w:val="20"/>
          <w:szCs w:val="20"/>
        </w:rPr>
        <w:fldChar w:fldCharType="end"/>
      </w:r>
      <w:r>
        <w:rPr>
          <w:rFonts w:eastAsia="宋体" w:cs="Times New Roman"/>
          <w:sz w:val="20"/>
          <w:szCs w:val="20"/>
        </w:rPr>
        <w:fldChar w:fldCharType="end"/>
      </w:r>
    </w:p>
    <w:p w14:paraId="41ECB979">
      <w:pPr>
        <w:pStyle w:val="15"/>
        <w:tabs>
          <w:tab w:val="right" w:leader="dot" w:pos="9632"/>
        </w:tabs>
        <w:ind w:left="210" w:leftChars="0"/>
        <w:rPr>
          <w:rFonts w:eastAsia="宋体" w:cs="Times New Roman"/>
          <w:sz w:val="20"/>
          <w:szCs w:val="20"/>
        </w:rPr>
      </w:pPr>
      <w:r>
        <w:fldChar w:fldCharType="begin"/>
      </w:r>
      <w:r>
        <w:instrText xml:space="preserve"> HYPERLINK \l "_Toc192256297" </w:instrText>
      </w:r>
      <w:r>
        <w:fldChar w:fldCharType="separate"/>
      </w:r>
      <w:r>
        <w:rPr>
          <w:rFonts w:eastAsia="宋体" w:cs="Times New Roman"/>
          <w:sz w:val="20"/>
          <w:szCs w:val="20"/>
        </w:rPr>
        <w:t>4.6 Bridges</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_Toc192256297 \h </w:instrText>
      </w:r>
      <w:r>
        <w:rPr>
          <w:rFonts w:eastAsia="宋体" w:cs="Times New Roman"/>
          <w:sz w:val="20"/>
          <w:szCs w:val="20"/>
        </w:rPr>
        <w:fldChar w:fldCharType="separate"/>
      </w:r>
      <w:r>
        <w:rPr>
          <w:rFonts w:eastAsia="宋体" w:cs="Times New Roman"/>
          <w:sz w:val="20"/>
          <w:szCs w:val="20"/>
        </w:rPr>
        <w:t>1</w:t>
      </w:r>
      <w:r>
        <w:rPr>
          <w:rFonts w:eastAsia="宋体" w:cs="Times New Roman"/>
          <w:sz w:val="20"/>
          <w:szCs w:val="20"/>
        </w:rPr>
        <w:fldChar w:fldCharType="end"/>
      </w:r>
      <w:r>
        <w:rPr>
          <w:rFonts w:eastAsia="宋体" w:cs="Times New Roman"/>
          <w:sz w:val="20"/>
          <w:szCs w:val="20"/>
        </w:rPr>
        <w:fldChar w:fldCharType="end"/>
      </w:r>
      <w:r>
        <w:rPr>
          <w:rFonts w:hint="eastAsia" w:eastAsia="宋体" w:cs="Times New Roman"/>
          <w:sz w:val="20"/>
          <w:szCs w:val="20"/>
        </w:rPr>
        <w:t>7</w:t>
      </w:r>
    </w:p>
    <w:p w14:paraId="1B559CB8">
      <w:pPr>
        <w:pStyle w:val="15"/>
        <w:tabs>
          <w:tab w:val="right" w:leader="dot" w:pos="9632"/>
        </w:tabs>
        <w:ind w:left="210" w:leftChars="0"/>
        <w:rPr>
          <w:rFonts w:eastAsia="宋体" w:cs="Times New Roman"/>
          <w:sz w:val="20"/>
          <w:szCs w:val="20"/>
        </w:rPr>
      </w:pPr>
      <w:r>
        <w:fldChar w:fldCharType="begin"/>
      </w:r>
      <w:r>
        <w:instrText xml:space="preserve"> HYPERLINK \l "_Toc192256298" </w:instrText>
      </w:r>
      <w:r>
        <w:fldChar w:fldCharType="separate"/>
      </w:r>
      <w:r>
        <w:rPr>
          <w:rFonts w:eastAsia="宋体" w:cs="Times New Roman"/>
          <w:sz w:val="20"/>
          <w:szCs w:val="20"/>
        </w:rPr>
        <w:t>4.7 Utility Tunnels</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_Toc192256298 \h </w:instrText>
      </w:r>
      <w:r>
        <w:rPr>
          <w:rFonts w:eastAsia="宋体" w:cs="Times New Roman"/>
          <w:sz w:val="20"/>
          <w:szCs w:val="20"/>
        </w:rPr>
        <w:fldChar w:fldCharType="separate"/>
      </w:r>
      <w:r>
        <w:rPr>
          <w:rFonts w:eastAsia="宋体" w:cs="Times New Roman"/>
          <w:sz w:val="20"/>
          <w:szCs w:val="20"/>
        </w:rPr>
        <w:t>24</w:t>
      </w:r>
      <w:r>
        <w:rPr>
          <w:rFonts w:eastAsia="宋体" w:cs="Times New Roman"/>
          <w:sz w:val="20"/>
          <w:szCs w:val="20"/>
        </w:rPr>
        <w:fldChar w:fldCharType="end"/>
      </w:r>
      <w:r>
        <w:rPr>
          <w:rFonts w:eastAsia="宋体" w:cs="Times New Roman"/>
          <w:sz w:val="20"/>
          <w:szCs w:val="20"/>
        </w:rPr>
        <w:fldChar w:fldCharType="end"/>
      </w:r>
    </w:p>
    <w:p w14:paraId="1CA292BD">
      <w:pPr>
        <w:pStyle w:val="14"/>
        <w:tabs>
          <w:tab w:val="right" w:leader="dot" w:pos="9632"/>
        </w:tabs>
        <w:spacing w:before="120" w:after="120"/>
        <w:rPr>
          <w:rFonts w:eastAsia="宋体" w:cs="Times New Roman"/>
          <w:b/>
          <w:bCs/>
          <w:sz w:val="20"/>
          <w:szCs w:val="20"/>
        </w:rPr>
      </w:pPr>
      <w:r>
        <w:fldChar w:fldCharType="begin"/>
      </w:r>
      <w:r>
        <w:instrText xml:space="preserve"> HYPERLINK \l "_Toc192256299" </w:instrText>
      </w:r>
      <w:r>
        <w:fldChar w:fldCharType="separate"/>
      </w:r>
      <w:r>
        <w:rPr>
          <w:rFonts w:eastAsia="宋体" w:cs="Times New Roman"/>
          <w:b/>
          <w:bCs/>
          <w:sz w:val="20"/>
          <w:szCs w:val="20"/>
        </w:rPr>
        <w:t>5 Signal Transmission Facilities</w:t>
      </w:r>
      <w:r>
        <w:rPr>
          <w:rFonts w:eastAsia="宋体" w:cs="Times New Roman"/>
          <w:b/>
          <w:bCs/>
          <w:sz w:val="20"/>
          <w:szCs w:val="20"/>
        </w:rPr>
        <w:tab/>
      </w:r>
      <w:r>
        <w:rPr>
          <w:rFonts w:eastAsia="宋体" w:cs="Times New Roman"/>
          <w:b/>
          <w:bCs/>
          <w:sz w:val="20"/>
          <w:szCs w:val="20"/>
        </w:rPr>
        <w:fldChar w:fldCharType="begin"/>
      </w:r>
      <w:r>
        <w:rPr>
          <w:rFonts w:eastAsia="宋体" w:cs="Times New Roman"/>
          <w:b/>
          <w:bCs/>
          <w:sz w:val="20"/>
          <w:szCs w:val="20"/>
        </w:rPr>
        <w:instrText xml:space="preserve"> PAGEREF _Toc192256299 \h </w:instrText>
      </w:r>
      <w:r>
        <w:rPr>
          <w:rFonts w:eastAsia="宋体" w:cs="Times New Roman"/>
          <w:b/>
          <w:bCs/>
          <w:sz w:val="20"/>
          <w:szCs w:val="20"/>
        </w:rPr>
        <w:fldChar w:fldCharType="separate"/>
      </w:r>
      <w:r>
        <w:rPr>
          <w:rFonts w:eastAsia="宋体" w:cs="Times New Roman"/>
          <w:b/>
          <w:bCs/>
          <w:sz w:val="20"/>
          <w:szCs w:val="20"/>
        </w:rPr>
        <w:t>28</w:t>
      </w:r>
      <w:r>
        <w:rPr>
          <w:rFonts w:eastAsia="宋体" w:cs="Times New Roman"/>
          <w:b/>
          <w:bCs/>
          <w:sz w:val="20"/>
          <w:szCs w:val="20"/>
        </w:rPr>
        <w:fldChar w:fldCharType="end"/>
      </w:r>
      <w:r>
        <w:rPr>
          <w:rFonts w:eastAsia="宋体" w:cs="Times New Roman"/>
          <w:b/>
          <w:bCs/>
          <w:sz w:val="20"/>
          <w:szCs w:val="20"/>
        </w:rPr>
        <w:fldChar w:fldCharType="end"/>
      </w:r>
    </w:p>
    <w:p w14:paraId="58A416E3">
      <w:pPr>
        <w:pStyle w:val="15"/>
        <w:tabs>
          <w:tab w:val="right" w:leader="dot" w:pos="9632"/>
        </w:tabs>
        <w:ind w:left="210" w:leftChars="0"/>
        <w:rPr>
          <w:rFonts w:eastAsia="宋体" w:cs="Times New Roman"/>
          <w:sz w:val="20"/>
          <w:szCs w:val="20"/>
        </w:rPr>
      </w:pPr>
      <w:r>
        <w:fldChar w:fldCharType="begin"/>
      </w:r>
      <w:r>
        <w:instrText xml:space="preserve"> HYPERLINK \l "_Toc192256300" </w:instrText>
      </w:r>
      <w:r>
        <w:fldChar w:fldCharType="separate"/>
      </w:r>
      <w:r>
        <w:rPr>
          <w:rFonts w:eastAsia="宋体" w:cs="Times New Roman"/>
          <w:sz w:val="20"/>
          <w:szCs w:val="20"/>
        </w:rPr>
        <w:t>5.1 General Requirements</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_Toc192256300 \h </w:instrText>
      </w:r>
      <w:r>
        <w:rPr>
          <w:rFonts w:eastAsia="宋体" w:cs="Times New Roman"/>
          <w:sz w:val="20"/>
          <w:szCs w:val="20"/>
        </w:rPr>
        <w:fldChar w:fldCharType="separate"/>
      </w:r>
      <w:r>
        <w:rPr>
          <w:rFonts w:eastAsia="宋体" w:cs="Times New Roman"/>
          <w:sz w:val="20"/>
          <w:szCs w:val="20"/>
        </w:rPr>
        <w:t>28</w:t>
      </w:r>
      <w:r>
        <w:rPr>
          <w:rFonts w:eastAsia="宋体" w:cs="Times New Roman"/>
          <w:sz w:val="20"/>
          <w:szCs w:val="20"/>
        </w:rPr>
        <w:fldChar w:fldCharType="end"/>
      </w:r>
      <w:r>
        <w:rPr>
          <w:rFonts w:eastAsia="宋体" w:cs="Times New Roman"/>
          <w:sz w:val="20"/>
          <w:szCs w:val="20"/>
        </w:rPr>
        <w:fldChar w:fldCharType="end"/>
      </w:r>
    </w:p>
    <w:p w14:paraId="210A1763">
      <w:pPr>
        <w:pStyle w:val="15"/>
        <w:tabs>
          <w:tab w:val="right" w:leader="dot" w:pos="9632"/>
        </w:tabs>
        <w:ind w:left="210" w:leftChars="0"/>
        <w:rPr>
          <w:rFonts w:eastAsia="宋体" w:cs="Times New Roman"/>
          <w:sz w:val="20"/>
          <w:szCs w:val="20"/>
        </w:rPr>
      </w:pPr>
      <w:r>
        <w:fldChar w:fldCharType="begin"/>
      </w:r>
      <w:r>
        <w:instrText xml:space="preserve"> HYPERLINK \l "_Toc192256301" </w:instrText>
      </w:r>
      <w:r>
        <w:fldChar w:fldCharType="separate"/>
      </w:r>
      <w:r>
        <w:rPr>
          <w:rFonts w:eastAsia="宋体" w:cs="Times New Roman"/>
          <w:sz w:val="20"/>
          <w:szCs w:val="20"/>
        </w:rPr>
        <w:t>5.2 Transmission Methods</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_Toc192256301 \h </w:instrText>
      </w:r>
      <w:r>
        <w:rPr>
          <w:rFonts w:eastAsia="宋体" w:cs="Times New Roman"/>
          <w:sz w:val="20"/>
          <w:szCs w:val="20"/>
        </w:rPr>
        <w:fldChar w:fldCharType="separate"/>
      </w:r>
      <w:r>
        <w:rPr>
          <w:rFonts w:eastAsia="宋体" w:cs="Times New Roman"/>
          <w:sz w:val="20"/>
          <w:szCs w:val="20"/>
        </w:rPr>
        <w:t>28</w:t>
      </w:r>
      <w:r>
        <w:rPr>
          <w:rFonts w:eastAsia="宋体" w:cs="Times New Roman"/>
          <w:sz w:val="20"/>
          <w:szCs w:val="20"/>
        </w:rPr>
        <w:fldChar w:fldCharType="end"/>
      </w:r>
      <w:r>
        <w:rPr>
          <w:rFonts w:eastAsia="宋体" w:cs="Times New Roman"/>
          <w:sz w:val="20"/>
          <w:szCs w:val="20"/>
        </w:rPr>
        <w:fldChar w:fldCharType="end"/>
      </w:r>
    </w:p>
    <w:p w14:paraId="37D52B2A">
      <w:pPr>
        <w:pStyle w:val="15"/>
        <w:tabs>
          <w:tab w:val="right" w:leader="dot" w:pos="9632"/>
        </w:tabs>
        <w:ind w:left="210" w:leftChars="0"/>
        <w:rPr>
          <w:rFonts w:eastAsia="宋体" w:cs="Times New Roman"/>
          <w:sz w:val="20"/>
          <w:szCs w:val="20"/>
        </w:rPr>
      </w:pPr>
      <w:r>
        <w:fldChar w:fldCharType="begin"/>
      </w:r>
      <w:r>
        <w:instrText xml:space="preserve"> HYPERLINK \l "_Toc192256302" </w:instrText>
      </w:r>
      <w:r>
        <w:fldChar w:fldCharType="separate"/>
      </w:r>
      <w:r>
        <w:rPr>
          <w:rFonts w:eastAsia="宋体" w:cs="Times New Roman"/>
          <w:sz w:val="20"/>
          <w:szCs w:val="20"/>
        </w:rPr>
        <w:t>5.3 Cable Selection</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_Toc192256302 \h </w:instrText>
      </w:r>
      <w:r>
        <w:rPr>
          <w:rFonts w:eastAsia="宋体" w:cs="Times New Roman"/>
          <w:sz w:val="20"/>
          <w:szCs w:val="20"/>
        </w:rPr>
        <w:fldChar w:fldCharType="separate"/>
      </w:r>
      <w:r>
        <w:rPr>
          <w:rFonts w:eastAsia="宋体" w:cs="Times New Roman"/>
          <w:sz w:val="20"/>
          <w:szCs w:val="20"/>
        </w:rPr>
        <w:t>28</w:t>
      </w:r>
      <w:r>
        <w:rPr>
          <w:rFonts w:eastAsia="宋体" w:cs="Times New Roman"/>
          <w:sz w:val="20"/>
          <w:szCs w:val="20"/>
        </w:rPr>
        <w:fldChar w:fldCharType="end"/>
      </w:r>
      <w:r>
        <w:rPr>
          <w:rFonts w:eastAsia="宋体" w:cs="Times New Roman"/>
          <w:sz w:val="20"/>
          <w:szCs w:val="20"/>
        </w:rPr>
        <w:fldChar w:fldCharType="end"/>
      </w:r>
    </w:p>
    <w:p w14:paraId="521B79FA">
      <w:pPr>
        <w:pStyle w:val="15"/>
        <w:tabs>
          <w:tab w:val="right" w:leader="dot" w:pos="9632"/>
        </w:tabs>
        <w:ind w:left="210" w:leftChars="0"/>
        <w:rPr>
          <w:rFonts w:eastAsia="宋体" w:cs="Times New Roman"/>
          <w:sz w:val="20"/>
          <w:szCs w:val="20"/>
        </w:rPr>
      </w:pPr>
      <w:r>
        <w:fldChar w:fldCharType="begin"/>
      </w:r>
      <w:r>
        <w:instrText xml:space="preserve"> HYPERLINK \l "_Toc192256303" </w:instrText>
      </w:r>
      <w:r>
        <w:fldChar w:fldCharType="separate"/>
      </w:r>
      <w:r>
        <w:rPr>
          <w:rFonts w:eastAsia="宋体" w:cs="Times New Roman"/>
          <w:sz w:val="20"/>
          <w:szCs w:val="20"/>
        </w:rPr>
        <w:t>5.4 Communication Gateways</w:t>
      </w:r>
      <w:r>
        <w:rPr>
          <w:rFonts w:eastAsia="宋体" w:cs="Times New Roman"/>
          <w:sz w:val="20"/>
          <w:szCs w:val="20"/>
        </w:rPr>
        <w:tab/>
      </w:r>
      <w:r>
        <w:rPr>
          <w:rFonts w:eastAsia="宋体" w:cs="Times New Roman"/>
          <w:sz w:val="20"/>
          <w:szCs w:val="20"/>
        </w:rPr>
        <w:fldChar w:fldCharType="end"/>
      </w:r>
      <w:r>
        <w:rPr>
          <w:rFonts w:hint="eastAsia" w:eastAsia="宋体" w:cs="Times New Roman"/>
          <w:sz w:val="20"/>
          <w:szCs w:val="20"/>
        </w:rPr>
        <w:t>29</w:t>
      </w:r>
    </w:p>
    <w:p w14:paraId="3D76BD4B">
      <w:pPr>
        <w:pStyle w:val="15"/>
        <w:tabs>
          <w:tab w:val="right" w:leader="dot" w:pos="9632"/>
        </w:tabs>
        <w:ind w:left="210" w:leftChars="0"/>
        <w:rPr>
          <w:rFonts w:eastAsia="宋体" w:cs="Times New Roman"/>
          <w:sz w:val="21"/>
          <w:szCs w:val="21"/>
        </w:rPr>
      </w:pPr>
      <w:r>
        <w:fldChar w:fldCharType="begin"/>
      </w:r>
      <w:r>
        <w:instrText xml:space="preserve"> HYPERLINK \l "_Toc192256304" </w:instrText>
      </w:r>
      <w:r>
        <w:fldChar w:fldCharType="separate"/>
      </w:r>
      <w:r>
        <w:rPr>
          <w:rFonts w:eastAsia="宋体" w:cs="Times New Roman"/>
          <w:sz w:val="20"/>
          <w:szCs w:val="20"/>
        </w:rPr>
        <w:t>5.5 ‌Intelligent Applications</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_Toc192256304 \h </w:instrText>
      </w:r>
      <w:r>
        <w:rPr>
          <w:rFonts w:eastAsia="宋体" w:cs="Times New Roman"/>
          <w:sz w:val="20"/>
          <w:szCs w:val="20"/>
        </w:rPr>
        <w:fldChar w:fldCharType="separate"/>
      </w:r>
      <w:r>
        <w:rPr>
          <w:rFonts w:eastAsia="宋体" w:cs="Times New Roman"/>
          <w:sz w:val="20"/>
          <w:szCs w:val="20"/>
        </w:rPr>
        <w:t>3</w:t>
      </w:r>
      <w:r>
        <w:rPr>
          <w:rFonts w:eastAsia="宋体" w:cs="Times New Roman"/>
          <w:sz w:val="20"/>
          <w:szCs w:val="20"/>
        </w:rPr>
        <w:fldChar w:fldCharType="end"/>
      </w:r>
      <w:r>
        <w:rPr>
          <w:rFonts w:eastAsia="宋体" w:cs="Times New Roman"/>
          <w:sz w:val="20"/>
          <w:szCs w:val="20"/>
        </w:rPr>
        <w:fldChar w:fldCharType="end"/>
      </w:r>
      <w:r>
        <w:rPr>
          <w:rFonts w:hint="eastAsia" w:eastAsia="宋体" w:cs="Times New Roman"/>
          <w:sz w:val="20"/>
          <w:szCs w:val="20"/>
        </w:rPr>
        <w:t>0</w:t>
      </w:r>
    </w:p>
    <w:p w14:paraId="21CFADFF">
      <w:pPr>
        <w:pStyle w:val="14"/>
        <w:tabs>
          <w:tab w:val="right" w:leader="dot" w:pos="9632"/>
        </w:tabs>
        <w:spacing w:before="120" w:after="120"/>
        <w:rPr>
          <w:rFonts w:eastAsia="宋体" w:cs="Times New Roman"/>
          <w:b/>
          <w:bCs/>
          <w:sz w:val="20"/>
          <w:szCs w:val="20"/>
        </w:rPr>
      </w:pPr>
      <w:r>
        <w:fldChar w:fldCharType="begin"/>
      </w:r>
      <w:r>
        <w:instrText xml:space="preserve"> HYPERLINK \l "_Toc192256305" </w:instrText>
      </w:r>
      <w:r>
        <w:fldChar w:fldCharType="separate"/>
      </w:r>
      <w:r>
        <w:rPr>
          <w:rFonts w:eastAsia="宋体" w:cs="Times New Roman"/>
          <w:b/>
          <w:bCs/>
          <w:sz w:val="20"/>
          <w:szCs w:val="20"/>
        </w:rPr>
        <w:t xml:space="preserve">6 Monitoring Center and </w:t>
      </w:r>
      <w:bookmarkStart w:id="30" w:name="_Hlk192799859"/>
      <w:r>
        <w:rPr>
          <w:rFonts w:eastAsia="宋体" w:cs="Times New Roman"/>
          <w:b/>
          <w:bCs/>
          <w:sz w:val="20"/>
          <w:szCs w:val="20"/>
        </w:rPr>
        <w:t>Other Facilities</w:t>
      </w:r>
      <w:bookmarkEnd w:id="30"/>
      <w:r>
        <w:rPr>
          <w:rFonts w:eastAsia="宋体" w:cs="Times New Roman"/>
          <w:b/>
          <w:bCs/>
          <w:sz w:val="20"/>
          <w:szCs w:val="20"/>
        </w:rPr>
        <w:tab/>
      </w:r>
      <w:r>
        <w:rPr>
          <w:rFonts w:eastAsia="宋体" w:cs="Times New Roman"/>
          <w:b/>
          <w:bCs/>
          <w:sz w:val="20"/>
          <w:szCs w:val="20"/>
        </w:rPr>
        <w:fldChar w:fldCharType="begin"/>
      </w:r>
      <w:r>
        <w:rPr>
          <w:rFonts w:eastAsia="宋体" w:cs="Times New Roman"/>
          <w:b/>
          <w:bCs/>
          <w:sz w:val="20"/>
          <w:szCs w:val="20"/>
        </w:rPr>
        <w:instrText xml:space="preserve"> PAGEREF _Toc192256305 \h </w:instrText>
      </w:r>
      <w:r>
        <w:rPr>
          <w:rFonts w:eastAsia="宋体" w:cs="Times New Roman"/>
          <w:b/>
          <w:bCs/>
          <w:sz w:val="20"/>
          <w:szCs w:val="20"/>
        </w:rPr>
        <w:fldChar w:fldCharType="separate"/>
      </w:r>
      <w:r>
        <w:rPr>
          <w:rFonts w:eastAsia="宋体" w:cs="Times New Roman"/>
          <w:b/>
          <w:bCs/>
          <w:sz w:val="20"/>
          <w:szCs w:val="20"/>
        </w:rPr>
        <w:t>3</w:t>
      </w:r>
      <w:r>
        <w:rPr>
          <w:rFonts w:eastAsia="宋体" w:cs="Times New Roman"/>
          <w:b/>
          <w:bCs/>
          <w:sz w:val="20"/>
          <w:szCs w:val="20"/>
        </w:rPr>
        <w:fldChar w:fldCharType="end"/>
      </w:r>
      <w:r>
        <w:rPr>
          <w:rFonts w:eastAsia="宋体" w:cs="Times New Roman"/>
          <w:b/>
          <w:bCs/>
          <w:sz w:val="20"/>
          <w:szCs w:val="20"/>
        </w:rPr>
        <w:fldChar w:fldCharType="end"/>
      </w:r>
      <w:r>
        <w:rPr>
          <w:rFonts w:hint="eastAsia" w:eastAsia="宋体" w:cs="Times New Roman"/>
          <w:b/>
          <w:bCs/>
          <w:sz w:val="20"/>
          <w:szCs w:val="20"/>
        </w:rPr>
        <w:t>2</w:t>
      </w:r>
    </w:p>
    <w:p w14:paraId="50775A27">
      <w:pPr>
        <w:pStyle w:val="15"/>
        <w:tabs>
          <w:tab w:val="right" w:leader="dot" w:pos="9632"/>
        </w:tabs>
        <w:ind w:left="210" w:leftChars="0"/>
        <w:rPr>
          <w:rFonts w:eastAsia="宋体" w:cs="Times New Roman"/>
          <w:sz w:val="20"/>
          <w:szCs w:val="20"/>
        </w:rPr>
      </w:pPr>
      <w:r>
        <w:fldChar w:fldCharType="begin"/>
      </w:r>
      <w:r>
        <w:instrText xml:space="preserve"> HYPERLINK \l "_Toc192256300" </w:instrText>
      </w:r>
      <w:r>
        <w:fldChar w:fldCharType="separate"/>
      </w:r>
      <w:r>
        <w:rPr>
          <w:rFonts w:eastAsia="宋体" w:cs="Times New Roman"/>
          <w:sz w:val="20"/>
          <w:szCs w:val="20"/>
        </w:rPr>
        <w:t>6.1 General Requirements</w:t>
      </w:r>
      <w:r>
        <w:rPr>
          <w:rFonts w:eastAsia="宋体" w:cs="Times New Roman"/>
          <w:sz w:val="20"/>
          <w:szCs w:val="20"/>
        </w:rPr>
        <w:tab/>
      </w:r>
      <w:r>
        <w:rPr>
          <w:rFonts w:eastAsia="宋体" w:cs="Times New Roman"/>
          <w:sz w:val="20"/>
          <w:szCs w:val="20"/>
        </w:rPr>
        <w:fldChar w:fldCharType="end"/>
      </w:r>
      <w:r>
        <w:rPr>
          <w:rFonts w:hint="eastAsia" w:eastAsia="宋体" w:cs="Times New Roman"/>
          <w:sz w:val="20"/>
          <w:szCs w:val="20"/>
        </w:rPr>
        <w:t>32</w:t>
      </w:r>
    </w:p>
    <w:p w14:paraId="353B41AD">
      <w:pPr>
        <w:pStyle w:val="15"/>
        <w:tabs>
          <w:tab w:val="right" w:leader="dot" w:pos="9632"/>
        </w:tabs>
        <w:ind w:left="210" w:leftChars="0"/>
        <w:rPr>
          <w:rFonts w:eastAsia="宋体" w:cs="Times New Roman"/>
          <w:sz w:val="20"/>
          <w:szCs w:val="20"/>
        </w:rPr>
      </w:pPr>
      <w:r>
        <w:fldChar w:fldCharType="begin"/>
      </w:r>
      <w:r>
        <w:instrText xml:space="preserve"> HYPERLINK \l "_Toc192256306" </w:instrText>
      </w:r>
      <w:r>
        <w:fldChar w:fldCharType="separate"/>
      </w:r>
      <w:r>
        <w:rPr>
          <w:rFonts w:eastAsia="宋体" w:cs="Times New Roman"/>
          <w:sz w:val="20"/>
          <w:szCs w:val="20"/>
        </w:rPr>
        <w:t>6.2 Front-end Equipment Room</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_Toc192256306 \h </w:instrText>
      </w:r>
      <w:r>
        <w:rPr>
          <w:rFonts w:eastAsia="宋体" w:cs="Times New Roman"/>
          <w:sz w:val="20"/>
          <w:szCs w:val="20"/>
        </w:rPr>
        <w:fldChar w:fldCharType="separate"/>
      </w:r>
      <w:r>
        <w:rPr>
          <w:rFonts w:eastAsia="宋体" w:cs="Times New Roman"/>
          <w:sz w:val="20"/>
          <w:szCs w:val="20"/>
        </w:rPr>
        <w:t>3</w:t>
      </w:r>
      <w:r>
        <w:rPr>
          <w:rFonts w:eastAsia="宋体" w:cs="Times New Roman"/>
          <w:sz w:val="20"/>
          <w:szCs w:val="20"/>
        </w:rPr>
        <w:fldChar w:fldCharType="end"/>
      </w:r>
      <w:r>
        <w:rPr>
          <w:rFonts w:eastAsia="宋体" w:cs="Times New Roman"/>
          <w:sz w:val="20"/>
          <w:szCs w:val="20"/>
        </w:rPr>
        <w:fldChar w:fldCharType="end"/>
      </w:r>
      <w:r>
        <w:rPr>
          <w:rFonts w:hint="eastAsia" w:eastAsia="宋体" w:cs="Times New Roman"/>
          <w:sz w:val="20"/>
          <w:szCs w:val="20"/>
        </w:rPr>
        <w:t>2</w:t>
      </w:r>
    </w:p>
    <w:p w14:paraId="70D47F5C">
      <w:pPr>
        <w:pStyle w:val="15"/>
        <w:tabs>
          <w:tab w:val="right" w:leader="dot" w:pos="9632"/>
        </w:tabs>
        <w:ind w:left="210" w:leftChars="0"/>
        <w:rPr>
          <w:rFonts w:eastAsia="宋体" w:cs="Times New Roman"/>
          <w:sz w:val="20"/>
          <w:szCs w:val="20"/>
        </w:rPr>
      </w:pPr>
      <w:r>
        <w:fldChar w:fldCharType="begin"/>
      </w:r>
      <w:r>
        <w:instrText xml:space="preserve"> HYPERLINK \l "_Toc192256307" </w:instrText>
      </w:r>
      <w:r>
        <w:fldChar w:fldCharType="separate"/>
      </w:r>
      <w:r>
        <w:rPr>
          <w:rFonts w:eastAsia="宋体" w:cs="Times New Roman"/>
          <w:sz w:val="20"/>
          <w:szCs w:val="20"/>
        </w:rPr>
        <w:t>6.3 Monitoring Center</w:t>
      </w:r>
      <w:r>
        <w:rPr>
          <w:rFonts w:eastAsia="宋体" w:cs="Times New Roman"/>
          <w:sz w:val="20"/>
          <w:szCs w:val="20"/>
        </w:rPr>
        <w:tab/>
      </w:r>
      <w:r>
        <w:rPr>
          <w:rFonts w:eastAsia="宋体" w:cs="Times New Roman"/>
          <w:sz w:val="20"/>
          <w:szCs w:val="20"/>
        </w:rPr>
        <w:fldChar w:fldCharType="begin"/>
      </w:r>
      <w:r>
        <w:rPr>
          <w:rFonts w:eastAsia="宋体" w:cs="Times New Roman"/>
          <w:sz w:val="20"/>
          <w:szCs w:val="20"/>
        </w:rPr>
        <w:instrText xml:space="preserve"> PAGEREF _Toc192256307 \h </w:instrText>
      </w:r>
      <w:r>
        <w:rPr>
          <w:rFonts w:eastAsia="宋体" w:cs="Times New Roman"/>
          <w:sz w:val="20"/>
          <w:szCs w:val="20"/>
        </w:rPr>
        <w:fldChar w:fldCharType="separate"/>
      </w:r>
      <w:r>
        <w:rPr>
          <w:rFonts w:eastAsia="宋体" w:cs="Times New Roman"/>
          <w:sz w:val="20"/>
          <w:szCs w:val="20"/>
        </w:rPr>
        <w:t>3</w:t>
      </w:r>
      <w:r>
        <w:rPr>
          <w:rFonts w:eastAsia="宋体" w:cs="Times New Roman"/>
          <w:sz w:val="20"/>
          <w:szCs w:val="20"/>
        </w:rPr>
        <w:fldChar w:fldCharType="end"/>
      </w:r>
      <w:r>
        <w:rPr>
          <w:rFonts w:eastAsia="宋体" w:cs="Times New Roman"/>
          <w:sz w:val="20"/>
          <w:szCs w:val="20"/>
        </w:rPr>
        <w:fldChar w:fldCharType="end"/>
      </w:r>
      <w:r>
        <w:rPr>
          <w:rFonts w:hint="eastAsia" w:eastAsia="宋体" w:cs="Times New Roman"/>
          <w:sz w:val="20"/>
          <w:szCs w:val="20"/>
        </w:rPr>
        <w:t>3</w:t>
      </w:r>
    </w:p>
    <w:p w14:paraId="621FEF88">
      <w:pPr>
        <w:pStyle w:val="15"/>
        <w:tabs>
          <w:tab w:val="right" w:leader="dot" w:pos="9632"/>
        </w:tabs>
        <w:ind w:left="210" w:leftChars="0"/>
        <w:rPr>
          <w:rFonts w:eastAsia="宋体" w:cs="Times New Roman"/>
          <w:sz w:val="21"/>
          <w:szCs w:val="21"/>
        </w:rPr>
      </w:pPr>
      <w:r>
        <w:fldChar w:fldCharType="begin"/>
      </w:r>
      <w:r>
        <w:instrText xml:space="preserve"> HYPERLINK \l "_Toc192256308" </w:instrText>
      </w:r>
      <w:r>
        <w:fldChar w:fldCharType="separate"/>
      </w:r>
      <w:r>
        <w:rPr>
          <w:rFonts w:eastAsia="宋体" w:cs="Times New Roman"/>
          <w:sz w:val="20"/>
          <w:szCs w:val="20"/>
        </w:rPr>
        <w:t>6.4 Other Facilities</w:t>
      </w:r>
      <w:r>
        <w:rPr>
          <w:rFonts w:eastAsia="宋体" w:cs="Times New Roman"/>
          <w:sz w:val="20"/>
          <w:szCs w:val="20"/>
        </w:rPr>
        <w:tab/>
      </w:r>
      <w:r>
        <w:rPr>
          <w:rFonts w:eastAsia="宋体" w:cs="Times New Roman"/>
          <w:sz w:val="20"/>
          <w:szCs w:val="20"/>
        </w:rPr>
        <w:t>3</w:t>
      </w:r>
      <w:r>
        <w:rPr>
          <w:rFonts w:eastAsia="宋体" w:cs="Times New Roman"/>
          <w:sz w:val="20"/>
          <w:szCs w:val="20"/>
        </w:rPr>
        <w:fldChar w:fldCharType="end"/>
      </w:r>
      <w:r>
        <w:rPr>
          <w:rFonts w:hint="eastAsia" w:eastAsia="宋体" w:cs="Times New Roman"/>
          <w:sz w:val="20"/>
          <w:szCs w:val="20"/>
        </w:rPr>
        <w:t>3</w:t>
      </w:r>
    </w:p>
    <w:p w14:paraId="70E8870F">
      <w:pPr>
        <w:pStyle w:val="14"/>
        <w:tabs>
          <w:tab w:val="right" w:leader="dot" w:pos="9632"/>
        </w:tabs>
        <w:spacing w:before="120" w:after="120"/>
        <w:rPr>
          <w:rFonts w:eastAsia="宋体" w:cs="Times New Roman"/>
          <w:b/>
          <w:bCs/>
          <w:sz w:val="20"/>
          <w:szCs w:val="20"/>
        </w:rPr>
      </w:pPr>
      <w:r>
        <w:fldChar w:fldCharType="begin"/>
      </w:r>
      <w:r>
        <w:instrText xml:space="preserve"> HYPERLINK \l "_Toc192256309" </w:instrText>
      </w:r>
      <w:r>
        <w:fldChar w:fldCharType="separate"/>
      </w:r>
      <w:r>
        <w:rPr>
          <w:rFonts w:eastAsia="宋体" w:cs="Times New Roman"/>
          <w:b/>
          <w:bCs/>
          <w:sz w:val="20"/>
          <w:szCs w:val="20"/>
        </w:rPr>
        <w:t>7 Acceptance and Delivery</w:t>
      </w:r>
      <w:r>
        <w:rPr>
          <w:rFonts w:eastAsia="宋体" w:cs="Times New Roman"/>
          <w:b/>
          <w:bCs/>
          <w:sz w:val="20"/>
          <w:szCs w:val="20"/>
        </w:rPr>
        <w:tab/>
      </w:r>
      <w:r>
        <w:rPr>
          <w:rFonts w:eastAsia="宋体" w:cs="Times New Roman"/>
          <w:b/>
          <w:bCs/>
          <w:sz w:val="20"/>
          <w:szCs w:val="20"/>
        </w:rPr>
        <w:t>3</w:t>
      </w:r>
      <w:r>
        <w:rPr>
          <w:rFonts w:eastAsia="宋体" w:cs="Times New Roman"/>
          <w:b/>
          <w:bCs/>
          <w:sz w:val="20"/>
          <w:szCs w:val="20"/>
        </w:rPr>
        <w:fldChar w:fldCharType="end"/>
      </w:r>
      <w:r>
        <w:rPr>
          <w:rFonts w:hint="eastAsia" w:eastAsia="宋体" w:cs="Times New Roman"/>
          <w:b/>
          <w:bCs/>
          <w:sz w:val="20"/>
          <w:szCs w:val="20"/>
        </w:rPr>
        <w:t>5</w:t>
      </w:r>
    </w:p>
    <w:p w14:paraId="069A0517">
      <w:pPr>
        <w:pStyle w:val="15"/>
        <w:tabs>
          <w:tab w:val="right" w:leader="dot" w:pos="9632"/>
        </w:tabs>
        <w:ind w:left="210" w:leftChars="0"/>
        <w:rPr>
          <w:rFonts w:eastAsia="宋体" w:cs="Times New Roman"/>
          <w:sz w:val="20"/>
          <w:szCs w:val="20"/>
        </w:rPr>
      </w:pPr>
      <w:r>
        <w:fldChar w:fldCharType="begin"/>
      </w:r>
      <w:r>
        <w:instrText xml:space="preserve"> HYPERLINK \l "_Toc192256310" </w:instrText>
      </w:r>
      <w:r>
        <w:fldChar w:fldCharType="separate"/>
      </w:r>
      <w:r>
        <w:rPr>
          <w:rFonts w:eastAsia="宋体" w:cs="Times New Roman"/>
          <w:sz w:val="20"/>
          <w:szCs w:val="20"/>
        </w:rPr>
        <w:t>7.1 General Requirements</w:t>
      </w:r>
      <w:r>
        <w:rPr>
          <w:rFonts w:eastAsia="宋体" w:cs="Times New Roman"/>
          <w:sz w:val="20"/>
          <w:szCs w:val="20"/>
        </w:rPr>
        <w:tab/>
      </w:r>
      <w:r>
        <w:rPr>
          <w:rFonts w:eastAsia="宋体" w:cs="Times New Roman"/>
          <w:sz w:val="20"/>
          <w:szCs w:val="20"/>
        </w:rPr>
        <w:t>3</w:t>
      </w:r>
      <w:r>
        <w:rPr>
          <w:rFonts w:eastAsia="宋体" w:cs="Times New Roman"/>
          <w:sz w:val="20"/>
          <w:szCs w:val="20"/>
        </w:rPr>
        <w:fldChar w:fldCharType="end"/>
      </w:r>
      <w:r>
        <w:rPr>
          <w:rFonts w:hint="eastAsia" w:eastAsia="宋体" w:cs="Times New Roman"/>
          <w:sz w:val="20"/>
          <w:szCs w:val="20"/>
        </w:rPr>
        <w:t>5</w:t>
      </w:r>
    </w:p>
    <w:p w14:paraId="7FEE20D2">
      <w:pPr>
        <w:pStyle w:val="15"/>
        <w:tabs>
          <w:tab w:val="right" w:leader="dot" w:pos="9632"/>
        </w:tabs>
        <w:ind w:left="210" w:leftChars="0"/>
        <w:rPr>
          <w:rFonts w:eastAsia="宋体" w:cs="Times New Roman"/>
          <w:sz w:val="20"/>
          <w:szCs w:val="20"/>
        </w:rPr>
      </w:pPr>
      <w:r>
        <w:fldChar w:fldCharType="begin"/>
      </w:r>
      <w:r>
        <w:instrText xml:space="preserve"> HYPERLINK \l "_Toc192256311" </w:instrText>
      </w:r>
      <w:r>
        <w:fldChar w:fldCharType="separate"/>
      </w:r>
      <w:r>
        <w:rPr>
          <w:rFonts w:eastAsia="宋体" w:cs="Times New Roman"/>
          <w:sz w:val="20"/>
          <w:szCs w:val="20"/>
        </w:rPr>
        <w:t xml:space="preserve">7.2 Acceptance </w:t>
      </w:r>
      <w:r>
        <w:rPr>
          <w:rFonts w:hint="eastAsia" w:eastAsia="宋体" w:cs="Times New Roman"/>
          <w:sz w:val="20"/>
          <w:szCs w:val="20"/>
        </w:rPr>
        <w:t>R</w:t>
      </w:r>
      <w:r>
        <w:rPr>
          <w:rFonts w:eastAsia="宋体" w:cs="Times New Roman"/>
          <w:sz w:val="20"/>
          <w:szCs w:val="20"/>
        </w:rPr>
        <w:t>equirements</w:t>
      </w:r>
      <w:r>
        <w:rPr>
          <w:rFonts w:eastAsia="宋体" w:cs="Times New Roman"/>
          <w:sz w:val="20"/>
          <w:szCs w:val="20"/>
        </w:rPr>
        <w:tab/>
      </w:r>
      <w:r>
        <w:rPr>
          <w:rFonts w:eastAsia="宋体" w:cs="Times New Roman"/>
          <w:sz w:val="20"/>
          <w:szCs w:val="20"/>
        </w:rPr>
        <w:t>3</w:t>
      </w:r>
      <w:r>
        <w:rPr>
          <w:rFonts w:eastAsia="宋体" w:cs="Times New Roman"/>
          <w:sz w:val="20"/>
          <w:szCs w:val="20"/>
        </w:rPr>
        <w:fldChar w:fldCharType="end"/>
      </w:r>
      <w:r>
        <w:rPr>
          <w:rFonts w:hint="eastAsia" w:eastAsia="宋体" w:cs="Times New Roman"/>
          <w:sz w:val="20"/>
          <w:szCs w:val="20"/>
        </w:rPr>
        <w:t>5</w:t>
      </w:r>
    </w:p>
    <w:p w14:paraId="125C3D3B">
      <w:pPr>
        <w:pStyle w:val="15"/>
        <w:tabs>
          <w:tab w:val="right" w:leader="dot" w:pos="9632"/>
        </w:tabs>
        <w:ind w:left="210" w:leftChars="0"/>
        <w:rPr>
          <w:rFonts w:eastAsia="宋体" w:cs="Times New Roman"/>
          <w:sz w:val="20"/>
          <w:szCs w:val="20"/>
        </w:rPr>
      </w:pPr>
      <w:r>
        <w:fldChar w:fldCharType="begin"/>
      </w:r>
      <w:r>
        <w:instrText xml:space="preserve"> HYPERLINK \l "_Toc192256312" </w:instrText>
      </w:r>
      <w:r>
        <w:fldChar w:fldCharType="separate"/>
      </w:r>
      <w:r>
        <w:rPr>
          <w:rFonts w:eastAsia="宋体" w:cs="Times New Roman"/>
          <w:sz w:val="20"/>
          <w:szCs w:val="20"/>
        </w:rPr>
        <w:t>7.3 Acceptance Document</w:t>
      </w:r>
      <w:r>
        <w:rPr>
          <w:rFonts w:hint="eastAsia" w:eastAsia="宋体" w:cs="Times New Roman"/>
          <w:sz w:val="20"/>
          <w:szCs w:val="20"/>
        </w:rPr>
        <w:t>s</w:t>
      </w:r>
      <w:r>
        <w:rPr>
          <w:rFonts w:eastAsia="宋体" w:cs="Times New Roman"/>
          <w:sz w:val="20"/>
          <w:szCs w:val="20"/>
        </w:rPr>
        <w:tab/>
      </w:r>
      <w:r>
        <w:rPr>
          <w:rFonts w:eastAsia="宋体" w:cs="Times New Roman"/>
          <w:sz w:val="20"/>
          <w:szCs w:val="20"/>
        </w:rPr>
        <w:t>3</w:t>
      </w:r>
      <w:r>
        <w:rPr>
          <w:rFonts w:eastAsia="宋体" w:cs="Times New Roman"/>
          <w:sz w:val="20"/>
          <w:szCs w:val="20"/>
        </w:rPr>
        <w:fldChar w:fldCharType="end"/>
      </w:r>
      <w:r>
        <w:rPr>
          <w:rFonts w:hint="eastAsia" w:eastAsia="宋体" w:cs="Times New Roman"/>
          <w:sz w:val="20"/>
          <w:szCs w:val="20"/>
        </w:rPr>
        <w:t>6</w:t>
      </w:r>
    </w:p>
    <w:p w14:paraId="2981137B">
      <w:pPr>
        <w:pStyle w:val="15"/>
        <w:tabs>
          <w:tab w:val="right" w:leader="dot" w:pos="9632"/>
        </w:tabs>
        <w:ind w:left="210" w:leftChars="0"/>
        <w:rPr>
          <w:rFonts w:eastAsia="宋体" w:cs="Times New Roman"/>
          <w:sz w:val="21"/>
          <w:szCs w:val="21"/>
        </w:rPr>
      </w:pPr>
      <w:r>
        <w:fldChar w:fldCharType="begin"/>
      </w:r>
      <w:r>
        <w:instrText xml:space="preserve"> HYPERLINK \l "_Toc192256313" </w:instrText>
      </w:r>
      <w:r>
        <w:fldChar w:fldCharType="separate"/>
      </w:r>
      <w:r>
        <w:rPr>
          <w:rFonts w:eastAsia="宋体" w:cs="Times New Roman"/>
          <w:sz w:val="20"/>
          <w:szCs w:val="20"/>
        </w:rPr>
        <w:t>7.4 Acceptance Records and Conclusions</w:t>
      </w:r>
      <w:r>
        <w:rPr>
          <w:rFonts w:eastAsia="宋体" w:cs="Times New Roman"/>
          <w:sz w:val="20"/>
          <w:szCs w:val="20"/>
        </w:rPr>
        <w:tab/>
      </w:r>
      <w:r>
        <w:rPr>
          <w:rFonts w:hint="eastAsia" w:eastAsia="宋体" w:cs="Times New Roman"/>
          <w:sz w:val="20"/>
          <w:szCs w:val="20"/>
        </w:rPr>
        <w:t>36</w:t>
      </w:r>
      <w:r>
        <w:rPr>
          <w:rFonts w:hint="eastAsia" w:eastAsia="宋体" w:cs="Times New Roman"/>
          <w:sz w:val="20"/>
          <w:szCs w:val="20"/>
        </w:rPr>
        <w:fldChar w:fldCharType="end"/>
      </w:r>
    </w:p>
    <w:p w14:paraId="33730DE0">
      <w:pPr>
        <w:pStyle w:val="15"/>
        <w:tabs>
          <w:tab w:val="right" w:leader="dot" w:pos="9632"/>
        </w:tabs>
        <w:ind w:left="210" w:leftChars="0"/>
        <w:rPr>
          <w:rFonts w:eastAsia="宋体" w:cs="Times New Roman"/>
          <w:sz w:val="21"/>
          <w:szCs w:val="21"/>
        </w:rPr>
      </w:pPr>
      <w:r>
        <w:fldChar w:fldCharType="begin"/>
      </w:r>
      <w:r>
        <w:instrText xml:space="preserve"> HYPERLINK \l "_Toc192256313" </w:instrText>
      </w:r>
      <w:r>
        <w:fldChar w:fldCharType="separate"/>
      </w:r>
      <w:r>
        <w:rPr>
          <w:rFonts w:eastAsia="宋体" w:cs="Times New Roman"/>
          <w:sz w:val="20"/>
          <w:szCs w:val="20"/>
        </w:rPr>
        <w:t>7.5 Comprehensive adjustment and delivery</w:t>
      </w:r>
      <w:r>
        <w:rPr>
          <w:rFonts w:eastAsia="宋体" w:cs="Times New Roman"/>
          <w:sz w:val="20"/>
          <w:szCs w:val="20"/>
        </w:rPr>
        <w:tab/>
      </w:r>
      <w:r>
        <w:rPr>
          <w:rFonts w:eastAsia="宋体" w:cs="Times New Roman"/>
          <w:sz w:val="20"/>
          <w:szCs w:val="20"/>
        </w:rPr>
        <w:fldChar w:fldCharType="end"/>
      </w:r>
      <w:r>
        <w:rPr>
          <w:rFonts w:hint="eastAsia" w:eastAsia="宋体" w:cs="Times New Roman"/>
          <w:sz w:val="20"/>
          <w:szCs w:val="20"/>
        </w:rPr>
        <w:t>37</w:t>
      </w:r>
    </w:p>
    <w:p w14:paraId="50CB6E8A">
      <w:pPr>
        <w:pStyle w:val="14"/>
        <w:tabs>
          <w:tab w:val="right" w:leader="dot" w:pos="9632"/>
        </w:tabs>
        <w:spacing w:before="120" w:after="120"/>
        <w:rPr>
          <w:rFonts w:eastAsia="宋体" w:cs="Times New Roman"/>
          <w:b/>
          <w:bCs/>
          <w:sz w:val="20"/>
          <w:szCs w:val="20"/>
        </w:rPr>
      </w:pPr>
      <w:r>
        <w:fldChar w:fldCharType="begin"/>
      </w:r>
      <w:r>
        <w:instrText xml:space="preserve"> HYPERLINK \l "_Toc192256314" </w:instrText>
      </w:r>
      <w:r>
        <w:fldChar w:fldCharType="separate"/>
      </w:r>
      <w:r>
        <w:rPr>
          <w:rFonts w:eastAsia="宋体" w:cs="Times New Roman"/>
          <w:b/>
          <w:bCs/>
          <w:sz w:val="20"/>
          <w:szCs w:val="20"/>
        </w:rPr>
        <w:t>Appendix A Acceptance Form</w:t>
      </w:r>
      <w:r>
        <w:rPr>
          <w:rFonts w:hint="eastAsia" w:eastAsia="宋体" w:cs="Times New Roman"/>
          <w:b/>
          <w:bCs/>
          <w:sz w:val="20"/>
          <w:szCs w:val="20"/>
        </w:rPr>
        <w:t xml:space="preserve"> for Monitoring Facilities</w:t>
      </w:r>
      <w:r>
        <w:rPr>
          <w:rFonts w:eastAsia="宋体" w:cs="Times New Roman"/>
          <w:b/>
          <w:bCs/>
          <w:sz w:val="20"/>
          <w:szCs w:val="20"/>
        </w:rPr>
        <w:tab/>
      </w:r>
      <w:r>
        <w:rPr>
          <w:rFonts w:eastAsia="宋体" w:cs="Times New Roman"/>
          <w:b/>
          <w:bCs/>
          <w:sz w:val="20"/>
          <w:szCs w:val="20"/>
        </w:rPr>
        <w:fldChar w:fldCharType="end"/>
      </w:r>
      <w:r>
        <w:rPr>
          <w:rFonts w:hint="eastAsia" w:eastAsia="宋体" w:cs="Times New Roman"/>
          <w:b/>
          <w:bCs/>
          <w:sz w:val="20"/>
          <w:szCs w:val="20"/>
        </w:rPr>
        <w:t>38</w:t>
      </w:r>
    </w:p>
    <w:p w14:paraId="23089BFC">
      <w:pPr>
        <w:pStyle w:val="14"/>
        <w:tabs>
          <w:tab w:val="right" w:leader="dot" w:pos="9632"/>
        </w:tabs>
        <w:spacing w:before="120" w:after="120"/>
        <w:rPr>
          <w:rFonts w:eastAsia="宋体" w:cs="Times New Roman"/>
          <w:b/>
          <w:bCs/>
          <w:sz w:val="20"/>
          <w:szCs w:val="20"/>
        </w:rPr>
      </w:pPr>
      <w:r>
        <w:fldChar w:fldCharType="begin"/>
      </w:r>
      <w:r>
        <w:instrText xml:space="preserve"> HYPERLINK \l "_Toc192256314" </w:instrText>
      </w:r>
      <w:r>
        <w:fldChar w:fldCharType="separate"/>
      </w:r>
      <w:r>
        <w:rPr>
          <w:rFonts w:eastAsia="宋体" w:cs="Times New Roman"/>
          <w:b/>
          <w:bCs/>
          <w:sz w:val="20"/>
          <w:szCs w:val="20"/>
        </w:rPr>
        <w:t>Appendix B Comprehensive Adjustment and Delivery Checklist</w:t>
      </w:r>
      <w:r>
        <w:rPr>
          <w:rFonts w:eastAsia="宋体" w:cs="Times New Roman"/>
          <w:b/>
          <w:bCs/>
          <w:sz w:val="20"/>
          <w:szCs w:val="20"/>
        </w:rPr>
        <w:tab/>
      </w:r>
      <w:r>
        <w:rPr>
          <w:rFonts w:eastAsia="宋体" w:cs="Times New Roman"/>
          <w:b/>
          <w:bCs/>
          <w:sz w:val="20"/>
          <w:szCs w:val="20"/>
        </w:rPr>
        <w:t>4</w:t>
      </w:r>
      <w:r>
        <w:rPr>
          <w:rFonts w:eastAsia="宋体" w:cs="Times New Roman"/>
          <w:b/>
          <w:bCs/>
          <w:sz w:val="20"/>
          <w:szCs w:val="20"/>
        </w:rPr>
        <w:fldChar w:fldCharType="end"/>
      </w:r>
      <w:r>
        <w:rPr>
          <w:rFonts w:hint="eastAsia" w:eastAsia="宋体" w:cs="Times New Roman"/>
          <w:b/>
          <w:bCs/>
          <w:sz w:val="20"/>
          <w:szCs w:val="20"/>
        </w:rPr>
        <w:t>1</w:t>
      </w:r>
    </w:p>
    <w:p w14:paraId="3786565D">
      <w:pPr>
        <w:pStyle w:val="14"/>
        <w:tabs>
          <w:tab w:val="right" w:leader="dot" w:pos="9632"/>
        </w:tabs>
        <w:spacing w:before="120" w:after="120"/>
        <w:rPr>
          <w:rFonts w:eastAsia="宋体" w:cs="Times New Roman"/>
          <w:b/>
          <w:bCs/>
          <w:sz w:val="20"/>
          <w:szCs w:val="20"/>
        </w:rPr>
      </w:pPr>
      <w:r>
        <w:fldChar w:fldCharType="begin"/>
      </w:r>
      <w:r>
        <w:instrText xml:space="preserve"> HYPERLINK \l "_Toc192256315" </w:instrText>
      </w:r>
      <w:r>
        <w:fldChar w:fldCharType="separate"/>
      </w:r>
      <w:r>
        <w:rPr>
          <w:rFonts w:eastAsia="宋体" w:cs="Times New Roman"/>
          <w:b/>
          <w:bCs/>
          <w:sz w:val="20"/>
          <w:szCs w:val="20"/>
        </w:rPr>
        <w:t>Explanation of Wording in This Standard</w:t>
      </w:r>
      <w:r>
        <w:rPr>
          <w:rFonts w:eastAsia="宋体" w:cs="Times New Roman"/>
          <w:b/>
          <w:bCs/>
          <w:sz w:val="20"/>
          <w:szCs w:val="20"/>
        </w:rPr>
        <w:tab/>
      </w:r>
      <w:r>
        <w:rPr>
          <w:rFonts w:eastAsia="宋体" w:cs="Times New Roman"/>
          <w:b/>
          <w:bCs/>
          <w:sz w:val="20"/>
          <w:szCs w:val="20"/>
        </w:rPr>
        <w:t>4</w:t>
      </w:r>
      <w:r>
        <w:rPr>
          <w:rFonts w:eastAsia="宋体" w:cs="Times New Roman"/>
          <w:b/>
          <w:bCs/>
          <w:sz w:val="20"/>
          <w:szCs w:val="20"/>
        </w:rPr>
        <w:fldChar w:fldCharType="end"/>
      </w:r>
      <w:r>
        <w:rPr>
          <w:rFonts w:hint="eastAsia" w:eastAsia="宋体" w:cs="Times New Roman"/>
          <w:b/>
          <w:bCs/>
          <w:sz w:val="20"/>
          <w:szCs w:val="20"/>
        </w:rPr>
        <w:t>2</w:t>
      </w:r>
    </w:p>
    <w:p w14:paraId="132B45EC">
      <w:pPr>
        <w:pStyle w:val="14"/>
        <w:tabs>
          <w:tab w:val="right" w:leader="dot" w:pos="9632"/>
        </w:tabs>
        <w:spacing w:before="120" w:after="120"/>
        <w:rPr>
          <w:rFonts w:eastAsia="宋体" w:cs="Times New Roman"/>
          <w:b/>
          <w:bCs/>
          <w:sz w:val="20"/>
          <w:szCs w:val="20"/>
        </w:rPr>
      </w:pPr>
      <w:r>
        <w:fldChar w:fldCharType="begin"/>
      </w:r>
      <w:r>
        <w:instrText xml:space="preserve"> HYPERLINK \l "_Toc192256316" </w:instrText>
      </w:r>
      <w:r>
        <w:fldChar w:fldCharType="separate"/>
      </w:r>
      <w:r>
        <w:rPr>
          <w:rFonts w:eastAsia="宋体" w:cs="Times New Roman"/>
          <w:b/>
          <w:bCs/>
          <w:sz w:val="20"/>
          <w:szCs w:val="20"/>
        </w:rPr>
        <w:t>List of Referenced Standards</w:t>
      </w:r>
      <w:r>
        <w:rPr>
          <w:rFonts w:eastAsia="宋体" w:cs="Times New Roman"/>
          <w:b/>
          <w:bCs/>
          <w:sz w:val="20"/>
          <w:szCs w:val="20"/>
        </w:rPr>
        <w:tab/>
      </w:r>
      <w:r>
        <w:rPr>
          <w:rFonts w:eastAsia="宋体" w:cs="Times New Roman"/>
          <w:b/>
          <w:bCs/>
          <w:sz w:val="20"/>
          <w:szCs w:val="20"/>
        </w:rPr>
        <w:t>4</w:t>
      </w:r>
      <w:r>
        <w:rPr>
          <w:rFonts w:eastAsia="宋体" w:cs="Times New Roman"/>
          <w:b/>
          <w:bCs/>
          <w:sz w:val="20"/>
          <w:szCs w:val="20"/>
        </w:rPr>
        <w:fldChar w:fldCharType="end"/>
      </w:r>
      <w:r>
        <w:rPr>
          <w:rFonts w:eastAsia="宋体" w:cs="Times New Roman"/>
          <w:bCs/>
          <w:kern w:val="0"/>
          <w:sz w:val="21"/>
          <w:szCs w:val="21"/>
        </w:rPr>
        <w:fldChar w:fldCharType="end"/>
      </w:r>
      <w:r>
        <w:rPr>
          <w:rFonts w:hint="eastAsia" w:eastAsia="宋体" w:cs="Times New Roman"/>
          <w:b/>
          <w:bCs/>
          <w:sz w:val="20"/>
          <w:szCs w:val="20"/>
        </w:rPr>
        <w:t>3</w:t>
      </w:r>
    </w:p>
    <w:p w14:paraId="3B176CA6">
      <w:pPr>
        <w:pStyle w:val="14"/>
        <w:tabs>
          <w:tab w:val="right" w:leader="dot" w:pos="9632"/>
        </w:tabs>
        <w:spacing w:before="120" w:after="120"/>
        <w:rPr>
          <w:rFonts w:eastAsia="宋体"/>
        </w:rPr>
        <w:sectPr>
          <w:headerReference r:id="rId5" w:type="default"/>
          <w:footerReference r:id="rId7" w:type="default"/>
          <w:headerReference r:id="rId6" w:type="even"/>
          <w:footerReference r:id="rId8" w:type="even"/>
          <w:pgSz w:w="11910" w:h="16840"/>
          <w:pgMar w:top="2410" w:right="1134" w:bottom="1134" w:left="1134" w:header="578" w:footer="720" w:gutter="0"/>
          <w:pgNumType w:start="1"/>
          <w:cols w:space="720" w:num="1"/>
          <w:docGrid w:linePitch="286" w:charSpace="0"/>
        </w:sectPr>
      </w:pPr>
      <w:r>
        <w:rPr>
          <w:rFonts w:eastAsia="宋体" w:cs="Times New Roman"/>
          <w:b/>
          <w:bCs/>
          <w:sz w:val="20"/>
          <w:szCs w:val="20"/>
        </w:rPr>
        <w:t>Attached: Explanation of the Provisions</w:t>
      </w:r>
      <w:r>
        <w:rPr>
          <w:rFonts w:eastAsia="宋体" w:cs="Times New Roman"/>
          <w:b/>
          <w:bCs/>
          <w:sz w:val="20"/>
          <w:szCs w:val="20"/>
        </w:rPr>
        <w:tab/>
      </w:r>
      <w:r>
        <w:rPr>
          <w:rFonts w:eastAsia="宋体" w:cs="Times New Roman"/>
          <w:b/>
          <w:bCs/>
          <w:sz w:val="20"/>
          <w:szCs w:val="20"/>
        </w:rPr>
        <w:t>4</w:t>
      </w:r>
      <w:r>
        <w:rPr>
          <w:rFonts w:hint="eastAsia" w:eastAsia="宋体" w:cs="Times New Roman"/>
          <w:b/>
          <w:bCs/>
          <w:sz w:val="20"/>
          <w:szCs w:val="20"/>
        </w:rPr>
        <w:t>5</w:t>
      </w:r>
    </w:p>
    <w:p w14:paraId="667B4A4B">
      <w:pPr>
        <w:pStyle w:val="2"/>
        <w:spacing w:before="240" w:beforeLines="100" w:after="240" w:afterLines="100" w:line="480" w:lineRule="auto"/>
        <w:jc w:val="center"/>
        <w:rPr>
          <w:rFonts w:eastAsia="宋体" w:cs="Times New Roman"/>
          <w:b/>
          <w:sz w:val="30"/>
          <w:szCs w:val="30"/>
        </w:rPr>
      </w:pPr>
      <w:bookmarkStart w:id="31" w:name="_Toc192799291"/>
      <w:r>
        <w:rPr>
          <w:rFonts w:eastAsia="宋体" w:cs="Times New Roman"/>
          <w:b/>
          <w:color w:val="000000" w:themeColor="text1"/>
          <w:sz w:val="30"/>
          <w:szCs w:val="30"/>
          <w14:textFill>
            <w14:solidFill>
              <w14:schemeClr w14:val="tx1"/>
            </w14:solidFill>
          </w14:textFill>
        </w:rPr>
        <w:t>1</w:t>
      </w:r>
      <w:r>
        <w:rPr>
          <w:rFonts w:hint="eastAsia" w:ascii="宋体" w:hAnsi="宋体" w:eastAsia="宋体" w:cs="宋体"/>
          <w:b/>
          <w:color w:val="000000" w:themeColor="text1"/>
          <w:sz w:val="30"/>
          <w:szCs w:val="30"/>
          <w14:textFill>
            <w14:solidFill>
              <w14:schemeClr w14:val="tx1"/>
            </w14:solidFill>
          </w14:textFill>
        </w:rPr>
        <w:t xml:space="preserve">  总 则</w:t>
      </w:r>
      <w:bookmarkEnd w:id="23"/>
      <w:bookmarkEnd w:id="24"/>
      <w:bookmarkEnd w:id="25"/>
      <w:bookmarkEnd w:id="26"/>
      <w:bookmarkEnd w:id="27"/>
      <w:bookmarkEnd w:id="31"/>
    </w:p>
    <w:p w14:paraId="30F70D49">
      <w:pPr>
        <w:spacing w:line="360" w:lineRule="auto"/>
        <w:ind w:firstLine="0" w:firstLineChars="0"/>
        <w:rPr>
          <w:rFonts w:eastAsia="宋体" w:cs="Times New Roman"/>
          <w:sz w:val="21"/>
          <w:szCs w:val="21"/>
        </w:rPr>
      </w:pPr>
      <w:r>
        <w:rPr>
          <w:rFonts w:cs="Times New Roman" w:eastAsiaTheme="minorEastAsia"/>
          <w:color w:val="000000" w:themeColor="text1"/>
          <w:sz w:val="21"/>
          <w:szCs w:val="21"/>
          <w14:textFill>
            <w14:solidFill>
              <w14:schemeClr w14:val="tx1"/>
            </w14:solidFill>
          </w14:textFill>
        </w:rPr>
        <w:t xml:space="preserve">1.0.1 </w:t>
      </w:r>
      <w:r>
        <w:rPr>
          <w:rFonts w:eastAsia="宋体" w:cs="Times New Roman"/>
          <w:sz w:val="21"/>
          <w:szCs w:val="21"/>
        </w:rPr>
        <w:t>为推进实施城市生命线工程，提高运行监测效率，保障系统兼容性，避免重复建设，促进数据共享和智慧应用，制定本标准。</w:t>
      </w:r>
    </w:p>
    <w:p w14:paraId="42D8C372">
      <w:pPr>
        <w:spacing w:line="360" w:lineRule="auto"/>
        <w:ind w:firstLine="0" w:firstLineChars="0"/>
        <w:rPr>
          <w:rFonts w:eastAsia="宋体" w:cs="Times New Roman"/>
          <w:sz w:val="21"/>
          <w:szCs w:val="21"/>
        </w:rPr>
      </w:pPr>
      <w:r>
        <w:rPr>
          <w:rFonts w:cs="Times New Roman" w:eastAsiaTheme="minorEastAsia"/>
          <w:color w:val="000000" w:themeColor="text1"/>
          <w:sz w:val="21"/>
          <w:szCs w:val="21"/>
          <w14:textFill>
            <w14:solidFill>
              <w14:schemeClr w14:val="tx1"/>
            </w14:solidFill>
          </w14:textFill>
        </w:rPr>
        <w:t xml:space="preserve">1.0.2 </w:t>
      </w:r>
      <w:r>
        <w:rPr>
          <w:rFonts w:eastAsia="宋体" w:cs="Times New Roman"/>
          <w:sz w:val="21"/>
          <w:szCs w:val="21"/>
        </w:rPr>
        <w:t>本标准适用于城市生命线工程监测设施的设计、施工</w:t>
      </w:r>
      <w:r>
        <w:rPr>
          <w:rFonts w:hint="eastAsia" w:eastAsia="宋体" w:cs="Times New Roman"/>
          <w:sz w:val="21"/>
          <w:szCs w:val="21"/>
        </w:rPr>
        <w:t>、</w:t>
      </w:r>
      <w:r>
        <w:rPr>
          <w:rFonts w:eastAsia="宋体" w:cs="Times New Roman"/>
          <w:sz w:val="21"/>
          <w:szCs w:val="21"/>
        </w:rPr>
        <w:t>验收</w:t>
      </w:r>
      <w:r>
        <w:rPr>
          <w:rFonts w:hint="eastAsia" w:eastAsia="宋体" w:cs="Times New Roman"/>
          <w:sz w:val="21"/>
          <w:szCs w:val="21"/>
        </w:rPr>
        <w:t>和交付</w:t>
      </w:r>
      <w:r>
        <w:rPr>
          <w:rFonts w:eastAsia="宋体" w:cs="Times New Roman"/>
          <w:sz w:val="21"/>
          <w:szCs w:val="21"/>
        </w:rPr>
        <w:t>。</w:t>
      </w:r>
    </w:p>
    <w:p w14:paraId="5BDC26A0">
      <w:pPr>
        <w:spacing w:line="360" w:lineRule="auto"/>
        <w:ind w:firstLine="0" w:firstLineChars="0"/>
        <w:rPr>
          <w:rFonts w:eastAsia="宋体" w:cs="Times New Roman"/>
          <w:sz w:val="21"/>
          <w:szCs w:val="21"/>
        </w:rPr>
      </w:pPr>
      <w:r>
        <w:rPr>
          <w:rFonts w:cs="Times New Roman" w:eastAsiaTheme="minorEastAsia"/>
          <w:color w:val="000000" w:themeColor="text1"/>
          <w:sz w:val="21"/>
          <w:szCs w:val="21"/>
          <w14:textFill>
            <w14:solidFill>
              <w14:schemeClr w14:val="tx1"/>
            </w14:solidFill>
          </w14:textFill>
        </w:rPr>
        <w:t>1.0.3</w:t>
      </w:r>
      <w:r>
        <w:rPr>
          <w:rFonts w:eastAsia="宋体" w:cs="Times New Roman"/>
          <w:sz w:val="21"/>
          <w:szCs w:val="21"/>
        </w:rPr>
        <w:t xml:space="preserve"> 城市生命线工程监测设施建设应与城市基础设施建设同步设计、施工</w:t>
      </w:r>
      <w:r>
        <w:rPr>
          <w:rFonts w:hint="eastAsia" w:eastAsia="宋体" w:cs="Times New Roman"/>
          <w:sz w:val="21"/>
          <w:szCs w:val="21"/>
        </w:rPr>
        <w:t>、</w:t>
      </w:r>
      <w:r>
        <w:rPr>
          <w:rFonts w:eastAsia="宋体" w:cs="Times New Roman"/>
          <w:sz w:val="21"/>
          <w:szCs w:val="21"/>
        </w:rPr>
        <w:t>验收</w:t>
      </w:r>
      <w:r>
        <w:rPr>
          <w:rFonts w:hint="eastAsia" w:eastAsia="宋体" w:cs="Times New Roman"/>
          <w:sz w:val="21"/>
          <w:szCs w:val="21"/>
        </w:rPr>
        <w:t>和交付</w:t>
      </w:r>
      <w:r>
        <w:rPr>
          <w:rFonts w:eastAsia="宋体" w:cs="Times New Roman"/>
          <w:sz w:val="21"/>
          <w:szCs w:val="21"/>
        </w:rPr>
        <w:t>。</w:t>
      </w:r>
    </w:p>
    <w:p w14:paraId="3B761587">
      <w:pPr>
        <w:spacing w:line="360" w:lineRule="auto"/>
        <w:ind w:firstLine="0" w:firstLineChars="0"/>
        <w:rPr>
          <w:rFonts w:eastAsia="宋体" w:cs="Times New Roman"/>
          <w:sz w:val="21"/>
          <w:szCs w:val="21"/>
        </w:rPr>
      </w:pPr>
      <w:r>
        <w:rPr>
          <w:rFonts w:cs="Times New Roman" w:eastAsiaTheme="minorEastAsia"/>
          <w:color w:val="000000" w:themeColor="text1"/>
          <w:sz w:val="21"/>
          <w:szCs w:val="21"/>
          <w14:textFill>
            <w14:solidFill>
              <w14:schemeClr w14:val="tx1"/>
            </w14:solidFill>
          </w14:textFill>
        </w:rPr>
        <w:t>1.0.4</w:t>
      </w:r>
      <w:r>
        <w:rPr>
          <w:rFonts w:eastAsia="宋体" w:cs="Times New Roman"/>
          <w:sz w:val="21"/>
          <w:szCs w:val="21"/>
        </w:rPr>
        <w:t xml:space="preserve"> 城市生命线工程监测设施的系统和设备应具有安全性、可靠性、可维护性和可扩展性，做到技术先进、经济适用和安全可控。</w:t>
      </w:r>
    </w:p>
    <w:p w14:paraId="59FD9053">
      <w:pPr>
        <w:spacing w:line="360" w:lineRule="auto"/>
        <w:ind w:firstLine="0" w:firstLineChars="0"/>
        <w:rPr>
          <w:rFonts w:eastAsia="宋体" w:cs="Times New Roman"/>
          <w:sz w:val="21"/>
          <w:szCs w:val="21"/>
        </w:rPr>
      </w:pPr>
      <w:r>
        <w:rPr>
          <w:rFonts w:cs="Times New Roman" w:eastAsiaTheme="minorEastAsia"/>
          <w:color w:val="000000" w:themeColor="text1"/>
          <w:sz w:val="21"/>
          <w:szCs w:val="21"/>
          <w14:textFill>
            <w14:solidFill>
              <w14:schemeClr w14:val="tx1"/>
            </w14:solidFill>
          </w14:textFill>
        </w:rPr>
        <w:t>1.0.5</w:t>
      </w:r>
      <w:r>
        <w:rPr>
          <w:rFonts w:eastAsia="宋体" w:cs="Times New Roman"/>
          <w:sz w:val="21"/>
          <w:szCs w:val="21"/>
        </w:rPr>
        <w:t xml:space="preserve"> 城市生命线工程监测设施的建设除应符合本标准的规定外，尚应符合国家、行业和地方现行有关标准的规定。</w:t>
      </w:r>
    </w:p>
    <w:p w14:paraId="0B6C6B47">
      <w:pPr>
        <w:widowControl/>
        <w:ind w:firstLine="0" w:firstLineChars="0"/>
        <w:jc w:val="left"/>
        <w:rPr>
          <w:rFonts w:eastAsia="宋体" w:cs="Times New Roman"/>
          <w:sz w:val="21"/>
        </w:rPr>
      </w:pPr>
      <w:r>
        <w:rPr>
          <w:rFonts w:eastAsia="宋体" w:cs="Times New Roman"/>
          <w:sz w:val="21"/>
        </w:rPr>
        <w:br w:type="page"/>
      </w:r>
    </w:p>
    <w:bookmarkEnd w:id="28"/>
    <w:bookmarkEnd w:id="29"/>
    <w:p w14:paraId="3D1CCE75">
      <w:pPr>
        <w:keepNext/>
        <w:keepLines/>
        <w:spacing w:before="340" w:after="156" w:line="480" w:lineRule="auto"/>
        <w:ind w:firstLine="0" w:firstLineChars="0"/>
        <w:jc w:val="center"/>
        <w:outlineLvl w:val="0"/>
        <w:rPr>
          <w:rFonts w:eastAsia="宋体" w:cs="Times New Roman"/>
          <w:b/>
          <w:bCs/>
          <w:kern w:val="44"/>
          <w:sz w:val="36"/>
          <w:szCs w:val="36"/>
        </w:rPr>
      </w:pPr>
      <w:bookmarkStart w:id="32" w:name="_Toc172221038"/>
      <w:bookmarkStart w:id="33" w:name="_Toc192799292"/>
      <w:bookmarkStart w:id="34" w:name="_Toc392170398"/>
      <w:bookmarkStart w:id="35" w:name="_Toc422257502"/>
      <w:r>
        <w:rPr>
          <w:rFonts w:eastAsia="宋体" w:cs="Times New Roman"/>
          <w:b/>
          <w:bCs/>
          <w:sz w:val="30"/>
          <w:szCs w:val="30"/>
        </w:rPr>
        <w:t>2</w:t>
      </w:r>
      <w:r>
        <w:rPr>
          <w:rFonts w:hint="eastAsia" w:ascii="宋体" w:hAnsi="宋体" w:eastAsia="宋体" w:cs="宋体"/>
          <w:b/>
          <w:bCs/>
          <w:kern w:val="44"/>
          <w:sz w:val="30"/>
          <w:szCs w:val="30"/>
        </w:rPr>
        <w:t xml:space="preserve">  术语</w:t>
      </w:r>
      <w:bookmarkEnd w:id="32"/>
      <w:bookmarkStart w:id="36" w:name="_Toc2297"/>
      <w:bookmarkStart w:id="37" w:name="_Toc29746"/>
      <w:r>
        <w:rPr>
          <w:rFonts w:hint="eastAsia" w:ascii="宋体" w:hAnsi="宋体" w:eastAsia="宋体" w:cs="宋体"/>
          <w:b/>
          <w:bCs/>
          <w:kern w:val="44"/>
          <w:sz w:val="30"/>
          <w:szCs w:val="30"/>
        </w:rPr>
        <w:t>、符号和缩略语</w:t>
      </w:r>
      <w:bookmarkEnd w:id="33"/>
    </w:p>
    <w:p w14:paraId="150A35FD">
      <w:pPr>
        <w:keepNext/>
        <w:keepLines/>
        <w:spacing w:line="360" w:lineRule="auto"/>
        <w:ind w:firstLine="0" w:firstLineChars="0"/>
        <w:jc w:val="center"/>
        <w:outlineLvl w:val="1"/>
        <w:rPr>
          <w:rFonts w:eastAsia="黑体" w:cs="Times New Roman"/>
          <w:sz w:val="24"/>
          <w:szCs w:val="32"/>
        </w:rPr>
      </w:pPr>
      <w:bookmarkStart w:id="38" w:name="_Toc162779517"/>
      <w:bookmarkStart w:id="39" w:name="_Toc192799293"/>
      <w:bookmarkStart w:id="40" w:name="_Toc172221039"/>
      <w:bookmarkStart w:id="41" w:name="_Toc26715"/>
      <w:r>
        <w:rPr>
          <w:rFonts w:eastAsia="宋体" w:cs="Times New Roman"/>
          <w:b/>
          <w:bCs/>
          <w:sz w:val="28"/>
          <w:szCs w:val="28"/>
        </w:rPr>
        <w:t>2.1  术  语</w:t>
      </w:r>
      <w:bookmarkEnd w:id="36"/>
      <w:bookmarkEnd w:id="37"/>
      <w:bookmarkEnd w:id="38"/>
      <w:bookmarkEnd w:id="39"/>
      <w:bookmarkEnd w:id="40"/>
      <w:bookmarkEnd w:id="41"/>
    </w:p>
    <w:p w14:paraId="6FFA12FD">
      <w:pPr>
        <w:adjustRightInd w:val="0"/>
        <w:snapToGrid w:val="0"/>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2.1.1</w:t>
      </w:r>
      <w:r>
        <w:rPr>
          <w:rFonts w:eastAsia="宋体" w:cs="Times New Roman"/>
          <w:bCs/>
          <w:sz w:val="21"/>
          <w:szCs w:val="21"/>
        </w:rPr>
        <w:t xml:space="preserve"> 城市生命线工程 </w:t>
      </w:r>
      <w:r>
        <w:rPr>
          <w:rFonts w:cs="Times New Roman" w:eastAsiaTheme="minorEastAsia"/>
          <w:color w:val="000000" w:themeColor="text1"/>
          <w:sz w:val="21"/>
          <w:szCs w:val="21"/>
          <w14:textFill>
            <w14:solidFill>
              <w14:schemeClr w14:val="tx1"/>
            </w14:solidFill>
          </w14:textFill>
        </w:rPr>
        <w:t>urban lifeline engineering</w:t>
      </w:r>
    </w:p>
    <w:p w14:paraId="70EBA309">
      <w:pPr>
        <w:adjustRightInd w:val="0"/>
        <w:snapToGrid w:val="0"/>
        <w:spacing w:line="360" w:lineRule="auto"/>
        <w:ind w:firstLine="420"/>
        <w:rPr>
          <w:rFonts w:eastAsia="宋体" w:cs="Times New Roman"/>
          <w:bCs/>
          <w:sz w:val="21"/>
          <w:szCs w:val="21"/>
        </w:rPr>
      </w:pPr>
      <w:r>
        <w:rPr>
          <w:rFonts w:eastAsia="宋体" w:cs="Times New Roman"/>
          <w:bCs/>
          <w:sz w:val="21"/>
          <w:szCs w:val="21"/>
        </w:rPr>
        <w:t>维系城市正常运行、满足群众生产生活需要的重要基础工程。本标准城市生命线工程包括城市燃气、供水、排水、热力、桥梁和</w:t>
      </w:r>
      <w:r>
        <w:rPr>
          <w:rFonts w:hint="eastAsia" w:eastAsia="宋体" w:cs="Times New Roman"/>
          <w:bCs/>
          <w:sz w:val="21"/>
          <w:szCs w:val="21"/>
        </w:rPr>
        <w:t>综合</w:t>
      </w:r>
      <w:r>
        <w:rPr>
          <w:rFonts w:eastAsia="宋体" w:cs="Times New Roman"/>
          <w:bCs/>
          <w:sz w:val="21"/>
          <w:szCs w:val="21"/>
        </w:rPr>
        <w:t>管廊等系统和设施。</w:t>
      </w:r>
    </w:p>
    <w:p w14:paraId="48C3B0FD">
      <w:pPr>
        <w:adjustRightInd w:val="0"/>
        <w:snapToGrid w:val="0"/>
        <w:spacing w:line="360" w:lineRule="auto"/>
        <w:ind w:firstLine="0" w:firstLineChars="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2.1.2</w:t>
      </w:r>
      <w:r>
        <w:rPr>
          <w:rFonts w:eastAsia="宋体" w:cs="Times New Roman"/>
          <w:b/>
          <w:bCs/>
          <w:sz w:val="21"/>
          <w:szCs w:val="21"/>
        </w:rPr>
        <w:t xml:space="preserve"> </w:t>
      </w:r>
      <w:r>
        <w:rPr>
          <w:rFonts w:eastAsia="宋体" w:cs="Times New Roman"/>
          <w:bCs/>
          <w:sz w:val="21"/>
          <w:szCs w:val="21"/>
        </w:rPr>
        <w:t xml:space="preserve">城市生命线工程监测设施 </w:t>
      </w:r>
      <w:r>
        <w:rPr>
          <w:rFonts w:cs="Times New Roman" w:eastAsiaTheme="minorEastAsia"/>
          <w:color w:val="000000" w:themeColor="text1"/>
          <w:sz w:val="21"/>
          <w:szCs w:val="21"/>
          <w14:textFill>
            <w14:solidFill>
              <w14:schemeClr w14:val="tx1"/>
            </w14:solidFill>
          </w14:textFill>
        </w:rPr>
        <w:t>urban lifeline monitoring facilities</w:t>
      </w:r>
    </w:p>
    <w:p w14:paraId="3B5D8A1D">
      <w:pPr>
        <w:adjustRightInd w:val="0"/>
        <w:snapToGrid w:val="0"/>
        <w:spacing w:line="360" w:lineRule="auto"/>
        <w:ind w:firstLine="420"/>
        <w:rPr>
          <w:rFonts w:eastAsia="宋体" w:cs="Times New Roman"/>
          <w:bCs/>
          <w:sz w:val="21"/>
          <w:szCs w:val="21"/>
        </w:rPr>
      </w:pPr>
      <w:r>
        <w:rPr>
          <w:rFonts w:eastAsia="宋体" w:cs="Times New Roman"/>
          <w:bCs/>
          <w:sz w:val="21"/>
          <w:szCs w:val="21"/>
        </w:rPr>
        <w:t>城市生命线工程中用于对城市基础设施运行实现监测、预警和应急响应等功能的前端监测设备、配线管网以及用于设备安装的场地和其他配套设施。</w:t>
      </w:r>
    </w:p>
    <w:p w14:paraId="5BEDF39F">
      <w:pPr>
        <w:adjustRightInd w:val="0"/>
        <w:snapToGrid w:val="0"/>
        <w:spacing w:line="360" w:lineRule="auto"/>
        <w:ind w:firstLine="0" w:firstLineChars="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2.1.</w:t>
      </w:r>
      <w:r>
        <w:rPr>
          <w:rFonts w:hint="eastAsia" w:cs="Times New Roman" w:eastAsiaTheme="minorEastAsia"/>
          <w:color w:val="000000" w:themeColor="text1"/>
          <w:sz w:val="21"/>
          <w:szCs w:val="21"/>
          <w14:textFill>
            <w14:solidFill>
              <w14:schemeClr w14:val="tx1"/>
            </w14:solidFill>
          </w14:textFill>
        </w:rPr>
        <w:t>3</w:t>
      </w:r>
      <w:r>
        <w:rPr>
          <w:rFonts w:eastAsia="宋体" w:cs="Times New Roman"/>
          <w:bCs/>
          <w:sz w:val="21"/>
          <w:szCs w:val="21"/>
        </w:rPr>
        <w:t xml:space="preserve"> 风险评估 </w:t>
      </w:r>
      <w:r>
        <w:rPr>
          <w:rFonts w:cs="Times New Roman" w:eastAsiaTheme="minorEastAsia"/>
          <w:color w:val="000000" w:themeColor="text1"/>
          <w:sz w:val="21"/>
          <w:szCs w:val="21"/>
          <w14:textFill>
            <w14:solidFill>
              <w14:schemeClr w14:val="tx1"/>
            </w14:solidFill>
          </w14:textFill>
        </w:rPr>
        <w:t>risk assessment</w:t>
      </w:r>
    </w:p>
    <w:p w14:paraId="7BEB7FE8">
      <w:pPr>
        <w:adjustRightInd w:val="0"/>
        <w:snapToGrid w:val="0"/>
        <w:spacing w:line="360" w:lineRule="auto"/>
        <w:ind w:firstLine="420"/>
        <w:rPr>
          <w:rFonts w:eastAsia="宋体" w:cs="Times New Roman"/>
          <w:bCs/>
          <w:sz w:val="21"/>
          <w:szCs w:val="21"/>
        </w:rPr>
      </w:pPr>
      <w:r>
        <w:rPr>
          <w:rFonts w:eastAsia="宋体" w:cs="Times New Roman"/>
          <w:bCs/>
          <w:sz w:val="21"/>
          <w:szCs w:val="21"/>
        </w:rPr>
        <w:t>风险识别、风险分析和风险评价的全过程。</w:t>
      </w:r>
    </w:p>
    <w:p w14:paraId="7B184730">
      <w:pPr>
        <w:adjustRightInd w:val="0"/>
        <w:snapToGrid w:val="0"/>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2.1.</w:t>
      </w:r>
      <w:r>
        <w:rPr>
          <w:rFonts w:hint="eastAsia" w:cs="Times New Roman" w:eastAsiaTheme="minorEastAsia"/>
          <w:color w:val="000000" w:themeColor="text1"/>
          <w:sz w:val="21"/>
          <w:szCs w:val="21"/>
          <w14:textFill>
            <w14:solidFill>
              <w14:schemeClr w14:val="tx1"/>
            </w14:solidFill>
          </w14:textFill>
        </w:rPr>
        <w:t>4</w:t>
      </w:r>
      <w:r>
        <w:rPr>
          <w:rFonts w:eastAsia="宋体" w:cs="Times New Roman"/>
          <w:bCs/>
          <w:sz w:val="21"/>
          <w:szCs w:val="21"/>
        </w:rPr>
        <w:t xml:space="preserve"> </w:t>
      </w:r>
      <w:r>
        <w:rPr>
          <w:rFonts w:hint="eastAsia" w:eastAsia="宋体" w:cs="Times New Roman"/>
          <w:bCs/>
          <w:sz w:val="21"/>
          <w:szCs w:val="21"/>
        </w:rPr>
        <w:t>通信</w:t>
      </w:r>
      <w:r>
        <w:rPr>
          <w:rFonts w:eastAsia="宋体" w:cs="Times New Roman"/>
          <w:bCs/>
          <w:sz w:val="21"/>
          <w:szCs w:val="21"/>
        </w:rPr>
        <w:t xml:space="preserve">网关 </w:t>
      </w:r>
      <w:r>
        <w:rPr>
          <w:rFonts w:cs="Times New Roman" w:eastAsiaTheme="minorEastAsia"/>
          <w:color w:val="000000" w:themeColor="text1"/>
          <w:sz w:val="21"/>
          <w:szCs w:val="21"/>
          <w14:textFill>
            <w14:solidFill>
              <w14:schemeClr w14:val="tx1"/>
            </w14:solidFill>
          </w14:textFill>
        </w:rPr>
        <w:t xml:space="preserve"> </w:t>
      </w:r>
      <w:r>
        <w:rPr>
          <w:rFonts w:hint="eastAsia" w:cs="Times New Roman" w:eastAsiaTheme="minorEastAsia"/>
          <w:color w:val="000000" w:themeColor="text1"/>
          <w:sz w:val="21"/>
          <w:szCs w:val="21"/>
          <w14:textFill>
            <w14:solidFill>
              <w14:schemeClr w14:val="tx1"/>
            </w14:solidFill>
          </w14:textFill>
        </w:rPr>
        <w:t xml:space="preserve">communication </w:t>
      </w:r>
      <w:r>
        <w:rPr>
          <w:rFonts w:cs="Times New Roman" w:eastAsiaTheme="minorEastAsia"/>
          <w:color w:val="000000" w:themeColor="text1"/>
          <w:sz w:val="21"/>
          <w:szCs w:val="21"/>
          <w14:textFill>
            <w14:solidFill>
              <w14:schemeClr w14:val="tx1"/>
            </w14:solidFill>
          </w14:textFill>
        </w:rPr>
        <w:t>gateway</w:t>
      </w:r>
    </w:p>
    <w:p w14:paraId="533AD869">
      <w:pPr>
        <w:adjustRightInd w:val="0"/>
        <w:snapToGrid w:val="0"/>
        <w:spacing w:line="360" w:lineRule="auto"/>
        <w:ind w:firstLine="420"/>
        <w:rPr>
          <w:rFonts w:eastAsia="宋体" w:cs="Times New Roman"/>
          <w:bCs/>
          <w:sz w:val="21"/>
          <w:szCs w:val="21"/>
        </w:rPr>
      </w:pPr>
      <w:r>
        <w:rPr>
          <w:rFonts w:eastAsia="宋体" w:cs="Times New Roman"/>
          <w:bCs/>
          <w:sz w:val="21"/>
          <w:szCs w:val="21"/>
        </w:rPr>
        <w:t>用于连接不同类型的监测设备</w:t>
      </w:r>
      <w:r>
        <w:rPr>
          <w:rFonts w:hint="eastAsia" w:eastAsia="宋体" w:cs="Times New Roman"/>
          <w:bCs/>
          <w:sz w:val="21"/>
          <w:szCs w:val="21"/>
        </w:rPr>
        <w:t>和</w:t>
      </w:r>
      <w:r>
        <w:rPr>
          <w:rFonts w:eastAsia="宋体" w:cs="Times New Roman"/>
          <w:bCs/>
          <w:sz w:val="21"/>
          <w:szCs w:val="21"/>
        </w:rPr>
        <w:t>系统并</w:t>
      </w:r>
      <w:r>
        <w:rPr>
          <w:rFonts w:hint="eastAsia" w:eastAsia="宋体" w:cs="Times New Roman"/>
          <w:bCs/>
          <w:sz w:val="21"/>
          <w:szCs w:val="21"/>
        </w:rPr>
        <w:t>可</w:t>
      </w:r>
      <w:r>
        <w:rPr>
          <w:rFonts w:eastAsia="宋体" w:cs="Times New Roman"/>
          <w:bCs/>
          <w:sz w:val="21"/>
          <w:szCs w:val="21"/>
        </w:rPr>
        <w:t>提供数据通信管理、接口协议转换、边缘计算以及远程控制等功能的智能设备。</w:t>
      </w:r>
    </w:p>
    <w:p w14:paraId="7A6F564B">
      <w:pPr>
        <w:adjustRightInd w:val="0"/>
        <w:snapToGrid w:val="0"/>
        <w:spacing w:line="360" w:lineRule="auto"/>
        <w:ind w:firstLine="0" w:firstLineChars="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2.1.</w:t>
      </w:r>
      <w:r>
        <w:rPr>
          <w:rFonts w:hint="eastAsia" w:cs="Times New Roman" w:eastAsiaTheme="minorEastAsia"/>
          <w:color w:val="000000" w:themeColor="text1"/>
          <w:sz w:val="21"/>
          <w:szCs w:val="21"/>
          <w14:textFill>
            <w14:solidFill>
              <w14:schemeClr w14:val="tx1"/>
            </w14:solidFill>
          </w14:textFill>
        </w:rPr>
        <w:t xml:space="preserve">5 </w:t>
      </w:r>
      <w:r>
        <w:rPr>
          <w:rFonts w:eastAsia="宋体" w:cs="Times New Roman"/>
          <w:bCs/>
          <w:sz w:val="21"/>
          <w:szCs w:val="21"/>
        </w:rPr>
        <w:t xml:space="preserve">监测中心 </w:t>
      </w:r>
      <w:r>
        <w:rPr>
          <w:rFonts w:cs="Times New Roman" w:eastAsiaTheme="minorEastAsia"/>
          <w:color w:val="000000" w:themeColor="text1"/>
          <w:sz w:val="21"/>
          <w:szCs w:val="21"/>
          <w14:textFill>
            <w14:solidFill>
              <w14:schemeClr w14:val="tx1"/>
            </w14:solidFill>
          </w14:textFill>
        </w:rPr>
        <w:t xml:space="preserve">monitoring center </w:t>
      </w:r>
    </w:p>
    <w:p w14:paraId="58019A07">
      <w:pPr>
        <w:adjustRightInd w:val="0"/>
        <w:snapToGrid w:val="0"/>
        <w:spacing w:line="360" w:lineRule="auto"/>
        <w:ind w:firstLine="420"/>
        <w:rPr>
          <w:rFonts w:eastAsia="宋体" w:cs="Times New Roman"/>
          <w:bCs/>
          <w:sz w:val="21"/>
          <w:szCs w:val="21"/>
        </w:rPr>
      </w:pPr>
      <w:r>
        <w:rPr>
          <w:rFonts w:eastAsia="宋体" w:cs="Times New Roman"/>
          <w:bCs/>
          <w:sz w:val="21"/>
          <w:szCs w:val="21"/>
        </w:rPr>
        <w:t>接收和处理城市生命线工程安全运行监测数据，承担日常值守、监测运行、检修维护、分析研判与</w:t>
      </w:r>
      <w:r>
        <w:rPr>
          <w:rFonts w:hint="eastAsia" w:eastAsia="宋体" w:cs="Times New Roman"/>
          <w:bCs/>
          <w:sz w:val="21"/>
          <w:szCs w:val="21"/>
        </w:rPr>
        <w:t>辅助</w:t>
      </w:r>
      <w:r>
        <w:rPr>
          <w:rFonts w:eastAsia="宋体" w:cs="Times New Roman"/>
          <w:bCs/>
          <w:sz w:val="21"/>
          <w:szCs w:val="21"/>
        </w:rPr>
        <w:t>决策的机构及场所。</w:t>
      </w:r>
    </w:p>
    <w:p w14:paraId="4AA862C7">
      <w:pPr>
        <w:keepNext/>
        <w:keepLines/>
        <w:spacing w:line="360" w:lineRule="auto"/>
        <w:ind w:firstLine="0" w:firstLineChars="0"/>
        <w:jc w:val="center"/>
        <w:outlineLvl w:val="1"/>
        <w:rPr>
          <w:rFonts w:eastAsia="宋体" w:cs="Times New Roman"/>
          <w:b/>
          <w:bCs/>
          <w:sz w:val="28"/>
          <w:szCs w:val="28"/>
        </w:rPr>
      </w:pPr>
      <w:r>
        <w:rPr>
          <w:rFonts w:eastAsia="楷体" w:cs="Times New Roman"/>
          <w:bCs/>
          <w:sz w:val="21"/>
          <w:szCs w:val="21"/>
        </w:rPr>
        <w:br w:type="page"/>
      </w:r>
      <w:bookmarkStart w:id="42" w:name="_Toc192799294"/>
      <w:r>
        <w:rPr>
          <w:rFonts w:eastAsia="宋体" w:cs="Times New Roman"/>
          <w:b/>
          <w:bCs/>
          <w:sz w:val="28"/>
          <w:szCs w:val="28"/>
        </w:rPr>
        <w:t xml:space="preserve">2.2  </w:t>
      </w:r>
      <w:r>
        <w:rPr>
          <w:rFonts w:hint="eastAsia" w:eastAsia="宋体" w:cs="Times New Roman"/>
          <w:b/>
          <w:bCs/>
          <w:sz w:val="28"/>
          <w:szCs w:val="28"/>
        </w:rPr>
        <w:t xml:space="preserve">符 </w:t>
      </w:r>
      <w:r>
        <w:rPr>
          <w:rFonts w:eastAsia="宋体" w:cs="Times New Roman"/>
          <w:b/>
          <w:bCs/>
          <w:sz w:val="28"/>
          <w:szCs w:val="28"/>
        </w:rPr>
        <w:t xml:space="preserve"> </w:t>
      </w:r>
      <w:r>
        <w:rPr>
          <w:rFonts w:hint="eastAsia" w:eastAsia="宋体" w:cs="Times New Roman"/>
          <w:b/>
          <w:bCs/>
          <w:sz w:val="28"/>
          <w:szCs w:val="28"/>
        </w:rPr>
        <w:t>号</w:t>
      </w:r>
      <w:bookmarkEnd w:id="42"/>
    </w:p>
    <w:p w14:paraId="49B98989">
      <w:pPr>
        <w:tabs>
          <w:tab w:val="decimal" w:pos="3828"/>
        </w:tabs>
        <w:adjustRightInd w:val="0"/>
        <w:snapToGrid w:val="0"/>
        <w:spacing w:line="360" w:lineRule="auto"/>
        <w:ind w:left="848" w:leftChars="265"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VOL    —— 体积百分比；</w:t>
      </w:r>
    </w:p>
    <w:p w14:paraId="64F36137">
      <w:pPr>
        <w:adjustRightInd w:val="0"/>
        <w:snapToGrid w:val="0"/>
        <w:spacing w:line="360" w:lineRule="auto"/>
        <w:ind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Ex ib IIB T4 Gb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防爆等级；</w:t>
      </w:r>
    </w:p>
    <w:p w14:paraId="2A06582A">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PH</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氢离子浓度指数；</w:t>
      </w:r>
    </w:p>
    <w:p w14:paraId="3E18B2D4">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F.S.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满量程；</w:t>
      </w:r>
    </w:p>
    <w:p w14:paraId="5887F0A9">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NBIot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窄带物联网；</w:t>
      </w:r>
    </w:p>
    <w:p w14:paraId="6AB69488">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CSQ</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通信信号</w:t>
      </w:r>
      <w:r>
        <w:rPr>
          <w:rFonts w:hint="eastAsia" w:eastAsia="宋体" w:cs="Times New Roman"/>
          <w:color w:val="000000" w:themeColor="text1"/>
          <w:sz w:val="21"/>
          <w:szCs w:val="21"/>
          <w14:textFill>
            <w14:solidFill>
              <w14:schemeClr w14:val="tx1"/>
            </w14:solidFill>
          </w14:textFill>
        </w:rPr>
        <w:t>质量</w:t>
      </w:r>
      <w:r>
        <w:rPr>
          <w:rFonts w:eastAsia="宋体" w:cs="Times New Roman"/>
          <w:color w:val="000000" w:themeColor="text1"/>
          <w:sz w:val="21"/>
          <w:szCs w:val="21"/>
          <w14:textFill>
            <w14:solidFill>
              <w14:schemeClr w14:val="tx1"/>
            </w14:solidFill>
          </w14:textFill>
        </w:rPr>
        <w:t>；</w:t>
      </w:r>
    </w:p>
    <w:p w14:paraId="1426616A">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IP</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电气设备防尘防水等级；</w:t>
      </w:r>
    </w:p>
    <w:p w14:paraId="6FA8D29D">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CODcr —— 化学需氧量；</w:t>
      </w:r>
    </w:p>
    <w:p w14:paraId="5830E7C9">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WF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户外防腐等级；</w:t>
      </w:r>
    </w:p>
    <w:p w14:paraId="0037B511">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GNSS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全球卫星导航系统；</w:t>
      </w:r>
    </w:p>
    <w:p w14:paraId="3E99625D">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PVC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聚氯乙烯；</w:t>
      </w:r>
    </w:p>
    <w:p w14:paraId="3DCB69B2">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g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重力加速度；</w:t>
      </w:r>
    </w:p>
    <w:p w14:paraId="1C58A166">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RH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相对湿度；</w:t>
      </w:r>
    </w:p>
    <w:p w14:paraId="4A767925">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L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拉线位移计在安装时，被测物处于设计基准状态下的拉绳长度；</w:t>
      </w:r>
    </w:p>
    <w:p w14:paraId="10A467A1">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Lmax+ —— 被测物在设计工况下可能发生的最大正向位移量；</w:t>
      </w:r>
    </w:p>
    <w:p w14:paraId="7E8DB3E5">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Lmax-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被测物在设计工况下可能发生的最大负向位移量；</w:t>
      </w:r>
    </w:p>
    <w:p w14:paraId="15C273C5">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PE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聚乙烯；</w:t>
      </w:r>
    </w:p>
    <w:p w14:paraId="2AA10155">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με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微应变；</w:t>
      </w:r>
    </w:p>
    <w:p w14:paraId="7F2C2469">
      <w:pPr>
        <w:adjustRightInd w:val="0"/>
        <w:snapToGrid w:val="0"/>
        <w:spacing w:line="360" w:lineRule="auto"/>
        <w:ind w:left="992" w:leftChars="310"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ppm </w:t>
      </w:r>
      <w:r>
        <w:rPr>
          <w:rFonts w:eastAsia="宋体" w:cs="Times New Roman"/>
          <w:color w:val="000000" w:themeColor="text1"/>
          <w:sz w:val="21"/>
          <w:szCs w:val="21"/>
          <w14:textFill>
            <w14:solidFill>
              <w14:schemeClr w14:val="tx1"/>
            </w14:solidFill>
          </w14:textFill>
        </w:rPr>
        <w:tab/>
      </w:r>
      <w:r>
        <w:rPr>
          <w:rFonts w:eastAsia="宋体" w:cs="Times New Roman"/>
          <w:color w:val="000000" w:themeColor="text1"/>
          <w:sz w:val="21"/>
          <w:szCs w:val="21"/>
          <w14:textFill>
            <w14:solidFill>
              <w14:schemeClr w14:val="tx1"/>
            </w14:solidFill>
          </w14:textFill>
        </w:rPr>
        <w:t>—— 百万分比浓度；</w:t>
      </w:r>
    </w:p>
    <w:p w14:paraId="3A78BE75">
      <w:pPr>
        <w:adjustRightInd w:val="0"/>
        <w:snapToGrid w:val="0"/>
        <w:spacing w:line="360" w:lineRule="auto"/>
        <w:ind w:firstLine="420"/>
        <w:rPr>
          <w:rFonts w:eastAsia="宋体" w:cs="Times New Roman"/>
          <w:color w:val="000000" w:themeColor="text1"/>
          <w:sz w:val="21"/>
          <w:szCs w:val="21"/>
          <w14:textFill>
            <w14:solidFill>
              <w14:schemeClr w14:val="tx1"/>
            </w14:solidFill>
          </w14:textFill>
        </w:rPr>
      </w:pPr>
    </w:p>
    <w:p w14:paraId="54E3609D">
      <w:pPr>
        <w:adjustRightInd w:val="0"/>
        <w:snapToGrid w:val="0"/>
        <w:spacing w:line="360" w:lineRule="auto"/>
        <w:ind w:firstLine="420"/>
        <w:rPr>
          <w:rFonts w:eastAsia="宋体" w:cs="Times New Roman"/>
          <w:color w:val="000000" w:themeColor="text1"/>
          <w:sz w:val="21"/>
          <w:szCs w:val="21"/>
          <w14:textFill>
            <w14:solidFill>
              <w14:schemeClr w14:val="tx1"/>
            </w14:solidFill>
          </w14:textFill>
        </w:rPr>
      </w:pPr>
    </w:p>
    <w:p w14:paraId="36262915">
      <w:pPr>
        <w:widowControl/>
        <w:ind w:firstLine="0" w:firstLineChars="0"/>
        <w:jc w:val="left"/>
        <w:rPr>
          <w:rFonts w:cs="Times New Roman" w:eastAsiaTheme="minorEastAsia"/>
          <w:color w:val="000000" w:themeColor="text1"/>
          <w:sz w:val="21"/>
          <w:szCs w:val="21"/>
          <w14:textFill>
            <w14:solidFill>
              <w14:schemeClr w14:val="tx1"/>
            </w14:solidFill>
          </w14:textFill>
        </w:rPr>
      </w:pPr>
    </w:p>
    <w:p w14:paraId="7B26C58B">
      <w:pPr>
        <w:widowControl/>
        <w:ind w:firstLine="0" w:firstLineChars="0"/>
        <w:jc w:val="left"/>
        <w:rPr>
          <w:rFonts w:cs="Times New Roman" w:eastAsiaTheme="minorEastAsia"/>
          <w:color w:val="000000" w:themeColor="text1"/>
          <w:sz w:val="21"/>
          <w:szCs w:val="21"/>
          <w14:textFill>
            <w14:solidFill>
              <w14:schemeClr w14:val="tx1"/>
            </w14:solidFill>
          </w14:textFill>
        </w:rPr>
      </w:pPr>
    </w:p>
    <w:p w14:paraId="1F12F08F">
      <w:pPr>
        <w:widowControl/>
        <w:ind w:firstLine="0" w:firstLineChars="0"/>
        <w:jc w:val="left"/>
        <w:rPr>
          <w:rFonts w:cs="Times New Roman" w:eastAsiaTheme="minorEastAsia"/>
          <w:color w:val="000000" w:themeColor="text1"/>
          <w:sz w:val="21"/>
          <w:szCs w:val="21"/>
          <w14:textFill>
            <w14:solidFill>
              <w14:schemeClr w14:val="tx1"/>
            </w14:solidFill>
          </w14:textFill>
        </w:rPr>
      </w:pPr>
    </w:p>
    <w:p w14:paraId="4018D3B2">
      <w:pPr>
        <w:widowControl/>
        <w:ind w:firstLine="0" w:firstLineChars="0"/>
        <w:jc w:val="left"/>
        <w:rPr>
          <w:rFonts w:eastAsia="楷体" w:cs="Times New Roman"/>
          <w:bCs/>
          <w:sz w:val="21"/>
          <w:szCs w:val="21"/>
        </w:rPr>
      </w:pPr>
    </w:p>
    <w:p w14:paraId="02805E09">
      <w:pPr>
        <w:widowControl/>
        <w:ind w:firstLine="0" w:firstLineChars="0"/>
        <w:jc w:val="left"/>
        <w:rPr>
          <w:rFonts w:eastAsia="楷体" w:cs="Times New Roman"/>
          <w:bCs/>
          <w:sz w:val="21"/>
          <w:szCs w:val="21"/>
        </w:rPr>
      </w:pPr>
      <w:r>
        <w:rPr>
          <w:rFonts w:eastAsia="楷体" w:cs="Times New Roman"/>
          <w:bCs/>
          <w:sz w:val="21"/>
          <w:szCs w:val="21"/>
        </w:rPr>
        <w:br w:type="page"/>
      </w:r>
    </w:p>
    <w:p w14:paraId="69A96757">
      <w:pPr>
        <w:keepNext/>
        <w:keepLines/>
        <w:spacing w:line="360" w:lineRule="auto"/>
        <w:ind w:firstLine="0" w:firstLineChars="0"/>
        <w:jc w:val="center"/>
        <w:outlineLvl w:val="1"/>
        <w:rPr>
          <w:rFonts w:eastAsia="宋体" w:cs="Times New Roman"/>
          <w:b/>
          <w:bCs/>
          <w:sz w:val="28"/>
          <w:szCs w:val="28"/>
        </w:rPr>
      </w:pPr>
      <w:bookmarkStart w:id="43" w:name="_Toc19008"/>
      <w:bookmarkStart w:id="44" w:name="_Toc11238"/>
      <w:bookmarkStart w:id="45" w:name="_Toc172221040"/>
      <w:bookmarkStart w:id="46" w:name="_Toc192799295"/>
      <w:bookmarkStart w:id="47" w:name="_Toc162779518"/>
      <w:bookmarkStart w:id="48" w:name="_Toc15718"/>
      <w:r>
        <w:rPr>
          <w:rFonts w:eastAsia="宋体" w:cs="Times New Roman"/>
          <w:b/>
          <w:bCs/>
          <w:sz w:val="28"/>
          <w:szCs w:val="28"/>
        </w:rPr>
        <w:t xml:space="preserve">2.3  </w:t>
      </w:r>
      <w:r>
        <w:rPr>
          <w:rFonts w:hint="eastAsia" w:eastAsia="宋体" w:cs="Times New Roman"/>
          <w:b/>
          <w:bCs/>
          <w:sz w:val="28"/>
          <w:szCs w:val="28"/>
        </w:rPr>
        <w:t>缩</w:t>
      </w:r>
      <w:r>
        <w:rPr>
          <w:rFonts w:eastAsia="宋体" w:cs="Times New Roman"/>
          <w:b/>
          <w:bCs/>
          <w:sz w:val="28"/>
          <w:szCs w:val="28"/>
        </w:rPr>
        <w:t xml:space="preserve"> </w:t>
      </w:r>
      <w:r>
        <w:rPr>
          <w:rFonts w:hint="eastAsia" w:eastAsia="宋体" w:cs="Times New Roman"/>
          <w:b/>
          <w:bCs/>
          <w:sz w:val="28"/>
          <w:szCs w:val="28"/>
        </w:rPr>
        <w:t>略</w:t>
      </w:r>
      <w:r>
        <w:rPr>
          <w:rFonts w:eastAsia="宋体" w:cs="Times New Roman"/>
          <w:b/>
          <w:bCs/>
          <w:sz w:val="28"/>
          <w:szCs w:val="28"/>
        </w:rPr>
        <w:t xml:space="preserve"> </w:t>
      </w:r>
      <w:r>
        <w:rPr>
          <w:rFonts w:hint="eastAsia" w:eastAsia="宋体" w:cs="Times New Roman"/>
          <w:b/>
          <w:bCs/>
          <w:sz w:val="28"/>
          <w:szCs w:val="28"/>
        </w:rPr>
        <w:t>语</w:t>
      </w:r>
      <w:bookmarkEnd w:id="43"/>
      <w:bookmarkEnd w:id="44"/>
      <w:bookmarkEnd w:id="45"/>
      <w:bookmarkEnd w:id="46"/>
      <w:bookmarkEnd w:id="47"/>
      <w:bookmarkEnd w:id="48"/>
    </w:p>
    <w:p w14:paraId="69D214F7">
      <w:pPr>
        <w:adjustRightInd w:val="0"/>
        <w:snapToGrid w:val="0"/>
        <w:spacing w:line="360" w:lineRule="auto"/>
        <w:ind w:firstLine="420"/>
        <w:rPr>
          <w:rFonts w:eastAsia="宋体" w:cs="Times New Roman"/>
          <w:sz w:val="24"/>
          <w:szCs w:val="24"/>
        </w:rPr>
      </w:pPr>
      <w:r>
        <w:rPr>
          <w:rFonts w:cs="Times New Roman" w:eastAsiaTheme="minorEastAsia"/>
          <w:color w:val="000000" w:themeColor="text1"/>
          <w:sz w:val="21"/>
          <w:szCs w:val="21"/>
          <w14:textFill>
            <w14:solidFill>
              <w14:schemeClr w14:val="tx1"/>
            </w14:solidFill>
          </w14:textFill>
        </w:rPr>
        <w:t>NBIot</w:t>
      </w:r>
      <w:r>
        <w:rPr>
          <w:rFonts w:eastAsia="宋体" w:cs="Times New Roman"/>
          <w:color w:val="000000" w:themeColor="text1"/>
          <w:sz w:val="21"/>
          <w:szCs w:val="21"/>
          <w14:textFill>
            <w14:solidFill>
              <w14:schemeClr w14:val="tx1"/>
            </w14:solidFill>
          </w14:textFill>
        </w:rPr>
        <w:t>（</w:t>
      </w:r>
      <w:r>
        <w:rPr>
          <w:rFonts w:cs="Times New Roman" w:eastAsiaTheme="minorEastAsia"/>
          <w:color w:val="000000" w:themeColor="text1"/>
          <w:sz w:val="21"/>
          <w:szCs w:val="21"/>
          <w14:textFill>
            <w14:solidFill>
              <w14:schemeClr w14:val="tx1"/>
            </w14:solidFill>
          </w14:textFill>
        </w:rPr>
        <w:t>Narrow Band Internet of Things</w:t>
      </w:r>
      <w:r>
        <w:rPr>
          <w:rFonts w:eastAsia="宋体" w:cs="Times New Roman"/>
          <w:color w:val="000000"/>
          <w:sz w:val="21"/>
          <w:szCs w:val="21"/>
        </w:rPr>
        <w:t>）</w:t>
      </w:r>
      <w:r>
        <w:rPr>
          <w:rFonts w:eastAsia="宋体" w:cs="Times New Roman"/>
          <w:bCs/>
          <w:sz w:val="21"/>
          <w:szCs w:val="21"/>
        </w:rPr>
        <w:t>窄带物联网</w:t>
      </w:r>
      <w:r>
        <w:rPr>
          <w:rFonts w:eastAsia="MS Gothic" w:cs="Times New Roman"/>
          <w:sz w:val="24"/>
          <w:szCs w:val="24"/>
        </w:rPr>
        <w:t>‌</w:t>
      </w:r>
    </w:p>
    <w:p w14:paraId="5318BD69">
      <w:pPr>
        <w:adjustRightInd w:val="0"/>
        <w:snapToGrid w:val="0"/>
        <w:spacing w:line="360" w:lineRule="auto"/>
        <w:ind w:firstLine="420"/>
        <w:rPr>
          <w:rFonts w:eastAsia="宋体" w:cs="Times New Roman"/>
          <w:sz w:val="24"/>
          <w:szCs w:val="24"/>
        </w:rPr>
      </w:pPr>
      <w:r>
        <w:rPr>
          <w:rFonts w:cs="Times New Roman" w:eastAsiaTheme="minorEastAsia"/>
          <w:color w:val="000000" w:themeColor="text1"/>
          <w:sz w:val="21"/>
          <w:szCs w:val="21"/>
          <w14:textFill>
            <w14:solidFill>
              <w14:schemeClr w14:val="tx1"/>
            </w14:solidFill>
          </w14:textFill>
        </w:rPr>
        <w:t>CSQ</w:t>
      </w:r>
      <w:r>
        <w:rPr>
          <w:rFonts w:eastAsia="宋体" w:cs="Times New Roman"/>
          <w:color w:val="000000" w:themeColor="text1"/>
          <w:sz w:val="21"/>
          <w:szCs w:val="21"/>
          <w14:textFill>
            <w14:solidFill>
              <w14:schemeClr w14:val="tx1"/>
            </w14:solidFill>
          </w14:textFill>
        </w:rPr>
        <w:t>（</w:t>
      </w:r>
      <w:r>
        <w:rPr>
          <w:rFonts w:cs="Times New Roman" w:eastAsiaTheme="minorEastAsia"/>
          <w:color w:val="000000" w:themeColor="text1"/>
          <w:sz w:val="21"/>
          <w:szCs w:val="21"/>
          <w14:textFill>
            <w14:solidFill>
              <w14:schemeClr w14:val="tx1"/>
            </w14:solidFill>
          </w14:textFill>
        </w:rPr>
        <w:t>Channel Signal Quality</w:t>
      </w:r>
      <w:r>
        <w:rPr>
          <w:rFonts w:eastAsia="宋体" w:cs="Times New Roman"/>
          <w:color w:val="000000"/>
          <w:sz w:val="21"/>
          <w:szCs w:val="21"/>
        </w:rPr>
        <w:t>）</w:t>
      </w:r>
      <w:r>
        <w:rPr>
          <w:rFonts w:hint="eastAsia" w:eastAsia="宋体" w:cs="Times New Roman"/>
          <w:bCs/>
          <w:sz w:val="21"/>
          <w:szCs w:val="21"/>
        </w:rPr>
        <w:t>通信</w:t>
      </w:r>
      <w:r>
        <w:rPr>
          <w:rFonts w:eastAsia="宋体" w:cs="Times New Roman"/>
          <w:bCs/>
          <w:sz w:val="21"/>
          <w:szCs w:val="21"/>
        </w:rPr>
        <w:t>信号质量</w:t>
      </w:r>
    </w:p>
    <w:p w14:paraId="66EC6668">
      <w:pPr>
        <w:adjustRightInd w:val="0"/>
        <w:snapToGrid w:val="0"/>
        <w:spacing w:line="360" w:lineRule="auto"/>
        <w:ind w:firstLine="420"/>
        <w:rPr>
          <w:rFonts w:eastAsia="宋体" w:cs="Times New Roman"/>
          <w:sz w:val="24"/>
          <w:szCs w:val="24"/>
        </w:rPr>
      </w:pPr>
      <w:r>
        <w:rPr>
          <w:rFonts w:cs="Times New Roman" w:eastAsiaTheme="minorEastAsia"/>
          <w:color w:val="000000" w:themeColor="text1"/>
          <w:sz w:val="21"/>
          <w:szCs w:val="21"/>
          <w14:textFill>
            <w14:solidFill>
              <w14:schemeClr w14:val="tx1"/>
            </w14:solidFill>
          </w14:textFill>
        </w:rPr>
        <w:t>GNSS</w:t>
      </w:r>
      <w:r>
        <w:rPr>
          <w:rFonts w:eastAsia="宋体" w:cs="Times New Roman"/>
          <w:color w:val="000000" w:themeColor="text1"/>
          <w:sz w:val="21"/>
          <w:szCs w:val="21"/>
          <w14:textFill>
            <w14:solidFill>
              <w14:schemeClr w14:val="tx1"/>
            </w14:solidFill>
          </w14:textFill>
        </w:rPr>
        <w:t>（</w:t>
      </w:r>
      <w:r>
        <w:rPr>
          <w:rFonts w:cs="Times New Roman" w:eastAsiaTheme="minorEastAsia"/>
          <w:color w:val="000000" w:themeColor="text1"/>
          <w:sz w:val="21"/>
          <w:szCs w:val="21"/>
          <w14:textFill>
            <w14:solidFill>
              <w14:schemeClr w14:val="tx1"/>
            </w14:solidFill>
          </w14:textFill>
        </w:rPr>
        <w:t>Global Navigation Satellite System</w:t>
      </w:r>
      <w:r>
        <w:rPr>
          <w:rFonts w:eastAsia="宋体" w:cs="Times New Roman"/>
          <w:color w:val="000000"/>
          <w:sz w:val="21"/>
          <w:szCs w:val="21"/>
        </w:rPr>
        <w:t>）</w:t>
      </w:r>
      <w:r>
        <w:rPr>
          <w:rFonts w:eastAsia="宋体" w:cs="Times New Roman"/>
          <w:bCs/>
          <w:sz w:val="21"/>
          <w:szCs w:val="21"/>
        </w:rPr>
        <w:t>全球卫星导航系统</w:t>
      </w:r>
    </w:p>
    <w:p w14:paraId="2A4F63BD">
      <w:pPr>
        <w:adjustRightInd w:val="0"/>
        <w:snapToGrid w:val="0"/>
        <w:spacing w:line="360" w:lineRule="auto"/>
        <w:ind w:firstLine="420"/>
        <w:rPr>
          <w:rFonts w:eastAsia="宋体" w:cs="Times New Roman"/>
          <w:sz w:val="24"/>
          <w:szCs w:val="24"/>
        </w:rPr>
      </w:pPr>
      <w:r>
        <w:rPr>
          <w:rFonts w:cs="Times New Roman" w:eastAsiaTheme="minorEastAsia"/>
          <w:color w:val="000000" w:themeColor="text1"/>
          <w:sz w:val="21"/>
          <w:szCs w:val="21"/>
          <w14:textFill>
            <w14:solidFill>
              <w14:schemeClr w14:val="tx1"/>
            </w14:solidFill>
          </w14:textFill>
        </w:rPr>
        <w:t>HART</w:t>
      </w:r>
      <w:r>
        <w:rPr>
          <w:rFonts w:eastAsia="宋体" w:cs="Times New Roman"/>
          <w:color w:val="000000" w:themeColor="text1"/>
          <w:sz w:val="21"/>
          <w:szCs w:val="21"/>
          <w14:textFill>
            <w14:solidFill>
              <w14:schemeClr w14:val="tx1"/>
            </w14:solidFill>
          </w14:textFill>
        </w:rPr>
        <w:t>（</w:t>
      </w:r>
      <w:r>
        <w:rPr>
          <w:rFonts w:cs="Times New Roman" w:eastAsiaTheme="minorEastAsia"/>
          <w:color w:val="000000" w:themeColor="text1"/>
          <w:sz w:val="21"/>
          <w:szCs w:val="21"/>
          <w14:textFill>
            <w14:solidFill>
              <w14:schemeClr w14:val="tx1"/>
            </w14:solidFill>
          </w14:textFill>
        </w:rPr>
        <w:t>Highway Addressable Remote Transducer</w:t>
      </w:r>
      <w:r>
        <w:rPr>
          <w:rFonts w:eastAsia="宋体" w:cs="Times New Roman"/>
          <w:color w:val="000000"/>
          <w:sz w:val="21"/>
          <w:szCs w:val="21"/>
        </w:rPr>
        <w:t>）</w:t>
      </w:r>
      <w:r>
        <w:rPr>
          <w:rFonts w:eastAsia="宋体" w:cs="Times New Roman"/>
          <w:bCs/>
          <w:sz w:val="21"/>
          <w:szCs w:val="21"/>
        </w:rPr>
        <w:t>可寻址远程传感器高速通道的开放通信协议</w:t>
      </w:r>
    </w:p>
    <w:p w14:paraId="4D370DDB">
      <w:pPr>
        <w:adjustRightInd w:val="0"/>
        <w:snapToGrid w:val="0"/>
        <w:spacing w:line="360" w:lineRule="auto"/>
        <w:ind w:firstLine="420"/>
        <w:rPr>
          <w:rFonts w:eastAsia="宋体" w:cs="Times New Roman"/>
          <w:sz w:val="24"/>
          <w:szCs w:val="24"/>
        </w:rPr>
      </w:pPr>
      <w:r>
        <w:rPr>
          <w:rFonts w:cs="Times New Roman" w:eastAsiaTheme="minorEastAsia"/>
          <w:color w:val="000000" w:themeColor="text1"/>
          <w:sz w:val="21"/>
          <w:szCs w:val="21"/>
          <w14:textFill>
            <w14:solidFill>
              <w14:schemeClr w14:val="tx1"/>
            </w14:solidFill>
          </w14:textFill>
        </w:rPr>
        <w:t>MQTT</w:t>
      </w:r>
      <w:r>
        <w:rPr>
          <w:rFonts w:eastAsia="宋体" w:cs="Times New Roman"/>
          <w:color w:val="000000" w:themeColor="text1"/>
          <w:sz w:val="21"/>
          <w:szCs w:val="21"/>
          <w14:textFill>
            <w14:solidFill>
              <w14:schemeClr w14:val="tx1"/>
            </w14:solidFill>
          </w14:textFill>
        </w:rPr>
        <w:t>（</w:t>
      </w:r>
      <w:r>
        <w:rPr>
          <w:rFonts w:cs="Times New Roman" w:eastAsiaTheme="minorEastAsia"/>
          <w:color w:val="000000" w:themeColor="text1"/>
          <w:sz w:val="21"/>
          <w:szCs w:val="21"/>
          <w14:textFill>
            <w14:solidFill>
              <w14:schemeClr w14:val="tx1"/>
            </w14:solidFill>
          </w14:textFill>
        </w:rPr>
        <w:t>Message Queuing Telemetry Transpor</w:t>
      </w:r>
      <w:r>
        <w:rPr>
          <w:rFonts w:eastAsia="宋体" w:cs="Times New Roman"/>
          <w:sz w:val="24"/>
          <w:szCs w:val="24"/>
        </w:rPr>
        <w:t>t</w:t>
      </w:r>
      <w:r>
        <w:rPr>
          <w:rFonts w:eastAsia="宋体" w:cs="Times New Roman"/>
          <w:color w:val="000000"/>
          <w:sz w:val="21"/>
          <w:szCs w:val="21"/>
        </w:rPr>
        <w:t>）</w:t>
      </w:r>
      <w:r>
        <w:rPr>
          <w:rFonts w:eastAsia="宋体" w:cs="Times New Roman"/>
          <w:bCs/>
          <w:sz w:val="21"/>
          <w:szCs w:val="21"/>
        </w:rPr>
        <w:t>消息队列遥测传输协议</w:t>
      </w:r>
    </w:p>
    <w:p w14:paraId="19EFF9E1">
      <w:pPr>
        <w:adjustRightInd w:val="0"/>
        <w:snapToGrid w:val="0"/>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CoAP</w:t>
      </w:r>
      <w:r>
        <w:rPr>
          <w:rFonts w:eastAsia="宋体" w:cs="Times New Roman"/>
          <w:color w:val="000000" w:themeColor="text1"/>
          <w:sz w:val="21"/>
          <w:szCs w:val="21"/>
          <w14:textFill>
            <w14:solidFill>
              <w14:schemeClr w14:val="tx1"/>
            </w14:solidFill>
          </w14:textFill>
        </w:rPr>
        <w:t>（</w:t>
      </w:r>
      <w:r>
        <w:rPr>
          <w:rFonts w:cs="Times New Roman" w:eastAsiaTheme="minorEastAsia"/>
          <w:color w:val="000000" w:themeColor="text1"/>
          <w:sz w:val="21"/>
          <w:szCs w:val="21"/>
          <w14:textFill>
            <w14:solidFill>
              <w14:schemeClr w14:val="tx1"/>
            </w14:solidFill>
          </w14:textFill>
        </w:rPr>
        <w:t>Constrained Application Protoco</w:t>
      </w:r>
      <w:r>
        <w:rPr>
          <w:rFonts w:hint="eastAsia" w:cs="Times New Roman" w:eastAsiaTheme="minorEastAsia"/>
          <w:color w:val="000000" w:themeColor="text1"/>
          <w:sz w:val="21"/>
          <w:szCs w:val="21"/>
          <w14:textFill>
            <w14:solidFill>
              <w14:schemeClr w14:val="tx1"/>
            </w14:solidFill>
          </w14:textFill>
        </w:rPr>
        <w:t>l</w:t>
      </w:r>
      <w:r>
        <w:rPr>
          <w:rFonts w:eastAsia="宋体" w:cs="Times New Roman"/>
          <w:color w:val="000000"/>
          <w:sz w:val="21"/>
          <w:szCs w:val="21"/>
        </w:rPr>
        <w:t>）</w:t>
      </w:r>
      <w:r>
        <w:rPr>
          <w:rFonts w:hint="eastAsia" w:eastAsia="宋体" w:cs="Times New Roman"/>
          <w:color w:val="000000"/>
          <w:sz w:val="21"/>
          <w:szCs w:val="21"/>
        </w:rPr>
        <w:t>受限</w:t>
      </w:r>
      <w:r>
        <w:rPr>
          <w:rFonts w:eastAsia="宋体" w:cs="Times New Roman"/>
          <w:bCs/>
          <w:sz w:val="21"/>
          <w:szCs w:val="21"/>
        </w:rPr>
        <w:t>应用层通信协议</w:t>
      </w:r>
    </w:p>
    <w:p w14:paraId="1F5C68B7">
      <w:pPr>
        <w:adjustRightInd w:val="0"/>
        <w:snapToGrid w:val="0"/>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SIM (Subscriber Identity Module)</w:t>
      </w:r>
      <w:r>
        <w:rPr>
          <w:rFonts w:eastAsia="宋体" w:cs="Times New Roman"/>
          <w:bCs/>
          <w:sz w:val="21"/>
          <w:szCs w:val="21"/>
        </w:rPr>
        <w:t xml:space="preserve"> 用户识别卡</w:t>
      </w:r>
    </w:p>
    <w:p w14:paraId="4CD3CD59">
      <w:pPr>
        <w:adjustRightInd w:val="0"/>
        <w:snapToGrid w:val="0"/>
        <w:spacing w:line="360" w:lineRule="auto"/>
        <w:ind w:firstLine="420"/>
        <w:rPr>
          <w:rFonts w:eastAsia="宋体" w:cs="Times New Roman"/>
          <w:bCs/>
          <w:sz w:val="21"/>
          <w:szCs w:val="21"/>
        </w:rPr>
      </w:pPr>
      <w:r>
        <w:rPr>
          <w:rFonts w:eastAsia="宋体" w:cs="Times New Roman"/>
          <w:bCs/>
          <w:sz w:val="21"/>
          <w:szCs w:val="21"/>
        </w:rPr>
        <w:t xml:space="preserve">eSIM (Embedded SIM) </w:t>
      </w:r>
      <w:r>
        <w:rPr>
          <w:rFonts w:hint="eastAsia" w:eastAsia="宋体" w:cs="Times New Roman"/>
          <w:bCs/>
          <w:sz w:val="21"/>
          <w:szCs w:val="21"/>
        </w:rPr>
        <w:t>电子化SIM卡</w:t>
      </w:r>
    </w:p>
    <w:p w14:paraId="6DD3FBF9">
      <w:pPr>
        <w:adjustRightInd w:val="0"/>
        <w:snapToGrid w:val="0"/>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BLE (Bluetooth Low Energy)</w:t>
      </w:r>
      <w:r>
        <w:rPr>
          <w:rFonts w:eastAsia="宋体" w:cs="Times New Roman"/>
          <w:bCs/>
          <w:sz w:val="21"/>
          <w:szCs w:val="21"/>
        </w:rPr>
        <w:t xml:space="preserve"> 低功耗蓝牙</w:t>
      </w:r>
    </w:p>
    <w:p w14:paraId="39DC7EFA">
      <w:pPr>
        <w:adjustRightInd w:val="0"/>
        <w:snapToGrid w:val="0"/>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LoRa（Long Range Radio）</w:t>
      </w:r>
      <w:r>
        <w:rPr>
          <w:rFonts w:eastAsia="宋体" w:cs="Times New Roman"/>
          <w:bCs/>
          <w:sz w:val="21"/>
          <w:szCs w:val="21"/>
        </w:rPr>
        <w:t>远距离无线电</w:t>
      </w:r>
    </w:p>
    <w:p w14:paraId="05C0FB3C">
      <w:pPr>
        <w:adjustRightInd w:val="0"/>
        <w:snapToGrid w:val="0"/>
        <w:spacing w:line="360" w:lineRule="auto"/>
        <w:ind w:firstLine="42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WAN（Wide Area Network）</w:t>
      </w:r>
      <w:r>
        <w:rPr>
          <w:rFonts w:eastAsia="宋体" w:cs="Times New Roman"/>
          <w:bCs/>
          <w:sz w:val="21"/>
          <w:szCs w:val="21"/>
        </w:rPr>
        <w:t>广域网</w:t>
      </w:r>
    </w:p>
    <w:p w14:paraId="2327E5C2">
      <w:pPr>
        <w:adjustRightInd w:val="0"/>
        <w:snapToGrid w:val="0"/>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LAN（Local Area Network）</w:t>
      </w:r>
      <w:r>
        <w:rPr>
          <w:rFonts w:eastAsia="宋体" w:cs="Times New Roman"/>
          <w:bCs/>
          <w:sz w:val="21"/>
          <w:szCs w:val="21"/>
        </w:rPr>
        <w:t>局域网</w:t>
      </w:r>
    </w:p>
    <w:p w14:paraId="7212A6DA">
      <w:pPr>
        <w:adjustRightInd w:val="0"/>
        <w:snapToGrid w:val="0"/>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Modbus（Modicon Bus Protocol ）</w:t>
      </w:r>
      <w:r>
        <w:rPr>
          <w:rFonts w:hint="eastAsia" w:eastAsia="宋体" w:cs="Times New Roman"/>
          <w:bCs/>
          <w:sz w:val="21"/>
          <w:szCs w:val="21"/>
        </w:rPr>
        <w:t>一种用于工业设备间数据传输的层通信协议</w:t>
      </w:r>
    </w:p>
    <w:p w14:paraId="5A43C05F">
      <w:pPr>
        <w:adjustRightInd w:val="0"/>
        <w:snapToGrid w:val="0"/>
        <w:spacing w:line="360" w:lineRule="auto"/>
        <w:ind w:firstLine="420"/>
        <w:rPr>
          <w:rFonts w:eastAsia="宋体" w:cs="Times New Roman"/>
          <w:bCs/>
          <w:sz w:val="21"/>
          <w:szCs w:val="21"/>
        </w:rPr>
      </w:pPr>
      <w:r>
        <w:rPr>
          <w:rFonts w:hint="eastAsia" w:eastAsia="宋体" w:cs="Times New Roman"/>
          <w:bCs/>
          <w:sz w:val="21"/>
          <w:szCs w:val="21"/>
        </w:rPr>
        <w:t>Cat5e（Category 5e）超五类双绞线</w:t>
      </w:r>
    </w:p>
    <w:p w14:paraId="79BFF684">
      <w:pPr>
        <w:adjustRightInd w:val="0"/>
        <w:snapToGrid w:val="0"/>
        <w:spacing w:line="360" w:lineRule="auto"/>
        <w:ind w:firstLine="420"/>
        <w:rPr>
          <w:rFonts w:eastAsia="宋体" w:cs="Times New Roman"/>
          <w:bCs/>
          <w:sz w:val="21"/>
          <w:szCs w:val="21"/>
        </w:rPr>
      </w:pPr>
      <w:r>
        <w:rPr>
          <w:rFonts w:hint="eastAsia" w:eastAsia="宋体" w:cs="Times New Roman"/>
          <w:bCs/>
          <w:sz w:val="21"/>
          <w:szCs w:val="21"/>
        </w:rPr>
        <w:t>RS232</w:t>
      </w:r>
      <w:r>
        <w:rPr>
          <w:rFonts w:eastAsia="宋体" w:cs="Times New Roman"/>
          <w:bCs/>
          <w:sz w:val="21"/>
          <w:szCs w:val="21"/>
        </w:rPr>
        <w:t>（EIA -232 Communication Interface）</w:t>
      </w:r>
      <w:r>
        <w:rPr>
          <w:rFonts w:hint="eastAsia" w:eastAsia="宋体" w:cs="Times New Roman"/>
          <w:bCs/>
          <w:sz w:val="21"/>
          <w:szCs w:val="21"/>
        </w:rPr>
        <w:t>串行通信接口标准之一</w:t>
      </w:r>
    </w:p>
    <w:p w14:paraId="7BB8AEC4">
      <w:pPr>
        <w:adjustRightInd w:val="0"/>
        <w:snapToGrid w:val="0"/>
        <w:spacing w:line="360" w:lineRule="auto"/>
        <w:ind w:firstLine="420"/>
        <w:rPr>
          <w:rFonts w:eastAsia="宋体" w:cs="Times New Roman"/>
          <w:bCs/>
          <w:sz w:val="21"/>
          <w:szCs w:val="21"/>
        </w:rPr>
      </w:pPr>
      <w:r>
        <w:rPr>
          <w:rFonts w:hint="eastAsia" w:eastAsia="宋体" w:cs="Times New Roman"/>
          <w:bCs/>
          <w:sz w:val="21"/>
          <w:szCs w:val="21"/>
        </w:rPr>
        <w:t>RS485</w:t>
      </w:r>
      <w:r>
        <w:rPr>
          <w:rFonts w:eastAsia="宋体" w:cs="Times New Roman"/>
          <w:bCs/>
          <w:sz w:val="21"/>
          <w:szCs w:val="21"/>
        </w:rPr>
        <w:t>（EIA-485 Communication Interface）</w:t>
      </w:r>
      <w:r>
        <w:rPr>
          <w:rFonts w:hint="eastAsia" w:eastAsia="宋体" w:cs="Times New Roman"/>
          <w:bCs/>
          <w:sz w:val="21"/>
          <w:szCs w:val="21"/>
        </w:rPr>
        <w:t>主要用于工业环境和长距离数据传输的串行通信标准</w:t>
      </w:r>
    </w:p>
    <w:p w14:paraId="6B0B9CED">
      <w:pPr>
        <w:adjustRightInd w:val="0"/>
        <w:snapToGrid w:val="0"/>
        <w:spacing w:line="360" w:lineRule="auto"/>
        <w:ind w:firstLine="420"/>
        <w:rPr>
          <w:rFonts w:eastAsia="宋体" w:cs="Times New Roman"/>
          <w:bCs/>
          <w:sz w:val="21"/>
          <w:szCs w:val="21"/>
        </w:rPr>
      </w:pPr>
      <w:r>
        <w:rPr>
          <w:rFonts w:hint="eastAsia" w:eastAsia="宋体" w:cs="Times New Roman"/>
          <w:bCs/>
          <w:sz w:val="21"/>
          <w:szCs w:val="21"/>
        </w:rPr>
        <w:t>CAN（Controller Area Network）适用于汽车和其他需要可靠、高效率数据传输的的串行通信协议</w:t>
      </w:r>
    </w:p>
    <w:p w14:paraId="32B9D975">
      <w:pPr>
        <w:adjustRightInd w:val="0"/>
        <w:snapToGrid w:val="0"/>
        <w:spacing w:line="360" w:lineRule="auto"/>
        <w:ind w:firstLine="420"/>
        <w:rPr>
          <w:rFonts w:eastAsia="宋体" w:cs="Times New Roman"/>
          <w:bCs/>
          <w:sz w:val="21"/>
          <w:szCs w:val="21"/>
        </w:rPr>
      </w:pPr>
      <w:r>
        <w:rPr>
          <w:rFonts w:hint="eastAsia" w:eastAsia="宋体" w:cs="Times New Roman"/>
          <w:bCs/>
          <w:sz w:val="21"/>
          <w:szCs w:val="21"/>
        </w:rPr>
        <w:t>EtherNet/IP</w:t>
      </w:r>
      <w:r>
        <w:rPr>
          <w:rFonts w:eastAsia="宋体" w:cs="Times New Roman"/>
          <w:bCs/>
          <w:sz w:val="21"/>
          <w:szCs w:val="21"/>
        </w:rPr>
        <w:t xml:space="preserve"> </w:t>
      </w:r>
      <w:r>
        <w:rPr>
          <w:rFonts w:hint="eastAsia" w:eastAsia="宋体" w:cs="Times New Roman"/>
          <w:bCs/>
          <w:sz w:val="21"/>
          <w:szCs w:val="21"/>
        </w:rPr>
        <w:t>(Ethernet Industrial Protocol)</w:t>
      </w:r>
      <w:r>
        <w:rPr>
          <w:rFonts w:eastAsia="宋体" w:cs="Times New Roman"/>
          <w:bCs/>
          <w:sz w:val="21"/>
          <w:szCs w:val="21"/>
        </w:rPr>
        <w:t xml:space="preserve"> </w:t>
      </w:r>
      <w:r>
        <w:rPr>
          <w:rFonts w:hint="eastAsia" w:eastAsia="宋体" w:cs="Times New Roman"/>
          <w:bCs/>
          <w:sz w:val="21"/>
          <w:szCs w:val="21"/>
        </w:rPr>
        <w:t>是一种工业自动化网络通信协议</w:t>
      </w:r>
    </w:p>
    <w:p w14:paraId="3961C943">
      <w:pPr>
        <w:adjustRightInd w:val="0"/>
        <w:snapToGrid w:val="0"/>
        <w:spacing w:line="360" w:lineRule="auto"/>
        <w:ind w:firstLine="420"/>
        <w:rPr>
          <w:rFonts w:eastAsia="宋体" w:cs="Times New Roman"/>
          <w:bCs/>
          <w:sz w:val="21"/>
          <w:szCs w:val="21"/>
        </w:rPr>
      </w:pPr>
      <w:r>
        <w:rPr>
          <w:rFonts w:eastAsia="宋体" w:cs="Times New Roman"/>
          <w:bCs/>
          <w:sz w:val="21"/>
          <w:szCs w:val="21"/>
        </w:rPr>
        <w:t xml:space="preserve">TCP/IP </w:t>
      </w:r>
      <w:r>
        <w:rPr>
          <w:rFonts w:hint="eastAsia" w:eastAsia="宋体" w:cs="Times New Roman"/>
          <w:bCs/>
          <w:sz w:val="21"/>
          <w:szCs w:val="21"/>
        </w:rPr>
        <w:t>（Transmission Control Protocol/Internet Protocol）传输控制协议/网际协议</w:t>
      </w:r>
    </w:p>
    <w:p w14:paraId="359B7714">
      <w:pPr>
        <w:adjustRightInd w:val="0"/>
        <w:snapToGrid w:val="0"/>
        <w:spacing w:line="360" w:lineRule="auto"/>
        <w:ind w:firstLine="420"/>
        <w:rPr>
          <w:rFonts w:eastAsia="宋体" w:cs="Times New Roman"/>
          <w:bCs/>
          <w:sz w:val="21"/>
          <w:szCs w:val="21"/>
        </w:rPr>
      </w:pPr>
      <w:r>
        <w:rPr>
          <w:rFonts w:hint="eastAsia" w:eastAsia="宋体" w:cs="Times New Roman"/>
          <w:bCs/>
          <w:sz w:val="21"/>
          <w:szCs w:val="21"/>
        </w:rPr>
        <w:t>Wi-Fi</w:t>
      </w:r>
      <w:r>
        <w:rPr>
          <w:rFonts w:eastAsia="宋体" w:cs="Times New Roman"/>
          <w:bCs/>
          <w:sz w:val="21"/>
          <w:szCs w:val="21"/>
        </w:rPr>
        <w:t xml:space="preserve"> (Wireless Fidelity) </w:t>
      </w:r>
      <w:r>
        <w:rPr>
          <w:rFonts w:hint="eastAsia" w:eastAsia="宋体" w:cs="Times New Roman"/>
          <w:bCs/>
          <w:sz w:val="21"/>
          <w:szCs w:val="21"/>
        </w:rPr>
        <w:t>基于IEEE 802.11标准的无线局域网通信技术</w:t>
      </w:r>
    </w:p>
    <w:p w14:paraId="70ADBBB9">
      <w:pPr>
        <w:adjustRightInd w:val="0"/>
        <w:snapToGrid w:val="0"/>
        <w:spacing w:line="360" w:lineRule="auto"/>
        <w:ind w:firstLine="420"/>
        <w:rPr>
          <w:rFonts w:eastAsia="宋体" w:cs="Times New Roman"/>
          <w:bCs/>
          <w:sz w:val="21"/>
          <w:szCs w:val="21"/>
        </w:rPr>
      </w:pPr>
      <w:r>
        <w:rPr>
          <w:rFonts w:hint="eastAsia" w:eastAsia="宋体" w:cs="Times New Roman"/>
          <w:bCs/>
          <w:sz w:val="21"/>
          <w:szCs w:val="21"/>
        </w:rPr>
        <w:t>AI（Artificial Intelligence）人工智能</w:t>
      </w:r>
    </w:p>
    <w:p w14:paraId="47FAA2CF">
      <w:pPr>
        <w:widowControl/>
        <w:ind w:firstLine="0" w:firstLineChars="0"/>
        <w:jc w:val="left"/>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br w:type="page"/>
      </w:r>
    </w:p>
    <w:bookmarkEnd w:id="34"/>
    <w:bookmarkEnd w:id="35"/>
    <w:p w14:paraId="44E9D1FC">
      <w:pPr>
        <w:pStyle w:val="2"/>
        <w:spacing w:before="340" w:after="156" w:line="480" w:lineRule="auto"/>
        <w:jc w:val="center"/>
        <w:rPr>
          <w:rFonts w:cs="Times New Roman" w:eastAsiaTheme="minorEastAsia"/>
          <w:b/>
          <w:color w:val="000000" w:themeColor="text1"/>
          <w:sz w:val="30"/>
          <w:szCs w:val="30"/>
          <w14:textFill>
            <w14:solidFill>
              <w14:schemeClr w14:val="tx1"/>
            </w14:solidFill>
          </w14:textFill>
        </w:rPr>
      </w:pPr>
      <w:bookmarkStart w:id="49" w:name="_Toc172221041"/>
      <w:bookmarkStart w:id="50" w:name="_Toc162779519"/>
      <w:bookmarkStart w:id="51" w:name="_Toc192799296"/>
      <w:bookmarkStart w:id="52" w:name="_Toc2990"/>
      <w:bookmarkStart w:id="53" w:name="_Toc25343"/>
      <w:bookmarkStart w:id="54" w:name="_Toc2395"/>
      <w:r>
        <w:rPr>
          <w:rFonts w:cs="Times New Roman" w:eastAsiaTheme="minorEastAsia"/>
          <w:b/>
          <w:color w:val="000000" w:themeColor="text1"/>
          <w:sz w:val="30"/>
          <w:szCs w:val="30"/>
          <w14:textFill>
            <w14:solidFill>
              <w14:schemeClr w14:val="tx1"/>
            </w14:solidFill>
          </w14:textFill>
        </w:rPr>
        <w:t xml:space="preserve">3 </w:t>
      </w:r>
      <w:r>
        <w:rPr>
          <w:rFonts w:eastAsia="宋体" w:cs="Times New Roman"/>
          <w:b/>
          <w:color w:val="000000" w:themeColor="text1"/>
          <w:sz w:val="30"/>
          <w:szCs w:val="30"/>
          <w14:textFill>
            <w14:solidFill>
              <w14:schemeClr w14:val="tx1"/>
            </w14:solidFill>
          </w14:textFill>
        </w:rPr>
        <w:t>基本规定</w:t>
      </w:r>
      <w:bookmarkEnd w:id="49"/>
      <w:bookmarkEnd w:id="50"/>
      <w:bookmarkEnd w:id="51"/>
      <w:bookmarkEnd w:id="52"/>
      <w:bookmarkEnd w:id="53"/>
      <w:bookmarkEnd w:id="54"/>
    </w:p>
    <w:p w14:paraId="1F64EFC1">
      <w:pPr>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 xml:space="preserve">3.0.1 </w:t>
      </w:r>
      <w:r>
        <w:rPr>
          <w:rFonts w:eastAsia="宋体" w:cs="Times New Roman"/>
          <w:bCs/>
          <w:sz w:val="21"/>
          <w:szCs w:val="21"/>
        </w:rPr>
        <w:t>城市生命线工程监测设施包括前端监测设施、信号传输设施、监测中心及</w:t>
      </w:r>
      <w:r>
        <w:rPr>
          <w:rFonts w:hint="eastAsia" w:eastAsia="宋体" w:cs="Times New Roman"/>
          <w:bCs/>
          <w:sz w:val="21"/>
          <w:szCs w:val="21"/>
        </w:rPr>
        <w:t>其他</w:t>
      </w:r>
      <w:r>
        <w:rPr>
          <w:rFonts w:eastAsia="宋体" w:cs="Times New Roman"/>
          <w:bCs/>
          <w:sz w:val="21"/>
          <w:szCs w:val="21"/>
        </w:rPr>
        <w:t>设施等。</w:t>
      </w:r>
    </w:p>
    <w:p w14:paraId="6B6B19C7">
      <w:pPr>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3.0.2</w:t>
      </w:r>
      <w:r>
        <w:rPr>
          <w:rFonts w:eastAsia="宋体" w:cs="Times New Roman"/>
          <w:bCs/>
          <w:sz w:val="21"/>
          <w:szCs w:val="21"/>
        </w:rPr>
        <w:t xml:space="preserve"> 城市生命线工程监测设施的</w:t>
      </w:r>
      <w:r>
        <w:rPr>
          <w:rFonts w:eastAsia="宋体" w:cs="Times New Roman"/>
          <w:sz w:val="21"/>
          <w:szCs w:val="21"/>
        </w:rPr>
        <w:t>设计、施工</w:t>
      </w:r>
      <w:r>
        <w:rPr>
          <w:rFonts w:hint="eastAsia" w:eastAsia="宋体" w:cs="Times New Roman"/>
          <w:sz w:val="21"/>
          <w:szCs w:val="21"/>
        </w:rPr>
        <w:t>、</w:t>
      </w:r>
      <w:r>
        <w:rPr>
          <w:rFonts w:eastAsia="宋体" w:cs="Times New Roman"/>
          <w:sz w:val="21"/>
          <w:szCs w:val="21"/>
        </w:rPr>
        <w:t>验收</w:t>
      </w:r>
      <w:r>
        <w:rPr>
          <w:rFonts w:hint="eastAsia" w:eastAsia="宋体" w:cs="Times New Roman"/>
          <w:sz w:val="21"/>
          <w:szCs w:val="21"/>
        </w:rPr>
        <w:t>和交付</w:t>
      </w:r>
      <w:r>
        <w:rPr>
          <w:rFonts w:eastAsia="宋体" w:cs="Times New Roman"/>
          <w:bCs/>
          <w:sz w:val="21"/>
          <w:szCs w:val="21"/>
        </w:rPr>
        <w:t>应统筹规划，遵循工程建设程序与要求，确定各阶段目标，有计划、有步骤地开展。</w:t>
      </w:r>
    </w:p>
    <w:p w14:paraId="0D8C692F">
      <w:pPr>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3.0.</w:t>
      </w:r>
      <w:r>
        <w:rPr>
          <w:rFonts w:hint="eastAsia" w:cs="Times New Roman" w:eastAsiaTheme="minorEastAsia"/>
          <w:color w:val="000000" w:themeColor="text1"/>
          <w:sz w:val="21"/>
          <w:szCs w:val="21"/>
          <w14:textFill>
            <w14:solidFill>
              <w14:schemeClr w14:val="tx1"/>
            </w14:solidFill>
          </w14:textFill>
        </w:rPr>
        <w:t>3</w:t>
      </w:r>
      <w:r>
        <w:rPr>
          <w:rFonts w:eastAsia="宋体" w:cs="Times New Roman"/>
          <w:bCs/>
          <w:sz w:val="21"/>
          <w:szCs w:val="21"/>
        </w:rPr>
        <w:t xml:space="preserve"> 城市生命线工程风险等级按严重程度划分为I级（重大风险）、</w:t>
      </w:r>
      <w:r>
        <w:rPr>
          <w:rFonts w:eastAsia="微软雅黑" w:cs="Times New Roman"/>
          <w:bCs/>
          <w:sz w:val="21"/>
          <w:szCs w:val="21"/>
        </w:rPr>
        <w:t>Ⅱ</w:t>
      </w:r>
      <w:r>
        <w:rPr>
          <w:rFonts w:eastAsia="宋体" w:cs="Times New Roman"/>
          <w:bCs/>
          <w:sz w:val="21"/>
          <w:szCs w:val="21"/>
        </w:rPr>
        <w:t>级（较大风险）、</w:t>
      </w:r>
      <w:r>
        <w:rPr>
          <w:rFonts w:eastAsia="微软雅黑" w:cs="Times New Roman"/>
          <w:bCs/>
          <w:sz w:val="21"/>
          <w:szCs w:val="21"/>
        </w:rPr>
        <w:t>Ⅲ</w:t>
      </w:r>
      <w:r>
        <w:rPr>
          <w:rFonts w:eastAsia="宋体" w:cs="Times New Roman"/>
          <w:bCs/>
          <w:sz w:val="21"/>
          <w:szCs w:val="21"/>
        </w:rPr>
        <w:t>级（一般风险）、</w:t>
      </w:r>
      <w:r>
        <w:rPr>
          <w:rFonts w:eastAsia="微软雅黑" w:cs="Times New Roman"/>
          <w:bCs/>
          <w:sz w:val="21"/>
          <w:szCs w:val="21"/>
        </w:rPr>
        <w:t>Ⅳ</w:t>
      </w:r>
      <w:r>
        <w:rPr>
          <w:rFonts w:eastAsia="宋体" w:cs="Times New Roman"/>
          <w:bCs/>
          <w:sz w:val="21"/>
          <w:szCs w:val="21"/>
        </w:rPr>
        <w:t>级（低风险），风险等级要求应符合《城市生命线工程安全运行监测技术标准》DB34/T 4021的相关规定。</w:t>
      </w:r>
    </w:p>
    <w:p w14:paraId="5110163D">
      <w:pPr>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3.0.</w:t>
      </w:r>
      <w:r>
        <w:rPr>
          <w:rFonts w:hint="eastAsia" w:cs="Times New Roman" w:eastAsiaTheme="minorEastAsia"/>
          <w:color w:val="000000" w:themeColor="text1"/>
          <w:sz w:val="21"/>
          <w:szCs w:val="21"/>
          <w14:textFill>
            <w14:solidFill>
              <w14:schemeClr w14:val="tx1"/>
            </w14:solidFill>
          </w14:textFill>
        </w:rPr>
        <w:t>4</w:t>
      </w:r>
      <w:r>
        <w:rPr>
          <w:rFonts w:eastAsia="宋体" w:cs="Times New Roman"/>
          <w:b/>
          <w:bCs/>
          <w:sz w:val="21"/>
          <w:szCs w:val="21"/>
        </w:rPr>
        <w:t xml:space="preserve"> </w:t>
      </w:r>
      <w:r>
        <w:rPr>
          <w:rFonts w:eastAsia="宋体" w:cs="Times New Roman"/>
          <w:bCs/>
          <w:sz w:val="21"/>
          <w:szCs w:val="21"/>
        </w:rPr>
        <w:t>城市生命线工程监测设施的建设应根据监测对象的安全需求，通过风险评估确定需要防范的具体风险。下列场所和设施应纳入监测对象范围：</w:t>
      </w:r>
    </w:p>
    <w:p w14:paraId="30B683DF">
      <w:pPr>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1</w:t>
      </w:r>
      <w:r>
        <w:rPr>
          <w:rFonts w:eastAsia="宋体" w:cs="Times New Roman"/>
          <w:b/>
          <w:bCs/>
          <w:sz w:val="21"/>
          <w:szCs w:val="21"/>
        </w:rPr>
        <w:t xml:space="preserve"> </w:t>
      </w:r>
      <w:r>
        <w:rPr>
          <w:rFonts w:eastAsia="宋体" w:cs="Times New Roman"/>
          <w:bCs/>
          <w:sz w:val="21"/>
          <w:szCs w:val="21"/>
        </w:rPr>
        <w:t>城市核心区、重要公共建筑</w:t>
      </w:r>
      <w:r>
        <w:rPr>
          <w:rFonts w:hint="eastAsia" w:eastAsia="宋体" w:cs="Times New Roman"/>
          <w:bCs/>
          <w:sz w:val="21"/>
          <w:szCs w:val="21"/>
        </w:rPr>
        <w:t>、</w:t>
      </w:r>
      <w:r>
        <w:rPr>
          <w:rFonts w:eastAsia="宋体" w:cs="Times New Roman"/>
          <w:bCs/>
          <w:sz w:val="21"/>
          <w:szCs w:val="21"/>
        </w:rPr>
        <w:t>人员密集</w:t>
      </w:r>
      <w:r>
        <w:rPr>
          <w:rFonts w:hint="eastAsia" w:eastAsia="宋体" w:cs="Times New Roman"/>
          <w:bCs/>
          <w:sz w:val="21"/>
          <w:szCs w:val="21"/>
        </w:rPr>
        <w:t>及</w:t>
      </w:r>
      <w:r>
        <w:rPr>
          <w:rFonts w:eastAsia="宋体" w:cs="Times New Roman"/>
          <w:bCs/>
          <w:sz w:val="21"/>
          <w:szCs w:val="21"/>
        </w:rPr>
        <w:t>国家机关办公建筑的重要</w:t>
      </w:r>
      <w:r>
        <w:rPr>
          <w:rFonts w:hint="eastAsia" w:eastAsia="宋体" w:cs="Times New Roman"/>
          <w:bCs/>
          <w:sz w:val="21"/>
          <w:szCs w:val="21"/>
        </w:rPr>
        <w:t>场所</w:t>
      </w:r>
      <w:r>
        <w:rPr>
          <w:rFonts w:eastAsia="宋体" w:cs="Times New Roman"/>
          <w:bCs/>
          <w:sz w:val="21"/>
          <w:szCs w:val="21"/>
        </w:rPr>
        <w:t>等；</w:t>
      </w:r>
    </w:p>
    <w:p w14:paraId="46454C91">
      <w:pPr>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2</w:t>
      </w:r>
      <w:r>
        <w:rPr>
          <w:rFonts w:eastAsia="宋体" w:cs="Times New Roman"/>
          <w:bCs/>
          <w:sz w:val="21"/>
          <w:szCs w:val="21"/>
        </w:rPr>
        <w:t xml:space="preserve"> 老旧及其他泄漏风险高的设备管段及其相邻空间；</w:t>
      </w:r>
    </w:p>
    <w:p w14:paraId="26534493">
      <w:pPr>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3</w:t>
      </w:r>
      <w:r>
        <w:rPr>
          <w:rFonts w:eastAsia="宋体" w:cs="Times New Roman"/>
          <w:bCs/>
          <w:sz w:val="21"/>
          <w:szCs w:val="21"/>
        </w:rPr>
        <w:t xml:space="preserve"> 城市特大及重要的桥梁、超载严重和易受撞击的主干道桥梁、历史保护桥梁等；</w:t>
      </w:r>
    </w:p>
    <w:p w14:paraId="76E09EA3">
      <w:pPr>
        <w:spacing w:line="360" w:lineRule="auto"/>
        <w:ind w:firstLine="420" w:firstLineChars="0"/>
        <w:rPr>
          <w:rFonts w:eastAsia="楷体" w:cs="Times New Roman"/>
          <w:bCs/>
          <w:sz w:val="21"/>
          <w:szCs w:val="21"/>
        </w:rPr>
      </w:pPr>
      <w:r>
        <w:rPr>
          <w:rFonts w:cs="Times New Roman" w:eastAsiaTheme="minorEastAsia"/>
          <w:color w:val="000000" w:themeColor="text1"/>
          <w:sz w:val="21"/>
          <w:szCs w:val="21"/>
          <w14:textFill>
            <w14:solidFill>
              <w14:schemeClr w14:val="tx1"/>
            </w14:solidFill>
          </w14:textFill>
        </w:rPr>
        <w:t>4</w:t>
      </w:r>
      <w:r>
        <w:rPr>
          <w:rFonts w:eastAsia="宋体" w:cs="Times New Roman"/>
          <w:b/>
          <w:bCs/>
          <w:sz w:val="21"/>
          <w:szCs w:val="21"/>
        </w:rPr>
        <w:t xml:space="preserve"> </w:t>
      </w:r>
      <w:r>
        <w:rPr>
          <w:rFonts w:eastAsia="宋体" w:cs="Times New Roman"/>
          <w:bCs/>
          <w:sz w:val="21"/>
          <w:szCs w:val="21"/>
        </w:rPr>
        <w:t>风险评估为</w:t>
      </w:r>
      <w:r>
        <w:rPr>
          <w:rFonts w:eastAsia="微软雅黑" w:cs="Times New Roman"/>
          <w:bCs/>
          <w:sz w:val="21"/>
          <w:szCs w:val="21"/>
        </w:rPr>
        <w:t>Ⅱ</w:t>
      </w:r>
      <w:r>
        <w:rPr>
          <w:rFonts w:eastAsia="宋体" w:cs="Times New Roman"/>
          <w:bCs/>
          <w:sz w:val="21"/>
          <w:szCs w:val="21"/>
        </w:rPr>
        <w:t>级及以上的场所和设施。</w:t>
      </w:r>
    </w:p>
    <w:p w14:paraId="070C9F7A">
      <w:pPr>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3.0.</w:t>
      </w:r>
      <w:r>
        <w:rPr>
          <w:rFonts w:hint="eastAsia" w:cs="Times New Roman" w:eastAsiaTheme="minorEastAsia"/>
          <w:color w:val="000000" w:themeColor="text1"/>
          <w:sz w:val="21"/>
          <w:szCs w:val="21"/>
          <w14:textFill>
            <w14:solidFill>
              <w14:schemeClr w14:val="tx1"/>
            </w14:solidFill>
          </w14:textFill>
        </w:rPr>
        <w:t>5</w:t>
      </w:r>
      <w:r>
        <w:rPr>
          <w:rFonts w:eastAsia="宋体" w:cs="Times New Roman"/>
          <w:b/>
          <w:bCs/>
          <w:sz w:val="21"/>
          <w:szCs w:val="21"/>
        </w:rPr>
        <w:t xml:space="preserve"> </w:t>
      </w:r>
      <w:r>
        <w:rPr>
          <w:rFonts w:eastAsia="宋体" w:cs="Times New Roman"/>
          <w:bCs/>
          <w:sz w:val="21"/>
          <w:szCs w:val="21"/>
        </w:rPr>
        <w:t>既有城市</w:t>
      </w:r>
      <w:r>
        <w:rPr>
          <w:rFonts w:hint="eastAsia" w:eastAsia="宋体" w:cs="Times New Roman"/>
          <w:bCs/>
          <w:sz w:val="21"/>
          <w:szCs w:val="21"/>
        </w:rPr>
        <w:t>生命线工程</w:t>
      </w:r>
      <w:r>
        <w:rPr>
          <w:rFonts w:eastAsia="宋体" w:cs="Times New Roman"/>
          <w:bCs/>
          <w:sz w:val="21"/>
          <w:szCs w:val="21"/>
        </w:rPr>
        <w:t>和</w:t>
      </w:r>
      <w:r>
        <w:rPr>
          <w:rFonts w:hint="eastAsia" w:eastAsia="宋体" w:cs="Times New Roman"/>
          <w:bCs/>
          <w:sz w:val="21"/>
          <w:szCs w:val="21"/>
        </w:rPr>
        <w:t>其他</w:t>
      </w:r>
      <w:r>
        <w:rPr>
          <w:rFonts w:eastAsia="宋体" w:cs="Times New Roman"/>
          <w:bCs/>
          <w:sz w:val="21"/>
          <w:szCs w:val="21"/>
        </w:rPr>
        <w:t>重要</w:t>
      </w:r>
      <w:r>
        <w:rPr>
          <w:rFonts w:hint="eastAsia" w:eastAsia="宋体" w:cs="Times New Roman"/>
          <w:bCs/>
          <w:sz w:val="21"/>
          <w:szCs w:val="21"/>
        </w:rPr>
        <w:t>场所和设施</w:t>
      </w:r>
      <w:r>
        <w:rPr>
          <w:rFonts w:eastAsia="宋体" w:cs="Times New Roman"/>
          <w:bCs/>
          <w:sz w:val="21"/>
          <w:szCs w:val="21"/>
        </w:rPr>
        <w:t>加装监测设施时，可依据本标准规定的风险分析结果，采取规定的措施进行风险隐患监测，满足城市生命线工程安全运行要求。</w:t>
      </w:r>
    </w:p>
    <w:p w14:paraId="2A551D65">
      <w:pPr>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3.0.</w:t>
      </w:r>
      <w:r>
        <w:rPr>
          <w:rFonts w:hint="eastAsia" w:cs="Times New Roman" w:eastAsiaTheme="minorEastAsia"/>
          <w:color w:val="000000" w:themeColor="text1"/>
          <w:sz w:val="21"/>
          <w:szCs w:val="21"/>
          <w14:textFill>
            <w14:solidFill>
              <w14:schemeClr w14:val="tx1"/>
            </w14:solidFill>
          </w14:textFill>
        </w:rPr>
        <w:t>6</w:t>
      </w:r>
      <w:r>
        <w:rPr>
          <w:rFonts w:eastAsia="宋体" w:cs="Times New Roman"/>
          <w:bCs/>
          <w:sz w:val="21"/>
          <w:szCs w:val="21"/>
        </w:rPr>
        <w:t xml:space="preserve"> 前端监测数据采集应根据监测对象和风险等级</w:t>
      </w:r>
      <w:r>
        <w:rPr>
          <w:rFonts w:hint="eastAsia" w:eastAsia="宋体" w:cs="Times New Roman"/>
          <w:bCs/>
          <w:sz w:val="21"/>
          <w:szCs w:val="21"/>
        </w:rPr>
        <w:t>，</w:t>
      </w:r>
      <w:r>
        <w:rPr>
          <w:rFonts w:eastAsia="宋体" w:cs="Times New Roman"/>
          <w:bCs/>
          <w:sz w:val="21"/>
          <w:szCs w:val="21"/>
        </w:rPr>
        <w:t>结合环境要求选择监测设备。</w:t>
      </w:r>
    </w:p>
    <w:p w14:paraId="137DCEC9">
      <w:pPr>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3.0.</w:t>
      </w:r>
      <w:r>
        <w:rPr>
          <w:rFonts w:hint="eastAsia" w:cs="Times New Roman" w:eastAsiaTheme="minorEastAsia"/>
          <w:color w:val="000000" w:themeColor="text1"/>
          <w:sz w:val="21"/>
          <w:szCs w:val="21"/>
          <w14:textFill>
            <w14:solidFill>
              <w14:schemeClr w14:val="tx1"/>
            </w14:solidFill>
          </w14:textFill>
        </w:rPr>
        <w:t>7</w:t>
      </w:r>
      <w:r>
        <w:rPr>
          <w:rFonts w:eastAsia="宋体" w:cs="Times New Roman"/>
          <w:b/>
          <w:bCs/>
          <w:sz w:val="21"/>
          <w:szCs w:val="21"/>
        </w:rPr>
        <w:t xml:space="preserve"> </w:t>
      </w:r>
      <w:r>
        <w:rPr>
          <w:rFonts w:eastAsia="宋体" w:cs="Times New Roman"/>
          <w:bCs/>
          <w:sz w:val="21"/>
          <w:szCs w:val="21"/>
        </w:rPr>
        <w:t>信号传输设施应根据带宽、连接方式等条件选择有线、无线或其组合的方式传输数据。数据传输可采用通信网关，宜采用专用网络。</w:t>
      </w:r>
    </w:p>
    <w:p w14:paraId="6D945021">
      <w:pPr>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3.0.</w:t>
      </w:r>
      <w:r>
        <w:rPr>
          <w:rFonts w:hint="eastAsia" w:cs="Times New Roman" w:eastAsiaTheme="minorEastAsia"/>
          <w:color w:val="000000" w:themeColor="text1"/>
          <w:sz w:val="21"/>
          <w:szCs w:val="21"/>
          <w14:textFill>
            <w14:solidFill>
              <w14:schemeClr w14:val="tx1"/>
            </w14:solidFill>
          </w14:textFill>
        </w:rPr>
        <w:t xml:space="preserve">8 </w:t>
      </w:r>
      <w:r>
        <w:rPr>
          <w:rFonts w:eastAsia="宋体" w:cs="Times New Roman"/>
          <w:bCs/>
          <w:sz w:val="21"/>
          <w:szCs w:val="21"/>
        </w:rPr>
        <w:t>城市生命线工程监测宜建立监测管理平台</w:t>
      </w:r>
      <w:r>
        <w:rPr>
          <w:rFonts w:hint="eastAsia" w:eastAsia="宋体" w:cs="Times New Roman"/>
          <w:bCs/>
          <w:sz w:val="21"/>
          <w:szCs w:val="21"/>
        </w:rPr>
        <w:t>，</w:t>
      </w:r>
      <w:r>
        <w:rPr>
          <w:rFonts w:eastAsia="宋体" w:cs="Times New Roman"/>
          <w:bCs/>
          <w:sz w:val="21"/>
          <w:szCs w:val="21"/>
        </w:rPr>
        <w:t>并实现与城市</w:t>
      </w:r>
      <w:r>
        <w:rPr>
          <w:rFonts w:hint="eastAsia" w:eastAsia="宋体" w:cs="Times New Roman"/>
          <w:bCs/>
          <w:sz w:val="21"/>
          <w:szCs w:val="21"/>
        </w:rPr>
        <w:t>生命线</w:t>
      </w:r>
      <w:r>
        <w:rPr>
          <w:rFonts w:eastAsia="宋体" w:cs="Times New Roman"/>
          <w:bCs/>
          <w:sz w:val="21"/>
          <w:szCs w:val="21"/>
        </w:rPr>
        <w:t>运营管理平台及上一级管理平台的数据共享和协同管理。</w:t>
      </w:r>
    </w:p>
    <w:p w14:paraId="23F1F142">
      <w:pPr>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3.0.</w:t>
      </w:r>
      <w:r>
        <w:rPr>
          <w:rFonts w:hint="eastAsia" w:cs="Times New Roman" w:eastAsiaTheme="minorEastAsia"/>
          <w:color w:val="000000" w:themeColor="text1"/>
          <w:sz w:val="21"/>
          <w:szCs w:val="21"/>
          <w14:textFill>
            <w14:solidFill>
              <w14:schemeClr w14:val="tx1"/>
            </w14:solidFill>
          </w14:textFill>
        </w:rPr>
        <w:t xml:space="preserve">9 </w:t>
      </w:r>
      <w:r>
        <w:rPr>
          <w:rFonts w:hint="eastAsia" w:ascii="宋体" w:hAnsi="宋体" w:eastAsia="宋体" w:cs="Times New Roman"/>
          <w:color w:val="000000" w:themeColor="text1"/>
          <w:sz w:val="21"/>
          <w:szCs w:val="21"/>
          <w14:textFill>
            <w14:solidFill>
              <w14:schemeClr w14:val="tx1"/>
            </w14:solidFill>
          </w14:textFill>
        </w:rPr>
        <w:t>城市生命线工程</w:t>
      </w:r>
      <w:r>
        <w:rPr>
          <w:rFonts w:hint="eastAsia" w:ascii="宋体" w:hAnsi="宋体" w:eastAsia="宋体" w:cs="Times New Roman"/>
          <w:bCs/>
          <w:sz w:val="21"/>
          <w:szCs w:val="21"/>
        </w:rPr>
        <w:t>监测设施的安全部署、运行和维护等应满足现行国家及行业标准中相关的信息网络安全的管理要求。</w:t>
      </w:r>
    </w:p>
    <w:p w14:paraId="62304B4F">
      <w:pPr>
        <w:spacing w:line="360" w:lineRule="auto"/>
        <w:ind w:firstLine="0" w:firstLineChars="0"/>
        <w:rPr>
          <w:rFonts w:eastAsia="宋体" w:cs="Times New Roman"/>
          <w:bCs/>
          <w:sz w:val="21"/>
          <w:szCs w:val="21"/>
        </w:rPr>
      </w:pPr>
    </w:p>
    <w:p w14:paraId="4A5EBB03">
      <w:pPr>
        <w:spacing w:line="360" w:lineRule="auto"/>
        <w:ind w:firstLine="0" w:firstLineChars="0"/>
        <w:rPr>
          <w:rFonts w:eastAsia="宋体" w:cs="Times New Roman"/>
          <w:bCs/>
          <w:sz w:val="21"/>
          <w:szCs w:val="21"/>
        </w:rPr>
      </w:pPr>
    </w:p>
    <w:p w14:paraId="330CE4EC">
      <w:pPr>
        <w:spacing w:line="360" w:lineRule="auto"/>
        <w:ind w:firstLine="0" w:firstLineChars="0"/>
        <w:rPr>
          <w:rFonts w:eastAsia="宋体" w:cs="Times New Roman"/>
          <w:bCs/>
          <w:sz w:val="21"/>
          <w:szCs w:val="21"/>
        </w:rPr>
      </w:pPr>
    </w:p>
    <w:p w14:paraId="755402CE">
      <w:pPr>
        <w:spacing w:line="360" w:lineRule="auto"/>
        <w:ind w:firstLine="0" w:firstLineChars="0"/>
        <w:rPr>
          <w:rFonts w:eastAsia="宋体" w:cs="Times New Roman"/>
          <w:bCs/>
          <w:sz w:val="21"/>
          <w:szCs w:val="21"/>
        </w:rPr>
      </w:pPr>
    </w:p>
    <w:p w14:paraId="4F0BC6AD">
      <w:pPr>
        <w:spacing w:line="360" w:lineRule="auto"/>
        <w:ind w:firstLine="0" w:firstLineChars="0"/>
        <w:rPr>
          <w:rFonts w:eastAsia="宋体" w:cs="Times New Roman"/>
          <w:bCs/>
          <w:sz w:val="21"/>
          <w:szCs w:val="21"/>
        </w:rPr>
      </w:pPr>
    </w:p>
    <w:p w14:paraId="1D751DA6">
      <w:pPr>
        <w:keepNext/>
        <w:keepLines/>
        <w:spacing w:before="340" w:after="156" w:line="480" w:lineRule="auto"/>
        <w:ind w:firstLine="0" w:firstLineChars="0"/>
        <w:jc w:val="center"/>
        <w:outlineLvl w:val="0"/>
        <w:rPr>
          <w:rFonts w:cs="Times New Roman" w:eastAsiaTheme="minorEastAsia"/>
          <w:b/>
          <w:bCs/>
          <w:color w:val="000000" w:themeColor="text1"/>
          <w:kern w:val="44"/>
          <w:sz w:val="30"/>
          <w:szCs w:val="30"/>
          <w14:textFill>
            <w14:solidFill>
              <w14:schemeClr w14:val="tx1"/>
            </w14:solidFill>
          </w14:textFill>
        </w:rPr>
      </w:pPr>
      <w:bookmarkStart w:id="55" w:name="_Toc172221047"/>
      <w:bookmarkStart w:id="56" w:name="_Toc192799297"/>
      <w:bookmarkStart w:id="57" w:name="OLE_LINK5"/>
      <w:r>
        <w:rPr>
          <w:rFonts w:cs="Times New Roman" w:eastAsiaTheme="minorEastAsia"/>
          <w:b/>
          <w:bCs/>
          <w:color w:val="000000" w:themeColor="text1"/>
          <w:kern w:val="44"/>
          <w:sz w:val="30"/>
          <w:szCs w:val="30"/>
          <w14:textFill>
            <w14:solidFill>
              <w14:schemeClr w14:val="tx1"/>
            </w14:solidFill>
          </w14:textFill>
        </w:rPr>
        <w:t xml:space="preserve">4  </w:t>
      </w:r>
      <w:r>
        <w:rPr>
          <w:rFonts w:hint="eastAsia" w:ascii="宋体" w:hAnsi="宋体" w:eastAsia="宋体" w:cs="宋体"/>
          <w:b/>
          <w:bCs/>
          <w:color w:val="000000" w:themeColor="text1"/>
          <w:kern w:val="44"/>
          <w:sz w:val="30"/>
          <w:szCs w:val="30"/>
          <w14:textFill>
            <w14:solidFill>
              <w14:schemeClr w14:val="tx1"/>
            </w14:solidFill>
          </w14:textFill>
        </w:rPr>
        <w:t>前端监测</w:t>
      </w:r>
      <w:bookmarkEnd w:id="55"/>
      <w:r>
        <w:rPr>
          <w:rFonts w:hint="eastAsia" w:ascii="宋体" w:hAnsi="宋体" w:eastAsia="宋体" w:cs="宋体"/>
          <w:b/>
          <w:bCs/>
          <w:color w:val="000000" w:themeColor="text1"/>
          <w:kern w:val="44"/>
          <w:sz w:val="30"/>
          <w:szCs w:val="30"/>
          <w14:textFill>
            <w14:solidFill>
              <w14:schemeClr w14:val="tx1"/>
            </w14:solidFill>
          </w14:textFill>
        </w:rPr>
        <w:t>设施</w:t>
      </w:r>
      <w:bookmarkEnd w:id="56"/>
    </w:p>
    <w:bookmarkEnd w:id="57"/>
    <w:p w14:paraId="78807B8F">
      <w:pPr>
        <w:keepNext/>
        <w:keepLines/>
        <w:spacing w:line="360" w:lineRule="auto"/>
        <w:ind w:firstLine="0" w:firstLineChars="0"/>
        <w:jc w:val="center"/>
        <w:outlineLvl w:val="1"/>
        <w:rPr>
          <w:rFonts w:eastAsia="黑体" w:cs="Times New Roman"/>
          <w:bCs/>
          <w:sz w:val="24"/>
          <w:szCs w:val="32"/>
        </w:rPr>
      </w:pPr>
      <w:bookmarkStart w:id="58" w:name="_Toc126759714"/>
      <w:bookmarkStart w:id="59" w:name="_Toc192799298"/>
      <w:bookmarkStart w:id="60" w:name="_Toc128472635"/>
      <w:bookmarkStart w:id="61" w:name="_Toc128474341"/>
      <w:bookmarkStart w:id="62" w:name="_Toc127633825"/>
      <w:bookmarkStart w:id="63" w:name="_Toc142323876"/>
      <w:bookmarkStart w:id="64" w:name="_Toc143470543"/>
      <w:bookmarkStart w:id="65" w:name="_Toc143258228"/>
      <w:r>
        <w:rPr>
          <w:rFonts w:eastAsia="宋体" w:cs="Times New Roman"/>
          <w:b/>
          <w:bCs/>
          <w:sz w:val="28"/>
          <w:szCs w:val="28"/>
        </w:rPr>
        <w:t>4.1  一般规定</w:t>
      </w:r>
      <w:bookmarkEnd w:id="58"/>
      <w:bookmarkEnd w:id="59"/>
      <w:bookmarkEnd w:id="60"/>
      <w:bookmarkEnd w:id="61"/>
      <w:bookmarkEnd w:id="62"/>
      <w:bookmarkEnd w:id="63"/>
      <w:bookmarkEnd w:id="64"/>
      <w:bookmarkEnd w:id="65"/>
    </w:p>
    <w:p w14:paraId="173BDA1F">
      <w:pPr>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 xml:space="preserve">4.1.1 </w:t>
      </w:r>
      <w:r>
        <w:rPr>
          <w:rFonts w:hint="eastAsia" w:eastAsia="宋体" w:cs="Times New Roman"/>
          <w:bCs/>
          <w:sz w:val="21"/>
          <w:szCs w:val="21"/>
        </w:rPr>
        <w:t>城市</w:t>
      </w:r>
      <w:r>
        <w:rPr>
          <w:rFonts w:eastAsia="宋体" w:cs="Times New Roman"/>
          <w:bCs/>
          <w:sz w:val="21"/>
          <w:szCs w:val="21"/>
        </w:rPr>
        <w:t>基础设施</w:t>
      </w:r>
      <w:r>
        <w:rPr>
          <w:rFonts w:hint="eastAsia" w:eastAsia="宋体" w:cs="Times New Roman"/>
          <w:bCs/>
          <w:sz w:val="21"/>
          <w:szCs w:val="21"/>
        </w:rPr>
        <w:t>应</w:t>
      </w:r>
      <w:r>
        <w:rPr>
          <w:rFonts w:eastAsia="宋体" w:cs="Times New Roman"/>
          <w:bCs/>
          <w:sz w:val="21"/>
          <w:szCs w:val="21"/>
        </w:rPr>
        <w:t>设置城市生命线工程前端监测设施。</w:t>
      </w:r>
    </w:p>
    <w:p w14:paraId="2551EE34">
      <w:pPr>
        <w:spacing w:line="360" w:lineRule="auto"/>
        <w:ind w:firstLine="0" w:firstLineChars="0"/>
        <w:rPr>
          <w:rFonts w:eastAsia="宋体" w:cs="Times New Roman"/>
          <w:bCs/>
          <w:sz w:val="21"/>
          <w:szCs w:val="21"/>
        </w:rPr>
      </w:pPr>
      <w:r>
        <w:rPr>
          <w:rFonts w:eastAsia="宋体" w:cs="Times New Roman"/>
          <w:bCs/>
          <w:sz w:val="21"/>
          <w:szCs w:val="21"/>
        </w:rPr>
        <w:t>4.1.2 重要建筑</w:t>
      </w:r>
      <w:r>
        <w:rPr>
          <w:rFonts w:hint="eastAsia" w:eastAsia="宋体" w:cs="Times New Roman"/>
          <w:bCs/>
          <w:sz w:val="21"/>
          <w:szCs w:val="21"/>
        </w:rPr>
        <w:t>和场所内</w:t>
      </w:r>
      <w:r>
        <w:rPr>
          <w:rFonts w:eastAsia="宋体" w:cs="Times New Roman"/>
          <w:bCs/>
          <w:sz w:val="21"/>
          <w:szCs w:val="21"/>
        </w:rPr>
        <w:t>城市生命线工程</w:t>
      </w:r>
      <w:r>
        <w:rPr>
          <w:rFonts w:hint="eastAsia" w:eastAsia="宋体" w:cs="Times New Roman"/>
          <w:bCs/>
          <w:sz w:val="21"/>
          <w:szCs w:val="21"/>
        </w:rPr>
        <w:t>前端</w:t>
      </w:r>
      <w:r>
        <w:rPr>
          <w:rFonts w:eastAsia="宋体" w:cs="Times New Roman"/>
          <w:bCs/>
          <w:sz w:val="21"/>
          <w:szCs w:val="21"/>
        </w:rPr>
        <w:t>监测设施</w:t>
      </w:r>
      <w:r>
        <w:rPr>
          <w:rFonts w:hint="eastAsia" w:eastAsia="宋体" w:cs="Times New Roman"/>
          <w:bCs/>
          <w:sz w:val="21"/>
          <w:szCs w:val="21"/>
        </w:rPr>
        <w:t>的设置</w:t>
      </w:r>
      <w:r>
        <w:rPr>
          <w:rFonts w:eastAsia="宋体" w:cs="Times New Roman"/>
          <w:bCs/>
          <w:sz w:val="21"/>
          <w:szCs w:val="21"/>
        </w:rPr>
        <w:t>应符合相应建筑安全和运行管理的规定。</w:t>
      </w:r>
    </w:p>
    <w:p w14:paraId="75876704">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eastAsia="宋体" w:cs="Times New Roman"/>
          <w:bCs/>
          <w:sz w:val="21"/>
          <w:szCs w:val="21"/>
        </w:rPr>
        <w:t>4.1.3 城市生命线工程前端监测设施应根据风险评估结果</w:t>
      </w:r>
      <w:r>
        <w:rPr>
          <w:rFonts w:hint="eastAsia" w:eastAsia="宋体" w:cs="Times New Roman"/>
          <w:bCs/>
          <w:sz w:val="21"/>
          <w:szCs w:val="21"/>
        </w:rPr>
        <w:t>确定</w:t>
      </w:r>
      <w:r>
        <w:rPr>
          <w:rFonts w:eastAsia="宋体" w:cs="Times New Roman"/>
          <w:bCs/>
          <w:sz w:val="21"/>
          <w:szCs w:val="21"/>
        </w:rPr>
        <w:t>监测设备</w:t>
      </w:r>
      <w:r>
        <w:rPr>
          <w:rFonts w:hint="eastAsia" w:eastAsia="宋体" w:cs="Times New Roman"/>
          <w:bCs/>
          <w:sz w:val="21"/>
          <w:szCs w:val="21"/>
        </w:rPr>
        <w:t>的</w:t>
      </w:r>
      <w:r>
        <w:rPr>
          <w:rFonts w:eastAsia="宋体" w:cs="Times New Roman"/>
          <w:bCs/>
          <w:sz w:val="21"/>
          <w:szCs w:val="21"/>
        </w:rPr>
        <w:t>安装位置、种类和功能</w:t>
      </w:r>
      <w:r>
        <w:rPr>
          <w:rFonts w:hint="eastAsia" w:eastAsia="宋体" w:cs="Times New Roman"/>
          <w:bCs/>
          <w:sz w:val="21"/>
          <w:szCs w:val="21"/>
        </w:rPr>
        <w:t>。</w:t>
      </w:r>
      <w:r>
        <w:rPr>
          <w:rFonts w:eastAsia="宋体" w:cs="Times New Roman"/>
          <w:bCs/>
          <w:sz w:val="21"/>
          <w:szCs w:val="21"/>
        </w:rPr>
        <w:t>I级、</w:t>
      </w:r>
      <w:r>
        <w:rPr>
          <w:rFonts w:eastAsia="微软雅黑" w:cs="Times New Roman"/>
          <w:bCs/>
          <w:sz w:val="21"/>
          <w:szCs w:val="21"/>
        </w:rPr>
        <w:t>Ⅱ</w:t>
      </w:r>
      <w:r>
        <w:rPr>
          <w:rFonts w:eastAsia="宋体" w:cs="Times New Roman"/>
          <w:bCs/>
          <w:sz w:val="21"/>
          <w:szCs w:val="21"/>
        </w:rPr>
        <w:t>级</w:t>
      </w:r>
      <w:r>
        <w:rPr>
          <w:rFonts w:hint="eastAsia" w:eastAsia="宋体" w:cs="Times New Roman"/>
          <w:bCs/>
          <w:sz w:val="21"/>
          <w:szCs w:val="21"/>
        </w:rPr>
        <w:t>对象</w:t>
      </w:r>
      <w:r>
        <w:rPr>
          <w:rFonts w:eastAsia="宋体" w:cs="Times New Roman"/>
          <w:bCs/>
          <w:sz w:val="21"/>
          <w:szCs w:val="21"/>
        </w:rPr>
        <w:t>应布设</w:t>
      </w:r>
      <w:r>
        <w:rPr>
          <w:rFonts w:hint="eastAsia" w:eastAsia="宋体" w:cs="Times New Roman"/>
          <w:bCs/>
          <w:sz w:val="21"/>
          <w:szCs w:val="21"/>
        </w:rPr>
        <w:t>前端</w:t>
      </w:r>
      <w:r>
        <w:rPr>
          <w:rFonts w:eastAsia="宋体" w:cs="Times New Roman"/>
          <w:bCs/>
          <w:sz w:val="21"/>
          <w:szCs w:val="21"/>
        </w:rPr>
        <w:t>监测设施，</w:t>
      </w:r>
      <w:r>
        <w:rPr>
          <w:rFonts w:eastAsia="微软雅黑" w:cs="Times New Roman"/>
          <w:bCs/>
          <w:sz w:val="21"/>
          <w:szCs w:val="21"/>
        </w:rPr>
        <w:t>Ⅲ</w:t>
      </w:r>
      <w:r>
        <w:rPr>
          <w:rFonts w:eastAsia="宋体" w:cs="Times New Roman"/>
          <w:bCs/>
          <w:sz w:val="21"/>
          <w:szCs w:val="21"/>
        </w:rPr>
        <w:t>级、</w:t>
      </w:r>
      <w:r>
        <w:rPr>
          <w:rFonts w:eastAsia="微软雅黑" w:cs="Times New Roman"/>
          <w:bCs/>
          <w:sz w:val="21"/>
          <w:szCs w:val="21"/>
        </w:rPr>
        <w:t>Ⅳ</w:t>
      </w:r>
      <w:r>
        <w:rPr>
          <w:rFonts w:eastAsia="宋体" w:cs="Times New Roman"/>
          <w:bCs/>
          <w:sz w:val="21"/>
          <w:szCs w:val="21"/>
        </w:rPr>
        <w:t>级</w:t>
      </w:r>
      <w:r>
        <w:rPr>
          <w:rFonts w:hint="eastAsia" w:eastAsia="宋体" w:cs="Times New Roman"/>
          <w:bCs/>
          <w:sz w:val="21"/>
          <w:szCs w:val="21"/>
        </w:rPr>
        <w:t>对象</w:t>
      </w:r>
      <w:r>
        <w:rPr>
          <w:rFonts w:eastAsia="宋体" w:cs="Times New Roman"/>
          <w:bCs/>
          <w:sz w:val="21"/>
          <w:szCs w:val="21"/>
        </w:rPr>
        <w:t>宜布设</w:t>
      </w:r>
      <w:r>
        <w:rPr>
          <w:rFonts w:hint="eastAsia" w:eastAsia="宋体" w:cs="Times New Roman"/>
          <w:bCs/>
          <w:sz w:val="21"/>
          <w:szCs w:val="21"/>
        </w:rPr>
        <w:t>前端</w:t>
      </w:r>
      <w:r>
        <w:rPr>
          <w:rFonts w:eastAsia="宋体" w:cs="Times New Roman"/>
          <w:bCs/>
          <w:sz w:val="21"/>
          <w:szCs w:val="21"/>
        </w:rPr>
        <w:t>监测设施。</w:t>
      </w:r>
    </w:p>
    <w:p w14:paraId="7120FEF8">
      <w:pPr>
        <w:keepNext/>
        <w:keepLines/>
        <w:spacing w:line="360" w:lineRule="auto"/>
        <w:ind w:firstLine="0" w:firstLineChars="0"/>
        <w:jc w:val="center"/>
        <w:outlineLvl w:val="1"/>
        <w:rPr>
          <w:rFonts w:eastAsia="宋体" w:cs="Times New Roman"/>
          <w:b/>
          <w:bCs/>
          <w:sz w:val="28"/>
          <w:szCs w:val="28"/>
        </w:rPr>
      </w:pPr>
      <w:bookmarkStart w:id="66" w:name="_Toc143470544"/>
      <w:bookmarkStart w:id="67" w:name="_Toc143258229"/>
      <w:bookmarkStart w:id="68" w:name="_Toc192799299"/>
      <w:r>
        <w:rPr>
          <w:rFonts w:eastAsia="宋体" w:cs="Times New Roman"/>
          <w:b/>
          <w:bCs/>
          <w:sz w:val="28"/>
          <w:szCs w:val="28"/>
        </w:rPr>
        <w:t xml:space="preserve">4.2  </w:t>
      </w:r>
      <w:bookmarkEnd w:id="66"/>
      <w:bookmarkEnd w:id="67"/>
      <w:r>
        <w:rPr>
          <w:rFonts w:eastAsia="宋体" w:cs="Times New Roman"/>
          <w:b/>
          <w:bCs/>
          <w:sz w:val="28"/>
          <w:szCs w:val="28"/>
        </w:rPr>
        <w:t>燃气</w:t>
      </w:r>
      <w:bookmarkEnd w:id="68"/>
    </w:p>
    <w:p w14:paraId="69F4E9BA">
      <w:pPr>
        <w:spacing w:line="360" w:lineRule="auto"/>
        <w:ind w:firstLine="0" w:firstLineChars="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4.2.1</w:t>
      </w:r>
      <w:r>
        <w:rPr>
          <w:rFonts w:eastAsia="宋体" w:cs="Times New Roman"/>
          <w:bCs/>
          <w:sz w:val="21"/>
          <w:szCs w:val="21"/>
        </w:rPr>
        <w:t xml:space="preserve"> 燃气安全监测应根据风险评估结果优先在以下区域和位置进行监测：</w:t>
      </w:r>
    </w:p>
    <w:p w14:paraId="5E109AE0">
      <w:pPr>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1</w:t>
      </w:r>
      <w:r>
        <w:rPr>
          <w:rFonts w:eastAsia="宋体" w:cs="Times New Roman"/>
          <w:bCs/>
          <w:sz w:val="21"/>
          <w:szCs w:val="21"/>
        </w:rPr>
        <w:t xml:space="preserve"> 高压、次高压管线；</w:t>
      </w:r>
    </w:p>
    <w:p w14:paraId="6F3ECCF0">
      <w:pPr>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2</w:t>
      </w:r>
      <w:r>
        <w:rPr>
          <w:rFonts w:eastAsia="宋体" w:cs="Times New Roman"/>
          <w:bCs/>
          <w:sz w:val="21"/>
          <w:szCs w:val="21"/>
        </w:rPr>
        <w:t xml:space="preserve"> 人口密集区中低压主干管线；</w:t>
      </w:r>
    </w:p>
    <w:p w14:paraId="55557639">
      <w:pPr>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3</w:t>
      </w:r>
      <w:r>
        <w:rPr>
          <w:rFonts w:eastAsia="宋体" w:cs="Times New Roman"/>
          <w:bCs/>
          <w:sz w:val="21"/>
          <w:szCs w:val="21"/>
        </w:rPr>
        <w:t xml:space="preserve"> 燃气阀门井内；</w:t>
      </w:r>
    </w:p>
    <w:p w14:paraId="589EF7A7">
      <w:pPr>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4</w:t>
      </w:r>
      <w:r>
        <w:rPr>
          <w:rFonts w:eastAsia="宋体" w:cs="Times New Roman"/>
          <w:bCs/>
          <w:sz w:val="21"/>
          <w:szCs w:val="21"/>
        </w:rPr>
        <w:t xml:space="preserve"> 燃气管线相邻的雨污水、电力、通信等管线及地下</w:t>
      </w:r>
      <w:r>
        <w:rPr>
          <w:rFonts w:hint="eastAsia" w:eastAsia="宋体" w:cs="Times New Roman"/>
          <w:bCs/>
          <w:sz w:val="21"/>
          <w:szCs w:val="21"/>
        </w:rPr>
        <w:t>检查井</w:t>
      </w:r>
      <w:r>
        <w:rPr>
          <w:rFonts w:eastAsia="宋体" w:cs="Times New Roman"/>
          <w:bCs/>
          <w:sz w:val="21"/>
          <w:szCs w:val="21"/>
        </w:rPr>
        <w:t>；</w:t>
      </w:r>
    </w:p>
    <w:p w14:paraId="5C8F920E">
      <w:pPr>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5</w:t>
      </w:r>
      <w:r>
        <w:rPr>
          <w:rFonts w:eastAsia="宋体" w:cs="Times New Roman"/>
          <w:bCs/>
          <w:sz w:val="21"/>
          <w:szCs w:val="21"/>
        </w:rPr>
        <w:t xml:space="preserve"> 有燃气管线穿越的密闭和半密闭空间和燃气泄漏后</w:t>
      </w:r>
      <w:r>
        <w:rPr>
          <w:rFonts w:hint="eastAsia" w:eastAsia="宋体" w:cs="Times New Roman"/>
          <w:bCs/>
          <w:sz w:val="21"/>
          <w:szCs w:val="21"/>
        </w:rPr>
        <w:t>可能</w:t>
      </w:r>
      <w:r>
        <w:rPr>
          <w:rFonts w:eastAsia="宋体" w:cs="Times New Roman"/>
          <w:bCs/>
          <w:sz w:val="21"/>
          <w:szCs w:val="21"/>
        </w:rPr>
        <w:t>通过土壤和管线扩散聚集的空间；</w:t>
      </w:r>
    </w:p>
    <w:p w14:paraId="1A710784">
      <w:pPr>
        <w:spacing w:line="360" w:lineRule="auto"/>
        <w:ind w:firstLine="420"/>
        <w:rPr>
          <w:rFonts w:eastAsia="宋体" w:cs="Times New Roman"/>
          <w:bCs/>
          <w:sz w:val="21"/>
          <w:szCs w:val="21"/>
        </w:rPr>
      </w:pPr>
      <w:r>
        <w:rPr>
          <w:rFonts w:cs="Times New Roman" w:eastAsiaTheme="minorEastAsia"/>
          <w:color w:val="000000" w:themeColor="text1"/>
          <w:sz w:val="21"/>
          <w:szCs w:val="21"/>
          <w14:textFill>
            <w14:solidFill>
              <w14:schemeClr w14:val="tx1"/>
            </w14:solidFill>
          </w14:textFill>
        </w:rPr>
        <w:t>6</w:t>
      </w:r>
      <w:r>
        <w:rPr>
          <w:rFonts w:eastAsia="宋体" w:cs="Times New Roman"/>
          <w:bCs/>
          <w:sz w:val="21"/>
          <w:szCs w:val="21"/>
        </w:rPr>
        <w:t xml:space="preserve"> 燃气爆炸后</w:t>
      </w:r>
      <w:r>
        <w:rPr>
          <w:rFonts w:hint="eastAsia" w:eastAsia="宋体" w:cs="Times New Roman"/>
          <w:bCs/>
          <w:sz w:val="21"/>
          <w:szCs w:val="21"/>
        </w:rPr>
        <w:t>可能</w:t>
      </w:r>
      <w:r>
        <w:rPr>
          <w:rFonts w:eastAsia="宋体" w:cs="Times New Roman"/>
          <w:bCs/>
          <w:sz w:val="21"/>
          <w:szCs w:val="21"/>
        </w:rPr>
        <w:t>产生严重后果的空间等。</w:t>
      </w:r>
    </w:p>
    <w:p w14:paraId="7E043E08">
      <w:pPr>
        <w:spacing w:line="360" w:lineRule="auto"/>
        <w:ind w:firstLine="0" w:firstLineChars="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4.2.2 </w:t>
      </w:r>
      <w:r>
        <w:rPr>
          <w:rFonts w:eastAsia="宋体" w:cs="Times New Roman"/>
          <w:color w:val="000000" w:themeColor="text1"/>
          <w:sz w:val="21"/>
          <w:szCs w:val="21"/>
          <w14:textFill>
            <w14:solidFill>
              <w14:schemeClr w14:val="tx1"/>
            </w14:solidFill>
          </w14:textFill>
        </w:rPr>
        <w:t>燃气</w:t>
      </w:r>
      <w:r>
        <w:rPr>
          <w:rFonts w:hint="eastAsia" w:eastAsia="宋体" w:cs="Times New Roman"/>
          <w:color w:val="000000" w:themeColor="text1"/>
          <w:sz w:val="21"/>
          <w:szCs w:val="21"/>
          <w14:textFill>
            <w14:solidFill>
              <w14:schemeClr w14:val="tx1"/>
            </w14:solidFill>
          </w14:textFill>
        </w:rPr>
        <w:t>安全</w:t>
      </w:r>
      <w:r>
        <w:rPr>
          <w:rFonts w:eastAsia="宋体" w:cs="Times New Roman"/>
          <w:color w:val="000000" w:themeColor="text1"/>
          <w:sz w:val="21"/>
          <w:szCs w:val="21"/>
          <w14:textFill>
            <w14:solidFill>
              <w14:schemeClr w14:val="tx1"/>
            </w14:solidFill>
          </w14:textFill>
        </w:rPr>
        <w:t>监测对象、监测</w:t>
      </w:r>
      <w:r>
        <w:rPr>
          <w:rFonts w:hint="eastAsia" w:eastAsia="宋体" w:cs="Times New Roman"/>
          <w:color w:val="000000" w:themeColor="text1"/>
          <w:sz w:val="21"/>
          <w:szCs w:val="21"/>
          <w14:textFill>
            <w14:solidFill>
              <w14:schemeClr w14:val="tx1"/>
            </w14:solidFill>
          </w14:textFill>
        </w:rPr>
        <w:t>项目</w:t>
      </w:r>
      <w:r>
        <w:rPr>
          <w:rFonts w:eastAsia="宋体" w:cs="Times New Roman"/>
          <w:color w:val="000000" w:themeColor="text1"/>
          <w:sz w:val="21"/>
          <w:szCs w:val="21"/>
          <w14:textFill>
            <w14:solidFill>
              <w14:schemeClr w14:val="tx1"/>
            </w14:solidFill>
          </w14:textFill>
        </w:rPr>
        <w:t>和监测设备类型应符合表</w:t>
      </w:r>
      <w:r>
        <w:rPr>
          <w:rFonts w:eastAsia="宋体" w:cs="Times New Roman"/>
          <w:iCs/>
          <w:color w:val="000000" w:themeColor="text1"/>
          <w:sz w:val="21"/>
          <w:szCs w:val="21"/>
          <w14:textFill>
            <w14:solidFill>
              <w14:schemeClr w14:val="tx1"/>
            </w14:solidFill>
          </w14:textFill>
        </w:rPr>
        <w:t>4.2.2</w:t>
      </w:r>
      <w:r>
        <w:rPr>
          <w:rFonts w:eastAsia="宋体" w:cs="Times New Roman"/>
          <w:color w:val="000000" w:themeColor="text1"/>
          <w:sz w:val="21"/>
          <w:szCs w:val="21"/>
          <w14:textFill>
            <w14:solidFill>
              <w14:schemeClr w14:val="tx1"/>
            </w14:solidFill>
          </w14:textFill>
        </w:rPr>
        <w:t>的规定。</w:t>
      </w:r>
    </w:p>
    <w:p w14:paraId="0FA95210">
      <w:pPr>
        <w:spacing w:after="120" w:afterLines="50"/>
        <w:ind w:firstLine="361"/>
        <w:jc w:val="center"/>
        <w:rPr>
          <w:rFonts w:eastAsia="宋体" w:cs="Times New Roman"/>
          <w:iCs/>
          <w:color w:val="000000" w:themeColor="text1"/>
          <w:sz w:val="18"/>
          <w:szCs w:val="18"/>
          <w14:textFill>
            <w14:solidFill>
              <w14:schemeClr w14:val="tx1"/>
            </w14:solidFill>
          </w14:textFill>
        </w:rPr>
      </w:pPr>
      <w:r>
        <w:rPr>
          <w:rFonts w:eastAsia="宋体" w:cs="Times New Roman"/>
          <w:b/>
          <w:bCs/>
          <w:iCs/>
          <w:color w:val="000000" w:themeColor="text1"/>
          <w:sz w:val="18"/>
          <w:szCs w:val="18"/>
          <w14:textFill>
            <w14:solidFill>
              <w14:schemeClr w14:val="tx1"/>
            </w14:solidFill>
          </w14:textFill>
        </w:rPr>
        <w:t>表4.2.2 燃气</w:t>
      </w:r>
      <w:r>
        <w:rPr>
          <w:rFonts w:hint="eastAsia" w:eastAsia="宋体" w:cs="Times New Roman"/>
          <w:b/>
          <w:bCs/>
          <w:iCs/>
          <w:color w:val="000000" w:themeColor="text1"/>
          <w:sz w:val="18"/>
          <w:szCs w:val="18"/>
          <w14:textFill>
            <w14:solidFill>
              <w14:schemeClr w14:val="tx1"/>
            </w14:solidFill>
          </w14:textFill>
        </w:rPr>
        <w:t>安全</w:t>
      </w:r>
      <w:r>
        <w:rPr>
          <w:rFonts w:eastAsia="宋体" w:cs="Times New Roman"/>
          <w:b/>
          <w:bCs/>
          <w:iCs/>
          <w:color w:val="000000" w:themeColor="text1"/>
          <w:sz w:val="18"/>
          <w:szCs w:val="18"/>
          <w14:textFill>
            <w14:solidFill>
              <w14:schemeClr w14:val="tx1"/>
            </w14:solidFill>
          </w14:textFill>
        </w:rPr>
        <w:t>监测对象、监测</w:t>
      </w:r>
      <w:r>
        <w:rPr>
          <w:rFonts w:hint="eastAsia" w:eastAsia="宋体" w:cs="Times New Roman"/>
          <w:b/>
          <w:bCs/>
          <w:iCs/>
          <w:color w:val="000000" w:themeColor="text1"/>
          <w:sz w:val="18"/>
          <w:szCs w:val="18"/>
          <w14:textFill>
            <w14:solidFill>
              <w14:schemeClr w14:val="tx1"/>
            </w14:solidFill>
          </w14:textFill>
        </w:rPr>
        <w:t>项目</w:t>
      </w:r>
      <w:r>
        <w:rPr>
          <w:rFonts w:eastAsia="宋体" w:cs="Times New Roman"/>
          <w:b/>
          <w:bCs/>
          <w:iCs/>
          <w:color w:val="000000" w:themeColor="text1"/>
          <w:sz w:val="18"/>
          <w:szCs w:val="18"/>
          <w14:textFill>
            <w14:solidFill>
              <w14:schemeClr w14:val="tx1"/>
            </w14:solidFill>
          </w14:textFill>
        </w:rPr>
        <w:t>和监测设备类型</w:t>
      </w:r>
    </w:p>
    <w:tbl>
      <w:tblPr>
        <w:tblStyle w:val="81"/>
        <w:tblW w:w="7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2"/>
        <w:gridCol w:w="2655"/>
        <w:gridCol w:w="2655"/>
      </w:tblGrid>
      <w:tr w14:paraId="58987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302" w:type="dxa"/>
            <w:tcBorders>
              <w:top w:val="single" w:color="auto" w:sz="4" w:space="0"/>
              <w:left w:val="single" w:color="auto" w:sz="4" w:space="0"/>
              <w:bottom w:val="single" w:color="auto" w:sz="4" w:space="0"/>
              <w:right w:val="single" w:color="auto" w:sz="4" w:space="0"/>
            </w:tcBorders>
            <w:vAlign w:val="center"/>
          </w:tcPr>
          <w:p w14:paraId="092F2CA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监测对象</w:t>
            </w:r>
          </w:p>
        </w:tc>
        <w:tc>
          <w:tcPr>
            <w:tcW w:w="2655" w:type="dxa"/>
            <w:tcBorders>
              <w:top w:val="single" w:color="auto" w:sz="4" w:space="0"/>
              <w:left w:val="single" w:color="auto" w:sz="4" w:space="0"/>
              <w:bottom w:val="single" w:color="auto" w:sz="4" w:space="0"/>
              <w:right w:val="single" w:color="auto" w:sz="4" w:space="0"/>
            </w:tcBorders>
            <w:vAlign w:val="center"/>
          </w:tcPr>
          <w:p w14:paraId="5B7395D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w:t>
            </w:r>
            <w:r>
              <w:rPr>
                <w:rFonts w:hint="eastAsia" w:eastAsia="宋体" w:cs="Times New Roman"/>
                <w:iCs/>
                <w:color w:val="000000" w:themeColor="text1"/>
                <w:sz w:val="18"/>
                <w:szCs w:val="18"/>
                <w14:textFill>
                  <w14:solidFill>
                    <w14:schemeClr w14:val="tx1"/>
                  </w14:solidFill>
                </w14:textFill>
              </w:rPr>
              <w:t>项目</w:t>
            </w:r>
          </w:p>
        </w:tc>
        <w:tc>
          <w:tcPr>
            <w:tcW w:w="2655" w:type="dxa"/>
            <w:tcBorders>
              <w:top w:val="single" w:color="auto" w:sz="4" w:space="0"/>
              <w:left w:val="single" w:color="auto" w:sz="4" w:space="0"/>
              <w:bottom w:val="single" w:color="auto" w:sz="4" w:space="0"/>
              <w:right w:val="single" w:color="auto" w:sz="4" w:space="0"/>
            </w:tcBorders>
            <w:vAlign w:val="center"/>
          </w:tcPr>
          <w:p w14:paraId="4852E1E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监测设备</w:t>
            </w:r>
          </w:p>
        </w:tc>
      </w:tr>
      <w:tr w14:paraId="1DB48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302" w:type="dxa"/>
            <w:tcBorders>
              <w:top w:val="single" w:color="auto" w:sz="4" w:space="0"/>
              <w:left w:val="single" w:color="auto" w:sz="4" w:space="0"/>
              <w:bottom w:val="single" w:color="auto" w:sz="4" w:space="0"/>
              <w:right w:val="single" w:color="auto" w:sz="4" w:space="0"/>
            </w:tcBorders>
            <w:vAlign w:val="center"/>
          </w:tcPr>
          <w:p w14:paraId="41308BA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燃气管网相邻地下空间</w:t>
            </w:r>
          </w:p>
        </w:tc>
        <w:tc>
          <w:tcPr>
            <w:tcW w:w="2655" w:type="dxa"/>
            <w:tcBorders>
              <w:top w:val="single" w:color="auto" w:sz="4" w:space="0"/>
              <w:left w:val="single" w:color="auto" w:sz="4" w:space="0"/>
              <w:bottom w:val="single" w:color="auto" w:sz="4" w:space="0"/>
              <w:right w:val="single" w:color="auto" w:sz="4" w:space="0"/>
            </w:tcBorders>
            <w:vAlign w:val="center"/>
          </w:tcPr>
          <w:p w14:paraId="437D534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hint="eastAsia" w:eastAsia="宋体" w:cs="Times New Roman"/>
                <w:iCs/>
                <w:color w:val="000000" w:themeColor="text1"/>
                <w:sz w:val="18"/>
                <w:szCs w:val="18"/>
                <w14:textFill>
                  <w14:solidFill>
                    <w14:schemeClr w14:val="tx1"/>
                  </w14:solidFill>
                </w14:textFill>
              </w:rPr>
              <w:t>甲烷气体浓度</w:t>
            </w:r>
          </w:p>
        </w:tc>
        <w:tc>
          <w:tcPr>
            <w:tcW w:w="2655" w:type="dxa"/>
            <w:tcBorders>
              <w:top w:val="single" w:color="auto" w:sz="4" w:space="0"/>
              <w:left w:val="single" w:color="auto" w:sz="4" w:space="0"/>
              <w:bottom w:val="single" w:color="auto" w:sz="4" w:space="0"/>
              <w:right w:val="single" w:color="auto" w:sz="4" w:space="0"/>
            </w:tcBorders>
            <w:vAlign w:val="center"/>
          </w:tcPr>
          <w:p w14:paraId="75D84DEC">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可燃气体监测仪</w:t>
            </w:r>
          </w:p>
        </w:tc>
      </w:tr>
    </w:tbl>
    <w:p w14:paraId="454CCAB8">
      <w:pPr>
        <w:spacing w:line="360" w:lineRule="auto"/>
        <w:ind w:firstLine="0" w:firstLineChars="0"/>
        <w:jc w:val="center"/>
        <w:rPr>
          <w:rFonts w:eastAsia="宋体" w:cs="Times New Roman"/>
          <w:bCs/>
          <w:sz w:val="18"/>
          <w:szCs w:val="18"/>
        </w:rPr>
      </w:pPr>
      <w:r>
        <w:rPr>
          <w:rFonts w:eastAsia="宋体" w:cs="Times New Roman"/>
          <w:bCs/>
          <w:sz w:val="18"/>
          <w:szCs w:val="18"/>
        </w:rPr>
        <w:t>注：</w:t>
      </w:r>
      <w:r>
        <w:rPr>
          <w:rFonts w:hint="eastAsia" w:eastAsia="宋体" w:cs="Times New Roman"/>
          <w:bCs/>
          <w:sz w:val="18"/>
          <w:szCs w:val="18"/>
        </w:rPr>
        <w:t>燃气</w:t>
      </w:r>
      <w:r>
        <w:rPr>
          <w:rFonts w:eastAsia="宋体" w:cs="Times New Roman"/>
          <w:bCs/>
          <w:sz w:val="18"/>
          <w:szCs w:val="18"/>
        </w:rPr>
        <w:t>监测项目运行技术参数及相应规定见《城市生命线工程</w:t>
      </w:r>
      <w:r>
        <w:rPr>
          <w:rFonts w:hint="eastAsia" w:eastAsia="宋体" w:cs="Times New Roman"/>
          <w:bCs/>
          <w:sz w:val="18"/>
          <w:szCs w:val="18"/>
        </w:rPr>
        <w:t>安全运行监测</w:t>
      </w:r>
      <w:r>
        <w:rPr>
          <w:rFonts w:eastAsia="宋体" w:cs="Times New Roman"/>
          <w:bCs/>
          <w:sz w:val="18"/>
          <w:szCs w:val="18"/>
        </w:rPr>
        <w:t>技术标准》</w:t>
      </w:r>
      <w:r>
        <w:rPr>
          <w:rFonts w:hint="eastAsia" w:eastAsia="宋体" w:cs="Times New Roman"/>
          <w:bCs/>
          <w:sz w:val="18"/>
          <w:szCs w:val="18"/>
        </w:rPr>
        <w:t>DB34/T 4021</w:t>
      </w:r>
    </w:p>
    <w:p w14:paraId="585DCDC2">
      <w:pPr>
        <w:spacing w:line="360" w:lineRule="auto"/>
        <w:ind w:firstLine="0" w:firstLineChars="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4.2.3 </w:t>
      </w:r>
      <w:r>
        <w:rPr>
          <w:rFonts w:eastAsia="宋体" w:cs="Times New Roman"/>
          <w:color w:val="000000" w:themeColor="text1"/>
          <w:sz w:val="21"/>
          <w:szCs w:val="21"/>
          <w14:textFill>
            <w14:solidFill>
              <w14:schemeClr w14:val="tx1"/>
            </w14:solidFill>
          </w14:textFill>
        </w:rPr>
        <w:t>燃气管网及相邻地下空间可燃气体监测仪安装应符合以下规定：</w:t>
      </w:r>
    </w:p>
    <w:p w14:paraId="4AD71B30">
      <w:pPr>
        <w:spacing w:line="360" w:lineRule="auto"/>
        <w:ind w:firstLine="42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开井安装前</w:t>
      </w:r>
      <w:r>
        <w:rPr>
          <w:rFonts w:hint="eastAsia" w:eastAsia="宋体" w:cs="Times New Roman"/>
          <w:color w:val="000000" w:themeColor="text1"/>
          <w:sz w:val="21"/>
          <w:szCs w:val="21"/>
          <w14:textFill>
            <w14:solidFill>
              <w14:schemeClr w14:val="tx1"/>
            </w14:solidFill>
          </w14:textFill>
        </w:rPr>
        <w:t>和安装后</w:t>
      </w:r>
      <w:r>
        <w:rPr>
          <w:rFonts w:eastAsia="宋体" w:cs="Times New Roman"/>
          <w:color w:val="000000" w:themeColor="text1"/>
          <w:sz w:val="21"/>
          <w:szCs w:val="21"/>
          <w14:textFill>
            <w14:solidFill>
              <w14:schemeClr w14:val="tx1"/>
            </w14:solidFill>
          </w14:textFill>
        </w:rPr>
        <w:t>应对目标井进行</w:t>
      </w:r>
      <w:r>
        <w:rPr>
          <w:rFonts w:hint="eastAsia" w:eastAsia="宋体" w:cs="Times New Roman"/>
          <w:color w:val="000000" w:themeColor="text1"/>
          <w:sz w:val="21"/>
          <w:szCs w:val="21"/>
          <w14:textFill>
            <w14:solidFill>
              <w14:schemeClr w14:val="tx1"/>
            </w14:solidFill>
          </w14:textFill>
        </w:rPr>
        <w:t>甲烷</w:t>
      </w:r>
      <w:r>
        <w:rPr>
          <w:rFonts w:eastAsia="宋体" w:cs="Times New Roman"/>
          <w:color w:val="000000" w:themeColor="text1"/>
          <w:sz w:val="21"/>
          <w:szCs w:val="21"/>
          <w14:textFill>
            <w14:solidFill>
              <w14:schemeClr w14:val="tx1"/>
            </w14:solidFill>
          </w14:textFill>
        </w:rPr>
        <w:t>检测</w:t>
      </w:r>
      <w:r>
        <w:rPr>
          <w:rFonts w:hint="eastAsia" w:eastAsia="宋体" w:cs="Times New Roman"/>
          <w:color w:val="000000" w:themeColor="text1"/>
          <w:sz w:val="21"/>
          <w:szCs w:val="21"/>
          <w14:textFill>
            <w14:solidFill>
              <w14:schemeClr w14:val="tx1"/>
            </w14:solidFill>
          </w14:textFill>
        </w:rPr>
        <w:t>并进行相应的处置；</w:t>
      </w:r>
    </w:p>
    <w:p w14:paraId="2A4CC754">
      <w:pPr>
        <w:spacing w:line="360" w:lineRule="auto"/>
        <w:ind w:firstLine="42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2 </w:t>
      </w:r>
      <w:r>
        <w:rPr>
          <w:rFonts w:eastAsia="宋体" w:cs="Times New Roman"/>
          <w:color w:val="000000" w:themeColor="text1"/>
          <w:sz w:val="21"/>
          <w:szCs w:val="21"/>
          <w14:textFill>
            <w14:solidFill>
              <w14:schemeClr w14:val="tx1"/>
            </w14:solidFill>
          </w14:textFill>
        </w:rPr>
        <w:t>设备支架安装在井口以下20cm处，安装位置选择井壁上平整的区域，支架倾角小于5°；</w:t>
      </w:r>
    </w:p>
    <w:p w14:paraId="4D2EFF9A">
      <w:pPr>
        <w:spacing w:line="360" w:lineRule="auto"/>
        <w:ind w:firstLine="420"/>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设备挂接到支架后，设备倾角小于5°；</w:t>
      </w:r>
    </w:p>
    <w:p w14:paraId="1C1CA85E">
      <w:pPr>
        <w:spacing w:line="360" w:lineRule="auto"/>
        <w:ind w:firstLine="420"/>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 </w:t>
      </w:r>
      <w:r>
        <w:rPr>
          <w:rFonts w:eastAsia="宋体" w:cs="Times New Roman"/>
          <w:color w:val="000000" w:themeColor="text1"/>
          <w:sz w:val="21"/>
          <w:szCs w:val="21"/>
          <w14:textFill>
            <w14:solidFill>
              <w14:schemeClr w14:val="tx1"/>
            </w14:solidFill>
          </w14:textFill>
        </w:rPr>
        <w:t>支架安装不应影响井内阀门的正常开关和日常维护</w:t>
      </w:r>
      <w:r>
        <w:rPr>
          <w:rFonts w:hint="eastAsia" w:eastAsia="宋体" w:cs="Times New Roman"/>
          <w:color w:val="000000" w:themeColor="text1"/>
          <w:sz w:val="21"/>
          <w:szCs w:val="21"/>
          <w14:textFill>
            <w14:solidFill>
              <w14:schemeClr w14:val="tx1"/>
            </w14:solidFill>
          </w14:textFill>
        </w:rPr>
        <w:t>。</w:t>
      </w:r>
    </w:p>
    <w:p w14:paraId="531A9289">
      <w:pPr>
        <w:spacing w:line="360" w:lineRule="auto"/>
        <w:ind w:firstLine="0" w:firstLineChars="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4.2.4 </w:t>
      </w:r>
      <w:r>
        <w:rPr>
          <w:rFonts w:eastAsia="宋体" w:cs="Times New Roman"/>
          <w:color w:val="000000" w:themeColor="text1"/>
          <w:sz w:val="21"/>
          <w:szCs w:val="21"/>
          <w14:textFill>
            <w14:solidFill>
              <w14:schemeClr w14:val="tx1"/>
            </w14:solidFill>
          </w14:textFill>
        </w:rPr>
        <w:t>燃气管网相邻地下空间可燃气体监测仪的技术指标应符合以下规定：</w:t>
      </w:r>
    </w:p>
    <w:p w14:paraId="381D8D89">
      <w:pPr>
        <w:spacing w:line="360" w:lineRule="auto"/>
        <w:ind w:firstLine="42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量程为（0～20%）VOL；</w:t>
      </w:r>
    </w:p>
    <w:p w14:paraId="5DE7350B">
      <w:pPr>
        <w:spacing w:line="360" w:lineRule="auto"/>
        <w:ind w:firstLine="42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2 </w:t>
      </w:r>
      <w:r>
        <w:rPr>
          <w:rFonts w:eastAsia="宋体" w:cs="Times New Roman"/>
          <w:color w:val="000000" w:themeColor="text1"/>
          <w:sz w:val="21"/>
          <w:szCs w:val="21"/>
          <w14:textFill>
            <w14:solidFill>
              <w14:schemeClr w14:val="tx1"/>
            </w14:solidFill>
          </w14:textFill>
        </w:rPr>
        <w:t>精度为±0.1%VOL；</w:t>
      </w:r>
    </w:p>
    <w:p w14:paraId="272DF947">
      <w:pPr>
        <w:spacing w:line="360" w:lineRule="auto"/>
        <w:ind w:firstLine="42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工作温度范围为（-10～60）</w:t>
      </w:r>
      <w:r>
        <w:rPr>
          <w:rFonts w:eastAsia="微软雅黑" w:cs="Times New Roman"/>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w:t>
      </w:r>
    </w:p>
    <w:p w14:paraId="6B3405D4">
      <w:pPr>
        <w:spacing w:line="360" w:lineRule="auto"/>
        <w:ind w:firstLine="42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 </w:t>
      </w:r>
      <w:r>
        <w:rPr>
          <w:rFonts w:eastAsia="宋体" w:cs="Times New Roman"/>
          <w:color w:val="000000" w:themeColor="text1"/>
          <w:sz w:val="21"/>
          <w:szCs w:val="21"/>
          <w14:textFill>
            <w14:solidFill>
              <w14:schemeClr w14:val="tx1"/>
            </w14:solidFill>
          </w14:textFill>
        </w:rPr>
        <w:t>防爆等级为Ex ib IIB T4 Gb。</w:t>
      </w:r>
    </w:p>
    <w:p w14:paraId="7FF3EFEC">
      <w:pPr>
        <w:spacing w:line="360" w:lineRule="auto"/>
        <w:ind w:firstLine="0" w:firstLineChars="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4.2.5 </w:t>
      </w:r>
      <w:r>
        <w:rPr>
          <w:rFonts w:eastAsia="宋体" w:cs="Times New Roman"/>
          <w:color w:val="000000" w:themeColor="text1"/>
          <w:sz w:val="21"/>
          <w:szCs w:val="21"/>
          <w14:textFill>
            <w14:solidFill>
              <w14:schemeClr w14:val="tx1"/>
            </w14:solidFill>
          </w14:textFill>
        </w:rPr>
        <w:t>燃气安全监测设备安装过程中，应对以下信息进行记录：</w:t>
      </w:r>
    </w:p>
    <w:p w14:paraId="339ECC18">
      <w:pPr>
        <w:spacing w:line="360" w:lineRule="auto"/>
        <w:ind w:firstLine="42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井原始编号、</w:t>
      </w:r>
      <w:r>
        <w:rPr>
          <w:rFonts w:hint="eastAsia" w:eastAsia="宋体" w:cs="Times New Roman"/>
          <w:color w:val="000000" w:themeColor="text1"/>
          <w:sz w:val="21"/>
          <w:szCs w:val="21"/>
          <w14:textFill>
            <w14:solidFill>
              <w14:schemeClr w14:val="tx1"/>
            </w14:solidFill>
          </w14:textFill>
        </w:rPr>
        <w:t>监测井编号</w:t>
      </w:r>
      <w:r>
        <w:rPr>
          <w:rFonts w:eastAsia="宋体" w:cs="Times New Roman"/>
          <w:color w:val="000000" w:themeColor="text1"/>
          <w:sz w:val="21"/>
          <w:szCs w:val="21"/>
          <w14:textFill>
            <w14:solidFill>
              <w14:schemeClr w14:val="tx1"/>
            </w14:solidFill>
          </w14:textFill>
        </w:rPr>
        <w:t>、设备编号；</w:t>
      </w:r>
    </w:p>
    <w:p w14:paraId="2B06B585">
      <w:pPr>
        <w:spacing w:line="360" w:lineRule="auto"/>
        <w:ind w:firstLine="420"/>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2 </w:t>
      </w:r>
      <w:r>
        <w:rPr>
          <w:rFonts w:eastAsia="宋体" w:cs="Times New Roman"/>
          <w:color w:val="000000" w:themeColor="text1"/>
          <w:sz w:val="21"/>
          <w:szCs w:val="21"/>
          <w14:textFill>
            <w14:solidFill>
              <w14:schemeClr w14:val="tx1"/>
            </w14:solidFill>
          </w14:textFill>
        </w:rPr>
        <w:t>所在区域、设备安装具体位置、井位置车道数量；</w:t>
      </w:r>
    </w:p>
    <w:p w14:paraId="2CD6BD91">
      <w:pPr>
        <w:spacing w:line="360" w:lineRule="auto"/>
        <w:ind w:firstLine="420"/>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安装时间、现场照片；</w:t>
      </w:r>
    </w:p>
    <w:p w14:paraId="79FEA223">
      <w:pPr>
        <w:spacing w:line="360" w:lineRule="auto"/>
        <w:ind w:firstLine="420"/>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 </w:t>
      </w:r>
      <w:r>
        <w:rPr>
          <w:rFonts w:eastAsia="宋体" w:cs="Times New Roman"/>
          <w:color w:val="000000" w:themeColor="text1"/>
          <w:sz w:val="21"/>
          <w:szCs w:val="21"/>
          <w14:textFill>
            <w14:solidFill>
              <w14:schemeClr w14:val="tx1"/>
            </w14:solidFill>
          </w14:textFill>
        </w:rPr>
        <w:t>井类型、井尺寸、井形状、井内</w:t>
      </w:r>
      <w:r>
        <w:rPr>
          <w:rFonts w:hint="eastAsia" w:eastAsia="宋体" w:cs="Times New Roman"/>
          <w:color w:val="000000" w:themeColor="text1"/>
          <w:sz w:val="21"/>
          <w:szCs w:val="21"/>
          <w14:textFill>
            <w14:solidFill>
              <w14:schemeClr w14:val="tx1"/>
            </w14:solidFill>
          </w14:textFill>
        </w:rPr>
        <w:t>甲烷</w:t>
      </w:r>
      <w:r>
        <w:rPr>
          <w:rFonts w:eastAsia="宋体" w:cs="Times New Roman"/>
          <w:color w:val="000000" w:themeColor="text1"/>
          <w:sz w:val="21"/>
          <w:szCs w:val="21"/>
          <w14:textFill>
            <w14:solidFill>
              <w14:schemeClr w14:val="tx1"/>
            </w14:solidFill>
          </w14:textFill>
        </w:rPr>
        <w:t>浓度；</w:t>
      </w:r>
    </w:p>
    <w:p w14:paraId="5874957E">
      <w:pPr>
        <w:spacing w:line="360" w:lineRule="auto"/>
        <w:ind w:firstLine="420"/>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5 </w:t>
      </w:r>
      <w:r>
        <w:rPr>
          <w:rFonts w:eastAsia="宋体" w:cs="Times New Roman"/>
          <w:color w:val="000000" w:themeColor="text1"/>
          <w:sz w:val="21"/>
          <w:szCs w:val="21"/>
          <w14:textFill>
            <w14:solidFill>
              <w14:schemeClr w14:val="tx1"/>
            </w14:solidFill>
          </w14:textFill>
        </w:rPr>
        <w:t>设备倾角、井周边覆盖介质、井周边重要防护目标等。</w:t>
      </w:r>
    </w:p>
    <w:p w14:paraId="0739FFD3">
      <w:pPr>
        <w:keepNext/>
        <w:keepLines/>
        <w:spacing w:line="360" w:lineRule="auto"/>
        <w:ind w:firstLine="0" w:firstLineChars="0"/>
        <w:jc w:val="center"/>
        <w:outlineLvl w:val="1"/>
        <w:rPr>
          <w:rFonts w:eastAsia="宋体" w:cs="Times New Roman"/>
          <w:b/>
          <w:bCs/>
          <w:sz w:val="28"/>
          <w:szCs w:val="28"/>
        </w:rPr>
      </w:pPr>
      <w:bookmarkStart w:id="69" w:name="_Toc192799300"/>
      <w:r>
        <w:rPr>
          <w:rFonts w:eastAsia="宋体" w:cs="Times New Roman"/>
          <w:b/>
          <w:bCs/>
          <w:sz w:val="28"/>
          <w:szCs w:val="28"/>
        </w:rPr>
        <w:t>4.3  供水</w:t>
      </w:r>
      <w:bookmarkEnd w:id="69"/>
    </w:p>
    <w:p w14:paraId="28BD7609">
      <w:pPr>
        <w:spacing w:line="360" w:lineRule="auto"/>
        <w:ind w:firstLine="0" w:firstLineChars="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4.3.1 </w:t>
      </w:r>
      <w:r>
        <w:rPr>
          <w:rFonts w:eastAsia="宋体" w:cs="Times New Roman"/>
          <w:color w:val="000000" w:themeColor="text1"/>
          <w:sz w:val="21"/>
          <w:szCs w:val="21"/>
          <w14:textFill>
            <w14:solidFill>
              <w14:schemeClr w14:val="tx1"/>
            </w14:solidFill>
          </w14:textFill>
        </w:rPr>
        <w:t>供水安全监测应根据风险评估结果优先在以下区域和位置进行监测：</w:t>
      </w:r>
    </w:p>
    <w:p w14:paraId="39367C74">
      <w:pPr>
        <w:spacing w:line="360" w:lineRule="auto"/>
        <w:ind w:firstLine="420"/>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人口集中地；</w:t>
      </w:r>
    </w:p>
    <w:p w14:paraId="0F959DD2">
      <w:pPr>
        <w:spacing w:line="360" w:lineRule="auto"/>
        <w:ind w:firstLine="420"/>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2 </w:t>
      </w:r>
      <w:r>
        <w:rPr>
          <w:rFonts w:eastAsia="宋体" w:cs="Times New Roman"/>
          <w:color w:val="000000" w:themeColor="text1"/>
          <w:sz w:val="21"/>
          <w:szCs w:val="21"/>
          <w14:textFill>
            <w14:solidFill>
              <w14:schemeClr w14:val="tx1"/>
            </w14:solidFill>
          </w14:textFill>
        </w:rPr>
        <w:t>交通枢纽；</w:t>
      </w:r>
    </w:p>
    <w:p w14:paraId="7EACC856">
      <w:pPr>
        <w:spacing w:line="360" w:lineRule="auto"/>
        <w:ind w:firstLine="420"/>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医院</w:t>
      </w:r>
      <w:r>
        <w:rPr>
          <w:rFonts w:hint="eastAsia" w:eastAsia="宋体" w:cs="Times New Roman"/>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学校</w:t>
      </w:r>
      <w:r>
        <w:rPr>
          <w:rFonts w:hint="eastAsia" w:eastAsia="宋体" w:cs="Times New Roman"/>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场馆</w:t>
      </w:r>
      <w:r>
        <w:rPr>
          <w:rFonts w:hint="eastAsia" w:eastAsia="宋体" w:cs="Times New Roman"/>
          <w:color w:val="000000" w:themeColor="text1"/>
          <w:sz w:val="21"/>
          <w:szCs w:val="21"/>
          <w14:textFill>
            <w14:solidFill>
              <w14:schemeClr w14:val="tx1"/>
            </w14:solidFill>
          </w14:textFill>
        </w:rPr>
        <w:t>等大型公共建筑</w:t>
      </w:r>
      <w:r>
        <w:rPr>
          <w:rFonts w:eastAsia="宋体" w:cs="Times New Roman"/>
          <w:color w:val="000000" w:themeColor="text1"/>
          <w:sz w:val="21"/>
          <w:szCs w:val="21"/>
          <w14:textFill>
            <w14:solidFill>
              <w14:schemeClr w14:val="tx1"/>
            </w14:solidFill>
          </w14:textFill>
        </w:rPr>
        <w:t>；</w:t>
      </w:r>
    </w:p>
    <w:p w14:paraId="10D84ACF">
      <w:pPr>
        <w:spacing w:line="360" w:lineRule="auto"/>
        <w:ind w:firstLine="420"/>
        <w:rPr>
          <w:rFonts w:cs="Times New Roman" w:eastAsiaTheme="minorEastAsia"/>
          <w:color w:val="000000" w:themeColor="text1"/>
          <w:sz w:val="21"/>
          <w:szCs w:val="21"/>
          <w14:textFill>
            <w14:solidFill>
              <w14:schemeClr w14:val="tx1"/>
            </w14:solidFill>
          </w14:textFill>
        </w:rPr>
      </w:pPr>
      <w:r>
        <w:rPr>
          <w:rFonts w:hint="eastAsia" w:cs="Times New Roman" w:eastAsiaTheme="minorEastAsia"/>
          <w:color w:val="000000" w:themeColor="text1"/>
          <w:sz w:val="21"/>
          <w:szCs w:val="21"/>
          <w14:textFill>
            <w14:solidFill>
              <w14:schemeClr w14:val="tx1"/>
            </w14:solidFill>
          </w14:textFill>
        </w:rPr>
        <w:t>4</w:t>
      </w:r>
      <w:r>
        <w:rPr>
          <w:rFonts w:cs="Times New Roman" w:eastAsiaTheme="minorEastAsia"/>
          <w:color w:val="000000" w:themeColor="text1"/>
          <w:sz w:val="21"/>
          <w:szCs w:val="21"/>
          <w14:textFill>
            <w14:solidFill>
              <w14:schemeClr w14:val="tx1"/>
            </w14:solidFill>
          </w14:textFill>
        </w:rPr>
        <w:t xml:space="preserve"> </w:t>
      </w:r>
      <w:r>
        <w:rPr>
          <w:rFonts w:hint="eastAsia" w:eastAsia="宋体" w:cs="Times New Roman"/>
          <w:color w:val="000000" w:themeColor="text1"/>
          <w:sz w:val="21"/>
          <w:szCs w:val="21"/>
          <w14:textFill>
            <w14:solidFill>
              <w14:schemeClr w14:val="tx1"/>
            </w14:solidFill>
          </w14:textFill>
        </w:rPr>
        <w:t>泵站出口、管网末梢、主干管交叉点；</w:t>
      </w:r>
    </w:p>
    <w:p w14:paraId="489348B9">
      <w:pPr>
        <w:spacing w:line="360" w:lineRule="auto"/>
        <w:ind w:firstLine="420"/>
        <w:rPr>
          <w:rFonts w:eastAsia="宋体" w:cs="Times New Roman"/>
          <w:color w:val="000000" w:themeColor="text1"/>
          <w:sz w:val="21"/>
          <w:szCs w:val="21"/>
          <w14:textFill>
            <w14:solidFill>
              <w14:schemeClr w14:val="tx1"/>
            </w14:solidFill>
          </w14:textFill>
        </w:rPr>
      </w:pPr>
      <w:r>
        <w:rPr>
          <w:rFonts w:hint="eastAsia" w:cs="Times New Roman" w:eastAsiaTheme="minorEastAsia"/>
          <w:color w:val="000000" w:themeColor="text1"/>
          <w:sz w:val="21"/>
          <w:szCs w:val="21"/>
          <w14:textFill>
            <w14:solidFill>
              <w14:schemeClr w14:val="tx1"/>
            </w14:solidFill>
          </w14:textFill>
        </w:rPr>
        <w:t>5</w:t>
      </w:r>
      <w:r>
        <w:rPr>
          <w:rFonts w:cs="Times New Roman" w:eastAsiaTheme="minorEastAsia"/>
          <w:color w:val="000000" w:themeColor="text1"/>
          <w:sz w:val="21"/>
          <w:szCs w:val="21"/>
          <w14:textFill>
            <w14:solidFill>
              <w14:schemeClr w14:val="tx1"/>
            </w14:solidFill>
          </w14:textFill>
        </w:rPr>
        <w:t xml:space="preserve"> </w:t>
      </w:r>
      <w:r>
        <w:rPr>
          <w:rFonts w:eastAsia="宋体" w:cs="Times New Roman"/>
          <w:color w:val="000000" w:themeColor="text1"/>
          <w:sz w:val="21"/>
          <w:szCs w:val="21"/>
          <w14:textFill>
            <w14:solidFill>
              <w14:schemeClr w14:val="tx1"/>
            </w14:solidFill>
          </w14:textFill>
        </w:rPr>
        <w:t>管网其他脆弱点位置</w:t>
      </w:r>
      <w:r>
        <w:rPr>
          <w:rFonts w:hint="eastAsia" w:eastAsia="宋体" w:cs="Times New Roman"/>
          <w:color w:val="000000" w:themeColor="text1"/>
          <w:sz w:val="21"/>
          <w:szCs w:val="21"/>
          <w14:textFill>
            <w14:solidFill>
              <w14:schemeClr w14:val="tx1"/>
            </w14:solidFill>
          </w14:textFill>
        </w:rPr>
        <w:t>；</w:t>
      </w:r>
    </w:p>
    <w:p w14:paraId="629E156D">
      <w:pPr>
        <w:spacing w:line="360" w:lineRule="auto"/>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6供水生产调度水力模型校验点。</w:t>
      </w:r>
    </w:p>
    <w:p w14:paraId="5E77C236">
      <w:pPr>
        <w:spacing w:line="360" w:lineRule="auto"/>
        <w:ind w:firstLine="0" w:firstLineChars="0"/>
        <w:jc w:val="left"/>
        <w:rPr>
          <w:rFonts w:eastAsia="宋体" w:cs="Times New Roman"/>
          <w:b/>
          <w:sz w:val="24"/>
          <w:szCs w:val="24"/>
        </w:rPr>
      </w:pPr>
      <w:r>
        <w:rPr>
          <w:rFonts w:cs="Times New Roman" w:eastAsiaTheme="minorEastAsia"/>
          <w:color w:val="000000" w:themeColor="text1"/>
          <w:sz w:val="21"/>
          <w:szCs w:val="21"/>
          <w14:textFill>
            <w14:solidFill>
              <w14:schemeClr w14:val="tx1"/>
            </w14:solidFill>
          </w14:textFill>
        </w:rPr>
        <w:t xml:space="preserve">4.3.2 </w:t>
      </w:r>
      <w:r>
        <w:rPr>
          <w:rFonts w:eastAsia="宋体" w:cs="Times New Roman"/>
          <w:color w:val="000000" w:themeColor="text1"/>
          <w:sz w:val="21"/>
          <w:szCs w:val="21"/>
          <w14:textFill>
            <w14:solidFill>
              <w14:schemeClr w14:val="tx1"/>
            </w14:solidFill>
          </w14:textFill>
        </w:rPr>
        <w:t>供水</w:t>
      </w:r>
      <w:r>
        <w:rPr>
          <w:rFonts w:hint="eastAsia" w:eastAsia="宋体" w:cs="Times New Roman"/>
          <w:color w:val="000000" w:themeColor="text1"/>
          <w:sz w:val="21"/>
          <w:szCs w:val="21"/>
          <w14:textFill>
            <w14:solidFill>
              <w14:schemeClr w14:val="tx1"/>
            </w14:solidFill>
          </w14:textFill>
        </w:rPr>
        <w:t>安全</w:t>
      </w:r>
      <w:r>
        <w:rPr>
          <w:rFonts w:eastAsia="宋体" w:cs="Times New Roman"/>
          <w:color w:val="000000" w:themeColor="text1"/>
          <w:sz w:val="21"/>
          <w:szCs w:val="21"/>
          <w14:textFill>
            <w14:solidFill>
              <w14:schemeClr w14:val="tx1"/>
            </w14:solidFill>
          </w14:textFill>
        </w:rPr>
        <w:t>监测对象、监测</w:t>
      </w:r>
      <w:r>
        <w:rPr>
          <w:rFonts w:hint="eastAsia" w:eastAsia="宋体" w:cs="Times New Roman"/>
          <w:color w:val="000000" w:themeColor="text1"/>
          <w:sz w:val="21"/>
          <w:szCs w:val="21"/>
          <w14:textFill>
            <w14:solidFill>
              <w14:schemeClr w14:val="tx1"/>
            </w14:solidFill>
          </w14:textFill>
        </w:rPr>
        <w:t>项目</w:t>
      </w:r>
      <w:r>
        <w:rPr>
          <w:rFonts w:eastAsia="宋体" w:cs="Times New Roman"/>
          <w:color w:val="000000" w:themeColor="text1"/>
          <w:sz w:val="21"/>
          <w:szCs w:val="21"/>
          <w14:textFill>
            <w14:solidFill>
              <w14:schemeClr w14:val="tx1"/>
            </w14:solidFill>
          </w14:textFill>
        </w:rPr>
        <w:t>和监测设备类型应符合表</w:t>
      </w:r>
      <w:r>
        <w:rPr>
          <w:rFonts w:eastAsia="宋体" w:cs="Times New Roman"/>
          <w:iCs/>
          <w:color w:val="000000" w:themeColor="text1"/>
          <w:sz w:val="21"/>
          <w:szCs w:val="21"/>
          <w14:textFill>
            <w14:solidFill>
              <w14:schemeClr w14:val="tx1"/>
            </w14:solidFill>
          </w14:textFill>
        </w:rPr>
        <w:t>4.3.2</w:t>
      </w:r>
      <w:r>
        <w:rPr>
          <w:rFonts w:eastAsia="宋体" w:cs="Times New Roman"/>
          <w:color w:val="000000" w:themeColor="text1"/>
          <w:sz w:val="21"/>
          <w:szCs w:val="21"/>
          <w14:textFill>
            <w14:solidFill>
              <w14:schemeClr w14:val="tx1"/>
            </w14:solidFill>
          </w14:textFill>
        </w:rPr>
        <w:t>的规定。</w:t>
      </w:r>
    </w:p>
    <w:p w14:paraId="3021A4AD">
      <w:pPr>
        <w:spacing w:line="319"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b/>
          <w:bCs/>
          <w:iCs/>
          <w:color w:val="000000" w:themeColor="text1"/>
          <w:sz w:val="18"/>
          <w:szCs w:val="18"/>
          <w14:textFill>
            <w14:solidFill>
              <w14:schemeClr w14:val="tx1"/>
            </w14:solidFill>
          </w14:textFill>
        </w:rPr>
        <w:t>表4.3.2 供水</w:t>
      </w:r>
      <w:r>
        <w:rPr>
          <w:rFonts w:hint="eastAsia" w:eastAsia="宋体" w:cs="Times New Roman"/>
          <w:b/>
          <w:bCs/>
          <w:iCs/>
          <w:color w:val="000000" w:themeColor="text1"/>
          <w:sz w:val="18"/>
          <w:szCs w:val="18"/>
          <w14:textFill>
            <w14:solidFill>
              <w14:schemeClr w14:val="tx1"/>
            </w14:solidFill>
          </w14:textFill>
        </w:rPr>
        <w:t>安全</w:t>
      </w:r>
      <w:r>
        <w:rPr>
          <w:rFonts w:eastAsia="宋体" w:cs="Times New Roman"/>
          <w:b/>
          <w:bCs/>
          <w:iCs/>
          <w:color w:val="000000" w:themeColor="text1"/>
          <w:sz w:val="18"/>
          <w:szCs w:val="18"/>
          <w14:textFill>
            <w14:solidFill>
              <w14:schemeClr w14:val="tx1"/>
            </w14:solidFill>
          </w14:textFill>
        </w:rPr>
        <w:t>监测对象、监测</w:t>
      </w:r>
      <w:r>
        <w:rPr>
          <w:rFonts w:hint="eastAsia" w:eastAsia="宋体" w:cs="Times New Roman"/>
          <w:b/>
          <w:bCs/>
          <w:iCs/>
          <w:color w:val="000000" w:themeColor="text1"/>
          <w:sz w:val="18"/>
          <w:szCs w:val="18"/>
          <w14:textFill>
            <w14:solidFill>
              <w14:schemeClr w14:val="tx1"/>
            </w14:solidFill>
          </w14:textFill>
        </w:rPr>
        <w:t>项目</w:t>
      </w:r>
      <w:r>
        <w:rPr>
          <w:rFonts w:eastAsia="宋体" w:cs="Times New Roman"/>
          <w:b/>
          <w:bCs/>
          <w:iCs/>
          <w:color w:val="000000" w:themeColor="text1"/>
          <w:sz w:val="18"/>
          <w:szCs w:val="18"/>
          <w14:textFill>
            <w14:solidFill>
              <w14:schemeClr w14:val="tx1"/>
            </w14:solidFill>
          </w14:textFill>
        </w:rPr>
        <w:t>和监测设备类型</w:t>
      </w:r>
    </w:p>
    <w:tbl>
      <w:tblPr>
        <w:tblStyle w:val="20"/>
        <w:tblW w:w="7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0"/>
        <w:gridCol w:w="2432"/>
        <w:gridCol w:w="2802"/>
      </w:tblGrid>
      <w:tr w14:paraId="6EFE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0" w:type="dxa"/>
            <w:tcBorders>
              <w:top w:val="single" w:color="auto" w:sz="4" w:space="0"/>
              <w:left w:val="single" w:color="auto" w:sz="4" w:space="0"/>
              <w:bottom w:val="single" w:color="auto" w:sz="4" w:space="0"/>
              <w:right w:val="single" w:color="auto" w:sz="4" w:space="0"/>
            </w:tcBorders>
          </w:tcPr>
          <w:p w14:paraId="07A573F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监测对象</w:t>
            </w:r>
          </w:p>
        </w:tc>
        <w:tc>
          <w:tcPr>
            <w:tcW w:w="2432" w:type="dxa"/>
            <w:tcBorders>
              <w:top w:val="single" w:color="auto" w:sz="4" w:space="0"/>
              <w:left w:val="single" w:color="auto" w:sz="4" w:space="0"/>
              <w:bottom w:val="single" w:color="auto" w:sz="4" w:space="0"/>
              <w:right w:val="single" w:color="auto" w:sz="4" w:space="0"/>
            </w:tcBorders>
          </w:tcPr>
          <w:p w14:paraId="6DA4E4C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w:t>
            </w:r>
            <w:r>
              <w:rPr>
                <w:rFonts w:hint="eastAsia" w:eastAsia="宋体" w:cs="Times New Roman"/>
                <w:iCs/>
                <w:color w:val="000000" w:themeColor="text1"/>
                <w:sz w:val="18"/>
                <w:szCs w:val="18"/>
                <w14:textFill>
                  <w14:solidFill>
                    <w14:schemeClr w14:val="tx1"/>
                  </w14:solidFill>
                </w14:textFill>
              </w:rPr>
              <w:t>项目</w:t>
            </w:r>
          </w:p>
        </w:tc>
        <w:tc>
          <w:tcPr>
            <w:tcW w:w="2802" w:type="dxa"/>
            <w:tcBorders>
              <w:top w:val="single" w:color="auto" w:sz="4" w:space="0"/>
              <w:left w:val="single" w:color="auto" w:sz="4" w:space="0"/>
              <w:bottom w:val="single" w:color="auto" w:sz="4" w:space="0"/>
              <w:right w:val="single" w:color="auto" w:sz="4" w:space="0"/>
            </w:tcBorders>
          </w:tcPr>
          <w:p w14:paraId="2030489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监测设备</w:t>
            </w:r>
          </w:p>
        </w:tc>
      </w:tr>
      <w:tr w14:paraId="4041F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0" w:type="dxa"/>
            <w:vMerge w:val="restart"/>
            <w:tcBorders>
              <w:top w:val="single" w:color="auto" w:sz="4" w:space="0"/>
              <w:left w:val="single" w:color="auto" w:sz="4" w:space="0"/>
              <w:bottom w:val="single" w:color="auto" w:sz="4" w:space="0"/>
              <w:right w:val="single" w:color="auto" w:sz="4" w:space="0"/>
            </w:tcBorders>
            <w:vAlign w:val="center"/>
          </w:tcPr>
          <w:p w14:paraId="4352C8C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输配水管网</w:t>
            </w:r>
          </w:p>
        </w:tc>
        <w:tc>
          <w:tcPr>
            <w:tcW w:w="2432" w:type="dxa"/>
            <w:tcBorders>
              <w:top w:val="single" w:color="auto" w:sz="4" w:space="0"/>
              <w:left w:val="single" w:color="auto" w:sz="4" w:space="0"/>
              <w:bottom w:val="single" w:color="auto" w:sz="4" w:space="0"/>
              <w:right w:val="single" w:color="auto" w:sz="4" w:space="0"/>
            </w:tcBorders>
            <w:vAlign w:val="center"/>
          </w:tcPr>
          <w:p w14:paraId="099049C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流量</w:t>
            </w:r>
          </w:p>
        </w:tc>
        <w:tc>
          <w:tcPr>
            <w:tcW w:w="2802" w:type="dxa"/>
            <w:tcBorders>
              <w:top w:val="single" w:color="auto" w:sz="4" w:space="0"/>
              <w:left w:val="single" w:color="auto" w:sz="4" w:space="0"/>
              <w:bottom w:val="single" w:color="auto" w:sz="4" w:space="0"/>
              <w:right w:val="single" w:color="auto" w:sz="4" w:space="0"/>
            </w:tcBorders>
            <w:vAlign w:val="center"/>
          </w:tcPr>
          <w:p w14:paraId="074F77A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超声波流量计、管段式电磁流量计、插入式电磁流量计</w:t>
            </w:r>
          </w:p>
        </w:tc>
      </w:tr>
      <w:tr w14:paraId="2BF1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0" w:type="dxa"/>
            <w:vMerge w:val="continue"/>
            <w:tcBorders>
              <w:top w:val="single" w:color="auto" w:sz="4" w:space="0"/>
              <w:left w:val="single" w:color="auto" w:sz="4" w:space="0"/>
              <w:bottom w:val="single" w:color="auto" w:sz="4" w:space="0"/>
              <w:right w:val="single" w:color="auto" w:sz="4" w:space="0"/>
            </w:tcBorders>
            <w:vAlign w:val="center"/>
          </w:tcPr>
          <w:p w14:paraId="78DCEA4D">
            <w:pPr>
              <w:ind w:firstLine="0" w:firstLineChars="0"/>
              <w:rPr>
                <w:rFonts w:eastAsia="宋体" w:cs="Times New Roman"/>
                <w:iCs/>
                <w:color w:val="000000" w:themeColor="text1"/>
                <w:sz w:val="18"/>
                <w:szCs w:val="18"/>
                <w14:textFill>
                  <w14:solidFill>
                    <w14:schemeClr w14:val="tx1"/>
                  </w14:solidFill>
                </w14:textFill>
              </w:rPr>
            </w:pPr>
          </w:p>
        </w:tc>
        <w:tc>
          <w:tcPr>
            <w:tcW w:w="2432" w:type="dxa"/>
            <w:tcBorders>
              <w:top w:val="single" w:color="auto" w:sz="4" w:space="0"/>
              <w:left w:val="single" w:color="auto" w:sz="4" w:space="0"/>
              <w:bottom w:val="single" w:color="auto" w:sz="4" w:space="0"/>
              <w:right w:val="single" w:color="auto" w:sz="4" w:space="0"/>
            </w:tcBorders>
            <w:vAlign w:val="center"/>
          </w:tcPr>
          <w:p w14:paraId="134E276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压力</w:t>
            </w:r>
          </w:p>
        </w:tc>
        <w:tc>
          <w:tcPr>
            <w:tcW w:w="2802" w:type="dxa"/>
            <w:tcBorders>
              <w:top w:val="single" w:color="auto" w:sz="4" w:space="0"/>
              <w:left w:val="single" w:color="auto" w:sz="4" w:space="0"/>
              <w:bottom w:val="single" w:color="auto" w:sz="4" w:space="0"/>
              <w:right w:val="single" w:color="auto" w:sz="4" w:space="0"/>
            </w:tcBorders>
            <w:vAlign w:val="center"/>
          </w:tcPr>
          <w:p w14:paraId="2543940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高频压力计</w:t>
            </w:r>
          </w:p>
        </w:tc>
      </w:tr>
      <w:tr w14:paraId="7058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0" w:type="dxa"/>
            <w:vMerge w:val="continue"/>
            <w:tcBorders>
              <w:top w:val="single" w:color="auto" w:sz="4" w:space="0"/>
              <w:left w:val="single" w:color="auto" w:sz="4" w:space="0"/>
              <w:bottom w:val="single" w:color="auto" w:sz="4" w:space="0"/>
              <w:right w:val="single" w:color="auto" w:sz="4" w:space="0"/>
            </w:tcBorders>
            <w:vAlign w:val="center"/>
          </w:tcPr>
          <w:p w14:paraId="3CE61768">
            <w:pPr>
              <w:ind w:firstLine="0" w:firstLineChars="0"/>
              <w:rPr>
                <w:rFonts w:eastAsia="宋体" w:cs="Times New Roman"/>
                <w:iCs/>
                <w:color w:val="000000" w:themeColor="text1"/>
                <w:sz w:val="18"/>
                <w:szCs w:val="18"/>
                <w14:textFill>
                  <w14:solidFill>
                    <w14:schemeClr w14:val="tx1"/>
                  </w14:solidFill>
                </w14:textFill>
              </w:rPr>
            </w:pPr>
          </w:p>
        </w:tc>
        <w:tc>
          <w:tcPr>
            <w:tcW w:w="2432" w:type="dxa"/>
            <w:tcBorders>
              <w:top w:val="single" w:color="auto" w:sz="4" w:space="0"/>
              <w:left w:val="single" w:color="auto" w:sz="4" w:space="0"/>
              <w:bottom w:val="single" w:color="auto" w:sz="4" w:space="0"/>
              <w:right w:val="single" w:color="auto" w:sz="4" w:space="0"/>
            </w:tcBorders>
            <w:vAlign w:val="center"/>
          </w:tcPr>
          <w:p w14:paraId="2022AF8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漏水声波</w:t>
            </w:r>
          </w:p>
        </w:tc>
        <w:tc>
          <w:tcPr>
            <w:tcW w:w="2802" w:type="dxa"/>
            <w:tcBorders>
              <w:top w:val="single" w:color="auto" w:sz="4" w:space="0"/>
              <w:left w:val="single" w:color="auto" w:sz="4" w:space="0"/>
              <w:bottom w:val="single" w:color="auto" w:sz="4" w:space="0"/>
              <w:right w:val="single" w:color="auto" w:sz="4" w:space="0"/>
            </w:tcBorders>
            <w:vAlign w:val="center"/>
          </w:tcPr>
          <w:p w14:paraId="16D5088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漏失在线监测仪</w:t>
            </w:r>
          </w:p>
        </w:tc>
      </w:tr>
      <w:tr w14:paraId="6E6A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0" w:type="dxa"/>
            <w:vMerge w:val="continue"/>
            <w:tcBorders>
              <w:top w:val="single" w:color="auto" w:sz="4" w:space="0"/>
              <w:left w:val="single" w:color="auto" w:sz="4" w:space="0"/>
              <w:bottom w:val="single" w:color="auto" w:sz="4" w:space="0"/>
              <w:right w:val="single" w:color="auto" w:sz="4" w:space="0"/>
            </w:tcBorders>
            <w:vAlign w:val="center"/>
          </w:tcPr>
          <w:p w14:paraId="0643039C">
            <w:pPr>
              <w:ind w:firstLine="0" w:firstLineChars="0"/>
              <w:rPr>
                <w:rFonts w:eastAsia="宋体" w:cs="Times New Roman"/>
                <w:iCs/>
                <w:color w:val="000000" w:themeColor="text1"/>
                <w:sz w:val="18"/>
                <w:szCs w:val="18"/>
                <w14:textFill>
                  <w14:solidFill>
                    <w14:schemeClr w14:val="tx1"/>
                  </w14:solidFill>
                </w14:textFill>
              </w:rPr>
            </w:pPr>
          </w:p>
        </w:tc>
        <w:tc>
          <w:tcPr>
            <w:tcW w:w="2432" w:type="dxa"/>
            <w:tcBorders>
              <w:top w:val="single" w:color="auto" w:sz="4" w:space="0"/>
              <w:left w:val="single" w:color="auto" w:sz="4" w:space="0"/>
              <w:bottom w:val="single" w:color="auto" w:sz="4" w:space="0"/>
              <w:right w:val="single" w:color="auto" w:sz="4" w:space="0"/>
            </w:tcBorders>
            <w:vAlign w:val="center"/>
          </w:tcPr>
          <w:p w14:paraId="33F2632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PH、浑浊度、余氯</w:t>
            </w:r>
          </w:p>
        </w:tc>
        <w:tc>
          <w:tcPr>
            <w:tcW w:w="2802" w:type="dxa"/>
            <w:tcBorders>
              <w:top w:val="single" w:color="auto" w:sz="4" w:space="0"/>
              <w:left w:val="single" w:color="auto" w:sz="4" w:space="0"/>
              <w:bottom w:val="single" w:color="auto" w:sz="4" w:space="0"/>
              <w:right w:val="single" w:color="auto" w:sz="4" w:space="0"/>
            </w:tcBorders>
            <w:vAlign w:val="center"/>
          </w:tcPr>
          <w:p w14:paraId="2FDEBBB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二次供水水质监测设备</w:t>
            </w:r>
          </w:p>
        </w:tc>
      </w:tr>
      <w:tr w14:paraId="4DA3A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0" w:type="dxa"/>
            <w:tcBorders>
              <w:top w:val="single" w:color="auto" w:sz="4" w:space="0"/>
              <w:left w:val="single" w:color="auto" w:sz="4" w:space="0"/>
              <w:bottom w:val="single" w:color="auto" w:sz="4" w:space="0"/>
              <w:right w:val="single" w:color="auto" w:sz="4" w:space="0"/>
            </w:tcBorders>
            <w:vAlign w:val="center"/>
          </w:tcPr>
          <w:p w14:paraId="105D473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市政消火栓</w:t>
            </w:r>
          </w:p>
        </w:tc>
        <w:tc>
          <w:tcPr>
            <w:tcW w:w="2432" w:type="dxa"/>
            <w:tcBorders>
              <w:top w:val="single" w:color="auto" w:sz="4" w:space="0"/>
              <w:left w:val="single" w:color="auto" w:sz="4" w:space="0"/>
              <w:bottom w:val="single" w:color="auto" w:sz="4" w:space="0"/>
              <w:right w:val="single" w:color="auto" w:sz="4" w:space="0"/>
            </w:tcBorders>
            <w:vAlign w:val="center"/>
          </w:tcPr>
          <w:p w14:paraId="426B108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压力、流量、温度</w:t>
            </w:r>
          </w:p>
        </w:tc>
        <w:tc>
          <w:tcPr>
            <w:tcW w:w="2802" w:type="dxa"/>
            <w:tcBorders>
              <w:top w:val="single" w:color="auto" w:sz="4" w:space="0"/>
              <w:left w:val="single" w:color="auto" w:sz="4" w:space="0"/>
              <w:bottom w:val="single" w:color="auto" w:sz="4" w:space="0"/>
              <w:right w:val="single" w:color="auto" w:sz="4" w:space="0"/>
            </w:tcBorders>
            <w:vAlign w:val="center"/>
          </w:tcPr>
          <w:p w14:paraId="1800926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消火栓监测装置</w:t>
            </w:r>
          </w:p>
        </w:tc>
      </w:tr>
      <w:tr w14:paraId="7A286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0" w:type="dxa"/>
            <w:tcBorders>
              <w:top w:val="single" w:color="auto" w:sz="4" w:space="0"/>
              <w:left w:val="single" w:color="auto" w:sz="4" w:space="0"/>
              <w:bottom w:val="single" w:color="auto" w:sz="4" w:space="0"/>
              <w:right w:val="single" w:color="auto" w:sz="4" w:space="0"/>
            </w:tcBorders>
            <w:vAlign w:val="center"/>
          </w:tcPr>
          <w:p w14:paraId="58FF489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泵站、二次供水设施</w:t>
            </w:r>
          </w:p>
        </w:tc>
        <w:tc>
          <w:tcPr>
            <w:tcW w:w="2432" w:type="dxa"/>
            <w:tcBorders>
              <w:top w:val="single" w:color="auto" w:sz="4" w:space="0"/>
              <w:left w:val="single" w:color="auto" w:sz="4" w:space="0"/>
              <w:bottom w:val="single" w:color="auto" w:sz="4" w:space="0"/>
              <w:right w:val="single" w:color="auto" w:sz="4" w:space="0"/>
            </w:tcBorders>
            <w:vAlign w:val="center"/>
          </w:tcPr>
          <w:p w14:paraId="75D8DEE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PH、浑浊度、余氯</w:t>
            </w:r>
          </w:p>
        </w:tc>
        <w:tc>
          <w:tcPr>
            <w:tcW w:w="2802" w:type="dxa"/>
            <w:tcBorders>
              <w:top w:val="single" w:color="auto" w:sz="4" w:space="0"/>
              <w:left w:val="single" w:color="auto" w:sz="4" w:space="0"/>
              <w:bottom w:val="single" w:color="auto" w:sz="4" w:space="0"/>
              <w:right w:val="single" w:color="auto" w:sz="4" w:space="0"/>
            </w:tcBorders>
            <w:vAlign w:val="center"/>
          </w:tcPr>
          <w:p w14:paraId="3DB552C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二次供水水质监测设备</w:t>
            </w:r>
          </w:p>
        </w:tc>
      </w:tr>
    </w:tbl>
    <w:p w14:paraId="764CC985">
      <w:pPr>
        <w:spacing w:line="360" w:lineRule="auto"/>
        <w:ind w:firstLine="0" w:firstLineChars="0"/>
        <w:jc w:val="center"/>
        <w:rPr>
          <w:rFonts w:eastAsia="宋体" w:cs="Times New Roman"/>
          <w:bCs/>
          <w:sz w:val="18"/>
          <w:szCs w:val="18"/>
        </w:rPr>
      </w:pPr>
      <w:r>
        <w:rPr>
          <w:rFonts w:hint="eastAsia" w:eastAsia="宋体" w:cs="Times New Roman"/>
          <w:bCs/>
          <w:sz w:val="18"/>
          <w:szCs w:val="18"/>
        </w:rPr>
        <w:t>注：供水监测项目运行技术参数及相应规定见《城市生命线工程安全运行监测技术标准》DB34/T 4021。</w:t>
      </w:r>
    </w:p>
    <w:p w14:paraId="30FBB9D4">
      <w:pPr>
        <w:spacing w:line="360" w:lineRule="auto"/>
        <w:ind w:firstLine="0" w:firstLineChars="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4.3.3</w:t>
      </w:r>
      <w:r>
        <w:rPr>
          <w:rFonts w:eastAsia="宋体" w:cs="Times New Roman"/>
          <w:color w:val="000000" w:themeColor="text1"/>
          <w:sz w:val="21"/>
          <w:szCs w:val="21"/>
          <w14:textFill>
            <w14:solidFill>
              <w14:schemeClr w14:val="tx1"/>
            </w14:solidFill>
          </w14:textFill>
        </w:rPr>
        <w:t xml:space="preserve"> 输配水管网的超声波流量计安装应符合以下规定：</w:t>
      </w:r>
    </w:p>
    <w:p w14:paraId="2ED8892A">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流量计独立建井安装的，流量计定位在管道径向居中位置；</w:t>
      </w:r>
    </w:p>
    <w:p w14:paraId="1244861F">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2 </w:t>
      </w:r>
      <w:r>
        <w:rPr>
          <w:rFonts w:eastAsia="宋体" w:cs="Times New Roman"/>
          <w:color w:val="000000" w:themeColor="text1"/>
          <w:sz w:val="21"/>
          <w:szCs w:val="21"/>
          <w14:textFill>
            <w14:solidFill>
              <w14:schemeClr w14:val="tx1"/>
            </w14:solidFill>
          </w14:textFill>
        </w:rPr>
        <w:t>流量计、高频压力计合并建井安装的，流量计靠近井墙面侧间距不小于800mm，与高频压力计靠近一侧的间距不小于200mm，高频压力计与井墙面距离不小于600mm，原则上高频压力计安装在流量计的下游；</w:t>
      </w:r>
    </w:p>
    <w:p w14:paraId="6E440AD2">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传感器焊接进行通风和层间敲击以释放应力，焊后进行焊接质量检查，焊缝平滑无气泡，焊缝防腐等级不低于原管道标准；</w:t>
      </w:r>
    </w:p>
    <w:p w14:paraId="65E8AA38">
      <w:pPr>
        <w:spacing w:line="360" w:lineRule="auto"/>
        <w:ind w:firstLine="420"/>
        <w:jc w:val="left"/>
        <w:rPr>
          <w:rFonts w:eastAsia="宋体" w:cs="Times New Roman"/>
          <w:sz w:val="21"/>
          <w:szCs w:val="21"/>
        </w:rPr>
      </w:pPr>
      <w:r>
        <w:rPr>
          <w:rFonts w:cs="Times New Roman" w:eastAsiaTheme="minorEastAsia"/>
          <w:sz w:val="21"/>
          <w:szCs w:val="21"/>
        </w:rPr>
        <w:t xml:space="preserve">4 </w:t>
      </w:r>
      <w:r>
        <w:rPr>
          <w:rFonts w:eastAsia="宋体" w:cs="Times New Roman"/>
          <w:sz w:val="21"/>
          <w:szCs w:val="21"/>
        </w:rPr>
        <w:t>表头参数设置与实际管径、数据类型一致，并备份配置参数；</w:t>
      </w:r>
    </w:p>
    <w:p w14:paraId="4B463736">
      <w:pPr>
        <w:spacing w:line="360" w:lineRule="auto"/>
        <w:ind w:firstLine="420"/>
        <w:jc w:val="left"/>
        <w:rPr>
          <w:rFonts w:eastAsia="宋体" w:cs="Times New Roman"/>
          <w:sz w:val="21"/>
          <w:szCs w:val="21"/>
        </w:rPr>
      </w:pPr>
      <w:r>
        <w:rPr>
          <w:rFonts w:eastAsia="宋体" w:cs="Times New Roman"/>
          <w:sz w:val="21"/>
          <w:szCs w:val="21"/>
        </w:rPr>
        <w:t>5 安装流量计的管段应提前预留安装接口、安装空间和</w:t>
      </w:r>
      <w:r>
        <w:rPr>
          <w:rFonts w:hint="eastAsia" w:eastAsia="宋体" w:cs="Times New Roman"/>
          <w:color w:val="000000" w:themeColor="text1"/>
          <w:sz w:val="21"/>
          <w:szCs w:val="21"/>
          <w14:textFill>
            <w14:solidFill>
              <w14:schemeClr w14:val="tx1"/>
            </w14:solidFill>
          </w14:textFill>
        </w:rPr>
        <w:t>检查井</w:t>
      </w:r>
      <w:r>
        <w:rPr>
          <w:rFonts w:eastAsia="宋体" w:cs="Times New Roman"/>
          <w:sz w:val="21"/>
          <w:szCs w:val="21"/>
        </w:rPr>
        <w:t>。</w:t>
      </w:r>
    </w:p>
    <w:p w14:paraId="46944E94">
      <w:pPr>
        <w:spacing w:line="360" w:lineRule="auto"/>
        <w:ind w:firstLine="0" w:firstLineChars="0"/>
        <w:jc w:val="left"/>
        <w:rPr>
          <w:rFonts w:eastAsia="宋体" w:cs="Times New Roman"/>
          <w:color w:val="000000" w:themeColor="text1"/>
          <w:sz w:val="21"/>
          <w:szCs w:val="21"/>
          <w14:textFill>
            <w14:solidFill>
              <w14:schemeClr w14:val="tx1"/>
            </w14:solidFill>
          </w14:textFill>
        </w:rPr>
      </w:pPr>
      <w:r>
        <w:rPr>
          <w:rFonts w:cs="Times New Roman" w:eastAsiaTheme="minorEastAsia"/>
          <w:sz w:val="21"/>
          <w:szCs w:val="21"/>
        </w:rPr>
        <w:t xml:space="preserve">4.3.4 </w:t>
      </w:r>
      <w:r>
        <w:rPr>
          <w:rFonts w:eastAsia="宋体" w:cs="Times New Roman"/>
          <w:sz w:val="21"/>
          <w:szCs w:val="21"/>
        </w:rPr>
        <w:t>输配水管网的管段式电磁流量计安装应符合以下规定</w:t>
      </w:r>
      <w:r>
        <w:rPr>
          <w:rFonts w:eastAsia="宋体" w:cs="Times New Roman"/>
          <w:color w:val="000000" w:themeColor="text1"/>
          <w:sz w:val="21"/>
          <w:szCs w:val="21"/>
          <w14:textFill>
            <w14:solidFill>
              <w14:schemeClr w14:val="tx1"/>
            </w14:solidFill>
          </w14:textFill>
        </w:rPr>
        <w:t>：</w:t>
      </w:r>
    </w:p>
    <w:p w14:paraId="56B815AD">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流量计独立建井安装的，定位在管道径向居中位置；</w:t>
      </w:r>
    </w:p>
    <w:p w14:paraId="4247A286">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2</w:t>
      </w:r>
      <w:r>
        <w:rPr>
          <w:rFonts w:eastAsia="宋体" w:cs="Times New Roman"/>
          <w:color w:val="000000" w:themeColor="text1"/>
          <w:sz w:val="21"/>
          <w:szCs w:val="21"/>
          <w14:textFill>
            <w14:solidFill>
              <w14:schemeClr w14:val="tx1"/>
            </w14:solidFill>
          </w14:textFill>
        </w:rPr>
        <w:t xml:space="preserve"> 流量计、高频压力计合并建井安装的，流量计靠近井墙面侧间距不小于500mm，高频压力计与井墙面距离不小于500mm；</w:t>
      </w:r>
    </w:p>
    <w:p w14:paraId="3E004ED1">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管道切割前精准定位，切口打磨后确保与承插件紧密接触；</w:t>
      </w:r>
    </w:p>
    <w:p w14:paraId="1354A4F8">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 </w:t>
      </w:r>
      <w:r>
        <w:rPr>
          <w:rFonts w:eastAsia="宋体" w:cs="Times New Roman"/>
          <w:color w:val="000000" w:themeColor="text1"/>
          <w:sz w:val="21"/>
          <w:szCs w:val="21"/>
          <w14:textFill>
            <w14:solidFill>
              <w14:schemeClr w14:val="tx1"/>
            </w14:solidFill>
          </w14:textFill>
        </w:rPr>
        <w:t>传感器焊接进行通风和层间敲击以释放应力，焊后进行焊接质量检查，焊缝平滑无气泡，焊缝防腐等级不低于原管道标准；</w:t>
      </w:r>
    </w:p>
    <w:p w14:paraId="254D83FA">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5 </w:t>
      </w:r>
      <w:r>
        <w:rPr>
          <w:rFonts w:eastAsia="宋体" w:cs="Times New Roman"/>
          <w:color w:val="000000" w:themeColor="text1"/>
          <w:sz w:val="21"/>
          <w:szCs w:val="21"/>
          <w14:textFill>
            <w14:solidFill>
              <w14:schemeClr w14:val="tx1"/>
            </w14:solidFill>
          </w14:textFill>
        </w:rPr>
        <w:t>表头参数设置与实际管径、数据类型一致，并备份配置参数；</w:t>
      </w:r>
    </w:p>
    <w:p w14:paraId="1B81F736">
      <w:pPr>
        <w:spacing w:line="360" w:lineRule="auto"/>
        <w:ind w:firstLine="420"/>
        <w:jc w:val="left"/>
        <w:rPr>
          <w:rFonts w:eastAsia="宋体" w:cs="Times New Roman"/>
          <w:sz w:val="21"/>
          <w:szCs w:val="21"/>
        </w:rPr>
      </w:pPr>
      <w:r>
        <w:rPr>
          <w:rFonts w:eastAsia="宋体" w:cs="Times New Roman"/>
          <w:sz w:val="21"/>
          <w:szCs w:val="21"/>
        </w:rPr>
        <w:t>6 安装流量计的管段应提前预留安装接口、安装空间和</w:t>
      </w:r>
      <w:r>
        <w:rPr>
          <w:rFonts w:hint="eastAsia" w:eastAsia="宋体" w:cs="Times New Roman"/>
          <w:color w:val="000000" w:themeColor="text1"/>
          <w:sz w:val="21"/>
          <w:szCs w:val="21"/>
          <w14:textFill>
            <w14:solidFill>
              <w14:schemeClr w14:val="tx1"/>
            </w14:solidFill>
          </w14:textFill>
        </w:rPr>
        <w:t>检查井</w:t>
      </w:r>
      <w:r>
        <w:rPr>
          <w:rFonts w:eastAsia="宋体" w:cs="Times New Roman"/>
          <w:sz w:val="21"/>
          <w:szCs w:val="21"/>
        </w:rPr>
        <w:t>。</w:t>
      </w:r>
    </w:p>
    <w:p w14:paraId="5B582AF0">
      <w:pPr>
        <w:spacing w:line="360" w:lineRule="auto"/>
        <w:ind w:firstLine="0" w:firstLineChars="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4.3.5 </w:t>
      </w:r>
      <w:r>
        <w:rPr>
          <w:rFonts w:eastAsia="宋体" w:cs="Times New Roman"/>
          <w:color w:val="000000" w:themeColor="text1"/>
          <w:sz w:val="21"/>
          <w:szCs w:val="21"/>
          <w14:textFill>
            <w14:solidFill>
              <w14:schemeClr w14:val="tx1"/>
            </w14:solidFill>
          </w14:textFill>
        </w:rPr>
        <w:t>输配水管网的插入式电磁流量计安装应符合以下规定：</w:t>
      </w:r>
    </w:p>
    <w:p w14:paraId="232CAB07">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根据流量传感器安装尺寸进行测量定位，与井墙面间距不小于600mm；</w:t>
      </w:r>
    </w:p>
    <w:p w14:paraId="4874F465">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2</w:t>
      </w:r>
      <w:r>
        <w:rPr>
          <w:rFonts w:eastAsia="宋体" w:cs="Times New Roman"/>
          <w:color w:val="000000" w:themeColor="text1"/>
          <w:sz w:val="21"/>
          <w:szCs w:val="21"/>
          <w14:textFill>
            <w14:solidFill>
              <w14:schemeClr w14:val="tx1"/>
            </w14:solidFill>
          </w14:textFill>
        </w:rPr>
        <w:t xml:space="preserve"> 管道切割前精准定位，切口打磨后确保与承插件紧密接触；</w:t>
      </w:r>
    </w:p>
    <w:p w14:paraId="492CBB5F">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传感器焊接进行通风和层间敲击以释放应力，焊后进行焊接质量检查，焊缝平滑无气泡，焊缝防腐等级不低于原管道标准；</w:t>
      </w:r>
    </w:p>
    <w:p w14:paraId="5D9F36B8">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 </w:t>
      </w:r>
      <w:r>
        <w:rPr>
          <w:rFonts w:eastAsia="宋体" w:cs="Times New Roman"/>
          <w:color w:val="000000" w:themeColor="text1"/>
          <w:sz w:val="21"/>
          <w:szCs w:val="21"/>
          <w14:textFill>
            <w14:solidFill>
              <w14:schemeClr w14:val="tx1"/>
            </w14:solidFill>
          </w14:textFill>
        </w:rPr>
        <w:t>表头参数设置与实际管径、数据类型一致，并备份配置参数；</w:t>
      </w:r>
    </w:p>
    <w:p w14:paraId="0EA8B4BC">
      <w:pPr>
        <w:spacing w:line="360" w:lineRule="auto"/>
        <w:ind w:firstLine="420"/>
        <w:jc w:val="left"/>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5 </w:t>
      </w:r>
      <w:r>
        <w:rPr>
          <w:rFonts w:eastAsia="宋体" w:cs="Times New Roman"/>
          <w:sz w:val="21"/>
          <w:szCs w:val="21"/>
        </w:rPr>
        <w:t>安装流量计的管段应提前预留安装接口、安装空间和</w:t>
      </w:r>
      <w:r>
        <w:rPr>
          <w:rFonts w:hint="eastAsia" w:eastAsia="宋体" w:cs="Times New Roman"/>
          <w:color w:val="000000" w:themeColor="text1"/>
          <w:sz w:val="21"/>
          <w:szCs w:val="21"/>
          <w14:textFill>
            <w14:solidFill>
              <w14:schemeClr w14:val="tx1"/>
            </w14:solidFill>
          </w14:textFill>
        </w:rPr>
        <w:t>检查井</w:t>
      </w:r>
      <w:r>
        <w:rPr>
          <w:rFonts w:eastAsia="宋体" w:cs="Times New Roman"/>
          <w:sz w:val="21"/>
          <w:szCs w:val="21"/>
        </w:rPr>
        <w:t>。</w:t>
      </w:r>
    </w:p>
    <w:p w14:paraId="6E165505">
      <w:pPr>
        <w:spacing w:line="360" w:lineRule="auto"/>
        <w:ind w:firstLine="0" w:firstLineChars="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4.3.6 </w:t>
      </w:r>
      <w:r>
        <w:rPr>
          <w:rFonts w:eastAsia="宋体" w:cs="Times New Roman"/>
          <w:color w:val="000000" w:themeColor="text1"/>
          <w:sz w:val="21"/>
          <w:szCs w:val="21"/>
          <w14:textFill>
            <w14:solidFill>
              <w14:schemeClr w14:val="tx1"/>
            </w14:solidFill>
          </w14:textFill>
        </w:rPr>
        <w:t>输配水管网流量计的技术指标应符合以下规定：</w:t>
      </w:r>
    </w:p>
    <w:p w14:paraId="6A922C0D">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量程为（0～12）m/s；</w:t>
      </w:r>
    </w:p>
    <w:p w14:paraId="423809EF">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2 </w:t>
      </w:r>
      <w:r>
        <w:rPr>
          <w:rFonts w:eastAsia="宋体" w:cs="Times New Roman"/>
          <w:color w:val="000000" w:themeColor="text1"/>
          <w:sz w:val="21"/>
          <w:szCs w:val="21"/>
          <w14:textFill>
            <w14:solidFill>
              <w14:schemeClr w14:val="tx1"/>
            </w14:solidFill>
          </w14:textFill>
        </w:rPr>
        <w:t>测量精度不低于±1%F.S.，重复性精度不低于0.2% F.S.；</w:t>
      </w:r>
    </w:p>
    <w:p w14:paraId="5E6BBF2B">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应具有防水、防尘、防腐等抗恶劣环境性能。</w:t>
      </w:r>
    </w:p>
    <w:p w14:paraId="20F53AF1">
      <w:pPr>
        <w:spacing w:line="360" w:lineRule="auto"/>
        <w:ind w:firstLine="0" w:firstLineChars="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4.3.7 </w:t>
      </w:r>
      <w:r>
        <w:rPr>
          <w:rFonts w:eastAsia="宋体" w:cs="Times New Roman"/>
          <w:color w:val="000000" w:themeColor="text1"/>
          <w:sz w:val="21"/>
          <w:szCs w:val="21"/>
          <w14:textFill>
            <w14:solidFill>
              <w14:schemeClr w14:val="tx1"/>
            </w14:solidFill>
          </w14:textFill>
        </w:rPr>
        <w:t>输配水管网的高频压力计安装应符合以下规定：</w:t>
      </w:r>
    </w:p>
    <w:p w14:paraId="0898019B">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1</w:t>
      </w:r>
      <w:r>
        <w:rPr>
          <w:rFonts w:eastAsia="宋体" w:cs="Times New Roman"/>
          <w:color w:val="000000" w:themeColor="text1"/>
          <w:sz w:val="21"/>
          <w:szCs w:val="21"/>
          <w14:textFill>
            <w14:solidFill>
              <w14:schemeClr w14:val="tx1"/>
            </w14:solidFill>
          </w14:textFill>
        </w:rPr>
        <w:t xml:space="preserve"> 根据流量传感器安装尺寸进行测量定位，与井墙面间距不小于600mm；</w:t>
      </w:r>
    </w:p>
    <w:p w14:paraId="047FB54D">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2</w:t>
      </w:r>
      <w:r>
        <w:rPr>
          <w:rFonts w:eastAsia="宋体" w:cs="Times New Roman"/>
          <w:color w:val="000000" w:themeColor="text1"/>
          <w:sz w:val="21"/>
          <w:szCs w:val="21"/>
          <w14:textFill>
            <w14:solidFill>
              <w14:schemeClr w14:val="tx1"/>
            </w14:solidFill>
          </w14:textFill>
        </w:rPr>
        <w:t xml:space="preserve"> 管道切割前精准定位，切口打磨后确保与承插件紧密接触；</w:t>
      </w:r>
    </w:p>
    <w:p w14:paraId="27B1AC32">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传感器焊接进行通风和层间敲击以释放应力，焊后进行焊接质量检查，焊缝平滑无气泡，焊缝防腐等级不低于原管道标准；</w:t>
      </w:r>
    </w:p>
    <w:p w14:paraId="070F72DB">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4</w:t>
      </w:r>
      <w:r>
        <w:rPr>
          <w:rFonts w:eastAsia="宋体" w:cs="Times New Roman"/>
          <w:color w:val="000000" w:themeColor="text1"/>
          <w:sz w:val="21"/>
          <w:szCs w:val="21"/>
          <w14:textFill>
            <w14:solidFill>
              <w14:schemeClr w14:val="tx1"/>
            </w14:solidFill>
          </w14:textFill>
        </w:rPr>
        <w:t xml:space="preserve"> 表头参数设置与实际管径、数据类型一致，并备份配置参数；</w:t>
      </w:r>
    </w:p>
    <w:p w14:paraId="1C161A75">
      <w:pPr>
        <w:spacing w:line="360" w:lineRule="auto"/>
        <w:ind w:firstLine="420"/>
        <w:jc w:val="left"/>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5 </w:t>
      </w:r>
      <w:r>
        <w:rPr>
          <w:rFonts w:eastAsia="宋体" w:cs="Times New Roman"/>
          <w:sz w:val="21"/>
          <w:szCs w:val="21"/>
        </w:rPr>
        <w:t>安装压力计的管段应提前预留安装接口、安装空间和</w:t>
      </w:r>
      <w:r>
        <w:rPr>
          <w:rFonts w:hint="eastAsia" w:eastAsia="宋体" w:cs="Times New Roman"/>
          <w:color w:val="000000" w:themeColor="text1"/>
          <w:sz w:val="21"/>
          <w:szCs w:val="21"/>
          <w14:textFill>
            <w14:solidFill>
              <w14:schemeClr w14:val="tx1"/>
            </w14:solidFill>
          </w14:textFill>
        </w:rPr>
        <w:t>检查井</w:t>
      </w:r>
      <w:r>
        <w:rPr>
          <w:rFonts w:eastAsia="宋体" w:cs="Times New Roman"/>
          <w:sz w:val="21"/>
          <w:szCs w:val="21"/>
        </w:rPr>
        <w:t>。</w:t>
      </w:r>
    </w:p>
    <w:p w14:paraId="22B5616D">
      <w:pPr>
        <w:spacing w:line="360" w:lineRule="auto"/>
        <w:ind w:firstLine="0" w:firstLineChars="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4.3.8</w:t>
      </w:r>
      <w:r>
        <w:rPr>
          <w:rFonts w:eastAsia="宋体" w:cs="Times New Roman"/>
          <w:color w:val="000000" w:themeColor="text1"/>
          <w:sz w:val="21"/>
          <w:szCs w:val="21"/>
          <w14:textFill>
            <w14:solidFill>
              <w14:schemeClr w14:val="tx1"/>
            </w14:solidFill>
          </w14:textFill>
        </w:rPr>
        <w:t xml:space="preserve"> 输配水管网的高频压力计的技术指标应符合以下规定：</w:t>
      </w:r>
    </w:p>
    <w:p w14:paraId="2CF65D6F">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量程为（0～2.5）MPa；</w:t>
      </w:r>
    </w:p>
    <w:p w14:paraId="1342037D">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2 </w:t>
      </w:r>
      <w:r>
        <w:rPr>
          <w:rFonts w:eastAsia="宋体" w:cs="Times New Roman"/>
          <w:color w:val="000000" w:themeColor="text1"/>
          <w:sz w:val="21"/>
          <w:szCs w:val="21"/>
          <w14:textFill>
            <w14:solidFill>
              <w14:schemeClr w14:val="tx1"/>
            </w14:solidFill>
          </w14:textFill>
        </w:rPr>
        <w:t>精度不低于±0.5% F.S.；</w:t>
      </w:r>
    </w:p>
    <w:p w14:paraId="11382D13">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应具有防水、防尘、防腐等抗恶劣环境性能。</w:t>
      </w:r>
    </w:p>
    <w:p w14:paraId="387C7D42">
      <w:pPr>
        <w:spacing w:line="360" w:lineRule="auto"/>
        <w:ind w:firstLine="0" w:firstLineChars="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4.3.9 </w:t>
      </w:r>
      <w:r>
        <w:rPr>
          <w:rFonts w:eastAsia="宋体" w:cs="Times New Roman"/>
          <w:color w:val="000000" w:themeColor="text1"/>
          <w:sz w:val="21"/>
          <w:szCs w:val="21"/>
          <w14:textFill>
            <w14:solidFill>
              <w14:schemeClr w14:val="tx1"/>
            </w14:solidFill>
          </w14:textFill>
        </w:rPr>
        <w:t>输配水管网的漏失在线监测仪安装应符合以下规定：</w:t>
      </w:r>
    </w:p>
    <w:p w14:paraId="0B78E3CC">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安装前清理井下环境，确保无积水、淤泥等干扰；</w:t>
      </w:r>
    </w:p>
    <w:p w14:paraId="3F37FE9C">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2 </w:t>
      </w:r>
      <w:r>
        <w:rPr>
          <w:rFonts w:eastAsia="宋体" w:cs="Times New Roman"/>
          <w:color w:val="000000" w:themeColor="text1"/>
          <w:sz w:val="21"/>
          <w:szCs w:val="21"/>
          <w14:textFill>
            <w14:solidFill>
              <w14:schemeClr w14:val="tx1"/>
            </w14:solidFill>
          </w14:textFill>
        </w:rPr>
        <w:t>采用磁吸式固定于金属管道管壁或连接件，优先远离主干道等噪声源；</w:t>
      </w:r>
    </w:p>
    <w:p w14:paraId="0C959A61">
      <w:pPr>
        <w:spacing w:line="360" w:lineRule="auto"/>
        <w:ind w:firstLine="420" w:firstLineChars="0"/>
        <w:jc w:val="left"/>
        <w:rPr>
          <w:rFonts w:eastAsia="楷体" w:cs="Times New Roman"/>
          <w:bCs/>
          <w:sz w:val="24"/>
          <w:szCs w:val="24"/>
        </w:rPr>
      </w:pPr>
      <w:r>
        <w:rPr>
          <w:rFonts w:cs="Times New Roman" w:eastAsiaTheme="minorEastAsia"/>
          <w:sz w:val="21"/>
          <w:szCs w:val="21"/>
        </w:rPr>
        <w:t xml:space="preserve">3 </w:t>
      </w:r>
      <w:r>
        <w:rPr>
          <w:rFonts w:eastAsia="宋体" w:cs="Times New Roman"/>
          <w:sz w:val="21"/>
          <w:szCs w:val="21"/>
        </w:rPr>
        <w:t>天线需置于井口附近并固定牢固，安装后需现场调试数据上传功能。</w:t>
      </w:r>
    </w:p>
    <w:p w14:paraId="0657ABCA">
      <w:pPr>
        <w:spacing w:line="360" w:lineRule="auto"/>
        <w:ind w:firstLine="0" w:firstLineChars="0"/>
        <w:jc w:val="left"/>
        <w:rPr>
          <w:rFonts w:eastAsia="宋体" w:cs="Times New Roman"/>
          <w:sz w:val="21"/>
          <w:szCs w:val="21"/>
        </w:rPr>
      </w:pPr>
      <w:r>
        <w:rPr>
          <w:rFonts w:cs="Times New Roman" w:eastAsiaTheme="minorEastAsia"/>
          <w:sz w:val="21"/>
          <w:szCs w:val="21"/>
        </w:rPr>
        <w:t xml:space="preserve">4.3.10 </w:t>
      </w:r>
      <w:r>
        <w:rPr>
          <w:rFonts w:eastAsia="宋体" w:cs="Times New Roman"/>
          <w:sz w:val="21"/>
          <w:szCs w:val="21"/>
        </w:rPr>
        <w:t>输配水管网的漏失在线监测仪的技术指标应符合以下规定：</w:t>
      </w:r>
    </w:p>
    <w:p w14:paraId="55385550">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sz w:val="21"/>
          <w:szCs w:val="21"/>
        </w:rPr>
        <w:t xml:space="preserve">1 </w:t>
      </w:r>
      <w:r>
        <w:rPr>
          <w:rFonts w:eastAsia="宋体" w:cs="Times New Roman"/>
          <w:sz w:val="21"/>
          <w:szCs w:val="21"/>
        </w:rPr>
        <w:t>采集频次不低于1天</w:t>
      </w:r>
      <w:r>
        <w:rPr>
          <w:rFonts w:eastAsia="宋体" w:cs="Times New Roman"/>
          <w:color w:val="000000" w:themeColor="text1"/>
          <w:sz w:val="21"/>
          <w:szCs w:val="21"/>
          <w14:textFill>
            <w14:solidFill>
              <w14:schemeClr w14:val="tx1"/>
            </w14:solidFill>
          </w14:textFill>
        </w:rPr>
        <w:t>/次；</w:t>
      </w:r>
    </w:p>
    <w:p w14:paraId="38F1E930">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2 </w:t>
      </w:r>
      <w:r>
        <w:rPr>
          <w:rFonts w:eastAsia="宋体" w:cs="Times New Roman"/>
          <w:color w:val="000000" w:themeColor="text1"/>
          <w:sz w:val="21"/>
          <w:szCs w:val="21"/>
          <w14:textFill>
            <w14:solidFill>
              <w14:schemeClr w14:val="tx1"/>
            </w14:solidFill>
          </w14:textFill>
        </w:rPr>
        <w:t>泄漏定位精度不低于2m；</w:t>
      </w:r>
    </w:p>
    <w:p w14:paraId="7B2AEDBC">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应具有防腐、防水、防尘等抗恶劣环境性能。</w:t>
      </w:r>
    </w:p>
    <w:p w14:paraId="1D6FBCEF">
      <w:pPr>
        <w:spacing w:line="360" w:lineRule="auto"/>
        <w:ind w:firstLine="0" w:firstLineChars="0"/>
        <w:jc w:val="left"/>
        <w:rPr>
          <w:rFonts w:cs="Times New Roman" w:eastAsiaTheme="minorEastAsia"/>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4.3.11 </w:t>
      </w:r>
      <w:r>
        <w:rPr>
          <w:rFonts w:eastAsia="宋体" w:cs="Times New Roman"/>
          <w:color w:val="000000" w:themeColor="text1"/>
          <w:sz w:val="21"/>
          <w:szCs w:val="21"/>
          <w14:textFill>
            <w14:solidFill>
              <w14:schemeClr w14:val="tx1"/>
            </w14:solidFill>
          </w14:textFill>
        </w:rPr>
        <w:t>市政消火栓的消火栓监测装置安装应符合以下规定：</w:t>
      </w:r>
    </w:p>
    <w:p w14:paraId="6E546C5E">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安装前需检测地表NBIot信号强度（CSQ值≥20），确保通信稳定；</w:t>
      </w:r>
    </w:p>
    <w:p w14:paraId="59FF0084">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2 </w:t>
      </w:r>
      <w:r>
        <w:rPr>
          <w:rFonts w:eastAsia="宋体" w:cs="Times New Roman"/>
          <w:color w:val="000000" w:themeColor="text1"/>
          <w:sz w:val="21"/>
          <w:szCs w:val="21"/>
          <w14:textFill>
            <w14:solidFill>
              <w14:schemeClr w14:val="tx1"/>
            </w14:solidFill>
          </w14:textFill>
        </w:rPr>
        <w:t>关闭消火栓检修阀并排空内部积水，清理法兰连接面，在消火栓泄水孔下方法兰连接位置安装监测仪；</w:t>
      </w:r>
    </w:p>
    <w:p w14:paraId="35CDBCAD">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恢复路面时需分层压实填土，并按原貌恢复硬化或绿化区域。</w:t>
      </w:r>
    </w:p>
    <w:p w14:paraId="0F4B94E4">
      <w:pPr>
        <w:spacing w:line="360" w:lineRule="auto"/>
        <w:ind w:firstLine="0" w:firstLineChars="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4.3.12</w:t>
      </w:r>
      <w:r>
        <w:rPr>
          <w:rFonts w:eastAsia="宋体" w:cs="Times New Roman"/>
          <w:color w:val="000000" w:themeColor="text1"/>
          <w:sz w:val="21"/>
          <w:szCs w:val="21"/>
          <w14:textFill>
            <w14:solidFill>
              <w14:schemeClr w14:val="tx1"/>
            </w14:solidFill>
          </w14:textFill>
        </w:rPr>
        <w:t xml:space="preserve"> 市政消火栓的消火栓监测装置的技术指标应符合以下规定：</w:t>
      </w:r>
    </w:p>
    <w:p w14:paraId="2206B313">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流量量程为（0.5～50）L/s；</w:t>
      </w:r>
    </w:p>
    <w:p w14:paraId="6CA5233B">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2</w:t>
      </w:r>
      <w:r>
        <w:rPr>
          <w:rFonts w:eastAsia="宋体" w:cs="Times New Roman"/>
          <w:color w:val="000000" w:themeColor="text1"/>
          <w:sz w:val="21"/>
          <w:szCs w:val="21"/>
          <w14:textFill>
            <w14:solidFill>
              <w14:schemeClr w14:val="tx1"/>
            </w14:solidFill>
          </w14:textFill>
        </w:rPr>
        <w:t xml:space="preserve"> 流量精度为±1% F.S.；</w:t>
      </w:r>
    </w:p>
    <w:p w14:paraId="18C07408">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3</w:t>
      </w:r>
      <w:r>
        <w:rPr>
          <w:rFonts w:eastAsia="宋体" w:cs="Times New Roman"/>
          <w:color w:val="000000" w:themeColor="text1"/>
          <w:sz w:val="21"/>
          <w:szCs w:val="21"/>
          <w14:textFill>
            <w14:solidFill>
              <w14:schemeClr w14:val="tx1"/>
            </w14:solidFill>
          </w14:textFill>
        </w:rPr>
        <w:t xml:space="preserve"> 压力量程为（0～1.6）MPa</w:t>
      </w:r>
      <w:r>
        <w:rPr>
          <w:rFonts w:hint="eastAsia" w:eastAsia="宋体" w:cs="Times New Roman"/>
          <w:color w:val="000000" w:themeColor="text1"/>
          <w:sz w:val="21"/>
          <w:szCs w:val="21"/>
          <w14:textFill>
            <w14:solidFill>
              <w14:schemeClr w14:val="tx1"/>
            </w14:solidFill>
          </w14:textFill>
        </w:rPr>
        <w:t>；</w:t>
      </w:r>
    </w:p>
    <w:p w14:paraId="4B56EAFF">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4 </w:t>
      </w:r>
      <w:r>
        <w:rPr>
          <w:rFonts w:eastAsia="宋体" w:cs="Times New Roman"/>
          <w:color w:val="000000" w:themeColor="text1"/>
          <w:sz w:val="21"/>
          <w:szCs w:val="21"/>
          <w14:textFill>
            <w14:solidFill>
              <w14:schemeClr w14:val="tx1"/>
            </w14:solidFill>
          </w14:textFill>
        </w:rPr>
        <w:t>压力精度为±0.5% F.S.；</w:t>
      </w:r>
    </w:p>
    <w:p w14:paraId="2AA92E7D">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5</w:t>
      </w:r>
      <w:r>
        <w:rPr>
          <w:rFonts w:eastAsia="宋体" w:cs="Times New Roman"/>
          <w:color w:val="000000" w:themeColor="text1"/>
          <w:sz w:val="21"/>
          <w:szCs w:val="21"/>
          <w14:textFill>
            <w14:solidFill>
              <w14:schemeClr w14:val="tx1"/>
            </w14:solidFill>
          </w14:textFill>
        </w:rPr>
        <w:t xml:space="preserve"> 应具有防水、防尘、防腐等抗恶劣环境性能。</w:t>
      </w:r>
    </w:p>
    <w:p w14:paraId="29B97059">
      <w:pPr>
        <w:spacing w:line="360" w:lineRule="auto"/>
        <w:ind w:firstLine="0" w:firstLineChars="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4.3.13</w:t>
      </w:r>
      <w:r>
        <w:rPr>
          <w:rFonts w:eastAsia="宋体" w:cs="Times New Roman"/>
          <w:color w:val="000000" w:themeColor="text1"/>
          <w:sz w:val="21"/>
          <w:szCs w:val="21"/>
          <w14:textFill>
            <w14:solidFill>
              <w14:schemeClr w14:val="tx1"/>
            </w14:solidFill>
          </w14:textFill>
        </w:rPr>
        <w:t xml:space="preserve"> 输配水管网、二次供水设施、泵站的二次供水水质监测设备安装应符合以下规定：</w:t>
      </w:r>
    </w:p>
    <w:p w14:paraId="4F7153C9">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1 </w:t>
      </w:r>
      <w:r>
        <w:rPr>
          <w:rFonts w:eastAsia="宋体" w:cs="Times New Roman"/>
          <w:color w:val="000000" w:themeColor="text1"/>
          <w:sz w:val="21"/>
          <w:szCs w:val="21"/>
          <w14:textFill>
            <w14:solidFill>
              <w14:schemeClr w14:val="tx1"/>
            </w14:solidFill>
          </w14:textFill>
        </w:rPr>
        <w:t>选择直管段水流混合均匀区域，保证运维检修空间；</w:t>
      </w:r>
    </w:p>
    <w:p w14:paraId="16FF6BFF">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 xml:space="preserve">2 </w:t>
      </w:r>
      <w:r>
        <w:rPr>
          <w:rFonts w:eastAsia="宋体" w:cs="Times New Roman"/>
          <w:color w:val="000000" w:themeColor="text1"/>
          <w:sz w:val="21"/>
          <w:szCs w:val="21"/>
          <w14:textFill>
            <w14:solidFill>
              <w14:schemeClr w14:val="tx1"/>
            </w14:solidFill>
          </w14:textFill>
        </w:rPr>
        <w:t>使用刚性支架固定设备，防止水流冲击，设备需达到IP65及以上防护等级；</w:t>
      </w:r>
    </w:p>
    <w:p w14:paraId="415C8899">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3</w:t>
      </w:r>
      <w:r>
        <w:rPr>
          <w:rFonts w:eastAsia="宋体" w:cs="Times New Roman"/>
          <w:color w:val="000000" w:themeColor="text1"/>
          <w:sz w:val="21"/>
          <w:szCs w:val="21"/>
          <w14:textFill>
            <w14:solidFill>
              <w14:schemeClr w14:val="tx1"/>
            </w14:solidFill>
          </w14:textFill>
        </w:rPr>
        <w:t xml:space="preserve"> 采用稳定电源，确保数据传输稳定性。</w:t>
      </w:r>
    </w:p>
    <w:p w14:paraId="219F2D7E">
      <w:pPr>
        <w:spacing w:line="360" w:lineRule="auto"/>
        <w:ind w:firstLine="0" w:firstLineChars="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4.3.14</w:t>
      </w:r>
      <w:r>
        <w:rPr>
          <w:rFonts w:eastAsia="宋体" w:cs="Times New Roman"/>
          <w:color w:val="000000" w:themeColor="text1"/>
          <w:sz w:val="21"/>
          <w:szCs w:val="21"/>
          <w14:textFill>
            <w14:solidFill>
              <w14:schemeClr w14:val="tx1"/>
            </w14:solidFill>
          </w14:textFill>
        </w:rPr>
        <w:t xml:space="preserve"> 输配水管网、二次供水设施、泵站的二次供水水质监测设备的技术指标应符合以下规定：</w:t>
      </w:r>
    </w:p>
    <w:p w14:paraId="372D4180">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1</w:t>
      </w:r>
      <w:r>
        <w:rPr>
          <w:rFonts w:hint="eastAsia" w:cs="Times New Roman" w:eastAsiaTheme="minorEastAsia"/>
          <w:color w:val="000000" w:themeColor="text1"/>
          <w:sz w:val="21"/>
          <w:szCs w:val="21"/>
          <w14:textFill>
            <w14:solidFill>
              <w14:schemeClr w14:val="tx1"/>
            </w14:solidFill>
          </w14:textFill>
        </w:rPr>
        <w:t xml:space="preserve"> </w:t>
      </w:r>
      <w:r>
        <w:rPr>
          <w:rFonts w:cs="Times New Roman" w:eastAsiaTheme="minorEastAsia"/>
          <w:color w:val="000000" w:themeColor="text1"/>
          <w:sz w:val="21"/>
          <w:szCs w:val="21"/>
          <w14:textFill>
            <w14:solidFill>
              <w14:schemeClr w14:val="tx1"/>
            </w14:solidFill>
          </w14:textFill>
        </w:rPr>
        <w:t xml:space="preserve"> </w:t>
      </w:r>
      <w:r>
        <w:rPr>
          <w:rFonts w:eastAsia="宋体" w:cs="Times New Roman"/>
          <w:color w:val="000000" w:themeColor="text1"/>
          <w:sz w:val="21"/>
          <w:szCs w:val="21"/>
          <w14:textFill>
            <w14:solidFill>
              <w14:schemeClr w14:val="tx1"/>
            </w14:solidFill>
          </w14:textFill>
        </w:rPr>
        <w:t>PH量程为2～14，分辨率为0.001；</w:t>
      </w:r>
    </w:p>
    <w:p w14:paraId="5256826B">
      <w:pPr>
        <w:spacing w:line="360" w:lineRule="auto"/>
        <w:ind w:firstLine="420"/>
        <w:jc w:val="left"/>
        <w:rPr>
          <w:rFonts w:eastAsia="宋体" w:cs="Times New Roman"/>
          <w:color w:val="000000" w:themeColor="text1"/>
          <w:sz w:val="21"/>
          <w:szCs w:val="21"/>
          <w14:textFill>
            <w14:solidFill>
              <w14:schemeClr w14:val="tx1"/>
            </w14:solidFill>
          </w14:textFill>
        </w:rPr>
      </w:pPr>
      <w:r>
        <w:rPr>
          <w:rFonts w:cs="Times New Roman" w:eastAsiaTheme="minorEastAsia"/>
          <w:color w:val="000000" w:themeColor="text1"/>
          <w:sz w:val="21"/>
          <w:szCs w:val="21"/>
          <w14:textFill>
            <w14:solidFill>
              <w14:schemeClr w14:val="tx1"/>
            </w14:solidFill>
          </w14:textFill>
        </w:rPr>
        <w:t>2</w:t>
      </w:r>
      <w:r>
        <w:rPr>
          <w:rFonts w:eastAsia="宋体" w:cs="Times New Roman"/>
          <w:color w:val="000000" w:themeColor="text1"/>
          <w:sz w:val="21"/>
          <w:szCs w:val="21"/>
          <w14:textFill>
            <w14:solidFill>
              <w14:schemeClr w14:val="tx1"/>
            </w14:solidFill>
          </w14:textFill>
        </w:rPr>
        <w:t xml:space="preserve"> 浑浊度量程为（0～10）</w:t>
      </w:r>
      <w:r>
        <w:rPr>
          <w:rFonts w:hint="eastAsia" w:eastAsia="宋体" w:cs="Times New Roman"/>
          <w:color w:val="000000" w:themeColor="text1"/>
          <w:sz w:val="21"/>
          <w:szCs w:val="21"/>
          <w14:textFill>
            <w14:solidFill>
              <w14:schemeClr w14:val="tx1"/>
            </w14:solidFill>
          </w14:textFill>
        </w:rPr>
        <w:t>NTU</w:t>
      </w:r>
      <w:r>
        <w:rPr>
          <w:rFonts w:eastAsia="宋体" w:cs="Times New Roman"/>
          <w:color w:val="000000" w:themeColor="text1"/>
          <w:sz w:val="21"/>
          <w:szCs w:val="21"/>
          <w14:textFill>
            <w14:solidFill>
              <w14:schemeClr w14:val="tx1"/>
            </w14:solidFill>
          </w14:textFill>
        </w:rPr>
        <w:t>，精度为±3% F.S.；</w:t>
      </w:r>
    </w:p>
    <w:p w14:paraId="738E1880">
      <w:pPr>
        <w:spacing w:line="360" w:lineRule="auto"/>
        <w:ind w:firstLine="420"/>
        <w:jc w:val="left"/>
        <w:rPr>
          <w:rFonts w:eastAsia="宋体" w:cs="Times New Roman"/>
          <w:sz w:val="24"/>
          <w:szCs w:val="24"/>
        </w:rPr>
      </w:pPr>
      <w:r>
        <w:rPr>
          <w:rFonts w:cs="Times New Roman" w:eastAsiaTheme="minorEastAsia"/>
          <w:color w:val="000000" w:themeColor="text1"/>
          <w:sz w:val="21"/>
          <w:szCs w:val="21"/>
          <w14:textFill>
            <w14:solidFill>
              <w14:schemeClr w14:val="tx1"/>
            </w14:solidFill>
          </w14:textFill>
        </w:rPr>
        <w:t xml:space="preserve">3 </w:t>
      </w:r>
      <w:r>
        <w:rPr>
          <w:rFonts w:eastAsia="宋体" w:cs="Times New Roman"/>
          <w:color w:val="000000" w:themeColor="text1"/>
          <w:sz w:val="21"/>
          <w:szCs w:val="21"/>
          <w14:textFill>
            <w14:solidFill>
              <w14:schemeClr w14:val="tx1"/>
            </w14:solidFill>
          </w14:textFill>
        </w:rPr>
        <w:t>余氯量程为（0～2.00）mg/L，精度为±2% F.S.。</w:t>
      </w:r>
    </w:p>
    <w:p w14:paraId="2D781A50">
      <w:pPr>
        <w:keepNext/>
        <w:keepLines/>
        <w:spacing w:line="360" w:lineRule="auto"/>
        <w:ind w:firstLine="0" w:firstLineChars="0"/>
        <w:jc w:val="center"/>
        <w:outlineLvl w:val="1"/>
        <w:rPr>
          <w:rFonts w:eastAsia="宋体" w:cs="Times New Roman"/>
          <w:b/>
          <w:bCs/>
          <w:sz w:val="28"/>
          <w:szCs w:val="28"/>
        </w:rPr>
      </w:pPr>
      <w:bookmarkStart w:id="70" w:name="_Toc192799301"/>
      <w:r>
        <w:rPr>
          <w:rFonts w:eastAsia="宋体" w:cs="Times New Roman"/>
          <w:b/>
          <w:bCs/>
          <w:sz w:val="28"/>
          <w:szCs w:val="28"/>
        </w:rPr>
        <w:t>4.4  排水</w:t>
      </w:r>
      <w:bookmarkEnd w:id="70"/>
    </w:p>
    <w:p w14:paraId="46B8BD66">
      <w:pPr>
        <w:spacing w:line="360" w:lineRule="auto"/>
        <w:ind w:firstLine="0" w:firstLineChars="0"/>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4.4.1 </w:t>
      </w:r>
      <w:r>
        <w:rPr>
          <w:rFonts w:eastAsia="宋体" w:cs="Times New Roman"/>
          <w:iCs/>
          <w:color w:val="000000" w:themeColor="text1"/>
          <w:sz w:val="21"/>
          <w:szCs w:val="21"/>
          <w14:textFill>
            <w14:solidFill>
              <w14:schemeClr w14:val="tx1"/>
            </w14:solidFill>
          </w14:textFill>
        </w:rPr>
        <w:t>排水安全监测应根据风险评估结果优先在以下区域和位置进行监测：</w:t>
      </w:r>
    </w:p>
    <w:p w14:paraId="64082B54">
      <w:pPr>
        <w:spacing w:line="360" w:lineRule="auto"/>
        <w:ind w:firstLine="420"/>
        <w:rPr>
          <w:rFonts w:ascii="宋体" w:hAnsi="宋体" w:eastAsia="宋体" w:cs="宋体"/>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 xml:space="preserve">1 </w:t>
      </w:r>
      <w:r>
        <w:rPr>
          <w:rFonts w:hint="eastAsia" w:ascii="宋体" w:hAnsi="宋体" w:eastAsia="宋体" w:cs="宋体"/>
          <w:iCs/>
          <w:color w:val="000000" w:themeColor="text1"/>
          <w:sz w:val="21"/>
          <w:szCs w:val="21"/>
          <w14:textFill>
            <w14:solidFill>
              <w14:schemeClr w14:val="tx1"/>
            </w14:solidFill>
          </w14:textFill>
        </w:rPr>
        <w:t>易积水点；</w:t>
      </w:r>
    </w:p>
    <w:p w14:paraId="2E32CA18">
      <w:pPr>
        <w:spacing w:line="360" w:lineRule="auto"/>
        <w:ind w:firstLine="420"/>
        <w:rPr>
          <w:rFonts w:ascii="宋体" w:hAnsi="宋体" w:eastAsia="宋体" w:cs="宋体"/>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2</w:t>
      </w:r>
      <w:r>
        <w:rPr>
          <w:rFonts w:hint="eastAsia" w:ascii="宋体" w:hAnsi="宋体" w:eastAsia="宋体" w:cs="宋体"/>
          <w:iCs/>
          <w:color w:val="000000" w:themeColor="text1"/>
          <w:sz w:val="21"/>
          <w:szCs w:val="21"/>
          <w14:textFill>
            <w14:solidFill>
              <w14:schemeClr w14:val="tx1"/>
            </w14:solidFill>
          </w14:textFill>
        </w:rPr>
        <w:t xml:space="preserve"> 管道交汇处、泵站进出水口等管网关键节点；</w:t>
      </w:r>
    </w:p>
    <w:p w14:paraId="2DC74F82">
      <w:pPr>
        <w:spacing w:line="360" w:lineRule="auto"/>
        <w:ind w:firstLine="420"/>
        <w:rPr>
          <w:rFonts w:ascii="宋体" w:hAnsi="宋体" w:eastAsia="宋体" w:cs="宋体"/>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3</w:t>
      </w:r>
      <w:r>
        <w:rPr>
          <w:rFonts w:hint="eastAsia" w:ascii="宋体" w:hAnsi="宋体" w:eastAsia="宋体" w:cs="宋体"/>
          <w:iCs/>
          <w:color w:val="000000" w:themeColor="text1"/>
          <w:sz w:val="21"/>
          <w:szCs w:val="21"/>
          <w14:textFill>
            <w14:solidFill>
              <w14:schemeClr w14:val="tx1"/>
            </w14:solidFill>
          </w14:textFill>
        </w:rPr>
        <w:t xml:space="preserve"> 主要道路及河道排口；</w:t>
      </w:r>
    </w:p>
    <w:p w14:paraId="48967079">
      <w:pPr>
        <w:spacing w:line="360" w:lineRule="auto"/>
        <w:ind w:firstLine="420"/>
        <w:rPr>
          <w:rFonts w:ascii="宋体" w:hAnsi="宋体" w:eastAsia="宋体" w:cs="宋体"/>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4</w:t>
      </w:r>
      <w:r>
        <w:rPr>
          <w:rFonts w:hint="eastAsia" w:ascii="宋体" w:hAnsi="宋体" w:eastAsia="宋体" w:cs="宋体"/>
          <w:iCs/>
          <w:color w:val="000000" w:themeColor="text1"/>
          <w:sz w:val="21"/>
          <w:szCs w:val="21"/>
          <w14:textFill>
            <w14:solidFill>
              <w14:schemeClr w14:val="tx1"/>
            </w14:solidFill>
          </w14:textFill>
        </w:rPr>
        <w:t xml:space="preserve"> 重要地下空间和设施；</w:t>
      </w:r>
    </w:p>
    <w:p w14:paraId="1157A4EC">
      <w:pPr>
        <w:spacing w:line="360" w:lineRule="auto"/>
        <w:ind w:firstLine="420"/>
        <w:rPr>
          <w:rFonts w:ascii="宋体" w:hAnsi="宋体" w:eastAsia="宋体" w:cs="宋体"/>
          <w:iCs/>
          <w:color w:val="000000" w:themeColor="text1"/>
          <w:sz w:val="21"/>
          <w:szCs w:val="21"/>
          <w14:textFill>
            <w14:solidFill>
              <w14:schemeClr w14:val="tx1"/>
            </w14:solidFill>
          </w14:textFill>
        </w:rPr>
      </w:pPr>
      <w:r>
        <w:rPr>
          <w:rFonts w:hint="eastAsia" w:cs="Times New Roman" w:eastAsiaTheme="minorEastAsia"/>
          <w:iCs/>
          <w:sz w:val="21"/>
          <w:szCs w:val="21"/>
        </w:rPr>
        <w:t>5</w:t>
      </w:r>
      <w:r>
        <w:rPr>
          <w:rFonts w:cs="Times New Roman" w:eastAsiaTheme="minorEastAsia"/>
          <w:iCs/>
          <w:sz w:val="21"/>
          <w:szCs w:val="21"/>
        </w:rPr>
        <w:t xml:space="preserve"> </w:t>
      </w:r>
      <w:r>
        <w:rPr>
          <w:rFonts w:eastAsia="宋体" w:cs="Times New Roman"/>
          <w:iCs/>
          <w:sz w:val="21"/>
          <w:szCs w:val="21"/>
        </w:rPr>
        <w:t>重要功能区及人口密集区域。</w:t>
      </w:r>
    </w:p>
    <w:p w14:paraId="04CFB57C">
      <w:pPr>
        <w:spacing w:line="360" w:lineRule="auto"/>
        <w:ind w:firstLine="0" w:firstLineChars="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4.4.2 </w:t>
      </w:r>
      <w:r>
        <w:rPr>
          <w:rFonts w:eastAsia="宋体" w:cs="Times New Roman"/>
          <w:iCs/>
          <w:color w:val="000000" w:themeColor="text1"/>
          <w:sz w:val="21"/>
          <w:szCs w:val="21"/>
          <w14:textFill>
            <w14:solidFill>
              <w14:schemeClr w14:val="tx1"/>
            </w14:solidFill>
          </w14:textFill>
        </w:rPr>
        <w:t>监测点位应基于排水分区、历史运行情况等信息合理布设，应具有代表性，能反映管网、河道等监测对象运行特征，同时考虑经济性和运维便利性。</w:t>
      </w:r>
    </w:p>
    <w:p w14:paraId="525B705E">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4.4.3 </w:t>
      </w:r>
      <w:r>
        <w:rPr>
          <w:rFonts w:eastAsia="宋体" w:cs="Times New Roman"/>
          <w:iCs/>
          <w:color w:val="000000" w:themeColor="text1"/>
          <w:sz w:val="21"/>
          <w:szCs w:val="21"/>
          <w14:textFill>
            <w14:solidFill>
              <w14:schemeClr w14:val="tx1"/>
            </w14:solidFill>
          </w14:textFill>
        </w:rPr>
        <w:t>排水安全监测对象、监测</w:t>
      </w:r>
      <w:r>
        <w:rPr>
          <w:rFonts w:hint="eastAsia" w:eastAsia="宋体" w:cs="Times New Roman"/>
          <w:iCs/>
          <w:color w:val="000000" w:themeColor="text1"/>
          <w:sz w:val="21"/>
          <w:szCs w:val="21"/>
          <w14:textFill>
            <w14:solidFill>
              <w14:schemeClr w14:val="tx1"/>
            </w14:solidFill>
          </w14:textFill>
        </w:rPr>
        <w:t>项目</w:t>
      </w:r>
      <w:r>
        <w:rPr>
          <w:rFonts w:eastAsia="宋体" w:cs="Times New Roman"/>
          <w:iCs/>
          <w:color w:val="000000" w:themeColor="text1"/>
          <w:sz w:val="21"/>
          <w:szCs w:val="21"/>
          <w14:textFill>
            <w14:solidFill>
              <w14:schemeClr w14:val="tx1"/>
            </w14:solidFill>
          </w14:textFill>
        </w:rPr>
        <w:t>和监测设备类型应符合表4.4.3的规定。</w:t>
      </w:r>
    </w:p>
    <w:p w14:paraId="1A08385E">
      <w:pPr>
        <w:spacing w:line="319" w:lineRule="auto"/>
        <w:ind w:firstLine="0" w:firstLineChars="0"/>
        <w:jc w:val="center"/>
        <w:rPr>
          <w:rFonts w:eastAsia="宋体" w:cs="Times New Roman"/>
          <w:sz w:val="21"/>
          <w:szCs w:val="24"/>
        </w:rPr>
      </w:pPr>
      <w:r>
        <w:rPr>
          <w:rFonts w:eastAsia="宋体" w:cs="Times New Roman"/>
          <w:b/>
          <w:bCs/>
          <w:iCs/>
          <w:color w:val="000000" w:themeColor="text1"/>
          <w:sz w:val="18"/>
          <w:szCs w:val="18"/>
          <w14:textFill>
            <w14:solidFill>
              <w14:schemeClr w14:val="tx1"/>
            </w14:solidFill>
          </w14:textFill>
        </w:rPr>
        <w:t>表4.4.3 排水</w:t>
      </w:r>
      <w:r>
        <w:rPr>
          <w:rFonts w:hint="eastAsia" w:eastAsia="宋体" w:cs="Times New Roman"/>
          <w:b/>
          <w:bCs/>
          <w:iCs/>
          <w:color w:val="000000" w:themeColor="text1"/>
          <w:sz w:val="18"/>
          <w:szCs w:val="18"/>
          <w14:textFill>
            <w14:solidFill>
              <w14:schemeClr w14:val="tx1"/>
            </w14:solidFill>
          </w14:textFill>
        </w:rPr>
        <w:t>安全</w:t>
      </w:r>
      <w:r>
        <w:rPr>
          <w:rFonts w:eastAsia="宋体" w:cs="Times New Roman"/>
          <w:b/>
          <w:bCs/>
          <w:iCs/>
          <w:color w:val="000000" w:themeColor="text1"/>
          <w:sz w:val="18"/>
          <w:szCs w:val="18"/>
          <w14:textFill>
            <w14:solidFill>
              <w14:schemeClr w14:val="tx1"/>
            </w14:solidFill>
          </w14:textFill>
        </w:rPr>
        <w:t>监测对象、监测</w:t>
      </w:r>
      <w:r>
        <w:rPr>
          <w:rFonts w:hint="eastAsia" w:eastAsia="宋体" w:cs="Times New Roman"/>
          <w:b/>
          <w:bCs/>
          <w:iCs/>
          <w:color w:val="000000" w:themeColor="text1"/>
          <w:sz w:val="18"/>
          <w:szCs w:val="18"/>
          <w14:textFill>
            <w14:solidFill>
              <w14:schemeClr w14:val="tx1"/>
            </w14:solidFill>
          </w14:textFill>
        </w:rPr>
        <w:t>项目</w:t>
      </w:r>
      <w:r>
        <w:rPr>
          <w:rFonts w:eastAsia="宋体" w:cs="Times New Roman"/>
          <w:b/>
          <w:bCs/>
          <w:iCs/>
          <w:color w:val="000000" w:themeColor="text1"/>
          <w:sz w:val="18"/>
          <w:szCs w:val="18"/>
          <w14:textFill>
            <w14:solidFill>
              <w14:schemeClr w14:val="tx1"/>
            </w14:solidFill>
          </w14:textFill>
        </w:rPr>
        <w:t>和监测设备类型</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3"/>
        <w:gridCol w:w="2841"/>
        <w:gridCol w:w="2841"/>
      </w:tblGrid>
      <w:tr w14:paraId="5B86D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2023" w:type="dxa"/>
            <w:tcBorders>
              <w:top w:val="single" w:color="auto" w:sz="4" w:space="0"/>
              <w:left w:val="single" w:color="auto" w:sz="4" w:space="0"/>
              <w:bottom w:val="single" w:color="auto" w:sz="4" w:space="0"/>
              <w:right w:val="single" w:color="auto" w:sz="4" w:space="0"/>
            </w:tcBorders>
            <w:vAlign w:val="center"/>
          </w:tcPr>
          <w:p w14:paraId="78A0B54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监测对象</w:t>
            </w:r>
          </w:p>
        </w:tc>
        <w:tc>
          <w:tcPr>
            <w:tcW w:w="2841" w:type="dxa"/>
            <w:tcBorders>
              <w:top w:val="single" w:color="auto" w:sz="4" w:space="0"/>
              <w:left w:val="single" w:color="auto" w:sz="4" w:space="0"/>
              <w:bottom w:val="single" w:color="auto" w:sz="4" w:space="0"/>
              <w:right w:val="single" w:color="auto" w:sz="4" w:space="0"/>
            </w:tcBorders>
            <w:vAlign w:val="center"/>
          </w:tcPr>
          <w:p w14:paraId="0FBCBEF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w:t>
            </w:r>
            <w:r>
              <w:rPr>
                <w:rFonts w:hint="eastAsia" w:eastAsia="宋体" w:cs="Times New Roman"/>
                <w:iCs/>
                <w:color w:val="000000" w:themeColor="text1"/>
                <w:sz w:val="18"/>
                <w:szCs w:val="18"/>
                <w14:textFill>
                  <w14:solidFill>
                    <w14:schemeClr w14:val="tx1"/>
                  </w14:solidFill>
                </w14:textFill>
              </w:rPr>
              <w:t>项目</w:t>
            </w:r>
          </w:p>
        </w:tc>
        <w:tc>
          <w:tcPr>
            <w:tcW w:w="2841" w:type="dxa"/>
            <w:tcBorders>
              <w:top w:val="single" w:color="auto" w:sz="4" w:space="0"/>
              <w:left w:val="single" w:color="auto" w:sz="4" w:space="0"/>
              <w:bottom w:val="single" w:color="auto" w:sz="4" w:space="0"/>
              <w:right w:val="single" w:color="auto" w:sz="4" w:space="0"/>
            </w:tcBorders>
            <w:vAlign w:val="center"/>
          </w:tcPr>
          <w:p w14:paraId="577B940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监测设备</w:t>
            </w:r>
          </w:p>
        </w:tc>
      </w:tr>
      <w:tr w14:paraId="15181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2023" w:type="dxa"/>
            <w:vMerge w:val="restart"/>
            <w:tcBorders>
              <w:top w:val="single" w:color="auto" w:sz="4" w:space="0"/>
              <w:left w:val="single" w:color="auto" w:sz="4" w:space="0"/>
              <w:bottom w:val="single" w:color="auto" w:sz="4" w:space="0"/>
              <w:right w:val="single" w:color="auto" w:sz="4" w:space="0"/>
            </w:tcBorders>
            <w:vAlign w:val="center"/>
          </w:tcPr>
          <w:p w14:paraId="14A881F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排水管网</w:t>
            </w:r>
          </w:p>
        </w:tc>
        <w:tc>
          <w:tcPr>
            <w:tcW w:w="2841" w:type="dxa"/>
            <w:tcBorders>
              <w:top w:val="single" w:color="auto" w:sz="4" w:space="0"/>
              <w:left w:val="single" w:color="auto" w:sz="4" w:space="0"/>
              <w:bottom w:val="single" w:color="auto" w:sz="4" w:space="0"/>
              <w:right w:val="single" w:color="auto" w:sz="4" w:space="0"/>
            </w:tcBorders>
            <w:vAlign w:val="center"/>
          </w:tcPr>
          <w:p w14:paraId="547DDBD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液位</w:t>
            </w:r>
          </w:p>
        </w:tc>
        <w:tc>
          <w:tcPr>
            <w:tcW w:w="2841" w:type="dxa"/>
            <w:tcBorders>
              <w:top w:val="single" w:color="auto" w:sz="4" w:space="0"/>
              <w:left w:val="single" w:color="auto" w:sz="4" w:space="0"/>
              <w:bottom w:val="single" w:color="auto" w:sz="4" w:space="0"/>
              <w:right w:val="single" w:color="auto" w:sz="4" w:space="0"/>
            </w:tcBorders>
            <w:vAlign w:val="center"/>
          </w:tcPr>
          <w:p w14:paraId="5AB0315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液位计</w:t>
            </w:r>
          </w:p>
        </w:tc>
      </w:tr>
      <w:tr w14:paraId="18A67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EB40A5D">
            <w:pPr>
              <w:ind w:firstLine="0" w:firstLineChars="0"/>
              <w:rPr>
                <w:rFonts w:eastAsia="宋体" w:cs="Times New Roman"/>
                <w:iCs/>
                <w:color w:val="000000" w:themeColor="text1"/>
                <w:sz w:val="18"/>
                <w:szCs w:val="18"/>
                <w14:textFill>
                  <w14:solidFill>
                    <w14:schemeClr w14:val="tx1"/>
                  </w14:solidFill>
                </w14:textFill>
              </w:rPr>
            </w:pPr>
          </w:p>
        </w:tc>
        <w:tc>
          <w:tcPr>
            <w:tcW w:w="2841" w:type="dxa"/>
            <w:tcBorders>
              <w:top w:val="single" w:color="auto" w:sz="4" w:space="0"/>
              <w:left w:val="single" w:color="auto" w:sz="4" w:space="0"/>
              <w:bottom w:val="single" w:color="auto" w:sz="4" w:space="0"/>
              <w:right w:val="single" w:color="auto" w:sz="4" w:space="0"/>
            </w:tcBorders>
            <w:vAlign w:val="center"/>
          </w:tcPr>
          <w:p w14:paraId="77EA205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流量</w:t>
            </w:r>
          </w:p>
        </w:tc>
        <w:tc>
          <w:tcPr>
            <w:tcW w:w="2841" w:type="dxa"/>
            <w:tcBorders>
              <w:top w:val="single" w:color="auto" w:sz="4" w:space="0"/>
              <w:left w:val="single" w:color="auto" w:sz="4" w:space="0"/>
              <w:bottom w:val="single" w:color="auto" w:sz="4" w:space="0"/>
              <w:right w:val="single" w:color="auto" w:sz="4" w:space="0"/>
            </w:tcBorders>
            <w:vAlign w:val="center"/>
          </w:tcPr>
          <w:p w14:paraId="6F62161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流量计</w:t>
            </w:r>
          </w:p>
        </w:tc>
      </w:tr>
      <w:tr w14:paraId="565BE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1A957CB">
            <w:pPr>
              <w:ind w:firstLine="0" w:firstLineChars="0"/>
              <w:rPr>
                <w:rFonts w:eastAsia="宋体" w:cs="Times New Roman"/>
                <w:iCs/>
                <w:color w:val="000000" w:themeColor="text1"/>
                <w:sz w:val="18"/>
                <w:szCs w:val="18"/>
                <w14:textFill>
                  <w14:solidFill>
                    <w14:schemeClr w14:val="tx1"/>
                  </w14:solidFill>
                </w14:textFill>
              </w:rPr>
            </w:pPr>
          </w:p>
        </w:tc>
        <w:tc>
          <w:tcPr>
            <w:tcW w:w="2841" w:type="dxa"/>
            <w:tcBorders>
              <w:top w:val="single" w:color="auto" w:sz="4" w:space="0"/>
              <w:left w:val="single" w:color="auto" w:sz="4" w:space="0"/>
              <w:bottom w:val="single" w:color="auto" w:sz="4" w:space="0"/>
              <w:right w:val="single" w:color="auto" w:sz="4" w:space="0"/>
            </w:tcBorders>
            <w:vAlign w:val="center"/>
          </w:tcPr>
          <w:p w14:paraId="4FBA199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水质</w:t>
            </w:r>
          </w:p>
        </w:tc>
        <w:tc>
          <w:tcPr>
            <w:tcW w:w="2841" w:type="dxa"/>
            <w:tcBorders>
              <w:top w:val="single" w:color="auto" w:sz="4" w:space="0"/>
              <w:left w:val="single" w:color="auto" w:sz="4" w:space="0"/>
              <w:bottom w:val="single" w:color="auto" w:sz="4" w:space="0"/>
              <w:right w:val="single" w:color="auto" w:sz="4" w:space="0"/>
            </w:tcBorders>
            <w:vAlign w:val="center"/>
          </w:tcPr>
          <w:p w14:paraId="5F514B4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水质监测仪</w:t>
            </w:r>
          </w:p>
        </w:tc>
      </w:tr>
      <w:tr w14:paraId="6BE6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2023" w:type="dxa"/>
            <w:tcBorders>
              <w:top w:val="single" w:color="auto" w:sz="4" w:space="0"/>
              <w:left w:val="single" w:color="auto" w:sz="4" w:space="0"/>
              <w:bottom w:val="single" w:color="auto" w:sz="4" w:space="0"/>
              <w:right w:val="single" w:color="auto" w:sz="4" w:space="0"/>
            </w:tcBorders>
            <w:vAlign w:val="center"/>
          </w:tcPr>
          <w:p w14:paraId="2582F7B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排口</w:t>
            </w:r>
          </w:p>
        </w:tc>
        <w:tc>
          <w:tcPr>
            <w:tcW w:w="2841" w:type="dxa"/>
            <w:tcBorders>
              <w:top w:val="single" w:color="auto" w:sz="4" w:space="0"/>
              <w:left w:val="single" w:color="auto" w:sz="4" w:space="0"/>
              <w:bottom w:val="single" w:color="auto" w:sz="4" w:space="0"/>
              <w:right w:val="single" w:color="auto" w:sz="4" w:space="0"/>
            </w:tcBorders>
            <w:vAlign w:val="center"/>
          </w:tcPr>
          <w:p w14:paraId="569122C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水质</w:t>
            </w:r>
          </w:p>
        </w:tc>
        <w:tc>
          <w:tcPr>
            <w:tcW w:w="2841" w:type="dxa"/>
            <w:tcBorders>
              <w:top w:val="single" w:color="auto" w:sz="4" w:space="0"/>
              <w:left w:val="single" w:color="auto" w:sz="4" w:space="0"/>
              <w:bottom w:val="single" w:color="auto" w:sz="4" w:space="0"/>
              <w:right w:val="single" w:color="auto" w:sz="4" w:space="0"/>
            </w:tcBorders>
            <w:vAlign w:val="center"/>
          </w:tcPr>
          <w:p w14:paraId="664A949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水质监测仪</w:t>
            </w:r>
          </w:p>
        </w:tc>
      </w:tr>
      <w:tr w14:paraId="16AF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2023" w:type="dxa"/>
            <w:tcBorders>
              <w:top w:val="single" w:color="auto" w:sz="4" w:space="0"/>
              <w:left w:val="single" w:color="auto" w:sz="4" w:space="0"/>
              <w:bottom w:val="single" w:color="auto" w:sz="4" w:space="0"/>
              <w:right w:val="single" w:color="auto" w:sz="4" w:space="0"/>
            </w:tcBorders>
            <w:vAlign w:val="center"/>
          </w:tcPr>
          <w:p w14:paraId="19D3C59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河道</w:t>
            </w:r>
          </w:p>
        </w:tc>
        <w:tc>
          <w:tcPr>
            <w:tcW w:w="2841" w:type="dxa"/>
            <w:tcBorders>
              <w:top w:val="single" w:color="auto" w:sz="4" w:space="0"/>
              <w:left w:val="single" w:color="auto" w:sz="4" w:space="0"/>
              <w:bottom w:val="single" w:color="auto" w:sz="4" w:space="0"/>
              <w:right w:val="single" w:color="auto" w:sz="4" w:space="0"/>
            </w:tcBorders>
            <w:vAlign w:val="center"/>
          </w:tcPr>
          <w:p w14:paraId="6B9BE5B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水位</w:t>
            </w:r>
          </w:p>
        </w:tc>
        <w:tc>
          <w:tcPr>
            <w:tcW w:w="2841" w:type="dxa"/>
            <w:tcBorders>
              <w:top w:val="single" w:color="auto" w:sz="4" w:space="0"/>
              <w:left w:val="single" w:color="auto" w:sz="4" w:space="0"/>
              <w:bottom w:val="single" w:color="auto" w:sz="4" w:space="0"/>
              <w:right w:val="single" w:color="auto" w:sz="4" w:space="0"/>
            </w:tcBorders>
            <w:vAlign w:val="center"/>
          </w:tcPr>
          <w:p w14:paraId="2B7E83C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水位计</w:t>
            </w:r>
          </w:p>
        </w:tc>
      </w:tr>
      <w:tr w14:paraId="5F02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2023" w:type="dxa"/>
            <w:tcBorders>
              <w:top w:val="single" w:color="auto" w:sz="4" w:space="0"/>
              <w:left w:val="single" w:color="auto" w:sz="4" w:space="0"/>
              <w:bottom w:val="single" w:color="auto" w:sz="4" w:space="0"/>
              <w:right w:val="single" w:color="auto" w:sz="4" w:space="0"/>
            </w:tcBorders>
            <w:vAlign w:val="center"/>
          </w:tcPr>
          <w:p w14:paraId="77E5C29C">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自然降水事件</w:t>
            </w:r>
          </w:p>
        </w:tc>
        <w:tc>
          <w:tcPr>
            <w:tcW w:w="2841" w:type="dxa"/>
            <w:tcBorders>
              <w:top w:val="single" w:color="auto" w:sz="4" w:space="0"/>
              <w:left w:val="single" w:color="auto" w:sz="4" w:space="0"/>
              <w:bottom w:val="single" w:color="auto" w:sz="4" w:space="0"/>
              <w:right w:val="single" w:color="auto" w:sz="4" w:space="0"/>
            </w:tcBorders>
            <w:vAlign w:val="center"/>
          </w:tcPr>
          <w:p w14:paraId="3C28350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降雨量</w:t>
            </w:r>
          </w:p>
        </w:tc>
        <w:tc>
          <w:tcPr>
            <w:tcW w:w="2841" w:type="dxa"/>
            <w:tcBorders>
              <w:top w:val="single" w:color="auto" w:sz="4" w:space="0"/>
              <w:left w:val="single" w:color="auto" w:sz="4" w:space="0"/>
              <w:bottom w:val="single" w:color="auto" w:sz="4" w:space="0"/>
              <w:right w:val="single" w:color="auto" w:sz="4" w:space="0"/>
            </w:tcBorders>
            <w:vAlign w:val="center"/>
          </w:tcPr>
          <w:p w14:paraId="23EA799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雨量计</w:t>
            </w:r>
          </w:p>
        </w:tc>
      </w:tr>
    </w:tbl>
    <w:p w14:paraId="7E6DE263">
      <w:pPr>
        <w:spacing w:line="360" w:lineRule="auto"/>
        <w:ind w:firstLine="0" w:firstLineChars="0"/>
        <w:jc w:val="center"/>
        <w:rPr>
          <w:rFonts w:eastAsia="宋体" w:cs="Times New Roman"/>
          <w:bCs/>
          <w:sz w:val="18"/>
          <w:szCs w:val="18"/>
        </w:rPr>
      </w:pPr>
      <w:r>
        <w:rPr>
          <w:rFonts w:hint="eastAsia" w:eastAsia="宋体" w:cs="Times New Roman"/>
          <w:bCs/>
          <w:sz w:val="18"/>
          <w:szCs w:val="18"/>
        </w:rPr>
        <w:t>注：排水监测项目运行技术参数及相应规定见《城市生命线工程安全运行监测技术标准》DB34/T 4021。</w:t>
      </w:r>
    </w:p>
    <w:p w14:paraId="48BEC8C1">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4.4.4 </w:t>
      </w:r>
      <w:r>
        <w:rPr>
          <w:rFonts w:eastAsia="宋体" w:cs="Times New Roman"/>
          <w:iCs/>
          <w:color w:val="000000" w:themeColor="text1"/>
          <w:sz w:val="21"/>
          <w:szCs w:val="21"/>
          <w14:textFill>
            <w14:solidFill>
              <w14:schemeClr w14:val="tx1"/>
            </w14:solidFill>
          </w14:textFill>
        </w:rPr>
        <w:t>排水管网液位计安装应符合以下规定：</w:t>
      </w:r>
    </w:p>
    <w:p w14:paraId="53197D11">
      <w:pPr>
        <w:spacing w:line="360" w:lineRule="auto"/>
        <w:ind w:firstLine="42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超声波液位计安装位置保证超声波或雷达波束的传播路径上无障碍物阻挡，压力式液位计探头垂直向下安装，确保与液面垂直，若井内有水流冲击，通过固定钢管隔离流动干扰；</w:t>
      </w:r>
    </w:p>
    <w:p w14:paraId="46D4A598">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液位计安装在井盖下方，采用支架式安装，确保膨胀螺丝安装到位、固定可靠，材质耐腐蚀；</w:t>
      </w:r>
    </w:p>
    <w:p w14:paraId="2DAB3A6E">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安装前对井深及井下管道尺寸等数据进行测量记录，安装完成后对液位进行校准，并记录安装的设备型号及序列号，并对</w:t>
      </w:r>
      <w:r>
        <w:rPr>
          <w:rFonts w:hint="eastAsia" w:eastAsia="宋体" w:cs="Times New Roman"/>
          <w:color w:val="000000" w:themeColor="text1"/>
          <w:sz w:val="21"/>
          <w:szCs w:val="21"/>
          <w14:textFill>
            <w14:solidFill>
              <w14:schemeClr w14:val="tx1"/>
            </w14:solidFill>
          </w14:textFill>
        </w:rPr>
        <w:t>检查井</w:t>
      </w:r>
      <w:r>
        <w:rPr>
          <w:rFonts w:eastAsia="宋体" w:cs="Times New Roman"/>
          <w:iCs/>
          <w:color w:val="000000" w:themeColor="text1"/>
          <w:sz w:val="21"/>
          <w:szCs w:val="21"/>
          <w14:textFill>
            <w14:solidFill>
              <w14:schemeClr w14:val="tx1"/>
            </w14:solidFill>
          </w14:textFill>
        </w:rPr>
        <w:t>位置进行定位记录，做好施工记录及视频、图像保存。</w:t>
      </w:r>
    </w:p>
    <w:p w14:paraId="100339C7">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4.4.5 </w:t>
      </w:r>
      <w:r>
        <w:rPr>
          <w:rFonts w:eastAsia="宋体" w:cs="Times New Roman"/>
          <w:iCs/>
          <w:color w:val="000000" w:themeColor="text1"/>
          <w:sz w:val="21"/>
          <w:szCs w:val="21"/>
          <w14:textFill>
            <w14:solidFill>
              <w14:schemeClr w14:val="tx1"/>
            </w14:solidFill>
          </w14:textFill>
        </w:rPr>
        <w:t>排水管网液位计的技术指标应符合以下规定：</w:t>
      </w:r>
    </w:p>
    <w:p w14:paraId="4E850AC7">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量程为（0～20）m；</w:t>
      </w:r>
    </w:p>
    <w:p w14:paraId="20595E5D">
      <w:pPr>
        <w:spacing w:line="360" w:lineRule="auto"/>
        <w:ind w:firstLine="42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精度为±1% F.S.；</w:t>
      </w:r>
    </w:p>
    <w:p w14:paraId="22E9349C">
      <w:pPr>
        <w:spacing w:line="360" w:lineRule="auto"/>
        <w:ind w:firstLine="42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应具有防腐、防水、防尘等抗恶劣环境性能。</w:t>
      </w:r>
    </w:p>
    <w:p w14:paraId="75A29DD4">
      <w:pPr>
        <w:spacing w:line="360" w:lineRule="auto"/>
        <w:ind w:firstLine="0" w:firstLineChars="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4.4.6 </w:t>
      </w:r>
      <w:r>
        <w:rPr>
          <w:rFonts w:eastAsia="宋体" w:cs="Times New Roman"/>
          <w:iCs/>
          <w:color w:val="000000" w:themeColor="text1"/>
          <w:sz w:val="21"/>
          <w:szCs w:val="21"/>
          <w14:textFill>
            <w14:solidFill>
              <w14:schemeClr w14:val="tx1"/>
            </w14:solidFill>
          </w14:textFill>
        </w:rPr>
        <w:t>排水管网流量计安装应符合以下规定：</w:t>
      </w:r>
    </w:p>
    <w:p w14:paraId="45E93593">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流量计安装位置选择管道坡度稳定的直线段，避开易沉积泥沙的井底或管段突变区域，传感器探头固定于管道中心底部；</w:t>
      </w:r>
    </w:p>
    <w:p w14:paraId="6518C4E0">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流量计主机安装在井盖下方，采用支架式安装，使用固定环将插入式杆件固定在井侧壁，确保膨胀螺丝安装到位、固定可靠，材质耐腐蚀；</w:t>
      </w:r>
    </w:p>
    <w:p w14:paraId="16D7F7EF">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安装前对井深及井下管道尺寸等数据进行测量记录，安装完成后对设备监测值进行校准，记录安装的设备型号及序列号，并对</w:t>
      </w:r>
      <w:r>
        <w:rPr>
          <w:rFonts w:hint="eastAsia" w:eastAsia="宋体" w:cs="Times New Roman"/>
          <w:color w:val="000000" w:themeColor="text1"/>
          <w:sz w:val="21"/>
          <w:szCs w:val="21"/>
          <w14:textFill>
            <w14:solidFill>
              <w14:schemeClr w14:val="tx1"/>
            </w14:solidFill>
          </w14:textFill>
        </w:rPr>
        <w:t>检查井</w:t>
      </w:r>
      <w:r>
        <w:rPr>
          <w:rFonts w:eastAsia="宋体" w:cs="Times New Roman"/>
          <w:iCs/>
          <w:color w:val="000000" w:themeColor="text1"/>
          <w:sz w:val="21"/>
          <w:szCs w:val="21"/>
          <w14:textFill>
            <w14:solidFill>
              <w14:schemeClr w14:val="tx1"/>
            </w14:solidFill>
          </w14:textFill>
        </w:rPr>
        <w:t>位置进行定位记录，做好施工记录及视频、图像保存。</w:t>
      </w:r>
    </w:p>
    <w:p w14:paraId="7DC7EE46">
      <w:pPr>
        <w:spacing w:line="360" w:lineRule="auto"/>
        <w:ind w:firstLine="0" w:firstLineChars="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4.4.7 </w:t>
      </w:r>
      <w:r>
        <w:rPr>
          <w:rFonts w:eastAsia="宋体" w:cs="Times New Roman"/>
          <w:iCs/>
          <w:color w:val="000000" w:themeColor="text1"/>
          <w:sz w:val="21"/>
          <w:szCs w:val="21"/>
          <w14:textFill>
            <w14:solidFill>
              <w14:schemeClr w14:val="tx1"/>
            </w14:solidFill>
          </w14:textFill>
        </w:rPr>
        <w:t>排水管网流量计的技术指标应符合以下规定：</w:t>
      </w:r>
    </w:p>
    <w:p w14:paraId="1C898824">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量程为（-6.0～6.0）m/s；</w:t>
      </w:r>
    </w:p>
    <w:p w14:paraId="0AB1C85A">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精度为±1% F.S.；</w:t>
      </w:r>
    </w:p>
    <w:p w14:paraId="28820B74">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应具有防爆、防腐、防水、防尘等抗恶劣环境性能。</w:t>
      </w:r>
    </w:p>
    <w:p w14:paraId="7F7EE6A7">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4.4.8 </w:t>
      </w:r>
      <w:r>
        <w:rPr>
          <w:rFonts w:eastAsia="宋体" w:cs="Times New Roman"/>
          <w:iCs/>
          <w:color w:val="000000" w:themeColor="text1"/>
          <w:sz w:val="21"/>
          <w:szCs w:val="21"/>
          <w14:textFill>
            <w14:solidFill>
              <w14:schemeClr w14:val="tx1"/>
            </w14:solidFill>
          </w14:textFill>
        </w:rPr>
        <w:t>排水管网、排口水质监测仪安装应符合以下规定：</w:t>
      </w:r>
    </w:p>
    <w:p w14:paraId="47DBF871">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水质监测仪探头垂直向下安装，避开管道内湍流与沉积区，防止泥沙沉积覆盖传感器，含固量高的污水加装防护套管，套管开孔方向背向水流，减少颗粒冲击</w:t>
      </w:r>
      <w:r>
        <w:rPr>
          <w:rFonts w:eastAsia="MS Gothic" w:cs="Times New Roman"/>
          <w:iCs/>
          <w:color w:val="000000" w:themeColor="text1"/>
          <w:sz w:val="21"/>
          <w:szCs w:val="21"/>
          <w14:textFill>
            <w14:solidFill>
              <w14:schemeClr w14:val="tx1"/>
            </w14:solidFill>
          </w14:textFill>
        </w:rPr>
        <w:t>‌</w:t>
      </w:r>
      <w:r>
        <w:rPr>
          <w:rFonts w:eastAsia="宋体" w:cs="Times New Roman"/>
          <w:iCs/>
          <w:color w:val="000000" w:themeColor="text1"/>
          <w:sz w:val="21"/>
          <w:szCs w:val="21"/>
          <w14:textFill>
            <w14:solidFill>
              <w14:schemeClr w14:val="tx1"/>
            </w14:solidFill>
          </w14:textFill>
        </w:rPr>
        <w:t>；</w:t>
      </w:r>
    </w:p>
    <w:p w14:paraId="1120D230">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主机安装在井盖下方，采用支架式安装，确保膨胀螺丝安装到位、固定可靠，材质耐腐蚀；</w:t>
      </w:r>
    </w:p>
    <w:p w14:paraId="42AD0E41">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安装前对井深及井下管道尺寸等数据进行测量记录，安装完成后校准传感器零点漂移，记录安装的设备型号及序列号，并对</w:t>
      </w:r>
      <w:r>
        <w:rPr>
          <w:rFonts w:hint="eastAsia" w:eastAsia="宋体" w:cs="Times New Roman"/>
          <w:color w:val="000000" w:themeColor="text1"/>
          <w:sz w:val="21"/>
          <w:szCs w:val="21"/>
          <w14:textFill>
            <w14:solidFill>
              <w14:schemeClr w14:val="tx1"/>
            </w14:solidFill>
          </w14:textFill>
        </w:rPr>
        <w:t>检查井</w:t>
      </w:r>
      <w:r>
        <w:rPr>
          <w:rFonts w:eastAsia="宋体" w:cs="Times New Roman"/>
          <w:iCs/>
          <w:color w:val="000000" w:themeColor="text1"/>
          <w:sz w:val="21"/>
          <w:szCs w:val="21"/>
          <w14:textFill>
            <w14:solidFill>
              <w14:schemeClr w14:val="tx1"/>
            </w14:solidFill>
          </w14:textFill>
        </w:rPr>
        <w:t>位置进行定位记录，做好施工记录及视频、图像保存。</w:t>
      </w:r>
    </w:p>
    <w:p w14:paraId="01A95530">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4.4.9 </w:t>
      </w:r>
      <w:r>
        <w:rPr>
          <w:rFonts w:eastAsia="宋体" w:cs="Times New Roman"/>
          <w:iCs/>
          <w:color w:val="000000" w:themeColor="text1"/>
          <w:sz w:val="21"/>
          <w:szCs w:val="21"/>
          <w14:textFill>
            <w14:solidFill>
              <w14:schemeClr w14:val="tx1"/>
            </w14:solidFill>
          </w14:textFill>
        </w:rPr>
        <w:t>排水管网、排口水质监测仪的技术指标应符合以下规定：</w:t>
      </w:r>
    </w:p>
    <w:p w14:paraId="5D33DD6E">
      <w:pPr>
        <w:spacing w:line="360" w:lineRule="auto"/>
        <w:ind w:firstLine="42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pH量程为2～14，分辨率为0.001；</w:t>
      </w:r>
    </w:p>
    <w:p w14:paraId="4DF62542">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氨氮量程为（0～100）mg/L，精度为±3% F.S.；</w:t>
      </w:r>
    </w:p>
    <w:p w14:paraId="3FA5AC77">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CODcr量程为（10～5000）mg/L，重现性为5%；</w:t>
      </w:r>
    </w:p>
    <w:p w14:paraId="3D5C266F">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iCs/>
          <w:color w:val="000000" w:themeColor="text1"/>
          <w:sz w:val="21"/>
          <w:szCs w:val="21"/>
          <w14:textFill>
            <w14:solidFill>
              <w14:schemeClr w14:val="tx1"/>
            </w14:solidFill>
          </w14:textFill>
        </w:rPr>
        <w:t>总磷测量范围：（0～50）mg/L，准确度为±5%。</w:t>
      </w:r>
    </w:p>
    <w:p w14:paraId="4C396619">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4.4.10 </w:t>
      </w:r>
      <w:r>
        <w:rPr>
          <w:rFonts w:eastAsia="宋体" w:cs="Times New Roman"/>
          <w:iCs/>
          <w:color w:val="000000" w:themeColor="text1"/>
          <w:sz w:val="21"/>
          <w:szCs w:val="21"/>
          <w14:textFill>
            <w14:solidFill>
              <w14:schemeClr w14:val="tx1"/>
            </w14:solidFill>
          </w14:textFill>
        </w:rPr>
        <w:t>河道水位计安装应符合以下规定：</w:t>
      </w:r>
    </w:p>
    <w:p w14:paraId="5D126BD9">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水位计安装前对河道最低水位及其实际深度等数据进行测量记录，并标记安装位置，水位计波域范围在河道最深处，避免安装在易受漂浮物冲击或泥沙淤积严重的区域</w:t>
      </w:r>
      <w:r>
        <w:rPr>
          <w:rFonts w:eastAsia="MS Gothic" w:cs="Times New Roman"/>
          <w:iCs/>
          <w:color w:val="000000" w:themeColor="text1"/>
          <w:sz w:val="21"/>
          <w:szCs w:val="21"/>
          <w14:textFill>
            <w14:solidFill>
              <w14:schemeClr w14:val="tx1"/>
            </w14:solidFill>
          </w14:textFill>
        </w:rPr>
        <w:t>‌</w:t>
      </w:r>
      <w:r>
        <w:rPr>
          <w:rFonts w:eastAsia="宋体" w:cs="Times New Roman"/>
          <w:iCs/>
          <w:color w:val="000000" w:themeColor="text1"/>
          <w:sz w:val="21"/>
          <w:szCs w:val="21"/>
          <w14:textFill>
            <w14:solidFill>
              <w14:schemeClr w14:val="tx1"/>
            </w14:solidFill>
          </w14:textFill>
        </w:rPr>
        <w:t>；</w:t>
      </w:r>
    </w:p>
    <w:p w14:paraId="4F97BA1A">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水位计安装时，基础开挖及浇筑时在周边铺设土工布防止破坏绿化及土壤等，立杆安装太阳能、电池、水位计等设备，确保杆件及设备安装到位、固定可靠；</w:t>
      </w:r>
    </w:p>
    <w:p w14:paraId="30793315">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将信号传输天线固定于空旷有利于传输位置处，与信息中心确认设备接收和发送数据正常，安装完成后记录安装的设备型号及序列号，并对位置进行定位记录，做好施工记录及视频、图像保存。</w:t>
      </w:r>
    </w:p>
    <w:p w14:paraId="049EDBB6">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4.4.11 </w:t>
      </w:r>
      <w:r>
        <w:rPr>
          <w:rFonts w:eastAsia="宋体" w:cs="Times New Roman"/>
          <w:iCs/>
          <w:color w:val="000000" w:themeColor="text1"/>
          <w:sz w:val="21"/>
          <w:szCs w:val="21"/>
          <w14:textFill>
            <w14:solidFill>
              <w14:schemeClr w14:val="tx1"/>
            </w14:solidFill>
          </w14:textFill>
        </w:rPr>
        <w:t>河道水位计的技术指标应符合以下规定：</w:t>
      </w:r>
    </w:p>
    <w:p w14:paraId="4BF48435">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量程为（0～20）m；</w:t>
      </w:r>
    </w:p>
    <w:p w14:paraId="05A8D28D">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精度为±1% F.S.；</w:t>
      </w:r>
    </w:p>
    <w:p w14:paraId="12B728CD">
      <w:pPr>
        <w:spacing w:line="360" w:lineRule="auto"/>
        <w:ind w:firstLine="42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应具有防腐、防水、防尘等抗恶劣环境性能。</w:t>
      </w:r>
    </w:p>
    <w:p w14:paraId="325D4B35">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4.4.12 </w:t>
      </w:r>
      <w:r>
        <w:rPr>
          <w:rFonts w:eastAsia="宋体" w:cs="Times New Roman"/>
          <w:iCs/>
          <w:color w:val="000000" w:themeColor="text1"/>
          <w:sz w:val="21"/>
          <w:szCs w:val="21"/>
          <w14:textFill>
            <w14:solidFill>
              <w14:schemeClr w14:val="tx1"/>
            </w14:solidFill>
          </w14:textFill>
        </w:rPr>
        <w:t>雨量计安装应符合以下规定：</w:t>
      </w:r>
    </w:p>
    <w:p w14:paraId="40EF88AF">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雨量计安装位置选择开阔、风力较弱的空地，避免周边障碍物遮挡，障碍物与雨量计的距离应大于障碍物与承雨口高差的2倍，承雨口距地面高度不低于0.7米，保持水平状态，水平度偏差≤±1.0°</w:t>
      </w:r>
      <w:r>
        <w:rPr>
          <w:rFonts w:hint="eastAsia" w:eastAsia="宋体" w:cs="Times New Roman"/>
          <w:iCs/>
          <w:color w:val="000000" w:themeColor="text1"/>
          <w:sz w:val="21"/>
          <w:szCs w:val="21"/>
          <w14:textFill>
            <w14:solidFill>
              <w14:schemeClr w14:val="tx1"/>
            </w14:solidFill>
          </w14:textFill>
        </w:rPr>
        <w:t>；</w:t>
      </w:r>
    </w:p>
    <w:p w14:paraId="672578EB">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采用混凝土基座，通过不锈钢地脚螺栓与地面牢固连接，确保暴风雨中不抖动或倾斜，基座需预留排水管和电缆通道，防止积水或线缆损坏</w:t>
      </w:r>
      <w:r>
        <w:rPr>
          <w:rFonts w:hint="eastAsia" w:eastAsia="宋体" w:cs="Times New Roman"/>
          <w:iCs/>
          <w:color w:val="000000" w:themeColor="text1"/>
          <w:sz w:val="21"/>
          <w:szCs w:val="21"/>
          <w14:textFill>
            <w14:solidFill>
              <w14:schemeClr w14:val="tx1"/>
            </w14:solidFill>
          </w14:textFill>
        </w:rPr>
        <w:t>；</w:t>
      </w:r>
    </w:p>
    <w:p w14:paraId="0832FAFF">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安装后需进行清零和初始化设置，测试信号输出是否正常，确保翻斗翻转与计量器同步</w:t>
      </w:r>
      <w:r>
        <w:rPr>
          <w:rFonts w:eastAsia="MS Gothic" w:cs="Times New Roman"/>
          <w:iCs/>
          <w:color w:val="000000" w:themeColor="text1"/>
          <w:sz w:val="21"/>
          <w:szCs w:val="21"/>
          <w14:textFill>
            <w14:solidFill>
              <w14:schemeClr w14:val="tx1"/>
            </w14:solidFill>
          </w14:textFill>
        </w:rPr>
        <w:t>‌</w:t>
      </w:r>
      <w:r>
        <w:rPr>
          <w:rFonts w:eastAsia="宋体" w:cs="Times New Roman"/>
          <w:iCs/>
          <w:color w:val="000000" w:themeColor="text1"/>
          <w:sz w:val="21"/>
          <w:szCs w:val="21"/>
          <w14:textFill>
            <w14:solidFill>
              <w14:schemeClr w14:val="tx1"/>
            </w14:solidFill>
          </w14:textFill>
        </w:rPr>
        <w:t>，记录安装的设备型号及序列号，并对位置进行定位记录，做好施工记录及视频、图像保存。</w:t>
      </w:r>
    </w:p>
    <w:p w14:paraId="324A1176">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4.4.13 </w:t>
      </w:r>
      <w:r>
        <w:rPr>
          <w:rFonts w:eastAsia="宋体" w:cs="Times New Roman"/>
          <w:iCs/>
          <w:color w:val="000000" w:themeColor="text1"/>
          <w:sz w:val="21"/>
          <w:szCs w:val="21"/>
          <w14:textFill>
            <w14:solidFill>
              <w14:schemeClr w14:val="tx1"/>
            </w14:solidFill>
          </w14:textFill>
        </w:rPr>
        <w:t>雨量计的技术指标应符合以下规定：</w:t>
      </w:r>
    </w:p>
    <w:p w14:paraId="1046AC3C">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量程为0.01mm/min ~4mm/min（允许通过最大雨强8mm/min）；</w:t>
      </w:r>
    </w:p>
    <w:p w14:paraId="548E42E1">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精度：±0.1mm；</w:t>
      </w:r>
    </w:p>
    <w:p w14:paraId="382BF83B">
      <w:pPr>
        <w:spacing w:line="360" w:lineRule="auto"/>
        <w:ind w:firstLine="420"/>
        <w:jc w:val="left"/>
        <w:rPr>
          <w:rFonts w:eastAsia="宋体" w:cs="Times New Roman"/>
          <w:bCs/>
          <w:sz w:val="24"/>
          <w:szCs w:val="24"/>
        </w:rPr>
      </w:pPr>
      <w:r>
        <w:rPr>
          <w:rFonts w:cs="Times New Roman" w:eastAsiaTheme="minorEastAsia"/>
          <w:iCs/>
          <w:color w:val="000000" w:themeColor="text1"/>
          <w:sz w:val="21"/>
          <w:szCs w:val="21"/>
          <w14:textFill>
            <w14:solidFill>
              <w14:schemeClr w14:val="tx1"/>
            </w14:solidFill>
          </w14:textFill>
        </w:rPr>
        <w:t>3</w:t>
      </w:r>
      <w:r>
        <w:rPr>
          <w:rFonts w:eastAsia="宋体" w:cs="Times New Roman"/>
          <w:iCs/>
          <w:color w:val="000000" w:themeColor="text1"/>
          <w:sz w:val="21"/>
          <w:szCs w:val="21"/>
          <w14:textFill>
            <w14:solidFill>
              <w14:schemeClr w14:val="tx1"/>
            </w14:solidFill>
          </w14:textFill>
        </w:rPr>
        <w:t xml:space="preserve"> 应具有防腐、防水等抗恶劣环境性能。</w:t>
      </w:r>
    </w:p>
    <w:p w14:paraId="60D33958">
      <w:pPr>
        <w:keepNext/>
        <w:keepLines/>
        <w:spacing w:line="360" w:lineRule="auto"/>
        <w:ind w:firstLine="0" w:firstLineChars="0"/>
        <w:jc w:val="center"/>
        <w:outlineLvl w:val="1"/>
        <w:rPr>
          <w:rFonts w:eastAsia="宋体" w:cs="Times New Roman"/>
          <w:b/>
          <w:bCs/>
          <w:sz w:val="28"/>
          <w:szCs w:val="28"/>
        </w:rPr>
      </w:pPr>
      <w:bookmarkStart w:id="71" w:name="_Toc192799302"/>
      <w:r>
        <w:rPr>
          <w:rFonts w:eastAsia="宋体" w:cs="Times New Roman"/>
          <w:b/>
          <w:bCs/>
          <w:sz w:val="28"/>
          <w:szCs w:val="28"/>
        </w:rPr>
        <w:t>4.5  热力</w:t>
      </w:r>
      <w:bookmarkEnd w:id="71"/>
    </w:p>
    <w:p w14:paraId="2819FD54">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4.5.1 </w:t>
      </w:r>
      <w:r>
        <w:rPr>
          <w:rFonts w:eastAsia="宋体" w:cs="Times New Roman"/>
          <w:iCs/>
          <w:color w:val="000000" w:themeColor="text1"/>
          <w:sz w:val="21"/>
          <w:szCs w:val="21"/>
          <w14:textFill>
            <w14:solidFill>
              <w14:schemeClr w14:val="tx1"/>
            </w14:solidFill>
          </w14:textFill>
        </w:rPr>
        <w:t>热力安全监测应根据风险评估结果优先在以下区域和位置进行监测：</w:t>
      </w:r>
    </w:p>
    <w:p w14:paraId="50EFE90F">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1 热力站进出口；</w:t>
      </w:r>
    </w:p>
    <w:p w14:paraId="1F8AEE49">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2</w:t>
      </w:r>
      <w:r>
        <w:rPr>
          <w:rFonts w:hint="eastAsia" w:eastAsia="宋体" w:cs="Times New Roman"/>
          <w:iCs/>
          <w:color w:val="000000" w:themeColor="text1"/>
          <w:sz w:val="21"/>
          <w:szCs w:val="21"/>
          <w14:textFill>
            <w14:solidFill>
              <w14:schemeClr w14:val="tx1"/>
            </w14:solidFill>
          </w14:textFill>
        </w:rPr>
        <w:t xml:space="preserve"> </w:t>
      </w:r>
      <w:r>
        <w:rPr>
          <w:rFonts w:eastAsia="宋体" w:cs="Times New Roman"/>
          <w:iCs/>
          <w:color w:val="000000" w:themeColor="text1"/>
          <w:sz w:val="21"/>
          <w:szCs w:val="21"/>
          <w14:textFill>
            <w14:solidFill>
              <w14:schemeClr w14:val="tx1"/>
            </w14:solidFill>
          </w14:textFill>
        </w:rPr>
        <w:t>经常启停和改变供热介质参数的管线</w:t>
      </w:r>
      <w:r>
        <w:rPr>
          <w:rFonts w:hint="eastAsia" w:eastAsia="宋体" w:cs="Times New Roman"/>
          <w:iCs/>
          <w:color w:val="000000" w:themeColor="text1"/>
          <w:sz w:val="21"/>
          <w:szCs w:val="21"/>
          <w14:textFill>
            <w14:solidFill>
              <w14:schemeClr w14:val="tx1"/>
            </w14:solidFill>
          </w14:textFill>
        </w:rPr>
        <w:t>；</w:t>
      </w:r>
    </w:p>
    <w:p w14:paraId="1523A08B">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hint="eastAsia" w:eastAsia="宋体" w:cs="Times New Roman"/>
          <w:iCs/>
          <w:color w:val="000000" w:themeColor="text1"/>
          <w:sz w:val="21"/>
          <w:szCs w:val="21"/>
          <w14:textFill>
            <w14:solidFill>
              <w14:schemeClr w14:val="tx1"/>
            </w14:solidFill>
          </w14:textFill>
        </w:rPr>
        <w:t>3 位于或穿越重要交通枢纽、公共基础设施以及人密地段的管线；</w:t>
      </w:r>
    </w:p>
    <w:p w14:paraId="5129FFD0">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hint="eastAsia" w:eastAsia="宋体" w:cs="Times New Roman"/>
          <w:iCs/>
          <w:color w:val="000000" w:themeColor="text1"/>
          <w:sz w:val="21"/>
          <w:szCs w:val="21"/>
          <w14:textFill>
            <w14:solidFill>
              <w14:schemeClr w14:val="tx1"/>
            </w14:solidFill>
          </w14:textFill>
        </w:rPr>
        <w:t>4 存在地质灾害影响的管线；</w:t>
      </w:r>
    </w:p>
    <w:p w14:paraId="768EA84E">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hint="eastAsia" w:eastAsia="宋体" w:cs="Times New Roman"/>
          <w:iCs/>
          <w:color w:val="000000" w:themeColor="text1"/>
          <w:sz w:val="21"/>
          <w:szCs w:val="21"/>
          <w14:textFill>
            <w14:solidFill>
              <w14:schemeClr w14:val="tx1"/>
            </w14:solidFill>
          </w14:textFill>
        </w:rPr>
        <w:t>5 城市基建区域内易形成交叉施工的管线；</w:t>
      </w:r>
    </w:p>
    <w:p w14:paraId="0A5F25AC">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hint="eastAsia" w:eastAsia="宋体" w:cs="Times New Roman"/>
          <w:iCs/>
          <w:color w:val="000000" w:themeColor="text1"/>
          <w:sz w:val="21"/>
          <w:szCs w:val="21"/>
          <w14:textFill>
            <w14:solidFill>
              <w14:schemeClr w14:val="tx1"/>
            </w14:solidFill>
          </w14:textFill>
        </w:rPr>
        <w:t>6 老旧主干管线等位置。</w:t>
      </w:r>
    </w:p>
    <w:p w14:paraId="3B147A01">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4.5.2 </w:t>
      </w:r>
      <w:r>
        <w:rPr>
          <w:rFonts w:eastAsia="宋体" w:cs="Times New Roman"/>
          <w:iCs/>
          <w:color w:val="000000" w:themeColor="text1"/>
          <w:sz w:val="21"/>
          <w:szCs w:val="21"/>
          <w14:textFill>
            <w14:solidFill>
              <w14:schemeClr w14:val="tx1"/>
            </w14:solidFill>
          </w14:textFill>
        </w:rPr>
        <w:t>热力安全监测对象、监测</w:t>
      </w:r>
      <w:r>
        <w:rPr>
          <w:rFonts w:hint="eastAsia" w:eastAsia="宋体" w:cs="Times New Roman"/>
          <w:iCs/>
          <w:color w:val="000000" w:themeColor="text1"/>
          <w:sz w:val="21"/>
          <w:szCs w:val="21"/>
          <w14:textFill>
            <w14:solidFill>
              <w14:schemeClr w14:val="tx1"/>
            </w14:solidFill>
          </w14:textFill>
        </w:rPr>
        <w:t>项目</w:t>
      </w:r>
      <w:r>
        <w:rPr>
          <w:rFonts w:eastAsia="宋体" w:cs="Times New Roman"/>
          <w:iCs/>
          <w:color w:val="000000" w:themeColor="text1"/>
          <w:sz w:val="21"/>
          <w:szCs w:val="21"/>
          <w14:textFill>
            <w14:solidFill>
              <w14:schemeClr w14:val="tx1"/>
            </w14:solidFill>
          </w14:textFill>
        </w:rPr>
        <w:t>和监测设备类型应符合表4.5.2的规定。</w:t>
      </w:r>
    </w:p>
    <w:p w14:paraId="093F581A">
      <w:pPr>
        <w:spacing w:line="319" w:lineRule="auto"/>
        <w:ind w:firstLine="0" w:firstLineChars="0"/>
        <w:jc w:val="center"/>
        <w:rPr>
          <w:rFonts w:eastAsia="宋体" w:cs="Times New Roman"/>
          <w:iCs/>
          <w:color w:val="000000" w:themeColor="text1"/>
          <w:sz w:val="21"/>
          <w:szCs w:val="21"/>
          <w14:textFill>
            <w14:solidFill>
              <w14:schemeClr w14:val="tx1"/>
            </w14:solidFill>
          </w14:textFill>
        </w:rPr>
      </w:pPr>
      <w:r>
        <w:rPr>
          <w:rFonts w:eastAsia="宋体" w:cs="Times New Roman"/>
          <w:b/>
          <w:bCs/>
          <w:iCs/>
          <w:color w:val="000000" w:themeColor="text1"/>
          <w:sz w:val="18"/>
          <w:szCs w:val="18"/>
          <w14:textFill>
            <w14:solidFill>
              <w14:schemeClr w14:val="tx1"/>
            </w14:solidFill>
          </w14:textFill>
        </w:rPr>
        <w:t>表4.5.2 热力</w:t>
      </w:r>
      <w:r>
        <w:rPr>
          <w:rFonts w:hint="eastAsia" w:eastAsia="宋体" w:cs="Times New Roman"/>
          <w:b/>
          <w:bCs/>
          <w:iCs/>
          <w:color w:val="000000" w:themeColor="text1"/>
          <w:sz w:val="18"/>
          <w:szCs w:val="18"/>
          <w14:textFill>
            <w14:solidFill>
              <w14:schemeClr w14:val="tx1"/>
            </w14:solidFill>
          </w14:textFill>
        </w:rPr>
        <w:t>安全</w:t>
      </w:r>
      <w:r>
        <w:rPr>
          <w:rFonts w:eastAsia="宋体" w:cs="Times New Roman"/>
          <w:b/>
          <w:bCs/>
          <w:iCs/>
          <w:color w:val="000000" w:themeColor="text1"/>
          <w:sz w:val="18"/>
          <w:szCs w:val="18"/>
          <w14:textFill>
            <w14:solidFill>
              <w14:schemeClr w14:val="tx1"/>
            </w14:solidFill>
          </w14:textFill>
        </w:rPr>
        <w:t>监测对象、监测</w:t>
      </w:r>
      <w:r>
        <w:rPr>
          <w:rFonts w:hint="eastAsia" w:eastAsia="宋体" w:cs="Times New Roman"/>
          <w:b/>
          <w:bCs/>
          <w:iCs/>
          <w:color w:val="000000" w:themeColor="text1"/>
          <w:sz w:val="18"/>
          <w:szCs w:val="18"/>
          <w14:textFill>
            <w14:solidFill>
              <w14:schemeClr w14:val="tx1"/>
            </w14:solidFill>
          </w14:textFill>
        </w:rPr>
        <w:t>项目</w:t>
      </w:r>
      <w:r>
        <w:rPr>
          <w:rFonts w:eastAsia="宋体" w:cs="Times New Roman"/>
          <w:b/>
          <w:bCs/>
          <w:iCs/>
          <w:color w:val="000000" w:themeColor="text1"/>
          <w:sz w:val="18"/>
          <w:szCs w:val="18"/>
          <w14:textFill>
            <w14:solidFill>
              <w14:schemeClr w14:val="tx1"/>
            </w14:solidFill>
          </w14:textFill>
        </w:rPr>
        <w:t>和监测设备类型</w:t>
      </w:r>
    </w:p>
    <w:tbl>
      <w:tblPr>
        <w:tblStyle w:val="8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410"/>
        <w:gridCol w:w="2268"/>
      </w:tblGrid>
      <w:tr w14:paraId="0742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5994E43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监测对象</w:t>
            </w:r>
          </w:p>
        </w:tc>
        <w:tc>
          <w:tcPr>
            <w:tcW w:w="2410" w:type="dxa"/>
            <w:tcBorders>
              <w:top w:val="single" w:color="auto" w:sz="4" w:space="0"/>
              <w:left w:val="single" w:color="auto" w:sz="4" w:space="0"/>
              <w:bottom w:val="single" w:color="auto" w:sz="4" w:space="0"/>
              <w:right w:val="single" w:color="auto" w:sz="4" w:space="0"/>
            </w:tcBorders>
            <w:vAlign w:val="center"/>
          </w:tcPr>
          <w:p w14:paraId="2A1EDFA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w:t>
            </w:r>
            <w:r>
              <w:rPr>
                <w:rFonts w:hint="eastAsia" w:eastAsia="宋体" w:cs="Times New Roman"/>
                <w:iCs/>
                <w:color w:val="000000" w:themeColor="text1"/>
                <w:sz w:val="18"/>
                <w:szCs w:val="18"/>
                <w14:textFill>
                  <w14:solidFill>
                    <w14:schemeClr w14:val="tx1"/>
                  </w14:solidFill>
                </w14:textFill>
              </w:rPr>
              <w:t>项目</w:t>
            </w:r>
          </w:p>
        </w:tc>
        <w:tc>
          <w:tcPr>
            <w:tcW w:w="2268" w:type="dxa"/>
            <w:tcBorders>
              <w:top w:val="single" w:color="auto" w:sz="4" w:space="0"/>
              <w:left w:val="single" w:color="auto" w:sz="4" w:space="0"/>
              <w:bottom w:val="single" w:color="auto" w:sz="4" w:space="0"/>
              <w:right w:val="single" w:color="auto" w:sz="4" w:space="0"/>
            </w:tcBorders>
            <w:vAlign w:val="center"/>
          </w:tcPr>
          <w:p w14:paraId="124ECC4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监测设备</w:t>
            </w:r>
          </w:p>
        </w:tc>
      </w:tr>
      <w:tr w14:paraId="359F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49A7BEE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热力管网</w:t>
            </w:r>
          </w:p>
        </w:tc>
        <w:tc>
          <w:tcPr>
            <w:tcW w:w="2410" w:type="dxa"/>
            <w:tcBorders>
              <w:top w:val="single" w:color="auto" w:sz="4" w:space="0"/>
              <w:left w:val="single" w:color="auto" w:sz="4" w:space="0"/>
              <w:bottom w:val="single" w:color="auto" w:sz="4" w:space="0"/>
              <w:right w:val="single" w:color="auto" w:sz="4" w:space="0"/>
            </w:tcBorders>
            <w:vAlign w:val="center"/>
          </w:tcPr>
          <w:p w14:paraId="26FF271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土壤温度</w:t>
            </w:r>
          </w:p>
        </w:tc>
        <w:tc>
          <w:tcPr>
            <w:tcW w:w="2268" w:type="dxa"/>
            <w:tcBorders>
              <w:top w:val="single" w:color="auto" w:sz="4" w:space="0"/>
              <w:left w:val="single" w:color="auto" w:sz="4" w:space="0"/>
              <w:bottom w:val="single" w:color="auto" w:sz="4" w:space="0"/>
              <w:right w:val="single" w:color="auto" w:sz="4" w:space="0"/>
            </w:tcBorders>
            <w:vAlign w:val="center"/>
          </w:tcPr>
          <w:p w14:paraId="099974A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土壤温度传感器</w:t>
            </w:r>
          </w:p>
        </w:tc>
      </w:tr>
      <w:tr w14:paraId="036A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41D3D76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疏水箱</w:t>
            </w:r>
          </w:p>
        </w:tc>
        <w:tc>
          <w:tcPr>
            <w:tcW w:w="2410" w:type="dxa"/>
            <w:tcBorders>
              <w:top w:val="single" w:color="auto" w:sz="4" w:space="0"/>
              <w:left w:val="single" w:color="auto" w:sz="4" w:space="0"/>
              <w:bottom w:val="single" w:color="auto" w:sz="4" w:space="0"/>
              <w:right w:val="single" w:color="auto" w:sz="4" w:space="0"/>
            </w:tcBorders>
            <w:vAlign w:val="center"/>
          </w:tcPr>
          <w:p w14:paraId="33838CC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压力</w:t>
            </w:r>
          </w:p>
        </w:tc>
        <w:tc>
          <w:tcPr>
            <w:tcW w:w="2268" w:type="dxa"/>
            <w:tcBorders>
              <w:top w:val="single" w:color="auto" w:sz="4" w:space="0"/>
              <w:left w:val="single" w:color="auto" w:sz="4" w:space="0"/>
              <w:bottom w:val="single" w:color="auto" w:sz="4" w:space="0"/>
              <w:right w:val="single" w:color="auto" w:sz="4" w:space="0"/>
            </w:tcBorders>
            <w:vAlign w:val="center"/>
          </w:tcPr>
          <w:p w14:paraId="705565E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压力传感器</w:t>
            </w:r>
          </w:p>
        </w:tc>
      </w:tr>
      <w:tr w14:paraId="41BC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458ED21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疏水箱</w:t>
            </w:r>
          </w:p>
        </w:tc>
        <w:tc>
          <w:tcPr>
            <w:tcW w:w="2410" w:type="dxa"/>
            <w:tcBorders>
              <w:top w:val="single" w:color="auto" w:sz="4" w:space="0"/>
              <w:left w:val="single" w:color="auto" w:sz="4" w:space="0"/>
              <w:bottom w:val="single" w:color="auto" w:sz="4" w:space="0"/>
              <w:right w:val="single" w:color="auto" w:sz="4" w:space="0"/>
            </w:tcBorders>
            <w:vAlign w:val="center"/>
          </w:tcPr>
          <w:p w14:paraId="643C5F0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w:t>
            </w:r>
          </w:p>
        </w:tc>
        <w:tc>
          <w:tcPr>
            <w:tcW w:w="2268" w:type="dxa"/>
            <w:tcBorders>
              <w:top w:val="single" w:color="auto" w:sz="4" w:space="0"/>
              <w:left w:val="single" w:color="auto" w:sz="4" w:space="0"/>
              <w:bottom w:val="single" w:color="auto" w:sz="4" w:space="0"/>
              <w:right w:val="single" w:color="auto" w:sz="4" w:space="0"/>
            </w:tcBorders>
            <w:vAlign w:val="center"/>
          </w:tcPr>
          <w:p w14:paraId="1E54627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温度传感器</w:t>
            </w:r>
          </w:p>
        </w:tc>
      </w:tr>
    </w:tbl>
    <w:p w14:paraId="32AC8027">
      <w:pPr>
        <w:spacing w:line="360" w:lineRule="auto"/>
        <w:ind w:firstLine="0" w:firstLineChars="0"/>
        <w:jc w:val="center"/>
        <w:rPr>
          <w:rFonts w:eastAsia="宋体" w:cs="Times New Roman"/>
          <w:bCs/>
          <w:sz w:val="18"/>
          <w:szCs w:val="18"/>
        </w:rPr>
      </w:pPr>
      <w:r>
        <w:rPr>
          <w:rFonts w:hint="eastAsia" w:eastAsia="宋体" w:cs="Times New Roman"/>
          <w:bCs/>
          <w:sz w:val="18"/>
          <w:szCs w:val="18"/>
        </w:rPr>
        <w:t>注：热力监测项目运行技术参数及相应规定见《城市生命线工程安全运行监测技术标准》DB34/T 4021</w:t>
      </w:r>
    </w:p>
    <w:p w14:paraId="026F6888">
      <w:pPr>
        <w:spacing w:line="360" w:lineRule="auto"/>
        <w:ind w:firstLine="0" w:firstLineChars="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4.5.3 </w:t>
      </w:r>
      <w:r>
        <w:rPr>
          <w:rFonts w:eastAsia="宋体" w:cs="Times New Roman"/>
          <w:iCs/>
          <w:color w:val="000000" w:themeColor="text1"/>
          <w:sz w:val="21"/>
          <w:szCs w:val="21"/>
          <w14:textFill>
            <w14:solidFill>
              <w14:schemeClr w14:val="tx1"/>
            </w14:solidFill>
          </w14:textFill>
        </w:rPr>
        <w:t>热力管网土壤温度传感器安装应符合以下规定：</w:t>
      </w:r>
    </w:p>
    <w:p w14:paraId="53A4E8E8">
      <w:pPr>
        <w:spacing w:line="360" w:lineRule="auto"/>
        <w:ind w:firstLine="42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探清热力管道分布，在管道边缘20cm处垂直打孔，打孔直径为100mm，打孔深度至热力管道中心轴线处，不锈钢钢管埋设进孔中，底部做密封防锈处理；</w:t>
      </w:r>
    </w:p>
    <w:p w14:paraId="48E80505">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土壤温度传感器沿着不锈钢钢管放入，土壤温度传感器探头部分和铜块固定在一起放在钢管底部，保证铜块和钢管充分接触；</w:t>
      </w:r>
    </w:p>
    <w:p w14:paraId="034CA5F0">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钢管顶部用螺纹密封盖加防水垫方式密封，防水能力应符合现行国家标准《外壳防护等级(IP代码)》 GB/T4208的规定。密封盖顶部预留孔位应加装转接头，穿线后做防水措施，防水能力应符合现行国家标准《外壳防护等级(IP代码)》GB/T4208的规定；</w:t>
      </w:r>
    </w:p>
    <w:p w14:paraId="4441F600">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iCs/>
          <w:color w:val="000000" w:themeColor="text1"/>
          <w:sz w:val="21"/>
          <w:szCs w:val="21"/>
          <w14:textFill>
            <w14:solidFill>
              <w14:schemeClr w14:val="tx1"/>
            </w14:solidFill>
          </w14:textFill>
        </w:rPr>
        <w:t>安装完成后，对土壤温度传感器进行测试，确保其正常运行。</w:t>
      </w:r>
    </w:p>
    <w:p w14:paraId="66DF8214">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4.5.4 </w:t>
      </w:r>
      <w:r>
        <w:rPr>
          <w:rFonts w:eastAsia="宋体" w:cs="Times New Roman"/>
          <w:iCs/>
          <w:color w:val="000000" w:themeColor="text1"/>
          <w:sz w:val="21"/>
          <w:szCs w:val="21"/>
          <w14:textFill>
            <w14:solidFill>
              <w14:schemeClr w14:val="tx1"/>
            </w14:solidFill>
          </w14:textFill>
        </w:rPr>
        <w:t>热力管网土壤温度传感器的技术指标应符合以下规定：</w:t>
      </w:r>
    </w:p>
    <w:p w14:paraId="7F877992">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量程为（0～150）℃；</w:t>
      </w:r>
    </w:p>
    <w:p w14:paraId="6D6FF3A0">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精度为±0.5%FS；</w:t>
      </w:r>
    </w:p>
    <w:p w14:paraId="5EB0A413">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应具有WF1级防腐、IP68级防护等抗恶劣环境性能。</w:t>
      </w:r>
    </w:p>
    <w:p w14:paraId="2CF014A7">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4.5.5 </w:t>
      </w:r>
      <w:r>
        <w:rPr>
          <w:rFonts w:eastAsia="宋体" w:cs="Times New Roman"/>
          <w:iCs/>
          <w:color w:val="000000" w:themeColor="text1"/>
          <w:sz w:val="21"/>
          <w:szCs w:val="21"/>
          <w14:textFill>
            <w14:solidFill>
              <w14:schemeClr w14:val="tx1"/>
            </w14:solidFill>
          </w14:textFill>
        </w:rPr>
        <w:t>疏水箱压力传感器安装应符合以下规定：</w:t>
      </w:r>
    </w:p>
    <w:p w14:paraId="0592EAE1">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每个零件连接处加装铜制垫片紧密安装；</w:t>
      </w:r>
    </w:p>
    <w:p w14:paraId="4B5D94B6">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安装在介质正流向第一个三通的主管上，结合实际情况选择安装位置及旋转角度，不影响截止阀正常开关操作；</w:t>
      </w:r>
    </w:p>
    <w:p w14:paraId="3C67403D">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在选定的安装位置上开孔，压力传感器弯管底部与开孔位置吻合后焊接；焊缝处符合一级焊缝要求；</w:t>
      </w:r>
    </w:p>
    <w:p w14:paraId="6DEBFDCD">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iCs/>
          <w:color w:val="000000" w:themeColor="text1"/>
          <w:sz w:val="21"/>
          <w:szCs w:val="21"/>
          <w14:textFill>
            <w14:solidFill>
              <w14:schemeClr w14:val="tx1"/>
            </w14:solidFill>
          </w14:textFill>
        </w:rPr>
        <w:t>焊缝应进行100％超声波探伤检查，焊接内部质量应符合现行国家标准《无损检测 金属管道熔化焊环向对接接头射线照相检测方法》GB/T 12605中II级质量要求；</w:t>
      </w:r>
    </w:p>
    <w:p w14:paraId="0C4D779F">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5 </w:t>
      </w:r>
      <w:r>
        <w:rPr>
          <w:rFonts w:eastAsia="宋体" w:cs="Times New Roman"/>
          <w:iCs/>
          <w:color w:val="000000" w:themeColor="text1"/>
          <w:sz w:val="21"/>
          <w:szCs w:val="21"/>
          <w14:textFill>
            <w14:solidFill>
              <w14:schemeClr w14:val="tx1"/>
            </w14:solidFill>
          </w14:textFill>
        </w:rPr>
        <w:t>连接处无渗漏点，压力传感器安装整体美观大方；</w:t>
      </w:r>
    </w:p>
    <w:p w14:paraId="682D8B44">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6 </w:t>
      </w:r>
      <w:r>
        <w:rPr>
          <w:rFonts w:eastAsia="宋体" w:cs="Times New Roman"/>
          <w:iCs/>
          <w:color w:val="000000" w:themeColor="text1"/>
          <w:sz w:val="21"/>
          <w:szCs w:val="21"/>
          <w14:textFill>
            <w14:solidFill>
              <w14:schemeClr w14:val="tx1"/>
            </w14:solidFill>
          </w14:textFill>
        </w:rPr>
        <w:t>穿线管宜采用金属线管，疏水箱内部布线整洁有序，线缆两端应挂设标签，标注相应的编号；</w:t>
      </w:r>
    </w:p>
    <w:p w14:paraId="3C139D5C">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7 </w:t>
      </w:r>
      <w:r>
        <w:rPr>
          <w:rFonts w:eastAsia="宋体" w:cs="Times New Roman"/>
          <w:iCs/>
          <w:color w:val="000000" w:themeColor="text1"/>
          <w:sz w:val="21"/>
          <w:szCs w:val="21"/>
          <w14:textFill>
            <w14:solidFill>
              <w14:schemeClr w14:val="tx1"/>
            </w14:solidFill>
          </w14:textFill>
        </w:rPr>
        <w:t>安装完成后，对疏水箱压力传感器进行测试，确保其正常运行；</w:t>
      </w:r>
    </w:p>
    <w:p w14:paraId="13561840">
      <w:pPr>
        <w:spacing w:line="360" w:lineRule="auto"/>
        <w:ind w:firstLine="420"/>
        <w:jc w:val="left"/>
        <w:rPr>
          <w:rFonts w:eastAsia="宋体" w:cs="Times New Roman"/>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 xml:space="preserve">8 </w:t>
      </w:r>
      <w:r>
        <w:rPr>
          <w:rFonts w:eastAsia="宋体" w:cs="Times New Roman"/>
          <w:sz w:val="21"/>
          <w:szCs w:val="21"/>
        </w:rPr>
        <w:t>安装</w:t>
      </w:r>
      <w:r>
        <w:rPr>
          <w:rFonts w:eastAsia="宋体" w:cs="Times New Roman"/>
          <w:iCs/>
          <w:color w:val="000000" w:themeColor="text1"/>
          <w:sz w:val="21"/>
          <w:szCs w:val="21"/>
          <w14:textFill>
            <w14:solidFill>
              <w14:schemeClr w14:val="tx1"/>
            </w14:solidFill>
          </w14:textFill>
        </w:rPr>
        <w:t>疏水箱压力传感器</w:t>
      </w:r>
      <w:r>
        <w:rPr>
          <w:rFonts w:eastAsia="宋体" w:cs="Times New Roman"/>
          <w:sz w:val="21"/>
          <w:szCs w:val="21"/>
        </w:rPr>
        <w:t>的位置应提前预留安装接口和安装空间。</w:t>
      </w:r>
    </w:p>
    <w:p w14:paraId="60515A1B">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4.5.6 </w:t>
      </w:r>
      <w:r>
        <w:rPr>
          <w:rFonts w:eastAsia="宋体" w:cs="Times New Roman"/>
          <w:iCs/>
          <w:color w:val="000000" w:themeColor="text1"/>
          <w:sz w:val="21"/>
          <w:szCs w:val="21"/>
          <w14:textFill>
            <w14:solidFill>
              <w14:schemeClr w14:val="tx1"/>
            </w14:solidFill>
          </w14:textFill>
        </w:rPr>
        <w:t>疏水箱压力传感器的技术指标应符合以下规定：</w:t>
      </w:r>
    </w:p>
    <w:p w14:paraId="66FA4F4E">
      <w:pPr>
        <w:spacing w:line="360" w:lineRule="auto"/>
        <w:ind w:firstLine="42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量程为（0～2.5）MPa；</w:t>
      </w:r>
    </w:p>
    <w:p w14:paraId="7EF8C844">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精度为±0.2% F.S.；</w:t>
      </w:r>
    </w:p>
    <w:p w14:paraId="4984D6BA">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应具有WF1级防腐、IP68级防护等抗恶劣环境性能。</w:t>
      </w:r>
    </w:p>
    <w:p w14:paraId="6EDF36F2">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4.5.7 </w:t>
      </w:r>
      <w:r>
        <w:rPr>
          <w:rFonts w:eastAsia="宋体" w:cs="Times New Roman"/>
          <w:iCs/>
          <w:color w:val="000000" w:themeColor="text1"/>
          <w:sz w:val="21"/>
          <w:szCs w:val="21"/>
          <w14:textFill>
            <w14:solidFill>
              <w14:schemeClr w14:val="tx1"/>
            </w14:solidFill>
          </w14:textFill>
        </w:rPr>
        <w:t>疏水箱温度传感器安装应符合以下规定：</w:t>
      </w:r>
    </w:p>
    <w:p w14:paraId="43F8CA72">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安装在介质正流向最下游的疏水引出管上，结合实际情况选择安装位置及旋转角度，不影响疏水箱门的正常开关；</w:t>
      </w:r>
    </w:p>
    <w:p w14:paraId="050E817B">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先焊接配套焊座套管，再将温度传感器与底座连接安装，焊缝处应符合一级焊缝要求；</w:t>
      </w:r>
    </w:p>
    <w:p w14:paraId="0D0F3AB3">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焊缝进行100％超声波探伤检查，焊接内部质量应符合现行国家标准《无损检测 金属管道熔化焊环向对接接头射线照相检测方法》GB/T12605中II级质量要求；</w:t>
      </w:r>
    </w:p>
    <w:p w14:paraId="4F08DA5C">
      <w:pPr>
        <w:spacing w:line="360" w:lineRule="auto"/>
        <w:ind w:firstLine="42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iCs/>
          <w:color w:val="000000" w:themeColor="text1"/>
          <w:sz w:val="21"/>
          <w:szCs w:val="21"/>
          <w14:textFill>
            <w14:solidFill>
              <w14:schemeClr w14:val="tx1"/>
            </w14:solidFill>
          </w14:textFill>
        </w:rPr>
        <w:t>连接处无渗漏点，温度传感器安装整体美观大方；</w:t>
      </w:r>
    </w:p>
    <w:p w14:paraId="1D44ACB0">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5 </w:t>
      </w:r>
      <w:r>
        <w:rPr>
          <w:rFonts w:eastAsia="宋体" w:cs="Times New Roman"/>
          <w:iCs/>
          <w:color w:val="000000" w:themeColor="text1"/>
          <w:sz w:val="21"/>
          <w:szCs w:val="21"/>
          <w14:textFill>
            <w14:solidFill>
              <w14:schemeClr w14:val="tx1"/>
            </w14:solidFill>
          </w14:textFill>
        </w:rPr>
        <w:t>安装时接线端朝上，安装焊座套管时保持螺纹端与水平夹角向上仰角3°～6°；</w:t>
      </w:r>
    </w:p>
    <w:p w14:paraId="7AB5A56A">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6 </w:t>
      </w:r>
      <w:r>
        <w:rPr>
          <w:rFonts w:eastAsia="宋体" w:cs="Times New Roman"/>
          <w:iCs/>
          <w:color w:val="000000" w:themeColor="text1"/>
          <w:sz w:val="21"/>
          <w:szCs w:val="21"/>
          <w14:textFill>
            <w14:solidFill>
              <w14:schemeClr w14:val="tx1"/>
            </w14:solidFill>
          </w14:textFill>
        </w:rPr>
        <w:t>穿线管宜采用金属线管，疏水箱内部布线整洁有序，线缆两端挂设标签，标注相应的编号；</w:t>
      </w:r>
    </w:p>
    <w:p w14:paraId="7861CEB6">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7 </w:t>
      </w:r>
      <w:r>
        <w:rPr>
          <w:rFonts w:eastAsia="宋体" w:cs="Times New Roman"/>
          <w:iCs/>
          <w:color w:val="000000" w:themeColor="text1"/>
          <w:sz w:val="21"/>
          <w:szCs w:val="21"/>
          <w14:textFill>
            <w14:solidFill>
              <w14:schemeClr w14:val="tx1"/>
            </w14:solidFill>
          </w14:textFill>
        </w:rPr>
        <w:t>安装完成后，对土壤温度传感器进行测试，确保其正常运行；</w:t>
      </w:r>
    </w:p>
    <w:p w14:paraId="4792440B">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 xml:space="preserve">8 </w:t>
      </w:r>
      <w:r>
        <w:rPr>
          <w:rFonts w:eastAsia="宋体" w:cs="Times New Roman"/>
          <w:sz w:val="21"/>
          <w:szCs w:val="21"/>
        </w:rPr>
        <w:t>安装</w:t>
      </w:r>
      <w:r>
        <w:rPr>
          <w:rFonts w:eastAsia="宋体" w:cs="Times New Roman"/>
          <w:iCs/>
          <w:color w:val="000000" w:themeColor="text1"/>
          <w:sz w:val="21"/>
          <w:szCs w:val="21"/>
          <w14:textFill>
            <w14:solidFill>
              <w14:schemeClr w14:val="tx1"/>
            </w14:solidFill>
          </w14:textFill>
        </w:rPr>
        <w:t>疏水箱压力传感器</w:t>
      </w:r>
      <w:r>
        <w:rPr>
          <w:rFonts w:eastAsia="宋体" w:cs="Times New Roman"/>
          <w:sz w:val="21"/>
          <w:szCs w:val="21"/>
        </w:rPr>
        <w:t>的位置应提前预留安装接口和安装空间。</w:t>
      </w:r>
    </w:p>
    <w:p w14:paraId="36C843D1">
      <w:pPr>
        <w:spacing w:line="360" w:lineRule="auto"/>
        <w:ind w:firstLine="0" w:firstLineChars="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4.5.8 </w:t>
      </w:r>
      <w:r>
        <w:rPr>
          <w:rFonts w:eastAsia="宋体" w:cs="Times New Roman"/>
          <w:iCs/>
          <w:color w:val="000000" w:themeColor="text1"/>
          <w:sz w:val="21"/>
          <w:szCs w:val="21"/>
          <w14:textFill>
            <w14:solidFill>
              <w14:schemeClr w14:val="tx1"/>
            </w14:solidFill>
          </w14:textFill>
        </w:rPr>
        <w:t>疏水箱温度传感器的技术指标应符合以下规定：</w:t>
      </w:r>
    </w:p>
    <w:p w14:paraId="70EE2106">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量程为0℃～250℃；</w:t>
      </w:r>
    </w:p>
    <w:p w14:paraId="16ADA3E9">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精度为±0.5% F.S.；</w:t>
      </w:r>
    </w:p>
    <w:p w14:paraId="3BF495FD">
      <w:pPr>
        <w:spacing w:line="360" w:lineRule="auto"/>
        <w:ind w:firstLine="420"/>
        <w:jc w:val="left"/>
        <w:rPr>
          <w:rFonts w:eastAsia="宋体" w:cs="Times New Roman"/>
          <w:sz w:val="24"/>
          <w:szCs w:val="24"/>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应具有WF1级防腐、IP68级防护等抗恶劣环境。</w:t>
      </w:r>
    </w:p>
    <w:p w14:paraId="7F13BBF4">
      <w:pPr>
        <w:keepNext/>
        <w:keepLines/>
        <w:spacing w:line="360" w:lineRule="auto"/>
        <w:ind w:firstLine="0" w:firstLineChars="0"/>
        <w:jc w:val="center"/>
        <w:outlineLvl w:val="1"/>
        <w:rPr>
          <w:rFonts w:eastAsia="宋体" w:cs="Times New Roman"/>
          <w:b/>
          <w:bCs/>
          <w:sz w:val="28"/>
          <w:szCs w:val="28"/>
        </w:rPr>
      </w:pPr>
      <w:bookmarkStart w:id="72" w:name="_Toc192799303"/>
      <w:r>
        <w:rPr>
          <w:rFonts w:eastAsia="宋体" w:cs="Times New Roman"/>
          <w:b/>
          <w:bCs/>
          <w:sz w:val="28"/>
          <w:szCs w:val="28"/>
        </w:rPr>
        <w:t>4.6  桥梁</w:t>
      </w:r>
      <w:bookmarkEnd w:id="72"/>
    </w:p>
    <w:p w14:paraId="7183B8D9">
      <w:pPr>
        <w:spacing w:line="360" w:lineRule="auto"/>
        <w:ind w:firstLine="0" w:firstLineChars="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4.6.1 </w:t>
      </w:r>
      <w:r>
        <w:rPr>
          <w:rFonts w:eastAsia="宋体" w:cs="Times New Roman"/>
          <w:bCs/>
          <w:sz w:val="21"/>
          <w:szCs w:val="21"/>
        </w:rPr>
        <w:t>桥梁安全监测应根据风险评估结果优先在以下区域和位置进行监测：</w:t>
      </w:r>
    </w:p>
    <w:p w14:paraId="47D4D768">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受力较大、变形显著、易损部位；</w:t>
      </w:r>
    </w:p>
    <w:p w14:paraId="54463FCB">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影响</w:t>
      </w:r>
      <w:r>
        <w:rPr>
          <w:rFonts w:hint="eastAsia" w:eastAsia="宋体" w:cs="Times New Roman"/>
          <w:bCs/>
          <w:sz w:val="21"/>
          <w:szCs w:val="21"/>
        </w:rPr>
        <w:t>桥梁</w:t>
      </w:r>
      <w:r>
        <w:rPr>
          <w:rFonts w:eastAsia="宋体" w:cs="Times New Roman"/>
          <w:bCs/>
          <w:sz w:val="21"/>
          <w:szCs w:val="21"/>
        </w:rPr>
        <w:t>主要部件安全耐久性和结构整体安全性的</w:t>
      </w:r>
      <w:r>
        <w:rPr>
          <w:rFonts w:hint="eastAsia" w:eastAsia="宋体" w:cs="Times New Roman"/>
          <w:bCs/>
          <w:sz w:val="21"/>
          <w:szCs w:val="21"/>
        </w:rPr>
        <w:t>部位</w:t>
      </w:r>
      <w:r>
        <w:rPr>
          <w:rFonts w:eastAsia="宋体" w:cs="Times New Roman"/>
          <w:bCs/>
          <w:sz w:val="21"/>
          <w:szCs w:val="21"/>
        </w:rPr>
        <w:t>；</w:t>
      </w:r>
    </w:p>
    <w:p w14:paraId="47A23349">
      <w:pPr>
        <w:spacing w:line="360" w:lineRule="auto"/>
        <w:ind w:firstLine="420"/>
        <w:jc w:val="left"/>
        <w:rPr>
          <w:rFonts w:eastAsia="宋体" w:cs="Times New Roman"/>
          <w:bCs/>
          <w:sz w:val="21"/>
          <w:szCs w:val="21"/>
        </w:rPr>
      </w:pPr>
      <w:r>
        <w:rPr>
          <w:rFonts w:cs="Times New Roman" w:eastAsiaTheme="minorEastAsia"/>
          <w:iCs/>
          <w:sz w:val="21"/>
          <w:szCs w:val="21"/>
        </w:rPr>
        <w:t xml:space="preserve">3 </w:t>
      </w:r>
      <w:r>
        <w:rPr>
          <w:rFonts w:eastAsia="宋体" w:cs="Times New Roman"/>
          <w:bCs/>
          <w:sz w:val="21"/>
          <w:szCs w:val="21"/>
        </w:rPr>
        <w:t>已有病害或损伤的部位，应针对性增加监测测点数量；</w:t>
      </w:r>
    </w:p>
    <w:p w14:paraId="5784CCE3">
      <w:pPr>
        <w:spacing w:line="319"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4.6.2</w:t>
      </w:r>
      <w:r>
        <w:rPr>
          <w:rFonts w:eastAsia="宋体" w:cs="Times New Roman"/>
          <w:b/>
          <w:sz w:val="24"/>
          <w:szCs w:val="24"/>
        </w:rPr>
        <w:t xml:space="preserve"> </w:t>
      </w:r>
      <w:r>
        <w:rPr>
          <w:rFonts w:eastAsia="宋体" w:cs="Times New Roman"/>
          <w:bCs/>
          <w:sz w:val="21"/>
          <w:szCs w:val="21"/>
        </w:rPr>
        <w:t>桥梁安全监测对象、监测</w:t>
      </w:r>
      <w:r>
        <w:rPr>
          <w:rFonts w:hint="eastAsia" w:eastAsia="宋体" w:cs="Times New Roman"/>
          <w:bCs/>
          <w:sz w:val="21"/>
          <w:szCs w:val="21"/>
        </w:rPr>
        <w:t>项目</w:t>
      </w:r>
      <w:r>
        <w:rPr>
          <w:rFonts w:eastAsia="宋体" w:cs="Times New Roman"/>
          <w:bCs/>
          <w:sz w:val="21"/>
          <w:szCs w:val="21"/>
        </w:rPr>
        <w:t>和监测设备类型应符合表</w:t>
      </w:r>
      <w:r>
        <w:rPr>
          <w:rFonts w:cs="Times New Roman" w:eastAsiaTheme="minorEastAsia"/>
          <w:iCs/>
          <w:color w:val="000000" w:themeColor="text1"/>
          <w:sz w:val="21"/>
          <w:szCs w:val="21"/>
          <w14:textFill>
            <w14:solidFill>
              <w14:schemeClr w14:val="tx1"/>
            </w14:solidFill>
          </w14:textFill>
        </w:rPr>
        <w:t>4.6.2</w:t>
      </w:r>
      <w:r>
        <w:rPr>
          <w:rFonts w:eastAsia="宋体" w:cs="Times New Roman"/>
          <w:bCs/>
          <w:sz w:val="21"/>
          <w:szCs w:val="21"/>
        </w:rPr>
        <w:t>的规定。</w:t>
      </w:r>
    </w:p>
    <w:p w14:paraId="22919890">
      <w:pPr>
        <w:spacing w:line="319" w:lineRule="auto"/>
        <w:ind w:firstLine="0" w:firstLineChars="0"/>
        <w:jc w:val="center"/>
        <w:rPr>
          <w:rFonts w:eastAsia="宋体" w:cs="Times New Roman"/>
          <w:sz w:val="18"/>
          <w:szCs w:val="18"/>
        </w:rPr>
      </w:pPr>
      <w:r>
        <w:rPr>
          <w:rFonts w:eastAsia="宋体" w:cs="Times New Roman"/>
          <w:b/>
          <w:bCs/>
          <w:iCs/>
          <w:color w:val="000000" w:themeColor="text1"/>
          <w:sz w:val="18"/>
          <w:szCs w:val="18"/>
          <w14:textFill>
            <w14:solidFill>
              <w14:schemeClr w14:val="tx1"/>
            </w14:solidFill>
          </w14:textFill>
        </w:rPr>
        <w:t>表4.6.2 桥梁</w:t>
      </w:r>
      <w:r>
        <w:rPr>
          <w:rFonts w:hint="eastAsia" w:eastAsia="宋体" w:cs="Times New Roman"/>
          <w:b/>
          <w:bCs/>
          <w:iCs/>
          <w:color w:val="000000" w:themeColor="text1"/>
          <w:sz w:val="18"/>
          <w:szCs w:val="18"/>
          <w14:textFill>
            <w14:solidFill>
              <w14:schemeClr w14:val="tx1"/>
            </w14:solidFill>
          </w14:textFill>
        </w:rPr>
        <w:t>安全</w:t>
      </w:r>
      <w:r>
        <w:rPr>
          <w:rFonts w:eastAsia="宋体" w:cs="Times New Roman"/>
          <w:b/>
          <w:bCs/>
          <w:iCs/>
          <w:color w:val="000000" w:themeColor="text1"/>
          <w:sz w:val="18"/>
          <w:szCs w:val="18"/>
          <w14:textFill>
            <w14:solidFill>
              <w14:schemeClr w14:val="tx1"/>
            </w14:solidFill>
          </w14:textFill>
        </w:rPr>
        <w:t>监测对象、监测</w:t>
      </w:r>
      <w:r>
        <w:rPr>
          <w:rFonts w:hint="eastAsia" w:eastAsia="宋体" w:cs="Times New Roman"/>
          <w:b/>
          <w:bCs/>
          <w:iCs/>
          <w:color w:val="000000" w:themeColor="text1"/>
          <w:sz w:val="18"/>
          <w:szCs w:val="18"/>
          <w14:textFill>
            <w14:solidFill>
              <w14:schemeClr w14:val="tx1"/>
            </w14:solidFill>
          </w14:textFill>
        </w:rPr>
        <w:t>项目</w:t>
      </w:r>
      <w:r>
        <w:rPr>
          <w:rFonts w:eastAsia="宋体" w:cs="Times New Roman"/>
          <w:b/>
          <w:bCs/>
          <w:iCs/>
          <w:color w:val="000000" w:themeColor="text1"/>
          <w:sz w:val="18"/>
          <w:szCs w:val="18"/>
          <w14:textFill>
            <w14:solidFill>
              <w14:schemeClr w14:val="tx1"/>
            </w14:solidFill>
          </w14:textFill>
        </w:rPr>
        <w:t>和监测设备类型</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3"/>
        <w:gridCol w:w="1556"/>
        <w:gridCol w:w="2606"/>
        <w:gridCol w:w="1560"/>
      </w:tblGrid>
      <w:tr w14:paraId="28E20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03" w:type="dxa"/>
            <w:tcBorders>
              <w:top w:val="single" w:color="auto" w:sz="4" w:space="0"/>
              <w:left w:val="single" w:color="auto" w:sz="4" w:space="0"/>
              <w:bottom w:val="single" w:color="auto" w:sz="4" w:space="0"/>
              <w:right w:val="single" w:color="auto" w:sz="4" w:space="0"/>
            </w:tcBorders>
            <w:vAlign w:val="center"/>
          </w:tcPr>
          <w:p w14:paraId="0C6C7F3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桥梁类型</w:t>
            </w:r>
          </w:p>
        </w:tc>
        <w:tc>
          <w:tcPr>
            <w:tcW w:w="1556" w:type="dxa"/>
            <w:tcBorders>
              <w:top w:val="single" w:color="auto" w:sz="4" w:space="0"/>
              <w:left w:val="single" w:color="auto" w:sz="4" w:space="0"/>
              <w:bottom w:val="single" w:color="auto" w:sz="4" w:space="0"/>
              <w:right w:val="single" w:color="auto" w:sz="4" w:space="0"/>
            </w:tcBorders>
            <w:vAlign w:val="center"/>
          </w:tcPr>
          <w:p w14:paraId="1EE8B47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监测对象</w:t>
            </w:r>
          </w:p>
        </w:tc>
        <w:tc>
          <w:tcPr>
            <w:tcW w:w="2606" w:type="dxa"/>
            <w:tcBorders>
              <w:top w:val="single" w:color="auto" w:sz="4" w:space="0"/>
              <w:left w:val="single" w:color="auto" w:sz="4" w:space="0"/>
              <w:bottom w:val="single" w:color="auto" w:sz="4" w:space="0"/>
              <w:right w:val="single" w:color="auto" w:sz="4" w:space="0"/>
            </w:tcBorders>
            <w:vAlign w:val="center"/>
          </w:tcPr>
          <w:p w14:paraId="7086BF5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w:t>
            </w:r>
            <w:r>
              <w:rPr>
                <w:rFonts w:hint="eastAsia" w:eastAsia="宋体" w:cs="Times New Roman"/>
                <w:iCs/>
                <w:color w:val="000000" w:themeColor="text1"/>
                <w:sz w:val="18"/>
                <w:szCs w:val="18"/>
                <w14:textFill>
                  <w14:solidFill>
                    <w14:schemeClr w14:val="tx1"/>
                  </w14:solidFill>
                </w14:textFill>
              </w:rPr>
              <w:t>项目</w:t>
            </w:r>
          </w:p>
        </w:tc>
        <w:tc>
          <w:tcPr>
            <w:tcW w:w="1560" w:type="dxa"/>
            <w:tcBorders>
              <w:top w:val="single" w:color="auto" w:sz="4" w:space="0"/>
              <w:left w:val="single" w:color="auto" w:sz="4" w:space="0"/>
              <w:bottom w:val="single" w:color="auto" w:sz="4" w:space="0"/>
              <w:right w:val="single" w:color="auto" w:sz="4" w:space="0"/>
            </w:tcBorders>
            <w:vAlign w:val="center"/>
          </w:tcPr>
          <w:p w14:paraId="1349F8E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监测设备</w:t>
            </w:r>
          </w:p>
        </w:tc>
      </w:tr>
      <w:tr w14:paraId="02465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3" w:type="dxa"/>
            <w:vMerge w:val="restart"/>
            <w:tcBorders>
              <w:top w:val="single" w:color="auto" w:sz="4" w:space="0"/>
              <w:left w:val="single" w:color="auto" w:sz="4" w:space="0"/>
              <w:bottom w:val="single" w:color="auto" w:sz="4" w:space="0"/>
              <w:right w:val="single" w:color="auto" w:sz="4" w:space="0"/>
            </w:tcBorders>
            <w:vAlign w:val="center"/>
          </w:tcPr>
          <w:p w14:paraId="130A6E1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梁桥</w:t>
            </w: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4C8909D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桥面</w:t>
            </w:r>
          </w:p>
        </w:tc>
        <w:tc>
          <w:tcPr>
            <w:tcW w:w="2606" w:type="dxa"/>
            <w:tcBorders>
              <w:top w:val="single" w:color="auto" w:sz="4" w:space="0"/>
              <w:left w:val="single" w:color="auto" w:sz="4" w:space="0"/>
              <w:bottom w:val="single" w:color="auto" w:sz="4" w:space="0"/>
              <w:right w:val="single" w:color="auto" w:sz="4" w:space="0"/>
            </w:tcBorders>
            <w:vAlign w:val="center"/>
          </w:tcPr>
          <w:p w14:paraId="7418063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挠度</w:t>
            </w:r>
          </w:p>
        </w:tc>
        <w:tc>
          <w:tcPr>
            <w:tcW w:w="1560" w:type="dxa"/>
            <w:tcBorders>
              <w:top w:val="single" w:color="auto" w:sz="4" w:space="0"/>
              <w:left w:val="single" w:color="auto" w:sz="4" w:space="0"/>
              <w:bottom w:val="single" w:color="auto" w:sz="4" w:space="0"/>
              <w:right w:val="single" w:color="auto" w:sz="4" w:space="0"/>
            </w:tcBorders>
            <w:vAlign w:val="center"/>
          </w:tcPr>
          <w:p w14:paraId="556C7EC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水准仪</w:t>
            </w:r>
          </w:p>
        </w:tc>
      </w:tr>
      <w:tr w14:paraId="36CB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958479">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4914860">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62A3510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w:t>
            </w:r>
          </w:p>
        </w:tc>
        <w:tc>
          <w:tcPr>
            <w:tcW w:w="1560" w:type="dxa"/>
            <w:tcBorders>
              <w:top w:val="single" w:color="auto" w:sz="4" w:space="0"/>
              <w:left w:val="single" w:color="auto" w:sz="4" w:space="0"/>
              <w:bottom w:val="single" w:color="auto" w:sz="4" w:space="0"/>
              <w:right w:val="single" w:color="auto" w:sz="4" w:space="0"/>
            </w:tcBorders>
            <w:vAlign w:val="center"/>
          </w:tcPr>
          <w:p w14:paraId="1BF3D5A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温度计</w:t>
            </w:r>
          </w:p>
        </w:tc>
      </w:tr>
      <w:tr w14:paraId="45C9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5872E0">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F98658">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32BB0ED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w:t>
            </w:r>
          </w:p>
        </w:tc>
        <w:tc>
          <w:tcPr>
            <w:tcW w:w="1560" w:type="dxa"/>
            <w:tcBorders>
              <w:top w:val="single" w:color="auto" w:sz="4" w:space="0"/>
              <w:left w:val="single" w:color="auto" w:sz="4" w:space="0"/>
              <w:bottom w:val="single" w:color="auto" w:sz="4" w:space="0"/>
              <w:right w:val="single" w:color="auto" w:sz="4" w:space="0"/>
            </w:tcBorders>
            <w:vAlign w:val="center"/>
          </w:tcPr>
          <w:p w14:paraId="0CCFFC4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湿度计</w:t>
            </w:r>
          </w:p>
        </w:tc>
      </w:tr>
      <w:tr w14:paraId="267F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A731DE">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C23C97">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3A096C3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裂缝</w:t>
            </w:r>
          </w:p>
        </w:tc>
        <w:tc>
          <w:tcPr>
            <w:tcW w:w="1560" w:type="dxa"/>
            <w:tcBorders>
              <w:top w:val="single" w:color="auto" w:sz="4" w:space="0"/>
              <w:left w:val="single" w:color="auto" w:sz="4" w:space="0"/>
              <w:bottom w:val="single" w:color="auto" w:sz="4" w:space="0"/>
              <w:right w:val="single" w:color="auto" w:sz="4" w:space="0"/>
            </w:tcBorders>
            <w:vAlign w:val="center"/>
          </w:tcPr>
          <w:p w14:paraId="6C36A74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裂缝计</w:t>
            </w:r>
          </w:p>
        </w:tc>
      </w:tr>
      <w:tr w14:paraId="0E822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28C3871">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3CDD623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主梁</w:t>
            </w:r>
          </w:p>
        </w:tc>
        <w:tc>
          <w:tcPr>
            <w:tcW w:w="2606" w:type="dxa"/>
            <w:tcBorders>
              <w:top w:val="single" w:color="auto" w:sz="4" w:space="0"/>
              <w:left w:val="single" w:color="auto" w:sz="4" w:space="0"/>
              <w:bottom w:val="single" w:color="auto" w:sz="4" w:space="0"/>
              <w:right w:val="single" w:color="auto" w:sz="4" w:space="0"/>
            </w:tcBorders>
            <w:vAlign w:val="center"/>
          </w:tcPr>
          <w:p w14:paraId="075BE52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w:t>
            </w:r>
          </w:p>
        </w:tc>
        <w:tc>
          <w:tcPr>
            <w:tcW w:w="1560" w:type="dxa"/>
            <w:tcBorders>
              <w:top w:val="single" w:color="auto" w:sz="4" w:space="0"/>
              <w:left w:val="single" w:color="auto" w:sz="4" w:space="0"/>
              <w:bottom w:val="single" w:color="auto" w:sz="4" w:space="0"/>
              <w:right w:val="single" w:color="auto" w:sz="4" w:space="0"/>
            </w:tcBorders>
            <w:vAlign w:val="center"/>
          </w:tcPr>
          <w:p w14:paraId="026B026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应变计</w:t>
            </w:r>
          </w:p>
        </w:tc>
      </w:tr>
      <w:tr w14:paraId="77DD8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9E8563">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423C208">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5647F52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w:t>
            </w:r>
          </w:p>
        </w:tc>
        <w:tc>
          <w:tcPr>
            <w:tcW w:w="1560" w:type="dxa"/>
            <w:tcBorders>
              <w:top w:val="single" w:color="auto" w:sz="4" w:space="0"/>
              <w:left w:val="single" w:color="auto" w:sz="4" w:space="0"/>
              <w:bottom w:val="single" w:color="auto" w:sz="4" w:space="0"/>
              <w:right w:val="single" w:color="auto" w:sz="4" w:space="0"/>
            </w:tcBorders>
            <w:vAlign w:val="center"/>
          </w:tcPr>
          <w:p w14:paraId="7DA2199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加速度计</w:t>
            </w:r>
          </w:p>
        </w:tc>
      </w:tr>
      <w:tr w14:paraId="3AC1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3ACBBB7">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790C9CF">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63FDA7EC">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位移</w:t>
            </w:r>
          </w:p>
        </w:tc>
        <w:tc>
          <w:tcPr>
            <w:tcW w:w="1560" w:type="dxa"/>
            <w:tcBorders>
              <w:top w:val="single" w:color="auto" w:sz="4" w:space="0"/>
              <w:left w:val="single" w:color="auto" w:sz="4" w:space="0"/>
              <w:bottom w:val="single" w:color="auto" w:sz="4" w:space="0"/>
              <w:right w:val="single" w:color="auto" w:sz="4" w:space="0"/>
            </w:tcBorders>
            <w:vAlign w:val="center"/>
          </w:tcPr>
          <w:p w14:paraId="79BAB41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拉线位移计</w:t>
            </w:r>
          </w:p>
        </w:tc>
      </w:tr>
      <w:tr w14:paraId="3441B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AE1E44C">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FDD04EC">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55923ED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w:t>
            </w:r>
          </w:p>
        </w:tc>
        <w:tc>
          <w:tcPr>
            <w:tcW w:w="1560" w:type="dxa"/>
            <w:tcBorders>
              <w:top w:val="single" w:color="auto" w:sz="4" w:space="0"/>
              <w:left w:val="single" w:color="auto" w:sz="4" w:space="0"/>
              <w:bottom w:val="single" w:color="auto" w:sz="4" w:space="0"/>
              <w:right w:val="single" w:color="auto" w:sz="4" w:space="0"/>
            </w:tcBorders>
            <w:vAlign w:val="center"/>
          </w:tcPr>
          <w:p w14:paraId="6B655F5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倾角仪</w:t>
            </w:r>
          </w:p>
        </w:tc>
      </w:tr>
      <w:tr w14:paraId="0A41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0E66AE">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B609F15">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2CEDE85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三维位移（X、Y、Z向）</w:t>
            </w:r>
          </w:p>
        </w:tc>
        <w:tc>
          <w:tcPr>
            <w:tcW w:w="1560" w:type="dxa"/>
            <w:tcBorders>
              <w:top w:val="single" w:color="auto" w:sz="4" w:space="0"/>
              <w:left w:val="single" w:color="auto" w:sz="4" w:space="0"/>
              <w:bottom w:val="single" w:color="auto" w:sz="4" w:space="0"/>
              <w:right w:val="single" w:color="auto" w:sz="4" w:space="0"/>
            </w:tcBorders>
            <w:vAlign w:val="center"/>
          </w:tcPr>
          <w:p w14:paraId="490F651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GNSS监测站</w:t>
            </w:r>
          </w:p>
        </w:tc>
      </w:tr>
      <w:tr w14:paraId="4588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0C76E9">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6AF606C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支座</w:t>
            </w:r>
          </w:p>
        </w:tc>
        <w:tc>
          <w:tcPr>
            <w:tcW w:w="2606" w:type="dxa"/>
            <w:tcBorders>
              <w:top w:val="single" w:color="auto" w:sz="4" w:space="0"/>
              <w:left w:val="single" w:color="auto" w:sz="4" w:space="0"/>
              <w:bottom w:val="single" w:color="auto" w:sz="4" w:space="0"/>
              <w:right w:val="single" w:color="auto" w:sz="4" w:space="0"/>
            </w:tcBorders>
            <w:vAlign w:val="center"/>
          </w:tcPr>
          <w:p w14:paraId="0E5DA75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位移</w:t>
            </w:r>
          </w:p>
        </w:tc>
        <w:tc>
          <w:tcPr>
            <w:tcW w:w="1560" w:type="dxa"/>
            <w:tcBorders>
              <w:top w:val="single" w:color="auto" w:sz="4" w:space="0"/>
              <w:left w:val="single" w:color="auto" w:sz="4" w:space="0"/>
              <w:bottom w:val="single" w:color="auto" w:sz="4" w:space="0"/>
              <w:right w:val="single" w:color="auto" w:sz="4" w:space="0"/>
            </w:tcBorders>
            <w:vAlign w:val="center"/>
          </w:tcPr>
          <w:p w14:paraId="4B016A4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拉线位移计</w:t>
            </w:r>
          </w:p>
        </w:tc>
      </w:tr>
      <w:tr w14:paraId="11B1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79ADE13">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4CFB02E">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72E2CB1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三维位移（X、Y、Z向）</w:t>
            </w:r>
          </w:p>
        </w:tc>
        <w:tc>
          <w:tcPr>
            <w:tcW w:w="1560" w:type="dxa"/>
            <w:tcBorders>
              <w:top w:val="single" w:color="auto" w:sz="4" w:space="0"/>
              <w:left w:val="single" w:color="auto" w:sz="4" w:space="0"/>
              <w:bottom w:val="single" w:color="auto" w:sz="4" w:space="0"/>
              <w:right w:val="single" w:color="auto" w:sz="4" w:space="0"/>
            </w:tcBorders>
            <w:vAlign w:val="center"/>
          </w:tcPr>
          <w:p w14:paraId="567BF0B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GNSS监测站</w:t>
            </w:r>
          </w:p>
        </w:tc>
      </w:tr>
      <w:tr w14:paraId="75F1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C8A0B9">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46857D5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桥墩</w:t>
            </w:r>
          </w:p>
        </w:tc>
        <w:tc>
          <w:tcPr>
            <w:tcW w:w="2606" w:type="dxa"/>
            <w:tcBorders>
              <w:top w:val="single" w:color="auto" w:sz="4" w:space="0"/>
              <w:left w:val="single" w:color="auto" w:sz="4" w:space="0"/>
              <w:bottom w:val="single" w:color="auto" w:sz="4" w:space="0"/>
              <w:right w:val="single" w:color="auto" w:sz="4" w:space="0"/>
            </w:tcBorders>
            <w:vAlign w:val="center"/>
          </w:tcPr>
          <w:p w14:paraId="1205FDA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w:t>
            </w:r>
          </w:p>
        </w:tc>
        <w:tc>
          <w:tcPr>
            <w:tcW w:w="1560" w:type="dxa"/>
            <w:tcBorders>
              <w:top w:val="single" w:color="auto" w:sz="4" w:space="0"/>
              <w:left w:val="single" w:color="auto" w:sz="4" w:space="0"/>
              <w:bottom w:val="single" w:color="auto" w:sz="4" w:space="0"/>
              <w:right w:val="single" w:color="auto" w:sz="4" w:space="0"/>
            </w:tcBorders>
            <w:vAlign w:val="center"/>
          </w:tcPr>
          <w:p w14:paraId="5D0CE8A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加速度计</w:t>
            </w:r>
          </w:p>
        </w:tc>
      </w:tr>
      <w:tr w14:paraId="35556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2B9D507">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441F53E">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1AF6422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位移</w:t>
            </w:r>
          </w:p>
        </w:tc>
        <w:tc>
          <w:tcPr>
            <w:tcW w:w="1560" w:type="dxa"/>
            <w:tcBorders>
              <w:top w:val="single" w:color="auto" w:sz="4" w:space="0"/>
              <w:left w:val="single" w:color="auto" w:sz="4" w:space="0"/>
              <w:bottom w:val="single" w:color="auto" w:sz="4" w:space="0"/>
              <w:right w:val="single" w:color="auto" w:sz="4" w:space="0"/>
            </w:tcBorders>
            <w:vAlign w:val="center"/>
          </w:tcPr>
          <w:p w14:paraId="49A6DC2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拉线位移计</w:t>
            </w:r>
          </w:p>
        </w:tc>
      </w:tr>
      <w:tr w14:paraId="226F8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8EE6BF">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6CCD193">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32D4980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w:t>
            </w:r>
          </w:p>
        </w:tc>
        <w:tc>
          <w:tcPr>
            <w:tcW w:w="1560" w:type="dxa"/>
            <w:tcBorders>
              <w:top w:val="single" w:color="auto" w:sz="4" w:space="0"/>
              <w:left w:val="single" w:color="auto" w:sz="4" w:space="0"/>
              <w:bottom w:val="single" w:color="auto" w:sz="4" w:space="0"/>
              <w:right w:val="single" w:color="auto" w:sz="4" w:space="0"/>
            </w:tcBorders>
            <w:vAlign w:val="center"/>
          </w:tcPr>
          <w:p w14:paraId="6736ED8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倾角仪</w:t>
            </w:r>
          </w:p>
        </w:tc>
      </w:tr>
      <w:tr w14:paraId="600B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1A3E6BA">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A5F9D68">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03A893D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三维位移（X、Y、Z向）</w:t>
            </w:r>
          </w:p>
        </w:tc>
        <w:tc>
          <w:tcPr>
            <w:tcW w:w="1560" w:type="dxa"/>
            <w:tcBorders>
              <w:top w:val="single" w:color="auto" w:sz="4" w:space="0"/>
              <w:left w:val="single" w:color="auto" w:sz="4" w:space="0"/>
              <w:bottom w:val="single" w:color="auto" w:sz="4" w:space="0"/>
              <w:right w:val="single" w:color="auto" w:sz="4" w:space="0"/>
            </w:tcBorders>
            <w:vAlign w:val="center"/>
          </w:tcPr>
          <w:p w14:paraId="44D4B0E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GNSS监测站</w:t>
            </w:r>
          </w:p>
        </w:tc>
      </w:tr>
      <w:tr w14:paraId="2388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3" w:type="dxa"/>
            <w:vMerge w:val="restart"/>
            <w:tcBorders>
              <w:top w:val="single" w:color="auto" w:sz="4" w:space="0"/>
              <w:left w:val="single" w:color="auto" w:sz="4" w:space="0"/>
              <w:bottom w:val="single" w:color="auto" w:sz="4" w:space="0"/>
              <w:right w:val="single" w:color="auto" w:sz="4" w:space="0"/>
            </w:tcBorders>
            <w:vAlign w:val="center"/>
          </w:tcPr>
          <w:p w14:paraId="33363C8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拱桥</w:t>
            </w: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6CE867E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桥面</w:t>
            </w:r>
          </w:p>
        </w:tc>
        <w:tc>
          <w:tcPr>
            <w:tcW w:w="2606" w:type="dxa"/>
            <w:tcBorders>
              <w:top w:val="single" w:color="auto" w:sz="4" w:space="0"/>
              <w:left w:val="single" w:color="auto" w:sz="4" w:space="0"/>
              <w:bottom w:val="single" w:color="auto" w:sz="4" w:space="0"/>
              <w:right w:val="single" w:color="auto" w:sz="4" w:space="0"/>
            </w:tcBorders>
            <w:vAlign w:val="center"/>
          </w:tcPr>
          <w:p w14:paraId="290DB9C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挠度</w:t>
            </w:r>
          </w:p>
        </w:tc>
        <w:tc>
          <w:tcPr>
            <w:tcW w:w="1560" w:type="dxa"/>
            <w:tcBorders>
              <w:top w:val="single" w:color="auto" w:sz="4" w:space="0"/>
              <w:left w:val="single" w:color="auto" w:sz="4" w:space="0"/>
              <w:bottom w:val="single" w:color="auto" w:sz="4" w:space="0"/>
              <w:right w:val="single" w:color="auto" w:sz="4" w:space="0"/>
            </w:tcBorders>
            <w:vAlign w:val="center"/>
          </w:tcPr>
          <w:p w14:paraId="38AEAC5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水准仪</w:t>
            </w:r>
          </w:p>
        </w:tc>
      </w:tr>
      <w:tr w14:paraId="4501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7EDB308">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9E9C456">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03928C6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w:t>
            </w:r>
          </w:p>
        </w:tc>
        <w:tc>
          <w:tcPr>
            <w:tcW w:w="1560" w:type="dxa"/>
            <w:tcBorders>
              <w:top w:val="single" w:color="auto" w:sz="4" w:space="0"/>
              <w:left w:val="single" w:color="auto" w:sz="4" w:space="0"/>
              <w:bottom w:val="single" w:color="auto" w:sz="4" w:space="0"/>
              <w:right w:val="single" w:color="auto" w:sz="4" w:space="0"/>
            </w:tcBorders>
            <w:vAlign w:val="center"/>
          </w:tcPr>
          <w:p w14:paraId="3F8D757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温度计</w:t>
            </w:r>
          </w:p>
        </w:tc>
      </w:tr>
      <w:tr w14:paraId="5BF69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A271E2">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2F1AC7B">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5B35BF2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w:t>
            </w:r>
          </w:p>
        </w:tc>
        <w:tc>
          <w:tcPr>
            <w:tcW w:w="1560" w:type="dxa"/>
            <w:tcBorders>
              <w:top w:val="single" w:color="auto" w:sz="4" w:space="0"/>
              <w:left w:val="single" w:color="auto" w:sz="4" w:space="0"/>
              <w:bottom w:val="single" w:color="auto" w:sz="4" w:space="0"/>
              <w:right w:val="single" w:color="auto" w:sz="4" w:space="0"/>
            </w:tcBorders>
            <w:vAlign w:val="center"/>
          </w:tcPr>
          <w:p w14:paraId="24F81A8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湿度计</w:t>
            </w:r>
          </w:p>
        </w:tc>
      </w:tr>
      <w:tr w14:paraId="684AE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CEBAEB">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8393009">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30E2CA2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裂缝</w:t>
            </w:r>
          </w:p>
        </w:tc>
        <w:tc>
          <w:tcPr>
            <w:tcW w:w="1560" w:type="dxa"/>
            <w:tcBorders>
              <w:top w:val="single" w:color="auto" w:sz="4" w:space="0"/>
              <w:left w:val="single" w:color="auto" w:sz="4" w:space="0"/>
              <w:bottom w:val="single" w:color="auto" w:sz="4" w:space="0"/>
              <w:right w:val="single" w:color="auto" w:sz="4" w:space="0"/>
            </w:tcBorders>
            <w:vAlign w:val="center"/>
          </w:tcPr>
          <w:p w14:paraId="20EB9B2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裂缝计</w:t>
            </w:r>
          </w:p>
        </w:tc>
      </w:tr>
      <w:tr w14:paraId="01C58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2B78373">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006E649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主拱</w:t>
            </w:r>
          </w:p>
        </w:tc>
        <w:tc>
          <w:tcPr>
            <w:tcW w:w="2606" w:type="dxa"/>
            <w:tcBorders>
              <w:top w:val="single" w:color="auto" w:sz="4" w:space="0"/>
              <w:left w:val="single" w:color="auto" w:sz="4" w:space="0"/>
              <w:bottom w:val="single" w:color="auto" w:sz="4" w:space="0"/>
              <w:right w:val="single" w:color="auto" w:sz="4" w:space="0"/>
            </w:tcBorders>
            <w:vAlign w:val="center"/>
          </w:tcPr>
          <w:p w14:paraId="28E6790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w:t>
            </w:r>
          </w:p>
        </w:tc>
        <w:tc>
          <w:tcPr>
            <w:tcW w:w="1560" w:type="dxa"/>
            <w:tcBorders>
              <w:top w:val="single" w:color="auto" w:sz="4" w:space="0"/>
              <w:left w:val="single" w:color="auto" w:sz="4" w:space="0"/>
              <w:bottom w:val="single" w:color="auto" w:sz="4" w:space="0"/>
              <w:right w:val="single" w:color="auto" w:sz="4" w:space="0"/>
            </w:tcBorders>
            <w:vAlign w:val="center"/>
          </w:tcPr>
          <w:p w14:paraId="5973F73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应变计</w:t>
            </w:r>
          </w:p>
        </w:tc>
      </w:tr>
      <w:tr w14:paraId="5A26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2BA2C5">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F1B9662">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2B4305F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w:t>
            </w:r>
          </w:p>
        </w:tc>
        <w:tc>
          <w:tcPr>
            <w:tcW w:w="1560" w:type="dxa"/>
            <w:tcBorders>
              <w:top w:val="single" w:color="auto" w:sz="4" w:space="0"/>
              <w:left w:val="single" w:color="auto" w:sz="4" w:space="0"/>
              <w:bottom w:val="single" w:color="auto" w:sz="4" w:space="0"/>
              <w:right w:val="single" w:color="auto" w:sz="4" w:space="0"/>
            </w:tcBorders>
            <w:vAlign w:val="center"/>
          </w:tcPr>
          <w:p w14:paraId="12361CC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加速度计</w:t>
            </w:r>
          </w:p>
        </w:tc>
      </w:tr>
      <w:tr w14:paraId="18B4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A169C23">
            <w:pPr>
              <w:ind w:firstLine="0" w:firstLineChars="0"/>
              <w:rPr>
                <w:rFonts w:eastAsia="宋体" w:cs="Times New Roman"/>
                <w:iCs/>
                <w:color w:val="000000" w:themeColor="text1"/>
                <w:sz w:val="18"/>
                <w:szCs w:val="18"/>
                <w14:textFill>
                  <w14:solidFill>
                    <w14:schemeClr w14:val="tx1"/>
                  </w14:solidFill>
                </w14:textFill>
              </w:rPr>
            </w:pPr>
          </w:p>
        </w:tc>
        <w:tc>
          <w:tcPr>
            <w:tcW w:w="1556" w:type="dxa"/>
            <w:tcBorders>
              <w:top w:val="single" w:color="auto" w:sz="4" w:space="0"/>
              <w:left w:val="single" w:color="auto" w:sz="4" w:space="0"/>
              <w:bottom w:val="single" w:color="auto" w:sz="4" w:space="0"/>
              <w:right w:val="single" w:color="auto" w:sz="4" w:space="0"/>
            </w:tcBorders>
            <w:vAlign w:val="center"/>
          </w:tcPr>
          <w:p w14:paraId="1BBA0D7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拱顶</w:t>
            </w:r>
          </w:p>
        </w:tc>
        <w:tc>
          <w:tcPr>
            <w:tcW w:w="2606" w:type="dxa"/>
            <w:tcBorders>
              <w:top w:val="single" w:color="auto" w:sz="4" w:space="0"/>
              <w:left w:val="single" w:color="auto" w:sz="4" w:space="0"/>
              <w:bottom w:val="single" w:color="auto" w:sz="4" w:space="0"/>
              <w:right w:val="single" w:color="auto" w:sz="4" w:space="0"/>
            </w:tcBorders>
            <w:vAlign w:val="center"/>
          </w:tcPr>
          <w:p w14:paraId="7EB67A3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位移</w:t>
            </w:r>
          </w:p>
        </w:tc>
        <w:tc>
          <w:tcPr>
            <w:tcW w:w="1560" w:type="dxa"/>
            <w:tcBorders>
              <w:top w:val="single" w:color="auto" w:sz="4" w:space="0"/>
              <w:left w:val="single" w:color="auto" w:sz="4" w:space="0"/>
              <w:bottom w:val="single" w:color="auto" w:sz="4" w:space="0"/>
              <w:right w:val="single" w:color="auto" w:sz="4" w:space="0"/>
            </w:tcBorders>
            <w:vAlign w:val="center"/>
          </w:tcPr>
          <w:p w14:paraId="5DEDD6C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拉线位移计</w:t>
            </w:r>
          </w:p>
        </w:tc>
      </w:tr>
      <w:tr w14:paraId="5D214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9E77CD8">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71CE0C4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桥墩</w:t>
            </w:r>
          </w:p>
        </w:tc>
        <w:tc>
          <w:tcPr>
            <w:tcW w:w="2606" w:type="dxa"/>
            <w:tcBorders>
              <w:top w:val="single" w:color="auto" w:sz="4" w:space="0"/>
              <w:left w:val="single" w:color="auto" w:sz="4" w:space="0"/>
              <w:bottom w:val="single" w:color="auto" w:sz="4" w:space="0"/>
              <w:right w:val="single" w:color="auto" w:sz="4" w:space="0"/>
            </w:tcBorders>
            <w:vAlign w:val="center"/>
          </w:tcPr>
          <w:p w14:paraId="2E72387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w:t>
            </w:r>
          </w:p>
        </w:tc>
        <w:tc>
          <w:tcPr>
            <w:tcW w:w="1560" w:type="dxa"/>
            <w:tcBorders>
              <w:top w:val="single" w:color="auto" w:sz="4" w:space="0"/>
              <w:left w:val="single" w:color="auto" w:sz="4" w:space="0"/>
              <w:bottom w:val="single" w:color="auto" w:sz="4" w:space="0"/>
              <w:right w:val="single" w:color="auto" w:sz="4" w:space="0"/>
            </w:tcBorders>
            <w:vAlign w:val="center"/>
          </w:tcPr>
          <w:p w14:paraId="0CCF699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加速度计</w:t>
            </w:r>
          </w:p>
        </w:tc>
      </w:tr>
      <w:tr w14:paraId="76D42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4D7E5CC">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5A0537">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3F422D0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位移</w:t>
            </w:r>
          </w:p>
        </w:tc>
        <w:tc>
          <w:tcPr>
            <w:tcW w:w="1560" w:type="dxa"/>
            <w:tcBorders>
              <w:top w:val="single" w:color="auto" w:sz="4" w:space="0"/>
              <w:left w:val="single" w:color="auto" w:sz="4" w:space="0"/>
              <w:bottom w:val="single" w:color="auto" w:sz="4" w:space="0"/>
              <w:right w:val="single" w:color="auto" w:sz="4" w:space="0"/>
            </w:tcBorders>
            <w:vAlign w:val="center"/>
          </w:tcPr>
          <w:p w14:paraId="1AD1868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拉线位移计</w:t>
            </w:r>
          </w:p>
        </w:tc>
      </w:tr>
      <w:tr w14:paraId="7B1C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F0308D">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E1217E5">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5A6B504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w:t>
            </w:r>
          </w:p>
        </w:tc>
        <w:tc>
          <w:tcPr>
            <w:tcW w:w="1560" w:type="dxa"/>
            <w:tcBorders>
              <w:top w:val="single" w:color="auto" w:sz="4" w:space="0"/>
              <w:left w:val="single" w:color="auto" w:sz="4" w:space="0"/>
              <w:bottom w:val="single" w:color="auto" w:sz="4" w:space="0"/>
              <w:right w:val="single" w:color="auto" w:sz="4" w:space="0"/>
            </w:tcBorders>
            <w:vAlign w:val="center"/>
          </w:tcPr>
          <w:p w14:paraId="23ACDC8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倾角仪</w:t>
            </w:r>
          </w:p>
        </w:tc>
      </w:tr>
      <w:tr w14:paraId="4B02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5CF1AC">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122B27E">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4023BF7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三维位移（X、Y、Z向）</w:t>
            </w:r>
          </w:p>
        </w:tc>
        <w:tc>
          <w:tcPr>
            <w:tcW w:w="1560" w:type="dxa"/>
            <w:tcBorders>
              <w:top w:val="single" w:color="auto" w:sz="4" w:space="0"/>
              <w:left w:val="single" w:color="auto" w:sz="4" w:space="0"/>
              <w:bottom w:val="single" w:color="auto" w:sz="4" w:space="0"/>
              <w:right w:val="single" w:color="auto" w:sz="4" w:space="0"/>
            </w:tcBorders>
            <w:vAlign w:val="center"/>
          </w:tcPr>
          <w:p w14:paraId="57E0DEA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GNSS监测站</w:t>
            </w:r>
          </w:p>
        </w:tc>
      </w:tr>
      <w:tr w14:paraId="029DF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3" w:type="dxa"/>
            <w:vMerge w:val="restart"/>
            <w:tcBorders>
              <w:top w:val="single" w:color="auto" w:sz="4" w:space="0"/>
              <w:left w:val="single" w:color="auto" w:sz="4" w:space="0"/>
              <w:bottom w:val="single" w:color="auto" w:sz="4" w:space="0"/>
              <w:right w:val="single" w:color="auto" w:sz="4" w:space="0"/>
            </w:tcBorders>
            <w:vAlign w:val="center"/>
          </w:tcPr>
          <w:p w14:paraId="349BDF4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悬索桥</w:t>
            </w: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4471992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桥面</w:t>
            </w:r>
          </w:p>
        </w:tc>
        <w:tc>
          <w:tcPr>
            <w:tcW w:w="2606" w:type="dxa"/>
            <w:tcBorders>
              <w:top w:val="single" w:color="auto" w:sz="4" w:space="0"/>
              <w:left w:val="single" w:color="auto" w:sz="4" w:space="0"/>
              <w:bottom w:val="single" w:color="auto" w:sz="4" w:space="0"/>
              <w:right w:val="single" w:color="auto" w:sz="4" w:space="0"/>
            </w:tcBorders>
            <w:vAlign w:val="center"/>
          </w:tcPr>
          <w:p w14:paraId="576ED70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挠度</w:t>
            </w:r>
          </w:p>
        </w:tc>
        <w:tc>
          <w:tcPr>
            <w:tcW w:w="1560" w:type="dxa"/>
            <w:tcBorders>
              <w:top w:val="single" w:color="auto" w:sz="4" w:space="0"/>
              <w:left w:val="single" w:color="auto" w:sz="4" w:space="0"/>
              <w:bottom w:val="single" w:color="auto" w:sz="4" w:space="0"/>
              <w:right w:val="single" w:color="auto" w:sz="4" w:space="0"/>
            </w:tcBorders>
            <w:vAlign w:val="center"/>
          </w:tcPr>
          <w:p w14:paraId="2BEE594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水准仪</w:t>
            </w:r>
          </w:p>
        </w:tc>
      </w:tr>
      <w:tr w14:paraId="6BA9B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572C379">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A13AEB2">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4655B06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w:t>
            </w:r>
          </w:p>
        </w:tc>
        <w:tc>
          <w:tcPr>
            <w:tcW w:w="1560" w:type="dxa"/>
            <w:tcBorders>
              <w:top w:val="single" w:color="auto" w:sz="4" w:space="0"/>
              <w:left w:val="single" w:color="auto" w:sz="4" w:space="0"/>
              <w:bottom w:val="single" w:color="auto" w:sz="4" w:space="0"/>
              <w:right w:val="single" w:color="auto" w:sz="4" w:space="0"/>
            </w:tcBorders>
            <w:vAlign w:val="center"/>
          </w:tcPr>
          <w:p w14:paraId="1F27EA1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温度计</w:t>
            </w:r>
          </w:p>
        </w:tc>
      </w:tr>
      <w:tr w14:paraId="5160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224231">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6B6CFEB">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31CE9B3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w:t>
            </w:r>
          </w:p>
        </w:tc>
        <w:tc>
          <w:tcPr>
            <w:tcW w:w="1560" w:type="dxa"/>
            <w:tcBorders>
              <w:top w:val="single" w:color="auto" w:sz="4" w:space="0"/>
              <w:left w:val="single" w:color="auto" w:sz="4" w:space="0"/>
              <w:bottom w:val="single" w:color="auto" w:sz="4" w:space="0"/>
              <w:right w:val="single" w:color="auto" w:sz="4" w:space="0"/>
            </w:tcBorders>
            <w:vAlign w:val="center"/>
          </w:tcPr>
          <w:p w14:paraId="19A6F70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湿度计</w:t>
            </w:r>
          </w:p>
        </w:tc>
      </w:tr>
      <w:tr w14:paraId="600C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7368A9B">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0104A52">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49A9EC7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裂缝</w:t>
            </w:r>
          </w:p>
        </w:tc>
        <w:tc>
          <w:tcPr>
            <w:tcW w:w="1560" w:type="dxa"/>
            <w:tcBorders>
              <w:top w:val="single" w:color="auto" w:sz="4" w:space="0"/>
              <w:left w:val="single" w:color="auto" w:sz="4" w:space="0"/>
              <w:bottom w:val="single" w:color="auto" w:sz="4" w:space="0"/>
              <w:right w:val="single" w:color="auto" w:sz="4" w:space="0"/>
            </w:tcBorders>
            <w:vAlign w:val="center"/>
          </w:tcPr>
          <w:p w14:paraId="140F914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裂缝计</w:t>
            </w:r>
          </w:p>
        </w:tc>
      </w:tr>
      <w:tr w14:paraId="3A05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1D3FAFE">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7DA330A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主梁</w:t>
            </w:r>
          </w:p>
        </w:tc>
        <w:tc>
          <w:tcPr>
            <w:tcW w:w="2606" w:type="dxa"/>
            <w:tcBorders>
              <w:top w:val="single" w:color="auto" w:sz="4" w:space="0"/>
              <w:left w:val="single" w:color="auto" w:sz="4" w:space="0"/>
              <w:bottom w:val="single" w:color="auto" w:sz="4" w:space="0"/>
              <w:right w:val="single" w:color="auto" w:sz="4" w:space="0"/>
            </w:tcBorders>
            <w:vAlign w:val="center"/>
          </w:tcPr>
          <w:p w14:paraId="09B4B85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w:t>
            </w:r>
          </w:p>
        </w:tc>
        <w:tc>
          <w:tcPr>
            <w:tcW w:w="1560" w:type="dxa"/>
            <w:tcBorders>
              <w:top w:val="single" w:color="auto" w:sz="4" w:space="0"/>
              <w:left w:val="single" w:color="auto" w:sz="4" w:space="0"/>
              <w:bottom w:val="single" w:color="auto" w:sz="4" w:space="0"/>
              <w:right w:val="single" w:color="auto" w:sz="4" w:space="0"/>
            </w:tcBorders>
            <w:vAlign w:val="center"/>
          </w:tcPr>
          <w:p w14:paraId="7746AAA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应变计</w:t>
            </w:r>
          </w:p>
        </w:tc>
      </w:tr>
      <w:tr w14:paraId="4530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A27D69">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CCDF4FD">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6CBC6D7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w:t>
            </w:r>
          </w:p>
        </w:tc>
        <w:tc>
          <w:tcPr>
            <w:tcW w:w="1560" w:type="dxa"/>
            <w:tcBorders>
              <w:top w:val="single" w:color="auto" w:sz="4" w:space="0"/>
              <w:left w:val="single" w:color="auto" w:sz="4" w:space="0"/>
              <w:bottom w:val="single" w:color="auto" w:sz="4" w:space="0"/>
              <w:right w:val="single" w:color="auto" w:sz="4" w:space="0"/>
            </w:tcBorders>
            <w:vAlign w:val="center"/>
          </w:tcPr>
          <w:p w14:paraId="3B43C6A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加速度计</w:t>
            </w:r>
          </w:p>
        </w:tc>
      </w:tr>
      <w:tr w14:paraId="450E9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8FB112">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2DA9E27">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71AADF5C">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位移</w:t>
            </w:r>
          </w:p>
        </w:tc>
        <w:tc>
          <w:tcPr>
            <w:tcW w:w="1560" w:type="dxa"/>
            <w:tcBorders>
              <w:top w:val="single" w:color="auto" w:sz="4" w:space="0"/>
              <w:left w:val="single" w:color="auto" w:sz="4" w:space="0"/>
              <w:bottom w:val="single" w:color="auto" w:sz="4" w:space="0"/>
              <w:right w:val="single" w:color="auto" w:sz="4" w:space="0"/>
            </w:tcBorders>
            <w:vAlign w:val="center"/>
          </w:tcPr>
          <w:p w14:paraId="71A2912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拉线位移计</w:t>
            </w:r>
          </w:p>
        </w:tc>
      </w:tr>
      <w:tr w14:paraId="2E95F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EB842C">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D4BECCB">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53834A7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w:t>
            </w:r>
          </w:p>
        </w:tc>
        <w:tc>
          <w:tcPr>
            <w:tcW w:w="1560" w:type="dxa"/>
            <w:tcBorders>
              <w:top w:val="single" w:color="auto" w:sz="4" w:space="0"/>
              <w:left w:val="single" w:color="auto" w:sz="4" w:space="0"/>
              <w:bottom w:val="single" w:color="auto" w:sz="4" w:space="0"/>
              <w:right w:val="single" w:color="auto" w:sz="4" w:space="0"/>
            </w:tcBorders>
            <w:vAlign w:val="center"/>
          </w:tcPr>
          <w:p w14:paraId="2A0C050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倾角仪</w:t>
            </w:r>
          </w:p>
        </w:tc>
      </w:tr>
      <w:tr w14:paraId="3EB48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1E0280">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0540F76">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259C7F0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三维位移（X、Y、Z向）</w:t>
            </w:r>
          </w:p>
        </w:tc>
        <w:tc>
          <w:tcPr>
            <w:tcW w:w="1560" w:type="dxa"/>
            <w:tcBorders>
              <w:top w:val="single" w:color="auto" w:sz="4" w:space="0"/>
              <w:left w:val="single" w:color="auto" w:sz="4" w:space="0"/>
              <w:bottom w:val="single" w:color="auto" w:sz="4" w:space="0"/>
              <w:right w:val="single" w:color="auto" w:sz="4" w:space="0"/>
            </w:tcBorders>
            <w:vAlign w:val="center"/>
          </w:tcPr>
          <w:p w14:paraId="06135AA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GNSS监测站</w:t>
            </w:r>
          </w:p>
        </w:tc>
      </w:tr>
    </w:tbl>
    <w:p w14:paraId="408D12B2">
      <w:pPr>
        <w:spacing w:line="360" w:lineRule="auto"/>
        <w:ind w:firstLine="0" w:firstLineChars="0"/>
        <w:rPr>
          <w:rFonts w:eastAsia="宋体" w:cs="Times New Roman"/>
          <w:sz w:val="24"/>
          <w:szCs w:val="24"/>
        </w:rPr>
      </w:pPr>
    </w:p>
    <w:p w14:paraId="5D6A957C">
      <w:pPr>
        <w:spacing w:line="319" w:lineRule="auto"/>
        <w:ind w:firstLine="0" w:firstLineChars="0"/>
        <w:jc w:val="center"/>
        <w:rPr>
          <w:rFonts w:eastAsia="宋体" w:cs="Times New Roman"/>
          <w:sz w:val="18"/>
          <w:szCs w:val="18"/>
        </w:rPr>
      </w:pPr>
      <w:r>
        <w:rPr>
          <w:rFonts w:hint="eastAsia" w:eastAsia="宋体" w:cs="Times New Roman"/>
          <w:b/>
          <w:bCs/>
          <w:iCs/>
          <w:color w:val="000000" w:themeColor="text1"/>
          <w:sz w:val="18"/>
          <w:szCs w:val="18"/>
          <w14:textFill>
            <w14:solidFill>
              <w14:schemeClr w14:val="tx1"/>
            </w14:solidFill>
          </w14:textFill>
        </w:rPr>
        <w:t>续</w:t>
      </w:r>
      <w:r>
        <w:rPr>
          <w:rFonts w:eastAsia="宋体" w:cs="Times New Roman"/>
          <w:b/>
          <w:bCs/>
          <w:iCs/>
          <w:color w:val="000000" w:themeColor="text1"/>
          <w:sz w:val="18"/>
          <w:szCs w:val="18"/>
          <w14:textFill>
            <w14:solidFill>
              <w14:schemeClr w14:val="tx1"/>
            </w14:solidFill>
          </w14:textFill>
        </w:rPr>
        <w:t xml:space="preserve">表4.6.2 </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3"/>
        <w:gridCol w:w="1556"/>
        <w:gridCol w:w="2606"/>
        <w:gridCol w:w="1560"/>
      </w:tblGrid>
      <w:tr w14:paraId="0776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03" w:type="dxa"/>
            <w:tcBorders>
              <w:top w:val="single" w:color="auto" w:sz="4" w:space="0"/>
              <w:left w:val="single" w:color="auto" w:sz="4" w:space="0"/>
              <w:bottom w:val="single" w:color="auto" w:sz="4" w:space="0"/>
              <w:right w:val="single" w:color="auto" w:sz="4" w:space="0"/>
            </w:tcBorders>
            <w:vAlign w:val="center"/>
          </w:tcPr>
          <w:p w14:paraId="5811940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桥梁类型</w:t>
            </w:r>
          </w:p>
        </w:tc>
        <w:tc>
          <w:tcPr>
            <w:tcW w:w="1556" w:type="dxa"/>
            <w:tcBorders>
              <w:top w:val="single" w:color="auto" w:sz="4" w:space="0"/>
              <w:left w:val="single" w:color="auto" w:sz="4" w:space="0"/>
              <w:bottom w:val="single" w:color="auto" w:sz="4" w:space="0"/>
              <w:right w:val="single" w:color="auto" w:sz="4" w:space="0"/>
            </w:tcBorders>
            <w:vAlign w:val="center"/>
          </w:tcPr>
          <w:p w14:paraId="443F5E1C">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监测对象</w:t>
            </w:r>
          </w:p>
        </w:tc>
        <w:tc>
          <w:tcPr>
            <w:tcW w:w="2606" w:type="dxa"/>
            <w:tcBorders>
              <w:top w:val="single" w:color="auto" w:sz="4" w:space="0"/>
              <w:left w:val="single" w:color="auto" w:sz="4" w:space="0"/>
              <w:bottom w:val="single" w:color="auto" w:sz="4" w:space="0"/>
              <w:right w:val="single" w:color="auto" w:sz="4" w:space="0"/>
            </w:tcBorders>
            <w:vAlign w:val="center"/>
          </w:tcPr>
          <w:p w14:paraId="2DCB5BC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w:t>
            </w:r>
            <w:r>
              <w:rPr>
                <w:rFonts w:hint="eastAsia" w:eastAsia="宋体" w:cs="Times New Roman"/>
                <w:iCs/>
                <w:color w:val="000000" w:themeColor="text1"/>
                <w:sz w:val="18"/>
                <w:szCs w:val="18"/>
                <w14:textFill>
                  <w14:solidFill>
                    <w14:schemeClr w14:val="tx1"/>
                  </w14:solidFill>
                </w14:textFill>
              </w:rPr>
              <w:t>项目</w:t>
            </w:r>
          </w:p>
        </w:tc>
        <w:tc>
          <w:tcPr>
            <w:tcW w:w="1560" w:type="dxa"/>
            <w:tcBorders>
              <w:top w:val="single" w:color="auto" w:sz="4" w:space="0"/>
              <w:left w:val="single" w:color="auto" w:sz="4" w:space="0"/>
              <w:bottom w:val="single" w:color="auto" w:sz="4" w:space="0"/>
              <w:right w:val="single" w:color="auto" w:sz="4" w:space="0"/>
            </w:tcBorders>
            <w:vAlign w:val="center"/>
          </w:tcPr>
          <w:p w14:paraId="3501811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监测设备</w:t>
            </w:r>
          </w:p>
        </w:tc>
      </w:tr>
      <w:tr w14:paraId="4BEF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3ADDC9D">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1570184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缆索</w:t>
            </w:r>
          </w:p>
        </w:tc>
        <w:tc>
          <w:tcPr>
            <w:tcW w:w="2606" w:type="dxa"/>
            <w:tcBorders>
              <w:top w:val="single" w:color="auto" w:sz="4" w:space="0"/>
              <w:left w:val="single" w:color="auto" w:sz="4" w:space="0"/>
              <w:bottom w:val="single" w:color="auto" w:sz="4" w:space="0"/>
              <w:right w:val="single" w:color="auto" w:sz="4" w:space="0"/>
            </w:tcBorders>
            <w:vAlign w:val="center"/>
          </w:tcPr>
          <w:p w14:paraId="502B94B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位移</w:t>
            </w:r>
          </w:p>
        </w:tc>
        <w:tc>
          <w:tcPr>
            <w:tcW w:w="1560" w:type="dxa"/>
            <w:tcBorders>
              <w:top w:val="single" w:color="auto" w:sz="4" w:space="0"/>
              <w:left w:val="single" w:color="auto" w:sz="4" w:space="0"/>
              <w:bottom w:val="single" w:color="auto" w:sz="4" w:space="0"/>
              <w:right w:val="single" w:color="auto" w:sz="4" w:space="0"/>
            </w:tcBorders>
            <w:vAlign w:val="center"/>
          </w:tcPr>
          <w:p w14:paraId="63E66C9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拉线位移计</w:t>
            </w:r>
          </w:p>
        </w:tc>
      </w:tr>
      <w:tr w14:paraId="18A8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0CF647">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49AEABC">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4E0DFC1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索力</w:t>
            </w:r>
          </w:p>
        </w:tc>
        <w:tc>
          <w:tcPr>
            <w:tcW w:w="1560" w:type="dxa"/>
            <w:tcBorders>
              <w:top w:val="single" w:color="auto" w:sz="4" w:space="0"/>
              <w:left w:val="single" w:color="auto" w:sz="4" w:space="0"/>
              <w:bottom w:val="single" w:color="auto" w:sz="4" w:space="0"/>
              <w:right w:val="single" w:color="auto" w:sz="4" w:space="0"/>
            </w:tcBorders>
            <w:vAlign w:val="center"/>
          </w:tcPr>
          <w:p w14:paraId="7C91D0A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索力计（振动法、磁通量法）</w:t>
            </w:r>
          </w:p>
        </w:tc>
      </w:tr>
      <w:tr w14:paraId="3B2EE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3E1510B">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58F2310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桥塔</w:t>
            </w:r>
          </w:p>
        </w:tc>
        <w:tc>
          <w:tcPr>
            <w:tcW w:w="2606" w:type="dxa"/>
            <w:tcBorders>
              <w:top w:val="single" w:color="auto" w:sz="4" w:space="0"/>
              <w:left w:val="single" w:color="auto" w:sz="4" w:space="0"/>
              <w:bottom w:val="single" w:color="auto" w:sz="4" w:space="0"/>
              <w:right w:val="single" w:color="auto" w:sz="4" w:space="0"/>
            </w:tcBorders>
            <w:vAlign w:val="center"/>
          </w:tcPr>
          <w:p w14:paraId="0FD527B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w:t>
            </w:r>
          </w:p>
        </w:tc>
        <w:tc>
          <w:tcPr>
            <w:tcW w:w="1560" w:type="dxa"/>
            <w:tcBorders>
              <w:top w:val="single" w:color="auto" w:sz="4" w:space="0"/>
              <w:left w:val="single" w:color="auto" w:sz="4" w:space="0"/>
              <w:bottom w:val="single" w:color="auto" w:sz="4" w:space="0"/>
              <w:right w:val="single" w:color="auto" w:sz="4" w:space="0"/>
            </w:tcBorders>
            <w:vAlign w:val="center"/>
          </w:tcPr>
          <w:p w14:paraId="563E53E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倾角仪</w:t>
            </w:r>
          </w:p>
        </w:tc>
      </w:tr>
      <w:tr w14:paraId="7E29B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DD5DCE">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58F0BD">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2E4D8BB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三维位移（X、Y、Z向）</w:t>
            </w:r>
          </w:p>
        </w:tc>
        <w:tc>
          <w:tcPr>
            <w:tcW w:w="1560" w:type="dxa"/>
            <w:tcBorders>
              <w:top w:val="single" w:color="auto" w:sz="4" w:space="0"/>
              <w:left w:val="single" w:color="auto" w:sz="4" w:space="0"/>
              <w:bottom w:val="single" w:color="auto" w:sz="4" w:space="0"/>
              <w:right w:val="single" w:color="auto" w:sz="4" w:space="0"/>
            </w:tcBorders>
            <w:vAlign w:val="center"/>
          </w:tcPr>
          <w:p w14:paraId="4843849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GNSS监测站</w:t>
            </w:r>
          </w:p>
        </w:tc>
      </w:tr>
      <w:tr w14:paraId="0DAB6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3" w:type="dxa"/>
            <w:vMerge w:val="restart"/>
            <w:tcBorders>
              <w:top w:val="single" w:color="auto" w:sz="4" w:space="0"/>
              <w:left w:val="single" w:color="auto" w:sz="4" w:space="0"/>
              <w:bottom w:val="single" w:color="auto" w:sz="4" w:space="0"/>
              <w:right w:val="single" w:color="auto" w:sz="4" w:space="0"/>
            </w:tcBorders>
            <w:vAlign w:val="center"/>
          </w:tcPr>
          <w:p w14:paraId="730990A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斜拉桥</w:t>
            </w: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1CA431A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桥面</w:t>
            </w:r>
          </w:p>
        </w:tc>
        <w:tc>
          <w:tcPr>
            <w:tcW w:w="2606" w:type="dxa"/>
            <w:tcBorders>
              <w:top w:val="single" w:color="auto" w:sz="4" w:space="0"/>
              <w:left w:val="single" w:color="auto" w:sz="4" w:space="0"/>
              <w:bottom w:val="single" w:color="auto" w:sz="4" w:space="0"/>
              <w:right w:val="single" w:color="auto" w:sz="4" w:space="0"/>
            </w:tcBorders>
            <w:vAlign w:val="center"/>
          </w:tcPr>
          <w:p w14:paraId="3D7AAE3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挠度</w:t>
            </w:r>
          </w:p>
        </w:tc>
        <w:tc>
          <w:tcPr>
            <w:tcW w:w="1560" w:type="dxa"/>
            <w:tcBorders>
              <w:top w:val="single" w:color="auto" w:sz="4" w:space="0"/>
              <w:left w:val="single" w:color="auto" w:sz="4" w:space="0"/>
              <w:bottom w:val="single" w:color="auto" w:sz="4" w:space="0"/>
              <w:right w:val="single" w:color="auto" w:sz="4" w:space="0"/>
            </w:tcBorders>
            <w:vAlign w:val="center"/>
          </w:tcPr>
          <w:p w14:paraId="451D857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水准仪</w:t>
            </w:r>
          </w:p>
        </w:tc>
      </w:tr>
      <w:tr w14:paraId="7F68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5855443">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3F33BA5">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7B7920E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w:t>
            </w:r>
          </w:p>
        </w:tc>
        <w:tc>
          <w:tcPr>
            <w:tcW w:w="1560" w:type="dxa"/>
            <w:tcBorders>
              <w:top w:val="single" w:color="auto" w:sz="4" w:space="0"/>
              <w:left w:val="single" w:color="auto" w:sz="4" w:space="0"/>
              <w:bottom w:val="single" w:color="auto" w:sz="4" w:space="0"/>
              <w:right w:val="single" w:color="auto" w:sz="4" w:space="0"/>
            </w:tcBorders>
            <w:vAlign w:val="center"/>
          </w:tcPr>
          <w:p w14:paraId="1CC06BB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温度计</w:t>
            </w:r>
          </w:p>
        </w:tc>
      </w:tr>
      <w:tr w14:paraId="37D6E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968297">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DE7FDD7">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46ADAFD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w:t>
            </w:r>
          </w:p>
        </w:tc>
        <w:tc>
          <w:tcPr>
            <w:tcW w:w="1560" w:type="dxa"/>
            <w:tcBorders>
              <w:top w:val="single" w:color="auto" w:sz="4" w:space="0"/>
              <w:left w:val="single" w:color="auto" w:sz="4" w:space="0"/>
              <w:bottom w:val="single" w:color="auto" w:sz="4" w:space="0"/>
              <w:right w:val="single" w:color="auto" w:sz="4" w:space="0"/>
            </w:tcBorders>
            <w:vAlign w:val="center"/>
          </w:tcPr>
          <w:p w14:paraId="30EDAFA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湿度计</w:t>
            </w:r>
          </w:p>
        </w:tc>
      </w:tr>
      <w:tr w14:paraId="776A1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BA517F1">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9B900E4">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2410488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裂缝</w:t>
            </w:r>
          </w:p>
        </w:tc>
        <w:tc>
          <w:tcPr>
            <w:tcW w:w="1560" w:type="dxa"/>
            <w:tcBorders>
              <w:top w:val="single" w:color="auto" w:sz="4" w:space="0"/>
              <w:left w:val="single" w:color="auto" w:sz="4" w:space="0"/>
              <w:bottom w:val="single" w:color="auto" w:sz="4" w:space="0"/>
              <w:right w:val="single" w:color="auto" w:sz="4" w:space="0"/>
            </w:tcBorders>
            <w:vAlign w:val="center"/>
          </w:tcPr>
          <w:p w14:paraId="22768E2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裂缝计</w:t>
            </w:r>
          </w:p>
        </w:tc>
      </w:tr>
      <w:tr w14:paraId="7B09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EEB9E86">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6AAA2DE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主梁</w:t>
            </w:r>
          </w:p>
        </w:tc>
        <w:tc>
          <w:tcPr>
            <w:tcW w:w="2606" w:type="dxa"/>
            <w:tcBorders>
              <w:top w:val="single" w:color="auto" w:sz="4" w:space="0"/>
              <w:left w:val="single" w:color="auto" w:sz="4" w:space="0"/>
              <w:bottom w:val="single" w:color="auto" w:sz="4" w:space="0"/>
              <w:right w:val="single" w:color="auto" w:sz="4" w:space="0"/>
            </w:tcBorders>
            <w:vAlign w:val="center"/>
          </w:tcPr>
          <w:p w14:paraId="2D94E85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w:t>
            </w:r>
          </w:p>
        </w:tc>
        <w:tc>
          <w:tcPr>
            <w:tcW w:w="1560" w:type="dxa"/>
            <w:tcBorders>
              <w:top w:val="single" w:color="auto" w:sz="4" w:space="0"/>
              <w:left w:val="single" w:color="auto" w:sz="4" w:space="0"/>
              <w:bottom w:val="single" w:color="auto" w:sz="4" w:space="0"/>
              <w:right w:val="single" w:color="auto" w:sz="4" w:space="0"/>
            </w:tcBorders>
            <w:vAlign w:val="center"/>
          </w:tcPr>
          <w:p w14:paraId="2AD148D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应变计</w:t>
            </w:r>
          </w:p>
        </w:tc>
      </w:tr>
      <w:tr w14:paraId="4384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FCD6346">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267A73E">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53B3876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w:t>
            </w:r>
          </w:p>
        </w:tc>
        <w:tc>
          <w:tcPr>
            <w:tcW w:w="1560" w:type="dxa"/>
            <w:tcBorders>
              <w:top w:val="single" w:color="auto" w:sz="4" w:space="0"/>
              <w:left w:val="single" w:color="auto" w:sz="4" w:space="0"/>
              <w:bottom w:val="single" w:color="auto" w:sz="4" w:space="0"/>
              <w:right w:val="single" w:color="auto" w:sz="4" w:space="0"/>
            </w:tcBorders>
            <w:vAlign w:val="center"/>
          </w:tcPr>
          <w:p w14:paraId="7EFF53E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加速度计</w:t>
            </w:r>
          </w:p>
        </w:tc>
      </w:tr>
      <w:tr w14:paraId="1786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94A44B">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42EB7FE">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3CE9A21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位移</w:t>
            </w:r>
          </w:p>
        </w:tc>
        <w:tc>
          <w:tcPr>
            <w:tcW w:w="1560" w:type="dxa"/>
            <w:tcBorders>
              <w:top w:val="single" w:color="auto" w:sz="4" w:space="0"/>
              <w:left w:val="single" w:color="auto" w:sz="4" w:space="0"/>
              <w:bottom w:val="single" w:color="auto" w:sz="4" w:space="0"/>
              <w:right w:val="single" w:color="auto" w:sz="4" w:space="0"/>
            </w:tcBorders>
            <w:vAlign w:val="center"/>
          </w:tcPr>
          <w:p w14:paraId="3095B54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拉线位移计</w:t>
            </w:r>
          </w:p>
        </w:tc>
      </w:tr>
      <w:tr w14:paraId="7EC9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83580FC">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5D10DE2">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41491AC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w:t>
            </w:r>
          </w:p>
        </w:tc>
        <w:tc>
          <w:tcPr>
            <w:tcW w:w="1560" w:type="dxa"/>
            <w:tcBorders>
              <w:top w:val="single" w:color="auto" w:sz="4" w:space="0"/>
              <w:left w:val="single" w:color="auto" w:sz="4" w:space="0"/>
              <w:bottom w:val="single" w:color="auto" w:sz="4" w:space="0"/>
              <w:right w:val="single" w:color="auto" w:sz="4" w:space="0"/>
            </w:tcBorders>
            <w:vAlign w:val="center"/>
          </w:tcPr>
          <w:p w14:paraId="60E7CAB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倾角仪</w:t>
            </w:r>
          </w:p>
        </w:tc>
      </w:tr>
      <w:tr w14:paraId="7841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AC7C4E5">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8CC681">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5460E49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三维位移（X、Y、Z向）</w:t>
            </w:r>
          </w:p>
        </w:tc>
        <w:tc>
          <w:tcPr>
            <w:tcW w:w="1560" w:type="dxa"/>
            <w:tcBorders>
              <w:top w:val="single" w:color="auto" w:sz="4" w:space="0"/>
              <w:left w:val="single" w:color="auto" w:sz="4" w:space="0"/>
              <w:bottom w:val="single" w:color="auto" w:sz="4" w:space="0"/>
              <w:right w:val="single" w:color="auto" w:sz="4" w:space="0"/>
            </w:tcBorders>
            <w:vAlign w:val="center"/>
          </w:tcPr>
          <w:p w14:paraId="45A8061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GNSS监测站</w:t>
            </w:r>
          </w:p>
        </w:tc>
      </w:tr>
      <w:tr w14:paraId="1029B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B4B7D07">
            <w:pPr>
              <w:ind w:firstLine="0" w:firstLineChars="0"/>
              <w:rPr>
                <w:rFonts w:eastAsia="宋体" w:cs="Times New Roman"/>
                <w:iCs/>
                <w:color w:val="000000" w:themeColor="text1"/>
                <w:sz w:val="18"/>
                <w:szCs w:val="18"/>
                <w14:textFill>
                  <w14:solidFill>
                    <w14:schemeClr w14:val="tx1"/>
                  </w14:solidFill>
                </w14:textFill>
              </w:rPr>
            </w:pPr>
          </w:p>
        </w:tc>
        <w:tc>
          <w:tcPr>
            <w:tcW w:w="1556" w:type="dxa"/>
            <w:tcBorders>
              <w:top w:val="single" w:color="auto" w:sz="4" w:space="0"/>
              <w:left w:val="single" w:color="auto" w:sz="4" w:space="0"/>
              <w:bottom w:val="single" w:color="auto" w:sz="4" w:space="0"/>
              <w:right w:val="single" w:color="auto" w:sz="4" w:space="0"/>
            </w:tcBorders>
            <w:vAlign w:val="center"/>
          </w:tcPr>
          <w:p w14:paraId="192E087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斜拉索</w:t>
            </w:r>
          </w:p>
        </w:tc>
        <w:tc>
          <w:tcPr>
            <w:tcW w:w="2606" w:type="dxa"/>
            <w:tcBorders>
              <w:top w:val="single" w:color="auto" w:sz="4" w:space="0"/>
              <w:left w:val="single" w:color="auto" w:sz="4" w:space="0"/>
              <w:bottom w:val="single" w:color="auto" w:sz="4" w:space="0"/>
              <w:right w:val="single" w:color="auto" w:sz="4" w:space="0"/>
            </w:tcBorders>
            <w:vAlign w:val="center"/>
          </w:tcPr>
          <w:p w14:paraId="1ADD443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索力</w:t>
            </w:r>
          </w:p>
        </w:tc>
        <w:tc>
          <w:tcPr>
            <w:tcW w:w="1560" w:type="dxa"/>
            <w:tcBorders>
              <w:top w:val="single" w:color="auto" w:sz="4" w:space="0"/>
              <w:left w:val="single" w:color="auto" w:sz="4" w:space="0"/>
              <w:bottom w:val="single" w:color="auto" w:sz="4" w:space="0"/>
              <w:right w:val="single" w:color="auto" w:sz="4" w:space="0"/>
            </w:tcBorders>
            <w:vAlign w:val="center"/>
          </w:tcPr>
          <w:p w14:paraId="26B5DD6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索力计（振动法、磁通量法）</w:t>
            </w:r>
          </w:p>
        </w:tc>
      </w:tr>
      <w:tr w14:paraId="05F46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F9AD130">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4AB36B9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桥塔</w:t>
            </w:r>
          </w:p>
        </w:tc>
        <w:tc>
          <w:tcPr>
            <w:tcW w:w="2606" w:type="dxa"/>
            <w:tcBorders>
              <w:top w:val="single" w:color="auto" w:sz="4" w:space="0"/>
              <w:left w:val="single" w:color="auto" w:sz="4" w:space="0"/>
              <w:bottom w:val="single" w:color="auto" w:sz="4" w:space="0"/>
              <w:right w:val="single" w:color="auto" w:sz="4" w:space="0"/>
            </w:tcBorders>
            <w:vAlign w:val="center"/>
          </w:tcPr>
          <w:p w14:paraId="29DEA9A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w:t>
            </w:r>
          </w:p>
        </w:tc>
        <w:tc>
          <w:tcPr>
            <w:tcW w:w="1560" w:type="dxa"/>
            <w:tcBorders>
              <w:top w:val="single" w:color="auto" w:sz="4" w:space="0"/>
              <w:left w:val="single" w:color="auto" w:sz="4" w:space="0"/>
              <w:bottom w:val="single" w:color="auto" w:sz="4" w:space="0"/>
              <w:right w:val="single" w:color="auto" w:sz="4" w:space="0"/>
            </w:tcBorders>
            <w:vAlign w:val="center"/>
          </w:tcPr>
          <w:p w14:paraId="7EADA0E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倾角仪</w:t>
            </w:r>
          </w:p>
        </w:tc>
      </w:tr>
      <w:tr w14:paraId="1C457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5AF32E">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293D45A">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6EA7605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三维位移（X、Y、Z向）</w:t>
            </w:r>
          </w:p>
        </w:tc>
        <w:tc>
          <w:tcPr>
            <w:tcW w:w="1560" w:type="dxa"/>
            <w:tcBorders>
              <w:top w:val="single" w:color="auto" w:sz="4" w:space="0"/>
              <w:left w:val="single" w:color="auto" w:sz="4" w:space="0"/>
              <w:bottom w:val="single" w:color="auto" w:sz="4" w:space="0"/>
              <w:right w:val="single" w:color="auto" w:sz="4" w:space="0"/>
            </w:tcBorders>
            <w:vAlign w:val="center"/>
          </w:tcPr>
          <w:p w14:paraId="005D0C2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GNSS监测站</w:t>
            </w:r>
          </w:p>
        </w:tc>
      </w:tr>
      <w:tr w14:paraId="7A73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3" w:type="dxa"/>
            <w:vMerge w:val="restart"/>
            <w:tcBorders>
              <w:top w:val="single" w:color="auto" w:sz="4" w:space="0"/>
              <w:left w:val="single" w:color="auto" w:sz="4" w:space="0"/>
              <w:bottom w:val="single" w:color="auto" w:sz="4" w:space="0"/>
              <w:right w:val="single" w:color="auto" w:sz="4" w:space="0"/>
            </w:tcBorders>
            <w:vAlign w:val="center"/>
          </w:tcPr>
          <w:p w14:paraId="0EEE8A8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组合体系桥</w:t>
            </w: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0472B2A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桥面</w:t>
            </w:r>
          </w:p>
        </w:tc>
        <w:tc>
          <w:tcPr>
            <w:tcW w:w="2606" w:type="dxa"/>
            <w:tcBorders>
              <w:top w:val="single" w:color="auto" w:sz="4" w:space="0"/>
              <w:left w:val="single" w:color="auto" w:sz="4" w:space="0"/>
              <w:bottom w:val="single" w:color="auto" w:sz="4" w:space="0"/>
              <w:right w:val="single" w:color="auto" w:sz="4" w:space="0"/>
            </w:tcBorders>
            <w:vAlign w:val="center"/>
          </w:tcPr>
          <w:p w14:paraId="35F2FE0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挠度</w:t>
            </w:r>
          </w:p>
        </w:tc>
        <w:tc>
          <w:tcPr>
            <w:tcW w:w="1560" w:type="dxa"/>
            <w:tcBorders>
              <w:top w:val="single" w:color="auto" w:sz="4" w:space="0"/>
              <w:left w:val="single" w:color="auto" w:sz="4" w:space="0"/>
              <w:bottom w:val="single" w:color="auto" w:sz="4" w:space="0"/>
              <w:right w:val="single" w:color="auto" w:sz="4" w:space="0"/>
            </w:tcBorders>
            <w:vAlign w:val="center"/>
          </w:tcPr>
          <w:p w14:paraId="37773E9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水准仪</w:t>
            </w:r>
          </w:p>
        </w:tc>
      </w:tr>
      <w:tr w14:paraId="0B03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033EDB2">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43CB43">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169B72E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w:t>
            </w:r>
          </w:p>
        </w:tc>
        <w:tc>
          <w:tcPr>
            <w:tcW w:w="1560" w:type="dxa"/>
            <w:tcBorders>
              <w:top w:val="single" w:color="auto" w:sz="4" w:space="0"/>
              <w:left w:val="single" w:color="auto" w:sz="4" w:space="0"/>
              <w:bottom w:val="single" w:color="auto" w:sz="4" w:space="0"/>
              <w:right w:val="single" w:color="auto" w:sz="4" w:space="0"/>
            </w:tcBorders>
            <w:vAlign w:val="center"/>
          </w:tcPr>
          <w:p w14:paraId="0CB5679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温度计</w:t>
            </w:r>
          </w:p>
        </w:tc>
      </w:tr>
      <w:tr w14:paraId="0F77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7D9C7D1">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F4055D7">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16E2D5F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w:t>
            </w:r>
          </w:p>
        </w:tc>
        <w:tc>
          <w:tcPr>
            <w:tcW w:w="1560" w:type="dxa"/>
            <w:tcBorders>
              <w:top w:val="single" w:color="auto" w:sz="4" w:space="0"/>
              <w:left w:val="single" w:color="auto" w:sz="4" w:space="0"/>
              <w:bottom w:val="single" w:color="auto" w:sz="4" w:space="0"/>
              <w:right w:val="single" w:color="auto" w:sz="4" w:space="0"/>
            </w:tcBorders>
            <w:vAlign w:val="center"/>
          </w:tcPr>
          <w:p w14:paraId="567C4D6C">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湿度计</w:t>
            </w:r>
          </w:p>
        </w:tc>
      </w:tr>
      <w:tr w14:paraId="4E74D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6813F9E">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DEFD6C2">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14D61D6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裂缝</w:t>
            </w:r>
          </w:p>
        </w:tc>
        <w:tc>
          <w:tcPr>
            <w:tcW w:w="1560" w:type="dxa"/>
            <w:tcBorders>
              <w:top w:val="single" w:color="auto" w:sz="4" w:space="0"/>
              <w:left w:val="single" w:color="auto" w:sz="4" w:space="0"/>
              <w:bottom w:val="single" w:color="auto" w:sz="4" w:space="0"/>
              <w:right w:val="single" w:color="auto" w:sz="4" w:space="0"/>
            </w:tcBorders>
            <w:vAlign w:val="center"/>
          </w:tcPr>
          <w:p w14:paraId="729279F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裂缝计</w:t>
            </w:r>
          </w:p>
        </w:tc>
      </w:tr>
      <w:tr w14:paraId="0A58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8C7CA14">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1529A3F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主梁</w:t>
            </w:r>
          </w:p>
        </w:tc>
        <w:tc>
          <w:tcPr>
            <w:tcW w:w="2606" w:type="dxa"/>
            <w:tcBorders>
              <w:top w:val="single" w:color="auto" w:sz="4" w:space="0"/>
              <w:left w:val="single" w:color="auto" w:sz="4" w:space="0"/>
              <w:bottom w:val="single" w:color="auto" w:sz="4" w:space="0"/>
              <w:right w:val="single" w:color="auto" w:sz="4" w:space="0"/>
            </w:tcBorders>
            <w:vAlign w:val="center"/>
          </w:tcPr>
          <w:p w14:paraId="448862C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w:t>
            </w:r>
          </w:p>
        </w:tc>
        <w:tc>
          <w:tcPr>
            <w:tcW w:w="1560" w:type="dxa"/>
            <w:tcBorders>
              <w:top w:val="single" w:color="auto" w:sz="4" w:space="0"/>
              <w:left w:val="single" w:color="auto" w:sz="4" w:space="0"/>
              <w:bottom w:val="single" w:color="auto" w:sz="4" w:space="0"/>
              <w:right w:val="single" w:color="auto" w:sz="4" w:space="0"/>
            </w:tcBorders>
            <w:vAlign w:val="center"/>
          </w:tcPr>
          <w:p w14:paraId="2FBA277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应变计</w:t>
            </w:r>
          </w:p>
        </w:tc>
      </w:tr>
      <w:tr w14:paraId="2837F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4950D4D">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E0152F7">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0A802ED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w:t>
            </w:r>
          </w:p>
        </w:tc>
        <w:tc>
          <w:tcPr>
            <w:tcW w:w="1560" w:type="dxa"/>
            <w:tcBorders>
              <w:top w:val="single" w:color="auto" w:sz="4" w:space="0"/>
              <w:left w:val="single" w:color="auto" w:sz="4" w:space="0"/>
              <w:bottom w:val="single" w:color="auto" w:sz="4" w:space="0"/>
              <w:right w:val="single" w:color="auto" w:sz="4" w:space="0"/>
            </w:tcBorders>
            <w:vAlign w:val="center"/>
          </w:tcPr>
          <w:p w14:paraId="2806AAE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加速度计</w:t>
            </w:r>
          </w:p>
        </w:tc>
      </w:tr>
      <w:tr w14:paraId="1B1EC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A1F4FC">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5D67012">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2B4B84B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位移</w:t>
            </w:r>
          </w:p>
        </w:tc>
        <w:tc>
          <w:tcPr>
            <w:tcW w:w="1560" w:type="dxa"/>
            <w:tcBorders>
              <w:top w:val="single" w:color="auto" w:sz="4" w:space="0"/>
              <w:left w:val="single" w:color="auto" w:sz="4" w:space="0"/>
              <w:bottom w:val="single" w:color="auto" w:sz="4" w:space="0"/>
              <w:right w:val="single" w:color="auto" w:sz="4" w:space="0"/>
            </w:tcBorders>
            <w:vAlign w:val="center"/>
          </w:tcPr>
          <w:p w14:paraId="60789A2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拉线位移计</w:t>
            </w:r>
          </w:p>
        </w:tc>
      </w:tr>
      <w:tr w14:paraId="132A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E37539">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F257742">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71F6CB0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w:t>
            </w:r>
          </w:p>
        </w:tc>
        <w:tc>
          <w:tcPr>
            <w:tcW w:w="1560" w:type="dxa"/>
            <w:tcBorders>
              <w:top w:val="single" w:color="auto" w:sz="4" w:space="0"/>
              <w:left w:val="single" w:color="auto" w:sz="4" w:space="0"/>
              <w:bottom w:val="single" w:color="auto" w:sz="4" w:space="0"/>
              <w:right w:val="single" w:color="auto" w:sz="4" w:space="0"/>
            </w:tcBorders>
            <w:vAlign w:val="center"/>
          </w:tcPr>
          <w:p w14:paraId="7000DCD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倾角仪</w:t>
            </w:r>
          </w:p>
        </w:tc>
      </w:tr>
      <w:tr w14:paraId="3F86B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AE7F60">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ED02F04">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2E806A7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三维位移（X、Y、Z向）</w:t>
            </w:r>
          </w:p>
        </w:tc>
        <w:tc>
          <w:tcPr>
            <w:tcW w:w="1560" w:type="dxa"/>
            <w:tcBorders>
              <w:top w:val="single" w:color="auto" w:sz="4" w:space="0"/>
              <w:left w:val="single" w:color="auto" w:sz="4" w:space="0"/>
              <w:bottom w:val="single" w:color="auto" w:sz="4" w:space="0"/>
              <w:right w:val="single" w:color="auto" w:sz="4" w:space="0"/>
            </w:tcBorders>
            <w:vAlign w:val="center"/>
          </w:tcPr>
          <w:p w14:paraId="6F35001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GNSS监测站</w:t>
            </w:r>
          </w:p>
        </w:tc>
      </w:tr>
      <w:tr w14:paraId="7212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BDECBAC">
            <w:pPr>
              <w:ind w:firstLine="0" w:firstLineChars="0"/>
              <w:rPr>
                <w:rFonts w:eastAsia="宋体" w:cs="Times New Roman"/>
                <w:iCs/>
                <w:color w:val="000000" w:themeColor="text1"/>
                <w:sz w:val="18"/>
                <w:szCs w:val="18"/>
                <w14:textFill>
                  <w14:solidFill>
                    <w14:schemeClr w14:val="tx1"/>
                  </w14:solidFill>
                </w14:textFill>
              </w:rPr>
            </w:pPr>
          </w:p>
        </w:tc>
        <w:tc>
          <w:tcPr>
            <w:tcW w:w="1556" w:type="dxa"/>
            <w:tcBorders>
              <w:top w:val="single" w:color="auto" w:sz="4" w:space="0"/>
              <w:left w:val="single" w:color="auto" w:sz="4" w:space="0"/>
              <w:bottom w:val="single" w:color="auto" w:sz="4" w:space="0"/>
              <w:right w:val="single" w:color="auto" w:sz="4" w:space="0"/>
            </w:tcBorders>
            <w:vAlign w:val="center"/>
          </w:tcPr>
          <w:p w14:paraId="615F468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缆索/吊杆</w:t>
            </w:r>
          </w:p>
        </w:tc>
        <w:tc>
          <w:tcPr>
            <w:tcW w:w="2606" w:type="dxa"/>
            <w:tcBorders>
              <w:top w:val="single" w:color="auto" w:sz="4" w:space="0"/>
              <w:left w:val="single" w:color="auto" w:sz="4" w:space="0"/>
              <w:bottom w:val="single" w:color="auto" w:sz="4" w:space="0"/>
              <w:right w:val="single" w:color="auto" w:sz="4" w:space="0"/>
            </w:tcBorders>
            <w:vAlign w:val="center"/>
          </w:tcPr>
          <w:p w14:paraId="1C59A93E">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索力</w:t>
            </w:r>
          </w:p>
        </w:tc>
        <w:tc>
          <w:tcPr>
            <w:tcW w:w="1560" w:type="dxa"/>
            <w:tcBorders>
              <w:top w:val="single" w:color="auto" w:sz="4" w:space="0"/>
              <w:left w:val="single" w:color="auto" w:sz="4" w:space="0"/>
              <w:bottom w:val="single" w:color="auto" w:sz="4" w:space="0"/>
              <w:right w:val="single" w:color="auto" w:sz="4" w:space="0"/>
            </w:tcBorders>
            <w:vAlign w:val="center"/>
          </w:tcPr>
          <w:p w14:paraId="318AA25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索力计（振动法、磁通量法）</w:t>
            </w:r>
          </w:p>
        </w:tc>
      </w:tr>
      <w:tr w14:paraId="438F0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63CD5DD">
            <w:pPr>
              <w:ind w:firstLine="0" w:firstLineChars="0"/>
              <w:rPr>
                <w:rFonts w:eastAsia="宋体" w:cs="Times New Roman"/>
                <w:iCs/>
                <w:color w:val="000000" w:themeColor="text1"/>
                <w:sz w:val="18"/>
                <w:szCs w:val="18"/>
                <w14:textFill>
                  <w14:solidFill>
                    <w14:schemeClr w14:val="tx1"/>
                  </w14:solidFill>
                </w14:textFill>
              </w:rPr>
            </w:pPr>
          </w:p>
        </w:tc>
        <w:tc>
          <w:tcPr>
            <w:tcW w:w="1556" w:type="dxa"/>
            <w:vMerge w:val="restart"/>
            <w:tcBorders>
              <w:top w:val="single" w:color="auto" w:sz="4" w:space="0"/>
              <w:left w:val="single" w:color="auto" w:sz="4" w:space="0"/>
              <w:bottom w:val="single" w:color="auto" w:sz="4" w:space="0"/>
              <w:right w:val="single" w:color="auto" w:sz="4" w:space="0"/>
            </w:tcBorders>
            <w:vAlign w:val="center"/>
          </w:tcPr>
          <w:p w14:paraId="68BF005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桥塔</w:t>
            </w:r>
          </w:p>
        </w:tc>
        <w:tc>
          <w:tcPr>
            <w:tcW w:w="2606" w:type="dxa"/>
            <w:tcBorders>
              <w:top w:val="single" w:color="auto" w:sz="4" w:space="0"/>
              <w:left w:val="single" w:color="auto" w:sz="4" w:space="0"/>
              <w:bottom w:val="single" w:color="auto" w:sz="4" w:space="0"/>
              <w:right w:val="single" w:color="auto" w:sz="4" w:space="0"/>
            </w:tcBorders>
            <w:vAlign w:val="center"/>
          </w:tcPr>
          <w:p w14:paraId="68AAC81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w:t>
            </w:r>
          </w:p>
        </w:tc>
        <w:tc>
          <w:tcPr>
            <w:tcW w:w="1560" w:type="dxa"/>
            <w:tcBorders>
              <w:top w:val="single" w:color="auto" w:sz="4" w:space="0"/>
              <w:left w:val="single" w:color="auto" w:sz="4" w:space="0"/>
              <w:bottom w:val="single" w:color="auto" w:sz="4" w:space="0"/>
              <w:right w:val="single" w:color="auto" w:sz="4" w:space="0"/>
            </w:tcBorders>
            <w:vAlign w:val="center"/>
          </w:tcPr>
          <w:p w14:paraId="0DF6F5E3">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倾角仪</w:t>
            </w:r>
          </w:p>
        </w:tc>
      </w:tr>
      <w:tr w14:paraId="797F1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E745230">
            <w:pPr>
              <w:ind w:firstLine="0" w:firstLineChars="0"/>
              <w:rPr>
                <w:rFonts w:eastAsia="宋体" w:cs="Times New Roman"/>
                <w:iCs/>
                <w:color w:val="000000" w:themeColor="text1"/>
                <w:sz w:val="18"/>
                <w:szCs w:val="18"/>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EA12CD0">
            <w:pPr>
              <w:ind w:firstLine="0" w:firstLineChars="0"/>
              <w:rPr>
                <w:rFonts w:eastAsia="宋体" w:cs="Times New Roman"/>
                <w:iCs/>
                <w:color w:val="000000" w:themeColor="text1"/>
                <w:sz w:val="18"/>
                <w:szCs w:val="18"/>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581A439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三维位移（X、Y、Z向）</w:t>
            </w:r>
          </w:p>
        </w:tc>
        <w:tc>
          <w:tcPr>
            <w:tcW w:w="1560" w:type="dxa"/>
            <w:tcBorders>
              <w:top w:val="single" w:color="auto" w:sz="4" w:space="0"/>
              <w:left w:val="single" w:color="auto" w:sz="4" w:space="0"/>
              <w:bottom w:val="single" w:color="auto" w:sz="4" w:space="0"/>
              <w:right w:val="single" w:color="auto" w:sz="4" w:space="0"/>
            </w:tcBorders>
            <w:vAlign w:val="center"/>
          </w:tcPr>
          <w:p w14:paraId="2DF5CC3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GNSS监测站</w:t>
            </w:r>
          </w:p>
        </w:tc>
      </w:tr>
    </w:tbl>
    <w:p w14:paraId="2827362C">
      <w:pPr>
        <w:spacing w:line="360" w:lineRule="auto"/>
        <w:ind w:firstLine="0" w:firstLineChars="0"/>
        <w:jc w:val="center"/>
        <w:rPr>
          <w:rFonts w:eastAsia="宋体" w:cs="Times New Roman"/>
          <w:bCs/>
          <w:sz w:val="18"/>
          <w:szCs w:val="18"/>
        </w:rPr>
      </w:pPr>
      <w:r>
        <w:rPr>
          <w:rFonts w:eastAsia="宋体" w:cs="Times New Roman"/>
          <w:bCs/>
          <w:sz w:val="18"/>
          <w:szCs w:val="18"/>
        </w:rPr>
        <w:t>注：桥梁监测项目运行技术参数及相应规定见《城市生命线工程安全运行监测技术标准》DB34/T 4021</w:t>
      </w:r>
    </w:p>
    <w:p w14:paraId="099E71B9">
      <w:pPr>
        <w:spacing w:line="360" w:lineRule="auto"/>
        <w:ind w:firstLine="0" w:firstLineChars="0"/>
        <w:jc w:val="left"/>
        <w:rPr>
          <w:rFonts w:eastAsia="宋体" w:cs="Times New Roman"/>
          <w:sz w:val="21"/>
          <w:szCs w:val="21"/>
        </w:rPr>
      </w:pPr>
      <w:r>
        <w:rPr>
          <w:rFonts w:cs="Times New Roman" w:eastAsiaTheme="minorEastAsia"/>
          <w:iCs/>
          <w:sz w:val="21"/>
          <w:szCs w:val="21"/>
        </w:rPr>
        <w:t xml:space="preserve">4.6.3 </w:t>
      </w:r>
      <w:r>
        <w:rPr>
          <w:rFonts w:eastAsia="宋体" w:cs="Times New Roman"/>
          <w:sz w:val="21"/>
          <w:szCs w:val="21"/>
        </w:rPr>
        <w:t>对于较隐蔽和难以</w:t>
      </w:r>
      <w:r>
        <w:rPr>
          <w:rFonts w:hint="eastAsia" w:eastAsia="宋体" w:cs="Times New Roman"/>
          <w:sz w:val="21"/>
          <w:szCs w:val="21"/>
        </w:rPr>
        <w:t>更换养护的监测点</w:t>
      </w:r>
      <w:r>
        <w:rPr>
          <w:rFonts w:eastAsia="宋体" w:cs="Times New Roman"/>
          <w:sz w:val="21"/>
          <w:szCs w:val="21"/>
        </w:rPr>
        <w:t>，宜采用冗余布设；对关键部件或关键构件的监测内容，可增设校核测点</w:t>
      </w:r>
      <w:r>
        <w:rPr>
          <w:rFonts w:hint="eastAsia" w:eastAsia="宋体" w:cs="Times New Roman"/>
          <w:sz w:val="21"/>
          <w:szCs w:val="21"/>
        </w:rPr>
        <w:t>。</w:t>
      </w:r>
    </w:p>
    <w:p w14:paraId="5AD07EF2">
      <w:pPr>
        <w:spacing w:line="360" w:lineRule="auto"/>
        <w:ind w:firstLine="0" w:firstLineChars="0"/>
        <w:jc w:val="left"/>
        <w:rPr>
          <w:rFonts w:eastAsia="宋体" w:cs="Times New Roman"/>
          <w:sz w:val="21"/>
          <w:szCs w:val="21"/>
        </w:rPr>
      </w:pPr>
      <w:r>
        <w:rPr>
          <w:rFonts w:cs="Times New Roman" w:eastAsiaTheme="minorEastAsia"/>
          <w:iCs/>
          <w:sz w:val="21"/>
          <w:szCs w:val="21"/>
        </w:rPr>
        <w:t>4.6.</w:t>
      </w:r>
      <w:r>
        <w:rPr>
          <w:rFonts w:hint="eastAsia" w:cs="Times New Roman" w:eastAsiaTheme="minorEastAsia"/>
          <w:iCs/>
          <w:sz w:val="21"/>
          <w:szCs w:val="21"/>
        </w:rPr>
        <w:t>4</w:t>
      </w:r>
      <w:r>
        <w:rPr>
          <w:rFonts w:cs="Times New Roman" w:eastAsiaTheme="minorEastAsia"/>
          <w:iCs/>
          <w:sz w:val="21"/>
          <w:szCs w:val="21"/>
        </w:rPr>
        <w:t xml:space="preserve"> </w:t>
      </w:r>
      <w:r>
        <w:rPr>
          <w:rFonts w:eastAsia="宋体" w:cs="Times New Roman"/>
          <w:sz w:val="21"/>
          <w:szCs w:val="21"/>
        </w:rPr>
        <w:t>桥面的</w:t>
      </w:r>
      <w:r>
        <w:rPr>
          <w:rFonts w:eastAsia="宋体" w:cs="Times New Roman"/>
          <w:bCs/>
          <w:sz w:val="21"/>
          <w:szCs w:val="21"/>
        </w:rPr>
        <w:t>水准仪安装</w:t>
      </w:r>
      <w:r>
        <w:rPr>
          <w:rFonts w:eastAsia="宋体" w:cs="Times New Roman"/>
          <w:sz w:val="21"/>
          <w:szCs w:val="21"/>
        </w:rPr>
        <w:t>应符合以下规定：</w:t>
      </w:r>
    </w:p>
    <w:p w14:paraId="2BCA8006">
      <w:pPr>
        <w:spacing w:line="360" w:lineRule="auto"/>
        <w:ind w:firstLine="420"/>
        <w:jc w:val="left"/>
        <w:rPr>
          <w:rFonts w:eastAsia="宋体" w:cs="Times New Roman"/>
          <w:sz w:val="21"/>
          <w:szCs w:val="21"/>
        </w:rPr>
      </w:pPr>
      <w:r>
        <w:rPr>
          <w:rFonts w:cs="Times New Roman" w:eastAsiaTheme="minorEastAsia"/>
          <w:iCs/>
          <w:sz w:val="21"/>
          <w:szCs w:val="21"/>
        </w:rPr>
        <w:t>1</w:t>
      </w:r>
      <w:r>
        <w:rPr>
          <w:rFonts w:eastAsia="宋体" w:cs="Times New Roman"/>
          <w:b/>
          <w:sz w:val="21"/>
          <w:szCs w:val="21"/>
        </w:rPr>
        <w:t xml:space="preserve"> </w:t>
      </w:r>
      <w:r>
        <w:rPr>
          <w:rFonts w:eastAsia="宋体" w:cs="Times New Roman"/>
          <w:sz w:val="21"/>
          <w:szCs w:val="21"/>
        </w:rPr>
        <w:t>水准仪安装在箱梁上，同一箱梁中各测点高程误差不超过20mm；</w:t>
      </w:r>
    </w:p>
    <w:p w14:paraId="34AC43D3">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sz w:val="21"/>
          <w:szCs w:val="21"/>
        </w:rPr>
        <w:t xml:space="preserve"> 支架焊接在箱梁上，储液罐、通液管、通气管及电缆位置与水准仪配套；</w:t>
      </w:r>
    </w:p>
    <w:p w14:paraId="40C6D5CD">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
          <w:sz w:val="21"/>
          <w:szCs w:val="21"/>
        </w:rPr>
        <w:t xml:space="preserve"> </w:t>
      </w:r>
      <w:r>
        <w:rPr>
          <w:rFonts w:eastAsia="宋体" w:cs="Times New Roman"/>
          <w:sz w:val="21"/>
          <w:szCs w:val="21"/>
        </w:rPr>
        <w:t>储液罐用螺栓固定，通液管、通气管及电缆用PVC管保护，通液管、通气管每2m设一个固定点并采用膨胀钩固定，安装后排除通液管内气泡；</w:t>
      </w:r>
    </w:p>
    <w:p w14:paraId="77474570">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bCs/>
          <w:sz w:val="21"/>
          <w:szCs w:val="21"/>
        </w:rPr>
        <w:t>采用不锈钢保护罩并安装牢固；</w:t>
      </w:r>
    </w:p>
    <w:p w14:paraId="48ED2E24">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5 </w:t>
      </w:r>
      <w:r>
        <w:rPr>
          <w:rFonts w:eastAsia="宋体" w:cs="Times New Roman"/>
          <w:sz w:val="21"/>
          <w:szCs w:val="21"/>
        </w:rPr>
        <w:t>安装前确认接口尺寸匹配，并预留维护空间，避免强振动、高温、高湿环境；</w:t>
      </w:r>
    </w:p>
    <w:p w14:paraId="3A27D718">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6</w:t>
      </w:r>
      <w:r>
        <w:rPr>
          <w:rFonts w:eastAsia="宋体" w:cs="Times New Roman"/>
          <w:sz w:val="21"/>
          <w:szCs w:val="21"/>
        </w:rPr>
        <w:t xml:space="preserve"> 安装后检查通液管是否渗漏，及时补充液体并确保固定点牢固。</w:t>
      </w:r>
    </w:p>
    <w:p w14:paraId="234BD33A">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w:t>
      </w:r>
      <w:r>
        <w:rPr>
          <w:rFonts w:hint="eastAsia" w:cs="Times New Roman" w:eastAsiaTheme="minorEastAsia"/>
          <w:iCs/>
          <w:color w:val="000000" w:themeColor="text1"/>
          <w:sz w:val="21"/>
          <w:szCs w:val="21"/>
          <w14:textFill>
            <w14:solidFill>
              <w14:schemeClr w14:val="tx1"/>
            </w14:solidFill>
          </w14:textFill>
        </w:rPr>
        <w:t>5</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桥面的</w:t>
      </w:r>
      <w:r>
        <w:rPr>
          <w:rFonts w:eastAsia="宋体" w:cs="Times New Roman"/>
          <w:bCs/>
          <w:sz w:val="21"/>
          <w:szCs w:val="21"/>
        </w:rPr>
        <w:t>水准仪的技术指标应符合以下规定：</w:t>
      </w:r>
    </w:p>
    <w:p w14:paraId="220E50E2">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sz w:val="21"/>
          <w:szCs w:val="21"/>
        </w:rPr>
        <w:t>量程为挠度估计值或允许值的2倍～3倍；</w:t>
      </w:r>
    </w:p>
    <w:p w14:paraId="15120829">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sz w:val="21"/>
          <w:szCs w:val="21"/>
        </w:rPr>
        <w:t>精度为±2 mm‎ ‎；</w:t>
      </w:r>
    </w:p>
    <w:p w14:paraId="60AA8432">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
          <w:sz w:val="21"/>
          <w:szCs w:val="21"/>
        </w:rPr>
        <w:t xml:space="preserve"> </w:t>
      </w:r>
      <w:r>
        <w:rPr>
          <w:rFonts w:eastAsia="宋体" w:cs="Times New Roman"/>
          <w:sz w:val="21"/>
          <w:szCs w:val="21"/>
        </w:rPr>
        <w:t>应具有防腐、防水等抗恶劣环境性能。</w:t>
      </w:r>
    </w:p>
    <w:p w14:paraId="5D59D76D">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w:t>
      </w:r>
      <w:r>
        <w:rPr>
          <w:rFonts w:hint="eastAsia" w:cs="Times New Roman" w:eastAsiaTheme="minorEastAsia"/>
          <w:iCs/>
          <w:color w:val="000000" w:themeColor="text1"/>
          <w:sz w:val="21"/>
          <w:szCs w:val="21"/>
          <w14:textFill>
            <w14:solidFill>
              <w14:schemeClr w14:val="tx1"/>
            </w14:solidFill>
          </w14:textFill>
        </w:rPr>
        <w:t>6</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主梁和主拱</w:t>
      </w:r>
      <w:r>
        <w:rPr>
          <w:rFonts w:eastAsia="宋体" w:cs="Times New Roman"/>
          <w:bCs/>
          <w:sz w:val="21"/>
          <w:szCs w:val="21"/>
        </w:rPr>
        <w:t>应变计安装</w:t>
      </w:r>
      <w:r>
        <w:rPr>
          <w:rFonts w:eastAsia="宋体" w:cs="Times New Roman"/>
          <w:sz w:val="21"/>
          <w:szCs w:val="21"/>
        </w:rPr>
        <w:t>应符合以下规定：</w:t>
      </w:r>
    </w:p>
    <w:p w14:paraId="5E287A31">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bCs/>
          <w:sz w:val="21"/>
          <w:szCs w:val="21"/>
        </w:rPr>
        <w:t>应变计安装在混凝土箱梁或钢结构上，确保基座底部与待测物表面紧贴且无明显间隙；</w:t>
      </w:r>
    </w:p>
    <w:p w14:paraId="4CAF636F">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混凝土箱梁上采用膨胀螺丝固定基座，螺母两端同时加力固定；</w:t>
      </w:r>
    </w:p>
    <w:p w14:paraId="0CB979EA">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钢结构上采用点焊机焊接；</w:t>
      </w:r>
    </w:p>
    <w:p w14:paraId="69B51C8C">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bCs/>
          <w:sz w:val="21"/>
          <w:szCs w:val="21"/>
        </w:rPr>
        <w:t>安装前打磨待测物表面并清洁，安装时根据测量方向（特别是应变花方向）划出传感器及基座位置，</w:t>
      </w:r>
      <w:r>
        <w:rPr>
          <w:rFonts w:hint="eastAsia" w:eastAsia="宋体" w:cs="Times New Roman"/>
          <w:bCs/>
          <w:sz w:val="21"/>
          <w:szCs w:val="21"/>
        </w:rPr>
        <w:t xml:space="preserve"> </w:t>
      </w:r>
      <w:r>
        <w:rPr>
          <w:rFonts w:eastAsia="宋体" w:cs="Times New Roman"/>
          <w:bCs/>
          <w:sz w:val="21"/>
          <w:szCs w:val="21"/>
        </w:rPr>
        <w:t xml:space="preserve">安装后记录读数、位置和编号，调整至符合设计要求； </w:t>
      </w:r>
    </w:p>
    <w:p w14:paraId="2E0647B0">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 </w:t>
      </w:r>
      <w:r>
        <w:rPr>
          <w:rFonts w:eastAsia="宋体" w:cs="Times New Roman"/>
          <w:bCs/>
          <w:sz w:val="21"/>
          <w:szCs w:val="21"/>
        </w:rPr>
        <w:t>采用不锈钢保护罩并安装牢固；</w:t>
      </w:r>
    </w:p>
    <w:p w14:paraId="1F736E17">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6</w:t>
      </w:r>
      <w:r>
        <w:rPr>
          <w:rFonts w:eastAsia="宋体" w:cs="Times New Roman"/>
          <w:b/>
          <w:sz w:val="21"/>
          <w:szCs w:val="21"/>
        </w:rPr>
        <w:t xml:space="preserve"> </w:t>
      </w:r>
      <w:r>
        <w:rPr>
          <w:rFonts w:eastAsia="宋体" w:cs="Times New Roman"/>
          <w:bCs/>
          <w:sz w:val="21"/>
          <w:szCs w:val="21"/>
        </w:rPr>
        <w:t xml:space="preserve">安装盒密封并防水，信号线连接牢固且绝缘防水，避免与保护罩或尾线套管接触。 </w:t>
      </w:r>
    </w:p>
    <w:p w14:paraId="17D01BAA">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w:t>
      </w:r>
      <w:r>
        <w:rPr>
          <w:rFonts w:hint="eastAsia" w:cs="Times New Roman" w:eastAsiaTheme="minorEastAsia"/>
          <w:iCs/>
          <w:color w:val="000000" w:themeColor="text1"/>
          <w:sz w:val="21"/>
          <w:szCs w:val="21"/>
          <w14:textFill>
            <w14:solidFill>
              <w14:schemeClr w14:val="tx1"/>
            </w14:solidFill>
          </w14:textFill>
        </w:rPr>
        <w:t>7</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主梁和主拱应变计</w:t>
      </w:r>
      <w:r>
        <w:rPr>
          <w:rFonts w:eastAsia="宋体" w:cs="Times New Roman"/>
          <w:bCs/>
          <w:sz w:val="21"/>
          <w:szCs w:val="21"/>
        </w:rPr>
        <w:t>的技术指标应符合以下规定：</w:t>
      </w:r>
    </w:p>
    <w:p w14:paraId="09D57E41">
      <w:pPr>
        <w:spacing w:line="360" w:lineRule="auto"/>
        <w:ind w:firstLine="420"/>
        <w:rPr>
          <w:rFonts w:eastAsia="宋体" w:cs="Times New Roman"/>
          <w:b/>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量程为应变估计值的1.25倍～3倍；</w:t>
      </w:r>
    </w:p>
    <w:p w14:paraId="27C29F49">
      <w:pPr>
        <w:spacing w:line="360" w:lineRule="auto"/>
        <w:ind w:firstLine="420"/>
        <w:rPr>
          <w:rFonts w:eastAsia="宋体" w:cs="Times New Roman"/>
          <w:b/>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精度为±0.5% F.S.；</w:t>
      </w:r>
    </w:p>
    <w:p w14:paraId="4D013F7A">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应具有防腐、防水等抗恶劣环境性能。</w:t>
      </w:r>
    </w:p>
    <w:p w14:paraId="0D89FDB3">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w:t>
      </w:r>
      <w:r>
        <w:rPr>
          <w:rFonts w:hint="eastAsia" w:cs="Times New Roman" w:eastAsiaTheme="minorEastAsia"/>
          <w:iCs/>
          <w:color w:val="000000" w:themeColor="text1"/>
          <w:sz w:val="21"/>
          <w:szCs w:val="21"/>
          <w14:textFill>
            <w14:solidFill>
              <w14:schemeClr w14:val="tx1"/>
            </w14:solidFill>
          </w14:textFill>
        </w:rPr>
        <w:t>8</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主梁、桥墩和主拱</w:t>
      </w:r>
      <w:r>
        <w:rPr>
          <w:rFonts w:eastAsia="宋体" w:cs="Times New Roman"/>
          <w:bCs/>
          <w:sz w:val="21"/>
          <w:szCs w:val="21"/>
        </w:rPr>
        <w:t>加速度计安装</w:t>
      </w:r>
      <w:r>
        <w:rPr>
          <w:rFonts w:eastAsia="宋体" w:cs="Times New Roman"/>
          <w:sz w:val="21"/>
          <w:szCs w:val="21"/>
        </w:rPr>
        <w:t>应符合以下规定：</w:t>
      </w:r>
    </w:p>
    <w:p w14:paraId="0F779138">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加速度计安装在传感器安装盒内并固定在底座上（底座应根据传感器形状定制），确保传感器方向与待测物的振动方向一致；</w:t>
      </w:r>
    </w:p>
    <w:p w14:paraId="472ECD1A">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使用螺纹锁固胶固定螺钉，安装盒及底座应具备密封设计；</w:t>
      </w:r>
    </w:p>
    <w:p w14:paraId="5C5FFF13">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信号线与设备尾线通过焊锡焊接牢固，并套热缩管进行绝缘和防水处理；</w:t>
      </w:r>
    </w:p>
    <w:p w14:paraId="5DEFC2EE">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w:t>
      </w:r>
      <w:r>
        <w:rPr>
          <w:rFonts w:eastAsia="宋体" w:cs="Times New Roman"/>
          <w:b/>
          <w:sz w:val="21"/>
          <w:szCs w:val="21"/>
        </w:rPr>
        <w:t xml:space="preserve"> </w:t>
      </w:r>
      <w:r>
        <w:rPr>
          <w:rFonts w:eastAsia="宋体" w:cs="Times New Roman"/>
          <w:bCs/>
          <w:sz w:val="21"/>
          <w:szCs w:val="21"/>
        </w:rPr>
        <w:t>采用厚度不低于4mm的不锈钢安装支架，垂直转角处应加固，确保安装牢固；</w:t>
      </w:r>
    </w:p>
    <w:p w14:paraId="0620322D">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w:t>
      </w:r>
      <w:r>
        <w:rPr>
          <w:rFonts w:eastAsia="宋体" w:cs="Times New Roman"/>
          <w:b/>
          <w:sz w:val="21"/>
          <w:szCs w:val="21"/>
        </w:rPr>
        <w:t xml:space="preserve"> </w:t>
      </w:r>
      <w:r>
        <w:rPr>
          <w:rFonts w:eastAsia="宋体" w:cs="Times New Roman"/>
          <w:bCs/>
          <w:sz w:val="21"/>
          <w:szCs w:val="21"/>
        </w:rPr>
        <w:t>信号线和电源线从传感器敷设至外站的信号调理器，线缆走线应顺畅、合理；</w:t>
      </w:r>
    </w:p>
    <w:p w14:paraId="21EE277E">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6</w:t>
      </w:r>
      <w:r>
        <w:rPr>
          <w:rFonts w:eastAsia="宋体" w:cs="Times New Roman"/>
          <w:b/>
          <w:sz w:val="21"/>
          <w:szCs w:val="21"/>
        </w:rPr>
        <w:t xml:space="preserve"> </w:t>
      </w:r>
      <w:r>
        <w:rPr>
          <w:rFonts w:eastAsia="宋体" w:cs="Times New Roman"/>
          <w:bCs/>
          <w:sz w:val="21"/>
          <w:szCs w:val="21"/>
        </w:rPr>
        <w:t>安装环境应符合现行国家标准《建筑物防雷设计规范》 GB50057的规定。</w:t>
      </w:r>
    </w:p>
    <w:p w14:paraId="66030DA1">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w:t>
      </w:r>
      <w:r>
        <w:rPr>
          <w:rFonts w:hint="eastAsia" w:cs="Times New Roman" w:eastAsiaTheme="minorEastAsia"/>
          <w:iCs/>
          <w:color w:val="000000" w:themeColor="text1"/>
          <w:sz w:val="21"/>
          <w:szCs w:val="21"/>
          <w14:textFill>
            <w14:solidFill>
              <w14:schemeClr w14:val="tx1"/>
            </w14:solidFill>
          </w14:textFill>
        </w:rPr>
        <w:t>9</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主梁、桥墩和主拱加速度计</w:t>
      </w:r>
      <w:r>
        <w:rPr>
          <w:rFonts w:eastAsia="宋体" w:cs="Times New Roman"/>
          <w:bCs/>
          <w:sz w:val="21"/>
          <w:szCs w:val="21"/>
        </w:rPr>
        <w:t>的技术指标应符合以下规定：</w:t>
      </w:r>
    </w:p>
    <w:p w14:paraId="6D424FD5">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频响范围：（0.1～100）Hz；</w:t>
      </w:r>
    </w:p>
    <w:p w14:paraId="477BF3B9">
      <w:pPr>
        <w:spacing w:line="360" w:lineRule="auto"/>
        <w:ind w:firstLine="420"/>
        <w:rPr>
          <w:rFonts w:eastAsia="宋体" w:cs="Times New Roman"/>
          <w:b/>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
          <w:sz w:val="21"/>
          <w:szCs w:val="21"/>
        </w:rPr>
        <w:t xml:space="preserve"> </w:t>
      </w:r>
      <w:r>
        <w:rPr>
          <w:rFonts w:eastAsia="宋体" w:cs="Times New Roman"/>
          <w:bCs/>
          <w:sz w:val="21"/>
          <w:szCs w:val="21"/>
        </w:rPr>
        <w:t>量程为大于振动响应值的1.5倍，且不小于±5 g；</w:t>
      </w:r>
    </w:p>
    <w:p w14:paraId="7F6FD327">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
          <w:sz w:val="21"/>
          <w:szCs w:val="21"/>
        </w:rPr>
        <w:t xml:space="preserve"> </w:t>
      </w:r>
      <w:r>
        <w:rPr>
          <w:rFonts w:eastAsia="宋体" w:cs="Times New Roman"/>
          <w:bCs/>
          <w:sz w:val="21"/>
          <w:szCs w:val="21"/>
        </w:rPr>
        <w:t>应具有防腐、防水等抗恶劣环境性能。</w:t>
      </w:r>
    </w:p>
    <w:p w14:paraId="59328905">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w:t>
      </w:r>
      <w:r>
        <w:rPr>
          <w:rFonts w:hint="eastAsia" w:cs="Times New Roman" w:eastAsiaTheme="minorEastAsia"/>
          <w:iCs/>
          <w:color w:val="000000" w:themeColor="text1"/>
          <w:sz w:val="21"/>
          <w:szCs w:val="21"/>
          <w14:textFill>
            <w14:solidFill>
              <w14:schemeClr w14:val="tx1"/>
            </w14:solidFill>
          </w14:textFill>
        </w:rPr>
        <w:t>10</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桥面的</w:t>
      </w:r>
      <w:r>
        <w:rPr>
          <w:rFonts w:eastAsia="宋体" w:cs="Times New Roman"/>
          <w:bCs/>
          <w:sz w:val="21"/>
          <w:szCs w:val="21"/>
        </w:rPr>
        <w:t>温度计安装</w:t>
      </w:r>
      <w:r>
        <w:rPr>
          <w:rFonts w:eastAsia="宋体" w:cs="Times New Roman"/>
          <w:sz w:val="21"/>
          <w:szCs w:val="21"/>
        </w:rPr>
        <w:t>应符合以下规定：</w:t>
      </w:r>
    </w:p>
    <w:p w14:paraId="0807371E">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温度计安装在混凝土或钢构件表面，安装底座固定在被测点构件表面，传感器安装在底座上并加盖保护盒，安装位置便于维护和更换；</w:t>
      </w:r>
    </w:p>
    <w:p w14:paraId="42C16C88">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安装孔深度不小于设备长度；</w:t>
      </w:r>
    </w:p>
    <w:p w14:paraId="0FA4620F">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混凝土构件安装时清理孔洞并填注环氧树脂砂浆；</w:t>
      </w:r>
    </w:p>
    <w:p w14:paraId="191B5B81">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bCs/>
          <w:sz w:val="21"/>
          <w:szCs w:val="21"/>
        </w:rPr>
        <w:t>钢结构表面安装时焊接支架；</w:t>
      </w:r>
    </w:p>
    <w:p w14:paraId="0C43F7DA">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w:t>
      </w:r>
      <w:r>
        <w:rPr>
          <w:rFonts w:eastAsia="宋体" w:cs="Times New Roman"/>
          <w:b/>
          <w:bCs/>
          <w:sz w:val="21"/>
          <w:szCs w:val="21"/>
        </w:rPr>
        <w:t xml:space="preserve"> </w:t>
      </w:r>
      <w:r>
        <w:rPr>
          <w:rFonts w:eastAsia="宋体" w:cs="Times New Roman"/>
          <w:bCs/>
          <w:sz w:val="21"/>
          <w:szCs w:val="21"/>
        </w:rPr>
        <w:t>信号线与设备尾线通过焊锡焊接，并套热缩管进行绝缘防水；</w:t>
      </w:r>
    </w:p>
    <w:p w14:paraId="7C6CA227">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6 </w:t>
      </w:r>
      <w:r>
        <w:rPr>
          <w:rFonts w:eastAsia="宋体" w:cs="Times New Roman"/>
          <w:bCs/>
          <w:sz w:val="21"/>
          <w:szCs w:val="21"/>
        </w:rPr>
        <w:t>采用不锈钢保护罩并安装牢固；</w:t>
      </w:r>
    </w:p>
    <w:p w14:paraId="63BA6267">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7</w:t>
      </w:r>
      <w:r>
        <w:rPr>
          <w:rFonts w:eastAsia="宋体" w:cs="Times New Roman"/>
          <w:b/>
          <w:sz w:val="21"/>
          <w:szCs w:val="21"/>
        </w:rPr>
        <w:t xml:space="preserve"> </w:t>
      </w:r>
      <w:r>
        <w:rPr>
          <w:rFonts w:eastAsia="宋体" w:cs="Times New Roman"/>
          <w:bCs/>
          <w:sz w:val="21"/>
          <w:szCs w:val="21"/>
        </w:rPr>
        <w:t>安装时注意电缆保护。</w:t>
      </w:r>
    </w:p>
    <w:p w14:paraId="3DC178E5">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4.6.1</w:t>
      </w:r>
      <w:r>
        <w:rPr>
          <w:rFonts w:hint="eastAsia" w:cs="Times New Roman" w:eastAsiaTheme="minorEastAsia"/>
          <w:iCs/>
          <w:color w:val="000000" w:themeColor="text1"/>
          <w:sz w:val="21"/>
          <w:szCs w:val="21"/>
          <w14:textFill>
            <w14:solidFill>
              <w14:schemeClr w14:val="tx1"/>
            </w14:solidFill>
          </w14:textFill>
        </w:rPr>
        <w:t>1</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桥面的温度计</w:t>
      </w:r>
      <w:r>
        <w:rPr>
          <w:rFonts w:eastAsia="宋体" w:cs="Times New Roman"/>
          <w:bCs/>
          <w:sz w:val="21"/>
          <w:szCs w:val="21"/>
        </w:rPr>
        <w:t>的技术指标应符合以下规定：</w:t>
      </w:r>
    </w:p>
    <w:p w14:paraId="6042671D">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bCs/>
          <w:sz w:val="21"/>
          <w:szCs w:val="21"/>
        </w:rPr>
        <w:t>量程为-30℃～80℃；</w:t>
      </w:r>
    </w:p>
    <w:p w14:paraId="2C7E6311">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精度为±0.5℃；</w:t>
      </w:r>
    </w:p>
    <w:p w14:paraId="1C7CA9F1">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
          <w:sz w:val="21"/>
          <w:szCs w:val="21"/>
        </w:rPr>
        <w:t xml:space="preserve"> </w:t>
      </w:r>
      <w:r>
        <w:rPr>
          <w:rFonts w:eastAsia="宋体" w:cs="Times New Roman"/>
          <w:bCs/>
          <w:sz w:val="21"/>
          <w:szCs w:val="21"/>
        </w:rPr>
        <w:t>应具有防腐、防水等抗恶劣环境性能。</w:t>
      </w:r>
    </w:p>
    <w:p w14:paraId="2CEE9F08">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4.6.1</w:t>
      </w:r>
      <w:r>
        <w:rPr>
          <w:rFonts w:hint="eastAsia" w:cs="Times New Roman" w:eastAsiaTheme="minorEastAsia"/>
          <w:iCs/>
          <w:color w:val="000000" w:themeColor="text1"/>
          <w:sz w:val="21"/>
          <w:szCs w:val="21"/>
          <w14:textFill>
            <w14:solidFill>
              <w14:schemeClr w14:val="tx1"/>
            </w14:solidFill>
          </w14:textFill>
        </w:rPr>
        <w:t>2</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桥面的</w:t>
      </w:r>
      <w:r>
        <w:rPr>
          <w:rFonts w:eastAsia="宋体" w:cs="Times New Roman"/>
          <w:bCs/>
          <w:sz w:val="21"/>
          <w:szCs w:val="21"/>
        </w:rPr>
        <w:t>湿度计安装</w:t>
      </w:r>
      <w:r>
        <w:rPr>
          <w:rFonts w:eastAsia="宋体" w:cs="Times New Roman"/>
          <w:sz w:val="21"/>
          <w:szCs w:val="21"/>
        </w:rPr>
        <w:t>应符合以下规定：</w:t>
      </w:r>
    </w:p>
    <w:p w14:paraId="48CF220D">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bCs/>
          <w:sz w:val="21"/>
          <w:szCs w:val="21"/>
        </w:rPr>
        <w:t>湿度计安装在混凝土构件表面，安装底座固定在被测点构件上，传感器安装在底座上并加盖保护盒，安装位置通风良好便于维护和更换；</w:t>
      </w:r>
    </w:p>
    <w:p w14:paraId="753D8BB8">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
          <w:sz w:val="21"/>
          <w:szCs w:val="21"/>
        </w:rPr>
        <w:t xml:space="preserve"> </w:t>
      </w:r>
      <w:r>
        <w:rPr>
          <w:rFonts w:eastAsia="宋体" w:cs="Times New Roman"/>
          <w:bCs/>
          <w:sz w:val="21"/>
          <w:szCs w:val="21"/>
        </w:rPr>
        <w:t>采用厚度不低于4mm的不锈钢安装支架，确保安装牢固；</w:t>
      </w:r>
    </w:p>
    <w:p w14:paraId="1997C82F">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信号线与设备尾线应通过焊锡焊接牢固，并套热缩管进行绝缘和防水处理；</w:t>
      </w:r>
    </w:p>
    <w:p w14:paraId="6AED6206">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w:t>
      </w:r>
      <w:r>
        <w:rPr>
          <w:rFonts w:eastAsia="宋体" w:cs="Times New Roman"/>
          <w:b/>
          <w:sz w:val="21"/>
          <w:szCs w:val="21"/>
        </w:rPr>
        <w:t xml:space="preserve"> </w:t>
      </w:r>
      <w:r>
        <w:rPr>
          <w:rFonts w:eastAsia="宋体" w:cs="Times New Roman"/>
          <w:bCs/>
          <w:sz w:val="21"/>
          <w:szCs w:val="21"/>
        </w:rPr>
        <w:t>保护盒应密封良好，确保防尘防水；</w:t>
      </w:r>
    </w:p>
    <w:p w14:paraId="4200E9CF">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w:t>
      </w:r>
      <w:r>
        <w:rPr>
          <w:rFonts w:eastAsia="宋体" w:cs="Times New Roman"/>
          <w:b/>
          <w:sz w:val="21"/>
          <w:szCs w:val="21"/>
        </w:rPr>
        <w:t xml:space="preserve"> </w:t>
      </w:r>
      <w:r>
        <w:rPr>
          <w:rFonts w:eastAsia="宋体" w:cs="Times New Roman"/>
          <w:bCs/>
          <w:sz w:val="21"/>
          <w:szCs w:val="21"/>
        </w:rPr>
        <w:t>安装时注意电缆保护；</w:t>
      </w:r>
    </w:p>
    <w:p w14:paraId="772F51AC">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6</w:t>
      </w:r>
      <w:r>
        <w:rPr>
          <w:rFonts w:eastAsia="宋体" w:cs="Times New Roman"/>
          <w:bCs/>
          <w:sz w:val="21"/>
          <w:szCs w:val="21"/>
        </w:rPr>
        <w:t xml:space="preserve"> 安装环境保持通风，避免高温高湿对设备造成影响。</w:t>
      </w:r>
    </w:p>
    <w:p w14:paraId="770B2872">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4.6.1</w:t>
      </w:r>
      <w:r>
        <w:rPr>
          <w:rFonts w:hint="eastAsia" w:cs="Times New Roman" w:eastAsiaTheme="minorEastAsia"/>
          <w:iCs/>
          <w:color w:val="000000" w:themeColor="text1"/>
          <w:sz w:val="21"/>
          <w:szCs w:val="21"/>
          <w14:textFill>
            <w14:solidFill>
              <w14:schemeClr w14:val="tx1"/>
            </w14:solidFill>
          </w14:textFill>
        </w:rPr>
        <w:t>3</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桥面的湿度计</w:t>
      </w:r>
      <w:r>
        <w:rPr>
          <w:rFonts w:eastAsia="宋体" w:cs="Times New Roman"/>
          <w:bCs/>
          <w:sz w:val="21"/>
          <w:szCs w:val="21"/>
        </w:rPr>
        <w:t>的技术指标应符合以下规定：</w:t>
      </w:r>
    </w:p>
    <w:p w14:paraId="6E49B22C">
      <w:pPr>
        <w:spacing w:line="360" w:lineRule="auto"/>
        <w:ind w:firstLine="420"/>
        <w:rPr>
          <w:rFonts w:eastAsia="宋体" w:cs="Times New Roman"/>
          <w:b/>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bCs/>
          <w:sz w:val="21"/>
          <w:szCs w:val="21"/>
        </w:rPr>
        <w:t>量程：0 ~100% RH（非凝露）；</w:t>
      </w:r>
    </w:p>
    <w:p w14:paraId="0717B529">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
          <w:sz w:val="21"/>
          <w:szCs w:val="21"/>
        </w:rPr>
        <w:t xml:space="preserve"> </w:t>
      </w:r>
      <w:r>
        <w:rPr>
          <w:rFonts w:eastAsia="宋体" w:cs="Times New Roman"/>
          <w:bCs/>
          <w:sz w:val="21"/>
          <w:szCs w:val="21"/>
        </w:rPr>
        <w:t>精度：±2% RH；</w:t>
      </w:r>
    </w:p>
    <w:p w14:paraId="39D30672">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应具有防腐、防水等抗恶劣环境性能。</w:t>
      </w:r>
    </w:p>
    <w:p w14:paraId="3F5437D8">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4.6.1</w:t>
      </w:r>
      <w:r>
        <w:rPr>
          <w:rFonts w:hint="eastAsia" w:cs="Times New Roman" w:eastAsiaTheme="minorEastAsia"/>
          <w:iCs/>
          <w:color w:val="000000" w:themeColor="text1"/>
          <w:sz w:val="21"/>
          <w:szCs w:val="21"/>
          <w14:textFill>
            <w14:solidFill>
              <w14:schemeClr w14:val="tx1"/>
            </w14:solidFill>
          </w14:textFill>
        </w:rPr>
        <w:t>4</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bCs/>
          <w:sz w:val="21"/>
          <w:szCs w:val="21"/>
        </w:rPr>
        <w:t>主梁、支座、桥墩、拱顶和缆索拉线位移计安装</w:t>
      </w:r>
      <w:r>
        <w:rPr>
          <w:rFonts w:eastAsia="宋体" w:cs="Times New Roman"/>
          <w:sz w:val="21"/>
          <w:szCs w:val="21"/>
        </w:rPr>
        <w:t>应符合以下规定：</w:t>
      </w:r>
    </w:p>
    <w:p w14:paraId="72008EE6">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bCs/>
          <w:sz w:val="21"/>
          <w:szCs w:val="21"/>
        </w:rPr>
        <w:t>拉线位移计固定在固定点，拉绳端固定在移动点，安装位置根据位移传感器的量程选择，确保被测物在最大伸缩位移时满足L + L</w:t>
      </w:r>
      <w:r>
        <w:rPr>
          <w:rFonts w:eastAsia="宋体" w:cs="Times New Roman"/>
          <w:bCs/>
          <w:sz w:val="21"/>
          <w:szCs w:val="21"/>
          <w:vertAlign w:val="subscript"/>
        </w:rPr>
        <w:t>max+</w:t>
      </w:r>
      <w:r>
        <w:rPr>
          <w:rFonts w:eastAsia="宋体" w:cs="Times New Roman"/>
          <w:bCs/>
          <w:sz w:val="21"/>
          <w:szCs w:val="21"/>
        </w:rPr>
        <w:t>小于传感器最大量程，L－L</w:t>
      </w:r>
      <w:r>
        <w:rPr>
          <w:rFonts w:eastAsia="宋体" w:cs="Times New Roman"/>
          <w:bCs/>
          <w:sz w:val="21"/>
          <w:szCs w:val="21"/>
          <w:vertAlign w:val="subscript"/>
        </w:rPr>
        <w:t>max-</w:t>
      </w:r>
      <w:r>
        <w:rPr>
          <w:rFonts w:eastAsia="宋体" w:cs="Times New Roman"/>
          <w:bCs/>
          <w:sz w:val="21"/>
          <w:szCs w:val="21"/>
        </w:rPr>
        <w:t>大于传感器最小量程；</w:t>
      </w:r>
    </w:p>
    <w:p w14:paraId="49417FF3">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Cs/>
          <w:sz w:val="21"/>
          <w:szCs w:val="21"/>
        </w:rPr>
        <w:t xml:space="preserve"> 传感器端底座和拉绳端底座形成的直线方向与被测物移动方向平行；</w:t>
      </w:r>
    </w:p>
    <w:p w14:paraId="75D9A2DC">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安装底座采用焊接或膨胀螺丝固定，保护盒和底座防水密封；</w:t>
      </w:r>
    </w:p>
    <w:p w14:paraId="5DB6C55B">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bCs/>
          <w:sz w:val="21"/>
          <w:szCs w:val="21"/>
        </w:rPr>
        <w:t>拉绳端底座具有调节装置，确保安装牢固；</w:t>
      </w:r>
    </w:p>
    <w:p w14:paraId="4C5EC286">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 </w:t>
      </w:r>
      <w:r>
        <w:rPr>
          <w:rFonts w:eastAsia="宋体" w:cs="Times New Roman"/>
          <w:bCs/>
          <w:sz w:val="21"/>
          <w:szCs w:val="21"/>
        </w:rPr>
        <w:t>信号线与设备尾线通过焊锡焊接牢固，并套热缩管进行绝缘和防水处理；</w:t>
      </w:r>
    </w:p>
    <w:p w14:paraId="1E2BB66B">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6</w:t>
      </w:r>
      <w:r>
        <w:rPr>
          <w:rFonts w:eastAsia="宋体" w:cs="Times New Roman"/>
          <w:bCs/>
          <w:sz w:val="21"/>
          <w:szCs w:val="21"/>
        </w:rPr>
        <w:t xml:space="preserve"> 采用不锈钢保护罩并安装牢固；</w:t>
      </w:r>
    </w:p>
    <w:p w14:paraId="64F3D569">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7</w:t>
      </w:r>
      <w:r>
        <w:rPr>
          <w:rFonts w:eastAsia="宋体" w:cs="Times New Roman"/>
          <w:b/>
          <w:sz w:val="21"/>
          <w:szCs w:val="21"/>
        </w:rPr>
        <w:t xml:space="preserve"> </w:t>
      </w:r>
      <w:r>
        <w:rPr>
          <w:rFonts w:eastAsia="宋体" w:cs="Times New Roman"/>
          <w:bCs/>
          <w:sz w:val="21"/>
          <w:szCs w:val="21"/>
        </w:rPr>
        <w:t>安装时应对拉绳端做好保护，避免拉绳损坏；</w:t>
      </w:r>
    </w:p>
    <w:p w14:paraId="53EFC36C">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8</w:t>
      </w:r>
      <w:r>
        <w:rPr>
          <w:rFonts w:eastAsia="宋体" w:cs="Times New Roman"/>
          <w:bCs/>
          <w:sz w:val="21"/>
          <w:szCs w:val="21"/>
        </w:rPr>
        <w:t xml:space="preserve"> 安装后应加装防护装置，防止拉绳遭人为破坏；</w:t>
      </w:r>
    </w:p>
    <w:p w14:paraId="5B399767">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9</w:t>
      </w:r>
      <w:r>
        <w:rPr>
          <w:rFonts w:eastAsia="宋体" w:cs="Times New Roman"/>
          <w:bCs/>
          <w:sz w:val="21"/>
          <w:szCs w:val="21"/>
        </w:rPr>
        <w:t xml:space="preserve"> 引出线套管保护，且保护套管不能与引出线接触，水平方向和垂直方向的角度偏差小于3°。</w:t>
      </w:r>
    </w:p>
    <w:p w14:paraId="36A251F8">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4.6.1</w:t>
      </w:r>
      <w:r>
        <w:rPr>
          <w:rFonts w:hint="eastAsia" w:cs="Times New Roman" w:eastAsiaTheme="minorEastAsia"/>
          <w:iCs/>
          <w:color w:val="000000" w:themeColor="text1"/>
          <w:sz w:val="21"/>
          <w:szCs w:val="21"/>
          <w14:textFill>
            <w14:solidFill>
              <w14:schemeClr w14:val="tx1"/>
            </w14:solidFill>
          </w14:textFill>
        </w:rPr>
        <w:t>5</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主梁、支座、桥墩、拱顶和缆索的拉线位移计</w:t>
      </w:r>
      <w:r>
        <w:rPr>
          <w:rFonts w:eastAsia="宋体" w:cs="Times New Roman"/>
          <w:bCs/>
          <w:sz w:val="21"/>
          <w:szCs w:val="21"/>
        </w:rPr>
        <w:t>的技术指标应符合以下规定：</w:t>
      </w:r>
    </w:p>
    <w:p w14:paraId="7993A219">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bCs/>
          <w:sz w:val="21"/>
          <w:szCs w:val="21"/>
        </w:rPr>
        <w:t>量程为位移估计值或允许值的2倍～3倍；</w:t>
      </w:r>
    </w:p>
    <w:p w14:paraId="0B284802">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精度为±0.5% F.S.；</w:t>
      </w:r>
    </w:p>
    <w:p w14:paraId="4F7728F5">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应具有防腐、防水等抗恶劣环境性能。</w:t>
      </w:r>
    </w:p>
    <w:p w14:paraId="5AA62A2F">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4.6.1</w:t>
      </w:r>
      <w:r>
        <w:rPr>
          <w:rFonts w:hint="eastAsia" w:cs="Times New Roman" w:eastAsiaTheme="minorEastAsia"/>
          <w:iCs/>
          <w:color w:val="000000" w:themeColor="text1"/>
          <w:sz w:val="21"/>
          <w:szCs w:val="21"/>
          <w14:textFill>
            <w14:solidFill>
              <w14:schemeClr w14:val="tx1"/>
            </w14:solidFill>
          </w14:textFill>
        </w:rPr>
        <w:t>6</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bCs/>
          <w:sz w:val="21"/>
          <w:szCs w:val="21"/>
        </w:rPr>
        <w:t>主梁、桥墩和桥塔倾角仪安装</w:t>
      </w:r>
      <w:r>
        <w:rPr>
          <w:rFonts w:eastAsia="宋体" w:cs="Times New Roman"/>
          <w:sz w:val="21"/>
          <w:szCs w:val="21"/>
        </w:rPr>
        <w:t>应符合以下规定：</w:t>
      </w:r>
    </w:p>
    <w:p w14:paraId="4CFE8328">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倾角仪安装在被测点构件表面，固定架牢固安装在构件上，传感器垂直安装，初始安装的垂直偏角应不超过1.5°</w:t>
      </w:r>
      <w:r>
        <w:rPr>
          <w:rFonts w:hint="eastAsia" w:eastAsia="宋体" w:cs="Times New Roman"/>
          <w:bCs/>
          <w:sz w:val="21"/>
          <w:szCs w:val="21"/>
        </w:rPr>
        <w:t>；</w:t>
      </w:r>
    </w:p>
    <w:p w14:paraId="7DF2EE80">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采用厚度不低于4mm的不锈钢安装支架并安装牢固；</w:t>
      </w:r>
    </w:p>
    <w:p w14:paraId="76FDA14F">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传感器安装后加盖保护盒；</w:t>
      </w:r>
    </w:p>
    <w:p w14:paraId="51B737EC">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bCs/>
          <w:sz w:val="21"/>
          <w:szCs w:val="21"/>
        </w:rPr>
        <w:t>信号线与设备尾线通过焊锡焊接牢固，并套热缩管进行绝缘和防水；</w:t>
      </w:r>
    </w:p>
    <w:p w14:paraId="7158BF20">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 </w:t>
      </w:r>
      <w:r>
        <w:rPr>
          <w:rFonts w:eastAsia="宋体" w:cs="Times New Roman"/>
          <w:bCs/>
          <w:sz w:val="21"/>
          <w:szCs w:val="21"/>
        </w:rPr>
        <w:t>采用不锈钢保护罩并安装牢固；</w:t>
      </w:r>
    </w:p>
    <w:p w14:paraId="1A2DCDC2">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6 </w:t>
      </w:r>
      <w:r>
        <w:rPr>
          <w:rFonts w:eastAsia="宋体" w:cs="Times New Roman"/>
          <w:bCs/>
          <w:sz w:val="21"/>
          <w:szCs w:val="21"/>
        </w:rPr>
        <w:t>安装时应注意电缆保护，避免损坏。</w:t>
      </w:r>
    </w:p>
    <w:p w14:paraId="3A436DCE">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4.6.1</w:t>
      </w:r>
      <w:r>
        <w:rPr>
          <w:rFonts w:hint="eastAsia" w:cs="Times New Roman" w:eastAsiaTheme="minorEastAsia"/>
          <w:iCs/>
          <w:color w:val="000000" w:themeColor="text1"/>
          <w:sz w:val="21"/>
          <w:szCs w:val="21"/>
          <w14:textFill>
            <w14:solidFill>
              <w14:schemeClr w14:val="tx1"/>
            </w14:solidFill>
          </w14:textFill>
        </w:rPr>
        <w:t>7</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主梁、桥墩和桥塔倾角仪</w:t>
      </w:r>
      <w:r>
        <w:rPr>
          <w:rFonts w:eastAsia="宋体" w:cs="Times New Roman"/>
          <w:bCs/>
          <w:sz w:val="21"/>
          <w:szCs w:val="21"/>
        </w:rPr>
        <w:t>的技术指标应符合以下规定：</w:t>
      </w:r>
    </w:p>
    <w:p w14:paraId="1C2F9F11">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量程为－5°～＋5°；</w:t>
      </w:r>
    </w:p>
    <w:p w14:paraId="0DE71DA3">
      <w:pPr>
        <w:spacing w:line="360" w:lineRule="auto"/>
        <w:ind w:firstLine="420"/>
        <w:rPr>
          <w:rFonts w:eastAsia="宋体" w:cs="Times New Roman"/>
          <w:b/>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
          <w:sz w:val="21"/>
          <w:szCs w:val="21"/>
        </w:rPr>
        <w:t xml:space="preserve"> </w:t>
      </w:r>
      <w:r>
        <w:rPr>
          <w:rFonts w:eastAsia="宋体" w:cs="Times New Roman"/>
          <w:bCs/>
          <w:sz w:val="21"/>
          <w:szCs w:val="21"/>
        </w:rPr>
        <w:t>精度为±0.02°；</w:t>
      </w:r>
    </w:p>
    <w:p w14:paraId="102BBC26">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应具有防腐、防水等抗恶劣环境性能。</w:t>
      </w:r>
    </w:p>
    <w:p w14:paraId="7B0DED5A">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4.6.1</w:t>
      </w:r>
      <w:r>
        <w:rPr>
          <w:rFonts w:hint="eastAsia" w:cs="Times New Roman" w:eastAsiaTheme="minorEastAsia"/>
          <w:iCs/>
          <w:color w:val="000000" w:themeColor="text1"/>
          <w:sz w:val="21"/>
          <w:szCs w:val="21"/>
          <w14:textFill>
            <w14:solidFill>
              <w14:schemeClr w14:val="tx1"/>
            </w14:solidFill>
          </w14:textFill>
        </w:rPr>
        <w:t>8</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bCs/>
          <w:sz w:val="21"/>
          <w:szCs w:val="21"/>
        </w:rPr>
        <w:t>缆索、斜拉索和吊杆的索力计（振动法）安装</w:t>
      </w:r>
      <w:r>
        <w:rPr>
          <w:rFonts w:eastAsia="宋体" w:cs="Times New Roman"/>
          <w:sz w:val="21"/>
          <w:szCs w:val="21"/>
        </w:rPr>
        <w:t>应符合以下规定：</w:t>
      </w:r>
    </w:p>
    <w:p w14:paraId="7A88DB6D">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索力计安装在索芯上，传感器安装盒固定在底座上，底座与索芯牢固连接，传感器应与索芯的振动方向一致；</w:t>
      </w:r>
    </w:p>
    <w:p w14:paraId="0E114C22">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采用厚度应不低于4mm的不锈钢安装支架，垂直转角处加固；</w:t>
      </w:r>
    </w:p>
    <w:p w14:paraId="2E946A9C">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
          <w:bCs/>
          <w:sz w:val="21"/>
          <w:szCs w:val="21"/>
        </w:rPr>
        <w:t xml:space="preserve"> </w:t>
      </w:r>
      <w:r>
        <w:rPr>
          <w:rFonts w:eastAsia="宋体" w:cs="Times New Roman"/>
          <w:bCs/>
          <w:sz w:val="21"/>
          <w:szCs w:val="21"/>
        </w:rPr>
        <w:t>传感器安装盒及底座合理设计，确保线缆出线方便，必要时使用缆线支撑系统；</w:t>
      </w:r>
    </w:p>
    <w:p w14:paraId="371B0A64">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bCs/>
          <w:sz w:val="21"/>
          <w:szCs w:val="21"/>
        </w:rPr>
        <w:t>安装时使用螺纹锁固胶固定螺钉；</w:t>
      </w:r>
    </w:p>
    <w:p w14:paraId="1F7004A2">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w:t>
      </w:r>
      <w:r>
        <w:rPr>
          <w:rFonts w:eastAsia="宋体" w:cs="Times New Roman"/>
          <w:bCs/>
          <w:sz w:val="21"/>
          <w:szCs w:val="21"/>
        </w:rPr>
        <w:t xml:space="preserve"> 信号线与设备尾线通过焊锡焊接牢固，并套热缩管进行绝缘和防水处理；</w:t>
      </w:r>
    </w:p>
    <w:p w14:paraId="3A637390">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6</w:t>
      </w:r>
      <w:r>
        <w:rPr>
          <w:rFonts w:eastAsia="宋体" w:cs="Times New Roman"/>
          <w:bCs/>
          <w:sz w:val="21"/>
          <w:szCs w:val="21"/>
        </w:rPr>
        <w:t xml:space="preserve"> 采用不锈钢保护罩并安装牢固；</w:t>
      </w:r>
    </w:p>
    <w:p w14:paraId="4DBBBDA0">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7</w:t>
      </w:r>
      <w:r>
        <w:rPr>
          <w:rFonts w:eastAsia="宋体" w:cs="Times New Roman"/>
          <w:bCs/>
          <w:sz w:val="21"/>
          <w:szCs w:val="21"/>
        </w:rPr>
        <w:t xml:space="preserve"> 信号线和电源线从传感器敷设至外站的信号调理器，线缆走线顺畅、合理；</w:t>
      </w:r>
    </w:p>
    <w:p w14:paraId="69C99232">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8 </w:t>
      </w:r>
      <w:r>
        <w:rPr>
          <w:rFonts w:eastAsia="宋体" w:cs="Times New Roman"/>
          <w:bCs/>
          <w:sz w:val="21"/>
          <w:szCs w:val="21"/>
        </w:rPr>
        <w:t xml:space="preserve">安装环境应符合现行国家标准《建筑物防雷设计规范》 GB 50057的规定。 </w:t>
      </w:r>
    </w:p>
    <w:p w14:paraId="2FF136E3">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4.6.1</w:t>
      </w:r>
      <w:r>
        <w:rPr>
          <w:rFonts w:hint="eastAsia" w:cs="Times New Roman" w:eastAsiaTheme="minorEastAsia"/>
          <w:iCs/>
          <w:color w:val="000000" w:themeColor="text1"/>
          <w:sz w:val="21"/>
          <w:szCs w:val="21"/>
          <w14:textFill>
            <w14:solidFill>
              <w14:schemeClr w14:val="tx1"/>
            </w14:solidFill>
          </w14:textFill>
        </w:rPr>
        <w:t>9</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bCs/>
          <w:sz w:val="21"/>
          <w:szCs w:val="21"/>
        </w:rPr>
        <w:t>缆索、斜拉索和吊杆的索力计（磁通量法）安装</w:t>
      </w:r>
      <w:r>
        <w:rPr>
          <w:rFonts w:eastAsia="宋体" w:cs="Times New Roman"/>
          <w:sz w:val="21"/>
          <w:szCs w:val="21"/>
        </w:rPr>
        <w:t>应符合以下规定：</w:t>
      </w:r>
    </w:p>
    <w:p w14:paraId="05473B12">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索力计安装在索体的PE层外，安装位置根据实际需求选择；</w:t>
      </w:r>
    </w:p>
    <w:p w14:paraId="3DB5E447">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
          <w:sz w:val="21"/>
          <w:szCs w:val="21"/>
        </w:rPr>
        <w:t xml:space="preserve"> </w:t>
      </w:r>
      <w:r>
        <w:rPr>
          <w:rFonts w:eastAsia="宋体" w:cs="Times New Roman"/>
          <w:bCs/>
          <w:sz w:val="21"/>
          <w:szCs w:val="21"/>
        </w:rPr>
        <w:t>安装前对索力计进行检验率定；</w:t>
      </w:r>
    </w:p>
    <w:p w14:paraId="3C2B9E6B">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安装时信号线穿管保护并固定牢固，注意电缆保护</w:t>
      </w:r>
      <w:r>
        <w:rPr>
          <w:rFonts w:hint="eastAsia" w:eastAsia="宋体" w:cs="Times New Roman"/>
          <w:bCs/>
          <w:sz w:val="21"/>
          <w:szCs w:val="21"/>
        </w:rPr>
        <w:t>；</w:t>
      </w:r>
    </w:p>
    <w:p w14:paraId="3D6A37D8">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bCs/>
          <w:sz w:val="21"/>
          <w:szCs w:val="21"/>
        </w:rPr>
        <w:t>安装后检查设备固定情况。</w:t>
      </w:r>
    </w:p>
    <w:p w14:paraId="29E61173">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w:t>
      </w:r>
      <w:r>
        <w:rPr>
          <w:rFonts w:hint="eastAsia" w:cs="Times New Roman" w:eastAsiaTheme="minorEastAsia"/>
          <w:iCs/>
          <w:color w:val="000000" w:themeColor="text1"/>
          <w:sz w:val="21"/>
          <w:szCs w:val="21"/>
          <w14:textFill>
            <w14:solidFill>
              <w14:schemeClr w14:val="tx1"/>
            </w14:solidFill>
          </w14:textFill>
        </w:rPr>
        <w:t>20</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缆索、斜拉索和吊杆的索力计</w:t>
      </w:r>
      <w:r>
        <w:rPr>
          <w:rFonts w:eastAsia="宋体" w:cs="Times New Roman"/>
          <w:bCs/>
          <w:sz w:val="21"/>
          <w:szCs w:val="21"/>
        </w:rPr>
        <w:t>的技术指标应符合以下规定：</w:t>
      </w:r>
    </w:p>
    <w:p w14:paraId="7547F1A6">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bCs/>
          <w:sz w:val="21"/>
          <w:szCs w:val="21"/>
        </w:rPr>
        <w:t>量程为索力设计值的1.2倍；</w:t>
      </w:r>
    </w:p>
    <w:p w14:paraId="02979500">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精度为±5% F.S.；</w:t>
      </w:r>
    </w:p>
    <w:p w14:paraId="36A6E22B">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应具有防腐、防水等抗恶劣环境性能。</w:t>
      </w:r>
    </w:p>
    <w:p w14:paraId="0BA90AC7">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4.6.2</w:t>
      </w:r>
      <w:r>
        <w:rPr>
          <w:rFonts w:hint="eastAsia" w:cs="Times New Roman" w:eastAsiaTheme="minorEastAsia"/>
          <w:iCs/>
          <w:color w:val="000000" w:themeColor="text1"/>
          <w:sz w:val="21"/>
          <w:szCs w:val="21"/>
          <w14:textFill>
            <w14:solidFill>
              <w14:schemeClr w14:val="tx1"/>
            </w14:solidFill>
          </w14:textFill>
        </w:rPr>
        <w:t>1</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bCs/>
          <w:sz w:val="21"/>
          <w:szCs w:val="21"/>
        </w:rPr>
        <w:t>桥面的裂缝计安装</w:t>
      </w:r>
      <w:r>
        <w:rPr>
          <w:rFonts w:eastAsia="宋体" w:cs="Times New Roman"/>
          <w:sz w:val="21"/>
          <w:szCs w:val="21"/>
        </w:rPr>
        <w:t>应符合以下规定：</w:t>
      </w:r>
    </w:p>
    <w:p w14:paraId="185BFA74">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bCs/>
          <w:sz w:val="21"/>
          <w:szCs w:val="21"/>
        </w:rPr>
        <w:t>裂缝计安装在要监测的裂缝位置，安装前应根据裂缝计的固定螺杆间距进行测量放样；</w:t>
      </w:r>
    </w:p>
    <w:p w14:paraId="75BB2D2C">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
          <w:bCs/>
          <w:sz w:val="21"/>
          <w:szCs w:val="21"/>
        </w:rPr>
        <w:t xml:space="preserve"> </w:t>
      </w:r>
      <w:r>
        <w:rPr>
          <w:rFonts w:eastAsia="宋体" w:cs="Times New Roman"/>
          <w:bCs/>
          <w:sz w:val="21"/>
          <w:szCs w:val="21"/>
        </w:rPr>
        <w:t>裂缝计轴线与裂缝垂直，垂直度偏差不大于1°，同时与裂缝所在表面平行，平行度偏差不大于1°。</w:t>
      </w:r>
    </w:p>
    <w:p w14:paraId="50EED841">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
          <w:sz w:val="21"/>
          <w:szCs w:val="21"/>
        </w:rPr>
        <w:t xml:space="preserve"> </w:t>
      </w:r>
      <w:r>
        <w:rPr>
          <w:rFonts w:eastAsia="宋体" w:cs="Times New Roman"/>
          <w:bCs/>
          <w:sz w:val="21"/>
          <w:szCs w:val="21"/>
        </w:rPr>
        <w:t>安装面平整，开孔垂直，孔径与膨胀螺丝匹配，钻孔深度不小于50mm，直径不小于10mm，钻孔内填满膨胀混凝土或环氧树脂后再装入锚杆；</w:t>
      </w:r>
    </w:p>
    <w:p w14:paraId="19D3FDAB">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w:t>
      </w:r>
      <w:r>
        <w:rPr>
          <w:rFonts w:eastAsia="宋体" w:cs="Times New Roman"/>
          <w:bCs/>
          <w:sz w:val="21"/>
          <w:szCs w:val="21"/>
        </w:rPr>
        <w:t xml:space="preserve"> 信号线与设备尾线应通过焊锡焊接牢固，并套热缩管进行绝缘和防水处理；</w:t>
      </w:r>
    </w:p>
    <w:p w14:paraId="7B20BECF">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 </w:t>
      </w:r>
      <w:r>
        <w:rPr>
          <w:rFonts w:eastAsia="宋体" w:cs="Times New Roman"/>
          <w:bCs/>
          <w:sz w:val="21"/>
          <w:szCs w:val="21"/>
        </w:rPr>
        <w:t>采用不锈钢保护罩并安装牢固。</w:t>
      </w:r>
    </w:p>
    <w:p w14:paraId="4BACAD52">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4.6.2</w:t>
      </w:r>
      <w:r>
        <w:rPr>
          <w:rFonts w:hint="eastAsia" w:cs="Times New Roman" w:eastAsiaTheme="minorEastAsia"/>
          <w:iCs/>
          <w:color w:val="000000" w:themeColor="text1"/>
          <w:sz w:val="21"/>
          <w:szCs w:val="21"/>
          <w14:textFill>
            <w14:solidFill>
              <w14:schemeClr w14:val="tx1"/>
            </w14:solidFill>
          </w14:textFill>
        </w:rPr>
        <w:t>2</w:t>
      </w:r>
      <w:r>
        <w:rPr>
          <w:rFonts w:eastAsia="宋体" w:cs="Times New Roman"/>
          <w:b/>
          <w:sz w:val="21"/>
          <w:szCs w:val="21"/>
        </w:rPr>
        <w:t xml:space="preserve"> </w:t>
      </w:r>
      <w:r>
        <w:rPr>
          <w:rFonts w:eastAsia="宋体" w:cs="Times New Roman"/>
          <w:sz w:val="21"/>
          <w:szCs w:val="21"/>
        </w:rPr>
        <w:t>桥面的裂缝计</w:t>
      </w:r>
      <w:r>
        <w:rPr>
          <w:rFonts w:eastAsia="宋体" w:cs="Times New Roman"/>
          <w:bCs/>
          <w:sz w:val="21"/>
          <w:szCs w:val="21"/>
        </w:rPr>
        <w:t>的技术指标应符合以下规定：</w:t>
      </w:r>
    </w:p>
    <w:p w14:paraId="0B3B701B">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量程为裂缝宽度的5倍；</w:t>
      </w:r>
    </w:p>
    <w:p w14:paraId="50CAB7E9">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精度为±0.01 mm；</w:t>
      </w:r>
    </w:p>
    <w:p w14:paraId="37AED269">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应具有防腐、防水等抗恶劣环境性能。</w:t>
      </w:r>
    </w:p>
    <w:p w14:paraId="3B1A300F">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4.6.2</w:t>
      </w:r>
      <w:r>
        <w:rPr>
          <w:rFonts w:hint="eastAsia" w:cs="Times New Roman" w:eastAsiaTheme="minorEastAsia"/>
          <w:iCs/>
          <w:color w:val="000000" w:themeColor="text1"/>
          <w:sz w:val="21"/>
          <w:szCs w:val="21"/>
          <w14:textFill>
            <w14:solidFill>
              <w14:schemeClr w14:val="tx1"/>
            </w14:solidFill>
          </w14:textFill>
        </w:rPr>
        <w:t>3</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bCs/>
          <w:sz w:val="21"/>
          <w:szCs w:val="21"/>
        </w:rPr>
        <w:t>主梁、支座、桥墩、桥塔的GNSS监测站安装</w:t>
      </w:r>
      <w:r>
        <w:rPr>
          <w:rFonts w:eastAsia="宋体" w:cs="Times New Roman"/>
          <w:sz w:val="21"/>
          <w:szCs w:val="21"/>
        </w:rPr>
        <w:t>应符合以下规定：</w:t>
      </w:r>
    </w:p>
    <w:p w14:paraId="0990754D">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1</w:t>
      </w:r>
      <w:r>
        <w:rPr>
          <w:rFonts w:hint="eastAsia" w:cs="Times New Roman" w:eastAsiaTheme="minorEastAsia"/>
          <w:iCs/>
          <w:color w:val="000000" w:themeColor="text1"/>
          <w:sz w:val="21"/>
          <w:szCs w:val="21"/>
          <w14:textFill>
            <w14:solidFill>
              <w14:schemeClr w14:val="tx1"/>
            </w14:solidFill>
          </w14:textFill>
        </w:rPr>
        <w:t xml:space="preserve"> </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GNSS天线安装在观测墩顶部，强制对中器在任两个垂直方向的倾斜度应小于1</w:t>
      </w:r>
      <w:r>
        <w:rPr>
          <w:rFonts w:eastAsia="宋体" w:cs="Times New Roman"/>
          <w:bCs/>
          <w:sz w:val="21"/>
          <w:szCs w:val="21"/>
        </w:rPr>
        <w:t>°</w:t>
      </w:r>
      <w:r>
        <w:rPr>
          <w:rFonts w:eastAsia="宋体" w:cs="Times New Roman"/>
          <w:sz w:val="21"/>
          <w:szCs w:val="21"/>
        </w:rPr>
        <w:t>；</w:t>
      </w:r>
    </w:p>
    <w:p w14:paraId="32C8D8A1">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sz w:val="21"/>
          <w:szCs w:val="21"/>
        </w:rPr>
        <w:t xml:space="preserve"> 天线周围2m空间范围内无尺寸大于200mm的金属物，确保无遮挡物和反射表面；</w:t>
      </w:r>
    </w:p>
    <w:p w14:paraId="63236C60">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sz w:val="21"/>
          <w:szCs w:val="21"/>
        </w:rPr>
        <w:t>天线位于避雷针保护范围内，若无外部避雷针，应安装专用避雷针；</w:t>
      </w:r>
    </w:p>
    <w:p w14:paraId="0DAF80E7">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4</w:t>
      </w:r>
      <w:r>
        <w:rPr>
          <w:rFonts w:eastAsia="宋体" w:cs="Times New Roman"/>
          <w:b/>
          <w:sz w:val="21"/>
          <w:szCs w:val="21"/>
        </w:rPr>
        <w:t xml:space="preserve"> </w:t>
      </w:r>
      <w:r>
        <w:rPr>
          <w:rFonts w:eastAsia="宋体" w:cs="Times New Roman"/>
          <w:sz w:val="21"/>
          <w:szCs w:val="21"/>
        </w:rPr>
        <w:t>安装支架固定牢固，信号线缆绑扎牢固；</w:t>
      </w:r>
    </w:p>
    <w:p w14:paraId="3FFA5DF0">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5</w:t>
      </w:r>
      <w:r>
        <w:rPr>
          <w:rFonts w:hint="eastAsia" w:cs="Times New Roman" w:eastAsiaTheme="minorEastAsia"/>
          <w:iCs/>
          <w:color w:val="000000" w:themeColor="text1"/>
          <w:sz w:val="21"/>
          <w:szCs w:val="21"/>
          <w14:textFill>
            <w14:solidFill>
              <w14:schemeClr w14:val="tx1"/>
            </w14:solidFill>
          </w14:textFill>
        </w:rPr>
        <w:t xml:space="preserve"> </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GNSS天线的保护罩应安装严密，防止雨水渗入；</w:t>
      </w:r>
    </w:p>
    <w:p w14:paraId="0FD014A0">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6 </w:t>
      </w:r>
      <w:r>
        <w:rPr>
          <w:rFonts w:eastAsia="宋体" w:cs="Times New Roman"/>
          <w:sz w:val="21"/>
          <w:szCs w:val="21"/>
        </w:rPr>
        <w:t>接地线不得与其他硬件的接地导体连接。</w:t>
      </w:r>
    </w:p>
    <w:p w14:paraId="50A666CD">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4.6.2</w:t>
      </w:r>
      <w:r>
        <w:rPr>
          <w:rFonts w:hint="eastAsia" w:cs="Times New Roman" w:eastAsiaTheme="minorEastAsia"/>
          <w:iCs/>
          <w:color w:val="000000" w:themeColor="text1"/>
          <w:sz w:val="21"/>
          <w:szCs w:val="21"/>
          <w14:textFill>
            <w14:solidFill>
              <w14:schemeClr w14:val="tx1"/>
            </w14:solidFill>
          </w14:textFill>
        </w:rPr>
        <w:t>4</w:t>
      </w:r>
      <w:r>
        <w:rPr>
          <w:rFonts w:cs="Times New Roman" w:eastAsiaTheme="minorEastAsia"/>
          <w:iCs/>
          <w:color w:val="000000" w:themeColor="text1"/>
          <w:sz w:val="21"/>
          <w:szCs w:val="21"/>
          <w14:textFill>
            <w14:solidFill>
              <w14:schemeClr w14:val="tx1"/>
            </w14:solidFill>
          </w14:textFill>
        </w:rPr>
        <w:t xml:space="preserve"> </w:t>
      </w:r>
      <w:r>
        <w:rPr>
          <w:rFonts w:eastAsia="宋体" w:cs="Times New Roman"/>
          <w:sz w:val="21"/>
          <w:szCs w:val="21"/>
        </w:rPr>
        <w:t>主梁、支座、桥墩、桥塔的GNSS监测站</w:t>
      </w:r>
      <w:r>
        <w:rPr>
          <w:rFonts w:eastAsia="宋体" w:cs="Times New Roman"/>
          <w:bCs/>
          <w:sz w:val="21"/>
          <w:szCs w:val="21"/>
        </w:rPr>
        <w:t>的技术指标应符合以下规定：</w:t>
      </w:r>
    </w:p>
    <w:p w14:paraId="384C8181">
      <w:pPr>
        <w:spacing w:line="360" w:lineRule="auto"/>
        <w:ind w:firstLine="420"/>
        <w:rPr>
          <w:rFonts w:eastAsia="宋体" w:cs="Times New Roman"/>
          <w:b/>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sz w:val="21"/>
          <w:szCs w:val="21"/>
        </w:rPr>
        <w:t>精度为水平方向±5 mm和垂直方向±10 mm；</w:t>
      </w:r>
    </w:p>
    <w:p w14:paraId="46A7674D">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
          <w:sz w:val="21"/>
          <w:szCs w:val="21"/>
        </w:rPr>
        <w:t xml:space="preserve"> </w:t>
      </w:r>
      <w:r>
        <w:rPr>
          <w:rFonts w:eastAsia="宋体" w:cs="Times New Roman"/>
          <w:sz w:val="21"/>
          <w:szCs w:val="21"/>
        </w:rPr>
        <w:t>分辨率为0.5 mm；</w:t>
      </w:r>
    </w:p>
    <w:p w14:paraId="30883724">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
          <w:sz w:val="21"/>
          <w:szCs w:val="21"/>
        </w:rPr>
        <w:t xml:space="preserve"> </w:t>
      </w:r>
      <w:r>
        <w:rPr>
          <w:rFonts w:eastAsia="宋体" w:cs="Times New Roman"/>
          <w:sz w:val="21"/>
          <w:szCs w:val="21"/>
        </w:rPr>
        <w:t>工作温度为（-10～70）℃。</w:t>
      </w:r>
    </w:p>
    <w:p w14:paraId="48626D0D">
      <w:pPr>
        <w:spacing w:line="360" w:lineRule="auto"/>
        <w:ind w:firstLine="0" w:firstLineChars="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4.6.2</w:t>
      </w:r>
      <w:r>
        <w:rPr>
          <w:rFonts w:hint="eastAsia" w:cs="Times New Roman" w:eastAsiaTheme="minorEastAsia"/>
          <w:iCs/>
          <w:color w:val="000000" w:themeColor="text1"/>
          <w:sz w:val="21"/>
          <w:szCs w:val="21"/>
          <w14:textFill>
            <w14:solidFill>
              <w14:schemeClr w14:val="tx1"/>
            </w14:solidFill>
          </w14:textFill>
        </w:rPr>
        <w:t>5</w:t>
      </w:r>
      <w:r>
        <w:rPr>
          <w:rFonts w:eastAsia="宋体" w:cs="Times New Roman"/>
          <w:b/>
          <w:sz w:val="21"/>
          <w:szCs w:val="21"/>
        </w:rPr>
        <w:t xml:space="preserve"> </w:t>
      </w:r>
      <w:r>
        <w:rPr>
          <w:rFonts w:eastAsia="宋体" w:cs="Times New Roman"/>
          <w:sz w:val="21"/>
          <w:szCs w:val="21"/>
        </w:rPr>
        <w:t>桥梁监测的其他设施安装应符合以下规定：</w:t>
      </w:r>
    </w:p>
    <w:p w14:paraId="39961C56">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sz w:val="21"/>
          <w:szCs w:val="21"/>
        </w:rPr>
        <w:t xml:space="preserve"> 所有设备均应考虑接地，接地电阻小于10欧姆；</w:t>
      </w:r>
    </w:p>
    <w:p w14:paraId="1CB00561">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sz w:val="21"/>
          <w:szCs w:val="21"/>
        </w:rPr>
        <w:t xml:space="preserve"> 设备安装应避开主筋、预应力钢索等位置。</w:t>
      </w:r>
    </w:p>
    <w:p w14:paraId="3B76F331">
      <w:pPr>
        <w:keepNext/>
        <w:keepLines/>
        <w:spacing w:line="360" w:lineRule="auto"/>
        <w:ind w:firstLine="0" w:firstLineChars="0"/>
        <w:jc w:val="center"/>
        <w:outlineLvl w:val="1"/>
        <w:rPr>
          <w:rFonts w:eastAsia="宋体" w:cs="Times New Roman"/>
          <w:b/>
          <w:bCs/>
          <w:sz w:val="28"/>
          <w:szCs w:val="28"/>
        </w:rPr>
      </w:pPr>
      <w:bookmarkStart w:id="73" w:name="_Toc192799304"/>
      <w:r>
        <w:rPr>
          <w:rFonts w:eastAsia="宋体" w:cs="Times New Roman"/>
          <w:b/>
          <w:bCs/>
          <w:sz w:val="28"/>
          <w:szCs w:val="28"/>
        </w:rPr>
        <w:t>4.7  综合管廊</w:t>
      </w:r>
      <w:bookmarkEnd w:id="73"/>
    </w:p>
    <w:p w14:paraId="05F68D48">
      <w:pPr>
        <w:spacing w:line="360" w:lineRule="auto"/>
        <w:ind w:firstLine="0" w:firstLineChars="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4.7.1 </w:t>
      </w:r>
      <w:r>
        <w:rPr>
          <w:rFonts w:eastAsia="宋体" w:cs="Times New Roman"/>
          <w:bCs/>
          <w:sz w:val="21"/>
          <w:szCs w:val="21"/>
        </w:rPr>
        <w:t>综合管廊安全监测应根据风险评估结果优先在以下区域和位置进行监测：</w:t>
      </w:r>
    </w:p>
    <w:p w14:paraId="0356E95E">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受开</w:t>
      </w:r>
      <w:r>
        <w:rPr>
          <w:rFonts w:hint="eastAsia" w:eastAsia="宋体" w:cs="Times New Roman"/>
          <w:bCs/>
          <w:sz w:val="21"/>
          <w:szCs w:val="21"/>
        </w:rPr>
        <w:t>挖</w:t>
      </w:r>
      <w:r>
        <w:rPr>
          <w:rFonts w:eastAsia="宋体" w:cs="Times New Roman"/>
          <w:bCs/>
          <w:sz w:val="21"/>
          <w:szCs w:val="21"/>
        </w:rPr>
        <w:t>施工、邻近交通要道等外界影响较大的管廊结构；</w:t>
      </w:r>
    </w:p>
    <w:p w14:paraId="79E09F1B">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综合管廊结构交叉点等廊体结构相对薄弱点；</w:t>
      </w:r>
    </w:p>
    <w:p w14:paraId="26C2D3CA">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燃气管线舱室的顶部、管道阀门安装处及其他可燃气体易聚集的节点处；</w:t>
      </w:r>
    </w:p>
    <w:p w14:paraId="6CED099A">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bCs/>
          <w:sz w:val="21"/>
          <w:szCs w:val="21"/>
        </w:rPr>
        <w:t>沿线舱室内间距不大于200m处；</w:t>
      </w:r>
    </w:p>
    <w:p w14:paraId="25F5F503">
      <w:pPr>
        <w:spacing w:line="360" w:lineRule="auto"/>
        <w:ind w:firstLine="420"/>
        <w:jc w:val="left"/>
        <w:rPr>
          <w:rFonts w:eastAsia="宋体" w:cs="Times New Roman"/>
          <w:bCs/>
          <w:sz w:val="21"/>
          <w:szCs w:val="21"/>
        </w:rPr>
      </w:pPr>
      <w:r>
        <w:rPr>
          <w:rFonts w:cs="Times New Roman" w:eastAsiaTheme="minorEastAsia"/>
          <w:iCs/>
          <w:sz w:val="21"/>
          <w:szCs w:val="21"/>
        </w:rPr>
        <w:t xml:space="preserve">5 </w:t>
      </w:r>
      <w:r>
        <w:rPr>
          <w:rFonts w:eastAsia="宋体" w:cs="Times New Roman"/>
          <w:bCs/>
          <w:sz w:val="21"/>
          <w:szCs w:val="21"/>
        </w:rPr>
        <w:t>每一通风区间内；</w:t>
      </w:r>
    </w:p>
    <w:p w14:paraId="1D514276">
      <w:pPr>
        <w:spacing w:line="360" w:lineRule="auto"/>
        <w:ind w:firstLine="420"/>
        <w:jc w:val="left"/>
        <w:rPr>
          <w:rFonts w:eastAsia="宋体" w:cs="Times New Roman"/>
          <w:sz w:val="24"/>
          <w:szCs w:val="24"/>
        </w:rPr>
      </w:pPr>
      <w:r>
        <w:rPr>
          <w:rFonts w:cs="Times New Roman" w:eastAsiaTheme="minorEastAsia"/>
          <w:iCs/>
          <w:sz w:val="21"/>
          <w:szCs w:val="21"/>
        </w:rPr>
        <w:t xml:space="preserve">6 </w:t>
      </w:r>
      <w:r>
        <w:rPr>
          <w:rFonts w:eastAsia="宋体" w:cs="Times New Roman"/>
          <w:bCs/>
          <w:sz w:val="21"/>
          <w:szCs w:val="21"/>
        </w:rPr>
        <w:t>舱室内集水坑处及排水区间地势最低处等</w:t>
      </w:r>
      <w:r>
        <w:rPr>
          <w:rFonts w:eastAsia="宋体" w:cs="Times New Roman"/>
          <w:bCs/>
          <w:sz w:val="24"/>
          <w:szCs w:val="24"/>
        </w:rPr>
        <w:t>。</w:t>
      </w:r>
    </w:p>
    <w:p w14:paraId="57EAAA68">
      <w:pPr>
        <w:spacing w:line="360" w:lineRule="auto"/>
        <w:ind w:firstLine="0" w:firstLineChars="0"/>
        <w:rPr>
          <w:rFonts w:eastAsia="宋体" w:cs="Times New Roman"/>
          <w:sz w:val="24"/>
          <w:szCs w:val="24"/>
        </w:rPr>
      </w:pPr>
      <w:r>
        <w:rPr>
          <w:rFonts w:cs="Times New Roman" w:eastAsiaTheme="minorEastAsia"/>
          <w:iCs/>
          <w:color w:val="000000" w:themeColor="text1"/>
          <w:sz w:val="21"/>
          <w:szCs w:val="21"/>
          <w14:textFill>
            <w14:solidFill>
              <w14:schemeClr w14:val="tx1"/>
            </w14:solidFill>
          </w14:textFill>
        </w:rPr>
        <w:t xml:space="preserve">4.7.2 </w:t>
      </w:r>
      <w:r>
        <w:rPr>
          <w:rFonts w:eastAsia="宋体" w:cs="Times New Roman"/>
          <w:bCs/>
          <w:sz w:val="21"/>
          <w:szCs w:val="21"/>
        </w:rPr>
        <w:t>综合管廊安全监测对象、监测</w:t>
      </w:r>
      <w:r>
        <w:rPr>
          <w:rFonts w:hint="eastAsia" w:eastAsia="宋体" w:cs="Times New Roman"/>
          <w:bCs/>
          <w:sz w:val="21"/>
          <w:szCs w:val="21"/>
        </w:rPr>
        <w:t>项目</w:t>
      </w:r>
      <w:r>
        <w:rPr>
          <w:rFonts w:eastAsia="宋体" w:cs="Times New Roman"/>
          <w:bCs/>
          <w:sz w:val="21"/>
          <w:szCs w:val="21"/>
        </w:rPr>
        <w:t>和监测设备类型应符合表</w:t>
      </w:r>
      <w:r>
        <w:rPr>
          <w:rFonts w:eastAsia="宋体" w:cs="Times New Roman"/>
          <w:iCs/>
          <w:color w:val="000000" w:themeColor="text1"/>
          <w:sz w:val="21"/>
          <w:szCs w:val="21"/>
          <w14:textFill>
            <w14:solidFill>
              <w14:schemeClr w14:val="tx1"/>
            </w14:solidFill>
          </w14:textFill>
        </w:rPr>
        <w:t>4.7.2</w:t>
      </w:r>
      <w:r>
        <w:rPr>
          <w:rFonts w:eastAsia="宋体" w:cs="Times New Roman"/>
          <w:bCs/>
          <w:sz w:val="21"/>
          <w:szCs w:val="21"/>
        </w:rPr>
        <w:t>的规定。</w:t>
      </w:r>
    </w:p>
    <w:p w14:paraId="0685C6EF">
      <w:pPr>
        <w:spacing w:line="319" w:lineRule="auto"/>
        <w:ind w:firstLine="0" w:firstLineChars="0"/>
        <w:jc w:val="center"/>
        <w:rPr>
          <w:rFonts w:eastAsia="宋体" w:cs="Times New Roman"/>
          <w:sz w:val="18"/>
          <w:szCs w:val="18"/>
        </w:rPr>
      </w:pPr>
      <w:r>
        <w:rPr>
          <w:rFonts w:eastAsia="宋体" w:cs="Times New Roman"/>
          <w:b/>
          <w:bCs/>
          <w:iCs/>
          <w:color w:val="000000" w:themeColor="text1"/>
          <w:sz w:val="18"/>
          <w:szCs w:val="18"/>
          <w14:textFill>
            <w14:solidFill>
              <w14:schemeClr w14:val="tx1"/>
            </w14:solidFill>
          </w14:textFill>
        </w:rPr>
        <w:t>表4.7.2 综合管廊</w:t>
      </w:r>
      <w:r>
        <w:rPr>
          <w:rFonts w:hint="eastAsia" w:eastAsia="宋体" w:cs="Times New Roman"/>
          <w:b/>
          <w:bCs/>
          <w:iCs/>
          <w:color w:val="000000" w:themeColor="text1"/>
          <w:sz w:val="18"/>
          <w:szCs w:val="18"/>
          <w14:textFill>
            <w14:solidFill>
              <w14:schemeClr w14:val="tx1"/>
            </w14:solidFill>
          </w14:textFill>
        </w:rPr>
        <w:t>安全</w:t>
      </w:r>
      <w:r>
        <w:rPr>
          <w:rFonts w:eastAsia="宋体" w:cs="Times New Roman"/>
          <w:b/>
          <w:bCs/>
          <w:iCs/>
          <w:color w:val="000000" w:themeColor="text1"/>
          <w:sz w:val="18"/>
          <w:szCs w:val="18"/>
          <w14:textFill>
            <w14:solidFill>
              <w14:schemeClr w14:val="tx1"/>
            </w14:solidFill>
          </w14:textFill>
        </w:rPr>
        <w:t>监测对象、监测</w:t>
      </w:r>
      <w:r>
        <w:rPr>
          <w:rFonts w:hint="eastAsia" w:eastAsia="宋体" w:cs="Times New Roman"/>
          <w:b/>
          <w:bCs/>
          <w:iCs/>
          <w:color w:val="000000" w:themeColor="text1"/>
          <w:sz w:val="18"/>
          <w:szCs w:val="18"/>
          <w14:textFill>
            <w14:solidFill>
              <w14:schemeClr w14:val="tx1"/>
            </w14:solidFill>
          </w14:textFill>
        </w:rPr>
        <w:t>项目</w:t>
      </w:r>
      <w:r>
        <w:rPr>
          <w:rFonts w:eastAsia="宋体" w:cs="Times New Roman"/>
          <w:b/>
          <w:bCs/>
          <w:iCs/>
          <w:color w:val="000000" w:themeColor="text1"/>
          <w:sz w:val="18"/>
          <w:szCs w:val="18"/>
          <w14:textFill>
            <w14:solidFill>
              <w14:schemeClr w14:val="tx1"/>
            </w14:solidFill>
          </w14:textFill>
        </w:rPr>
        <w:t>和监测设备类型</w:t>
      </w:r>
    </w:p>
    <w:tbl>
      <w:tblPr>
        <w:tblStyle w:val="20"/>
        <w:tblW w:w="38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1295"/>
        <w:gridCol w:w="2049"/>
        <w:gridCol w:w="2903"/>
      </w:tblGrid>
      <w:tr w14:paraId="5036E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715" w:type="pct"/>
            <w:gridSpan w:val="2"/>
            <w:tcBorders>
              <w:top w:val="single" w:color="auto" w:sz="4" w:space="0"/>
              <w:left w:val="single" w:color="auto" w:sz="4" w:space="0"/>
              <w:bottom w:val="single" w:color="auto" w:sz="4" w:space="0"/>
              <w:right w:val="single" w:color="auto" w:sz="4" w:space="0"/>
            </w:tcBorders>
            <w:vAlign w:val="center"/>
          </w:tcPr>
          <w:p w14:paraId="43E01EB2">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监测对象</w:t>
            </w:r>
          </w:p>
        </w:tc>
        <w:tc>
          <w:tcPr>
            <w:tcW w:w="1359" w:type="pct"/>
            <w:tcBorders>
              <w:top w:val="single" w:color="auto" w:sz="4" w:space="0"/>
              <w:left w:val="single" w:color="auto" w:sz="4" w:space="0"/>
              <w:bottom w:val="single" w:color="auto" w:sz="4" w:space="0"/>
              <w:right w:val="single" w:color="auto" w:sz="4" w:space="0"/>
            </w:tcBorders>
            <w:vAlign w:val="center"/>
          </w:tcPr>
          <w:p w14:paraId="50FF3AF3">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w:t>
            </w:r>
            <w:r>
              <w:rPr>
                <w:rFonts w:hint="eastAsia" w:eastAsia="宋体" w:cs="Times New Roman"/>
                <w:iCs/>
                <w:color w:val="000000" w:themeColor="text1"/>
                <w:sz w:val="18"/>
                <w:szCs w:val="18"/>
                <w14:textFill>
                  <w14:solidFill>
                    <w14:schemeClr w14:val="tx1"/>
                  </w14:solidFill>
                </w14:textFill>
              </w:rPr>
              <w:t>项目</w:t>
            </w:r>
          </w:p>
        </w:tc>
        <w:tc>
          <w:tcPr>
            <w:tcW w:w="1926" w:type="pct"/>
            <w:tcBorders>
              <w:top w:val="single" w:color="auto" w:sz="4" w:space="0"/>
              <w:left w:val="single" w:color="auto" w:sz="4" w:space="0"/>
              <w:bottom w:val="single" w:color="auto" w:sz="4" w:space="0"/>
              <w:right w:val="single" w:color="auto" w:sz="4" w:space="0"/>
            </w:tcBorders>
            <w:vAlign w:val="center"/>
          </w:tcPr>
          <w:p w14:paraId="3D7B0E2F">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监测设备</w:t>
            </w:r>
          </w:p>
        </w:tc>
      </w:tr>
      <w:tr w14:paraId="1D2A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7" w:type="pct"/>
            <w:vMerge w:val="restart"/>
            <w:tcBorders>
              <w:top w:val="single" w:color="auto" w:sz="4" w:space="0"/>
              <w:left w:val="single" w:color="auto" w:sz="4" w:space="0"/>
              <w:bottom w:val="single" w:color="auto" w:sz="4" w:space="0"/>
              <w:right w:val="single" w:color="auto" w:sz="4" w:space="0"/>
            </w:tcBorders>
            <w:vAlign w:val="center"/>
          </w:tcPr>
          <w:p w14:paraId="6CA82809">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入廊管线</w:t>
            </w:r>
          </w:p>
        </w:tc>
        <w:tc>
          <w:tcPr>
            <w:tcW w:w="859" w:type="pct"/>
            <w:tcBorders>
              <w:top w:val="single" w:color="auto" w:sz="4" w:space="0"/>
              <w:left w:val="single" w:color="auto" w:sz="4" w:space="0"/>
              <w:bottom w:val="single" w:color="auto" w:sz="4" w:space="0"/>
              <w:right w:val="single" w:color="auto" w:sz="4" w:space="0"/>
            </w:tcBorders>
            <w:vAlign w:val="center"/>
          </w:tcPr>
          <w:p w14:paraId="5A8B1F53">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燃气管线</w:t>
            </w:r>
          </w:p>
        </w:tc>
        <w:tc>
          <w:tcPr>
            <w:tcW w:w="1359" w:type="pct"/>
            <w:vMerge w:val="restart"/>
            <w:tcBorders>
              <w:top w:val="single" w:color="auto" w:sz="4" w:space="0"/>
              <w:left w:val="single" w:color="auto" w:sz="4" w:space="0"/>
              <w:bottom w:val="single" w:color="auto" w:sz="4" w:space="0"/>
              <w:right w:val="single" w:color="auto" w:sz="4" w:space="0"/>
            </w:tcBorders>
            <w:vAlign w:val="center"/>
          </w:tcPr>
          <w:p w14:paraId="3D7DBEE1">
            <w:pPr>
              <w:spacing w:after="120"/>
              <w:ind w:firstLine="0" w:firstLineChars="0"/>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应符合4.2～4.5的相关规定</w:t>
            </w:r>
          </w:p>
        </w:tc>
        <w:tc>
          <w:tcPr>
            <w:tcW w:w="1926" w:type="pct"/>
            <w:vMerge w:val="restart"/>
            <w:tcBorders>
              <w:top w:val="single" w:color="auto" w:sz="4" w:space="0"/>
              <w:left w:val="single" w:color="auto" w:sz="4" w:space="0"/>
              <w:bottom w:val="single" w:color="auto" w:sz="4" w:space="0"/>
              <w:right w:val="single" w:color="auto" w:sz="4" w:space="0"/>
            </w:tcBorders>
            <w:vAlign w:val="center"/>
          </w:tcPr>
          <w:p w14:paraId="412DFEBB">
            <w:pPr>
              <w:spacing w:after="120"/>
              <w:ind w:firstLine="180" w:firstLineChars="100"/>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应符合4.2～4.5的相关规定</w:t>
            </w:r>
          </w:p>
        </w:tc>
      </w:tr>
      <w:tr w14:paraId="59EF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4E68911">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859" w:type="pct"/>
            <w:tcBorders>
              <w:top w:val="single" w:color="auto" w:sz="4" w:space="0"/>
              <w:left w:val="single" w:color="auto" w:sz="4" w:space="0"/>
              <w:bottom w:val="single" w:color="auto" w:sz="4" w:space="0"/>
              <w:right w:val="single" w:color="auto" w:sz="4" w:space="0"/>
            </w:tcBorders>
            <w:vAlign w:val="center"/>
          </w:tcPr>
          <w:p w14:paraId="2CB5EB19">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供水管线</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297EFE2">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1926" w:type="pct"/>
            <w:vMerge w:val="continue"/>
            <w:tcBorders>
              <w:top w:val="single" w:color="auto" w:sz="4" w:space="0"/>
              <w:left w:val="single" w:color="auto" w:sz="4" w:space="0"/>
              <w:bottom w:val="single" w:color="auto" w:sz="4" w:space="0"/>
              <w:right w:val="single" w:color="auto" w:sz="4" w:space="0"/>
            </w:tcBorders>
            <w:vAlign w:val="center"/>
          </w:tcPr>
          <w:p w14:paraId="4EC1B270">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r>
      <w:tr w14:paraId="1EF9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0F602F0">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859" w:type="pct"/>
            <w:tcBorders>
              <w:top w:val="single" w:color="auto" w:sz="4" w:space="0"/>
              <w:left w:val="single" w:color="auto" w:sz="4" w:space="0"/>
              <w:bottom w:val="single" w:color="auto" w:sz="4" w:space="0"/>
              <w:right w:val="single" w:color="auto" w:sz="4" w:space="0"/>
            </w:tcBorders>
            <w:vAlign w:val="center"/>
          </w:tcPr>
          <w:p w14:paraId="4E9FA92C">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排水管线</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543A9AE">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1926" w:type="pct"/>
            <w:vMerge w:val="continue"/>
            <w:tcBorders>
              <w:top w:val="single" w:color="auto" w:sz="4" w:space="0"/>
              <w:left w:val="single" w:color="auto" w:sz="4" w:space="0"/>
              <w:bottom w:val="single" w:color="auto" w:sz="4" w:space="0"/>
              <w:right w:val="single" w:color="auto" w:sz="4" w:space="0"/>
            </w:tcBorders>
            <w:vAlign w:val="center"/>
          </w:tcPr>
          <w:p w14:paraId="0EA848D6">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r>
      <w:tr w14:paraId="4871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2CD6206">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859" w:type="pct"/>
            <w:tcBorders>
              <w:top w:val="single" w:color="auto" w:sz="4" w:space="0"/>
              <w:left w:val="single" w:color="auto" w:sz="4" w:space="0"/>
              <w:bottom w:val="single" w:color="auto" w:sz="4" w:space="0"/>
              <w:right w:val="single" w:color="auto" w:sz="4" w:space="0"/>
            </w:tcBorders>
            <w:vAlign w:val="center"/>
          </w:tcPr>
          <w:p w14:paraId="0A39041E">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热力管线</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B7CCB3">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1926" w:type="pct"/>
            <w:vMerge w:val="continue"/>
            <w:tcBorders>
              <w:top w:val="single" w:color="auto" w:sz="4" w:space="0"/>
              <w:left w:val="single" w:color="auto" w:sz="4" w:space="0"/>
              <w:bottom w:val="single" w:color="auto" w:sz="4" w:space="0"/>
              <w:right w:val="single" w:color="auto" w:sz="4" w:space="0"/>
            </w:tcBorders>
            <w:vAlign w:val="center"/>
          </w:tcPr>
          <w:p w14:paraId="0AC4FFAB">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r>
      <w:tr w14:paraId="6523F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AC5BC8">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859" w:type="pct"/>
            <w:tcBorders>
              <w:top w:val="single" w:color="auto" w:sz="4" w:space="0"/>
              <w:left w:val="single" w:color="auto" w:sz="4" w:space="0"/>
              <w:bottom w:val="single" w:color="auto" w:sz="4" w:space="0"/>
              <w:right w:val="single" w:color="auto" w:sz="4" w:space="0"/>
            </w:tcBorders>
            <w:vAlign w:val="center"/>
          </w:tcPr>
          <w:p w14:paraId="5E611CF7">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电力管线</w:t>
            </w:r>
          </w:p>
        </w:tc>
        <w:tc>
          <w:tcPr>
            <w:tcW w:w="1359" w:type="pct"/>
            <w:tcBorders>
              <w:top w:val="single" w:color="auto" w:sz="4" w:space="0"/>
              <w:left w:val="single" w:color="auto" w:sz="4" w:space="0"/>
              <w:bottom w:val="single" w:color="auto" w:sz="4" w:space="0"/>
              <w:right w:val="single" w:color="auto" w:sz="4" w:space="0"/>
            </w:tcBorders>
            <w:vAlign w:val="center"/>
          </w:tcPr>
          <w:p w14:paraId="06139B6F">
            <w:pPr>
              <w:ind w:firstLine="0" w:firstLineChars="0"/>
              <w:jc w:val="center"/>
              <w:rPr>
                <w:rFonts w:eastAsia="宋体" w:cs="Times New Roman"/>
                <w:iCs/>
                <w:color w:val="000000" w:themeColor="text1"/>
                <w:sz w:val="18"/>
                <w:szCs w:val="18"/>
                <w14:textFill>
                  <w14:solidFill>
                    <w14:schemeClr w14:val="tx1"/>
                  </w14:solidFill>
                </w14:textFill>
              </w:rPr>
            </w:pPr>
            <w:r>
              <w:rPr>
                <w:rFonts w:hint="eastAsia" w:eastAsia="宋体" w:cs="Times New Roman"/>
                <w:iCs/>
                <w:color w:val="000000" w:themeColor="text1"/>
                <w:sz w:val="18"/>
                <w:szCs w:val="18"/>
                <w14:textFill>
                  <w14:solidFill>
                    <w14:schemeClr w14:val="tx1"/>
                  </w14:solidFill>
                </w14:textFill>
              </w:rPr>
              <w:t>燃烧</w:t>
            </w:r>
            <w:r>
              <w:rPr>
                <w:rFonts w:eastAsia="宋体" w:cs="Times New Roman"/>
                <w:iCs/>
                <w:color w:val="000000" w:themeColor="text1"/>
                <w:sz w:val="18"/>
                <w:szCs w:val="18"/>
                <w14:textFill>
                  <w14:solidFill>
                    <w14:schemeClr w14:val="tx1"/>
                  </w14:solidFill>
                </w14:textFill>
              </w:rPr>
              <w:t>气体浓度</w:t>
            </w:r>
          </w:p>
        </w:tc>
        <w:tc>
          <w:tcPr>
            <w:tcW w:w="1926" w:type="pct"/>
            <w:tcBorders>
              <w:top w:val="single" w:color="auto" w:sz="4" w:space="0"/>
              <w:left w:val="single" w:color="auto" w:sz="4" w:space="0"/>
              <w:bottom w:val="single" w:color="auto" w:sz="4" w:space="0"/>
              <w:right w:val="single" w:color="auto" w:sz="4" w:space="0"/>
            </w:tcBorders>
            <w:vAlign w:val="center"/>
          </w:tcPr>
          <w:p w14:paraId="1C359DC2">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红外多点气体在线监测仪</w:t>
            </w:r>
          </w:p>
        </w:tc>
      </w:tr>
      <w:tr w14:paraId="42DC8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pct"/>
            <w:gridSpan w:val="2"/>
            <w:vMerge w:val="restart"/>
            <w:tcBorders>
              <w:top w:val="single" w:color="auto" w:sz="4" w:space="0"/>
              <w:left w:val="single" w:color="auto" w:sz="4" w:space="0"/>
              <w:bottom w:val="single" w:color="auto" w:sz="4" w:space="0"/>
              <w:right w:val="single" w:color="auto" w:sz="4" w:space="0"/>
            </w:tcBorders>
            <w:vAlign w:val="center"/>
          </w:tcPr>
          <w:p w14:paraId="17A03EA7">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管廊本体</w:t>
            </w:r>
          </w:p>
        </w:tc>
        <w:tc>
          <w:tcPr>
            <w:tcW w:w="1359" w:type="pct"/>
            <w:tcBorders>
              <w:top w:val="single" w:color="auto" w:sz="4" w:space="0"/>
              <w:left w:val="single" w:color="auto" w:sz="4" w:space="0"/>
              <w:bottom w:val="single" w:color="auto" w:sz="4" w:space="0"/>
              <w:right w:val="single" w:color="auto" w:sz="4" w:space="0"/>
            </w:tcBorders>
            <w:vAlign w:val="center"/>
          </w:tcPr>
          <w:p w14:paraId="7C02509C">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垂直位移</w:t>
            </w:r>
          </w:p>
        </w:tc>
        <w:tc>
          <w:tcPr>
            <w:tcW w:w="1926" w:type="pct"/>
            <w:tcBorders>
              <w:top w:val="single" w:color="auto" w:sz="4" w:space="0"/>
              <w:left w:val="single" w:color="auto" w:sz="4" w:space="0"/>
              <w:bottom w:val="single" w:color="auto" w:sz="4" w:space="0"/>
              <w:right w:val="single" w:color="auto" w:sz="4" w:space="0"/>
            </w:tcBorders>
            <w:vAlign w:val="center"/>
          </w:tcPr>
          <w:p w14:paraId="5E18B6F9">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静力水准仪</w:t>
            </w:r>
          </w:p>
        </w:tc>
      </w:tr>
      <w:tr w14:paraId="06BB8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2445CCF">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1359" w:type="pct"/>
            <w:tcBorders>
              <w:top w:val="single" w:color="auto" w:sz="4" w:space="0"/>
              <w:left w:val="single" w:color="auto" w:sz="4" w:space="0"/>
              <w:bottom w:val="single" w:color="auto" w:sz="4" w:space="0"/>
              <w:right w:val="single" w:color="auto" w:sz="4" w:space="0"/>
            </w:tcBorders>
            <w:vAlign w:val="center"/>
          </w:tcPr>
          <w:p w14:paraId="3B30EF2D">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水平位移</w:t>
            </w:r>
          </w:p>
        </w:tc>
        <w:tc>
          <w:tcPr>
            <w:tcW w:w="1926" w:type="pct"/>
            <w:tcBorders>
              <w:top w:val="single" w:color="auto" w:sz="4" w:space="0"/>
              <w:left w:val="single" w:color="auto" w:sz="4" w:space="0"/>
              <w:bottom w:val="single" w:color="auto" w:sz="4" w:space="0"/>
              <w:right w:val="single" w:color="auto" w:sz="4" w:space="0"/>
            </w:tcBorders>
            <w:vAlign w:val="center"/>
          </w:tcPr>
          <w:p w14:paraId="6BE0AE87">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全站仪</w:t>
            </w:r>
          </w:p>
        </w:tc>
      </w:tr>
      <w:tr w14:paraId="7539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D452290">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1359" w:type="pct"/>
            <w:tcBorders>
              <w:top w:val="single" w:color="auto" w:sz="4" w:space="0"/>
              <w:left w:val="single" w:color="auto" w:sz="4" w:space="0"/>
              <w:bottom w:val="single" w:color="auto" w:sz="4" w:space="0"/>
              <w:right w:val="single" w:color="auto" w:sz="4" w:space="0"/>
            </w:tcBorders>
            <w:vAlign w:val="center"/>
          </w:tcPr>
          <w:p w14:paraId="5C7200D1">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w:t>
            </w:r>
          </w:p>
        </w:tc>
        <w:tc>
          <w:tcPr>
            <w:tcW w:w="1926" w:type="pct"/>
            <w:tcBorders>
              <w:top w:val="single" w:color="auto" w:sz="4" w:space="0"/>
              <w:left w:val="single" w:color="auto" w:sz="4" w:space="0"/>
              <w:bottom w:val="single" w:color="auto" w:sz="4" w:space="0"/>
              <w:right w:val="single" w:color="auto" w:sz="4" w:space="0"/>
            </w:tcBorders>
            <w:vAlign w:val="center"/>
          </w:tcPr>
          <w:p w14:paraId="2D8FFFE3">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应变计</w:t>
            </w:r>
          </w:p>
        </w:tc>
      </w:tr>
      <w:tr w14:paraId="211A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pct"/>
            <w:gridSpan w:val="2"/>
            <w:vMerge w:val="restart"/>
            <w:tcBorders>
              <w:top w:val="single" w:color="auto" w:sz="4" w:space="0"/>
              <w:left w:val="single" w:color="auto" w:sz="4" w:space="0"/>
              <w:bottom w:val="single" w:color="auto" w:sz="4" w:space="0"/>
              <w:right w:val="single" w:color="auto" w:sz="4" w:space="0"/>
            </w:tcBorders>
            <w:vAlign w:val="center"/>
          </w:tcPr>
          <w:p w14:paraId="7306B515">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廊内环境</w:t>
            </w:r>
          </w:p>
        </w:tc>
        <w:tc>
          <w:tcPr>
            <w:tcW w:w="1359" w:type="pct"/>
            <w:tcBorders>
              <w:top w:val="single" w:color="auto" w:sz="4" w:space="0"/>
              <w:left w:val="single" w:color="auto" w:sz="4" w:space="0"/>
              <w:bottom w:val="single" w:color="auto" w:sz="4" w:space="0"/>
              <w:right w:val="single" w:color="auto" w:sz="4" w:space="0"/>
            </w:tcBorders>
            <w:vAlign w:val="center"/>
          </w:tcPr>
          <w:p w14:paraId="2E2CB57A">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w:t>
            </w:r>
          </w:p>
        </w:tc>
        <w:tc>
          <w:tcPr>
            <w:tcW w:w="1926" w:type="pct"/>
            <w:tcBorders>
              <w:top w:val="single" w:color="auto" w:sz="4" w:space="0"/>
              <w:left w:val="single" w:color="auto" w:sz="4" w:space="0"/>
              <w:bottom w:val="single" w:color="auto" w:sz="4" w:space="0"/>
              <w:right w:val="single" w:color="auto" w:sz="4" w:space="0"/>
            </w:tcBorders>
            <w:vAlign w:val="center"/>
          </w:tcPr>
          <w:p w14:paraId="23C488AB">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温度检测仪</w:t>
            </w:r>
          </w:p>
        </w:tc>
      </w:tr>
      <w:tr w14:paraId="21E60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10D89567">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1359" w:type="pct"/>
            <w:tcBorders>
              <w:top w:val="single" w:color="auto" w:sz="4" w:space="0"/>
              <w:left w:val="single" w:color="auto" w:sz="4" w:space="0"/>
              <w:bottom w:val="single" w:color="auto" w:sz="4" w:space="0"/>
              <w:right w:val="single" w:color="auto" w:sz="4" w:space="0"/>
            </w:tcBorders>
            <w:vAlign w:val="center"/>
          </w:tcPr>
          <w:p w14:paraId="47F6CF42">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w:t>
            </w:r>
          </w:p>
        </w:tc>
        <w:tc>
          <w:tcPr>
            <w:tcW w:w="1926" w:type="pct"/>
            <w:tcBorders>
              <w:top w:val="single" w:color="auto" w:sz="4" w:space="0"/>
              <w:left w:val="single" w:color="auto" w:sz="4" w:space="0"/>
              <w:bottom w:val="single" w:color="auto" w:sz="4" w:space="0"/>
              <w:right w:val="single" w:color="auto" w:sz="4" w:space="0"/>
            </w:tcBorders>
            <w:vAlign w:val="center"/>
          </w:tcPr>
          <w:p w14:paraId="6B69648F">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湿度检测仪</w:t>
            </w:r>
          </w:p>
        </w:tc>
      </w:tr>
      <w:tr w14:paraId="51F8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0506327E">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1359" w:type="pct"/>
            <w:tcBorders>
              <w:top w:val="single" w:color="auto" w:sz="4" w:space="0"/>
              <w:left w:val="single" w:color="auto" w:sz="4" w:space="0"/>
              <w:bottom w:val="single" w:color="auto" w:sz="4" w:space="0"/>
              <w:right w:val="single" w:color="auto" w:sz="4" w:space="0"/>
            </w:tcBorders>
            <w:vAlign w:val="center"/>
          </w:tcPr>
          <w:p w14:paraId="06BD163A">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氧气浓度</w:t>
            </w:r>
          </w:p>
        </w:tc>
        <w:tc>
          <w:tcPr>
            <w:tcW w:w="1926" w:type="pct"/>
            <w:tcBorders>
              <w:top w:val="single" w:color="auto" w:sz="4" w:space="0"/>
              <w:left w:val="single" w:color="auto" w:sz="4" w:space="0"/>
              <w:bottom w:val="single" w:color="auto" w:sz="4" w:space="0"/>
              <w:right w:val="single" w:color="auto" w:sz="4" w:space="0"/>
            </w:tcBorders>
            <w:vAlign w:val="center"/>
          </w:tcPr>
          <w:p w14:paraId="4A973FE6">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氧气检测仪</w:t>
            </w:r>
          </w:p>
        </w:tc>
      </w:tr>
      <w:tr w14:paraId="7C747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7894090">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1359" w:type="pct"/>
            <w:tcBorders>
              <w:top w:val="single" w:color="auto" w:sz="4" w:space="0"/>
              <w:left w:val="single" w:color="auto" w:sz="4" w:space="0"/>
              <w:bottom w:val="single" w:color="auto" w:sz="4" w:space="0"/>
              <w:right w:val="single" w:color="auto" w:sz="4" w:space="0"/>
            </w:tcBorders>
            <w:vAlign w:val="center"/>
          </w:tcPr>
          <w:p w14:paraId="2167867E">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硫化氢浓度</w:t>
            </w:r>
          </w:p>
        </w:tc>
        <w:tc>
          <w:tcPr>
            <w:tcW w:w="1926" w:type="pct"/>
            <w:tcBorders>
              <w:top w:val="single" w:color="auto" w:sz="4" w:space="0"/>
              <w:left w:val="single" w:color="auto" w:sz="4" w:space="0"/>
              <w:bottom w:val="single" w:color="auto" w:sz="4" w:space="0"/>
              <w:right w:val="single" w:color="auto" w:sz="4" w:space="0"/>
            </w:tcBorders>
            <w:vAlign w:val="center"/>
          </w:tcPr>
          <w:p w14:paraId="1FAD0E5A">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硫化氢气体检测仪</w:t>
            </w:r>
          </w:p>
        </w:tc>
      </w:tr>
      <w:tr w14:paraId="1D3C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0641450">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1359" w:type="pct"/>
            <w:tcBorders>
              <w:top w:val="single" w:color="auto" w:sz="4" w:space="0"/>
              <w:left w:val="single" w:color="auto" w:sz="4" w:space="0"/>
              <w:bottom w:val="single" w:color="auto" w:sz="4" w:space="0"/>
              <w:right w:val="single" w:color="auto" w:sz="4" w:space="0"/>
            </w:tcBorders>
            <w:vAlign w:val="center"/>
          </w:tcPr>
          <w:p w14:paraId="4D523DC3">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甲烷浓度</w:t>
            </w:r>
          </w:p>
        </w:tc>
        <w:tc>
          <w:tcPr>
            <w:tcW w:w="1926" w:type="pct"/>
            <w:tcBorders>
              <w:top w:val="single" w:color="auto" w:sz="4" w:space="0"/>
              <w:left w:val="single" w:color="auto" w:sz="4" w:space="0"/>
              <w:bottom w:val="single" w:color="auto" w:sz="4" w:space="0"/>
              <w:right w:val="single" w:color="auto" w:sz="4" w:space="0"/>
            </w:tcBorders>
            <w:vAlign w:val="center"/>
          </w:tcPr>
          <w:p w14:paraId="7414AF7B">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甲烷气体检测仪</w:t>
            </w:r>
          </w:p>
        </w:tc>
      </w:tr>
      <w:tr w14:paraId="66CC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2843669F">
            <w:pPr>
              <w:spacing w:beforeAutospacing="1" w:afterAutospacing="1"/>
              <w:ind w:firstLine="0" w:firstLineChars="0"/>
              <w:rPr>
                <w:rFonts w:eastAsia="宋体" w:cs="Times New Roman"/>
                <w:iCs/>
                <w:color w:val="000000" w:themeColor="text1"/>
                <w:sz w:val="18"/>
                <w:szCs w:val="18"/>
                <w14:textFill>
                  <w14:solidFill>
                    <w14:schemeClr w14:val="tx1"/>
                  </w14:solidFill>
                </w14:textFill>
              </w:rPr>
            </w:pPr>
          </w:p>
        </w:tc>
        <w:tc>
          <w:tcPr>
            <w:tcW w:w="1359" w:type="pct"/>
            <w:tcBorders>
              <w:top w:val="single" w:color="auto" w:sz="4" w:space="0"/>
              <w:left w:val="single" w:color="auto" w:sz="4" w:space="0"/>
              <w:bottom w:val="single" w:color="auto" w:sz="4" w:space="0"/>
              <w:right w:val="single" w:color="auto" w:sz="4" w:space="0"/>
            </w:tcBorders>
            <w:vAlign w:val="center"/>
          </w:tcPr>
          <w:p w14:paraId="350A53EE">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水位</w:t>
            </w:r>
          </w:p>
        </w:tc>
        <w:tc>
          <w:tcPr>
            <w:tcW w:w="1926" w:type="pct"/>
            <w:tcBorders>
              <w:top w:val="single" w:color="auto" w:sz="4" w:space="0"/>
              <w:left w:val="single" w:color="auto" w:sz="4" w:space="0"/>
              <w:bottom w:val="single" w:color="auto" w:sz="4" w:space="0"/>
              <w:right w:val="single" w:color="auto" w:sz="4" w:space="0"/>
            </w:tcBorders>
            <w:vAlign w:val="center"/>
          </w:tcPr>
          <w:p w14:paraId="1279D1E6">
            <w:pPr>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液位计</w:t>
            </w:r>
          </w:p>
        </w:tc>
      </w:tr>
    </w:tbl>
    <w:p w14:paraId="25780C15">
      <w:pPr>
        <w:spacing w:line="360" w:lineRule="auto"/>
        <w:ind w:firstLine="0" w:firstLineChars="0"/>
        <w:jc w:val="left"/>
        <w:rPr>
          <w:rFonts w:eastAsia="宋体" w:cs="Times New Roman"/>
          <w:bCs/>
          <w:sz w:val="18"/>
          <w:szCs w:val="18"/>
        </w:rPr>
      </w:pPr>
      <w:r>
        <w:rPr>
          <w:rFonts w:hint="eastAsia" w:eastAsia="宋体" w:cs="Times New Roman"/>
          <w:bCs/>
          <w:sz w:val="18"/>
          <w:szCs w:val="18"/>
        </w:rPr>
        <w:t>注：综合管廊监测项目运行技术参数及相应规定见《城市地下综合管廊运行维护及安全技术标准》GB 51354、《城市生命线工程安全运行监测技术标准》DB34/T 4021。</w:t>
      </w:r>
    </w:p>
    <w:p w14:paraId="5ABE9A68">
      <w:pPr>
        <w:spacing w:line="360" w:lineRule="auto"/>
        <w:ind w:firstLine="0" w:firstLineChars="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4.7.3 </w:t>
      </w:r>
      <w:r>
        <w:rPr>
          <w:rFonts w:eastAsia="宋体" w:cs="Times New Roman"/>
          <w:sz w:val="21"/>
          <w:szCs w:val="21"/>
        </w:rPr>
        <w:t>电力管线的</w:t>
      </w:r>
      <w:r>
        <w:rPr>
          <w:rFonts w:eastAsia="宋体" w:cs="Times New Roman"/>
          <w:bCs/>
          <w:sz w:val="21"/>
          <w:szCs w:val="21"/>
        </w:rPr>
        <w:t>红外多点气体在线监测仪安装</w:t>
      </w:r>
      <w:r>
        <w:rPr>
          <w:rFonts w:eastAsia="宋体" w:cs="Times New Roman"/>
          <w:sz w:val="21"/>
          <w:szCs w:val="21"/>
        </w:rPr>
        <w:t>应符合以下规定：</w:t>
      </w:r>
    </w:p>
    <w:p w14:paraId="4809585B">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bCs/>
          <w:sz w:val="21"/>
          <w:szCs w:val="21"/>
        </w:rPr>
        <w:t>红外多点气体在线监测仪安装在高风险区（如地铁或者控制中心等附近）等位置；</w:t>
      </w:r>
    </w:p>
    <w:p w14:paraId="5E4FC20C">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Cs/>
          <w:sz w:val="21"/>
          <w:szCs w:val="21"/>
        </w:rPr>
        <w:t xml:space="preserve"> 应外加控制柜，落地式安装；</w:t>
      </w:r>
    </w:p>
    <w:p w14:paraId="3D468601">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
          <w:sz w:val="21"/>
          <w:szCs w:val="21"/>
        </w:rPr>
        <w:t xml:space="preserve"> </w:t>
      </w:r>
      <w:r>
        <w:rPr>
          <w:rFonts w:eastAsia="宋体" w:cs="Times New Roman"/>
          <w:bCs/>
          <w:sz w:val="21"/>
          <w:szCs w:val="21"/>
        </w:rPr>
        <w:t>侧壁开孔后安装固定杆，设备固定在固定杆上。</w:t>
      </w:r>
    </w:p>
    <w:p w14:paraId="7C3A942B">
      <w:pPr>
        <w:spacing w:line="360" w:lineRule="auto"/>
        <w:ind w:firstLine="0" w:firstLineChars="0"/>
        <w:jc w:val="left"/>
        <w:rPr>
          <w:rFonts w:eastAsia="宋体" w:cs="Times New Roman"/>
          <w:b/>
          <w:sz w:val="21"/>
          <w:szCs w:val="21"/>
        </w:rPr>
      </w:pPr>
      <w:r>
        <w:rPr>
          <w:rFonts w:cs="Times New Roman" w:eastAsiaTheme="minorEastAsia"/>
          <w:iCs/>
          <w:color w:val="000000" w:themeColor="text1"/>
          <w:sz w:val="21"/>
          <w:szCs w:val="21"/>
          <w14:textFill>
            <w14:solidFill>
              <w14:schemeClr w14:val="tx1"/>
            </w14:solidFill>
          </w14:textFill>
        </w:rPr>
        <w:t xml:space="preserve">4.7.4 </w:t>
      </w:r>
      <w:r>
        <w:rPr>
          <w:rFonts w:eastAsia="宋体" w:cs="Times New Roman"/>
          <w:sz w:val="21"/>
          <w:szCs w:val="21"/>
        </w:rPr>
        <w:t>电力管线的红外多点气体在线监测仪的技术指标应符合以下规定：</w:t>
      </w:r>
    </w:p>
    <w:p w14:paraId="03F68FAF">
      <w:pPr>
        <w:spacing w:line="360" w:lineRule="auto"/>
        <w:ind w:firstLine="420"/>
        <w:rPr>
          <w:rFonts w:eastAsia="宋体" w:cs="Times New Roman"/>
          <w:b/>
          <w:sz w:val="21"/>
          <w:szCs w:val="21"/>
        </w:rPr>
      </w:pPr>
      <w:r>
        <w:rPr>
          <w:rFonts w:cs="Times New Roman" w:eastAsiaTheme="minorEastAsia"/>
          <w:iCs/>
          <w:color w:val="000000" w:themeColor="text1"/>
          <w:sz w:val="21"/>
          <w:szCs w:val="21"/>
          <w14:textFill>
            <w14:solidFill>
              <w14:schemeClr w14:val="tx1"/>
            </w14:solidFill>
          </w14:textFill>
        </w:rPr>
        <w:t>1</w:t>
      </w:r>
      <w:r>
        <w:rPr>
          <w:rFonts w:eastAsia="宋体" w:cs="Times New Roman"/>
          <w:b/>
          <w:sz w:val="21"/>
          <w:szCs w:val="21"/>
        </w:rPr>
        <w:t xml:space="preserve"> </w:t>
      </w:r>
      <w:r>
        <w:rPr>
          <w:rFonts w:eastAsia="宋体" w:cs="Times New Roman"/>
          <w:sz w:val="21"/>
          <w:szCs w:val="21"/>
        </w:rPr>
        <w:t>甲烷量程为（0～100%）VOL，分辨率为0.01%VOL；</w:t>
      </w:r>
    </w:p>
    <w:p w14:paraId="6C6915DA">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
          <w:sz w:val="21"/>
          <w:szCs w:val="21"/>
        </w:rPr>
        <w:t xml:space="preserve"> </w:t>
      </w:r>
      <w:r>
        <w:rPr>
          <w:rFonts w:eastAsia="宋体" w:cs="Times New Roman"/>
          <w:sz w:val="21"/>
          <w:szCs w:val="21"/>
        </w:rPr>
        <w:t>乙烷量程为（0～30000）ppm，分辨率为1ppm；</w:t>
      </w:r>
    </w:p>
    <w:p w14:paraId="7B722F11">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
          <w:sz w:val="21"/>
          <w:szCs w:val="21"/>
        </w:rPr>
        <w:t xml:space="preserve"> </w:t>
      </w:r>
      <w:r>
        <w:rPr>
          <w:rFonts w:eastAsia="宋体" w:cs="Times New Roman"/>
          <w:sz w:val="21"/>
          <w:szCs w:val="21"/>
        </w:rPr>
        <w:t>一氧化碳量程为（0～40000）ppm，分辨率为1ppm；</w:t>
      </w:r>
    </w:p>
    <w:p w14:paraId="3C8A538F">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4</w:t>
      </w:r>
      <w:r>
        <w:rPr>
          <w:rFonts w:eastAsia="宋体" w:cs="Times New Roman"/>
          <w:b/>
          <w:sz w:val="21"/>
          <w:szCs w:val="21"/>
        </w:rPr>
        <w:t xml:space="preserve"> </w:t>
      </w:r>
      <w:r>
        <w:rPr>
          <w:rFonts w:eastAsia="宋体" w:cs="Times New Roman"/>
          <w:sz w:val="21"/>
          <w:szCs w:val="21"/>
        </w:rPr>
        <w:t>硫化氢量程为（0～100）ppm，分辨率为1ppm；</w:t>
      </w:r>
    </w:p>
    <w:p w14:paraId="7572DF5D">
      <w:pPr>
        <w:spacing w:line="360" w:lineRule="auto"/>
        <w:ind w:firstLine="42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5 </w:t>
      </w:r>
      <w:r>
        <w:rPr>
          <w:rFonts w:eastAsia="宋体" w:cs="Times New Roman"/>
          <w:sz w:val="21"/>
          <w:szCs w:val="21"/>
        </w:rPr>
        <w:t>防护等级为IP55；</w:t>
      </w:r>
    </w:p>
    <w:p w14:paraId="44EAF99A">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6 </w:t>
      </w:r>
      <w:r>
        <w:rPr>
          <w:rFonts w:eastAsia="宋体" w:cs="Times New Roman"/>
          <w:sz w:val="21"/>
          <w:szCs w:val="21"/>
        </w:rPr>
        <w:t>应具有防爆、防腐、防水等抗恶劣环境性能。</w:t>
      </w:r>
    </w:p>
    <w:p w14:paraId="10A0D2D5">
      <w:pPr>
        <w:spacing w:line="360" w:lineRule="auto"/>
        <w:ind w:firstLine="0" w:firstLineChars="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4.7.5 </w:t>
      </w:r>
      <w:r>
        <w:rPr>
          <w:rFonts w:eastAsia="宋体" w:cs="Times New Roman"/>
          <w:bCs/>
          <w:sz w:val="21"/>
          <w:szCs w:val="21"/>
        </w:rPr>
        <w:t>综合</w:t>
      </w:r>
      <w:r>
        <w:rPr>
          <w:rFonts w:eastAsia="宋体" w:cs="Times New Roman"/>
          <w:sz w:val="21"/>
          <w:szCs w:val="21"/>
        </w:rPr>
        <w:t>管廊本体静力水准仪安装应符合以下规定：</w:t>
      </w:r>
    </w:p>
    <w:p w14:paraId="0C6DCDC3">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观测标志的埋设应根据静力水准仪的型号、样式及现场情况确定；</w:t>
      </w:r>
    </w:p>
    <w:p w14:paraId="0CD2F797">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Cs/>
          <w:sz w:val="21"/>
          <w:szCs w:val="21"/>
        </w:rPr>
        <w:t xml:space="preserve"> 连通管任何一段的高度均应低于蓄液罐底部，且不宜低于200mm；</w:t>
      </w:r>
    </w:p>
    <w:p w14:paraId="22C55927">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观测前，应对观测起始零点差进行检验；</w:t>
      </w:r>
    </w:p>
    <w:p w14:paraId="73BE5E3F">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bCs/>
          <w:sz w:val="21"/>
          <w:szCs w:val="21"/>
        </w:rPr>
        <w:t>读数时，应在液体完全呈静态下进行；</w:t>
      </w:r>
    </w:p>
    <w:p w14:paraId="551653D1">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 </w:t>
      </w:r>
      <w:r>
        <w:rPr>
          <w:rFonts w:eastAsia="宋体" w:cs="Times New Roman"/>
          <w:bCs/>
          <w:sz w:val="21"/>
          <w:szCs w:val="21"/>
        </w:rPr>
        <w:t>在监测开始前的72h，应对连续读数的稳定性进行校核，排除外界于扰对读数稳定性的影响后方可采用；</w:t>
      </w:r>
    </w:p>
    <w:p w14:paraId="5DDC6134">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6 </w:t>
      </w:r>
      <w:r>
        <w:rPr>
          <w:rFonts w:eastAsia="宋体" w:cs="Times New Roman"/>
          <w:bCs/>
          <w:sz w:val="21"/>
          <w:szCs w:val="21"/>
        </w:rPr>
        <w:t>监测仪器应有可靠的安装固定措施和保护措施。</w:t>
      </w:r>
    </w:p>
    <w:p w14:paraId="270D4DB5">
      <w:pPr>
        <w:spacing w:line="360" w:lineRule="auto"/>
        <w:ind w:firstLine="0" w:firstLineChars="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4.7.6 </w:t>
      </w:r>
      <w:r>
        <w:rPr>
          <w:rFonts w:eastAsia="宋体" w:cs="Times New Roman"/>
          <w:bCs/>
          <w:sz w:val="21"/>
          <w:szCs w:val="21"/>
        </w:rPr>
        <w:t>综合</w:t>
      </w:r>
      <w:r>
        <w:rPr>
          <w:rFonts w:eastAsia="宋体" w:cs="Times New Roman"/>
          <w:sz w:val="21"/>
          <w:szCs w:val="21"/>
        </w:rPr>
        <w:t>管廊本体静力水准仪的技术指标应符合以下规定：</w:t>
      </w:r>
    </w:p>
    <w:p w14:paraId="3A86EBC6">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量程为（0～100）mm；</w:t>
      </w:r>
    </w:p>
    <w:p w14:paraId="77369D6E">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精度为监测点测站高差中误差小于等于1.8 mm；</w:t>
      </w:r>
    </w:p>
    <w:p w14:paraId="7D76C5D8">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应具有防爆、防腐、防水等抗恶劣环境性能。</w:t>
      </w:r>
    </w:p>
    <w:p w14:paraId="1CF59E41">
      <w:pPr>
        <w:spacing w:line="360" w:lineRule="auto"/>
        <w:ind w:firstLine="0" w:firstLineChars="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4.7.7 </w:t>
      </w:r>
      <w:r>
        <w:rPr>
          <w:rFonts w:eastAsia="宋体" w:cs="Times New Roman"/>
          <w:bCs/>
          <w:sz w:val="21"/>
          <w:szCs w:val="21"/>
        </w:rPr>
        <w:t>综合</w:t>
      </w:r>
      <w:r>
        <w:rPr>
          <w:rFonts w:eastAsia="宋体" w:cs="Times New Roman"/>
          <w:sz w:val="21"/>
          <w:szCs w:val="21"/>
        </w:rPr>
        <w:t>管廊本体全站仪安装应符合以下规定：</w:t>
      </w:r>
    </w:p>
    <w:p w14:paraId="5FD00812">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测试前应对仪器的垂直轴倾斜误差进行检验，当垂直角超出±3°范围时，应进行垂直轴倾斜改正；</w:t>
      </w:r>
    </w:p>
    <w:p w14:paraId="0A45C23C">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Cs/>
          <w:sz w:val="21"/>
          <w:szCs w:val="21"/>
        </w:rPr>
        <w:t xml:space="preserve"> 水平位移监测基准点埋设时宜设置有强制对中的观测墩，或采用精密的光学对中装置，对中误差不宜大于0.5mm；</w:t>
      </w:r>
    </w:p>
    <w:p w14:paraId="5B1DCC2A">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水平位移监测网可采用假设坐标系统，并进行一次布网。每次监测前，应对水平位移基准点进行稳定性复测，并以稳定点作为起算点。</w:t>
      </w:r>
    </w:p>
    <w:p w14:paraId="3F88FCEF">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4.7.8 </w:t>
      </w:r>
      <w:r>
        <w:rPr>
          <w:rFonts w:eastAsia="宋体" w:cs="Times New Roman"/>
          <w:bCs/>
          <w:sz w:val="21"/>
          <w:szCs w:val="21"/>
        </w:rPr>
        <w:t>综合</w:t>
      </w:r>
      <w:r>
        <w:rPr>
          <w:rFonts w:eastAsia="宋体" w:cs="Times New Roman"/>
          <w:sz w:val="21"/>
          <w:szCs w:val="21"/>
        </w:rPr>
        <w:t>管廊本体全站仪的技术指标应符合以下规定</w:t>
      </w:r>
      <w:r>
        <w:rPr>
          <w:rFonts w:eastAsia="宋体" w:cs="Times New Roman"/>
          <w:bCs/>
          <w:sz w:val="21"/>
          <w:szCs w:val="21"/>
        </w:rPr>
        <w:t>：</w:t>
      </w:r>
    </w:p>
    <w:p w14:paraId="50C110F4">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量程为（0～100）mm；</w:t>
      </w:r>
    </w:p>
    <w:p w14:paraId="710CA914">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精度为监测点测站高差中误差小于等于1.6 mm；</w:t>
      </w:r>
    </w:p>
    <w:p w14:paraId="4E0D1078">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应具有防爆、防腐、防水等抗恶劣环境性能。</w:t>
      </w:r>
    </w:p>
    <w:p w14:paraId="19260BF1">
      <w:pPr>
        <w:spacing w:line="360" w:lineRule="auto"/>
        <w:ind w:firstLine="0" w:firstLineChars="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4.7.9 </w:t>
      </w:r>
      <w:r>
        <w:rPr>
          <w:rFonts w:eastAsia="宋体" w:cs="Times New Roman"/>
          <w:bCs/>
          <w:sz w:val="21"/>
          <w:szCs w:val="21"/>
        </w:rPr>
        <w:t>综合</w:t>
      </w:r>
      <w:r>
        <w:rPr>
          <w:rFonts w:eastAsia="宋体" w:cs="Times New Roman"/>
          <w:sz w:val="21"/>
          <w:szCs w:val="21"/>
        </w:rPr>
        <w:t>管廊本体应变计安装应符合以下规定：</w:t>
      </w:r>
    </w:p>
    <w:p w14:paraId="1A4F7455">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埋入式传感器埋设前应进行标定和编号，并做好成品保护；</w:t>
      </w:r>
    </w:p>
    <w:p w14:paraId="1C6CCD17">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Cs/>
          <w:sz w:val="21"/>
          <w:szCs w:val="21"/>
        </w:rPr>
        <w:t xml:space="preserve"> 埋设后导线应引至适宜监测操作处；</w:t>
      </w:r>
    </w:p>
    <w:p w14:paraId="24B59434">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导线端部应做好防护措施。</w:t>
      </w:r>
    </w:p>
    <w:p w14:paraId="06AFA66F">
      <w:pPr>
        <w:spacing w:line="360" w:lineRule="auto"/>
        <w:ind w:firstLine="0" w:firstLineChars="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4.7.10 </w:t>
      </w:r>
      <w:r>
        <w:rPr>
          <w:rFonts w:eastAsia="宋体" w:cs="Times New Roman"/>
          <w:bCs/>
          <w:sz w:val="21"/>
          <w:szCs w:val="21"/>
        </w:rPr>
        <w:t>综合</w:t>
      </w:r>
      <w:r>
        <w:rPr>
          <w:rFonts w:eastAsia="宋体" w:cs="Times New Roman"/>
          <w:sz w:val="21"/>
          <w:szCs w:val="21"/>
        </w:rPr>
        <w:t>管廊本体应变计的技术指标应符合以下规定：</w:t>
      </w:r>
    </w:p>
    <w:p w14:paraId="35750ABD">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量程宜为理论计算峰值的1.5～2倍；</w:t>
      </w:r>
    </w:p>
    <w:p w14:paraId="3803BE4D">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精度为±0.5% F.S.；</w:t>
      </w:r>
    </w:p>
    <w:p w14:paraId="0F8BBEFC">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应具有防爆、防腐、防水等抗恶劣环境性能。</w:t>
      </w:r>
    </w:p>
    <w:p w14:paraId="774B14A4">
      <w:pPr>
        <w:spacing w:line="360" w:lineRule="auto"/>
        <w:ind w:firstLine="0" w:firstLineChars="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4.7.11 </w:t>
      </w:r>
      <w:r>
        <w:rPr>
          <w:rFonts w:eastAsia="宋体" w:cs="Times New Roman"/>
          <w:sz w:val="21"/>
          <w:szCs w:val="21"/>
        </w:rPr>
        <w:t>廊内环境温度检测仪安装应符合以下规定：</w:t>
      </w:r>
    </w:p>
    <w:p w14:paraId="2A22361E">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检测仪设置间距不宜大于 200m；</w:t>
      </w:r>
    </w:p>
    <w:p w14:paraId="7904B4BC">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Cs/>
          <w:sz w:val="21"/>
          <w:szCs w:val="21"/>
        </w:rPr>
        <w:t xml:space="preserve"> 每一通风区间内应至少设置1套；</w:t>
      </w:r>
    </w:p>
    <w:p w14:paraId="26F8EBEE">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不宜安装在具有凝露、碰撞等影响的位置。</w:t>
      </w:r>
    </w:p>
    <w:p w14:paraId="2C057385">
      <w:pPr>
        <w:spacing w:line="360" w:lineRule="auto"/>
        <w:ind w:firstLine="0" w:firstLineChars="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4.7.12 </w:t>
      </w:r>
      <w:r>
        <w:rPr>
          <w:rFonts w:eastAsia="宋体" w:cs="Times New Roman"/>
          <w:sz w:val="21"/>
          <w:szCs w:val="21"/>
        </w:rPr>
        <w:t>廊内环境温度检测仪的技术指标应符合以下规定：</w:t>
      </w:r>
    </w:p>
    <w:p w14:paraId="12CB0228">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量程为（</w:t>
      </w:r>
      <w:r>
        <w:rPr>
          <w:rFonts w:eastAsia="宋体" w:cs="Times New Roman"/>
          <w:bCs/>
          <w:sz w:val="21"/>
          <w:szCs w:val="21"/>
          <w:lang w:bidi="ar"/>
        </w:rPr>
        <w:t>-40～70</w:t>
      </w:r>
      <w:r>
        <w:rPr>
          <w:rFonts w:eastAsia="宋体" w:cs="Times New Roman"/>
          <w:bCs/>
          <w:sz w:val="21"/>
          <w:szCs w:val="21"/>
        </w:rPr>
        <w:t>）</w:t>
      </w:r>
      <w:r>
        <w:rPr>
          <w:rFonts w:eastAsia="宋体" w:cs="Times New Roman"/>
          <w:bCs/>
          <w:sz w:val="21"/>
          <w:szCs w:val="21"/>
          <w:lang w:bidi="ar"/>
        </w:rPr>
        <w:t>℃；</w:t>
      </w:r>
    </w:p>
    <w:p w14:paraId="1746A687">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精度为±2 ℃；</w:t>
      </w:r>
    </w:p>
    <w:p w14:paraId="00090CB6">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应具有防爆、防腐、防水等抗恶劣环境性能。</w:t>
      </w:r>
    </w:p>
    <w:p w14:paraId="1DAC09CF">
      <w:pPr>
        <w:spacing w:line="360" w:lineRule="auto"/>
        <w:ind w:firstLine="0" w:firstLineChars="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4.7.13 </w:t>
      </w:r>
      <w:r>
        <w:rPr>
          <w:rFonts w:eastAsia="宋体" w:cs="Times New Roman"/>
          <w:sz w:val="21"/>
          <w:szCs w:val="21"/>
        </w:rPr>
        <w:t>廊内环境湿度检测仪安装应符合以下规定：</w:t>
      </w:r>
    </w:p>
    <w:p w14:paraId="7A8ACFA0">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sz w:val="21"/>
          <w:szCs w:val="21"/>
        </w:rPr>
        <w:t>检测仪</w:t>
      </w:r>
      <w:r>
        <w:rPr>
          <w:rFonts w:eastAsia="宋体" w:cs="Times New Roman"/>
          <w:bCs/>
          <w:sz w:val="21"/>
          <w:szCs w:val="21"/>
        </w:rPr>
        <w:t>设置间距不宜大于 200m；</w:t>
      </w:r>
    </w:p>
    <w:p w14:paraId="25410FB9">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Cs/>
          <w:sz w:val="21"/>
          <w:szCs w:val="21"/>
        </w:rPr>
        <w:t xml:space="preserve"> 每一通风区间内应至少设置1套；</w:t>
      </w:r>
    </w:p>
    <w:p w14:paraId="7521802E">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不宜安装在具有凝露、碰撞等影响的位置。</w:t>
      </w:r>
    </w:p>
    <w:p w14:paraId="5E198370">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4.7.14 </w:t>
      </w:r>
      <w:r>
        <w:rPr>
          <w:rFonts w:eastAsia="宋体" w:cs="Times New Roman"/>
          <w:sz w:val="21"/>
          <w:szCs w:val="21"/>
        </w:rPr>
        <w:t>廊内环境湿度检测仪的技术指标</w:t>
      </w:r>
      <w:r>
        <w:rPr>
          <w:rFonts w:eastAsia="宋体" w:cs="Times New Roman"/>
          <w:bCs/>
          <w:sz w:val="21"/>
          <w:szCs w:val="21"/>
        </w:rPr>
        <w:t>应符合以下规定：</w:t>
      </w:r>
    </w:p>
    <w:p w14:paraId="4DABD4ED">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量程为（0～100%）RH；</w:t>
      </w:r>
    </w:p>
    <w:p w14:paraId="3945B9BA">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精度为±3% RH；</w:t>
      </w:r>
    </w:p>
    <w:p w14:paraId="6F61EEB5">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应具有防爆、防腐、防水等抗恶劣环境性能。</w:t>
      </w:r>
    </w:p>
    <w:p w14:paraId="7B248D2F">
      <w:pPr>
        <w:spacing w:line="360" w:lineRule="auto"/>
        <w:ind w:firstLine="0" w:firstLineChars="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4.7.15 </w:t>
      </w:r>
      <w:r>
        <w:rPr>
          <w:rFonts w:eastAsia="宋体" w:cs="Times New Roman"/>
          <w:sz w:val="21"/>
          <w:szCs w:val="21"/>
        </w:rPr>
        <w:t>廊内环境氧气检测仪安装应符合以下规定：</w:t>
      </w:r>
    </w:p>
    <w:p w14:paraId="2768FD47">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检测仪设置间距不宜大于 200m；</w:t>
      </w:r>
    </w:p>
    <w:p w14:paraId="5C849510">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Cs/>
          <w:sz w:val="21"/>
          <w:szCs w:val="21"/>
        </w:rPr>
        <w:t xml:space="preserve"> 每一通风区间内应至少设置1套；</w:t>
      </w:r>
    </w:p>
    <w:p w14:paraId="399069A5">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应设置在人员出入口和舱室每一通风区间通风回风口气流经过处；</w:t>
      </w:r>
    </w:p>
    <w:p w14:paraId="6EE3F168">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bCs/>
          <w:sz w:val="21"/>
          <w:szCs w:val="21"/>
        </w:rPr>
        <w:t>距舱室地坪的安装高度宜为1.6m～1.8m；</w:t>
      </w:r>
    </w:p>
    <w:p w14:paraId="6B7DA19F">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 </w:t>
      </w:r>
      <w:r>
        <w:rPr>
          <w:rFonts w:eastAsia="宋体" w:cs="Times New Roman"/>
          <w:bCs/>
          <w:sz w:val="21"/>
          <w:szCs w:val="21"/>
        </w:rPr>
        <w:t>不宜安装在具有凝露、碰撞等影响的位置。</w:t>
      </w:r>
    </w:p>
    <w:p w14:paraId="3AE9365B">
      <w:pPr>
        <w:spacing w:line="360" w:lineRule="auto"/>
        <w:ind w:firstLine="0" w:firstLineChars="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4.7.16 </w:t>
      </w:r>
      <w:r>
        <w:rPr>
          <w:rFonts w:eastAsia="宋体" w:cs="Times New Roman"/>
          <w:sz w:val="21"/>
          <w:szCs w:val="21"/>
        </w:rPr>
        <w:t>廊内环境氧气检测仪的技术指标应符合以下规定：</w:t>
      </w:r>
    </w:p>
    <w:p w14:paraId="6726A895">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量程为（0～30%）VOL；</w:t>
      </w:r>
    </w:p>
    <w:p w14:paraId="1A2D5F17">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精度为±1% VOL；</w:t>
      </w:r>
    </w:p>
    <w:p w14:paraId="75881B7B">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应具有防爆、防腐、防水等抗恶劣环境性能。</w:t>
      </w:r>
    </w:p>
    <w:p w14:paraId="65B305DF">
      <w:pPr>
        <w:spacing w:line="360" w:lineRule="auto"/>
        <w:ind w:firstLine="0" w:firstLineChars="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4.7.17 </w:t>
      </w:r>
      <w:r>
        <w:rPr>
          <w:rFonts w:eastAsia="宋体" w:cs="Times New Roman"/>
          <w:sz w:val="21"/>
          <w:szCs w:val="21"/>
        </w:rPr>
        <w:t>廊内环境硫化氢检测仪安装应符合以下规定：</w:t>
      </w:r>
    </w:p>
    <w:p w14:paraId="2EE69FC7">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检测仪应设置在人员出入口和舱室每一通风区间通风回风口气流经过处；</w:t>
      </w:r>
    </w:p>
    <w:p w14:paraId="6DBAE77E">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Cs/>
          <w:sz w:val="21"/>
          <w:szCs w:val="21"/>
        </w:rPr>
        <w:t xml:space="preserve"> 距舱室地坪的安装高度应为0.3m～0.6m；</w:t>
      </w:r>
    </w:p>
    <w:p w14:paraId="7AD20D01">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不宜安装在具有凝露、碰撞等影响的位置。</w:t>
      </w:r>
    </w:p>
    <w:p w14:paraId="24F4E3D7">
      <w:pPr>
        <w:spacing w:line="360" w:lineRule="auto"/>
        <w:ind w:firstLine="0" w:firstLineChars="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4.7.18 </w:t>
      </w:r>
      <w:r>
        <w:rPr>
          <w:rFonts w:eastAsia="宋体" w:cs="Times New Roman"/>
          <w:sz w:val="21"/>
          <w:szCs w:val="21"/>
        </w:rPr>
        <w:t>廊内环境硫化氢检测仪的技术指标应符合以下规定：</w:t>
      </w:r>
    </w:p>
    <w:p w14:paraId="5F8E19DA">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量程为（0～100）ppm；</w:t>
      </w:r>
    </w:p>
    <w:p w14:paraId="0ECD9674">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精度为±3 ppm；</w:t>
      </w:r>
    </w:p>
    <w:p w14:paraId="27B18219">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应具有防爆、防腐、防水等抗恶劣环境性能。</w:t>
      </w:r>
    </w:p>
    <w:p w14:paraId="34D02B2A">
      <w:pPr>
        <w:spacing w:line="360" w:lineRule="auto"/>
        <w:ind w:firstLine="0" w:firstLineChars="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4.7.19 </w:t>
      </w:r>
      <w:r>
        <w:rPr>
          <w:rFonts w:eastAsia="宋体" w:cs="Times New Roman"/>
          <w:sz w:val="21"/>
          <w:szCs w:val="21"/>
        </w:rPr>
        <w:t>廊内环境甲烷检测仪安装应符合以下规定：</w:t>
      </w:r>
    </w:p>
    <w:p w14:paraId="6ED0BBA4">
      <w:pPr>
        <w:spacing w:line="360" w:lineRule="auto"/>
        <w:ind w:firstLine="420"/>
        <w:jc w:val="left"/>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检测仪应设置在人员出入口和舱室每一通风区间通风回风口气流经过处；</w:t>
      </w:r>
    </w:p>
    <w:p w14:paraId="78645FE9">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bCs/>
          <w:sz w:val="21"/>
          <w:szCs w:val="21"/>
        </w:rPr>
        <w:t xml:space="preserve"> 距舱室顶部的安装高度应为0.3m～0.6m；</w:t>
      </w:r>
    </w:p>
    <w:p w14:paraId="7CC3302F">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不宜安装在具有凝露、碰撞等影响的位置。</w:t>
      </w:r>
    </w:p>
    <w:p w14:paraId="2404F09D">
      <w:pPr>
        <w:spacing w:line="360" w:lineRule="auto"/>
        <w:ind w:firstLine="0" w:firstLineChars="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4.7.20 </w:t>
      </w:r>
      <w:r>
        <w:rPr>
          <w:rFonts w:eastAsia="宋体" w:cs="Times New Roman"/>
          <w:sz w:val="21"/>
          <w:szCs w:val="21"/>
        </w:rPr>
        <w:t>廊内环境甲烷检测仪的技术指标应符合以下规定：</w:t>
      </w:r>
    </w:p>
    <w:p w14:paraId="400D11E9">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量程为（0～100%）LEL；</w:t>
      </w:r>
    </w:p>
    <w:p w14:paraId="53A3D568">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精度为±3% LEL；</w:t>
      </w:r>
    </w:p>
    <w:p w14:paraId="0126920F">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bCs/>
          <w:sz w:val="21"/>
          <w:szCs w:val="21"/>
        </w:rPr>
        <w:t xml:space="preserve"> 应具有防爆、防腐、防水等抗恶劣环境性能。</w:t>
      </w:r>
    </w:p>
    <w:p w14:paraId="6EC28EB7">
      <w:pPr>
        <w:spacing w:line="360" w:lineRule="auto"/>
        <w:ind w:firstLine="0" w:firstLineChars="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4.7.21 </w:t>
      </w:r>
      <w:r>
        <w:rPr>
          <w:rFonts w:eastAsia="宋体" w:cs="Times New Roman"/>
          <w:sz w:val="21"/>
          <w:szCs w:val="21"/>
        </w:rPr>
        <w:t>廊内环境液位计安装应符合以下规定：</w:t>
      </w:r>
    </w:p>
    <w:p w14:paraId="1D7DAF89">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iCs/>
          <w:color w:val="000000" w:themeColor="text1"/>
          <w:sz w:val="21"/>
          <w:szCs w:val="21"/>
          <w14:textFill>
            <w14:solidFill>
              <w14:schemeClr w14:val="tx1"/>
            </w14:solidFill>
          </w14:textFill>
        </w:rPr>
        <w:t>投入式液位计通常安装在集水坑底部，传感器直接接触液体进行测量；超声波液位计安装在集水坑顶部，与液面保持一定距离；</w:t>
      </w:r>
    </w:p>
    <w:p w14:paraId="14F91802">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iCs/>
          <w:color w:val="000000" w:themeColor="text1"/>
          <w:sz w:val="21"/>
          <w:szCs w:val="21"/>
          <w14:textFill>
            <w14:solidFill>
              <w14:schemeClr w14:val="tx1"/>
            </w14:solidFill>
          </w14:textFill>
        </w:rPr>
        <w:t>安装时避开进水口、排水泵等可能产生水流干扰的位置；</w:t>
      </w:r>
    </w:p>
    <w:p w14:paraId="55F29C71">
      <w:pPr>
        <w:spacing w:line="360" w:lineRule="auto"/>
        <w:ind w:firstLine="420"/>
        <w:jc w:val="left"/>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iCs/>
          <w:color w:val="000000" w:themeColor="text1"/>
          <w:sz w:val="21"/>
          <w:szCs w:val="21"/>
          <w14:textFill>
            <w14:solidFill>
              <w14:schemeClr w14:val="tx1"/>
            </w14:solidFill>
          </w14:textFill>
        </w:rPr>
        <w:t>安装后需进行校准，确保测量数据准确。</w:t>
      </w:r>
    </w:p>
    <w:p w14:paraId="5E6EE7EF">
      <w:pPr>
        <w:spacing w:line="360" w:lineRule="auto"/>
        <w:ind w:firstLine="0" w:firstLineChars="0"/>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4.7.22 </w:t>
      </w:r>
      <w:r>
        <w:rPr>
          <w:rFonts w:eastAsia="宋体" w:cs="Times New Roman"/>
          <w:sz w:val="21"/>
          <w:szCs w:val="21"/>
        </w:rPr>
        <w:t>廊内环境液位计的技术指标应符合以下规定：</w:t>
      </w:r>
    </w:p>
    <w:p w14:paraId="46722789">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量程为（0～10）m；</w:t>
      </w:r>
    </w:p>
    <w:p w14:paraId="0C5804C2">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精度为±2 cm；</w:t>
      </w:r>
    </w:p>
    <w:p w14:paraId="329B3E34">
      <w:pPr>
        <w:spacing w:line="360" w:lineRule="auto"/>
        <w:ind w:firstLine="420"/>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sz w:val="21"/>
          <w:szCs w:val="21"/>
        </w:rPr>
        <w:t>应具有防爆、防腐、防水等抗恶劣环境性能。</w:t>
      </w:r>
    </w:p>
    <w:p w14:paraId="217B7A16">
      <w:pPr>
        <w:widowControl/>
        <w:ind w:firstLine="0" w:firstLineChars="0"/>
        <w:jc w:val="left"/>
        <w:rPr>
          <w:rFonts w:eastAsia="宋体" w:cs="Times New Roman"/>
          <w:bCs/>
          <w:sz w:val="21"/>
        </w:rPr>
      </w:pPr>
      <w:r>
        <w:rPr>
          <w:rFonts w:eastAsia="宋体" w:cs="Times New Roman"/>
          <w:bCs/>
          <w:sz w:val="21"/>
        </w:rPr>
        <w:br w:type="page"/>
      </w:r>
    </w:p>
    <w:p w14:paraId="5D6032E9">
      <w:pPr>
        <w:pStyle w:val="2"/>
        <w:spacing w:before="340" w:after="156" w:line="480" w:lineRule="auto"/>
        <w:jc w:val="center"/>
        <w:rPr>
          <w:rFonts w:eastAsia="宋体" w:cs="Times New Roman"/>
          <w:b/>
          <w:sz w:val="36"/>
          <w:szCs w:val="36"/>
        </w:rPr>
      </w:pPr>
      <w:bookmarkStart w:id="74" w:name="_Toc172221051"/>
      <w:bookmarkStart w:id="75" w:name="_Toc192799305"/>
      <w:bookmarkStart w:id="76" w:name="OLE_LINK4"/>
      <w:bookmarkStart w:id="77" w:name="OLE_LINK3"/>
      <w:r>
        <w:rPr>
          <w:rFonts w:cs="Times New Roman" w:eastAsiaTheme="minorEastAsia"/>
          <w:b/>
          <w:color w:val="000000" w:themeColor="text1"/>
          <w:sz w:val="30"/>
          <w:szCs w:val="30"/>
          <w14:textFill>
            <w14:solidFill>
              <w14:schemeClr w14:val="tx1"/>
            </w14:solidFill>
          </w14:textFill>
        </w:rPr>
        <w:t xml:space="preserve">5  </w:t>
      </w:r>
      <w:bookmarkEnd w:id="74"/>
      <w:r>
        <w:rPr>
          <w:rFonts w:hint="eastAsia" w:ascii="宋体" w:hAnsi="宋体" w:eastAsia="宋体" w:cs="宋体"/>
          <w:b/>
          <w:color w:val="000000" w:themeColor="text1"/>
          <w:sz w:val="30"/>
          <w:szCs w:val="30"/>
          <w14:textFill>
            <w14:solidFill>
              <w14:schemeClr w14:val="tx1"/>
            </w14:solidFill>
          </w14:textFill>
        </w:rPr>
        <w:t>信号传输设施</w:t>
      </w:r>
      <w:bookmarkEnd w:id="75"/>
    </w:p>
    <w:p w14:paraId="06BA2016">
      <w:pPr>
        <w:keepNext/>
        <w:keepLines/>
        <w:spacing w:line="360" w:lineRule="auto"/>
        <w:ind w:firstLine="0" w:firstLineChars="0"/>
        <w:jc w:val="center"/>
        <w:outlineLvl w:val="1"/>
        <w:rPr>
          <w:rFonts w:eastAsia="宋体" w:cs="Times New Roman"/>
          <w:b/>
          <w:bCs/>
          <w:sz w:val="28"/>
          <w:szCs w:val="28"/>
        </w:rPr>
      </w:pPr>
      <w:bookmarkStart w:id="78" w:name="_Toc172221052"/>
      <w:bookmarkStart w:id="79" w:name="_Toc162779532"/>
      <w:bookmarkStart w:id="80" w:name="_Toc19738"/>
      <w:bookmarkStart w:id="81" w:name="_Toc192799306"/>
      <w:r>
        <w:rPr>
          <w:rFonts w:eastAsia="宋体" w:cs="Times New Roman"/>
          <w:b/>
          <w:bCs/>
          <w:sz w:val="28"/>
          <w:szCs w:val="28"/>
        </w:rPr>
        <w:t xml:space="preserve">5.1  </w:t>
      </w:r>
      <w:bookmarkEnd w:id="78"/>
      <w:bookmarkEnd w:id="79"/>
      <w:bookmarkEnd w:id="80"/>
      <w:r>
        <w:rPr>
          <w:rFonts w:eastAsia="宋体" w:cs="Times New Roman"/>
          <w:b/>
          <w:bCs/>
          <w:sz w:val="28"/>
          <w:szCs w:val="28"/>
        </w:rPr>
        <w:t>一般规定</w:t>
      </w:r>
      <w:bookmarkEnd w:id="81"/>
    </w:p>
    <w:p w14:paraId="63D73767">
      <w:pPr>
        <w:spacing w:line="360" w:lineRule="auto"/>
        <w:ind w:firstLine="0" w:firstLineChars="0"/>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5.1.1 </w:t>
      </w:r>
      <w:r>
        <w:rPr>
          <w:rFonts w:eastAsia="宋体" w:cs="Times New Roman"/>
          <w:bCs/>
          <w:sz w:val="21"/>
          <w:szCs w:val="21"/>
        </w:rPr>
        <w:t>城市生命线工程</w:t>
      </w:r>
      <w:r>
        <w:rPr>
          <w:rFonts w:hint="eastAsia" w:eastAsia="宋体" w:cs="Times New Roman"/>
          <w:bCs/>
          <w:sz w:val="21"/>
          <w:szCs w:val="21"/>
        </w:rPr>
        <w:t>监测设施</w:t>
      </w:r>
      <w:r>
        <w:rPr>
          <w:rFonts w:eastAsia="宋体" w:cs="Times New Roman"/>
          <w:bCs/>
          <w:sz w:val="21"/>
          <w:szCs w:val="21"/>
        </w:rPr>
        <w:t>的信号传输设施应包括传输线缆、</w:t>
      </w:r>
      <w:r>
        <w:rPr>
          <w:rFonts w:hint="eastAsia" w:eastAsia="宋体" w:cs="Times New Roman"/>
          <w:bCs/>
          <w:sz w:val="21"/>
          <w:szCs w:val="21"/>
        </w:rPr>
        <w:t>通信</w:t>
      </w:r>
      <w:r>
        <w:rPr>
          <w:rFonts w:eastAsia="宋体" w:cs="Times New Roman"/>
          <w:bCs/>
          <w:sz w:val="21"/>
          <w:szCs w:val="21"/>
        </w:rPr>
        <w:t>网关、</w:t>
      </w:r>
      <w:r>
        <w:rPr>
          <w:rFonts w:hint="eastAsia" w:eastAsia="宋体" w:cs="Times New Roman"/>
          <w:bCs/>
          <w:sz w:val="21"/>
          <w:szCs w:val="21"/>
        </w:rPr>
        <w:t>网络传输和</w:t>
      </w:r>
      <w:r>
        <w:rPr>
          <w:rFonts w:eastAsia="宋体" w:cs="Times New Roman"/>
          <w:bCs/>
          <w:sz w:val="21"/>
          <w:szCs w:val="21"/>
        </w:rPr>
        <w:t>安全</w:t>
      </w:r>
      <w:r>
        <w:rPr>
          <w:rFonts w:hint="eastAsia" w:eastAsia="宋体" w:cs="Times New Roman"/>
          <w:bCs/>
          <w:sz w:val="21"/>
          <w:szCs w:val="21"/>
        </w:rPr>
        <w:t>设备</w:t>
      </w:r>
      <w:r>
        <w:rPr>
          <w:rFonts w:eastAsia="宋体" w:cs="Times New Roman"/>
          <w:bCs/>
          <w:sz w:val="21"/>
          <w:szCs w:val="21"/>
        </w:rPr>
        <w:t>等。</w:t>
      </w:r>
    </w:p>
    <w:p w14:paraId="738EABED">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5.1.2 </w:t>
      </w:r>
      <w:r>
        <w:rPr>
          <w:rFonts w:eastAsia="宋体" w:cs="Times New Roman"/>
          <w:bCs/>
          <w:sz w:val="21"/>
          <w:szCs w:val="21"/>
        </w:rPr>
        <w:t>信号传输方式应支持多种通信协议转换和数据交换功能。</w:t>
      </w:r>
    </w:p>
    <w:p w14:paraId="46A80556">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5.1.3 </w:t>
      </w:r>
      <w:r>
        <w:rPr>
          <w:rFonts w:eastAsia="宋体" w:cs="Times New Roman"/>
          <w:bCs/>
          <w:sz w:val="21"/>
          <w:szCs w:val="21"/>
        </w:rPr>
        <w:t>通信线缆应根据信号类型、传输距离、敷设环境等要求进行选择。</w:t>
      </w:r>
    </w:p>
    <w:p w14:paraId="611BCD00">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5.1.4</w:t>
      </w:r>
      <w:r>
        <w:rPr>
          <w:rFonts w:eastAsia="宋体" w:cs="Times New Roman"/>
          <w:bCs/>
          <w:sz w:val="21"/>
          <w:szCs w:val="21"/>
        </w:rPr>
        <w:t xml:space="preserve"> 通信网关应根据应用场景、监测规模、监测对象特点等需求进行选型。</w:t>
      </w:r>
    </w:p>
    <w:p w14:paraId="1FCAB21F">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5.1.5 </w:t>
      </w:r>
      <w:r>
        <w:rPr>
          <w:rFonts w:eastAsia="宋体" w:cs="Times New Roman"/>
          <w:bCs/>
          <w:sz w:val="21"/>
          <w:szCs w:val="21"/>
        </w:rPr>
        <w:t>信号传输应满足监测数据传输的</w:t>
      </w:r>
      <w:r>
        <w:rPr>
          <w:rFonts w:hint="eastAsia" w:eastAsia="宋体" w:cs="Times New Roman"/>
          <w:bCs/>
          <w:sz w:val="21"/>
          <w:szCs w:val="21"/>
        </w:rPr>
        <w:t>准确性、</w:t>
      </w:r>
      <w:r>
        <w:rPr>
          <w:rFonts w:eastAsia="宋体" w:cs="Times New Roman"/>
          <w:bCs/>
          <w:sz w:val="21"/>
          <w:szCs w:val="21"/>
        </w:rPr>
        <w:t>高效性、安全性和可靠性等要求。</w:t>
      </w:r>
    </w:p>
    <w:p w14:paraId="36F62D6E">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5.1.6 </w:t>
      </w:r>
      <w:r>
        <w:rPr>
          <w:rFonts w:hint="eastAsia" w:cs="Times New Roman" w:eastAsiaTheme="minorEastAsia"/>
          <w:iCs/>
          <w:color w:val="000000" w:themeColor="text1"/>
          <w:sz w:val="21"/>
          <w:szCs w:val="21"/>
          <w14:textFill>
            <w14:solidFill>
              <w14:schemeClr w14:val="tx1"/>
            </w14:solidFill>
          </w14:textFill>
        </w:rPr>
        <w:t>信号</w:t>
      </w:r>
      <w:r>
        <w:rPr>
          <w:rFonts w:eastAsia="宋体" w:cs="Times New Roman"/>
          <w:bCs/>
          <w:sz w:val="21"/>
          <w:szCs w:val="21"/>
        </w:rPr>
        <w:t>传输网络应按照运行的业务信息流量、服务质量要求进行设置。</w:t>
      </w:r>
    </w:p>
    <w:p w14:paraId="0FD55E9B">
      <w:pPr>
        <w:spacing w:line="360" w:lineRule="auto"/>
        <w:ind w:firstLine="0" w:firstLineChars="0"/>
        <w:rPr>
          <w:rFonts w:eastAsia="宋体" w:cs="Times New Roman"/>
          <w:bCs/>
          <w:sz w:val="24"/>
          <w:szCs w:val="24"/>
        </w:rPr>
      </w:pPr>
      <w:r>
        <w:rPr>
          <w:rFonts w:cs="Times New Roman" w:eastAsiaTheme="minorEastAsia"/>
          <w:iCs/>
          <w:color w:val="000000" w:themeColor="text1"/>
          <w:sz w:val="21"/>
          <w:szCs w:val="21"/>
          <w14:textFill>
            <w14:solidFill>
              <w14:schemeClr w14:val="tx1"/>
            </w14:solidFill>
          </w14:textFill>
        </w:rPr>
        <w:t xml:space="preserve">5.1.7 </w:t>
      </w:r>
      <w:r>
        <w:rPr>
          <w:rFonts w:hint="eastAsia" w:cs="Times New Roman" w:eastAsiaTheme="minorEastAsia"/>
          <w:iCs/>
          <w:color w:val="000000" w:themeColor="text1"/>
          <w:sz w:val="21"/>
          <w:szCs w:val="21"/>
          <w14:textFill>
            <w14:solidFill>
              <w14:schemeClr w14:val="tx1"/>
            </w14:solidFill>
          </w14:textFill>
        </w:rPr>
        <w:t>信号</w:t>
      </w:r>
      <w:r>
        <w:rPr>
          <w:rFonts w:eastAsia="宋体" w:cs="Times New Roman"/>
          <w:bCs/>
          <w:sz w:val="21"/>
          <w:szCs w:val="21"/>
        </w:rPr>
        <w:t>传输管理应具备支持全网设备的拓扑管理、配置管理、性能管理、故障管理、安全管理以及网络部署、资源管理等功能。</w:t>
      </w:r>
    </w:p>
    <w:p w14:paraId="3634EB0A">
      <w:pPr>
        <w:keepNext/>
        <w:keepLines/>
        <w:spacing w:line="360" w:lineRule="auto"/>
        <w:ind w:firstLine="0" w:firstLineChars="0"/>
        <w:jc w:val="center"/>
        <w:outlineLvl w:val="1"/>
        <w:rPr>
          <w:rFonts w:eastAsia="黑体" w:cs="Times New Roman"/>
          <w:bCs/>
          <w:sz w:val="24"/>
          <w:szCs w:val="32"/>
        </w:rPr>
      </w:pPr>
      <w:bookmarkStart w:id="82" w:name="_Toc192799307"/>
      <w:r>
        <w:rPr>
          <w:rFonts w:eastAsia="宋体" w:cs="Times New Roman"/>
          <w:b/>
          <w:bCs/>
          <w:sz w:val="28"/>
          <w:szCs w:val="28"/>
        </w:rPr>
        <w:t>5.2  传输方式</w:t>
      </w:r>
      <w:bookmarkEnd w:id="82"/>
    </w:p>
    <w:p w14:paraId="1207396E">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5.2.1 </w:t>
      </w:r>
      <w:r>
        <w:rPr>
          <w:rFonts w:eastAsia="宋体" w:cs="Times New Roman"/>
          <w:bCs/>
          <w:sz w:val="21"/>
          <w:szCs w:val="21"/>
        </w:rPr>
        <w:t>城市生命线工程</w:t>
      </w:r>
      <w:r>
        <w:rPr>
          <w:rFonts w:hint="eastAsia" w:eastAsia="宋体" w:cs="Times New Roman"/>
          <w:bCs/>
          <w:sz w:val="21"/>
          <w:szCs w:val="21"/>
        </w:rPr>
        <w:t>监测设施</w:t>
      </w:r>
      <w:r>
        <w:rPr>
          <w:rFonts w:eastAsia="宋体" w:cs="Times New Roman"/>
          <w:bCs/>
          <w:sz w:val="21"/>
          <w:szCs w:val="21"/>
        </w:rPr>
        <w:t>信号传输</w:t>
      </w:r>
      <w:r>
        <w:rPr>
          <w:rFonts w:hint="eastAsia" w:eastAsia="宋体" w:cs="Times New Roman"/>
          <w:bCs/>
          <w:sz w:val="21"/>
          <w:szCs w:val="21"/>
        </w:rPr>
        <w:t>可</w:t>
      </w:r>
      <w:r>
        <w:rPr>
          <w:rFonts w:eastAsia="宋体" w:cs="Times New Roman"/>
          <w:bCs/>
          <w:sz w:val="21"/>
          <w:szCs w:val="21"/>
        </w:rPr>
        <w:t>采用移动通信网络、宽带光纤网络、地面无线与卫星通信网络等方式。</w:t>
      </w:r>
    </w:p>
    <w:p w14:paraId="15F6E4FC">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5.2.2</w:t>
      </w:r>
      <w:r>
        <w:rPr>
          <w:rFonts w:eastAsia="宋体" w:cs="Times New Roman"/>
          <w:bCs/>
          <w:sz w:val="21"/>
          <w:szCs w:val="21"/>
        </w:rPr>
        <w:t xml:space="preserve"> 前端物联网感知传输网络实现前端监测设备到采集平台的数据传输，宜采用通信专线、数字蜂窝移动通信网方式，并应满足城市生命线工程前端监测设施、监测平台及设施运维对移动网络的使用、基站覆盖率、速率等要求。</w:t>
      </w:r>
    </w:p>
    <w:p w14:paraId="65C09EF9">
      <w:pPr>
        <w:spacing w:line="360" w:lineRule="auto"/>
        <w:ind w:firstLine="0" w:firstLineChars="0"/>
        <w:rPr>
          <w:rFonts w:eastAsia="宋体" w:cs="Times New Roman"/>
          <w:iCs/>
          <w:color w:val="000000" w:themeColor="text1"/>
          <w:sz w:val="21"/>
          <w:szCs w:val="21"/>
          <w14:textFill>
            <w14:solidFill>
              <w14:schemeClr w14:val="tx1"/>
            </w14:solidFill>
          </w14:textFill>
        </w:rPr>
      </w:pPr>
      <w:r>
        <w:rPr>
          <w:rFonts w:cs="Times New Roman" w:eastAsiaTheme="minorEastAsia"/>
          <w:iCs/>
          <w:sz w:val="21"/>
          <w:szCs w:val="21"/>
        </w:rPr>
        <w:t>5.2.3</w:t>
      </w:r>
      <w:r>
        <w:rPr>
          <w:rFonts w:eastAsia="宋体" w:cs="Times New Roman"/>
          <w:iCs/>
          <w:color w:val="000000" w:themeColor="text1"/>
          <w:sz w:val="21"/>
          <w:szCs w:val="21"/>
          <w14:textFill>
            <w14:solidFill>
              <w14:schemeClr w14:val="tx1"/>
            </w14:solidFill>
          </w14:textFill>
        </w:rPr>
        <w:t xml:space="preserve"> 城市生命线</w:t>
      </w:r>
      <w:r>
        <w:rPr>
          <w:rFonts w:hint="eastAsia" w:eastAsia="宋体" w:cs="Times New Roman"/>
          <w:iCs/>
          <w:color w:val="000000" w:themeColor="text1"/>
          <w:sz w:val="21"/>
          <w:szCs w:val="21"/>
          <w14:textFill>
            <w14:solidFill>
              <w14:schemeClr w14:val="tx1"/>
            </w14:solidFill>
          </w14:textFill>
        </w:rPr>
        <w:t>监测设施</w:t>
      </w:r>
      <w:r>
        <w:rPr>
          <w:rFonts w:eastAsia="宋体" w:cs="Times New Roman"/>
          <w:iCs/>
          <w:color w:val="000000" w:themeColor="text1"/>
          <w:sz w:val="21"/>
          <w:szCs w:val="21"/>
          <w14:textFill>
            <w14:solidFill>
              <w14:schemeClr w14:val="tx1"/>
            </w14:solidFill>
          </w14:textFill>
        </w:rPr>
        <w:t>的信息安全保护等级不宜低于《信息安全技术网络安全等级保护定级指南》GB/T 22240规定的第三级，采用的安全技术措施应符合《计算机信息系统安全保护等级划分准则》GB 17859等国家网络安全等级保护的相关规定。</w:t>
      </w:r>
    </w:p>
    <w:p w14:paraId="4E704E39">
      <w:pPr>
        <w:spacing w:line="360" w:lineRule="auto"/>
        <w:ind w:firstLine="0" w:firstLineChars="0"/>
        <w:rPr>
          <w:rFonts w:eastAsia="宋体" w:cs="Times New Roman"/>
          <w:bCs/>
          <w:sz w:val="24"/>
          <w:szCs w:val="21"/>
        </w:rPr>
      </w:pPr>
      <w:r>
        <w:rPr>
          <w:rFonts w:cs="Times New Roman" w:eastAsiaTheme="minorEastAsia"/>
          <w:iCs/>
          <w:sz w:val="21"/>
          <w:szCs w:val="21"/>
        </w:rPr>
        <w:t xml:space="preserve">5.2.4 </w:t>
      </w:r>
      <w:r>
        <w:rPr>
          <w:rFonts w:eastAsia="宋体" w:cs="Times New Roman"/>
          <w:bCs/>
          <w:sz w:val="21"/>
          <w:szCs w:val="21"/>
        </w:rPr>
        <w:t>城市生命线工程监测平台侧应采用TCP/IP等标准协议进行通信，数据传输速率应不小于1Gbps，丢包率应低于1%。当由于网络波动或其他突发事件的影响时，全年数据丢失应低于0.5%。</w:t>
      </w:r>
    </w:p>
    <w:p w14:paraId="30DFD18B">
      <w:pPr>
        <w:spacing w:line="360" w:lineRule="auto"/>
        <w:ind w:firstLine="0" w:firstLineChars="0"/>
        <w:rPr>
          <w:rFonts w:eastAsia="宋体" w:cs="Times New Roman"/>
          <w:bCs/>
          <w:sz w:val="24"/>
          <w:szCs w:val="21"/>
        </w:rPr>
      </w:pPr>
      <w:r>
        <w:rPr>
          <w:rFonts w:cs="Times New Roman" w:eastAsiaTheme="minorEastAsia"/>
          <w:iCs/>
          <w:sz w:val="21"/>
          <w:szCs w:val="21"/>
        </w:rPr>
        <w:t xml:space="preserve">5.2.5 </w:t>
      </w:r>
      <w:r>
        <w:rPr>
          <w:rFonts w:eastAsia="宋体" w:cs="Times New Roman"/>
          <w:bCs/>
          <w:sz w:val="21"/>
          <w:szCs w:val="21"/>
        </w:rPr>
        <w:t>城市生命线工程监测传输数据格式尚应符合现行国家标准《智慧城市 数据融合》GB/T 36625</w:t>
      </w:r>
      <w:r>
        <w:rPr>
          <w:rFonts w:hint="eastAsia" w:eastAsia="宋体" w:cs="Times New Roman"/>
          <w:bCs/>
          <w:sz w:val="21"/>
          <w:szCs w:val="21"/>
        </w:rPr>
        <w:t>等</w:t>
      </w:r>
      <w:r>
        <w:rPr>
          <w:rFonts w:eastAsia="宋体" w:cs="Times New Roman"/>
          <w:bCs/>
          <w:sz w:val="21"/>
          <w:szCs w:val="21"/>
        </w:rPr>
        <w:t>的规定。</w:t>
      </w:r>
    </w:p>
    <w:p w14:paraId="1C9F0802">
      <w:pPr>
        <w:keepNext/>
        <w:keepLines/>
        <w:spacing w:line="360" w:lineRule="auto"/>
        <w:ind w:firstLine="0" w:firstLineChars="0"/>
        <w:jc w:val="center"/>
        <w:outlineLvl w:val="1"/>
        <w:rPr>
          <w:rFonts w:eastAsia="宋体" w:cs="Times New Roman"/>
          <w:b/>
          <w:bCs/>
          <w:sz w:val="28"/>
          <w:szCs w:val="28"/>
        </w:rPr>
      </w:pPr>
      <w:bookmarkStart w:id="83" w:name="_Toc12806"/>
      <w:bookmarkStart w:id="84" w:name="_Toc162779534"/>
      <w:bookmarkStart w:id="85" w:name="_Toc172221054"/>
      <w:bookmarkStart w:id="86" w:name="_Toc192799308"/>
      <w:r>
        <w:rPr>
          <w:rFonts w:eastAsia="宋体" w:cs="Times New Roman"/>
          <w:b/>
          <w:bCs/>
          <w:sz w:val="28"/>
          <w:szCs w:val="28"/>
        </w:rPr>
        <w:t xml:space="preserve">5.3  </w:t>
      </w:r>
      <w:bookmarkEnd w:id="83"/>
      <w:bookmarkEnd w:id="84"/>
      <w:bookmarkEnd w:id="85"/>
      <w:r>
        <w:rPr>
          <w:rFonts w:eastAsia="宋体" w:cs="Times New Roman"/>
          <w:b/>
          <w:bCs/>
          <w:sz w:val="28"/>
          <w:szCs w:val="28"/>
        </w:rPr>
        <w:t>线缆选择</w:t>
      </w:r>
      <w:bookmarkEnd w:id="86"/>
    </w:p>
    <w:p w14:paraId="4411E0FF">
      <w:pPr>
        <w:spacing w:line="360" w:lineRule="auto"/>
        <w:ind w:firstLine="0" w:firstLineChars="0"/>
        <w:rPr>
          <w:rFonts w:eastAsia="楷体" w:cs="Times New Roman"/>
          <w:bCs/>
          <w:sz w:val="21"/>
          <w:szCs w:val="21"/>
        </w:rPr>
      </w:pPr>
      <w:r>
        <w:rPr>
          <w:rFonts w:cs="Times New Roman" w:eastAsiaTheme="minorEastAsia"/>
          <w:iCs/>
          <w:sz w:val="21"/>
          <w:szCs w:val="21"/>
        </w:rPr>
        <w:t xml:space="preserve">5.3.1 </w:t>
      </w:r>
      <w:r>
        <w:rPr>
          <w:rFonts w:eastAsia="宋体" w:cs="Times New Roman"/>
          <w:bCs/>
          <w:sz w:val="21"/>
          <w:szCs w:val="21"/>
        </w:rPr>
        <w:t>城市生命线工程</w:t>
      </w:r>
      <w:r>
        <w:rPr>
          <w:rFonts w:hint="eastAsia" w:eastAsia="宋体" w:cs="Times New Roman"/>
          <w:bCs/>
          <w:sz w:val="21"/>
          <w:szCs w:val="21"/>
        </w:rPr>
        <w:t>监测设施</w:t>
      </w:r>
      <w:r>
        <w:rPr>
          <w:rFonts w:eastAsia="宋体" w:cs="Times New Roman"/>
          <w:bCs/>
          <w:sz w:val="21"/>
          <w:szCs w:val="21"/>
        </w:rPr>
        <w:t>信号传输线缆包括主干线缆、末端线缆和配接设施。</w:t>
      </w:r>
    </w:p>
    <w:p w14:paraId="0E8F7500">
      <w:pPr>
        <w:spacing w:line="360" w:lineRule="auto"/>
        <w:ind w:firstLine="0" w:firstLineChars="0"/>
        <w:rPr>
          <w:rFonts w:eastAsia="宋体" w:cs="Times New Roman"/>
          <w:bCs/>
          <w:sz w:val="21"/>
          <w:szCs w:val="21"/>
        </w:rPr>
      </w:pPr>
      <w:r>
        <w:rPr>
          <w:rFonts w:cs="Times New Roman" w:eastAsiaTheme="minorEastAsia"/>
          <w:iCs/>
          <w:sz w:val="21"/>
          <w:szCs w:val="21"/>
        </w:rPr>
        <w:t xml:space="preserve">5.3.2 </w:t>
      </w:r>
      <w:r>
        <w:rPr>
          <w:rFonts w:eastAsia="宋体" w:cs="Times New Roman"/>
          <w:bCs/>
          <w:sz w:val="21"/>
          <w:szCs w:val="21"/>
        </w:rPr>
        <w:t>城市生命线工程</w:t>
      </w:r>
      <w:r>
        <w:rPr>
          <w:rFonts w:hint="eastAsia" w:eastAsia="宋体" w:cs="Times New Roman"/>
          <w:bCs/>
          <w:sz w:val="21"/>
          <w:szCs w:val="21"/>
        </w:rPr>
        <w:t>监测设施</w:t>
      </w:r>
      <w:r>
        <w:rPr>
          <w:rFonts w:eastAsia="宋体" w:cs="Times New Roman"/>
          <w:bCs/>
          <w:sz w:val="21"/>
          <w:szCs w:val="21"/>
        </w:rPr>
        <w:t>信号传输主干线缆</w:t>
      </w:r>
      <w:r>
        <w:rPr>
          <w:rFonts w:eastAsia="宋体" w:cs="Times New Roman"/>
          <w:sz w:val="21"/>
          <w:szCs w:val="21"/>
        </w:rPr>
        <w:t>采用</w:t>
      </w:r>
      <w:r>
        <w:rPr>
          <w:rFonts w:hint="eastAsia" w:eastAsia="宋体" w:cs="Times New Roman"/>
          <w:sz w:val="21"/>
          <w:szCs w:val="21"/>
        </w:rPr>
        <w:t>专线光缆</w:t>
      </w:r>
      <w:r>
        <w:rPr>
          <w:rFonts w:eastAsia="宋体" w:cs="Times New Roman"/>
          <w:sz w:val="21"/>
          <w:szCs w:val="21"/>
        </w:rPr>
        <w:t>作为传输介质时，</w:t>
      </w:r>
      <w:r>
        <w:rPr>
          <w:rFonts w:eastAsia="宋体" w:cs="Times New Roman"/>
          <w:bCs/>
          <w:sz w:val="21"/>
          <w:szCs w:val="21"/>
        </w:rPr>
        <w:t>应符合以下规定：</w:t>
      </w:r>
    </w:p>
    <w:p w14:paraId="45694BCD">
      <w:pPr>
        <w:adjustRightInd w:val="0"/>
        <w:snapToGrid w:val="0"/>
        <w:spacing w:line="360" w:lineRule="auto"/>
        <w:ind w:firstLine="420"/>
        <w:jc w:val="left"/>
        <w:rPr>
          <w:rFonts w:eastAsia="宋体" w:cs="Times New Roman"/>
          <w:sz w:val="24"/>
          <w:szCs w:val="24"/>
        </w:rPr>
      </w:pPr>
      <w:r>
        <w:rPr>
          <w:rFonts w:cs="Times New Roman" w:eastAsiaTheme="minorEastAsia"/>
          <w:iCs/>
          <w:sz w:val="21"/>
          <w:szCs w:val="21"/>
        </w:rPr>
        <w:t xml:space="preserve">1 </w:t>
      </w:r>
      <w:r>
        <w:rPr>
          <w:rFonts w:eastAsia="宋体" w:cs="Times New Roman"/>
          <w:sz w:val="21"/>
          <w:szCs w:val="21"/>
        </w:rPr>
        <w:t>采用不低于G.652D单模光纤，技术指标应符合表</w:t>
      </w:r>
      <w:r>
        <w:rPr>
          <w:rFonts w:eastAsia="宋体" w:cs="Times New Roman"/>
          <w:iCs/>
          <w:color w:val="000000" w:themeColor="text1"/>
          <w:sz w:val="21"/>
          <w:szCs w:val="21"/>
          <w14:textFill>
            <w14:solidFill>
              <w14:schemeClr w14:val="tx1"/>
            </w14:solidFill>
          </w14:textFill>
        </w:rPr>
        <w:t>5.3.2</w:t>
      </w:r>
      <w:r>
        <w:rPr>
          <w:rFonts w:eastAsia="宋体" w:cs="Times New Roman"/>
          <w:sz w:val="21"/>
          <w:szCs w:val="21"/>
        </w:rPr>
        <w:t>的规定；</w:t>
      </w:r>
    </w:p>
    <w:p w14:paraId="55BFAFC9">
      <w:pPr>
        <w:adjustRightInd w:val="0"/>
        <w:snapToGrid w:val="0"/>
        <w:spacing w:line="360" w:lineRule="auto"/>
        <w:ind w:firstLine="42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2</w:t>
      </w:r>
      <w:r>
        <w:rPr>
          <w:rFonts w:eastAsia="宋体" w:cs="Times New Roman"/>
          <w:sz w:val="21"/>
          <w:szCs w:val="21"/>
        </w:rPr>
        <w:t xml:space="preserve"> 采用具有防潮层及聚乙烯外护层光缆，其燃烧性能等级应符合城市生命线建设工程的防火安全实际要求；</w:t>
      </w:r>
    </w:p>
    <w:p w14:paraId="676127A1">
      <w:pPr>
        <w:adjustRightInd w:val="0"/>
        <w:snapToGrid w:val="0"/>
        <w:spacing w:line="360" w:lineRule="auto"/>
        <w:ind w:firstLine="42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3</w:t>
      </w:r>
      <w:r>
        <w:rPr>
          <w:rFonts w:eastAsia="宋体" w:cs="Times New Roman"/>
          <w:sz w:val="21"/>
          <w:szCs w:val="21"/>
        </w:rPr>
        <w:t xml:space="preserve"> 当城市生命线监测信号线缆处于化工区、盐碱地区，应采用耐酸碱、防盐雾腐蚀线缆。</w:t>
      </w:r>
    </w:p>
    <w:p w14:paraId="7AFA1100">
      <w:pPr>
        <w:adjustRightInd w:val="0"/>
        <w:snapToGrid w:val="0"/>
        <w:spacing w:line="360" w:lineRule="auto"/>
        <w:ind w:firstLine="361"/>
        <w:jc w:val="center"/>
        <w:rPr>
          <w:rFonts w:eastAsia="宋体" w:cs="Times New Roman"/>
          <w:iCs/>
          <w:color w:val="000000" w:themeColor="text1"/>
          <w:sz w:val="21"/>
          <w:szCs w:val="21"/>
          <w14:textFill>
            <w14:solidFill>
              <w14:schemeClr w14:val="tx1"/>
            </w14:solidFill>
          </w14:textFill>
        </w:rPr>
      </w:pPr>
      <w:r>
        <w:rPr>
          <w:rFonts w:eastAsia="宋体" w:cs="Times New Roman"/>
          <w:b/>
          <w:bCs/>
          <w:iCs/>
          <w:color w:val="000000" w:themeColor="text1"/>
          <w:sz w:val="18"/>
          <w:szCs w:val="18"/>
          <w14:textFill>
            <w14:solidFill>
              <w14:schemeClr w14:val="tx1"/>
            </w14:solidFill>
          </w14:textFill>
        </w:rPr>
        <w:t>表5.3.2</w:t>
      </w:r>
      <w:r>
        <w:rPr>
          <w:rFonts w:hint="eastAsia" w:eastAsia="宋体" w:cs="Times New Roman"/>
          <w:b/>
          <w:bCs/>
          <w:iCs/>
          <w:color w:val="000000" w:themeColor="text1"/>
          <w:sz w:val="18"/>
          <w:szCs w:val="18"/>
          <w14:textFill>
            <w14:solidFill>
              <w14:schemeClr w14:val="tx1"/>
            </w14:solidFill>
          </w14:textFill>
        </w:rPr>
        <w:t>光缆</w:t>
      </w:r>
      <w:r>
        <w:rPr>
          <w:rFonts w:eastAsia="宋体" w:cs="Times New Roman"/>
          <w:b/>
          <w:bCs/>
          <w:iCs/>
          <w:color w:val="000000" w:themeColor="text1"/>
          <w:sz w:val="18"/>
          <w:szCs w:val="18"/>
          <w14:textFill>
            <w14:solidFill>
              <w14:schemeClr w14:val="tx1"/>
            </w14:solidFill>
          </w14:textFill>
        </w:rPr>
        <w:t>技术指标</w:t>
      </w:r>
    </w:p>
    <w:tbl>
      <w:tblPr>
        <w:tblStyle w:val="20"/>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2"/>
        <w:gridCol w:w="2097"/>
        <w:gridCol w:w="1860"/>
        <w:gridCol w:w="1861"/>
        <w:gridCol w:w="1479"/>
      </w:tblGrid>
      <w:tr w14:paraId="78F7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912" w:type="dxa"/>
            <w:vAlign w:val="center"/>
          </w:tcPr>
          <w:p w14:paraId="7FEDCA5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使用场合</w:t>
            </w:r>
          </w:p>
        </w:tc>
        <w:tc>
          <w:tcPr>
            <w:tcW w:w="2097" w:type="dxa"/>
            <w:vAlign w:val="center"/>
          </w:tcPr>
          <w:p w14:paraId="07B4A8E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光缆品类</w:t>
            </w:r>
          </w:p>
        </w:tc>
        <w:tc>
          <w:tcPr>
            <w:tcW w:w="1860" w:type="dxa"/>
            <w:vAlign w:val="center"/>
          </w:tcPr>
          <w:p w14:paraId="0D1A5ED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纤芯备份</w:t>
            </w:r>
          </w:p>
        </w:tc>
        <w:tc>
          <w:tcPr>
            <w:tcW w:w="1861" w:type="dxa"/>
            <w:vAlign w:val="center"/>
          </w:tcPr>
          <w:p w14:paraId="18B02ED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敷设方式</w:t>
            </w:r>
          </w:p>
        </w:tc>
        <w:tc>
          <w:tcPr>
            <w:tcW w:w="1479" w:type="dxa"/>
            <w:vAlign w:val="center"/>
          </w:tcPr>
          <w:p w14:paraId="2D26DBE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埋深（m）</w:t>
            </w:r>
          </w:p>
        </w:tc>
      </w:tr>
      <w:tr w14:paraId="44CA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912" w:type="dxa"/>
            <w:vAlign w:val="center"/>
          </w:tcPr>
          <w:p w14:paraId="13BA496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机房主干</w:t>
            </w:r>
          </w:p>
        </w:tc>
        <w:tc>
          <w:tcPr>
            <w:tcW w:w="2097" w:type="dxa"/>
            <w:vAlign w:val="center"/>
          </w:tcPr>
          <w:p w14:paraId="190FB9C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HYAT53/553/23</w:t>
            </w:r>
          </w:p>
        </w:tc>
        <w:tc>
          <w:tcPr>
            <w:tcW w:w="1860" w:type="dxa"/>
            <w:vAlign w:val="center"/>
          </w:tcPr>
          <w:p w14:paraId="536F2DB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≥50%</w:t>
            </w:r>
          </w:p>
        </w:tc>
        <w:tc>
          <w:tcPr>
            <w:tcW w:w="1861" w:type="dxa"/>
            <w:vAlign w:val="center"/>
          </w:tcPr>
          <w:p w14:paraId="0A0ACF2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穿管</w:t>
            </w:r>
          </w:p>
        </w:tc>
        <w:tc>
          <w:tcPr>
            <w:tcW w:w="1479" w:type="dxa"/>
            <w:vAlign w:val="center"/>
          </w:tcPr>
          <w:p w14:paraId="417639A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≥1.2</w:t>
            </w:r>
          </w:p>
        </w:tc>
      </w:tr>
      <w:tr w14:paraId="05095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vAlign w:val="center"/>
          </w:tcPr>
          <w:p w14:paraId="626A1C7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城区汇聚</w:t>
            </w:r>
          </w:p>
        </w:tc>
        <w:tc>
          <w:tcPr>
            <w:tcW w:w="2097" w:type="dxa"/>
            <w:vAlign w:val="center"/>
          </w:tcPr>
          <w:p w14:paraId="002AD29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HYAT53/553/23</w:t>
            </w:r>
          </w:p>
        </w:tc>
        <w:tc>
          <w:tcPr>
            <w:tcW w:w="1860" w:type="dxa"/>
            <w:vAlign w:val="center"/>
          </w:tcPr>
          <w:p w14:paraId="64B11A9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≥20%</w:t>
            </w:r>
          </w:p>
        </w:tc>
        <w:tc>
          <w:tcPr>
            <w:tcW w:w="1861" w:type="dxa"/>
            <w:vAlign w:val="center"/>
          </w:tcPr>
          <w:p w14:paraId="5819403B">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穿管/共管（与市政通信共管）/架空</w:t>
            </w:r>
          </w:p>
        </w:tc>
        <w:tc>
          <w:tcPr>
            <w:tcW w:w="1479" w:type="dxa"/>
            <w:vAlign w:val="center"/>
          </w:tcPr>
          <w:p w14:paraId="0B192F50">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≥1.0</w:t>
            </w:r>
          </w:p>
        </w:tc>
      </w:tr>
      <w:tr w14:paraId="2FF61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vAlign w:val="center"/>
          </w:tcPr>
          <w:p w14:paraId="2633983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前端监测</w:t>
            </w:r>
          </w:p>
        </w:tc>
        <w:tc>
          <w:tcPr>
            <w:tcW w:w="2097" w:type="dxa"/>
            <w:vAlign w:val="center"/>
          </w:tcPr>
          <w:p w14:paraId="6D34CAA7">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HYAT53/23/HYAC</w:t>
            </w:r>
          </w:p>
        </w:tc>
        <w:tc>
          <w:tcPr>
            <w:tcW w:w="1860" w:type="dxa"/>
            <w:vAlign w:val="center"/>
          </w:tcPr>
          <w:p w14:paraId="6FF3E78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按监测点位实际需求配比</w:t>
            </w:r>
          </w:p>
        </w:tc>
        <w:tc>
          <w:tcPr>
            <w:tcW w:w="1861" w:type="dxa"/>
            <w:vAlign w:val="center"/>
          </w:tcPr>
          <w:p w14:paraId="5DBBF405">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穿管/直埋/架空</w:t>
            </w:r>
          </w:p>
        </w:tc>
        <w:tc>
          <w:tcPr>
            <w:tcW w:w="1479" w:type="dxa"/>
            <w:vAlign w:val="center"/>
          </w:tcPr>
          <w:p w14:paraId="0599B5C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≥0.8</w:t>
            </w:r>
          </w:p>
        </w:tc>
      </w:tr>
    </w:tbl>
    <w:p w14:paraId="64A69440">
      <w:pPr>
        <w:adjustRightInd w:val="0"/>
        <w:snapToGrid w:val="0"/>
        <w:spacing w:line="360" w:lineRule="auto"/>
        <w:ind w:firstLine="480"/>
        <w:jc w:val="center"/>
        <w:rPr>
          <w:rFonts w:eastAsia="宋体" w:cs="Times New Roman"/>
          <w:sz w:val="24"/>
          <w:szCs w:val="24"/>
        </w:rPr>
      </w:pPr>
    </w:p>
    <w:p w14:paraId="7B8117CF">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5.3.3</w:t>
      </w:r>
      <w:r>
        <w:rPr>
          <w:rFonts w:eastAsia="宋体" w:cs="Times New Roman"/>
          <w:bCs/>
          <w:sz w:val="21"/>
          <w:szCs w:val="21"/>
        </w:rPr>
        <w:t xml:space="preserve"> 城市生命线工程监测信号传输末端线缆宜符合以下规定：</w:t>
      </w:r>
    </w:p>
    <w:p w14:paraId="36DE6B36">
      <w:pPr>
        <w:adjustRightInd w:val="0"/>
        <w:snapToGrid w:val="0"/>
        <w:spacing w:line="360" w:lineRule="auto"/>
        <w:ind w:firstLine="42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hint="eastAsia" w:eastAsia="宋体" w:cs="Times New Roman"/>
          <w:sz w:val="21"/>
          <w:szCs w:val="21"/>
        </w:rPr>
        <w:t>采用</w:t>
      </w:r>
      <w:r>
        <w:rPr>
          <w:rFonts w:eastAsia="宋体" w:cs="Times New Roman"/>
          <w:sz w:val="21"/>
          <w:szCs w:val="21"/>
        </w:rPr>
        <w:t>TCP/IP、EtherNet/IP等通信</w:t>
      </w:r>
      <w:r>
        <w:rPr>
          <w:rFonts w:hint="eastAsia" w:eastAsia="宋体" w:cs="Times New Roman"/>
          <w:sz w:val="21"/>
          <w:szCs w:val="21"/>
        </w:rPr>
        <w:t>协议时</w:t>
      </w:r>
      <w:r>
        <w:rPr>
          <w:rFonts w:eastAsia="宋体" w:cs="Times New Roman"/>
          <w:sz w:val="21"/>
          <w:szCs w:val="21"/>
        </w:rPr>
        <w:t>，优先采用Cat5e以上线缆，并支持PoE设备供电</w:t>
      </w:r>
      <w:r>
        <w:rPr>
          <w:rFonts w:hint="eastAsia" w:eastAsia="宋体" w:cs="Times New Roman"/>
          <w:sz w:val="21"/>
          <w:szCs w:val="21"/>
        </w:rPr>
        <w:t>方式</w:t>
      </w:r>
      <w:r>
        <w:rPr>
          <w:rFonts w:eastAsia="宋体" w:cs="Times New Roman"/>
          <w:sz w:val="21"/>
          <w:szCs w:val="21"/>
        </w:rPr>
        <w:t>；</w:t>
      </w:r>
    </w:p>
    <w:p w14:paraId="45993BBC">
      <w:pPr>
        <w:adjustRightInd w:val="0"/>
        <w:snapToGrid w:val="0"/>
        <w:spacing w:line="360" w:lineRule="auto"/>
        <w:ind w:firstLine="420" w:firstLineChars="0"/>
        <w:jc w:val="left"/>
        <w:rPr>
          <w:rFonts w:eastAsia="楷体" w:cs="Times New Roman"/>
          <w:sz w:val="21"/>
          <w:szCs w:val="21"/>
        </w:rPr>
      </w:pPr>
      <w:r>
        <w:rPr>
          <w:rFonts w:cs="Times New Roman" w:eastAsiaTheme="minorEastAsia"/>
          <w:iCs/>
          <w:sz w:val="21"/>
          <w:szCs w:val="21"/>
        </w:rPr>
        <w:t xml:space="preserve">2 </w:t>
      </w:r>
      <w:r>
        <w:rPr>
          <w:rFonts w:eastAsia="宋体" w:cs="Times New Roman"/>
          <w:sz w:val="21"/>
          <w:szCs w:val="21"/>
        </w:rPr>
        <w:t>对数据安全性和抗干扰性要求较高时，应采用光缆或屏蔽</w:t>
      </w:r>
      <w:r>
        <w:rPr>
          <w:rFonts w:hint="eastAsia" w:eastAsia="宋体" w:cs="Times New Roman"/>
          <w:sz w:val="21"/>
          <w:szCs w:val="21"/>
        </w:rPr>
        <w:t>对绞线缆</w:t>
      </w:r>
      <w:r>
        <w:rPr>
          <w:rFonts w:eastAsia="宋体" w:cs="Times New Roman"/>
          <w:sz w:val="21"/>
          <w:szCs w:val="21"/>
        </w:rPr>
        <w:t>；</w:t>
      </w:r>
    </w:p>
    <w:p w14:paraId="03D0B179">
      <w:pPr>
        <w:adjustRightInd w:val="0"/>
        <w:snapToGrid w:val="0"/>
        <w:spacing w:line="360" w:lineRule="auto"/>
        <w:ind w:firstLine="42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sz w:val="21"/>
          <w:szCs w:val="21"/>
        </w:rPr>
        <w:t>燃烧性能应符合现行国家标准《电缆及光缆燃烧性能分级》GB 31247的规定；</w:t>
      </w:r>
    </w:p>
    <w:p w14:paraId="77439E83">
      <w:pPr>
        <w:adjustRightInd w:val="0"/>
        <w:snapToGrid w:val="0"/>
        <w:spacing w:line="360" w:lineRule="auto"/>
        <w:ind w:firstLine="420"/>
        <w:jc w:val="left"/>
        <w:rPr>
          <w:rFonts w:eastAsia="宋体" w:cs="Times New Roman"/>
          <w:sz w:val="21"/>
          <w:szCs w:val="21"/>
        </w:rPr>
      </w:pPr>
      <w:r>
        <w:rPr>
          <w:rFonts w:cs="Times New Roman" w:eastAsiaTheme="minorEastAsia"/>
          <w:iCs/>
          <w:color w:val="000000" w:themeColor="text1"/>
          <w:sz w:val="21"/>
          <w:szCs w:val="21"/>
          <w14:textFill>
            <w14:solidFill>
              <w14:schemeClr w14:val="tx1"/>
            </w14:solidFill>
          </w14:textFill>
        </w:rPr>
        <w:t xml:space="preserve">4 </w:t>
      </w:r>
      <w:r>
        <w:rPr>
          <w:rFonts w:eastAsia="宋体" w:cs="Times New Roman"/>
          <w:sz w:val="21"/>
          <w:szCs w:val="21"/>
        </w:rPr>
        <w:t>末端线缆还应符合表</w:t>
      </w:r>
      <w:r>
        <w:rPr>
          <w:rFonts w:eastAsia="宋体" w:cs="Times New Roman"/>
          <w:iCs/>
          <w:color w:val="000000" w:themeColor="text1"/>
          <w:sz w:val="21"/>
          <w:szCs w:val="21"/>
          <w14:textFill>
            <w14:solidFill>
              <w14:schemeClr w14:val="tx1"/>
            </w14:solidFill>
          </w14:textFill>
        </w:rPr>
        <w:t>5.3.3</w:t>
      </w:r>
      <w:r>
        <w:rPr>
          <w:rFonts w:eastAsia="宋体" w:cs="Times New Roman"/>
          <w:sz w:val="21"/>
          <w:szCs w:val="21"/>
        </w:rPr>
        <w:t>的技术指标要求</w:t>
      </w:r>
      <w:r>
        <w:rPr>
          <w:rFonts w:hint="eastAsia" w:eastAsia="宋体" w:cs="Times New Roman"/>
          <w:sz w:val="21"/>
          <w:szCs w:val="21"/>
        </w:rPr>
        <w:t>。</w:t>
      </w:r>
    </w:p>
    <w:p w14:paraId="1ED949B0">
      <w:pPr>
        <w:adjustRightInd w:val="0"/>
        <w:snapToGrid w:val="0"/>
        <w:spacing w:line="360" w:lineRule="auto"/>
        <w:ind w:firstLine="361"/>
        <w:jc w:val="center"/>
        <w:rPr>
          <w:rFonts w:eastAsia="宋体" w:cs="Times New Roman"/>
          <w:sz w:val="18"/>
          <w:szCs w:val="18"/>
        </w:rPr>
      </w:pPr>
      <w:r>
        <w:rPr>
          <w:rFonts w:eastAsia="宋体" w:cs="Times New Roman"/>
          <w:b/>
          <w:bCs/>
          <w:iCs/>
          <w:color w:val="000000" w:themeColor="text1"/>
          <w:sz w:val="18"/>
          <w:szCs w:val="18"/>
          <w14:textFill>
            <w14:solidFill>
              <w14:schemeClr w14:val="tx1"/>
            </w14:solidFill>
          </w14:textFill>
        </w:rPr>
        <w:t>表5.3.3末端线缆技术指标</w:t>
      </w:r>
    </w:p>
    <w:tbl>
      <w:tblPr>
        <w:tblStyle w:val="20"/>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3543"/>
        <w:gridCol w:w="2268"/>
        <w:gridCol w:w="1418"/>
      </w:tblGrid>
      <w:tr w14:paraId="4D2E4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2122" w:type="dxa"/>
            <w:vAlign w:val="center"/>
          </w:tcPr>
          <w:p w14:paraId="2EA2BF2A">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使用场合</w:t>
            </w:r>
          </w:p>
        </w:tc>
        <w:tc>
          <w:tcPr>
            <w:tcW w:w="3543" w:type="dxa"/>
            <w:vAlign w:val="center"/>
          </w:tcPr>
          <w:p w14:paraId="46E58E44">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线缆品类</w:t>
            </w:r>
          </w:p>
        </w:tc>
        <w:tc>
          <w:tcPr>
            <w:tcW w:w="2268" w:type="dxa"/>
            <w:vAlign w:val="center"/>
          </w:tcPr>
          <w:p w14:paraId="0613FCEC">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防护层要求</w:t>
            </w:r>
          </w:p>
        </w:tc>
        <w:tc>
          <w:tcPr>
            <w:tcW w:w="1418" w:type="dxa"/>
            <w:vAlign w:val="center"/>
          </w:tcPr>
          <w:p w14:paraId="54BCE6C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敷设方式</w:t>
            </w:r>
          </w:p>
        </w:tc>
      </w:tr>
      <w:tr w14:paraId="7E84C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14:paraId="1EA930E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应变、温度、裂缝、拉线位移、倾角、静力水准仪传感器</w:t>
            </w:r>
          </w:p>
        </w:tc>
        <w:tc>
          <w:tcPr>
            <w:tcW w:w="3543" w:type="dxa"/>
            <w:vAlign w:val="center"/>
          </w:tcPr>
          <w:p w14:paraId="01414B67">
            <w:pPr>
              <w:spacing w:line="360" w:lineRule="auto"/>
              <w:ind w:firstLine="176" w:firstLineChars="98"/>
              <w:jc w:val="left"/>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1) 通信距离≥500m, 单模光纤；</w:t>
            </w:r>
          </w:p>
          <w:p w14:paraId="0DE8B735">
            <w:pPr>
              <w:spacing w:line="360" w:lineRule="auto"/>
              <w:ind w:firstLine="176" w:firstLineChars="98"/>
              <w:jc w:val="left"/>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2) 通信距离≥300m, RVVP 4*1.0；</w:t>
            </w:r>
          </w:p>
          <w:p w14:paraId="2351B7B4">
            <w:pPr>
              <w:spacing w:line="360" w:lineRule="auto"/>
              <w:ind w:firstLine="176" w:firstLineChars="98"/>
              <w:jc w:val="left"/>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3) 通信距离＜300m, RVVP 4*0.75</w:t>
            </w:r>
          </w:p>
        </w:tc>
        <w:tc>
          <w:tcPr>
            <w:tcW w:w="2268" w:type="dxa"/>
            <w:vAlign w:val="center"/>
          </w:tcPr>
          <w:p w14:paraId="301444E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镀锡铜网编制屏蔽≥80%密度低烟无卤电缆线</w:t>
            </w:r>
          </w:p>
        </w:tc>
        <w:tc>
          <w:tcPr>
            <w:tcW w:w="1418" w:type="dxa"/>
            <w:vAlign w:val="center"/>
          </w:tcPr>
          <w:p w14:paraId="2C22305D">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穿管</w:t>
            </w:r>
          </w:p>
        </w:tc>
      </w:tr>
      <w:tr w14:paraId="72772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14:paraId="6BDC0191">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加速度计传感器</w:t>
            </w:r>
          </w:p>
        </w:tc>
        <w:tc>
          <w:tcPr>
            <w:tcW w:w="3543" w:type="dxa"/>
            <w:vAlign w:val="center"/>
          </w:tcPr>
          <w:p w14:paraId="4FDFFFB7">
            <w:pPr>
              <w:spacing w:line="360" w:lineRule="auto"/>
              <w:ind w:firstLine="176" w:firstLineChars="98"/>
              <w:jc w:val="left"/>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1)</w:t>
            </w:r>
            <w:r>
              <w:rPr>
                <w:rFonts w:eastAsia="宋体" w:cs="Times New Roman"/>
                <w:iCs/>
                <w:color w:val="000000" w:themeColor="text1"/>
                <w:sz w:val="18"/>
                <w:szCs w:val="18"/>
                <w14:textFill>
                  <w14:solidFill>
                    <w14:schemeClr w14:val="tx1"/>
                  </w14:solidFill>
                </w14:textFill>
              </w:rPr>
              <w:tab/>
            </w:r>
            <w:r>
              <w:rPr>
                <w:rFonts w:eastAsia="宋体" w:cs="Times New Roman"/>
                <w:iCs/>
                <w:color w:val="000000" w:themeColor="text1"/>
                <w:sz w:val="18"/>
                <w:szCs w:val="18"/>
                <w14:textFill>
                  <w14:solidFill>
                    <w14:schemeClr w14:val="tx1"/>
                  </w14:solidFill>
                </w14:textFill>
              </w:rPr>
              <w:t>通信距离≥500m, 单模光纤；</w:t>
            </w:r>
          </w:p>
          <w:p w14:paraId="2CA9C8A0">
            <w:pPr>
              <w:spacing w:line="360" w:lineRule="auto"/>
              <w:ind w:firstLine="176" w:firstLineChars="98"/>
              <w:jc w:val="left"/>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2)</w:t>
            </w:r>
            <w:r>
              <w:rPr>
                <w:rFonts w:eastAsia="宋体" w:cs="Times New Roman"/>
                <w:iCs/>
                <w:color w:val="000000" w:themeColor="text1"/>
                <w:sz w:val="18"/>
                <w:szCs w:val="18"/>
                <w14:textFill>
                  <w14:solidFill>
                    <w14:schemeClr w14:val="tx1"/>
                  </w14:solidFill>
                </w14:textFill>
              </w:rPr>
              <w:tab/>
            </w:r>
            <w:r>
              <w:rPr>
                <w:rFonts w:eastAsia="宋体" w:cs="Times New Roman"/>
                <w:iCs/>
                <w:color w:val="000000" w:themeColor="text1"/>
                <w:sz w:val="18"/>
                <w:szCs w:val="18"/>
                <w14:textFill>
                  <w14:solidFill>
                    <w14:schemeClr w14:val="tx1"/>
                  </w14:solidFill>
                </w14:textFill>
              </w:rPr>
              <w:t>通信距离≥300m, RVVP 1*1.0；</w:t>
            </w:r>
          </w:p>
          <w:p w14:paraId="033413B0">
            <w:pPr>
              <w:spacing w:line="360" w:lineRule="auto"/>
              <w:ind w:firstLine="176" w:firstLineChars="98"/>
              <w:jc w:val="left"/>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3)</w:t>
            </w:r>
            <w:r>
              <w:rPr>
                <w:rFonts w:eastAsia="宋体" w:cs="Times New Roman"/>
                <w:iCs/>
                <w:color w:val="000000" w:themeColor="text1"/>
                <w:sz w:val="18"/>
                <w:szCs w:val="18"/>
                <w14:textFill>
                  <w14:solidFill>
                    <w14:schemeClr w14:val="tx1"/>
                  </w14:solidFill>
                </w14:textFill>
              </w:rPr>
              <w:tab/>
            </w:r>
            <w:r>
              <w:rPr>
                <w:rFonts w:eastAsia="宋体" w:cs="Times New Roman"/>
                <w:iCs/>
                <w:color w:val="000000" w:themeColor="text1"/>
                <w:sz w:val="18"/>
                <w:szCs w:val="18"/>
                <w14:textFill>
                  <w14:solidFill>
                    <w14:schemeClr w14:val="tx1"/>
                  </w14:solidFill>
                </w14:textFill>
              </w:rPr>
              <w:t>通信距离＜300m, RVVP 1*0.75</w:t>
            </w:r>
          </w:p>
        </w:tc>
        <w:tc>
          <w:tcPr>
            <w:tcW w:w="2268" w:type="dxa"/>
            <w:vAlign w:val="center"/>
          </w:tcPr>
          <w:p w14:paraId="2961F079">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镀锡铜网编制屏蔽≥80%密度低烟无卤电缆线</w:t>
            </w:r>
          </w:p>
        </w:tc>
        <w:tc>
          <w:tcPr>
            <w:tcW w:w="1418" w:type="dxa"/>
            <w:vAlign w:val="center"/>
          </w:tcPr>
          <w:p w14:paraId="1017A966">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穿管</w:t>
            </w:r>
          </w:p>
        </w:tc>
      </w:tr>
      <w:tr w14:paraId="073A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14:paraId="0DEA89A8">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TCP/IP网络通信</w:t>
            </w:r>
          </w:p>
        </w:tc>
        <w:tc>
          <w:tcPr>
            <w:tcW w:w="3543" w:type="dxa"/>
            <w:vAlign w:val="center"/>
          </w:tcPr>
          <w:p w14:paraId="527BC520">
            <w:pPr>
              <w:spacing w:line="360" w:lineRule="auto"/>
              <w:ind w:firstLine="176" w:firstLineChars="98"/>
              <w:jc w:val="left"/>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1) 通信距离≥100m, 单模光纤；</w:t>
            </w:r>
          </w:p>
          <w:p w14:paraId="54FFB7EE">
            <w:pPr>
              <w:spacing w:line="360" w:lineRule="auto"/>
              <w:ind w:firstLine="176" w:firstLineChars="98"/>
              <w:jc w:val="left"/>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2) 通信距离＜100m, Cat5e</w:t>
            </w:r>
          </w:p>
        </w:tc>
        <w:tc>
          <w:tcPr>
            <w:tcW w:w="2268" w:type="dxa"/>
            <w:vAlign w:val="center"/>
          </w:tcPr>
          <w:p w14:paraId="48E87BC2">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低烟无卤，按实际需求确定是否采用屏蔽线缆</w:t>
            </w:r>
          </w:p>
        </w:tc>
        <w:tc>
          <w:tcPr>
            <w:tcW w:w="1418" w:type="dxa"/>
            <w:vAlign w:val="center"/>
          </w:tcPr>
          <w:p w14:paraId="0DE9D9CF">
            <w:pPr>
              <w:spacing w:line="360" w:lineRule="auto"/>
              <w:ind w:firstLine="0" w:firstLineChars="0"/>
              <w:jc w:val="center"/>
              <w:rPr>
                <w:rFonts w:eastAsia="宋体" w:cs="Times New Roman"/>
                <w:iCs/>
                <w:color w:val="000000" w:themeColor="text1"/>
                <w:sz w:val="18"/>
                <w:szCs w:val="18"/>
                <w14:textFill>
                  <w14:solidFill>
                    <w14:schemeClr w14:val="tx1"/>
                  </w14:solidFill>
                </w14:textFill>
              </w:rPr>
            </w:pPr>
            <w:r>
              <w:rPr>
                <w:rFonts w:eastAsia="宋体" w:cs="Times New Roman"/>
                <w:iCs/>
                <w:color w:val="000000" w:themeColor="text1"/>
                <w:sz w:val="18"/>
                <w:szCs w:val="18"/>
                <w14:textFill>
                  <w14:solidFill>
                    <w14:schemeClr w14:val="tx1"/>
                  </w14:solidFill>
                </w14:textFill>
              </w:rPr>
              <w:t>穿管</w:t>
            </w:r>
          </w:p>
        </w:tc>
      </w:tr>
    </w:tbl>
    <w:p w14:paraId="588FCDFE">
      <w:pPr>
        <w:adjustRightInd w:val="0"/>
        <w:snapToGrid w:val="0"/>
        <w:spacing w:line="360" w:lineRule="auto"/>
        <w:ind w:firstLine="480"/>
        <w:jc w:val="left"/>
        <w:rPr>
          <w:rFonts w:eastAsia="宋体" w:cs="Times New Roman"/>
          <w:sz w:val="24"/>
          <w:szCs w:val="24"/>
        </w:rPr>
      </w:pPr>
    </w:p>
    <w:p w14:paraId="7DBA49FC">
      <w:pPr>
        <w:spacing w:line="360" w:lineRule="auto"/>
        <w:ind w:firstLine="0" w:firstLineChars="0"/>
        <w:rPr>
          <w:rFonts w:eastAsia="宋体" w:cs="Times New Roman"/>
          <w:bCs/>
          <w:sz w:val="24"/>
          <w:szCs w:val="24"/>
        </w:rPr>
      </w:pPr>
      <w:r>
        <w:rPr>
          <w:rFonts w:cs="Times New Roman" w:eastAsiaTheme="minorEastAsia"/>
          <w:iCs/>
          <w:color w:val="000000" w:themeColor="text1"/>
          <w:sz w:val="21"/>
          <w:szCs w:val="21"/>
          <w14:textFill>
            <w14:solidFill>
              <w14:schemeClr w14:val="tx1"/>
            </w14:solidFill>
          </w14:textFill>
        </w:rPr>
        <w:t xml:space="preserve">5.3.4 </w:t>
      </w:r>
      <w:r>
        <w:rPr>
          <w:rFonts w:eastAsia="宋体" w:cs="Times New Roman"/>
          <w:bCs/>
          <w:sz w:val="21"/>
          <w:szCs w:val="21"/>
        </w:rPr>
        <w:t>城市生命线工程监测信号传输线缆设计选择除符合本标准规定外，尚应符合现行国家标准《综合布线系统工程设计规范》GB 50311的规定。</w:t>
      </w:r>
    </w:p>
    <w:p w14:paraId="021AD45F">
      <w:pPr>
        <w:keepNext/>
        <w:keepLines/>
        <w:spacing w:line="360" w:lineRule="auto"/>
        <w:ind w:firstLine="0" w:firstLineChars="0"/>
        <w:jc w:val="center"/>
        <w:outlineLvl w:val="1"/>
        <w:rPr>
          <w:rFonts w:eastAsia="宋体" w:cs="Times New Roman"/>
          <w:b/>
          <w:bCs/>
          <w:sz w:val="28"/>
          <w:szCs w:val="28"/>
        </w:rPr>
      </w:pPr>
      <w:bookmarkStart w:id="87" w:name="_Toc172221055"/>
      <w:bookmarkStart w:id="88" w:name="_Toc162779535"/>
      <w:bookmarkStart w:id="89" w:name="_Toc7734"/>
      <w:bookmarkStart w:id="90" w:name="_Toc192799309"/>
      <w:r>
        <w:rPr>
          <w:rFonts w:eastAsia="宋体" w:cs="Times New Roman"/>
          <w:b/>
          <w:bCs/>
          <w:sz w:val="28"/>
          <w:szCs w:val="28"/>
        </w:rPr>
        <w:t xml:space="preserve">5.4  </w:t>
      </w:r>
      <w:bookmarkEnd w:id="87"/>
      <w:bookmarkEnd w:id="88"/>
      <w:bookmarkEnd w:id="89"/>
      <w:r>
        <w:rPr>
          <w:rFonts w:eastAsia="宋体" w:cs="Times New Roman"/>
          <w:b/>
          <w:bCs/>
          <w:sz w:val="28"/>
          <w:szCs w:val="28"/>
        </w:rPr>
        <w:t>通信网关</w:t>
      </w:r>
      <w:bookmarkEnd w:id="90"/>
    </w:p>
    <w:p w14:paraId="65CAF9B2">
      <w:pPr>
        <w:spacing w:line="360" w:lineRule="auto"/>
        <w:ind w:firstLine="0" w:firstLineChars="0"/>
        <w:rPr>
          <w:rFonts w:eastAsia="宋体" w:cs="Times New Roman"/>
          <w:bCs/>
          <w:sz w:val="21"/>
          <w:szCs w:val="21"/>
        </w:rPr>
      </w:pPr>
      <w:bookmarkStart w:id="91" w:name="OLE_LINK9"/>
      <w:bookmarkStart w:id="92" w:name="OLE_LINK8"/>
      <w:r>
        <w:rPr>
          <w:rFonts w:cs="Times New Roman" w:eastAsiaTheme="minorEastAsia"/>
          <w:iCs/>
          <w:color w:val="000000" w:themeColor="text1"/>
          <w:sz w:val="21"/>
          <w:szCs w:val="21"/>
          <w14:textFill>
            <w14:solidFill>
              <w14:schemeClr w14:val="tx1"/>
            </w14:solidFill>
          </w14:textFill>
        </w:rPr>
        <w:t>5.4.1</w:t>
      </w:r>
      <w:r>
        <w:rPr>
          <w:rFonts w:eastAsia="宋体" w:cs="Times New Roman"/>
          <w:bCs/>
          <w:sz w:val="21"/>
          <w:szCs w:val="21"/>
        </w:rPr>
        <w:t xml:space="preserve"> 城市生命线工程应根据监测对象类型、传感器类型、平台数据要求等需求选择相适应的通信网关。</w:t>
      </w:r>
    </w:p>
    <w:bookmarkEnd w:id="91"/>
    <w:bookmarkEnd w:id="92"/>
    <w:p w14:paraId="3CC87327">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5.4.2</w:t>
      </w:r>
      <w:r>
        <w:rPr>
          <w:rFonts w:eastAsia="宋体" w:cs="Times New Roman"/>
          <w:bCs/>
          <w:sz w:val="21"/>
          <w:szCs w:val="21"/>
        </w:rPr>
        <w:t xml:space="preserve"> 通信网关分为无线数据终端、集中式采集网关和智能网关，其适用范围宜符合表5.4.2的规定。</w:t>
      </w:r>
    </w:p>
    <w:p w14:paraId="2B175AD5">
      <w:pPr>
        <w:spacing w:line="360" w:lineRule="auto"/>
        <w:ind w:firstLine="0" w:firstLineChars="0"/>
        <w:rPr>
          <w:rFonts w:eastAsia="宋体" w:cs="Times New Roman"/>
          <w:bCs/>
          <w:sz w:val="21"/>
          <w:szCs w:val="21"/>
        </w:rPr>
      </w:pPr>
    </w:p>
    <w:p w14:paraId="19D7CA49">
      <w:pPr>
        <w:spacing w:line="360" w:lineRule="auto"/>
        <w:ind w:firstLine="0" w:firstLineChars="0"/>
        <w:rPr>
          <w:rFonts w:eastAsia="宋体" w:cs="Times New Roman"/>
          <w:bCs/>
          <w:sz w:val="21"/>
          <w:szCs w:val="21"/>
        </w:rPr>
      </w:pPr>
    </w:p>
    <w:p w14:paraId="715E499C">
      <w:pPr>
        <w:spacing w:line="360" w:lineRule="auto"/>
        <w:ind w:firstLine="0" w:firstLineChars="0"/>
        <w:rPr>
          <w:rFonts w:eastAsia="宋体" w:cs="Times New Roman"/>
          <w:bCs/>
          <w:sz w:val="21"/>
          <w:szCs w:val="21"/>
        </w:rPr>
      </w:pPr>
    </w:p>
    <w:p w14:paraId="6EAFE442">
      <w:pPr>
        <w:spacing w:line="360" w:lineRule="auto"/>
        <w:ind w:firstLine="0" w:firstLineChars="0"/>
        <w:jc w:val="center"/>
        <w:rPr>
          <w:rFonts w:eastAsia="宋体" w:cs="Times New Roman"/>
          <w:bCs/>
          <w:sz w:val="21"/>
          <w:szCs w:val="21"/>
        </w:rPr>
      </w:pPr>
      <w:r>
        <w:rPr>
          <w:rFonts w:eastAsia="宋体" w:cs="Times New Roman"/>
          <w:b/>
          <w:sz w:val="18"/>
          <w:szCs w:val="18"/>
        </w:rPr>
        <w:t>表5.4.2 通信网关类型及适用范围</w:t>
      </w:r>
    </w:p>
    <w:tbl>
      <w:tblPr>
        <w:tblStyle w:val="19"/>
        <w:tblW w:w="8924" w:type="dxa"/>
        <w:jc w:val="center"/>
        <w:tblLayout w:type="autofit"/>
        <w:tblCellMar>
          <w:top w:w="0" w:type="dxa"/>
          <w:left w:w="108" w:type="dxa"/>
          <w:bottom w:w="0" w:type="dxa"/>
          <w:right w:w="108" w:type="dxa"/>
        </w:tblCellMar>
      </w:tblPr>
      <w:tblGrid>
        <w:gridCol w:w="1271"/>
        <w:gridCol w:w="1417"/>
        <w:gridCol w:w="1560"/>
        <w:gridCol w:w="1559"/>
        <w:gridCol w:w="1275"/>
        <w:gridCol w:w="1842"/>
      </w:tblGrid>
      <w:tr w14:paraId="4EB158B1">
        <w:tblPrEx>
          <w:tblCellMar>
            <w:top w:w="0" w:type="dxa"/>
            <w:left w:w="108" w:type="dxa"/>
            <w:bottom w:w="0" w:type="dxa"/>
            <w:right w:w="108" w:type="dxa"/>
          </w:tblCellMar>
        </w:tblPrEx>
        <w:trPr>
          <w:trHeight w:val="540" w:hRule="atLeast"/>
          <w:jc w:val="center"/>
        </w:trPr>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14:paraId="044B1DD6">
            <w:pPr>
              <w:widowControl/>
              <w:ind w:firstLine="0" w:firstLineChars="0"/>
              <w:jc w:val="center"/>
              <w:rPr>
                <w:rFonts w:eastAsia="宋体" w:cs="Times New Roman"/>
                <w:bCs/>
                <w:color w:val="000000"/>
                <w:kern w:val="0"/>
                <w:sz w:val="18"/>
                <w:szCs w:val="18"/>
              </w:rPr>
            </w:pPr>
            <w:r>
              <w:rPr>
                <w:rFonts w:eastAsia="宋体" w:cs="Times New Roman"/>
                <w:bCs/>
                <w:color w:val="000000"/>
                <w:kern w:val="0"/>
                <w:sz w:val="18"/>
                <w:szCs w:val="18"/>
              </w:rPr>
              <w:t>网关类型</w:t>
            </w:r>
          </w:p>
        </w:tc>
        <w:tc>
          <w:tcPr>
            <w:tcW w:w="1417" w:type="dxa"/>
            <w:tcBorders>
              <w:top w:val="single" w:color="auto" w:sz="4" w:space="0"/>
              <w:left w:val="nil"/>
              <w:bottom w:val="single" w:color="auto" w:sz="4" w:space="0"/>
              <w:right w:val="single" w:color="auto" w:sz="4" w:space="0"/>
            </w:tcBorders>
            <w:shd w:val="clear" w:color="auto" w:fill="auto"/>
            <w:vAlign w:val="center"/>
          </w:tcPr>
          <w:p w14:paraId="667FB829">
            <w:pPr>
              <w:widowControl/>
              <w:ind w:firstLine="0" w:firstLineChars="0"/>
              <w:jc w:val="center"/>
              <w:rPr>
                <w:rFonts w:eastAsia="宋体" w:cs="Times New Roman"/>
                <w:bCs/>
                <w:color w:val="000000"/>
                <w:kern w:val="0"/>
                <w:sz w:val="18"/>
                <w:szCs w:val="18"/>
              </w:rPr>
            </w:pPr>
            <w:r>
              <w:rPr>
                <w:rFonts w:eastAsia="宋体" w:cs="Times New Roman"/>
                <w:bCs/>
                <w:color w:val="000000"/>
                <w:kern w:val="0"/>
                <w:sz w:val="18"/>
                <w:szCs w:val="18"/>
              </w:rPr>
              <w:t>主要功能</w:t>
            </w:r>
          </w:p>
        </w:tc>
        <w:tc>
          <w:tcPr>
            <w:tcW w:w="1560" w:type="dxa"/>
            <w:tcBorders>
              <w:top w:val="single" w:color="auto" w:sz="4" w:space="0"/>
              <w:left w:val="nil"/>
              <w:bottom w:val="single" w:color="auto" w:sz="4" w:space="0"/>
              <w:right w:val="single" w:color="auto" w:sz="4" w:space="0"/>
            </w:tcBorders>
            <w:shd w:val="clear" w:color="auto" w:fill="auto"/>
            <w:vAlign w:val="center"/>
          </w:tcPr>
          <w:p w14:paraId="4EF91EF5">
            <w:pPr>
              <w:widowControl/>
              <w:ind w:firstLine="0" w:firstLineChars="0"/>
              <w:jc w:val="center"/>
              <w:rPr>
                <w:rFonts w:eastAsia="宋体" w:cs="Times New Roman"/>
                <w:bCs/>
                <w:color w:val="000000"/>
                <w:kern w:val="0"/>
                <w:sz w:val="18"/>
                <w:szCs w:val="18"/>
              </w:rPr>
            </w:pPr>
            <w:r>
              <w:rPr>
                <w:rFonts w:eastAsia="宋体" w:cs="Times New Roman"/>
                <w:bCs/>
                <w:color w:val="000000"/>
                <w:kern w:val="0"/>
                <w:sz w:val="18"/>
                <w:szCs w:val="18"/>
              </w:rPr>
              <w:t>常规协议</w:t>
            </w:r>
          </w:p>
        </w:tc>
        <w:tc>
          <w:tcPr>
            <w:tcW w:w="1559" w:type="dxa"/>
            <w:tcBorders>
              <w:top w:val="single" w:color="auto" w:sz="4" w:space="0"/>
              <w:left w:val="nil"/>
              <w:bottom w:val="single" w:color="auto" w:sz="4" w:space="0"/>
              <w:right w:val="single" w:color="auto" w:sz="4" w:space="0"/>
            </w:tcBorders>
            <w:vAlign w:val="center"/>
          </w:tcPr>
          <w:p w14:paraId="534A2016">
            <w:pPr>
              <w:widowControl/>
              <w:ind w:firstLine="0" w:firstLineChars="0"/>
              <w:jc w:val="center"/>
              <w:rPr>
                <w:rFonts w:eastAsia="宋体" w:cs="Times New Roman"/>
                <w:bCs/>
                <w:color w:val="000000"/>
                <w:kern w:val="0"/>
                <w:sz w:val="18"/>
                <w:szCs w:val="18"/>
              </w:rPr>
            </w:pPr>
            <w:r>
              <w:rPr>
                <w:rFonts w:eastAsia="宋体" w:cs="Times New Roman"/>
                <w:bCs/>
                <w:color w:val="000000"/>
                <w:kern w:val="0"/>
                <w:sz w:val="18"/>
                <w:szCs w:val="18"/>
              </w:rPr>
              <w:t>常见接口</w:t>
            </w:r>
          </w:p>
        </w:tc>
        <w:tc>
          <w:tcPr>
            <w:tcW w:w="1275" w:type="dxa"/>
            <w:tcBorders>
              <w:top w:val="single" w:color="auto" w:sz="4" w:space="0"/>
              <w:left w:val="single" w:color="auto" w:sz="4" w:space="0"/>
              <w:bottom w:val="single" w:color="auto" w:sz="4" w:space="0"/>
              <w:right w:val="single" w:color="auto" w:sz="4" w:space="0"/>
            </w:tcBorders>
            <w:vAlign w:val="center"/>
          </w:tcPr>
          <w:p w14:paraId="484B419E">
            <w:pPr>
              <w:widowControl/>
              <w:ind w:firstLine="0" w:firstLineChars="0"/>
              <w:jc w:val="center"/>
              <w:rPr>
                <w:rFonts w:eastAsia="宋体" w:cs="Times New Roman"/>
                <w:bCs/>
                <w:color w:val="000000"/>
                <w:kern w:val="0"/>
                <w:sz w:val="18"/>
                <w:szCs w:val="18"/>
              </w:rPr>
            </w:pPr>
            <w:r>
              <w:rPr>
                <w:rFonts w:eastAsia="宋体" w:cs="Times New Roman"/>
                <w:bCs/>
                <w:color w:val="000000"/>
                <w:kern w:val="0"/>
                <w:sz w:val="18"/>
                <w:szCs w:val="18"/>
              </w:rPr>
              <w:t>运算资源</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6267FFD6">
            <w:pPr>
              <w:widowControl/>
              <w:ind w:firstLine="0" w:firstLineChars="0"/>
              <w:jc w:val="center"/>
              <w:rPr>
                <w:rFonts w:eastAsia="宋体" w:cs="Times New Roman"/>
                <w:bCs/>
                <w:color w:val="000000"/>
                <w:kern w:val="0"/>
                <w:sz w:val="18"/>
                <w:szCs w:val="18"/>
              </w:rPr>
            </w:pPr>
            <w:r>
              <w:rPr>
                <w:rFonts w:eastAsia="宋体" w:cs="Times New Roman"/>
                <w:bCs/>
                <w:color w:val="000000"/>
                <w:kern w:val="0"/>
                <w:sz w:val="18"/>
                <w:szCs w:val="18"/>
              </w:rPr>
              <w:t>适用范围</w:t>
            </w:r>
          </w:p>
        </w:tc>
      </w:tr>
      <w:tr w14:paraId="5E4E756B">
        <w:tblPrEx>
          <w:tblCellMar>
            <w:top w:w="0" w:type="dxa"/>
            <w:left w:w="108" w:type="dxa"/>
            <w:bottom w:w="0" w:type="dxa"/>
            <w:right w:w="108" w:type="dxa"/>
          </w:tblCellMar>
        </w:tblPrEx>
        <w:trPr>
          <w:trHeight w:val="1080" w:hRule="atLeast"/>
          <w:jc w:val="center"/>
        </w:trPr>
        <w:tc>
          <w:tcPr>
            <w:tcW w:w="1271" w:type="dxa"/>
            <w:tcBorders>
              <w:top w:val="nil"/>
              <w:left w:val="single" w:color="auto" w:sz="4" w:space="0"/>
              <w:bottom w:val="single" w:color="auto" w:sz="4" w:space="0"/>
              <w:right w:val="single" w:color="auto" w:sz="4" w:space="0"/>
            </w:tcBorders>
            <w:shd w:val="clear" w:color="auto" w:fill="auto"/>
            <w:vAlign w:val="center"/>
          </w:tcPr>
          <w:p w14:paraId="659AB1D7">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无线数据终端</w:t>
            </w:r>
          </w:p>
        </w:tc>
        <w:tc>
          <w:tcPr>
            <w:tcW w:w="1417" w:type="dxa"/>
            <w:tcBorders>
              <w:top w:val="nil"/>
              <w:left w:val="nil"/>
              <w:bottom w:val="single" w:color="auto" w:sz="4" w:space="0"/>
              <w:right w:val="single" w:color="auto" w:sz="4" w:space="0"/>
            </w:tcBorders>
            <w:shd w:val="clear" w:color="auto" w:fill="auto"/>
            <w:vAlign w:val="center"/>
          </w:tcPr>
          <w:p w14:paraId="2DB4BC26">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单监测点位的A/D转换、数据采集与无线传输</w:t>
            </w:r>
          </w:p>
        </w:tc>
        <w:tc>
          <w:tcPr>
            <w:tcW w:w="1560" w:type="dxa"/>
            <w:tcBorders>
              <w:top w:val="nil"/>
              <w:left w:val="nil"/>
              <w:bottom w:val="single" w:color="auto" w:sz="4" w:space="0"/>
              <w:right w:val="single" w:color="auto" w:sz="4" w:space="0"/>
            </w:tcBorders>
            <w:shd w:val="clear" w:color="auto" w:fill="auto"/>
            <w:vAlign w:val="center"/>
          </w:tcPr>
          <w:p w14:paraId="6349E629">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MQTT、HTTP、NB-IoT</w:t>
            </w:r>
            <w:r>
              <w:rPr>
                <w:rFonts w:hint="eastAsia" w:eastAsia="宋体" w:cs="Times New Roman"/>
                <w:color w:val="000000"/>
                <w:kern w:val="0"/>
                <w:sz w:val="18"/>
                <w:szCs w:val="18"/>
              </w:rPr>
              <w:t xml:space="preserve"> </w:t>
            </w:r>
          </w:p>
        </w:tc>
        <w:tc>
          <w:tcPr>
            <w:tcW w:w="1559" w:type="dxa"/>
            <w:tcBorders>
              <w:top w:val="single" w:color="auto" w:sz="4" w:space="0"/>
              <w:left w:val="nil"/>
              <w:bottom w:val="single" w:color="auto" w:sz="4" w:space="0"/>
              <w:right w:val="single" w:color="auto" w:sz="4" w:space="0"/>
            </w:tcBorders>
            <w:vAlign w:val="center"/>
          </w:tcPr>
          <w:p w14:paraId="7DB00400">
            <w:pPr>
              <w:widowControl/>
              <w:ind w:firstLine="0" w:firstLineChars="0"/>
              <w:jc w:val="center"/>
              <w:rPr>
                <w:rFonts w:eastAsia="宋体" w:cs="Times New Roman"/>
                <w:bCs/>
                <w:color w:val="000000"/>
                <w:kern w:val="0"/>
                <w:sz w:val="18"/>
                <w:szCs w:val="18"/>
              </w:rPr>
            </w:pPr>
            <w:r>
              <w:rPr>
                <w:rFonts w:eastAsia="宋体" w:cs="Times New Roman"/>
                <w:bCs/>
                <w:color w:val="000000"/>
                <w:kern w:val="0"/>
                <w:sz w:val="18"/>
                <w:szCs w:val="18"/>
              </w:rPr>
              <w:t>模拟量（压力差、流量等）、SIM卡槽（支持eSIM）</w:t>
            </w:r>
          </w:p>
        </w:tc>
        <w:tc>
          <w:tcPr>
            <w:tcW w:w="1275" w:type="dxa"/>
            <w:tcBorders>
              <w:top w:val="single" w:color="auto" w:sz="4" w:space="0"/>
              <w:left w:val="single" w:color="auto" w:sz="4" w:space="0"/>
              <w:bottom w:val="single" w:color="auto" w:sz="4" w:space="0"/>
              <w:right w:val="single" w:color="auto" w:sz="4" w:space="0"/>
            </w:tcBorders>
            <w:vAlign w:val="center"/>
          </w:tcPr>
          <w:p w14:paraId="1F8CCE74">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低功耗微控制器</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27F6BFEC">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点位密度≤100点，单点监测场景，如燃气、供水、排水、热力等监测</w:t>
            </w:r>
          </w:p>
        </w:tc>
      </w:tr>
      <w:tr w14:paraId="6F816589">
        <w:tblPrEx>
          <w:tblCellMar>
            <w:top w:w="0" w:type="dxa"/>
            <w:left w:w="108" w:type="dxa"/>
            <w:bottom w:w="0" w:type="dxa"/>
            <w:right w:w="108" w:type="dxa"/>
          </w:tblCellMar>
        </w:tblPrEx>
        <w:trPr>
          <w:trHeight w:val="1080" w:hRule="atLeast"/>
          <w:jc w:val="center"/>
        </w:trPr>
        <w:tc>
          <w:tcPr>
            <w:tcW w:w="1271" w:type="dxa"/>
            <w:tcBorders>
              <w:top w:val="nil"/>
              <w:left w:val="single" w:color="auto" w:sz="4" w:space="0"/>
              <w:bottom w:val="single" w:color="auto" w:sz="4" w:space="0"/>
              <w:right w:val="single" w:color="auto" w:sz="4" w:space="0"/>
            </w:tcBorders>
            <w:shd w:val="clear" w:color="auto" w:fill="auto"/>
            <w:vAlign w:val="center"/>
          </w:tcPr>
          <w:p w14:paraId="268C5008">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集中式采集网关</w:t>
            </w:r>
          </w:p>
        </w:tc>
        <w:tc>
          <w:tcPr>
            <w:tcW w:w="1417" w:type="dxa"/>
            <w:tcBorders>
              <w:top w:val="nil"/>
              <w:left w:val="nil"/>
              <w:bottom w:val="single" w:color="auto" w:sz="4" w:space="0"/>
              <w:right w:val="single" w:color="auto" w:sz="4" w:space="0"/>
            </w:tcBorders>
            <w:shd w:val="clear" w:color="auto" w:fill="auto"/>
            <w:vAlign w:val="center"/>
          </w:tcPr>
          <w:p w14:paraId="25CA5979">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多个监测点的A/D转换、数据采集与传输</w:t>
            </w:r>
          </w:p>
        </w:tc>
        <w:tc>
          <w:tcPr>
            <w:tcW w:w="1560" w:type="dxa"/>
            <w:tcBorders>
              <w:top w:val="nil"/>
              <w:left w:val="nil"/>
              <w:bottom w:val="single" w:color="auto" w:sz="4" w:space="0"/>
              <w:right w:val="single" w:color="auto" w:sz="4" w:space="0"/>
            </w:tcBorders>
            <w:shd w:val="clear" w:color="auto" w:fill="auto"/>
            <w:vAlign w:val="center"/>
          </w:tcPr>
          <w:p w14:paraId="52DA7CDA">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Modbus、BLE</w:t>
            </w:r>
          </w:p>
        </w:tc>
        <w:tc>
          <w:tcPr>
            <w:tcW w:w="1559" w:type="dxa"/>
            <w:tcBorders>
              <w:top w:val="single" w:color="auto" w:sz="4" w:space="0"/>
              <w:left w:val="nil"/>
              <w:bottom w:val="single" w:color="auto" w:sz="4" w:space="0"/>
              <w:right w:val="single" w:color="auto" w:sz="4" w:space="0"/>
            </w:tcBorders>
            <w:vAlign w:val="center"/>
          </w:tcPr>
          <w:p w14:paraId="47BCC355">
            <w:pPr>
              <w:widowControl/>
              <w:ind w:firstLine="0" w:firstLineChars="0"/>
              <w:jc w:val="center"/>
              <w:rPr>
                <w:rFonts w:eastAsia="宋体" w:cs="Times New Roman"/>
                <w:bCs/>
                <w:color w:val="000000"/>
                <w:kern w:val="0"/>
                <w:sz w:val="18"/>
                <w:szCs w:val="18"/>
              </w:rPr>
            </w:pPr>
            <w:r>
              <w:rPr>
                <w:rFonts w:eastAsia="宋体" w:cs="Times New Roman"/>
                <w:bCs/>
                <w:color w:val="000000"/>
                <w:kern w:val="0"/>
                <w:sz w:val="18"/>
                <w:szCs w:val="18"/>
              </w:rPr>
              <w:t>模拟量（压力差、流量等）、RS232、RS485、CAN、WAN口、LAN口</w:t>
            </w:r>
          </w:p>
        </w:tc>
        <w:tc>
          <w:tcPr>
            <w:tcW w:w="1275" w:type="dxa"/>
            <w:tcBorders>
              <w:top w:val="single" w:color="auto" w:sz="4" w:space="0"/>
              <w:left w:val="single" w:color="auto" w:sz="4" w:space="0"/>
              <w:bottom w:val="single" w:color="auto" w:sz="4" w:space="0"/>
              <w:right w:val="single" w:color="auto" w:sz="4" w:space="0"/>
            </w:tcBorders>
            <w:vAlign w:val="center"/>
          </w:tcPr>
          <w:p w14:paraId="441C84A0">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中低功耗微控制器或单片机</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466EA516">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点位密度≥100点，多点监测场景，如桥梁、综合管廊监测</w:t>
            </w:r>
          </w:p>
        </w:tc>
      </w:tr>
      <w:tr w14:paraId="1111296A">
        <w:tblPrEx>
          <w:tblCellMar>
            <w:top w:w="0" w:type="dxa"/>
            <w:left w:w="108" w:type="dxa"/>
            <w:bottom w:w="0" w:type="dxa"/>
            <w:right w:w="108" w:type="dxa"/>
          </w:tblCellMar>
        </w:tblPrEx>
        <w:trPr>
          <w:trHeight w:val="1350" w:hRule="atLeast"/>
          <w:jc w:val="center"/>
        </w:trPr>
        <w:tc>
          <w:tcPr>
            <w:tcW w:w="1271" w:type="dxa"/>
            <w:tcBorders>
              <w:top w:val="nil"/>
              <w:left w:val="single" w:color="auto" w:sz="4" w:space="0"/>
              <w:bottom w:val="single" w:color="auto" w:sz="4" w:space="0"/>
              <w:right w:val="single" w:color="auto" w:sz="4" w:space="0"/>
            </w:tcBorders>
            <w:shd w:val="clear" w:color="auto" w:fill="auto"/>
            <w:vAlign w:val="center"/>
          </w:tcPr>
          <w:p w14:paraId="163F0F3A">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智能网关</w:t>
            </w:r>
          </w:p>
        </w:tc>
        <w:tc>
          <w:tcPr>
            <w:tcW w:w="1417" w:type="dxa"/>
            <w:tcBorders>
              <w:top w:val="nil"/>
              <w:left w:val="nil"/>
              <w:bottom w:val="single" w:color="auto" w:sz="4" w:space="0"/>
              <w:right w:val="single" w:color="auto" w:sz="4" w:space="0"/>
            </w:tcBorders>
            <w:shd w:val="clear" w:color="auto" w:fill="auto"/>
            <w:vAlign w:val="center"/>
          </w:tcPr>
          <w:p w14:paraId="1EA21D5F">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多个监测点数据采集、协议转换、本地规则处理与报警、边缘计算</w:t>
            </w:r>
          </w:p>
        </w:tc>
        <w:tc>
          <w:tcPr>
            <w:tcW w:w="1560" w:type="dxa"/>
            <w:tcBorders>
              <w:top w:val="nil"/>
              <w:left w:val="nil"/>
              <w:bottom w:val="single" w:color="auto" w:sz="4" w:space="0"/>
              <w:right w:val="single" w:color="auto" w:sz="4" w:space="0"/>
            </w:tcBorders>
            <w:shd w:val="clear" w:color="auto" w:fill="auto"/>
            <w:vAlign w:val="center"/>
          </w:tcPr>
          <w:p w14:paraId="59519DE0">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MQTT、HTTP、Modbus</w:t>
            </w:r>
          </w:p>
        </w:tc>
        <w:tc>
          <w:tcPr>
            <w:tcW w:w="1559" w:type="dxa"/>
            <w:tcBorders>
              <w:top w:val="single" w:color="auto" w:sz="4" w:space="0"/>
              <w:left w:val="nil"/>
              <w:bottom w:val="single" w:color="auto" w:sz="4" w:space="0"/>
              <w:right w:val="single" w:color="auto" w:sz="4" w:space="0"/>
            </w:tcBorders>
            <w:vAlign w:val="center"/>
          </w:tcPr>
          <w:p w14:paraId="3B559FC2">
            <w:pPr>
              <w:widowControl/>
              <w:ind w:firstLine="0" w:firstLineChars="0"/>
              <w:jc w:val="center"/>
              <w:rPr>
                <w:rFonts w:eastAsia="宋体" w:cs="Times New Roman"/>
                <w:bCs/>
                <w:color w:val="000000"/>
                <w:kern w:val="0"/>
                <w:sz w:val="18"/>
                <w:szCs w:val="18"/>
              </w:rPr>
            </w:pPr>
            <w:r>
              <w:rPr>
                <w:rFonts w:eastAsia="宋体" w:cs="Times New Roman"/>
                <w:bCs/>
                <w:color w:val="000000"/>
                <w:kern w:val="0"/>
                <w:sz w:val="18"/>
                <w:szCs w:val="18"/>
              </w:rPr>
              <w:t>RS232、RS485、CAN、WAN口、LAN口、</w:t>
            </w:r>
          </w:p>
          <w:p w14:paraId="2A723ECB">
            <w:pPr>
              <w:widowControl/>
              <w:ind w:firstLine="0" w:firstLineChars="0"/>
              <w:jc w:val="center"/>
              <w:rPr>
                <w:rFonts w:eastAsia="宋体" w:cs="Times New Roman"/>
                <w:bCs/>
                <w:color w:val="000000"/>
                <w:kern w:val="0"/>
                <w:sz w:val="18"/>
                <w:szCs w:val="18"/>
              </w:rPr>
            </w:pPr>
            <w:r>
              <w:rPr>
                <w:rFonts w:eastAsia="宋体" w:cs="Times New Roman"/>
                <w:bCs/>
                <w:color w:val="000000"/>
                <w:kern w:val="0"/>
                <w:sz w:val="18"/>
                <w:szCs w:val="18"/>
              </w:rPr>
              <w:t>5G/4G天线和Wi-Fi天线</w:t>
            </w:r>
          </w:p>
        </w:tc>
        <w:tc>
          <w:tcPr>
            <w:tcW w:w="1275" w:type="dxa"/>
            <w:tcBorders>
              <w:top w:val="single" w:color="auto" w:sz="4" w:space="0"/>
              <w:left w:val="single" w:color="auto" w:sz="4" w:space="0"/>
              <w:bottom w:val="single" w:color="auto" w:sz="4" w:space="0"/>
              <w:right w:val="single" w:color="auto" w:sz="4" w:space="0"/>
            </w:tcBorders>
            <w:vAlign w:val="center"/>
          </w:tcPr>
          <w:p w14:paraId="0428D772">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低功耗嵌入式处理模块、其他架构处理器</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0F4E1942">
            <w:pPr>
              <w:widowControl/>
              <w:ind w:firstLine="0" w:firstLineChars="0"/>
              <w:jc w:val="left"/>
              <w:rPr>
                <w:rFonts w:eastAsia="宋体" w:cs="Times New Roman"/>
                <w:color w:val="000000"/>
                <w:kern w:val="0"/>
                <w:sz w:val="18"/>
                <w:szCs w:val="18"/>
              </w:rPr>
            </w:pPr>
            <w:r>
              <w:rPr>
                <w:rFonts w:eastAsia="宋体" w:cs="Times New Roman"/>
                <w:color w:val="000000"/>
                <w:kern w:val="0"/>
                <w:sz w:val="18"/>
                <w:szCs w:val="18"/>
              </w:rPr>
              <w:t>进行协议转换、多源异构数据的前端处理及储存的场景。如中小桥梁的重点病害监测</w:t>
            </w:r>
          </w:p>
        </w:tc>
      </w:tr>
    </w:tbl>
    <w:p w14:paraId="33F35ACC">
      <w:pPr>
        <w:spacing w:line="360" w:lineRule="auto"/>
        <w:ind w:firstLine="0" w:firstLineChars="0"/>
        <w:rPr>
          <w:rFonts w:cs="Times New Roman" w:eastAsiaTheme="minorEastAsia"/>
          <w:iCs/>
          <w:color w:val="000000" w:themeColor="text1"/>
          <w:sz w:val="21"/>
          <w:szCs w:val="21"/>
          <w14:textFill>
            <w14:solidFill>
              <w14:schemeClr w14:val="tx1"/>
            </w14:solidFill>
          </w14:textFill>
        </w:rPr>
      </w:pPr>
    </w:p>
    <w:p w14:paraId="3D5FBC63">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5.4.3</w:t>
      </w:r>
      <w:r>
        <w:rPr>
          <w:rFonts w:eastAsia="宋体" w:cs="Times New Roman"/>
          <w:bCs/>
          <w:sz w:val="21"/>
          <w:szCs w:val="21"/>
        </w:rPr>
        <w:t xml:space="preserve"> 前端监测点位分布密度低的场景宜采用传感器和无线通信模块合一的无线数据终端，无线数据终端宜采用电池供电，续航时间应不小于3年。</w:t>
      </w:r>
    </w:p>
    <w:p w14:paraId="2436BF91">
      <w:pPr>
        <w:spacing w:line="360" w:lineRule="auto"/>
        <w:ind w:firstLine="0" w:firstLineChars="0"/>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5.4.4 </w:t>
      </w:r>
      <w:r>
        <w:rPr>
          <w:rFonts w:eastAsia="宋体" w:cs="Times New Roman"/>
          <w:bCs/>
          <w:sz w:val="21"/>
          <w:szCs w:val="21"/>
        </w:rPr>
        <w:t>前端监测点位分布密度较高且需要进行模数转换的数据采集传输场景宜采用集中式采集网关。</w:t>
      </w:r>
    </w:p>
    <w:p w14:paraId="65DAA9B1">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5.4.5 </w:t>
      </w:r>
      <w:r>
        <w:rPr>
          <w:rFonts w:eastAsia="宋体" w:cs="Times New Roman"/>
          <w:bCs/>
          <w:sz w:val="21"/>
          <w:szCs w:val="21"/>
        </w:rPr>
        <w:t>智能网关宜支持接入TCP/IP、Modbus、EtherNet/IP等多种网络通信协议。</w:t>
      </w:r>
    </w:p>
    <w:p w14:paraId="48CCE59B">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5.4.6 </w:t>
      </w:r>
      <w:r>
        <w:rPr>
          <w:rFonts w:eastAsia="宋体" w:cs="Times New Roman"/>
          <w:bCs/>
          <w:sz w:val="21"/>
          <w:szCs w:val="21"/>
        </w:rPr>
        <w:t>智能网关宜支持接入MQTT、HTTP（S）、WebSocket等多种应用层协议。</w:t>
      </w:r>
    </w:p>
    <w:p w14:paraId="2252C13A">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5.4.7 </w:t>
      </w:r>
      <w:r>
        <w:rPr>
          <w:rFonts w:hint="eastAsia" w:eastAsia="宋体" w:cs="Times New Roman"/>
          <w:bCs/>
          <w:sz w:val="21"/>
          <w:szCs w:val="21"/>
        </w:rPr>
        <w:t>通信</w:t>
      </w:r>
      <w:r>
        <w:rPr>
          <w:rFonts w:eastAsia="宋体" w:cs="Times New Roman"/>
          <w:bCs/>
          <w:sz w:val="21"/>
          <w:szCs w:val="21"/>
        </w:rPr>
        <w:t>网关宜支持以下通信模式：</w:t>
      </w:r>
    </w:p>
    <w:p w14:paraId="673DB282">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1 </w:t>
      </w:r>
      <w:r>
        <w:rPr>
          <w:rFonts w:eastAsia="宋体" w:cs="Times New Roman"/>
          <w:bCs/>
          <w:sz w:val="21"/>
          <w:szCs w:val="21"/>
        </w:rPr>
        <w:t>直通模式：智能网关可以建立城市生命线前端监测传感器与公用电信网络（专线或移动通信网络）连接，并提供传感器接入通道；</w:t>
      </w:r>
    </w:p>
    <w:p w14:paraId="4048C69E">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2 </w:t>
      </w:r>
      <w:r>
        <w:rPr>
          <w:rFonts w:eastAsia="宋体" w:cs="Times New Roman"/>
          <w:bCs/>
          <w:sz w:val="21"/>
          <w:szCs w:val="21"/>
        </w:rPr>
        <w:t>转换模式：支持不同接口、不同协议的传感器和城市生命线监测平台通信，实现协议转换和数据格式统一；</w:t>
      </w:r>
    </w:p>
    <w:p w14:paraId="426C10EB">
      <w:pPr>
        <w:spacing w:line="360" w:lineRule="auto"/>
        <w:ind w:firstLine="42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3 </w:t>
      </w:r>
      <w:r>
        <w:rPr>
          <w:rFonts w:eastAsia="宋体" w:cs="Times New Roman"/>
          <w:bCs/>
          <w:sz w:val="21"/>
          <w:szCs w:val="21"/>
        </w:rPr>
        <w:t>自组网模式：前端监测传感器相互通信实现自组网功能。</w:t>
      </w:r>
    </w:p>
    <w:p w14:paraId="072A19E6">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5.4.8</w:t>
      </w:r>
      <w:r>
        <w:rPr>
          <w:rFonts w:eastAsia="宋体" w:cs="Times New Roman"/>
          <w:b/>
          <w:bCs/>
          <w:sz w:val="21"/>
          <w:szCs w:val="21"/>
        </w:rPr>
        <w:t xml:space="preserve"> </w:t>
      </w:r>
      <w:r>
        <w:rPr>
          <w:rFonts w:eastAsia="宋体" w:cs="Times New Roman"/>
          <w:bCs/>
          <w:sz w:val="21"/>
          <w:szCs w:val="21"/>
        </w:rPr>
        <w:t>智能网关应支持从多种城市生命线监测传感器采集数据和本地数据预处理的功能。</w:t>
      </w:r>
    </w:p>
    <w:p w14:paraId="4F905C80">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5.4.9</w:t>
      </w:r>
      <w:r>
        <w:rPr>
          <w:rFonts w:eastAsia="宋体" w:cs="Times New Roman"/>
          <w:b/>
          <w:bCs/>
          <w:sz w:val="21"/>
          <w:szCs w:val="21"/>
        </w:rPr>
        <w:t xml:space="preserve"> </w:t>
      </w:r>
      <w:r>
        <w:rPr>
          <w:rFonts w:hint="eastAsia" w:eastAsia="宋体" w:cs="Times New Roman"/>
          <w:bCs/>
          <w:sz w:val="21"/>
          <w:szCs w:val="21"/>
        </w:rPr>
        <w:t>智能</w:t>
      </w:r>
      <w:r>
        <w:rPr>
          <w:rFonts w:eastAsia="宋体" w:cs="Times New Roman"/>
          <w:bCs/>
          <w:sz w:val="21"/>
          <w:szCs w:val="21"/>
        </w:rPr>
        <w:t>网关应具有数据加密、访问控制和身份认证等安全通信功能。</w:t>
      </w:r>
    </w:p>
    <w:p w14:paraId="2DE1F8DF">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5.4.10 </w:t>
      </w:r>
      <w:r>
        <w:rPr>
          <w:rFonts w:eastAsia="宋体" w:cs="Times New Roman"/>
          <w:bCs/>
          <w:sz w:val="21"/>
          <w:szCs w:val="21"/>
        </w:rPr>
        <w:t>通信网关应具有断电自恢复的能力；安装在室外的通信网关，其自身或保护箱体的防护等级不应低于IP65。</w:t>
      </w:r>
    </w:p>
    <w:p w14:paraId="4FD1EDA8">
      <w:pPr>
        <w:spacing w:line="360" w:lineRule="auto"/>
        <w:ind w:firstLine="0" w:firstLineChars="0"/>
        <w:rPr>
          <w:rFonts w:eastAsia="宋体" w:cs="Times New Roman"/>
          <w:bCs/>
          <w:sz w:val="21"/>
          <w:szCs w:val="21"/>
        </w:rPr>
      </w:pPr>
      <w:bookmarkStart w:id="93" w:name="OLE_LINK7"/>
      <w:bookmarkStart w:id="94" w:name="OLE_LINK6"/>
      <w:r>
        <w:rPr>
          <w:rFonts w:cs="Times New Roman" w:eastAsiaTheme="minorEastAsia"/>
          <w:iCs/>
          <w:sz w:val="21"/>
          <w:szCs w:val="21"/>
        </w:rPr>
        <w:t xml:space="preserve">5.4.11 </w:t>
      </w:r>
      <w:r>
        <w:rPr>
          <w:rFonts w:hint="eastAsia" w:eastAsia="宋体" w:cs="Times New Roman"/>
          <w:bCs/>
          <w:sz w:val="21"/>
          <w:szCs w:val="21"/>
        </w:rPr>
        <w:t>智能</w:t>
      </w:r>
      <w:r>
        <w:rPr>
          <w:rFonts w:eastAsia="宋体" w:cs="Times New Roman"/>
          <w:bCs/>
          <w:sz w:val="21"/>
          <w:szCs w:val="21"/>
        </w:rPr>
        <w:t>网关应配置电涌保护器（SPD），其中信号SPD的阻抗、衰减、工作频段等电气性能应满足智能网关信号传输要求。</w:t>
      </w:r>
    </w:p>
    <w:bookmarkEnd w:id="93"/>
    <w:bookmarkEnd w:id="94"/>
    <w:p w14:paraId="258DA8EE">
      <w:pPr>
        <w:spacing w:line="360" w:lineRule="auto"/>
        <w:ind w:firstLine="0" w:firstLineChars="0"/>
        <w:rPr>
          <w:rFonts w:eastAsia="宋体" w:cs="Times New Roman"/>
          <w:iCs/>
          <w:sz w:val="21"/>
          <w:szCs w:val="21"/>
        </w:rPr>
      </w:pPr>
      <w:r>
        <w:rPr>
          <w:rFonts w:cs="Times New Roman" w:eastAsiaTheme="minorEastAsia"/>
          <w:iCs/>
          <w:sz w:val="21"/>
          <w:szCs w:val="21"/>
        </w:rPr>
        <w:t xml:space="preserve">5.4.12 </w:t>
      </w:r>
      <w:r>
        <w:rPr>
          <w:rFonts w:eastAsia="宋体" w:cs="Times New Roman"/>
          <w:iCs/>
          <w:sz w:val="21"/>
          <w:szCs w:val="21"/>
        </w:rPr>
        <w:t>通信网关应配置网络管理界面，</w:t>
      </w:r>
      <w:r>
        <w:rPr>
          <w:rFonts w:hint="eastAsia" w:eastAsia="宋体" w:cs="Times New Roman"/>
          <w:iCs/>
          <w:sz w:val="21"/>
          <w:szCs w:val="21"/>
        </w:rPr>
        <w:t>宜</w:t>
      </w:r>
      <w:r>
        <w:rPr>
          <w:rFonts w:eastAsia="宋体" w:cs="Times New Roman"/>
          <w:iCs/>
          <w:sz w:val="21"/>
          <w:szCs w:val="21"/>
        </w:rPr>
        <w:t>支持远程配置、监控、升级、日志记录等智能化运维功能。</w:t>
      </w:r>
    </w:p>
    <w:p w14:paraId="755C37EA">
      <w:pPr>
        <w:keepNext/>
        <w:keepLines/>
        <w:spacing w:line="360" w:lineRule="auto"/>
        <w:ind w:firstLine="0" w:firstLineChars="0"/>
        <w:jc w:val="center"/>
        <w:outlineLvl w:val="1"/>
        <w:rPr>
          <w:rFonts w:eastAsia="宋体" w:cs="Times New Roman"/>
          <w:b/>
          <w:bCs/>
          <w:sz w:val="28"/>
          <w:szCs w:val="28"/>
        </w:rPr>
      </w:pPr>
      <w:bookmarkStart w:id="95" w:name="_Toc192799310"/>
      <w:r>
        <w:rPr>
          <w:rFonts w:eastAsia="宋体" w:cs="Times New Roman"/>
          <w:b/>
          <w:bCs/>
          <w:sz w:val="28"/>
          <w:szCs w:val="28"/>
        </w:rPr>
        <w:t>5.5  智慧应用</w:t>
      </w:r>
      <w:bookmarkEnd w:id="95"/>
    </w:p>
    <w:p w14:paraId="37F3CFC8">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5.5.1</w:t>
      </w:r>
      <w:r>
        <w:rPr>
          <w:rFonts w:eastAsia="宋体" w:cs="Times New Roman"/>
          <w:bCs/>
          <w:sz w:val="21"/>
          <w:szCs w:val="21"/>
        </w:rPr>
        <w:t xml:space="preserve"> 城市生命线工程监测设施</w:t>
      </w:r>
      <w:r>
        <w:rPr>
          <w:rFonts w:hint="eastAsia" w:eastAsia="宋体" w:cs="Times New Roman"/>
          <w:bCs/>
          <w:sz w:val="21"/>
          <w:szCs w:val="21"/>
        </w:rPr>
        <w:t>宜</w:t>
      </w:r>
      <w:r>
        <w:rPr>
          <w:rFonts w:eastAsia="宋体" w:cs="Times New Roman"/>
          <w:bCs/>
          <w:sz w:val="21"/>
          <w:szCs w:val="21"/>
        </w:rPr>
        <w:t>配置实现对海量多源异构数据的前端处理及储存的边缘计算设施。</w:t>
      </w:r>
    </w:p>
    <w:p w14:paraId="6ABC78F5">
      <w:pPr>
        <w:spacing w:line="360" w:lineRule="auto"/>
        <w:ind w:firstLine="0" w:firstLineChars="0"/>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5.5.2 </w:t>
      </w:r>
      <w:r>
        <w:rPr>
          <w:rFonts w:eastAsia="宋体" w:cs="Times New Roman"/>
          <w:iCs/>
          <w:color w:val="000000" w:themeColor="text1"/>
          <w:sz w:val="21"/>
          <w:szCs w:val="21"/>
          <w14:textFill>
            <w14:solidFill>
              <w14:schemeClr w14:val="tx1"/>
            </w14:solidFill>
          </w14:textFill>
        </w:rPr>
        <w:t>边缘计算能力及其智慧应用宜部署于具有相应运算处理能力的智能网关，也可独立设置。</w:t>
      </w:r>
    </w:p>
    <w:p w14:paraId="437F29D9">
      <w:pPr>
        <w:spacing w:line="360" w:lineRule="auto"/>
        <w:ind w:firstLine="0" w:firstLineChars="0"/>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5.5.3 </w:t>
      </w:r>
      <w:r>
        <w:rPr>
          <w:rFonts w:eastAsia="宋体" w:cs="Times New Roman"/>
          <w:iCs/>
          <w:color w:val="000000" w:themeColor="text1"/>
          <w:sz w:val="21"/>
          <w:szCs w:val="21"/>
          <w14:textFill>
            <w14:solidFill>
              <w14:schemeClr w14:val="tx1"/>
            </w14:solidFill>
          </w14:textFill>
        </w:rPr>
        <w:t>边缘计算设施的数据清洗过虑、分析处理、传输控制及其智慧应用应接受上一级数据中台和应用平台统一管理。</w:t>
      </w:r>
    </w:p>
    <w:p w14:paraId="046AE05C">
      <w:pPr>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5.5.4</w:t>
      </w:r>
      <w:r>
        <w:rPr>
          <w:rFonts w:eastAsia="宋体" w:cs="Times New Roman"/>
          <w:bCs/>
          <w:sz w:val="21"/>
          <w:szCs w:val="21"/>
        </w:rPr>
        <w:t xml:space="preserve"> 边缘计算</w:t>
      </w:r>
      <w:r>
        <w:rPr>
          <w:rFonts w:eastAsia="宋体" w:cs="Times New Roman"/>
          <w:iCs/>
          <w:color w:val="000000" w:themeColor="text1"/>
          <w:sz w:val="21"/>
          <w:szCs w:val="21"/>
          <w14:textFill>
            <w14:solidFill>
              <w14:schemeClr w14:val="tx1"/>
            </w14:solidFill>
          </w14:textFill>
        </w:rPr>
        <w:t>设施</w:t>
      </w:r>
      <w:r>
        <w:rPr>
          <w:rFonts w:eastAsia="宋体" w:cs="Times New Roman"/>
          <w:bCs/>
          <w:sz w:val="21"/>
          <w:szCs w:val="21"/>
        </w:rPr>
        <w:t>应具有本地化数据处理、低延迟响应、多系统协同的主动防控功能，并应具有独立处理和完成能力。</w:t>
      </w:r>
    </w:p>
    <w:p w14:paraId="38EA68CC">
      <w:pPr>
        <w:spacing w:line="360" w:lineRule="auto"/>
        <w:ind w:firstLine="0" w:firstLineChars="0"/>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5.5.5 </w:t>
      </w:r>
      <w:r>
        <w:rPr>
          <w:rFonts w:eastAsia="宋体" w:cs="Times New Roman"/>
          <w:iCs/>
          <w:color w:val="000000" w:themeColor="text1"/>
          <w:sz w:val="21"/>
          <w:szCs w:val="21"/>
          <w14:textFill>
            <w14:solidFill>
              <w14:schemeClr w14:val="tx1"/>
            </w14:solidFill>
          </w14:textFill>
        </w:rPr>
        <w:t>燃气监测部署</w:t>
      </w:r>
      <w:r>
        <w:rPr>
          <w:rFonts w:hint="eastAsia" w:eastAsia="宋体" w:cs="Times New Roman"/>
          <w:iCs/>
          <w:color w:val="000000" w:themeColor="text1"/>
          <w:sz w:val="21"/>
          <w:szCs w:val="21"/>
          <w14:textFill>
            <w14:solidFill>
              <w14:schemeClr w14:val="tx1"/>
            </w14:solidFill>
          </w14:textFill>
        </w:rPr>
        <w:t>的</w:t>
      </w:r>
      <w:r>
        <w:rPr>
          <w:rFonts w:eastAsia="宋体" w:cs="Times New Roman"/>
          <w:iCs/>
          <w:color w:val="000000" w:themeColor="text1"/>
          <w:sz w:val="21"/>
          <w:szCs w:val="21"/>
          <w14:textFill>
            <w14:solidFill>
              <w14:schemeClr w14:val="tx1"/>
            </w14:solidFill>
          </w14:textFill>
        </w:rPr>
        <w:t>边缘计算设施，</w:t>
      </w:r>
      <w:r>
        <w:rPr>
          <w:rFonts w:hint="eastAsia" w:eastAsia="宋体" w:cs="Times New Roman"/>
          <w:iCs/>
          <w:color w:val="000000" w:themeColor="text1"/>
          <w:sz w:val="21"/>
          <w:szCs w:val="21"/>
          <w14:textFill>
            <w14:solidFill>
              <w14:schemeClr w14:val="tx1"/>
            </w14:solidFill>
          </w14:textFill>
        </w:rPr>
        <w:t>宜</w:t>
      </w:r>
      <w:r>
        <w:rPr>
          <w:rFonts w:eastAsia="宋体" w:cs="Times New Roman"/>
          <w:iCs/>
          <w:color w:val="000000" w:themeColor="text1"/>
          <w:sz w:val="21"/>
          <w:szCs w:val="21"/>
          <w14:textFill>
            <w14:solidFill>
              <w14:schemeClr w14:val="tx1"/>
            </w14:solidFill>
          </w14:textFill>
        </w:rPr>
        <w:t>实现以下智慧化应用功能：</w:t>
      </w:r>
    </w:p>
    <w:p w14:paraId="3C6DFB71">
      <w:pPr>
        <w:spacing w:line="360" w:lineRule="auto"/>
        <w:ind w:firstLine="420"/>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1 实时分析燃气管道压力、气体浓度等多维度传感器数据；</w:t>
      </w:r>
    </w:p>
    <w:p w14:paraId="4D6710C9">
      <w:pPr>
        <w:spacing w:line="360" w:lineRule="auto"/>
        <w:ind w:firstLine="420"/>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2 触发分级报警机制，实现秒级泄漏预警‌；</w:t>
      </w:r>
    </w:p>
    <w:p w14:paraId="6A86B1E0">
      <w:pPr>
        <w:spacing w:line="360" w:lineRule="auto"/>
        <w:ind w:firstLine="420"/>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3 燃气表故障的智能诊断与快速响应；</w:t>
      </w:r>
    </w:p>
    <w:p w14:paraId="03F76D8C">
      <w:pPr>
        <w:spacing w:line="360" w:lineRule="auto"/>
        <w:ind w:firstLine="420"/>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4 AI模型预测设备微小流量异常。</w:t>
      </w:r>
    </w:p>
    <w:p w14:paraId="74EB5F38">
      <w:pPr>
        <w:spacing w:line="360" w:lineRule="auto"/>
        <w:ind w:firstLine="0" w:firstLineChars="0"/>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5.5.6 </w:t>
      </w:r>
      <w:r>
        <w:rPr>
          <w:rFonts w:eastAsia="宋体" w:cs="Times New Roman"/>
          <w:iCs/>
          <w:color w:val="000000" w:themeColor="text1"/>
          <w:sz w:val="21"/>
          <w:szCs w:val="21"/>
          <w14:textFill>
            <w14:solidFill>
              <w14:schemeClr w14:val="tx1"/>
            </w14:solidFill>
          </w14:textFill>
        </w:rPr>
        <w:t>供排水、热力监测部署</w:t>
      </w:r>
      <w:r>
        <w:rPr>
          <w:rFonts w:hint="eastAsia" w:eastAsia="宋体" w:cs="Times New Roman"/>
          <w:iCs/>
          <w:color w:val="000000" w:themeColor="text1"/>
          <w:sz w:val="21"/>
          <w:szCs w:val="21"/>
          <w14:textFill>
            <w14:solidFill>
              <w14:schemeClr w14:val="tx1"/>
            </w14:solidFill>
          </w14:textFill>
        </w:rPr>
        <w:t>的</w:t>
      </w:r>
      <w:r>
        <w:rPr>
          <w:rFonts w:eastAsia="宋体" w:cs="Times New Roman"/>
          <w:iCs/>
          <w:color w:val="000000" w:themeColor="text1"/>
          <w:sz w:val="21"/>
          <w:szCs w:val="21"/>
          <w14:textFill>
            <w14:solidFill>
              <w14:schemeClr w14:val="tx1"/>
            </w14:solidFill>
          </w14:textFill>
        </w:rPr>
        <w:t>边缘计算设施，</w:t>
      </w:r>
      <w:r>
        <w:rPr>
          <w:rFonts w:hint="eastAsia" w:eastAsia="宋体" w:cs="Times New Roman"/>
          <w:iCs/>
          <w:color w:val="000000" w:themeColor="text1"/>
          <w:sz w:val="21"/>
          <w:szCs w:val="21"/>
          <w14:textFill>
            <w14:solidFill>
              <w14:schemeClr w14:val="tx1"/>
            </w14:solidFill>
          </w14:textFill>
        </w:rPr>
        <w:t>宜</w:t>
      </w:r>
      <w:r>
        <w:rPr>
          <w:rFonts w:eastAsia="宋体" w:cs="Times New Roman"/>
          <w:iCs/>
          <w:color w:val="000000" w:themeColor="text1"/>
          <w:sz w:val="21"/>
          <w:szCs w:val="21"/>
          <w14:textFill>
            <w14:solidFill>
              <w14:schemeClr w14:val="tx1"/>
            </w14:solidFill>
          </w14:textFill>
        </w:rPr>
        <w:t>实现以下智慧化应用功能：</w:t>
      </w:r>
    </w:p>
    <w:p w14:paraId="40270EED">
      <w:pPr>
        <w:spacing w:line="360" w:lineRule="auto"/>
        <w:ind w:firstLine="420"/>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1 本地完成供水、热力传感器数据的清洗与过滤，减少无效数据上传，降低云端分析压力提升主干网络带宽效率‌；</w:t>
      </w:r>
    </w:p>
    <w:p w14:paraId="292BB550">
      <w:pPr>
        <w:spacing w:line="360" w:lineRule="auto"/>
        <w:ind w:firstLine="420"/>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2 通过AI模型预测管道淤积规律，精准制定清淤计划。</w:t>
      </w:r>
    </w:p>
    <w:p w14:paraId="1A12C20A">
      <w:pPr>
        <w:spacing w:line="360" w:lineRule="auto"/>
        <w:ind w:firstLine="0" w:firstLineChars="0"/>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5.5.7 </w:t>
      </w:r>
      <w:r>
        <w:rPr>
          <w:rFonts w:eastAsia="宋体" w:cs="Times New Roman"/>
          <w:iCs/>
          <w:color w:val="000000" w:themeColor="text1"/>
          <w:sz w:val="21"/>
          <w:szCs w:val="21"/>
          <w14:textFill>
            <w14:solidFill>
              <w14:schemeClr w14:val="tx1"/>
            </w14:solidFill>
          </w14:textFill>
        </w:rPr>
        <w:t>桥梁监测部署</w:t>
      </w:r>
      <w:r>
        <w:rPr>
          <w:rFonts w:hint="eastAsia" w:eastAsia="宋体" w:cs="Times New Roman"/>
          <w:iCs/>
          <w:color w:val="000000" w:themeColor="text1"/>
          <w:sz w:val="21"/>
          <w:szCs w:val="21"/>
          <w14:textFill>
            <w14:solidFill>
              <w14:schemeClr w14:val="tx1"/>
            </w14:solidFill>
          </w14:textFill>
        </w:rPr>
        <w:t>的</w:t>
      </w:r>
      <w:r>
        <w:rPr>
          <w:rFonts w:eastAsia="宋体" w:cs="Times New Roman"/>
          <w:iCs/>
          <w:color w:val="000000" w:themeColor="text1"/>
          <w:sz w:val="21"/>
          <w:szCs w:val="21"/>
          <w14:textFill>
            <w14:solidFill>
              <w14:schemeClr w14:val="tx1"/>
            </w14:solidFill>
          </w14:textFill>
        </w:rPr>
        <w:t>边缘计算设施，宜实现以下智慧化应用功能：</w:t>
      </w:r>
    </w:p>
    <w:p w14:paraId="539145A0">
      <w:pPr>
        <w:spacing w:line="360" w:lineRule="auto"/>
        <w:ind w:firstLine="420"/>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1 通过温度剔除、噪声干扰剔除、长周期干扰剔除及傅立叶变换等数据清洗和处理，降低数据回传以及数据中台的计算负载；</w:t>
      </w:r>
    </w:p>
    <w:p w14:paraId="05705A09">
      <w:pPr>
        <w:spacing w:line="360" w:lineRule="auto"/>
        <w:ind w:firstLine="420"/>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2 通过AI病害识别模型，在前端即可实现各种桥梁病害及风险的识别。</w:t>
      </w:r>
    </w:p>
    <w:p w14:paraId="72929F8E">
      <w:pPr>
        <w:spacing w:line="360" w:lineRule="auto"/>
        <w:ind w:firstLine="0" w:firstLineChars="0"/>
        <w:rPr>
          <w:rFonts w:eastAsia="宋体" w:cs="Times New Roman"/>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t xml:space="preserve">5.5.8 </w:t>
      </w:r>
      <w:r>
        <w:rPr>
          <w:rFonts w:eastAsia="宋体" w:cs="Times New Roman"/>
          <w:iCs/>
          <w:color w:val="000000" w:themeColor="text1"/>
          <w:sz w:val="21"/>
          <w:szCs w:val="21"/>
          <w14:textFill>
            <w14:solidFill>
              <w14:schemeClr w14:val="tx1"/>
            </w14:solidFill>
          </w14:textFill>
        </w:rPr>
        <w:t>综合管廊监测部署</w:t>
      </w:r>
      <w:r>
        <w:rPr>
          <w:rFonts w:hint="eastAsia" w:eastAsia="宋体" w:cs="Times New Roman"/>
          <w:iCs/>
          <w:color w:val="000000" w:themeColor="text1"/>
          <w:sz w:val="21"/>
          <w:szCs w:val="21"/>
          <w14:textFill>
            <w14:solidFill>
              <w14:schemeClr w14:val="tx1"/>
            </w14:solidFill>
          </w14:textFill>
        </w:rPr>
        <w:t>的</w:t>
      </w:r>
      <w:r>
        <w:rPr>
          <w:rFonts w:eastAsia="宋体" w:cs="Times New Roman"/>
          <w:iCs/>
          <w:color w:val="000000" w:themeColor="text1"/>
          <w:sz w:val="21"/>
          <w:szCs w:val="21"/>
          <w14:textFill>
            <w14:solidFill>
              <w14:schemeClr w14:val="tx1"/>
            </w14:solidFill>
          </w14:textFill>
        </w:rPr>
        <w:t xml:space="preserve">边缘计算设施，宜实现以下智慧化应用功能： </w:t>
      </w:r>
    </w:p>
    <w:p w14:paraId="0F5D75B8">
      <w:pPr>
        <w:spacing w:line="360" w:lineRule="auto"/>
        <w:ind w:firstLine="420"/>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1 整合温湿度、气体浓度、水位等传感器数据，自动触发排水、通风、消防等设施，应对管廊内火灾、渗漏等突发事故‌；</w:t>
      </w:r>
    </w:p>
    <w:p w14:paraId="7E2FF9C6">
      <w:pPr>
        <w:spacing w:line="360" w:lineRule="auto"/>
        <w:ind w:firstLine="420"/>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 xml:space="preserve">2 </w:t>
      </w:r>
      <w:r>
        <w:rPr>
          <w:rFonts w:hint="eastAsia" w:eastAsia="宋体" w:cs="Times New Roman"/>
          <w:iCs/>
          <w:color w:val="000000" w:themeColor="text1"/>
          <w:sz w:val="21"/>
          <w:szCs w:val="21"/>
          <w14:textFill>
            <w14:solidFill>
              <w14:schemeClr w14:val="tx1"/>
            </w14:solidFill>
          </w14:textFill>
        </w:rPr>
        <w:t>通过边缘计算架构快速扩展新增管廊监测节点，调整运行控制策略，实现管廊智慧运维</w:t>
      </w:r>
      <w:r>
        <w:rPr>
          <w:rFonts w:ascii="MS Gothic" w:hAnsi="MS Gothic" w:eastAsia="宋体" w:cs="MS Gothic"/>
          <w:iCs/>
          <w:color w:val="000000" w:themeColor="text1"/>
          <w:sz w:val="21"/>
          <w:szCs w:val="21"/>
          <w14:textFill>
            <w14:solidFill>
              <w14:schemeClr w14:val="tx1"/>
            </w14:solidFill>
          </w14:textFill>
        </w:rPr>
        <w:t>‌</w:t>
      </w:r>
      <w:r>
        <w:rPr>
          <w:rFonts w:eastAsia="宋体" w:cs="Times New Roman"/>
          <w:iCs/>
          <w:color w:val="000000" w:themeColor="text1"/>
          <w:sz w:val="21"/>
          <w:szCs w:val="21"/>
          <w14:textFill>
            <w14:solidFill>
              <w14:schemeClr w14:val="tx1"/>
            </w14:solidFill>
          </w14:textFill>
        </w:rPr>
        <w:t>‌；</w:t>
      </w:r>
    </w:p>
    <w:p w14:paraId="358C3B36">
      <w:pPr>
        <w:spacing w:line="360" w:lineRule="auto"/>
        <w:ind w:firstLine="420"/>
        <w:rPr>
          <w:rFonts w:eastAsia="宋体" w:cs="Times New Roman"/>
          <w:iCs/>
          <w:color w:val="000000" w:themeColor="text1"/>
          <w:sz w:val="21"/>
          <w:szCs w:val="21"/>
          <w14:textFill>
            <w14:solidFill>
              <w14:schemeClr w14:val="tx1"/>
            </w14:solidFill>
          </w14:textFill>
        </w:rPr>
      </w:pPr>
      <w:r>
        <w:rPr>
          <w:rFonts w:eastAsia="宋体" w:cs="Times New Roman"/>
          <w:iCs/>
          <w:color w:val="000000" w:themeColor="text1"/>
          <w:sz w:val="21"/>
          <w:szCs w:val="21"/>
          <w14:textFill>
            <w14:solidFill>
              <w14:schemeClr w14:val="tx1"/>
            </w14:solidFill>
          </w14:textFill>
        </w:rPr>
        <w:t>3 实时监测供水、电力等管线运行状态，结合边缘计算分析压力、流量等参数，优化输送效率并预防爆管、漏电等事故‌。</w:t>
      </w:r>
    </w:p>
    <w:p w14:paraId="5BB7E3F0">
      <w:pPr>
        <w:spacing w:line="360" w:lineRule="auto"/>
        <w:ind w:firstLine="567" w:firstLineChars="270"/>
        <w:rPr>
          <w:rFonts w:eastAsia="宋体" w:cs="Times New Roman"/>
          <w:iCs/>
          <w:color w:val="000000" w:themeColor="text1"/>
          <w:sz w:val="21"/>
          <w:szCs w:val="21"/>
          <w14:textFill>
            <w14:solidFill>
              <w14:schemeClr w14:val="tx1"/>
            </w14:solidFill>
          </w14:textFill>
        </w:rPr>
      </w:pPr>
    </w:p>
    <w:p w14:paraId="3C7FB153">
      <w:pPr>
        <w:spacing w:line="360" w:lineRule="auto"/>
        <w:ind w:firstLine="567" w:firstLineChars="270"/>
        <w:rPr>
          <w:rFonts w:eastAsia="宋体" w:cs="Times New Roman"/>
          <w:iCs/>
          <w:color w:val="000000" w:themeColor="text1"/>
          <w:sz w:val="21"/>
          <w:szCs w:val="21"/>
          <w14:textFill>
            <w14:solidFill>
              <w14:schemeClr w14:val="tx1"/>
            </w14:solidFill>
          </w14:textFill>
        </w:rPr>
      </w:pPr>
    </w:p>
    <w:p w14:paraId="7E29B975">
      <w:pPr>
        <w:spacing w:line="360" w:lineRule="auto"/>
        <w:ind w:firstLine="567" w:firstLineChars="270"/>
        <w:rPr>
          <w:rFonts w:eastAsia="宋体" w:cs="Times New Roman"/>
          <w:iCs/>
          <w:color w:val="000000" w:themeColor="text1"/>
          <w:sz w:val="21"/>
          <w:szCs w:val="21"/>
          <w14:textFill>
            <w14:solidFill>
              <w14:schemeClr w14:val="tx1"/>
            </w14:solidFill>
          </w14:textFill>
        </w:rPr>
      </w:pPr>
    </w:p>
    <w:bookmarkEnd w:id="76"/>
    <w:bookmarkEnd w:id="77"/>
    <w:p w14:paraId="5F782626">
      <w:pPr>
        <w:widowControl/>
        <w:ind w:firstLine="0" w:firstLineChars="0"/>
        <w:jc w:val="left"/>
        <w:rPr>
          <w:rFonts w:eastAsia="宋体" w:cs="Times New Roman"/>
          <w:iCs/>
          <w:color w:val="000000" w:themeColor="text1"/>
          <w:sz w:val="21"/>
          <w:szCs w:val="21"/>
          <w14:textFill>
            <w14:solidFill>
              <w14:schemeClr w14:val="tx1"/>
            </w14:solidFill>
          </w14:textFill>
        </w:rPr>
      </w:pPr>
      <w:bookmarkStart w:id="96" w:name="_Toc172221056"/>
      <w:r>
        <w:rPr>
          <w:rFonts w:eastAsia="宋体" w:cs="Times New Roman"/>
          <w:bCs/>
          <w:iCs/>
          <w:color w:val="000000" w:themeColor="text1"/>
          <w:sz w:val="21"/>
          <w:szCs w:val="21"/>
          <w14:textFill>
            <w14:solidFill>
              <w14:schemeClr w14:val="tx1"/>
            </w14:solidFill>
          </w14:textFill>
        </w:rPr>
        <w:br w:type="page"/>
      </w:r>
    </w:p>
    <w:bookmarkEnd w:id="96"/>
    <w:p w14:paraId="13C1AC88">
      <w:pPr>
        <w:pStyle w:val="2"/>
        <w:spacing w:before="340" w:after="156" w:line="480" w:lineRule="auto"/>
        <w:jc w:val="center"/>
        <w:rPr>
          <w:rFonts w:cs="Times New Roman" w:eastAsiaTheme="minorEastAsia"/>
          <w:b/>
          <w:color w:val="000000" w:themeColor="text1"/>
          <w:sz w:val="30"/>
          <w:szCs w:val="30"/>
          <w14:textFill>
            <w14:solidFill>
              <w14:schemeClr w14:val="tx1"/>
            </w14:solidFill>
          </w14:textFill>
        </w:rPr>
      </w:pPr>
      <w:bookmarkStart w:id="97" w:name="_Toc172221061"/>
      <w:bookmarkStart w:id="98" w:name="_Toc192799311"/>
      <w:r>
        <w:rPr>
          <w:rFonts w:cs="Times New Roman" w:eastAsiaTheme="minorEastAsia"/>
          <w:b/>
          <w:color w:val="000000" w:themeColor="text1"/>
          <w:sz w:val="30"/>
          <w:szCs w:val="30"/>
          <w14:textFill>
            <w14:solidFill>
              <w14:schemeClr w14:val="tx1"/>
            </w14:solidFill>
          </w14:textFill>
        </w:rPr>
        <w:t xml:space="preserve">6  </w:t>
      </w:r>
      <w:bookmarkEnd w:id="97"/>
      <w:r>
        <w:rPr>
          <w:rFonts w:hint="eastAsia" w:ascii="宋体" w:hAnsi="宋体" w:eastAsia="宋体" w:cs="宋体"/>
          <w:b/>
          <w:color w:val="000000" w:themeColor="text1"/>
          <w:sz w:val="30"/>
          <w:szCs w:val="30"/>
          <w14:textFill>
            <w14:solidFill>
              <w14:schemeClr w14:val="tx1"/>
            </w14:solidFill>
          </w14:textFill>
        </w:rPr>
        <w:t>监测中心及其他设施</w:t>
      </w:r>
      <w:bookmarkEnd w:id="98"/>
    </w:p>
    <w:p w14:paraId="400D5905">
      <w:pPr>
        <w:keepNext/>
        <w:keepLines/>
        <w:spacing w:line="360" w:lineRule="auto"/>
        <w:ind w:firstLine="0" w:firstLineChars="0"/>
        <w:jc w:val="center"/>
        <w:outlineLvl w:val="1"/>
        <w:rPr>
          <w:rFonts w:eastAsia="宋体" w:cs="Times New Roman"/>
          <w:b/>
          <w:bCs/>
          <w:sz w:val="28"/>
          <w:szCs w:val="28"/>
        </w:rPr>
      </w:pPr>
      <w:bookmarkStart w:id="99" w:name="_Toc192799312"/>
      <w:r>
        <w:rPr>
          <w:rFonts w:eastAsia="宋体" w:cs="Times New Roman"/>
          <w:b/>
          <w:bCs/>
          <w:sz w:val="28"/>
          <w:szCs w:val="28"/>
        </w:rPr>
        <w:t xml:space="preserve">6.1  </w:t>
      </w:r>
      <w:r>
        <w:rPr>
          <w:rFonts w:hint="eastAsia" w:eastAsia="宋体" w:cs="Times New Roman"/>
          <w:b/>
          <w:bCs/>
          <w:sz w:val="28"/>
          <w:szCs w:val="28"/>
        </w:rPr>
        <w:t>一般规定</w:t>
      </w:r>
      <w:bookmarkEnd w:id="99"/>
    </w:p>
    <w:p w14:paraId="3A5578DC">
      <w:pPr>
        <w:spacing w:line="360" w:lineRule="auto"/>
        <w:ind w:firstLine="0" w:firstLineChars="0"/>
        <w:rPr>
          <w:rFonts w:eastAsia="宋体" w:cs="Times New Roman"/>
          <w:bCs/>
          <w:iCs/>
          <w:sz w:val="21"/>
          <w:szCs w:val="21"/>
        </w:rPr>
      </w:pPr>
      <w:r>
        <w:rPr>
          <w:rFonts w:eastAsia="宋体" w:cs="Times New Roman"/>
          <w:bCs/>
          <w:iCs/>
          <w:sz w:val="21"/>
          <w:szCs w:val="21"/>
        </w:rPr>
        <w:t>6.1.1</w:t>
      </w:r>
      <w:r>
        <w:rPr>
          <w:rFonts w:hint="eastAsia" w:eastAsia="宋体" w:cs="Times New Roman"/>
          <w:bCs/>
          <w:iCs/>
          <w:sz w:val="21"/>
          <w:szCs w:val="21"/>
        </w:rPr>
        <w:t xml:space="preserve"> </w:t>
      </w:r>
      <w:r>
        <w:rPr>
          <w:rFonts w:eastAsia="宋体" w:cs="Times New Roman"/>
          <w:bCs/>
          <w:iCs/>
          <w:sz w:val="21"/>
          <w:szCs w:val="21"/>
        </w:rPr>
        <w:t>城市生命线工程的监测管理平台应分为省、市、县三级，三级平台应</w:t>
      </w:r>
      <w:r>
        <w:rPr>
          <w:rFonts w:hint="eastAsia" w:eastAsia="宋体" w:cs="Times New Roman"/>
          <w:bCs/>
          <w:iCs/>
          <w:sz w:val="21"/>
          <w:szCs w:val="21"/>
        </w:rPr>
        <w:t>通过专网或云服务实现</w:t>
      </w:r>
      <w:r>
        <w:rPr>
          <w:rFonts w:eastAsia="宋体" w:cs="Times New Roman"/>
          <w:bCs/>
          <w:iCs/>
          <w:sz w:val="21"/>
          <w:szCs w:val="21"/>
        </w:rPr>
        <w:t>互联互通、数据共享、业务协同。</w:t>
      </w:r>
    </w:p>
    <w:p w14:paraId="0CF9A0E7">
      <w:pPr>
        <w:spacing w:line="360" w:lineRule="auto"/>
        <w:ind w:firstLine="0" w:firstLineChars="0"/>
        <w:rPr>
          <w:rFonts w:eastAsia="宋体" w:cs="Times New Roman"/>
          <w:bCs/>
          <w:iCs/>
          <w:sz w:val="21"/>
          <w:szCs w:val="21"/>
        </w:rPr>
      </w:pPr>
      <w:r>
        <w:rPr>
          <w:rFonts w:eastAsia="宋体" w:cs="Times New Roman"/>
          <w:bCs/>
          <w:iCs/>
          <w:sz w:val="21"/>
          <w:szCs w:val="21"/>
        </w:rPr>
        <w:t>6.1.2</w:t>
      </w:r>
      <w:r>
        <w:rPr>
          <w:rFonts w:hint="eastAsia" w:eastAsia="宋体" w:cs="Times New Roman"/>
          <w:bCs/>
          <w:iCs/>
          <w:sz w:val="21"/>
          <w:szCs w:val="21"/>
        </w:rPr>
        <w:t xml:space="preserve"> </w:t>
      </w:r>
      <w:r>
        <w:rPr>
          <w:rFonts w:eastAsia="宋体" w:cs="Times New Roman"/>
          <w:bCs/>
          <w:iCs/>
          <w:sz w:val="21"/>
          <w:szCs w:val="21"/>
        </w:rPr>
        <w:t>城市生命线监测中心</w:t>
      </w:r>
      <w:r>
        <w:rPr>
          <w:rFonts w:hint="eastAsia" w:eastAsia="宋体" w:cs="Times New Roman"/>
          <w:bCs/>
          <w:iCs/>
          <w:sz w:val="21"/>
          <w:szCs w:val="21"/>
        </w:rPr>
        <w:t>和</w:t>
      </w:r>
      <w:r>
        <w:rPr>
          <w:rFonts w:eastAsia="宋体" w:cs="Times New Roman"/>
          <w:bCs/>
          <w:iCs/>
          <w:sz w:val="21"/>
          <w:szCs w:val="21"/>
        </w:rPr>
        <w:t>前端设备间</w:t>
      </w:r>
      <w:r>
        <w:rPr>
          <w:rFonts w:hint="eastAsia" w:eastAsia="宋体" w:cs="Times New Roman"/>
          <w:bCs/>
          <w:iCs/>
          <w:sz w:val="21"/>
          <w:szCs w:val="21"/>
        </w:rPr>
        <w:t>等</w:t>
      </w:r>
      <w:r>
        <w:rPr>
          <w:rFonts w:eastAsia="宋体" w:cs="Times New Roman"/>
          <w:bCs/>
          <w:iCs/>
          <w:sz w:val="21"/>
          <w:szCs w:val="21"/>
        </w:rPr>
        <w:t>其他设施的设置应满足系统正常运行和用户使用管理要求，前端设备间、监测中心的面积应留有发展空间。</w:t>
      </w:r>
    </w:p>
    <w:p w14:paraId="2AAE79A8">
      <w:pPr>
        <w:spacing w:line="360" w:lineRule="auto"/>
        <w:ind w:firstLine="0" w:firstLineChars="0"/>
        <w:rPr>
          <w:rFonts w:eastAsia="宋体" w:cs="Times New Roman"/>
          <w:bCs/>
          <w:sz w:val="21"/>
          <w:szCs w:val="21"/>
        </w:rPr>
      </w:pPr>
      <w:r>
        <w:rPr>
          <w:rFonts w:eastAsia="宋体" w:cs="Times New Roman"/>
          <w:bCs/>
          <w:iCs/>
          <w:sz w:val="21"/>
          <w:szCs w:val="21"/>
        </w:rPr>
        <w:t>6.1.3</w:t>
      </w:r>
      <w:r>
        <w:rPr>
          <w:rFonts w:hint="eastAsia" w:eastAsia="宋体" w:cs="Times New Roman"/>
          <w:bCs/>
          <w:iCs/>
          <w:sz w:val="21"/>
          <w:szCs w:val="21"/>
        </w:rPr>
        <w:t xml:space="preserve"> </w:t>
      </w:r>
      <w:r>
        <w:rPr>
          <w:rFonts w:eastAsia="宋体" w:cs="Times New Roman"/>
          <w:bCs/>
          <w:iCs/>
          <w:sz w:val="21"/>
          <w:szCs w:val="21"/>
        </w:rPr>
        <w:t>城市生命线监测中心</w:t>
      </w:r>
      <w:r>
        <w:rPr>
          <w:rFonts w:hint="eastAsia" w:eastAsia="宋体" w:cs="Times New Roman"/>
          <w:bCs/>
          <w:iCs/>
          <w:sz w:val="21"/>
          <w:szCs w:val="21"/>
        </w:rPr>
        <w:t>和</w:t>
      </w:r>
      <w:r>
        <w:rPr>
          <w:rFonts w:eastAsia="宋体" w:cs="Times New Roman"/>
          <w:bCs/>
          <w:iCs/>
          <w:sz w:val="21"/>
          <w:szCs w:val="21"/>
        </w:rPr>
        <w:t>前端设备间</w:t>
      </w:r>
      <w:r>
        <w:rPr>
          <w:rFonts w:hint="eastAsia" w:eastAsia="宋体" w:cs="Times New Roman"/>
          <w:bCs/>
          <w:iCs/>
          <w:sz w:val="21"/>
          <w:szCs w:val="21"/>
        </w:rPr>
        <w:t>等</w:t>
      </w:r>
      <w:r>
        <w:rPr>
          <w:rFonts w:eastAsia="宋体" w:cs="Times New Roman"/>
          <w:bCs/>
          <w:iCs/>
          <w:sz w:val="21"/>
          <w:szCs w:val="21"/>
        </w:rPr>
        <w:t>其他设施的设置应符合现行国家标准《建筑电气与智能化通用规范》GB</w:t>
      </w:r>
      <w:r>
        <w:rPr>
          <w:rFonts w:hint="eastAsia" w:eastAsia="宋体" w:cs="Times New Roman"/>
          <w:bCs/>
          <w:iCs/>
          <w:sz w:val="21"/>
          <w:szCs w:val="21"/>
        </w:rPr>
        <w:t xml:space="preserve"> </w:t>
      </w:r>
      <w:r>
        <w:rPr>
          <w:rFonts w:eastAsia="宋体" w:cs="Times New Roman"/>
          <w:bCs/>
          <w:iCs/>
          <w:sz w:val="21"/>
          <w:szCs w:val="21"/>
        </w:rPr>
        <w:t>55024、《民用建筑电气设计标准》GB</w:t>
      </w:r>
      <w:r>
        <w:rPr>
          <w:rFonts w:hint="eastAsia" w:eastAsia="宋体" w:cs="Times New Roman"/>
          <w:bCs/>
          <w:iCs/>
          <w:sz w:val="21"/>
          <w:szCs w:val="21"/>
        </w:rPr>
        <w:t xml:space="preserve"> </w:t>
      </w:r>
      <w:r>
        <w:rPr>
          <w:rFonts w:eastAsia="宋体" w:cs="Times New Roman"/>
          <w:bCs/>
          <w:iCs/>
          <w:sz w:val="21"/>
          <w:szCs w:val="21"/>
        </w:rPr>
        <w:t>51348、《建筑设计防火规范》GB 50016、《建筑防火通用规范》GB 55037、《建筑内部装修设计防火规范》GB 50222、《火灾自动报警系统设计规范》GB 50116等的有关规定</w:t>
      </w:r>
      <w:r>
        <w:rPr>
          <w:rFonts w:eastAsia="宋体" w:cs="Times New Roman"/>
          <w:bCs/>
          <w:sz w:val="21"/>
          <w:szCs w:val="21"/>
        </w:rPr>
        <w:t>。</w:t>
      </w:r>
    </w:p>
    <w:p w14:paraId="774F8E38">
      <w:pPr>
        <w:keepNext/>
        <w:keepLines/>
        <w:spacing w:line="360" w:lineRule="auto"/>
        <w:ind w:firstLine="0" w:firstLineChars="0"/>
        <w:jc w:val="center"/>
        <w:outlineLvl w:val="1"/>
        <w:rPr>
          <w:rFonts w:eastAsia="宋体" w:cs="Times New Roman"/>
          <w:b/>
          <w:bCs/>
          <w:sz w:val="28"/>
          <w:szCs w:val="28"/>
        </w:rPr>
      </w:pPr>
      <w:bookmarkStart w:id="100" w:name="_Toc162779543"/>
      <w:bookmarkStart w:id="101" w:name="_Toc172221062"/>
      <w:bookmarkStart w:id="102" w:name="_Toc16337"/>
      <w:bookmarkStart w:id="103" w:name="_Toc192799313"/>
      <w:r>
        <w:rPr>
          <w:rFonts w:eastAsia="宋体" w:cs="Times New Roman"/>
          <w:b/>
          <w:bCs/>
          <w:sz w:val="28"/>
          <w:szCs w:val="28"/>
        </w:rPr>
        <w:t xml:space="preserve">6.2  </w:t>
      </w:r>
      <w:bookmarkEnd w:id="100"/>
      <w:bookmarkEnd w:id="101"/>
      <w:bookmarkEnd w:id="102"/>
      <w:r>
        <w:rPr>
          <w:rFonts w:hint="eastAsia" w:eastAsia="宋体" w:cs="Times New Roman"/>
          <w:b/>
          <w:bCs/>
          <w:sz w:val="28"/>
          <w:szCs w:val="28"/>
        </w:rPr>
        <w:t>前端设备间</w:t>
      </w:r>
      <w:bookmarkEnd w:id="103"/>
    </w:p>
    <w:p w14:paraId="38B890AC">
      <w:pPr>
        <w:adjustRightInd w:val="0"/>
        <w:snapToGrid w:val="0"/>
        <w:spacing w:line="360" w:lineRule="auto"/>
        <w:ind w:firstLine="0" w:firstLineChars="0"/>
        <w:rPr>
          <w:rFonts w:eastAsia="宋体" w:cs="Times New Roman"/>
          <w:bCs/>
          <w:sz w:val="21"/>
          <w:szCs w:val="21"/>
        </w:rPr>
      </w:pPr>
      <w:r>
        <w:rPr>
          <w:rFonts w:hint="eastAsia" w:eastAsia="宋体" w:cs="Times New Roman"/>
          <w:bCs/>
          <w:sz w:val="21"/>
          <w:szCs w:val="21"/>
        </w:rPr>
        <w:t>6.2.1 监测设施控制柜宜安装在前端设备间内，前端设备间应符合下列规定：</w:t>
      </w:r>
    </w:p>
    <w:p w14:paraId="587C1978">
      <w:pPr>
        <w:adjustRightInd w:val="0"/>
        <w:snapToGrid w:val="0"/>
        <w:spacing w:line="360" w:lineRule="auto"/>
        <w:ind w:firstLine="424" w:firstLineChars="202"/>
        <w:rPr>
          <w:rFonts w:eastAsia="宋体" w:cs="Times New Roman"/>
          <w:bCs/>
          <w:sz w:val="21"/>
          <w:szCs w:val="21"/>
        </w:rPr>
      </w:pPr>
      <w:r>
        <w:rPr>
          <w:rFonts w:hint="eastAsia" w:eastAsia="宋体" w:cs="Times New Roman"/>
          <w:bCs/>
          <w:sz w:val="21"/>
          <w:szCs w:val="21"/>
        </w:rPr>
        <w:t>1 前端设备间应避免靠近热力管道及其他散热量大或潮湿的设施；</w:t>
      </w:r>
    </w:p>
    <w:p w14:paraId="08AB919F">
      <w:pPr>
        <w:adjustRightInd w:val="0"/>
        <w:snapToGrid w:val="0"/>
        <w:spacing w:line="360" w:lineRule="auto"/>
        <w:ind w:firstLine="424" w:firstLineChars="202"/>
        <w:rPr>
          <w:rFonts w:eastAsia="宋体" w:cs="Times New Roman"/>
          <w:bCs/>
          <w:sz w:val="21"/>
          <w:szCs w:val="21"/>
        </w:rPr>
      </w:pPr>
      <w:r>
        <w:rPr>
          <w:rFonts w:hint="eastAsia" w:eastAsia="宋体" w:cs="Times New Roman"/>
          <w:bCs/>
          <w:sz w:val="21"/>
          <w:szCs w:val="21"/>
        </w:rPr>
        <w:t>2 前端设备间的面积应根据设备的数量、进出线的数量、设备安装、检修等因素确定，利用通道作为检修面积时，设备间的净宽度不宜小于</w:t>
      </w:r>
      <w:r>
        <w:rPr>
          <w:rFonts w:eastAsia="宋体" w:cs="Times New Roman"/>
          <w:bCs/>
          <w:sz w:val="21"/>
          <w:szCs w:val="21"/>
        </w:rPr>
        <w:t>800m</w:t>
      </w:r>
      <w:r>
        <w:rPr>
          <w:rFonts w:hint="eastAsia" w:eastAsia="宋体" w:cs="Times New Roman"/>
          <w:bCs/>
          <w:sz w:val="21"/>
          <w:szCs w:val="21"/>
        </w:rPr>
        <w:t>m；</w:t>
      </w:r>
    </w:p>
    <w:p w14:paraId="534F977C">
      <w:pPr>
        <w:adjustRightInd w:val="0"/>
        <w:snapToGrid w:val="0"/>
        <w:spacing w:line="360" w:lineRule="auto"/>
        <w:ind w:firstLine="424" w:firstLineChars="202"/>
        <w:rPr>
          <w:rFonts w:eastAsia="宋体" w:cs="Times New Roman"/>
          <w:bCs/>
          <w:sz w:val="21"/>
          <w:szCs w:val="21"/>
        </w:rPr>
      </w:pPr>
      <w:r>
        <w:rPr>
          <w:rFonts w:hint="eastAsia" w:eastAsia="宋体" w:cs="Times New Roman"/>
          <w:bCs/>
          <w:sz w:val="21"/>
          <w:szCs w:val="21"/>
        </w:rPr>
        <w:t>3 前端设备间的墙壁应为耐火极限不低于1h的不燃烧体，门应采用丙级防火门；</w:t>
      </w:r>
    </w:p>
    <w:p w14:paraId="2B9E2074">
      <w:pPr>
        <w:adjustRightInd w:val="0"/>
        <w:snapToGrid w:val="0"/>
        <w:spacing w:line="360" w:lineRule="auto"/>
        <w:ind w:firstLine="424" w:firstLineChars="202"/>
        <w:rPr>
          <w:rFonts w:eastAsia="宋体" w:cs="Times New Roman"/>
          <w:bCs/>
          <w:sz w:val="21"/>
          <w:szCs w:val="21"/>
        </w:rPr>
      </w:pPr>
      <w:r>
        <w:rPr>
          <w:rFonts w:hint="eastAsia" w:eastAsia="宋体" w:cs="Times New Roman"/>
          <w:bCs/>
          <w:sz w:val="21"/>
          <w:szCs w:val="21"/>
        </w:rPr>
        <w:t>4 无关的管道和线路不得穿越前端设备间；</w:t>
      </w:r>
    </w:p>
    <w:p w14:paraId="5587FD78">
      <w:pPr>
        <w:adjustRightInd w:val="0"/>
        <w:snapToGrid w:val="0"/>
        <w:spacing w:line="360" w:lineRule="auto"/>
        <w:ind w:firstLine="424" w:firstLineChars="202"/>
        <w:rPr>
          <w:rFonts w:eastAsia="宋体" w:cs="Times New Roman"/>
          <w:bCs/>
          <w:sz w:val="21"/>
          <w:szCs w:val="21"/>
        </w:rPr>
      </w:pPr>
      <w:r>
        <w:rPr>
          <w:rFonts w:hint="eastAsia" w:eastAsia="宋体" w:cs="Times New Roman"/>
          <w:bCs/>
          <w:sz w:val="21"/>
          <w:szCs w:val="21"/>
        </w:rPr>
        <w:t>5 前端设备间地面宜抬高150mm，当抬高地面却有困难时，门口应设置不低于150mm高的防水门槛；</w:t>
      </w:r>
    </w:p>
    <w:p w14:paraId="080CB0DB">
      <w:pPr>
        <w:adjustRightInd w:val="0"/>
        <w:snapToGrid w:val="0"/>
        <w:spacing w:line="360" w:lineRule="auto"/>
        <w:ind w:firstLine="424" w:firstLineChars="202"/>
        <w:rPr>
          <w:rFonts w:eastAsia="宋体" w:cs="Times New Roman"/>
          <w:bCs/>
          <w:sz w:val="21"/>
          <w:szCs w:val="21"/>
        </w:rPr>
      </w:pPr>
      <w:r>
        <w:rPr>
          <w:rFonts w:hint="eastAsia" w:eastAsia="宋体" w:cs="Times New Roman"/>
          <w:bCs/>
          <w:sz w:val="21"/>
          <w:szCs w:val="21"/>
        </w:rPr>
        <w:t>6 前端设备间进出的线缆孔洞应采取防火封堵措施，其防火封堵组件耐火性不应低于设备间墙体的耐火等级。</w:t>
      </w:r>
    </w:p>
    <w:p w14:paraId="672B0FD0">
      <w:pPr>
        <w:adjustRightInd w:val="0"/>
        <w:snapToGrid w:val="0"/>
        <w:spacing w:line="360" w:lineRule="auto"/>
        <w:ind w:firstLine="0" w:firstLineChars="0"/>
        <w:rPr>
          <w:rFonts w:eastAsia="宋体" w:cs="Times New Roman"/>
          <w:bCs/>
          <w:sz w:val="21"/>
          <w:szCs w:val="21"/>
        </w:rPr>
      </w:pPr>
      <w:r>
        <w:rPr>
          <w:rFonts w:hint="eastAsia" w:eastAsia="宋体" w:cs="Times New Roman"/>
          <w:bCs/>
          <w:sz w:val="21"/>
          <w:szCs w:val="21"/>
        </w:rPr>
        <w:t>6.2.2 前端设备间应设置电源配电箱并留有备用回路，电源负荷等级不宜低于二级，宜采用不间断电源供电，其蓄电池组连续供电时间宜应不低于3h。</w:t>
      </w:r>
    </w:p>
    <w:p w14:paraId="0668D295">
      <w:pPr>
        <w:adjustRightInd w:val="0"/>
        <w:snapToGrid w:val="0"/>
        <w:spacing w:line="360" w:lineRule="auto"/>
        <w:ind w:firstLine="0" w:firstLineChars="0"/>
        <w:rPr>
          <w:rFonts w:eastAsia="宋体" w:cs="Times New Roman"/>
          <w:bCs/>
          <w:sz w:val="21"/>
          <w:szCs w:val="21"/>
        </w:rPr>
      </w:pPr>
      <w:r>
        <w:rPr>
          <w:rFonts w:hint="eastAsia" w:eastAsia="宋体" w:cs="Times New Roman"/>
          <w:bCs/>
          <w:sz w:val="21"/>
          <w:szCs w:val="21"/>
        </w:rPr>
        <w:t>6.2.3 前端设备间内监测设施控制柜应预留通信网关及其他附属设备安装空间和安装条件。</w:t>
      </w:r>
    </w:p>
    <w:p w14:paraId="1545DBAE">
      <w:pPr>
        <w:adjustRightInd w:val="0"/>
        <w:snapToGrid w:val="0"/>
        <w:spacing w:line="360" w:lineRule="auto"/>
        <w:ind w:firstLine="0" w:firstLineChars="0"/>
        <w:rPr>
          <w:rFonts w:eastAsia="宋体" w:cs="Times New Roman"/>
          <w:bCs/>
          <w:sz w:val="21"/>
          <w:szCs w:val="21"/>
        </w:rPr>
      </w:pPr>
      <w:r>
        <w:rPr>
          <w:rFonts w:hint="eastAsia" w:eastAsia="宋体" w:cs="Times New Roman"/>
          <w:bCs/>
          <w:sz w:val="21"/>
          <w:szCs w:val="21"/>
        </w:rPr>
        <w:t>6.2.4 前端设备间内监测设施控制柜配电宜采用交流220V，容量不小于500W。</w:t>
      </w:r>
    </w:p>
    <w:p w14:paraId="02B76A4A">
      <w:pPr>
        <w:adjustRightInd w:val="0"/>
        <w:snapToGrid w:val="0"/>
        <w:spacing w:line="360" w:lineRule="auto"/>
        <w:ind w:firstLine="0" w:firstLineChars="0"/>
        <w:rPr>
          <w:rFonts w:eastAsia="宋体" w:cs="Times New Roman"/>
          <w:bCs/>
          <w:sz w:val="21"/>
          <w:szCs w:val="21"/>
        </w:rPr>
      </w:pPr>
      <w:r>
        <w:rPr>
          <w:rFonts w:hint="eastAsia" w:eastAsia="宋体" w:cs="Times New Roman"/>
          <w:bCs/>
          <w:sz w:val="21"/>
          <w:szCs w:val="21"/>
        </w:rPr>
        <w:t>6.2.5 进、出前端设备间的传输线路上，在LPZ0A或LPZ0B与LPZ1的边界处应设置适配的信号线路电涌保护器，被保护设备的端口处宜设置适配的信号电涌保护器；电涌保护器接地线宜采用截面积不小于1.5mm²的多股绝缘铜导线连接到机架或设备间等电位连接网络上。</w:t>
      </w:r>
    </w:p>
    <w:p w14:paraId="37362B56">
      <w:pPr>
        <w:adjustRightInd w:val="0"/>
        <w:snapToGrid w:val="0"/>
        <w:spacing w:line="360" w:lineRule="auto"/>
        <w:ind w:firstLine="0" w:firstLineChars="0"/>
        <w:rPr>
          <w:rFonts w:eastAsia="宋体" w:cs="Times New Roman"/>
          <w:bCs/>
          <w:sz w:val="21"/>
          <w:szCs w:val="21"/>
        </w:rPr>
      </w:pPr>
      <w:r>
        <w:rPr>
          <w:rFonts w:hint="eastAsia" w:eastAsia="宋体" w:cs="Times New Roman"/>
          <w:bCs/>
          <w:sz w:val="21"/>
          <w:szCs w:val="21"/>
        </w:rPr>
        <w:t>6.2.6 前端设备间内应设接地干线和接地端子箱，接地干线宜釆用不小于BV（BVR）-25mm</w:t>
      </w:r>
      <w:r>
        <w:rPr>
          <w:rFonts w:hint="eastAsia" w:eastAsia="宋体" w:cs="Times New Roman"/>
          <w:bCs/>
          <w:sz w:val="21"/>
          <w:szCs w:val="21"/>
          <w:vertAlign w:val="superscript"/>
        </w:rPr>
        <w:t>2</w:t>
      </w:r>
      <w:r>
        <w:rPr>
          <w:rFonts w:hint="eastAsia" w:eastAsia="宋体" w:cs="Times New Roman"/>
          <w:bCs/>
          <w:sz w:val="21"/>
          <w:szCs w:val="21"/>
        </w:rPr>
        <w:t>的导体与接地端子箱连接，监测设施控制柜外露可导电部分应做可靠接地。</w:t>
      </w:r>
    </w:p>
    <w:p w14:paraId="4F033CCA">
      <w:pPr>
        <w:keepNext/>
        <w:keepLines/>
        <w:spacing w:line="360" w:lineRule="auto"/>
        <w:ind w:firstLine="0" w:firstLineChars="0"/>
        <w:jc w:val="center"/>
        <w:outlineLvl w:val="1"/>
        <w:rPr>
          <w:rFonts w:eastAsia="宋体" w:cs="Times New Roman"/>
          <w:b/>
          <w:bCs/>
          <w:sz w:val="28"/>
          <w:szCs w:val="28"/>
        </w:rPr>
      </w:pPr>
      <w:bookmarkStart w:id="104" w:name="_Toc192799314"/>
      <w:bookmarkStart w:id="105" w:name="_Toc172221066"/>
      <w:r>
        <w:rPr>
          <w:rFonts w:eastAsia="宋体" w:cs="Times New Roman"/>
          <w:b/>
          <w:bCs/>
          <w:sz w:val="28"/>
          <w:szCs w:val="28"/>
        </w:rPr>
        <w:t xml:space="preserve">6.3  </w:t>
      </w:r>
      <w:r>
        <w:rPr>
          <w:rFonts w:hint="eastAsia" w:eastAsia="宋体" w:cs="Times New Roman"/>
          <w:b/>
          <w:bCs/>
          <w:sz w:val="28"/>
          <w:szCs w:val="28"/>
        </w:rPr>
        <w:t>监测中心</w:t>
      </w:r>
      <w:bookmarkEnd w:id="104"/>
    </w:p>
    <w:p w14:paraId="0095DFC0">
      <w:pPr>
        <w:adjustRightInd w:val="0"/>
        <w:snapToGrid w:val="0"/>
        <w:spacing w:line="360" w:lineRule="auto"/>
        <w:ind w:firstLine="0" w:firstLineChars="0"/>
        <w:rPr>
          <w:rFonts w:eastAsia="宋体" w:cs="Times New Roman"/>
          <w:bCs/>
          <w:sz w:val="21"/>
          <w:szCs w:val="21"/>
        </w:rPr>
      </w:pPr>
      <w:r>
        <w:rPr>
          <w:rFonts w:eastAsia="宋体" w:cs="Times New Roman"/>
          <w:bCs/>
          <w:sz w:val="21"/>
          <w:szCs w:val="21"/>
        </w:rPr>
        <w:t>6.3.1 监测中心应能接收、处理城市生命线工程运行监测数据，承担监测值守、分析研判、辅助决策的功能，并满足接收上一级指令、向上一级预警和向下传达指令的要求。</w:t>
      </w:r>
    </w:p>
    <w:p w14:paraId="48420415">
      <w:pPr>
        <w:adjustRightInd w:val="0"/>
        <w:snapToGrid w:val="0"/>
        <w:spacing w:line="360" w:lineRule="auto"/>
        <w:ind w:firstLine="0" w:firstLineChars="0"/>
        <w:rPr>
          <w:rFonts w:eastAsia="宋体" w:cs="Times New Roman"/>
          <w:bCs/>
          <w:sz w:val="21"/>
          <w:szCs w:val="21"/>
        </w:rPr>
      </w:pPr>
      <w:r>
        <w:rPr>
          <w:rFonts w:eastAsia="宋体" w:cs="Times New Roman"/>
          <w:bCs/>
          <w:sz w:val="21"/>
          <w:szCs w:val="21"/>
        </w:rPr>
        <w:t>6.3.2</w:t>
      </w:r>
      <w:r>
        <w:rPr>
          <w:rFonts w:hint="eastAsia" w:eastAsia="宋体" w:cs="Times New Roman"/>
          <w:bCs/>
          <w:sz w:val="21"/>
          <w:szCs w:val="21"/>
        </w:rPr>
        <w:t xml:space="preserve"> </w:t>
      </w:r>
      <w:r>
        <w:rPr>
          <w:rFonts w:eastAsia="宋体" w:cs="Times New Roman"/>
          <w:bCs/>
          <w:sz w:val="21"/>
          <w:szCs w:val="21"/>
        </w:rPr>
        <w:t>监测中心选址应满足抗灾、防洪、防涝的要求，应遵循布局合理、用地节约、环保节能的设置原则。</w:t>
      </w:r>
    </w:p>
    <w:p w14:paraId="284D376D">
      <w:pPr>
        <w:adjustRightInd w:val="0"/>
        <w:snapToGrid w:val="0"/>
        <w:spacing w:line="360" w:lineRule="auto"/>
        <w:ind w:firstLine="0" w:firstLineChars="0"/>
        <w:rPr>
          <w:rFonts w:eastAsia="宋体" w:cs="Times New Roman"/>
          <w:bCs/>
          <w:sz w:val="21"/>
          <w:szCs w:val="21"/>
        </w:rPr>
      </w:pPr>
      <w:r>
        <w:rPr>
          <w:rFonts w:eastAsia="宋体" w:cs="Times New Roman"/>
          <w:bCs/>
          <w:sz w:val="21"/>
          <w:szCs w:val="21"/>
        </w:rPr>
        <w:t>6.3.3 监测中心应配备显示、会商、值守席、设备和备品间等设施，不宜另设独立机房，监测管理平台数据处理及存储</w:t>
      </w:r>
      <w:r>
        <w:rPr>
          <w:rFonts w:hint="eastAsia" w:eastAsia="宋体" w:cs="Times New Roman"/>
          <w:bCs/>
          <w:sz w:val="21"/>
          <w:szCs w:val="21"/>
        </w:rPr>
        <w:t>宜</w:t>
      </w:r>
      <w:r>
        <w:rPr>
          <w:rFonts w:eastAsia="宋体" w:cs="Times New Roman"/>
          <w:bCs/>
          <w:sz w:val="21"/>
          <w:szCs w:val="21"/>
        </w:rPr>
        <w:t>与当地政务服务云合并设置。</w:t>
      </w:r>
    </w:p>
    <w:p w14:paraId="7B83DB42">
      <w:pPr>
        <w:adjustRightInd w:val="0"/>
        <w:snapToGrid w:val="0"/>
        <w:spacing w:line="360" w:lineRule="auto"/>
        <w:ind w:firstLine="0" w:firstLineChars="0"/>
        <w:rPr>
          <w:rFonts w:eastAsia="宋体" w:cs="Times New Roman"/>
          <w:bCs/>
          <w:sz w:val="21"/>
          <w:szCs w:val="21"/>
        </w:rPr>
      </w:pPr>
      <w:r>
        <w:rPr>
          <w:rFonts w:eastAsia="宋体" w:cs="Times New Roman"/>
          <w:bCs/>
          <w:sz w:val="21"/>
          <w:szCs w:val="21"/>
        </w:rPr>
        <w:t>6.3.4</w:t>
      </w:r>
      <w:r>
        <w:rPr>
          <w:rFonts w:hint="eastAsia" w:eastAsia="宋体" w:cs="Times New Roman"/>
          <w:bCs/>
          <w:sz w:val="21"/>
          <w:szCs w:val="21"/>
        </w:rPr>
        <w:t xml:space="preserve"> </w:t>
      </w:r>
      <w:r>
        <w:rPr>
          <w:rFonts w:eastAsia="宋体" w:cs="Times New Roman"/>
          <w:bCs/>
          <w:sz w:val="21"/>
          <w:szCs w:val="21"/>
        </w:rPr>
        <w:t>监测中心管理设备的配备应遵循经济、实用、方便的原则，应保证日常管理工作的正常运行，宜考虑满足突发事件下的应急管理需求。</w:t>
      </w:r>
    </w:p>
    <w:p w14:paraId="7E5DBBC9">
      <w:pPr>
        <w:adjustRightInd w:val="0"/>
        <w:snapToGrid w:val="0"/>
        <w:spacing w:line="360" w:lineRule="auto"/>
        <w:ind w:firstLine="0" w:firstLineChars="0"/>
        <w:rPr>
          <w:rFonts w:eastAsia="宋体" w:cs="Times New Roman"/>
          <w:bCs/>
          <w:sz w:val="21"/>
          <w:szCs w:val="21"/>
        </w:rPr>
      </w:pPr>
      <w:r>
        <w:rPr>
          <w:rFonts w:eastAsia="宋体" w:cs="Times New Roman"/>
          <w:bCs/>
          <w:sz w:val="21"/>
          <w:szCs w:val="21"/>
        </w:rPr>
        <w:t>6.3.5</w:t>
      </w:r>
      <w:r>
        <w:rPr>
          <w:rFonts w:hint="eastAsia" w:eastAsia="宋体" w:cs="Times New Roman"/>
          <w:bCs/>
          <w:sz w:val="21"/>
          <w:szCs w:val="21"/>
        </w:rPr>
        <w:t xml:space="preserve"> </w:t>
      </w:r>
      <w:r>
        <w:rPr>
          <w:rFonts w:eastAsia="宋体" w:cs="Times New Roman"/>
          <w:bCs/>
          <w:sz w:val="21"/>
          <w:szCs w:val="21"/>
        </w:rPr>
        <w:t>监测中心内设备电源负荷等级应为一级，并宜采用不间断电源供电，其蓄电池组连续供电时间宜不低于3h。</w:t>
      </w:r>
    </w:p>
    <w:p w14:paraId="24F06C18">
      <w:pPr>
        <w:adjustRightInd w:val="0"/>
        <w:snapToGrid w:val="0"/>
        <w:spacing w:line="360" w:lineRule="auto"/>
        <w:ind w:firstLine="0" w:firstLineChars="0"/>
        <w:rPr>
          <w:rFonts w:eastAsia="宋体" w:cs="Times New Roman"/>
          <w:bCs/>
          <w:sz w:val="21"/>
          <w:szCs w:val="21"/>
        </w:rPr>
      </w:pPr>
      <w:r>
        <w:rPr>
          <w:rFonts w:eastAsia="宋体" w:cs="Times New Roman"/>
          <w:bCs/>
          <w:sz w:val="21"/>
          <w:szCs w:val="21"/>
        </w:rPr>
        <w:t>6.3.6 监测中心的工作面水平平均照度应不低于500lx（0.75m水平面），垂直平均照度应不低于30lx，眩光指数UGR应不大于22。</w:t>
      </w:r>
    </w:p>
    <w:p w14:paraId="0C466871">
      <w:pPr>
        <w:adjustRightInd w:val="0"/>
        <w:snapToGrid w:val="0"/>
        <w:spacing w:line="360" w:lineRule="auto"/>
        <w:ind w:firstLine="0" w:firstLineChars="0"/>
        <w:rPr>
          <w:rFonts w:eastAsia="宋体" w:cs="Times New Roman"/>
          <w:bCs/>
          <w:sz w:val="21"/>
          <w:szCs w:val="21"/>
        </w:rPr>
      </w:pPr>
      <w:r>
        <w:rPr>
          <w:rFonts w:eastAsia="宋体" w:cs="Times New Roman"/>
          <w:bCs/>
          <w:sz w:val="21"/>
          <w:szCs w:val="21"/>
        </w:rPr>
        <w:t>6.3.7 监测中心地板面层应采用防静电材料，室内建筑装饰面应具有防尘功能。</w:t>
      </w:r>
    </w:p>
    <w:p w14:paraId="4B8687A2">
      <w:pPr>
        <w:adjustRightInd w:val="0"/>
        <w:snapToGrid w:val="0"/>
        <w:spacing w:line="360" w:lineRule="auto"/>
        <w:ind w:firstLine="0" w:firstLineChars="0"/>
        <w:rPr>
          <w:rFonts w:eastAsia="宋体" w:cs="Times New Roman"/>
          <w:bCs/>
          <w:sz w:val="21"/>
          <w:szCs w:val="21"/>
        </w:rPr>
      </w:pPr>
      <w:r>
        <w:rPr>
          <w:rFonts w:eastAsia="宋体" w:cs="Times New Roman"/>
          <w:bCs/>
          <w:sz w:val="21"/>
          <w:szCs w:val="21"/>
        </w:rPr>
        <w:t>6.3.8 监测中心应设置等电位联结端子箱，接地干线宜釆用不小于BV（BVR）-25mm²的导体与基础接地极连接，监测中心内所有设备的外露可导电部分、外界可导电部分、建筑物金属结构等均应做等电位联结并可靠接地。</w:t>
      </w:r>
    </w:p>
    <w:p w14:paraId="05E47BC6">
      <w:pPr>
        <w:adjustRightInd w:val="0"/>
        <w:snapToGrid w:val="0"/>
        <w:spacing w:line="360" w:lineRule="auto"/>
        <w:ind w:firstLine="0" w:firstLineChars="0"/>
        <w:rPr>
          <w:rFonts w:eastAsia="宋体" w:cs="Times New Roman"/>
          <w:bCs/>
          <w:sz w:val="21"/>
          <w:szCs w:val="21"/>
        </w:rPr>
      </w:pPr>
      <w:r>
        <w:rPr>
          <w:rFonts w:eastAsia="宋体" w:cs="Times New Roman"/>
          <w:bCs/>
          <w:sz w:val="21"/>
          <w:szCs w:val="21"/>
        </w:rPr>
        <w:t>6.3.9 监测中心内设备的保护性接地和功能性接地宜与建筑物供配电系统共用一组接地装置，其接地电阻应按其中最小值确定且应不大于1Ω。</w:t>
      </w:r>
    </w:p>
    <w:p w14:paraId="357F65FF">
      <w:pPr>
        <w:adjustRightInd w:val="0"/>
        <w:snapToGrid w:val="0"/>
        <w:spacing w:line="360" w:lineRule="auto"/>
        <w:ind w:firstLine="0" w:firstLineChars="0"/>
        <w:rPr>
          <w:rFonts w:eastAsia="宋体" w:cs="Times New Roman"/>
          <w:bCs/>
          <w:sz w:val="21"/>
          <w:szCs w:val="21"/>
        </w:rPr>
      </w:pPr>
      <w:r>
        <w:rPr>
          <w:rFonts w:eastAsia="宋体" w:cs="Times New Roman"/>
          <w:bCs/>
          <w:sz w:val="21"/>
          <w:szCs w:val="21"/>
        </w:rPr>
        <w:t>6.3.10</w:t>
      </w:r>
      <w:r>
        <w:rPr>
          <w:rFonts w:hint="eastAsia" w:eastAsia="宋体" w:cs="Times New Roman"/>
          <w:bCs/>
          <w:sz w:val="21"/>
          <w:szCs w:val="21"/>
        </w:rPr>
        <w:t xml:space="preserve"> </w:t>
      </w:r>
      <w:r>
        <w:rPr>
          <w:rFonts w:eastAsia="宋体" w:cs="Times New Roman"/>
          <w:bCs/>
          <w:sz w:val="21"/>
          <w:szCs w:val="21"/>
        </w:rPr>
        <w:t>监测中心预警联动和应急响应</w:t>
      </w:r>
      <w:r>
        <w:rPr>
          <w:rFonts w:hint="eastAsia" w:eastAsia="宋体" w:cs="Times New Roman"/>
          <w:bCs/>
          <w:sz w:val="21"/>
          <w:szCs w:val="21"/>
        </w:rPr>
        <w:t>机制</w:t>
      </w:r>
      <w:r>
        <w:rPr>
          <w:rFonts w:eastAsia="宋体" w:cs="Times New Roman"/>
          <w:bCs/>
          <w:sz w:val="21"/>
          <w:szCs w:val="21"/>
        </w:rPr>
        <w:t>应符合《城市生命线工程安全运行监测技术标准》DB34</w:t>
      </w:r>
      <w:r>
        <w:rPr>
          <w:rFonts w:hint="eastAsia" w:eastAsia="宋体" w:cs="Times New Roman"/>
          <w:bCs/>
          <w:sz w:val="21"/>
          <w:szCs w:val="21"/>
        </w:rPr>
        <w:t>/</w:t>
      </w:r>
      <w:r>
        <w:rPr>
          <w:rFonts w:eastAsia="宋体" w:cs="Times New Roman"/>
          <w:bCs/>
          <w:sz w:val="21"/>
          <w:szCs w:val="21"/>
        </w:rPr>
        <w:t>T 4021相关要求。</w:t>
      </w:r>
    </w:p>
    <w:p w14:paraId="582F1160">
      <w:pPr>
        <w:keepNext/>
        <w:keepLines/>
        <w:spacing w:line="360" w:lineRule="auto"/>
        <w:ind w:firstLine="0" w:firstLineChars="0"/>
        <w:jc w:val="center"/>
        <w:outlineLvl w:val="1"/>
        <w:rPr>
          <w:rFonts w:eastAsia="宋体" w:cs="Times New Roman"/>
          <w:b/>
          <w:bCs/>
          <w:sz w:val="28"/>
          <w:szCs w:val="28"/>
        </w:rPr>
      </w:pPr>
      <w:bookmarkStart w:id="106" w:name="_Toc192799315"/>
      <w:r>
        <w:rPr>
          <w:rFonts w:eastAsia="宋体" w:cs="Times New Roman"/>
          <w:b/>
          <w:bCs/>
          <w:sz w:val="28"/>
          <w:szCs w:val="28"/>
        </w:rPr>
        <w:t>6.</w:t>
      </w:r>
      <w:r>
        <w:rPr>
          <w:rFonts w:hint="eastAsia" w:eastAsia="宋体" w:cs="Times New Roman"/>
          <w:b/>
          <w:bCs/>
          <w:sz w:val="28"/>
          <w:szCs w:val="28"/>
        </w:rPr>
        <w:t>4</w:t>
      </w:r>
      <w:r>
        <w:rPr>
          <w:rFonts w:eastAsia="宋体" w:cs="Times New Roman"/>
          <w:b/>
          <w:bCs/>
          <w:sz w:val="28"/>
          <w:szCs w:val="28"/>
        </w:rPr>
        <w:t xml:space="preserve">  </w:t>
      </w:r>
      <w:r>
        <w:rPr>
          <w:rFonts w:hint="eastAsia" w:eastAsia="宋体" w:cs="Times New Roman"/>
          <w:b/>
          <w:bCs/>
          <w:sz w:val="28"/>
          <w:szCs w:val="28"/>
        </w:rPr>
        <w:t>其他</w:t>
      </w:r>
      <w:r>
        <w:rPr>
          <w:rFonts w:eastAsia="宋体" w:cs="Times New Roman"/>
          <w:b/>
          <w:bCs/>
          <w:sz w:val="28"/>
          <w:szCs w:val="28"/>
        </w:rPr>
        <w:t>设施</w:t>
      </w:r>
      <w:bookmarkEnd w:id="106"/>
    </w:p>
    <w:p w14:paraId="60BF21FC">
      <w:pPr>
        <w:adjustRightInd w:val="0"/>
        <w:snapToGrid w:val="0"/>
        <w:spacing w:line="360" w:lineRule="auto"/>
        <w:ind w:firstLine="0" w:firstLineChars="0"/>
        <w:rPr>
          <w:rFonts w:eastAsia="宋体" w:cs="Times New Roman"/>
          <w:bCs/>
          <w:sz w:val="21"/>
          <w:szCs w:val="21"/>
        </w:rPr>
      </w:pPr>
      <w:r>
        <w:rPr>
          <w:rFonts w:hint="eastAsia" w:eastAsia="宋体" w:cs="Times New Roman"/>
          <w:bCs/>
          <w:sz w:val="21"/>
          <w:szCs w:val="21"/>
        </w:rPr>
        <w:t xml:space="preserve">6.4.1 </w:t>
      </w:r>
      <w:r>
        <w:rPr>
          <w:rFonts w:eastAsia="宋体" w:cs="Times New Roman"/>
          <w:bCs/>
          <w:sz w:val="21"/>
          <w:szCs w:val="21"/>
        </w:rPr>
        <w:t>监测设施供电应采用直流电源，电压等级</w:t>
      </w:r>
      <w:r>
        <w:rPr>
          <w:rFonts w:hint="eastAsia" w:eastAsia="宋体" w:cs="Times New Roman"/>
          <w:bCs/>
          <w:sz w:val="21"/>
          <w:szCs w:val="21"/>
        </w:rPr>
        <w:t>宜</w:t>
      </w:r>
      <w:r>
        <w:rPr>
          <w:rFonts w:eastAsia="宋体" w:cs="Times New Roman"/>
          <w:bCs/>
          <w:sz w:val="21"/>
          <w:szCs w:val="21"/>
        </w:rPr>
        <w:t>+24~36V</w:t>
      </w:r>
      <w:r>
        <w:rPr>
          <w:rFonts w:hint="eastAsia" w:eastAsia="宋体" w:cs="Times New Roman"/>
          <w:bCs/>
          <w:sz w:val="21"/>
          <w:szCs w:val="21"/>
        </w:rPr>
        <w:t>。</w:t>
      </w:r>
    </w:p>
    <w:p w14:paraId="19A68175">
      <w:pPr>
        <w:adjustRightInd w:val="0"/>
        <w:snapToGrid w:val="0"/>
        <w:spacing w:line="360" w:lineRule="auto"/>
        <w:ind w:firstLine="0" w:firstLineChars="0"/>
        <w:rPr>
          <w:rFonts w:eastAsia="宋体" w:cs="Times New Roman"/>
          <w:bCs/>
          <w:sz w:val="21"/>
          <w:szCs w:val="21"/>
        </w:rPr>
      </w:pPr>
      <w:r>
        <w:rPr>
          <w:rFonts w:eastAsia="宋体" w:cs="Times New Roman"/>
          <w:bCs/>
          <w:sz w:val="21"/>
          <w:szCs w:val="21"/>
        </w:rPr>
        <w:t>6.</w:t>
      </w:r>
      <w:r>
        <w:rPr>
          <w:rFonts w:hint="eastAsia" w:eastAsia="宋体" w:cs="Times New Roman"/>
          <w:bCs/>
          <w:sz w:val="21"/>
          <w:szCs w:val="21"/>
        </w:rPr>
        <w:t xml:space="preserve">4.2 </w:t>
      </w:r>
      <w:r>
        <w:rPr>
          <w:rFonts w:eastAsia="宋体" w:cs="Times New Roman"/>
          <w:bCs/>
          <w:sz w:val="21"/>
          <w:szCs w:val="21"/>
        </w:rPr>
        <w:t>监测设施布线应穿硬质塑料管或金属导管敷设，并应符合下列规定：</w:t>
      </w:r>
    </w:p>
    <w:p w14:paraId="22A1AEE4">
      <w:pPr>
        <w:adjustRightInd w:val="0"/>
        <w:snapToGrid w:val="0"/>
        <w:spacing w:line="360" w:lineRule="auto"/>
        <w:ind w:firstLine="424" w:firstLineChars="202"/>
        <w:rPr>
          <w:rFonts w:eastAsia="宋体" w:cs="Times New Roman"/>
          <w:bCs/>
          <w:sz w:val="21"/>
          <w:szCs w:val="21"/>
        </w:rPr>
      </w:pPr>
      <w:r>
        <w:rPr>
          <w:rFonts w:eastAsia="宋体" w:cs="Times New Roman"/>
          <w:bCs/>
          <w:sz w:val="21"/>
          <w:szCs w:val="21"/>
        </w:rPr>
        <w:t>1 布线导管应与给排水管、热力管、燃气管、桥梁等设施同步建设；</w:t>
      </w:r>
    </w:p>
    <w:p w14:paraId="3C99AF6C">
      <w:pPr>
        <w:adjustRightInd w:val="0"/>
        <w:snapToGrid w:val="0"/>
        <w:spacing w:line="360" w:lineRule="auto"/>
        <w:ind w:firstLine="424" w:firstLineChars="202"/>
        <w:rPr>
          <w:rFonts w:eastAsia="宋体" w:cs="Times New Roman"/>
          <w:bCs/>
          <w:sz w:val="21"/>
          <w:szCs w:val="21"/>
        </w:rPr>
      </w:pPr>
      <w:r>
        <w:rPr>
          <w:rFonts w:eastAsia="宋体" w:cs="Times New Roman"/>
          <w:bCs/>
          <w:sz w:val="21"/>
          <w:szCs w:val="21"/>
        </w:rPr>
        <w:t>2 不同电压等级的线缆不宜同管敷设；</w:t>
      </w:r>
    </w:p>
    <w:p w14:paraId="0A5A3B3E">
      <w:pPr>
        <w:adjustRightInd w:val="0"/>
        <w:snapToGrid w:val="0"/>
        <w:spacing w:line="360" w:lineRule="auto"/>
        <w:ind w:firstLine="424" w:firstLineChars="202"/>
        <w:rPr>
          <w:rFonts w:eastAsia="宋体" w:cs="Times New Roman"/>
          <w:bCs/>
          <w:sz w:val="21"/>
          <w:szCs w:val="21"/>
        </w:rPr>
      </w:pPr>
      <w:r>
        <w:rPr>
          <w:rFonts w:eastAsia="宋体" w:cs="Times New Roman"/>
          <w:bCs/>
          <w:sz w:val="21"/>
          <w:szCs w:val="21"/>
        </w:rPr>
        <w:t>3 潮湿场所布线明敷时，应采用防潮防腐材料制造的导管；当采用金属导管或桥架时，应采取防潮防腐措施，且金属导管壁厚不应小于2.0mm;</w:t>
      </w:r>
    </w:p>
    <w:p w14:paraId="18E0CF1E">
      <w:pPr>
        <w:adjustRightInd w:val="0"/>
        <w:snapToGrid w:val="0"/>
        <w:spacing w:line="360" w:lineRule="auto"/>
        <w:ind w:firstLine="424" w:firstLineChars="202"/>
        <w:rPr>
          <w:rFonts w:eastAsia="宋体" w:cs="Times New Roman"/>
          <w:bCs/>
          <w:sz w:val="21"/>
          <w:szCs w:val="21"/>
        </w:rPr>
      </w:pPr>
      <w:r>
        <w:rPr>
          <w:rFonts w:eastAsia="宋体" w:cs="Times New Roman"/>
          <w:bCs/>
          <w:sz w:val="21"/>
          <w:szCs w:val="21"/>
        </w:rPr>
        <w:t>4 地面层以下布线暗敷时，应穿重型塑料导管；当采用金属导管时，其壁厚不应小于2.0mm；</w:t>
      </w:r>
    </w:p>
    <w:p w14:paraId="69E97523">
      <w:pPr>
        <w:adjustRightInd w:val="0"/>
        <w:snapToGrid w:val="0"/>
        <w:spacing w:line="360" w:lineRule="auto"/>
        <w:ind w:firstLine="424" w:firstLineChars="202"/>
        <w:rPr>
          <w:rFonts w:eastAsia="宋体" w:cs="Times New Roman"/>
          <w:bCs/>
          <w:sz w:val="21"/>
          <w:szCs w:val="21"/>
        </w:rPr>
      </w:pPr>
      <w:r>
        <w:rPr>
          <w:rFonts w:eastAsia="宋体" w:cs="Times New Roman"/>
          <w:bCs/>
          <w:sz w:val="21"/>
          <w:szCs w:val="21"/>
        </w:rPr>
        <w:t>5 地面层以下布线导管管顶至路面不应低于表6.4.2的规定。</w:t>
      </w:r>
    </w:p>
    <w:p w14:paraId="150B0720">
      <w:pPr>
        <w:spacing w:line="360" w:lineRule="auto"/>
        <w:ind w:firstLine="361"/>
        <w:jc w:val="center"/>
        <w:rPr>
          <w:rFonts w:eastAsia="宋体" w:cs="Times New Roman"/>
          <w:b/>
          <w:sz w:val="18"/>
          <w:szCs w:val="18"/>
        </w:rPr>
      </w:pPr>
      <w:r>
        <w:rPr>
          <w:rFonts w:eastAsia="宋体" w:cs="Times New Roman"/>
          <w:b/>
          <w:sz w:val="18"/>
          <w:szCs w:val="18"/>
        </w:rPr>
        <w:t>表6.4.2 布线管道最小埋深(管顶至路面)  单位：m</w:t>
      </w:r>
    </w:p>
    <w:tbl>
      <w:tblPr>
        <w:tblStyle w:val="19"/>
        <w:tblW w:w="7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784"/>
        <w:gridCol w:w="1701"/>
        <w:gridCol w:w="1701"/>
      </w:tblGrid>
      <w:tr w14:paraId="0DC6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14:paraId="287CCD05">
            <w:pPr>
              <w:spacing w:line="360" w:lineRule="auto"/>
              <w:ind w:firstLine="0" w:firstLineChars="0"/>
              <w:jc w:val="center"/>
              <w:rPr>
                <w:rFonts w:eastAsia="宋体" w:cs="Times New Roman"/>
                <w:bCs/>
                <w:sz w:val="18"/>
                <w:szCs w:val="18"/>
              </w:rPr>
            </w:pPr>
            <w:r>
              <w:rPr>
                <w:rFonts w:eastAsia="宋体" w:cs="Times New Roman"/>
                <w:bCs/>
                <w:sz w:val="18"/>
                <w:szCs w:val="18"/>
              </w:rPr>
              <w:t>管道类别</w:t>
            </w:r>
          </w:p>
        </w:tc>
        <w:tc>
          <w:tcPr>
            <w:tcW w:w="1784" w:type="dxa"/>
            <w:vAlign w:val="center"/>
          </w:tcPr>
          <w:p w14:paraId="48232E36">
            <w:pPr>
              <w:spacing w:line="360" w:lineRule="auto"/>
              <w:ind w:firstLine="0" w:firstLineChars="0"/>
              <w:jc w:val="center"/>
              <w:rPr>
                <w:rFonts w:eastAsia="宋体" w:cs="Times New Roman"/>
                <w:bCs/>
                <w:sz w:val="18"/>
                <w:szCs w:val="18"/>
              </w:rPr>
            </w:pPr>
            <w:r>
              <w:rPr>
                <w:rFonts w:eastAsia="宋体" w:cs="Times New Roman"/>
                <w:bCs/>
                <w:sz w:val="18"/>
                <w:szCs w:val="18"/>
              </w:rPr>
              <w:t>绿化带</w:t>
            </w:r>
          </w:p>
        </w:tc>
        <w:tc>
          <w:tcPr>
            <w:tcW w:w="1701" w:type="dxa"/>
            <w:vAlign w:val="center"/>
          </w:tcPr>
          <w:p w14:paraId="522B4510">
            <w:pPr>
              <w:spacing w:line="360" w:lineRule="auto"/>
              <w:ind w:firstLine="0" w:firstLineChars="0"/>
              <w:jc w:val="center"/>
              <w:rPr>
                <w:rFonts w:eastAsia="宋体" w:cs="Times New Roman"/>
                <w:bCs/>
                <w:sz w:val="18"/>
                <w:szCs w:val="18"/>
              </w:rPr>
            </w:pPr>
            <w:r>
              <w:rPr>
                <w:rFonts w:eastAsia="宋体" w:cs="Times New Roman"/>
                <w:bCs/>
                <w:sz w:val="18"/>
                <w:szCs w:val="18"/>
              </w:rPr>
              <w:t>人行道</w:t>
            </w:r>
          </w:p>
        </w:tc>
        <w:tc>
          <w:tcPr>
            <w:tcW w:w="1701" w:type="dxa"/>
            <w:vAlign w:val="center"/>
          </w:tcPr>
          <w:p w14:paraId="454229DA">
            <w:pPr>
              <w:spacing w:line="360" w:lineRule="auto"/>
              <w:ind w:firstLine="0" w:firstLineChars="0"/>
              <w:jc w:val="center"/>
              <w:rPr>
                <w:rFonts w:eastAsia="宋体" w:cs="Times New Roman"/>
                <w:bCs/>
                <w:sz w:val="18"/>
                <w:szCs w:val="18"/>
              </w:rPr>
            </w:pPr>
            <w:r>
              <w:rPr>
                <w:rFonts w:eastAsia="宋体" w:cs="Times New Roman"/>
                <w:bCs/>
                <w:sz w:val="18"/>
                <w:szCs w:val="18"/>
              </w:rPr>
              <w:t>车行道</w:t>
            </w:r>
          </w:p>
        </w:tc>
      </w:tr>
      <w:tr w14:paraId="5ABC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14:paraId="13828051">
            <w:pPr>
              <w:spacing w:line="360" w:lineRule="auto"/>
              <w:ind w:firstLine="0" w:firstLineChars="0"/>
              <w:jc w:val="center"/>
              <w:rPr>
                <w:rFonts w:eastAsia="宋体" w:cs="Times New Roman"/>
                <w:bCs/>
                <w:sz w:val="18"/>
                <w:szCs w:val="18"/>
              </w:rPr>
            </w:pPr>
            <w:r>
              <w:rPr>
                <w:rFonts w:eastAsia="宋体" w:cs="Times New Roman"/>
                <w:bCs/>
                <w:sz w:val="18"/>
                <w:szCs w:val="18"/>
              </w:rPr>
              <w:t>塑料管</w:t>
            </w:r>
          </w:p>
        </w:tc>
        <w:tc>
          <w:tcPr>
            <w:tcW w:w="1784" w:type="dxa"/>
            <w:vAlign w:val="center"/>
          </w:tcPr>
          <w:p w14:paraId="149AC009">
            <w:pPr>
              <w:spacing w:line="360" w:lineRule="auto"/>
              <w:ind w:firstLine="0" w:firstLineChars="0"/>
              <w:jc w:val="center"/>
              <w:rPr>
                <w:rFonts w:eastAsia="宋体" w:cs="Times New Roman"/>
                <w:bCs/>
                <w:sz w:val="18"/>
                <w:szCs w:val="18"/>
              </w:rPr>
            </w:pPr>
            <w:r>
              <w:rPr>
                <w:rFonts w:eastAsia="宋体" w:cs="Times New Roman"/>
                <w:bCs/>
                <w:sz w:val="18"/>
                <w:szCs w:val="18"/>
              </w:rPr>
              <w:t>0.5</w:t>
            </w:r>
          </w:p>
        </w:tc>
        <w:tc>
          <w:tcPr>
            <w:tcW w:w="1701" w:type="dxa"/>
            <w:vAlign w:val="center"/>
          </w:tcPr>
          <w:p w14:paraId="29B152BE">
            <w:pPr>
              <w:spacing w:line="360" w:lineRule="auto"/>
              <w:ind w:firstLine="0" w:firstLineChars="0"/>
              <w:jc w:val="center"/>
              <w:rPr>
                <w:rFonts w:eastAsia="宋体" w:cs="Times New Roman"/>
                <w:bCs/>
                <w:sz w:val="18"/>
                <w:szCs w:val="18"/>
              </w:rPr>
            </w:pPr>
            <w:r>
              <w:rPr>
                <w:rFonts w:eastAsia="宋体" w:cs="Times New Roman"/>
                <w:bCs/>
                <w:sz w:val="18"/>
                <w:szCs w:val="18"/>
              </w:rPr>
              <w:t>0.7</w:t>
            </w:r>
          </w:p>
        </w:tc>
        <w:tc>
          <w:tcPr>
            <w:tcW w:w="1701" w:type="dxa"/>
            <w:vAlign w:val="center"/>
          </w:tcPr>
          <w:p w14:paraId="1D8FA7D9">
            <w:pPr>
              <w:spacing w:line="360" w:lineRule="auto"/>
              <w:ind w:firstLine="0" w:firstLineChars="0"/>
              <w:jc w:val="center"/>
              <w:rPr>
                <w:rFonts w:eastAsia="宋体" w:cs="Times New Roman"/>
                <w:bCs/>
                <w:sz w:val="18"/>
                <w:szCs w:val="18"/>
              </w:rPr>
            </w:pPr>
            <w:r>
              <w:rPr>
                <w:rFonts w:eastAsia="宋体" w:cs="Times New Roman"/>
                <w:bCs/>
                <w:sz w:val="18"/>
                <w:szCs w:val="18"/>
              </w:rPr>
              <w:t>0.8</w:t>
            </w:r>
          </w:p>
        </w:tc>
      </w:tr>
    </w:tbl>
    <w:p w14:paraId="0B298C45">
      <w:pPr>
        <w:adjustRightInd w:val="0"/>
        <w:snapToGrid w:val="0"/>
        <w:spacing w:line="360" w:lineRule="auto"/>
        <w:ind w:firstLine="424" w:firstLineChars="202"/>
        <w:rPr>
          <w:rFonts w:eastAsia="宋体" w:cs="Times New Roman"/>
          <w:bCs/>
          <w:sz w:val="21"/>
          <w:szCs w:val="21"/>
        </w:rPr>
      </w:pPr>
    </w:p>
    <w:p w14:paraId="77F65AF3">
      <w:pPr>
        <w:spacing w:line="360" w:lineRule="auto"/>
        <w:ind w:firstLine="361"/>
        <w:jc w:val="center"/>
        <w:rPr>
          <w:rFonts w:eastAsia="宋体" w:cs="Times New Roman"/>
          <w:b/>
          <w:sz w:val="18"/>
          <w:szCs w:val="18"/>
        </w:rPr>
      </w:pPr>
      <w:r>
        <w:rPr>
          <w:rFonts w:hint="eastAsia" w:eastAsia="宋体" w:cs="Times New Roman"/>
          <w:b/>
          <w:sz w:val="18"/>
          <w:szCs w:val="18"/>
        </w:rPr>
        <w:t>续</w:t>
      </w:r>
      <w:r>
        <w:rPr>
          <w:rFonts w:eastAsia="宋体" w:cs="Times New Roman"/>
          <w:b/>
          <w:sz w:val="18"/>
          <w:szCs w:val="18"/>
        </w:rPr>
        <w:t xml:space="preserve">表6.4.2 </w:t>
      </w:r>
    </w:p>
    <w:tbl>
      <w:tblPr>
        <w:tblStyle w:val="19"/>
        <w:tblW w:w="7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784"/>
        <w:gridCol w:w="1701"/>
        <w:gridCol w:w="1701"/>
      </w:tblGrid>
      <w:tr w14:paraId="1F7F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14:paraId="2DAB54CC">
            <w:pPr>
              <w:spacing w:line="360" w:lineRule="auto"/>
              <w:ind w:firstLine="0" w:firstLineChars="0"/>
              <w:jc w:val="center"/>
              <w:rPr>
                <w:rFonts w:eastAsia="宋体" w:cs="Times New Roman"/>
                <w:bCs/>
                <w:sz w:val="18"/>
                <w:szCs w:val="18"/>
              </w:rPr>
            </w:pPr>
            <w:r>
              <w:rPr>
                <w:rFonts w:eastAsia="宋体" w:cs="Times New Roman"/>
                <w:bCs/>
                <w:sz w:val="18"/>
                <w:szCs w:val="18"/>
              </w:rPr>
              <w:t>管道类别</w:t>
            </w:r>
          </w:p>
        </w:tc>
        <w:tc>
          <w:tcPr>
            <w:tcW w:w="1784" w:type="dxa"/>
            <w:vAlign w:val="center"/>
          </w:tcPr>
          <w:p w14:paraId="7E48FA63">
            <w:pPr>
              <w:spacing w:line="360" w:lineRule="auto"/>
              <w:ind w:firstLine="0" w:firstLineChars="0"/>
              <w:jc w:val="center"/>
              <w:rPr>
                <w:rFonts w:eastAsia="宋体" w:cs="Times New Roman"/>
                <w:bCs/>
                <w:sz w:val="18"/>
                <w:szCs w:val="18"/>
              </w:rPr>
            </w:pPr>
            <w:r>
              <w:rPr>
                <w:rFonts w:eastAsia="宋体" w:cs="Times New Roman"/>
                <w:bCs/>
                <w:sz w:val="18"/>
                <w:szCs w:val="18"/>
              </w:rPr>
              <w:t>绿化带</w:t>
            </w:r>
          </w:p>
        </w:tc>
        <w:tc>
          <w:tcPr>
            <w:tcW w:w="1701" w:type="dxa"/>
            <w:vAlign w:val="center"/>
          </w:tcPr>
          <w:p w14:paraId="2136AE90">
            <w:pPr>
              <w:spacing w:line="360" w:lineRule="auto"/>
              <w:ind w:firstLine="0" w:firstLineChars="0"/>
              <w:jc w:val="center"/>
              <w:rPr>
                <w:rFonts w:eastAsia="宋体" w:cs="Times New Roman"/>
                <w:bCs/>
                <w:sz w:val="18"/>
                <w:szCs w:val="18"/>
              </w:rPr>
            </w:pPr>
            <w:r>
              <w:rPr>
                <w:rFonts w:eastAsia="宋体" w:cs="Times New Roman"/>
                <w:bCs/>
                <w:sz w:val="18"/>
                <w:szCs w:val="18"/>
              </w:rPr>
              <w:t>人行道</w:t>
            </w:r>
          </w:p>
        </w:tc>
        <w:tc>
          <w:tcPr>
            <w:tcW w:w="1701" w:type="dxa"/>
            <w:vAlign w:val="center"/>
          </w:tcPr>
          <w:p w14:paraId="626B911C">
            <w:pPr>
              <w:spacing w:line="360" w:lineRule="auto"/>
              <w:ind w:firstLine="0" w:firstLineChars="0"/>
              <w:jc w:val="center"/>
              <w:rPr>
                <w:rFonts w:eastAsia="宋体" w:cs="Times New Roman"/>
                <w:bCs/>
                <w:sz w:val="18"/>
                <w:szCs w:val="18"/>
              </w:rPr>
            </w:pPr>
            <w:r>
              <w:rPr>
                <w:rFonts w:eastAsia="宋体" w:cs="Times New Roman"/>
                <w:bCs/>
                <w:sz w:val="18"/>
                <w:szCs w:val="18"/>
              </w:rPr>
              <w:t>车行道</w:t>
            </w:r>
          </w:p>
        </w:tc>
      </w:tr>
      <w:tr w14:paraId="1FE9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14:paraId="7D8CD63A">
            <w:pPr>
              <w:spacing w:line="360" w:lineRule="auto"/>
              <w:ind w:firstLine="0" w:firstLineChars="0"/>
              <w:jc w:val="center"/>
              <w:rPr>
                <w:rFonts w:eastAsia="宋体" w:cs="Times New Roman"/>
                <w:bCs/>
                <w:sz w:val="18"/>
                <w:szCs w:val="18"/>
              </w:rPr>
            </w:pPr>
            <w:r>
              <w:rPr>
                <w:rFonts w:eastAsia="宋体" w:cs="Times New Roman"/>
                <w:bCs/>
                <w:sz w:val="18"/>
                <w:szCs w:val="18"/>
              </w:rPr>
              <w:t>金属导管</w:t>
            </w:r>
          </w:p>
        </w:tc>
        <w:tc>
          <w:tcPr>
            <w:tcW w:w="1784" w:type="dxa"/>
            <w:vAlign w:val="center"/>
          </w:tcPr>
          <w:p w14:paraId="47E63497">
            <w:pPr>
              <w:spacing w:line="360" w:lineRule="auto"/>
              <w:ind w:firstLine="0" w:firstLineChars="0"/>
              <w:jc w:val="center"/>
              <w:rPr>
                <w:rFonts w:eastAsia="宋体" w:cs="Times New Roman"/>
                <w:bCs/>
                <w:sz w:val="18"/>
                <w:szCs w:val="18"/>
              </w:rPr>
            </w:pPr>
            <w:r>
              <w:rPr>
                <w:rFonts w:eastAsia="宋体" w:cs="Times New Roman"/>
                <w:bCs/>
                <w:sz w:val="18"/>
                <w:szCs w:val="18"/>
              </w:rPr>
              <w:t>0.3</w:t>
            </w:r>
          </w:p>
        </w:tc>
        <w:tc>
          <w:tcPr>
            <w:tcW w:w="1701" w:type="dxa"/>
            <w:vAlign w:val="center"/>
          </w:tcPr>
          <w:p w14:paraId="526231E7">
            <w:pPr>
              <w:spacing w:line="360" w:lineRule="auto"/>
              <w:ind w:firstLine="0" w:firstLineChars="0"/>
              <w:jc w:val="center"/>
              <w:rPr>
                <w:rFonts w:eastAsia="宋体" w:cs="Times New Roman"/>
                <w:bCs/>
                <w:sz w:val="18"/>
                <w:szCs w:val="18"/>
              </w:rPr>
            </w:pPr>
            <w:r>
              <w:rPr>
                <w:rFonts w:eastAsia="宋体" w:cs="Times New Roman"/>
                <w:bCs/>
                <w:sz w:val="18"/>
                <w:szCs w:val="18"/>
              </w:rPr>
              <w:t>0.5</w:t>
            </w:r>
          </w:p>
        </w:tc>
        <w:tc>
          <w:tcPr>
            <w:tcW w:w="1701" w:type="dxa"/>
            <w:vAlign w:val="center"/>
          </w:tcPr>
          <w:p w14:paraId="213725D9">
            <w:pPr>
              <w:spacing w:line="360" w:lineRule="auto"/>
              <w:ind w:firstLine="0" w:firstLineChars="0"/>
              <w:jc w:val="center"/>
              <w:rPr>
                <w:rFonts w:eastAsia="宋体" w:cs="Times New Roman"/>
                <w:bCs/>
                <w:sz w:val="18"/>
                <w:szCs w:val="18"/>
              </w:rPr>
            </w:pPr>
            <w:r>
              <w:rPr>
                <w:rFonts w:eastAsia="宋体" w:cs="Times New Roman"/>
                <w:bCs/>
                <w:sz w:val="18"/>
                <w:szCs w:val="18"/>
              </w:rPr>
              <w:t>0.6</w:t>
            </w:r>
          </w:p>
        </w:tc>
      </w:tr>
    </w:tbl>
    <w:p w14:paraId="47A75E1A">
      <w:pPr>
        <w:spacing w:line="360" w:lineRule="auto"/>
        <w:ind w:firstLine="420"/>
        <w:rPr>
          <w:rFonts w:eastAsia="宋体" w:cs="Times New Roman"/>
          <w:bCs/>
          <w:sz w:val="21"/>
          <w:szCs w:val="21"/>
        </w:rPr>
      </w:pPr>
    </w:p>
    <w:p w14:paraId="4E7D6246">
      <w:pPr>
        <w:spacing w:line="360" w:lineRule="auto"/>
        <w:ind w:firstLine="420"/>
        <w:rPr>
          <w:rFonts w:eastAsia="宋体" w:cs="Times New Roman"/>
          <w:bCs/>
          <w:sz w:val="21"/>
          <w:szCs w:val="21"/>
        </w:rPr>
      </w:pPr>
      <w:r>
        <w:rPr>
          <w:rFonts w:eastAsia="宋体" w:cs="Times New Roman"/>
          <w:bCs/>
          <w:sz w:val="21"/>
          <w:szCs w:val="21"/>
        </w:rPr>
        <w:t>6 布线导管与热力管同侧敷设时，应采取隔热措施；</w:t>
      </w:r>
    </w:p>
    <w:p w14:paraId="216CB5D7">
      <w:pPr>
        <w:spacing w:line="360" w:lineRule="auto"/>
        <w:ind w:firstLine="420"/>
        <w:rPr>
          <w:rFonts w:eastAsia="宋体" w:cs="Times New Roman"/>
          <w:bCs/>
          <w:sz w:val="21"/>
          <w:szCs w:val="21"/>
        </w:rPr>
      </w:pPr>
      <w:r>
        <w:rPr>
          <w:rFonts w:eastAsia="宋体" w:cs="Times New Roman"/>
          <w:bCs/>
          <w:sz w:val="21"/>
          <w:szCs w:val="21"/>
        </w:rPr>
        <w:t>7</w:t>
      </w:r>
      <w:r>
        <w:rPr>
          <w:rFonts w:hint="eastAsia" w:eastAsia="宋体" w:cs="Times New Roman"/>
          <w:bCs/>
          <w:sz w:val="21"/>
          <w:szCs w:val="21"/>
        </w:rPr>
        <w:t xml:space="preserve"> </w:t>
      </w:r>
      <w:r>
        <w:rPr>
          <w:rFonts w:eastAsia="宋体" w:cs="Times New Roman"/>
          <w:bCs/>
          <w:sz w:val="21"/>
          <w:szCs w:val="21"/>
        </w:rPr>
        <w:t>穿过建筑物伸缩缝、沉降缝的布线导管、桥架应在穿过处加设不燃材料制作的套管或采取其他防变形措施，设置补偿装置，并应采用防火封堵材料封堵。</w:t>
      </w:r>
    </w:p>
    <w:p w14:paraId="23CCF76A">
      <w:pPr>
        <w:spacing w:line="360" w:lineRule="auto"/>
        <w:ind w:firstLine="0" w:firstLineChars="0"/>
        <w:rPr>
          <w:rFonts w:eastAsia="宋体" w:cs="Times New Roman"/>
          <w:bCs/>
          <w:sz w:val="21"/>
          <w:szCs w:val="21"/>
        </w:rPr>
      </w:pPr>
      <w:r>
        <w:rPr>
          <w:rFonts w:cs="Times New Roman" w:eastAsiaTheme="minorEastAsia"/>
          <w:bCs/>
          <w:iCs/>
          <w:sz w:val="21"/>
          <w:szCs w:val="21"/>
        </w:rPr>
        <w:t>6.</w:t>
      </w:r>
      <w:r>
        <w:rPr>
          <w:rFonts w:hint="eastAsia" w:cs="Times New Roman" w:eastAsiaTheme="minorEastAsia"/>
          <w:bCs/>
          <w:iCs/>
          <w:sz w:val="21"/>
          <w:szCs w:val="21"/>
        </w:rPr>
        <w:t xml:space="preserve">4.3 </w:t>
      </w:r>
      <w:r>
        <w:rPr>
          <w:rFonts w:eastAsia="宋体" w:cs="Times New Roman"/>
          <w:bCs/>
          <w:sz w:val="21"/>
          <w:szCs w:val="21"/>
        </w:rPr>
        <w:t>监测设施布线金属管道应</w:t>
      </w:r>
      <w:r>
        <w:rPr>
          <w:rFonts w:hint="eastAsia" w:eastAsia="宋体" w:cs="Times New Roman"/>
          <w:bCs/>
          <w:sz w:val="21"/>
          <w:szCs w:val="21"/>
        </w:rPr>
        <w:t>作做电位连接并可靠</w:t>
      </w:r>
      <w:r>
        <w:rPr>
          <w:rFonts w:eastAsia="宋体" w:cs="Times New Roman"/>
          <w:bCs/>
          <w:sz w:val="21"/>
          <w:szCs w:val="21"/>
        </w:rPr>
        <w:t>接地</w:t>
      </w:r>
      <w:r>
        <w:rPr>
          <w:rFonts w:hint="eastAsia" w:eastAsia="宋体" w:cs="Times New Roman"/>
          <w:bCs/>
          <w:sz w:val="21"/>
          <w:szCs w:val="21"/>
        </w:rPr>
        <w:t>。</w:t>
      </w:r>
    </w:p>
    <w:p w14:paraId="00BD3D98">
      <w:pPr>
        <w:widowControl/>
        <w:adjustRightInd w:val="0"/>
        <w:snapToGrid w:val="0"/>
        <w:spacing w:line="360" w:lineRule="auto"/>
        <w:ind w:firstLine="0" w:firstLineChars="0"/>
        <w:jc w:val="left"/>
        <w:rPr>
          <w:rFonts w:eastAsia="宋体" w:cs="Times New Roman"/>
          <w:bCs/>
          <w:sz w:val="21"/>
          <w:szCs w:val="21"/>
        </w:rPr>
      </w:pPr>
      <w:r>
        <w:rPr>
          <w:rFonts w:hint="eastAsia" w:eastAsia="宋体" w:cs="Times New Roman"/>
          <w:bCs/>
          <w:sz w:val="21"/>
          <w:szCs w:val="21"/>
        </w:rPr>
        <w:t>6.4.4 设置于室外的监测设施控制柜</w:t>
      </w:r>
      <w:r>
        <w:rPr>
          <w:rFonts w:eastAsia="宋体" w:cs="Times New Roman"/>
          <w:bCs/>
          <w:sz w:val="21"/>
          <w:szCs w:val="21"/>
        </w:rPr>
        <w:t>防护等级不</w:t>
      </w:r>
      <w:r>
        <w:rPr>
          <w:rFonts w:hint="eastAsia" w:eastAsia="宋体" w:cs="Times New Roman"/>
          <w:bCs/>
          <w:sz w:val="21"/>
          <w:szCs w:val="21"/>
        </w:rPr>
        <w:t>应</w:t>
      </w:r>
      <w:r>
        <w:rPr>
          <w:rFonts w:eastAsia="宋体" w:cs="Times New Roman"/>
          <w:bCs/>
          <w:sz w:val="21"/>
          <w:szCs w:val="21"/>
        </w:rPr>
        <w:t>低于IP65</w:t>
      </w:r>
      <w:r>
        <w:rPr>
          <w:rFonts w:hint="eastAsia" w:eastAsia="宋体" w:cs="Times New Roman"/>
          <w:bCs/>
          <w:sz w:val="21"/>
          <w:szCs w:val="21"/>
        </w:rPr>
        <w:t>，并可靠接地。</w:t>
      </w:r>
      <w:r>
        <w:rPr>
          <w:rFonts w:eastAsia="宋体" w:cs="Times New Roman"/>
          <w:bCs/>
          <w:sz w:val="21"/>
          <w:szCs w:val="21"/>
        </w:rPr>
        <w:t>落地安装</w:t>
      </w:r>
      <w:r>
        <w:rPr>
          <w:rFonts w:hint="eastAsia" w:eastAsia="宋体" w:cs="Times New Roman"/>
          <w:bCs/>
          <w:sz w:val="21"/>
          <w:szCs w:val="21"/>
        </w:rPr>
        <w:t>时</w:t>
      </w:r>
      <w:r>
        <w:rPr>
          <w:rFonts w:eastAsia="宋体" w:cs="Times New Roman"/>
          <w:bCs/>
          <w:sz w:val="21"/>
          <w:szCs w:val="21"/>
        </w:rPr>
        <w:t>柜下应设混凝土基础</w:t>
      </w:r>
      <w:r>
        <w:rPr>
          <w:rFonts w:hint="eastAsia" w:eastAsia="宋体" w:cs="Times New Roman"/>
          <w:bCs/>
          <w:sz w:val="21"/>
          <w:szCs w:val="21"/>
        </w:rPr>
        <w:t>，且不应低于</w:t>
      </w:r>
      <w:r>
        <w:rPr>
          <w:rFonts w:eastAsia="宋体" w:cs="Times New Roman"/>
          <w:bCs/>
          <w:sz w:val="21"/>
          <w:szCs w:val="21"/>
        </w:rPr>
        <w:t>300mm</w:t>
      </w:r>
      <w:r>
        <w:rPr>
          <w:rFonts w:hint="eastAsia" w:eastAsia="宋体" w:cs="Times New Roman"/>
          <w:bCs/>
          <w:sz w:val="21"/>
          <w:szCs w:val="21"/>
        </w:rPr>
        <w:t>；壁挂安装时，底边距地</w:t>
      </w:r>
      <w:r>
        <w:rPr>
          <w:rFonts w:eastAsia="宋体" w:cs="Times New Roman"/>
          <w:bCs/>
          <w:sz w:val="21"/>
          <w:szCs w:val="21"/>
        </w:rPr>
        <w:t>安装高度不</w:t>
      </w:r>
      <w:r>
        <w:rPr>
          <w:rFonts w:hint="eastAsia" w:eastAsia="宋体" w:cs="Times New Roman"/>
          <w:bCs/>
          <w:sz w:val="21"/>
          <w:szCs w:val="21"/>
        </w:rPr>
        <w:t>宜</w:t>
      </w:r>
      <w:r>
        <w:rPr>
          <w:rFonts w:eastAsia="宋体" w:cs="Times New Roman"/>
          <w:bCs/>
          <w:sz w:val="21"/>
          <w:szCs w:val="21"/>
        </w:rPr>
        <w:t>低于1400mm</w:t>
      </w:r>
      <w:r>
        <w:rPr>
          <w:rFonts w:hint="eastAsia" w:eastAsia="宋体" w:cs="Times New Roman"/>
          <w:bCs/>
          <w:sz w:val="21"/>
          <w:szCs w:val="21"/>
        </w:rPr>
        <w:t>。</w:t>
      </w:r>
    </w:p>
    <w:p w14:paraId="5A9AE96B">
      <w:pPr>
        <w:widowControl/>
        <w:spacing w:line="360" w:lineRule="auto"/>
        <w:ind w:firstLine="0" w:firstLineChars="0"/>
        <w:jc w:val="left"/>
        <w:rPr>
          <w:rFonts w:cs="Times New Roman" w:eastAsiaTheme="minorEastAsia"/>
          <w:bCs/>
          <w:iCs/>
          <w:sz w:val="21"/>
          <w:szCs w:val="21"/>
        </w:rPr>
      </w:pPr>
    </w:p>
    <w:p w14:paraId="73427D34">
      <w:pPr>
        <w:widowControl/>
        <w:spacing w:line="360" w:lineRule="auto"/>
        <w:ind w:firstLine="0" w:firstLineChars="0"/>
        <w:jc w:val="left"/>
        <w:rPr>
          <w:rFonts w:cs="Times New Roman" w:eastAsiaTheme="minorEastAsia"/>
          <w:bCs/>
          <w:iCs/>
          <w:sz w:val="21"/>
          <w:szCs w:val="21"/>
        </w:rPr>
      </w:pPr>
    </w:p>
    <w:p w14:paraId="45046EE2">
      <w:pPr>
        <w:widowControl/>
        <w:spacing w:line="360" w:lineRule="auto"/>
        <w:ind w:firstLine="0" w:firstLineChars="0"/>
        <w:jc w:val="left"/>
        <w:rPr>
          <w:rFonts w:cs="Times New Roman" w:eastAsiaTheme="minorEastAsia"/>
          <w:bCs/>
          <w:iCs/>
          <w:sz w:val="21"/>
          <w:szCs w:val="21"/>
        </w:rPr>
      </w:pPr>
    </w:p>
    <w:p w14:paraId="3C4DB34D">
      <w:pPr>
        <w:widowControl/>
        <w:spacing w:line="360" w:lineRule="auto"/>
        <w:ind w:firstLine="0" w:firstLineChars="0"/>
        <w:jc w:val="left"/>
        <w:rPr>
          <w:rFonts w:cs="Times New Roman" w:eastAsiaTheme="minorEastAsia"/>
          <w:bCs/>
          <w:iCs/>
          <w:sz w:val="21"/>
          <w:szCs w:val="21"/>
        </w:rPr>
      </w:pPr>
    </w:p>
    <w:p w14:paraId="3C98DB56">
      <w:pPr>
        <w:widowControl/>
        <w:spacing w:line="360" w:lineRule="auto"/>
        <w:ind w:firstLine="0" w:firstLineChars="0"/>
        <w:jc w:val="left"/>
        <w:rPr>
          <w:rFonts w:cs="Times New Roman" w:eastAsiaTheme="minorEastAsia"/>
          <w:bCs/>
          <w:iCs/>
          <w:sz w:val="21"/>
          <w:szCs w:val="21"/>
        </w:rPr>
      </w:pPr>
    </w:p>
    <w:p w14:paraId="3ED92029">
      <w:pPr>
        <w:widowControl/>
        <w:spacing w:line="360" w:lineRule="auto"/>
        <w:ind w:firstLine="0" w:firstLineChars="0"/>
        <w:jc w:val="left"/>
        <w:rPr>
          <w:rFonts w:cs="Times New Roman" w:eastAsiaTheme="minorEastAsia"/>
          <w:bCs/>
          <w:iCs/>
          <w:sz w:val="21"/>
          <w:szCs w:val="21"/>
        </w:rPr>
      </w:pPr>
    </w:p>
    <w:p w14:paraId="18393FE8">
      <w:pPr>
        <w:widowControl/>
        <w:spacing w:line="360" w:lineRule="auto"/>
        <w:ind w:firstLine="0" w:firstLineChars="0"/>
        <w:jc w:val="left"/>
        <w:rPr>
          <w:rFonts w:eastAsia="宋体" w:cs="Times New Roman"/>
          <w:bCs/>
          <w:sz w:val="24"/>
          <w:szCs w:val="21"/>
        </w:rPr>
      </w:pPr>
    </w:p>
    <w:p w14:paraId="7FAC0E69">
      <w:pPr>
        <w:widowControl/>
        <w:spacing w:line="360" w:lineRule="auto"/>
        <w:ind w:firstLine="0" w:firstLineChars="0"/>
        <w:jc w:val="left"/>
        <w:rPr>
          <w:rFonts w:eastAsia="宋体" w:cs="Times New Roman"/>
          <w:bCs/>
          <w:sz w:val="24"/>
          <w:szCs w:val="21"/>
        </w:rPr>
      </w:pPr>
    </w:p>
    <w:p w14:paraId="1DACFBC3">
      <w:pPr>
        <w:widowControl/>
        <w:spacing w:line="360" w:lineRule="auto"/>
        <w:ind w:firstLine="0" w:firstLineChars="0"/>
        <w:jc w:val="left"/>
        <w:rPr>
          <w:rFonts w:eastAsia="宋体" w:cs="Times New Roman"/>
          <w:bCs/>
          <w:sz w:val="24"/>
          <w:szCs w:val="21"/>
        </w:rPr>
      </w:pPr>
    </w:p>
    <w:p w14:paraId="592A8098">
      <w:pPr>
        <w:widowControl/>
        <w:spacing w:line="360" w:lineRule="auto"/>
        <w:ind w:firstLine="0" w:firstLineChars="0"/>
        <w:jc w:val="left"/>
        <w:rPr>
          <w:rFonts w:eastAsia="宋体" w:cs="Times New Roman"/>
          <w:bCs/>
          <w:sz w:val="24"/>
          <w:szCs w:val="21"/>
        </w:rPr>
      </w:pPr>
    </w:p>
    <w:p w14:paraId="47C6DBBA">
      <w:pPr>
        <w:widowControl/>
        <w:spacing w:line="360" w:lineRule="auto"/>
        <w:ind w:firstLine="0" w:firstLineChars="0"/>
        <w:jc w:val="left"/>
        <w:rPr>
          <w:rFonts w:eastAsia="宋体" w:cs="Times New Roman"/>
          <w:bCs/>
          <w:sz w:val="24"/>
          <w:szCs w:val="21"/>
        </w:rPr>
      </w:pPr>
    </w:p>
    <w:p w14:paraId="4795E84A">
      <w:pPr>
        <w:widowControl/>
        <w:spacing w:line="360" w:lineRule="auto"/>
        <w:ind w:firstLine="0" w:firstLineChars="0"/>
        <w:jc w:val="left"/>
        <w:rPr>
          <w:rFonts w:eastAsia="宋体" w:cs="Times New Roman"/>
          <w:bCs/>
          <w:sz w:val="24"/>
          <w:szCs w:val="21"/>
        </w:rPr>
      </w:pPr>
    </w:p>
    <w:p w14:paraId="7CB10BD3">
      <w:pPr>
        <w:widowControl/>
        <w:spacing w:line="360" w:lineRule="auto"/>
        <w:ind w:firstLine="0" w:firstLineChars="0"/>
        <w:jc w:val="left"/>
        <w:rPr>
          <w:rFonts w:eastAsia="宋体" w:cs="Times New Roman"/>
          <w:bCs/>
          <w:sz w:val="24"/>
          <w:szCs w:val="21"/>
        </w:rPr>
      </w:pPr>
    </w:p>
    <w:p w14:paraId="04326F5E">
      <w:pPr>
        <w:widowControl/>
        <w:spacing w:line="360" w:lineRule="auto"/>
        <w:ind w:firstLine="0" w:firstLineChars="0"/>
        <w:jc w:val="left"/>
        <w:rPr>
          <w:rFonts w:eastAsia="宋体" w:cs="Times New Roman"/>
          <w:bCs/>
          <w:sz w:val="24"/>
          <w:szCs w:val="21"/>
        </w:rPr>
      </w:pPr>
    </w:p>
    <w:p w14:paraId="1BBF9598">
      <w:pPr>
        <w:widowControl/>
        <w:spacing w:line="360" w:lineRule="auto"/>
        <w:ind w:firstLine="0" w:firstLineChars="0"/>
        <w:jc w:val="left"/>
        <w:rPr>
          <w:rFonts w:eastAsia="宋体" w:cs="Times New Roman"/>
          <w:bCs/>
          <w:sz w:val="24"/>
          <w:szCs w:val="21"/>
        </w:rPr>
      </w:pPr>
    </w:p>
    <w:p w14:paraId="747E7486">
      <w:pPr>
        <w:widowControl/>
        <w:spacing w:line="360" w:lineRule="auto"/>
        <w:ind w:firstLine="0" w:firstLineChars="0"/>
        <w:jc w:val="left"/>
        <w:rPr>
          <w:rFonts w:eastAsia="宋体" w:cs="Times New Roman"/>
          <w:bCs/>
          <w:sz w:val="24"/>
          <w:szCs w:val="21"/>
        </w:rPr>
      </w:pPr>
    </w:p>
    <w:p w14:paraId="4D4CD06B">
      <w:pPr>
        <w:widowControl/>
        <w:spacing w:line="360" w:lineRule="auto"/>
        <w:ind w:firstLine="0" w:firstLineChars="0"/>
        <w:jc w:val="left"/>
        <w:rPr>
          <w:rFonts w:eastAsia="宋体" w:cs="Times New Roman"/>
          <w:bCs/>
          <w:sz w:val="24"/>
          <w:szCs w:val="21"/>
        </w:rPr>
      </w:pPr>
    </w:p>
    <w:p w14:paraId="109DF647">
      <w:pPr>
        <w:widowControl/>
        <w:spacing w:line="360" w:lineRule="auto"/>
        <w:ind w:firstLine="0" w:firstLineChars="0"/>
        <w:jc w:val="left"/>
        <w:rPr>
          <w:rFonts w:eastAsia="宋体" w:cs="Times New Roman"/>
          <w:bCs/>
          <w:sz w:val="24"/>
          <w:szCs w:val="21"/>
        </w:rPr>
      </w:pPr>
    </w:p>
    <w:p w14:paraId="335F327E">
      <w:pPr>
        <w:widowControl/>
        <w:spacing w:line="360" w:lineRule="auto"/>
        <w:ind w:firstLine="0" w:firstLineChars="0"/>
        <w:jc w:val="left"/>
        <w:rPr>
          <w:rFonts w:eastAsia="宋体" w:cs="Times New Roman"/>
          <w:bCs/>
          <w:sz w:val="24"/>
          <w:szCs w:val="21"/>
        </w:rPr>
      </w:pPr>
    </w:p>
    <w:p w14:paraId="0D7DC9E1">
      <w:pPr>
        <w:widowControl/>
        <w:spacing w:line="360" w:lineRule="auto"/>
        <w:ind w:firstLine="0" w:firstLineChars="0"/>
        <w:jc w:val="left"/>
        <w:rPr>
          <w:rFonts w:eastAsia="宋体" w:cs="Times New Roman"/>
          <w:bCs/>
          <w:sz w:val="24"/>
          <w:szCs w:val="21"/>
        </w:rPr>
      </w:pPr>
    </w:p>
    <w:p w14:paraId="508FCB57">
      <w:pPr>
        <w:widowControl/>
        <w:spacing w:line="360" w:lineRule="auto"/>
        <w:ind w:firstLine="0" w:firstLineChars="0"/>
        <w:jc w:val="left"/>
        <w:rPr>
          <w:rFonts w:eastAsia="宋体" w:cs="Times New Roman"/>
          <w:bCs/>
          <w:sz w:val="24"/>
          <w:szCs w:val="21"/>
        </w:rPr>
      </w:pPr>
    </w:p>
    <w:p w14:paraId="05DB7855">
      <w:pPr>
        <w:widowControl/>
        <w:spacing w:line="360" w:lineRule="auto"/>
        <w:ind w:firstLine="0" w:firstLineChars="0"/>
        <w:jc w:val="left"/>
        <w:rPr>
          <w:rFonts w:eastAsia="宋体" w:cs="Times New Roman"/>
          <w:bCs/>
          <w:sz w:val="24"/>
          <w:szCs w:val="21"/>
        </w:rPr>
      </w:pPr>
    </w:p>
    <w:p w14:paraId="6E7652C6">
      <w:pPr>
        <w:pStyle w:val="2"/>
        <w:spacing w:before="340" w:after="156" w:line="480" w:lineRule="auto"/>
        <w:jc w:val="center"/>
        <w:rPr>
          <w:rFonts w:eastAsia="宋体" w:cs="Times New Roman"/>
          <w:b/>
          <w:color w:val="000000" w:themeColor="text1"/>
          <w:sz w:val="30"/>
          <w:szCs w:val="30"/>
          <w14:textFill>
            <w14:solidFill>
              <w14:schemeClr w14:val="tx1"/>
            </w14:solidFill>
          </w14:textFill>
        </w:rPr>
      </w:pPr>
      <w:bookmarkStart w:id="107" w:name="_Toc192799316"/>
      <w:r>
        <w:rPr>
          <w:rFonts w:cs="Times New Roman" w:eastAsiaTheme="minorEastAsia"/>
          <w:b/>
          <w:color w:val="000000" w:themeColor="text1"/>
          <w:sz w:val="30"/>
          <w:szCs w:val="30"/>
          <w14:textFill>
            <w14:solidFill>
              <w14:schemeClr w14:val="tx1"/>
            </w14:solidFill>
          </w14:textFill>
        </w:rPr>
        <w:t xml:space="preserve">7  </w:t>
      </w:r>
      <w:r>
        <w:rPr>
          <w:rFonts w:hint="eastAsia" w:ascii="宋体" w:hAnsi="宋体" w:eastAsia="宋体" w:cs="宋体"/>
          <w:b/>
          <w:color w:val="000000" w:themeColor="text1"/>
          <w:sz w:val="30"/>
          <w:szCs w:val="30"/>
          <w14:textFill>
            <w14:solidFill>
              <w14:schemeClr w14:val="tx1"/>
            </w14:solidFill>
          </w14:textFill>
        </w:rPr>
        <w:t>验收和交付</w:t>
      </w:r>
      <w:bookmarkEnd w:id="107"/>
    </w:p>
    <w:p w14:paraId="727D56A0">
      <w:pPr>
        <w:keepNext/>
        <w:keepLines/>
        <w:spacing w:line="360" w:lineRule="auto"/>
        <w:ind w:firstLine="0" w:firstLineChars="0"/>
        <w:jc w:val="center"/>
        <w:outlineLvl w:val="1"/>
        <w:rPr>
          <w:rFonts w:eastAsia="宋体" w:cs="Times New Roman"/>
          <w:b/>
          <w:bCs/>
          <w:sz w:val="28"/>
          <w:szCs w:val="28"/>
        </w:rPr>
      </w:pPr>
      <w:bookmarkStart w:id="108" w:name="_Toc192799317"/>
      <w:r>
        <w:rPr>
          <w:rFonts w:eastAsia="宋体" w:cs="Times New Roman"/>
          <w:b/>
          <w:bCs/>
          <w:sz w:val="28"/>
          <w:szCs w:val="28"/>
        </w:rPr>
        <w:t>7.1  一般规定</w:t>
      </w:r>
      <w:bookmarkEnd w:id="108"/>
    </w:p>
    <w:p w14:paraId="0602BB5C">
      <w:pPr>
        <w:adjustRightInd w:val="0"/>
        <w:snapToGrid w:val="0"/>
        <w:spacing w:line="360" w:lineRule="auto"/>
        <w:ind w:firstLine="0" w:firstLineChars="0"/>
        <w:rPr>
          <w:rFonts w:eastAsia="宋体" w:cs="Times New Roman"/>
          <w:iCs/>
          <w:sz w:val="21"/>
          <w:szCs w:val="21"/>
        </w:rPr>
      </w:pPr>
      <w:r>
        <w:rPr>
          <w:rFonts w:eastAsia="宋体" w:cs="Times New Roman"/>
          <w:iCs/>
          <w:sz w:val="21"/>
          <w:szCs w:val="21"/>
        </w:rPr>
        <w:t xml:space="preserve">7.1.1 </w:t>
      </w:r>
      <w:r>
        <w:rPr>
          <w:rFonts w:eastAsia="宋体" w:cs="Times New Roman"/>
          <w:bCs/>
          <w:sz w:val="21"/>
          <w:szCs w:val="21"/>
        </w:rPr>
        <w:t>施工单位施工结束后，应按规定程序和内容进行检测，确认达到合同和设计要求后，向建设单位提交完工报告，申请验收。</w:t>
      </w:r>
    </w:p>
    <w:p w14:paraId="74E00A1C">
      <w:pPr>
        <w:adjustRightInd w:val="0"/>
        <w:snapToGrid w:val="0"/>
        <w:spacing w:line="360" w:lineRule="auto"/>
        <w:ind w:firstLine="0" w:firstLineChars="0"/>
        <w:rPr>
          <w:rFonts w:eastAsia="宋体" w:cs="Times New Roman"/>
          <w:iCs/>
          <w:sz w:val="21"/>
          <w:szCs w:val="21"/>
        </w:rPr>
      </w:pPr>
      <w:r>
        <w:rPr>
          <w:rFonts w:eastAsia="宋体" w:cs="Times New Roman"/>
          <w:iCs/>
          <w:sz w:val="21"/>
          <w:szCs w:val="21"/>
        </w:rPr>
        <w:t>7.1.2 建设单位应按合同要求组织施工、设计、监理等单位组成验收组进行竣工验收，验收合格后方可投入使用。</w:t>
      </w:r>
    </w:p>
    <w:p w14:paraId="0708F4CA">
      <w:pPr>
        <w:adjustRightInd w:val="0"/>
        <w:snapToGrid w:val="0"/>
        <w:spacing w:line="360" w:lineRule="auto"/>
        <w:ind w:firstLine="0" w:firstLineChars="0"/>
        <w:rPr>
          <w:rFonts w:eastAsia="宋体" w:cs="Times New Roman"/>
          <w:bCs/>
          <w:sz w:val="21"/>
          <w:szCs w:val="21"/>
        </w:rPr>
      </w:pPr>
      <w:r>
        <w:rPr>
          <w:rFonts w:cs="Times New Roman" w:eastAsiaTheme="minorEastAsia"/>
          <w:iCs/>
          <w:color w:val="000000" w:themeColor="text1"/>
          <w:sz w:val="21"/>
          <w:szCs w:val="21"/>
          <w14:textFill>
            <w14:solidFill>
              <w14:schemeClr w14:val="tx1"/>
            </w14:solidFill>
          </w14:textFill>
        </w:rPr>
        <w:t xml:space="preserve">7.1.3 </w:t>
      </w:r>
      <w:r>
        <w:rPr>
          <w:rFonts w:eastAsia="宋体" w:cs="Times New Roman"/>
          <w:bCs/>
          <w:sz w:val="21"/>
          <w:szCs w:val="21"/>
        </w:rPr>
        <w:t>隐蔽工程应在验收合格后进行封闭施工。室内隐蔽工程施工与验收应在装饰工程施工前进行，并应有现场施工记录或相应数据记录。</w:t>
      </w:r>
    </w:p>
    <w:p w14:paraId="4D9F5593">
      <w:pPr>
        <w:adjustRightInd w:val="0"/>
        <w:snapToGrid w:val="0"/>
        <w:spacing w:line="360" w:lineRule="auto"/>
        <w:ind w:firstLine="0" w:firstLineChars="0"/>
        <w:rPr>
          <w:rFonts w:eastAsia="宋体" w:cs="Times New Roman"/>
          <w:iCs/>
          <w:sz w:val="21"/>
          <w:szCs w:val="21"/>
        </w:rPr>
      </w:pPr>
      <w:r>
        <w:rPr>
          <w:rFonts w:eastAsia="宋体" w:cs="Times New Roman"/>
          <w:iCs/>
          <w:sz w:val="21"/>
          <w:szCs w:val="21"/>
        </w:rPr>
        <w:t>7.1.4 工程建设和数据处理应符合信息安全的要求，应提交用户试用意见反馈报告。</w:t>
      </w:r>
    </w:p>
    <w:p w14:paraId="582B55AE">
      <w:pPr>
        <w:keepNext/>
        <w:keepLines/>
        <w:spacing w:line="360" w:lineRule="auto"/>
        <w:ind w:firstLine="0" w:firstLineChars="0"/>
        <w:jc w:val="center"/>
        <w:outlineLvl w:val="1"/>
        <w:rPr>
          <w:rFonts w:eastAsia="宋体" w:cs="Times New Roman"/>
          <w:b/>
          <w:bCs/>
          <w:sz w:val="28"/>
          <w:szCs w:val="28"/>
        </w:rPr>
      </w:pPr>
      <w:bookmarkStart w:id="109" w:name="_Toc192799318"/>
      <w:r>
        <w:rPr>
          <w:rFonts w:eastAsia="宋体" w:cs="Times New Roman"/>
          <w:b/>
          <w:bCs/>
          <w:sz w:val="28"/>
          <w:szCs w:val="28"/>
        </w:rPr>
        <w:t>7.2  验收要求</w:t>
      </w:r>
      <w:bookmarkEnd w:id="109"/>
    </w:p>
    <w:p w14:paraId="6D74DBF8">
      <w:pPr>
        <w:adjustRightInd w:val="0"/>
        <w:snapToGrid w:val="0"/>
        <w:spacing w:line="360" w:lineRule="auto"/>
        <w:ind w:firstLine="0" w:firstLineChars="0"/>
        <w:rPr>
          <w:rFonts w:eastAsia="宋体" w:cs="Times New Roman"/>
          <w:iCs/>
          <w:sz w:val="21"/>
          <w:szCs w:val="21"/>
        </w:rPr>
      </w:pPr>
      <w:r>
        <w:rPr>
          <w:rFonts w:eastAsia="宋体" w:cs="Times New Roman"/>
          <w:iCs/>
          <w:sz w:val="21"/>
          <w:szCs w:val="21"/>
        </w:rPr>
        <w:t>7.2.1 前端监测设施安装验收应符合以下要求：</w:t>
      </w:r>
    </w:p>
    <w:p w14:paraId="42EFAE6D">
      <w:pPr>
        <w:adjustRightInd w:val="0"/>
        <w:snapToGrid w:val="0"/>
        <w:spacing w:line="360" w:lineRule="auto"/>
        <w:ind w:firstLine="420"/>
        <w:rPr>
          <w:rFonts w:eastAsia="宋体" w:cs="Times New Roman"/>
          <w:iCs/>
          <w:sz w:val="21"/>
          <w:szCs w:val="21"/>
        </w:rPr>
      </w:pPr>
      <w:r>
        <w:rPr>
          <w:rFonts w:eastAsia="宋体" w:cs="Times New Roman"/>
          <w:iCs/>
          <w:sz w:val="21"/>
          <w:szCs w:val="21"/>
        </w:rPr>
        <w:t>1 燃气前端监测设施安装应符合4.2的相关规定，验收还应符合现行国家标准《</w:t>
      </w:r>
      <w:r>
        <w:rPr>
          <w:rFonts w:hint="eastAsia" w:eastAsia="宋体" w:cs="Times New Roman"/>
          <w:iCs/>
          <w:sz w:val="21"/>
          <w:szCs w:val="21"/>
        </w:rPr>
        <w:t>城镇燃气输配工程施工及验收标准</w:t>
      </w:r>
      <w:r>
        <w:rPr>
          <w:rFonts w:eastAsia="宋体" w:cs="Times New Roman"/>
          <w:iCs/>
          <w:sz w:val="21"/>
          <w:szCs w:val="21"/>
        </w:rPr>
        <w:t>》</w:t>
      </w:r>
      <w:r>
        <w:rPr>
          <w:rFonts w:hint="eastAsia" w:eastAsia="宋体" w:cs="Times New Roman"/>
          <w:iCs/>
          <w:sz w:val="21"/>
          <w:szCs w:val="21"/>
        </w:rPr>
        <w:t>GB</w:t>
      </w:r>
      <w:r>
        <w:rPr>
          <w:rFonts w:cs="Times New Roman" w:eastAsiaTheme="minorEastAsia"/>
          <w:iCs/>
          <w:sz w:val="21"/>
          <w:szCs w:val="21"/>
        </w:rPr>
        <w:t>/</w:t>
      </w:r>
      <w:r>
        <w:rPr>
          <w:rFonts w:hint="eastAsia" w:eastAsia="宋体" w:cs="Times New Roman"/>
          <w:iCs/>
          <w:sz w:val="21"/>
          <w:szCs w:val="21"/>
        </w:rPr>
        <w:t>T</w:t>
      </w:r>
      <w:r>
        <w:rPr>
          <w:rFonts w:eastAsia="宋体" w:cs="Times New Roman"/>
          <w:iCs/>
          <w:sz w:val="21"/>
          <w:szCs w:val="21"/>
        </w:rPr>
        <w:t xml:space="preserve"> </w:t>
      </w:r>
      <w:r>
        <w:rPr>
          <w:rFonts w:hint="eastAsia" w:eastAsia="宋体" w:cs="Times New Roman"/>
          <w:iCs/>
          <w:sz w:val="21"/>
          <w:szCs w:val="21"/>
        </w:rPr>
        <w:t>51455</w:t>
      </w:r>
      <w:r>
        <w:rPr>
          <w:rFonts w:eastAsia="宋体" w:cs="Times New Roman"/>
          <w:iCs/>
          <w:sz w:val="21"/>
          <w:szCs w:val="21"/>
        </w:rPr>
        <w:t>的规定；</w:t>
      </w:r>
    </w:p>
    <w:p w14:paraId="2D568BDE">
      <w:pPr>
        <w:adjustRightInd w:val="0"/>
        <w:snapToGrid w:val="0"/>
        <w:spacing w:line="360" w:lineRule="auto"/>
        <w:ind w:firstLine="420"/>
        <w:rPr>
          <w:rFonts w:eastAsia="宋体" w:cs="Times New Roman"/>
          <w:iCs/>
          <w:sz w:val="21"/>
          <w:szCs w:val="21"/>
        </w:rPr>
      </w:pPr>
      <w:r>
        <w:rPr>
          <w:rFonts w:eastAsia="宋体" w:cs="Times New Roman"/>
          <w:iCs/>
          <w:sz w:val="21"/>
          <w:szCs w:val="21"/>
        </w:rPr>
        <w:t>2 供水前端监测设施安装应符合4.3的相关规定，验收还应符合现行国家标准</w:t>
      </w:r>
      <w:r>
        <w:rPr>
          <w:rFonts w:hint="eastAsia" w:eastAsia="宋体" w:cs="Times New Roman"/>
          <w:iCs/>
          <w:sz w:val="21"/>
          <w:szCs w:val="21"/>
        </w:rPr>
        <w:t>《给水排水管道工程施工及验收规范》GB</w:t>
      </w:r>
      <w:r>
        <w:rPr>
          <w:rFonts w:eastAsia="宋体" w:cs="Times New Roman"/>
          <w:iCs/>
          <w:sz w:val="21"/>
          <w:szCs w:val="21"/>
        </w:rPr>
        <w:t xml:space="preserve"> </w:t>
      </w:r>
      <w:r>
        <w:rPr>
          <w:rFonts w:hint="eastAsia" w:eastAsia="宋体" w:cs="Times New Roman"/>
          <w:iCs/>
          <w:sz w:val="21"/>
          <w:szCs w:val="21"/>
        </w:rPr>
        <w:t>50268</w:t>
      </w:r>
      <w:r>
        <w:rPr>
          <w:rFonts w:eastAsia="宋体" w:cs="Times New Roman"/>
          <w:iCs/>
          <w:sz w:val="21"/>
          <w:szCs w:val="21"/>
        </w:rPr>
        <w:t>的规定；</w:t>
      </w:r>
    </w:p>
    <w:p w14:paraId="4846A47B">
      <w:pPr>
        <w:adjustRightInd w:val="0"/>
        <w:snapToGrid w:val="0"/>
        <w:spacing w:line="360" w:lineRule="auto"/>
        <w:ind w:firstLine="420"/>
        <w:rPr>
          <w:rFonts w:eastAsia="宋体" w:cs="Times New Roman"/>
          <w:iCs/>
          <w:sz w:val="21"/>
          <w:szCs w:val="21"/>
        </w:rPr>
      </w:pPr>
      <w:r>
        <w:rPr>
          <w:rFonts w:eastAsia="宋体" w:cs="Times New Roman"/>
          <w:iCs/>
          <w:sz w:val="21"/>
          <w:szCs w:val="21"/>
        </w:rPr>
        <w:t>3 排水前端监测设施安装应符合4.4的相关规定，验收还应符合现行国家标准</w:t>
      </w:r>
      <w:r>
        <w:rPr>
          <w:rFonts w:hint="eastAsia" w:eastAsia="宋体" w:cs="Times New Roman"/>
          <w:iCs/>
          <w:sz w:val="21"/>
          <w:szCs w:val="21"/>
        </w:rPr>
        <w:t>《给水排水管道工程施工及验收规范》GB</w:t>
      </w:r>
      <w:r>
        <w:rPr>
          <w:rFonts w:eastAsia="宋体" w:cs="Times New Roman"/>
          <w:iCs/>
          <w:sz w:val="21"/>
          <w:szCs w:val="21"/>
        </w:rPr>
        <w:t xml:space="preserve"> </w:t>
      </w:r>
      <w:r>
        <w:rPr>
          <w:rFonts w:hint="eastAsia" w:eastAsia="宋体" w:cs="Times New Roman"/>
          <w:iCs/>
          <w:sz w:val="21"/>
          <w:szCs w:val="21"/>
        </w:rPr>
        <w:t>50268</w:t>
      </w:r>
      <w:r>
        <w:rPr>
          <w:rFonts w:eastAsia="宋体" w:cs="Times New Roman"/>
          <w:iCs/>
          <w:sz w:val="21"/>
          <w:szCs w:val="21"/>
        </w:rPr>
        <w:t>的规定；</w:t>
      </w:r>
    </w:p>
    <w:p w14:paraId="66F6C3B6">
      <w:pPr>
        <w:adjustRightInd w:val="0"/>
        <w:snapToGrid w:val="0"/>
        <w:spacing w:line="360" w:lineRule="auto"/>
        <w:ind w:firstLine="420"/>
        <w:rPr>
          <w:rFonts w:eastAsia="宋体" w:cs="Times New Roman"/>
          <w:iCs/>
          <w:sz w:val="21"/>
          <w:szCs w:val="21"/>
        </w:rPr>
      </w:pPr>
      <w:r>
        <w:rPr>
          <w:rFonts w:eastAsia="宋体" w:cs="Times New Roman"/>
          <w:iCs/>
          <w:sz w:val="21"/>
          <w:szCs w:val="21"/>
        </w:rPr>
        <w:t>4 热力前端监测设施安装应符合4.5的相关规定，验收还应符合现行行业标准《</w:t>
      </w:r>
      <w:r>
        <w:rPr>
          <w:rFonts w:hint="eastAsia" w:eastAsia="宋体" w:cs="Times New Roman"/>
          <w:iCs/>
          <w:sz w:val="21"/>
          <w:szCs w:val="21"/>
        </w:rPr>
        <w:t>城镇供热管网工程施工及验收规范</w:t>
      </w:r>
      <w:r>
        <w:rPr>
          <w:rFonts w:eastAsia="宋体" w:cs="Times New Roman"/>
          <w:iCs/>
          <w:sz w:val="21"/>
          <w:szCs w:val="21"/>
        </w:rPr>
        <w:t>》</w:t>
      </w:r>
      <w:r>
        <w:rPr>
          <w:rFonts w:hint="eastAsia" w:eastAsia="宋体" w:cs="Times New Roman"/>
          <w:iCs/>
          <w:sz w:val="21"/>
          <w:szCs w:val="21"/>
        </w:rPr>
        <w:t>CJJ28</w:t>
      </w:r>
      <w:r>
        <w:rPr>
          <w:rFonts w:eastAsia="宋体" w:cs="Times New Roman"/>
          <w:iCs/>
          <w:sz w:val="21"/>
          <w:szCs w:val="21"/>
        </w:rPr>
        <w:t>的规定；</w:t>
      </w:r>
    </w:p>
    <w:p w14:paraId="3C271440">
      <w:pPr>
        <w:adjustRightInd w:val="0"/>
        <w:snapToGrid w:val="0"/>
        <w:spacing w:line="360" w:lineRule="auto"/>
        <w:ind w:firstLine="420"/>
        <w:rPr>
          <w:rFonts w:eastAsia="宋体" w:cs="Times New Roman"/>
          <w:iCs/>
          <w:sz w:val="21"/>
          <w:szCs w:val="21"/>
        </w:rPr>
      </w:pPr>
      <w:r>
        <w:rPr>
          <w:rFonts w:eastAsia="宋体" w:cs="Times New Roman"/>
          <w:iCs/>
          <w:sz w:val="21"/>
          <w:szCs w:val="21"/>
        </w:rPr>
        <w:t>5 桥梁前端监测设施安装应符合4.6的相关规定，验收还应符合现行行业标准《</w:t>
      </w:r>
      <w:r>
        <w:rPr>
          <w:rFonts w:hint="eastAsia" w:eastAsia="宋体" w:cs="Times New Roman"/>
          <w:iCs/>
          <w:sz w:val="21"/>
          <w:szCs w:val="21"/>
        </w:rPr>
        <w:t>城市桥梁工程施工与质量验收规范</w:t>
      </w:r>
      <w:r>
        <w:rPr>
          <w:rFonts w:eastAsia="宋体" w:cs="Times New Roman"/>
          <w:iCs/>
          <w:sz w:val="21"/>
          <w:szCs w:val="21"/>
        </w:rPr>
        <w:t>》</w:t>
      </w:r>
      <w:r>
        <w:rPr>
          <w:rFonts w:hint="eastAsia" w:eastAsia="宋体" w:cs="Times New Roman"/>
          <w:iCs/>
          <w:sz w:val="21"/>
          <w:szCs w:val="21"/>
        </w:rPr>
        <w:t>CJJ2</w:t>
      </w:r>
      <w:r>
        <w:rPr>
          <w:rFonts w:eastAsia="宋体" w:cs="Times New Roman"/>
          <w:iCs/>
          <w:sz w:val="21"/>
          <w:szCs w:val="21"/>
        </w:rPr>
        <w:t>的规定；</w:t>
      </w:r>
    </w:p>
    <w:p w14:paraId="57FBB7AC">
      <w:pPr>
        <w:adjustRightInd w:val="0"/>
        <w:snapToGrid w:val="0"/>
        <w:spacing w:line="360" w:lineRule="auto"/>
        <w:ind w:firstLine="420"/>
        <w:rPr>
          <w:rFonts w:eastAsia="宋体" w:cs="Times New Roman"/>
          <w:iCs/>
          <w:sz w:val="21"/>
          <w:szCs w:val="21"/>
        </w:rPr>
      </w:pPr>
      <w:r>
        <w:rPr>
          <w:rFonts w:eastAsia="宋体" w:cs="Times New Roman"/>
          <w:iCs/>
          <w:sz w:val="21"/>
          <w:szCs w:val="21"/>
        </w:rPr>
        <w:t>6 综合管廊前端监测设施安装应符合4.7的相关规定，验收还应符合现行国家标准</w:t>
      </w:r>
      <w:r>
        <w:rPr>
          <w:rFonts w:hint="eastAsia" w:eastAsia="宋体" w:cs="Times New Roman"/>
          <w:iCs/>
          <w:sz w:val="21"/>
          <w:szCs w:val="21"/>
        </w:rPr>
        <w:t>《城市综合管廊工程技术规范》GB</w:t>
      </w:r>
      <w:r>
        <w:rPr>
          <w:rFonts w:eastAsia="宋体" w:cs="Times New Roman"/>
          <w:iCs/>
          <w:sz w:val="21"/>
          <w:szCs w:val="21"/>
        </w:rPr>
        <w:t xml:space="preserve"> </w:t>
      </w:r>
      <w:r>
        <w:rPr>
          <w:rFonts w:hint="eastAsia" w:eastAsia="宋体" w:cs="Times New Roman"/>
          <w:iCs/>
          <w:sz w:val="21"/>
          <w:szCs w:val="21"/>
        </w:rPr>
        <w:t>50838</w:t>
      </w:r>
      <w:r>
        <w:rPr>
          <w:rFonts w:eastAsia="宋体" w:cs="Times New Roman"/>
          <w:iCs/>
          <w:sz w:val="21"/>
          <w:szCs w:val="21"/>
        </w:rPr>
        <w:t>的规定。</w:t>
      </w:r>
    </w:p>
    <w:p w14:paraId="49DBABA1">
      <w:pPr>
        <w:adjustRightInd w:val="0"/>
        <w:snapToGrid w:val="0"/>
        <w:spacing w:line="360" w:lineRule="auto"/>
        <w:ind w:firstLine="0" w:firstLineChars="0"/>
        <w:rPr>
          <w:rFonts w:eastAsia="宋体" w:cs="Times New Roman"/>
          <w:iCs/>
          <w:sz w:val="21"/>
          <w:szCs w:val="21"/>
        </w:rPr>
      </w:pPr>
      <w:r>
        <w:rPr>
          <w:rFonts w:eastAsia="宋体" w:cs="Times New Roman"/>
          <w:iCs/>
          <w:sz w:val="21"/>
          <w:szCs w:val="21"/>
        </w:rPr>
        <w:t>7.2.2 前端监测设施应按安装总数的20%进行抽查，且抽查数量不少于5台，不足5台时应全部验收。</w:t>
      </w:r>
    </w:p>
    <w:p w14:paraId="41A057AB">
      <w:pPr>
        <w:adjustRightInd w:val="0"/>
        <w:snapToGrid w:val="0"/>
        <w:spacing w:line="360" w:lineRule="auto"/>
        <w:ind w:firstLine="0" w:firstLineChars="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 xml:space="preserve">7.2.3 </w:t>
      </w:r>
      <w:r>
        <w:rPr>
          <w:rFonts w:eastAsia="宋体" w:cs="Times New Roman"/>
          <w:iCs/>
          <w:sz w:val="21"/>
          <w:szCs w:val="21"/>
        </w:rPr>
        <w:t>前端监测设施</w:t>
      </w:r>
      <w:r>
        <w:rPr>
          <w:rFonts w:eastAsia="宋体" w:cs="Times New Roman"/>
          <w:color w:val="000000" w:themeColor="text1"/>
          <w:sz w:val="21"/>
          <w:szCs w:val="21"/>
          <w14:textFill>
            <w14:solidFill>
              <w14:schemeClr w14:val="tx1"/>
            </w14:solidFill>
          </w14:textFill>
        </w:rPr>
        <w:t>应进行试运行，试运行期不少于30天，试运行期间，每类</w:t>
      </w:r>
      <w:r>
        <w:rPr>
          <w:rFonts w:eastAsia="宋体" w:cs="Times New Roman"/>
          <w:iCs/>
          <w:sz w:val="21"/>
          <w:szCs w:val="21"/>
        </w:rPr>
        <w:t>前端监测设施</w:t>
      </w:r>
      <w:r>
        <w:rPr>
          <w:rFonts w:eastAsia="宋体" w:cs="Times New Roman"/>
          <w:color w:val="000000" w:themeColor="text1"/>
          <w:sz w:val="21"/>
          <w:szCs w:val="21"/>
          <w14:textFill>
            <w14:solidFill>
              <w14:schemeClr w14:val="tx1"/>
            </w14:solidFill>
          </w14:textFill>
        </w:rPr>
        <w:t>的技术指标达标率应不低于98%、在线率应不低于98%、故障率应不高于2%。</w:t>
      </w:r>
    </w:p>
    <w:p w14:paraId="5192631E">
      <w:pPr>
        <w:adjustRightInd w:val="0"/>
        <w:snapToGrid w:val="0"/>
        <w:spacing w:line="360" w:lineRule="auto"/>
        <w:ind w:firstLine="0" w:firstLineChars="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7.2.4 信号传输验收应符合现行国家标准《通信线路工程施工及验收技术规范》 GB 51158 的规定。</w:t>
      </w:r>
    </w:p>
    <w:p w14:paraId="4B0CFAC4">
      <w:pPr>
        <w:adjustRightInd w:val="0"/>
        <w:snapToGrid w:val="0"/>
        <w:spacing w:line="360" w:lineRule="auto"/>
        <w:ind w:firstLine="0" w:firstLineChars="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7.2.5 监测中心及附属设施验收应符合现行国家标准《智能建筑工程质量验收规范》 GB 50339、《数据中心基础设施施工及验收标准》GB50462的规定。</w:t>
      </w:r>
    </w:p>
    <w:p w14:paraId="46464D42">
      <w:pPr>
        <w:keepNext/>
        <w:keepLines/>
        <w:spacing w:line="360" w:lineRule="auto"/>
        <w:ind w:firstLine="0" w:firstLineChars="0"/>
        <w:jc w:val="center"/>
        <w:outlineLvl w:val="1"/>
        <w:rPr>
          <w:rFonts w:eastAsia="宋体" w:cs="Times New Roman"/>
          <w:b/>
          <w:bCs/>
          <w:sz w:val="28"/>
          <w:szCs w:val="28"/>
        </w:rPr>
      </w:pPr>
      <w:bookmarkStart w:id="110" w:name="_Toc192799319"/>
      <w:r>
        <w:rPr>
          <w:rFonts w:eastAsia="宋体" w:cs="Times New Roman"/>
          <w:b/>
          <w:bCs/>
          <w:sz w:val="28"/>
          <w:szCs w:val="28"/>
        </w:rPr>
        <w:t>7.3  验收文件</w:t>
      </w:r>
      <w:bookmarkEnd w:id="110"/>
    </w:p>
    <w:p w14:paraId="3204E074">
      <w:pPr>
        <w:adjustRightInd w:val="0"/>
        <w:snapToGrid w:val="0"/>
        <w:spacing w:line="360" w:lineRule="auto"/>
        <w:ind w:firstLine="0" w:firstLineChars="0"/>
        <w:rPr>
          <w:rFonts w:eastAsia="宋体" w:cs="Times New Roman"/>
          <w:bCs/>
          <w:sz w:val="21"/>
          <w:szCs w:val="21"/>
        </w:rPr>
      </w:pPr>
      <w:r>
        <w:rPr>
          <w:rFonts w:eastAsia="宋体" w:cs="Times New Roman"/>
          <w:iCs/>
          <w:sz w:val="21"/>
          <w:szCs w:val="21"/>
        </w:rPr>
        <w:t xml:space="preserve">7.3.1 </w:t>
      </w:r>
      <w:r>
        <w:rPr>
          <w:rFonts w:eastAsia="宋体" w:cs="Times New Roman"/>
          <w:bCs/>
          <w:sz w:val="21"/>
          <w:szCs w:val="21"/>
        </w:rPr>
        <w:t>验收文件应包括下列内容：</w:t>
      </w:r>
    </w:p>
    <w:p w14:paraId="78A9ECA7">
      <w:pPr>
        <w:adjustRightInd w:val="0"/>
        <w:snapToGrid w:val="0"/>
        <w:spacing w:line="360" w:lineRule="auto"/>
        <w:ind w:firstLine="420"/>
        <w:rPr>
          <w:rFonts w:eastAsia="宋体" w:cs="Times New Roman"/>
          <w:iCs/>
          <w:sz w:val="21"/>
          <w:szCs w:val="21"/>
        </w:rPr>
      </w:pPr>
      <w:r>
        <w:rPr>
          <w:rFonts w:eastAsia="宋体" w:cs="Times New Roman"/>
          <w:iCs/>
          <w:sz w:val="21"/>
          <w:szCs w:val="21"/>
        </w:rPr>
        <w:t>1 竣工验收申请报告；</w:t>
      </w:r>
    </w:p>
    <w:p w14:paraId="5E8FAFE4">
      <w:pPr>
        <w:adjustRightInd w:val="0"/>
        <w:snapToGrid w:val="0"/>
        <w:spacing w:line="360" w:lineRule="auto"/>
        <w:ind w:firstLine="420"/>
        <w:rPr>
          <w:rFonts w:eastAsia="宋体" w:cs="Times New Roman"/>
          <w:bCs/>
          <w:sz w:val="21"/>
          <w:szCs w:val="21"/>
        </w:rPr>
      </w:pPr>
      <w:r>
        <w:rPr>
          <w:rFonts w:eastAsia="宋体" w:cs="Times New Roman"/>
          <w:iCs/>
          <w:sz w:val="21"/>
          <w:szCs w:val="21"/>
        </w:rPr>
        <w:t xml:space="preserve">2 </w:t>
      </w:r>
      <w:r>
        <w:rPr>
          <w:rFonts w:eastAsia="宋体" w:cs="Times New Roman"/>
          <w:bCs/>
          <w:sz w:val="21"/>
          <w:szCs w:val="21"/>
        </w:rPr>
        <w:t>竣工图纸；</w:t>
      </w:r>
    </w:p>
    <w:p w14:paraId="497C974F">
      <w:pPr>
        <w:adjustRightInd w:val="0"/>
        <w:snapToGrid w:val="0"/>
        <w:spacing w:line="360" w:lineRule="auto"/>
        <w:ind w:firstLine="420"/>
        <w:rPr>
          <w:rFonts w:eastAsia="宋体" w:cs="Times New Roman"/>
          <w:bCs/>
          <w:sz w:val="21"/>
          <w:szCs w:val="21"/>
        </w:rPr>
      </w:pPr>
      <w:r>
        <w:rPr>
          <w:rFonts w:eastAsia="宋体" w:cs="Times New Roman"/>
          <w:iCs/>
          <w:sz w:val="21"/>
          <w:szCs w:val="21"/>
        </w:rPr>
        <w:t xml:space="preserve">3 </w:t>
      </w:r>
      <w:r>
        <w:rPr>
          <w:rFonts w:eastAsia="宋体" w:cs="Times New Roman"/>
          <w:bCs/>
          <w:sz w:val="21"/>
          <w:szCs w:val="21"/>
        </w:rPr>
        <w:t>设计变更记录和工程洽商记录；</w:t>
      </w:r>
    </w:p>
    <w:p w14:paraId="26893617">
      <w:pPr>
        <w:adjustRightInd w:val="0"/>
        <w:snapToGrid w:val="0"/>
        <w:spacing w:line="360" w:lineRule="auto"/>
        <w:ind w:firstLine="420"/>
        <w:rPr>
          <w:rFonts w:eastAsia="宋体" w:cs="Times New Roman"/>
          <w:bCs/>
          <w:sz w:val="21"/>
          <w:szCs w:val="21"/>
        </w:rPr>
      </w:pPr>
      <w:r>
        <w:rPr>
          <w:rFonts w:eastAsia="宋体" w:cs="Times New Roman"/>
          <w:iCs/>
          <w:sz w:val="21"/>
          <w:szCs w:val="21"/>
        </w:rPr>
        <w:t xml:space="preserve">4 </w:t>
      </w:r>
      <w:r>
        <w:rPr>
          <w:rFonts w:eastAsia="宋体" w:cs="Times New Roman"/>
          <w:bCs/>
          <w:sz w:val="21"/>
          <w:szCs w:val="21"/>
        </w:rPr>
        <w:t>设备材料进场检验记录和设备开箱检验记录；</w:t>
      </w:r>
    </w:p>
    <w:p w14:paraId="69FB43B7">
      <w:pPr>
        <w:adjustRightInd w:val="0"/>
        <w:snapToGrid w:val="0"/>
        <w:spacing w:line="360" w:lineRule="auto"/>
        <w:ind w:firstLine="420"/>
        <w:rPr>
          <w:rFonts w:eastAsia="宋体" w:cs="Times New Roman"/>
          <w:bCs/>
          <w:sz w:val="21"/>
          <w:szCs w:val="21"/>
        </w:rPr>
      </w:pPr>
      <w:r>
        <w:rPr>
          <w:rFonts w:eastAsia="宋体" w:cs="Times New Roman"/>
          <w:iCs/>
          <w:sz w:val="21"/>
          <w:szCs w:val="21"/>
        </w:rPr>
        <w:t xml:space="preserve">5 </w:t>
      </w:r>
      <w:r>
        <w:rPr>
          <w:rFonts w:eastAsia="宋体" w:cs="Times New Roman"/>
          <w:bCs/>
          <w:sz w:val="21"/>
          <w:szCs w:val="21"/>
        </w:rPr>
        <w:t>工程质量验收记录；</w:t>
      </w:r>
    </w:p>
    <w:p w14:paraId="47AD3D6D">
      <w:pPr>
        <w:adjustRightInd w:val="0"/>
        <w:snapToGrid w:val="0"/>
        <w:spacing w:line="360" w:lineRule="auto"/>
        <w:ind w:firstLine="420"/>
        <w:rPr>
          <w:rFonts w:eastAsia="宋体" w:cs="Times New Roman"/>
          <w:bCs/>
          <w:sz w:val="21"/>
          <w:szCs w:val="21"/>
        </w:rPr>
      </w:pPr>
      <w:r>
        <w:rPr>
          <w:rFonts w:eastAsia="宋体" w:cs="Times New Roman"/>
          <w:iCs/>
          <w:sz w:val="21"/>
          <w:szCs w:val="21"/>
        </w:rPr>
        <w:t>6</w:t>
      </w:r>
      <w:r>
        <w:rPr>
          <w:rFonts w:eastAsia="宋体" w:cs="Times New Roman"/>
          <w:bCs/>
          <w:sz w:val="21"/>
          <w:szCs w:val="21"/>
        </w:rPr>
        <w:t xml:space="preserve"> 试运行记录；</w:t>
      </w:r>
    </w:p>
    <w:p w14:paraId="5AAC55BB">
      <w:pPr>
        <w:adjustRightInd w:val="0"/>
        <w:snapToGrid w:val="0"/>
        <w:spacing w:line="360" w:lineRule="auto"/>
        <w:ind w:firstLine="420"/>
        <w:rPr>
          <w:rFonts w:eastAsia="宋体" w:cs="Times New Roman"/>
          <w:bCs/>
          <w:sz w:val="21"/>
          <w:szCs w:val="21"/>
        </w:rPr>
      </w:pPr>
      <w:r>
        <w:rPr>
          <w:rFonts w:eastAsia="宋体" w:cs="Times New Roman"/>
          <w:iCs/>
          <w:sz w:val="21"/>
          <w:szCs w:val="21"/>
        </w:rPr>
        <w:t>7</w:t>
      </w:r>
      <w:r>
        <w:rPr>
          <w:rFonts w:eastAsia="宋体" w:cs="Times New Roman"/>
          <w:bCs/>
          <w:sz w:val="21"/>
          <w:szCs w:val="21"/>
        </w:rPr>
        <w:t xml:space="preserve"> 系统检测记录；</w:t>
      </w:r>
    </w:p>
    <w:p w14:paraId="7262639E">
      <w:pPr>
        <w:adjustRightInd w:val="0"/>
        <w:snapToGrid w:val="0"/>
        <w:spacing w:line="360" w:lineRule="auto"/>
        <w:ind w:firstLine="420"/>
        <w:rPr>
          <w:rFonts w:eastAsia="宋体" w:cs="Times New Roman"/>
          <w:bCs/>
          <w:sz w:val="21"/>
          <w:szCs w:val="21"/>
        </w:rPr>
      </w:pPr>
      <w:r>
        <w:rPr>
          <w:rFonts w:eastAsia="宋体" w:cs="Times New Roman"/>
          <w:iCs/>
          <w:sz w:val="21"/>
          <w:szCs w:val="21"/>
        </w:rPr>
        <w:t>8</w:t>
      </w:r>
      <w:r>
        <w:rPr>
          <w:rFonts w:eastAsia="宋体" w:cs="Times New Roman"/>
          <w:bCs/>
          <w:sz w:val="21"/>
          <w:szCs w:val="21"/>
        </w:rPr>
        <w:t xml:space="preserve"> 培训记录和培训资料。</w:t>
      </w:r>
    </w:p>
    <w:p w14:paraId="0AEE6DE2">
      <w:pPr>
        <w:adjustRightInd w:val="0"/>
        <w:snapToGrid w:val="0"/>
        <w:spacing w:line="360" w:lineRule="auto"/>
        <w:ind w:firstLine="0" w:firstLineChars="0"/>
        <w:rPr>
          <w:rFonts w:eastAsia="宋体" w:cs="Times New Roman"/>
          <w:bCs/>
          <w:sz w:val="21"/>
          <w:szCs w:val="21"/>
        </w:rPr>
      </w:pPr>
      <w:r>
        <w:rPr>
          <w:rFonts w:eastAsia="宋体" w:cs="Times New Roman"/>
          <w:iCs/>
          <w:sz w:val="21"/>
          <w:szCs w:val="21"/>
        </w:rPr>
        <w:t>7.3.2 各种验收文件内容应齐全</w:t>
      </w:r>
      <w:r>
        <w:rPr>
          <w:rFonts w:eastAsia="宋体" w:cs="Times New Roman"/>
          <w:bCs/>
          <w:sz w:val="21"/>
          <w:szCs w:val="21"/>
        </w:rPr>
        <w:t>真实</w:t>
      </w:r>
      <w:r>
        <w:rPr>
          <w:rFonts w:eastAsia="宋体" w:cs="Times New Roman"/>
          <w:iCs/>
          <w:sz w:val="21"/>
          <w:szCs w:val="21"/>
        </w:rPr>
        <w:t>，符合合同内容和相关技术要求。</w:t>
      </w:r>
    </w:p>
    <w:p w14:paraId="74C12A3A">
      <w:pPr>
        <w:adjustRightInd w:val="0"/>
        <w:snapToGrid w:val="0"/>
        <w:spacing w:line="360" w:lineRule="auto"/>
        <w:ind w:firstLine="0" w:firstLineChars="0"/>
        <w:rPr>
          <w:rFonts w:eastAsia="宋体" w:cs="Times New Roman"/>
          <w:bCs/>
          <w:sz w:val="21"/>
          <w:szCs w:val="21"/>
        </w:rPr>
      </w:pPr>
      <w:r>
        <w:rPr>
          <w:rFonts w:eastAsia="宋体" w:cs="Times New Roman"/>
          <w:iCs/>
          <w:sz w:val="21"/>
          <w:szCs w:val="21"/>
        </w:rPr>
        <w:t xml:space="preserve">7.3.3 </w:t>
      </w:r>
      <w:r>
        <w:rPr>
          <w:rFonts w:eastAsia="宋体" w:cs="Times New Roman"/>
          <w:bCs/>
          <w:sz w:val="21"/>
          <w:szCs w:val="21"/>
        </w:rPr>
        <w:t>验收文件外观及版面整洁、规格一致、数据准确；文件装订应采用胶装方式并应符合现行国家标准《建设工程文件归档整理规范》 GB/T 50328相关规定。</w:t>
      </w:r>
    </w:p>
    <w:p w14:paraId="07564A98">
      <w:pPr>
        <w:keepNext/>
        <w:keepLines/>
        <w:spacing w:line="360" w:lineRule="auto"/>
        <w:ind w:firstLine="0" w:firstLineChars="0"/>
        <w:jc w:val="center"/>
        <w:outlineLvl w:val="1"/>
        <w:rPr>
          <w:rFonts w:eastAsia="宋体" w:cs="Times New Roman"/>
          <w:b/>
          <w:bCs/>
          <w:sz w:val="28"/>
          <w:szCs w:val="28"/>
        </w:rPr>
      </w:pPr>
      <w:bookmarkStart w:id="111" w:name="_Toc192799320"/>
      <w:r>
        <w:rPr>
          <w:rFonts w:eastAsia="宋体" w:cs="Times New Roman"/>
          <w:b/>
          <w:bCs/>
          <w:sz w:val="28"/>
          <w:szCs w:val="28"/>
        </w:rPr>
        <w:t>7.4  验收记录与结论</w:t>
      </w:r>
      <w:bookmarkEnd w:id="111"/>
    </w:p>
    <w:p w14:paraId="4BC56C5F">
      <w:pPr>
        <w:adjustRightInd w:val="0"/>
        <w:snapToGrid w:val="0"/>
        <w:spacing w:line="360" w:lineRule="auto"/>
        <w:ind w:firstLine="0" w:firstLineChars="0"/>
        <w:rPr>
          <w:rFonts w:eastAsia="宋体" w:cs="Times New Roman"/>
          <w:iCs/>
          <w:sz w:val="21"/>
          <w:szCs w:val="21"/>
        </w:rPr>
      </w:pPr>
      <w:r>
        <w:rPr>
          <w:rFonts w:eastAsia="宋体" w:cs="Times New Roman"/>
          <w:iCs/>
          <w:sz w:val="21"/>
          <w:szCs w:val="21"/>
        </w:rPr>
        <w:t>7.4.1 竣工验收合格结果应满足下列要求：</w:t>
      </w:r>
    </w:p>
    <w:p w14:paraId="52682AD3">
      <w:pPr>
        <w:adjustRightInd w:val="0"/>
        <w:snapToGrid w:val="0"/>
        <w:spacing w:line="360" w:lineRule="auto"/>
        <w:ind w:firstLine="420"/>
        <w:rPr>
          <w:rFonts w:eastAsia="宋体" w:cs="Times New Roman"/>
          <w:iCs/>
          <w:sz w:val="21"/>
          <w:szCs w:val="21"/>
        </w:rPr>
      </w:pPr>
      <w:r>
        <w:rPr>
          <w:rFonts w:eastAsia="宋体" w:cs="Times New Roman"/>
          <w:iCs/>
          <w:sz w:val="21"/>
          <w:szCs w:val="21"/>
        </w:rPr>
        <w:t>1 竣工验收文件齐全；</w:t>
      </w:r>
    </w:p>
    <w:p w14:paraId="690748A6">
      <w:pPr>
        <w:adjustRightInd w:val="0"/>
        <w:snapToGrid w:val="0"/>
        <w:spacing w:line="360" w:lineRule="auto"/>
        <w:ind w:firstLine="420"/>
        <w:rPr>
          <w:rFonts w:eastAsia="宋体" w:cs="Times New Roman"/>
          <w:iCs/>
          <w:sz w:val="21"/>
          <w:szCs w:val="21"/>
        </w:rPr>
      </w:pPr>
      <w:r>
        <w:rPr>
          <w:rFonts w:eastAsia="宋体" w:cs="Times New Roman"/>
          <w:iCs/>
          <w:sz w:val="21"/>
          <w:szCs w:val="21"/>
        </w:rPr>
        <w:t>2 观感质量符合要求；</w:t>
      </w:r>
    </w:p>
    <w:p w14:paraId="4E52CB76">
      <w:pPr>
        <w:adjustRightInd w:val="0"/>
        <w:snapToGrid w:val="0"/>
        <w:spacing w:line="360" w:lineRule="auto"/>
        <w:ind w:firstLine="420"/>
        <w:rPr>
          <w:rFonts w:eastAsia="宋体" w:cs="Times New Roman"/>
          <w:iCs/>
          <w:sz w:val="21"/>
          <w:szCs w:val="21"/>
        </w:rPr>
      </w:pPr>
      <w:r>
        <w:rPr>
          <w:rFonts w:eastAsia="宋体" w:cs="Times New Roman"/>
          <w:iCs/>
          <w:sz w:val="21"/>
          <w:szCs w:val="21"/>
        </w:rPr>
        <w:t>3 各验收项目不合格数量之和小于等于检查项目数量的2%。</w:t>
      </w:r>
    </w:p>
    <w:p w14:paraId="2CBA5C71">
      <w:pPr>
        <w:adjustRightInd w:val="0"/>
        <w:snapToGrid w:val="0"/>
        <w:spacing w:line="360" w:lineRule="auto"/>
        <w:ind w:firstLine="0" w:firstLineChars="0"/>
        <w:rPr>
          <w:rFonts w:eastAsia="宋体" w:cs="Times New Roman"/>
          <w:iCs/>
          <w:sz w:val="21"/>
          <w:szCs w:val="21"/>
        </w:rPr>
      </w:pPr>
      <w:r>
        <w:rPr>
          <w:rFonts w:eastAsia="宋体" w:cs="Times New Roman"/>
          <w:iCs/>
          <w:sz w:val="21"/>
          <w:szCs w:val="21"/>
        </w:rPr>
        <w:t>7.4.2 竣工验收记录应符合下列要求：</w:t>
      </w:r>
    </w:p>
    <w:p w14:paraId="52CBB7FD">
      <w:pPr>
        <w:numPr>
          <w:ilvl w:val="255"/>
          <w:numId w:val="0"/>
        </w:numPr>
        <w:adjustRightInd w:val="0"/>
        <w:snapToGrid w:val="0"/>
        <w:spacing w:line="360" w:lineRule="auto"/>
        <w:ind w:firstLine="420" w:firstLineChars="200"/>
        <w:rPr>
          <w:rFonts w:eastAsia="宋体" w:cs="Times New Roman"/>
          <w:bCs/>
          <w:sz w:val="21"/>
          <w:szCs w:val="21"/>
        </w:rPr>
      </w:pPr>
      <w:r>
        <w:rPr>
          <w:rFonts w:eastAsia="宋体" w:cs="Times New Roman"/>
          <w:bCs/>
          <w:sz w:val="21"/>
          <w:szCs w:val="21"/>
        </w:rPr>
        <w:t>1 施工单位填写《监测设施质量验收记录表》，设计单位和建设单位项目专业负责人作出验收结论，记录格式应符合附录A的表A.0.1的规定。</w:t>
      </w:r>
    </w:p>
    <w:p w14:paraId="05B79B25">
      <w:pPr>
        <w:adjustRightInd w:val="0"/>
        <w:snapToGrid w:val="0"/>
        <w:spacing w:line="360" w:lineRule="auto"/>
        <w:ind w:firstLine="420"/>
        <w:rPr>
          <w:rFonts w:eastAsia="宋体" w:cs="Times New Roman"/>
          <w:bCs/>
          <w:sz w:val="21"/>
          <w:szCs w:val="21"/>
        </w:rPr>
      </w:pPr>
      <w:r>
        <w:rPr>
          <w:rFonts w:eastAsia="宋体" w:cs="Times New Roman"/>
          <w:bCs/>
          <w:sz w:val="21"/>
          <w:szCs w:val="21"/>
        </w:rPr>
        <w:t>2 施工单位填写《监测设施验收资料审查记录表》，建设单位项目专业负责人作出检查结论，记录格式应符合附录A的表A.0.2的规定。</w:t>
      </w:r>
    </w:p>
    <w:p w14:paraId="7571368C">
      <w:pPr>
        <w:adjustRightInd w:val="0"/>
        <w:snapToGrid w:val="0"/>
        <w:spacing w:line="360" w:lineRule="auto"/>
        <w:ind w:firstLine="420"/>
        <w:rPr>
          <w:rFonts w:eastAsia="宋体" w:cs="Times New Roman"/>
          <w:bCs/>
          <w:sz w:val="21"/>
          <w:szCs w:val="21"/>
        </w:rPr>
      </w:pPr>
      <w:r>
        <w:rPr>
          <w:rFonts w:eastAsia="宋体" w:cs="Times New Roman"/>
          <w:bCs/>
          <w:sz w:val="21"/>
          <w:szCs w:val="21"/>
        </w:rPr>
        <w:t>3 施工单位填写《监测设施验收结论汇总记录表》，验收组作出检查结论，记录格式应符合附录A的表A.0.3的规定。</w:t>
      </w:r>
    </w:p>
    <w:p w14:paraId="29002E6F">
      <w:pPr>
        <w:adjustRightInd w:val="0"/>
        <w:snapToGrid w:val="0"/>
        <w:spacing w:line="360" w:lineRule="auto"/>
        <w:ind w:firstLine="0" w:firstLineChars="0"/>
        <w:rPr>
          <w:rFonts w:eastAsia="宋体" w:cs="Times New Roman"/>
          <w:iCs/>
          <w:sz w:val="21"/>
          <w:szCs w:val="21"/>
        </w:rPr>
      </w:pPr>
      <w:r>
        <w:rPr>
          <w:rFonts w:eastAsia="宋体" w:cs="Times New Roman"/>
          <w:iCs/>
          <w:sz w:val="21"/>
          <w:szCs w:val="21"/>
        </w:rPr>
        <w:t>7.4.3</w:t>
      </w:r>
      <w:r>
        <w:rPr>
          <w:rFonts w:hint="eastAsia" w:eastAsia="宋体" w:cs="Times New Roman"/>
          <w:iCs/>
          <w:sz w:val="21"/>
          <w:szCs w:val="21"/>
        </w:rPr>
        <w:t xml:space="preserve"> </w:t>
      </w:r>
      <w:r>
        <w:rPr>
          <w:rFonts w:eastAsia="宋体" w:cs="Times New Roman"/>
          <w:iCs/>
          <w:sz w:val="21"/>
          <w:szCs w:val="21"/>
        </w:rPr>
        <w:t>当各项工程项目中有不合格的，施工单位应限期修复或更换，并进行复验。复验时，对有抽验比例要求的，应加倍检验。</w:t>
      </w:r>
    </w:p>
    <w:p w14:paraId="067209B4">
      <w:pPr>
        <w:keepNext/>
        <w:keepLines/>
        <w:spacing w:line="360" w:lineRule="auto"/>
        <w:ind w:firstLine="0" w:firstLineChars="0"/>
        <w:jc w:val="center"/>
        <w:outlineLvl w:val="1"/>
        <w:rPr>
          <w:rFonts w:eastAsia="宋体" w:cs="Times New Roman"/>
          <w:b/>
          <w:bCs/>
          <w:sz w:val="28"/>
          <w:szCs w:val="28"/>
        </w:rPr>
      </w:pPr>
      <w:bookmarkStart w:id="112" w:name="_Toc192799321"/>
      <w:r>
        <w:rPr>
          <w:rFonts w:eastAsia="宋体" w:cs="Times New Roman"/>
          <w:b/>
          <w:bCs/>
          <w:sz w:val="28"/>
          <w:szCs w:val="28"/>
        </w:rPr>
        <w:t>7.</w:t>
      </w:r>
      <w:r>
        <w:rPr>
          <w:rFonts w:hint="eastAsia" w:eastAsia="宋体" w:cs="Times New Roman"/>
          <w:b/>
          <w:bCs/>
          <w:sz w:val="28"/>
          <w:szCs w:val="28"/>
        </w:rPr>
        <w:t>5</w:t>
      </w:r>
      <w:r>
        <w:rPr>
          <w:rFonts w:eastAsia="宋体" w:cs="Times New Roman"/>
          <w:b/>
          <w:bCs/>
          <w:sz w:val="28"/>
          <w:szCs w:val="28"/>
        </w:rPr>
        <w:t xml:space="preserve">  </w:t>
      </w:r>
      <w:r>
        <w:rPr>
          <w:rFonts w:hint="eastAsia" w:eastAsia="宋体" w:cs="Times New Roman"/>
          <w:b/>
          <w:bCs/>
          <w:sz w:val="28"/>
          <w:szCs w:val="28"/>
        </w:rPr>
        <w:t>综合调适与交付</w:t>
      </w:r>
      <w:bookmarkEnd w:id="112"/>
    </w:p>
    <w:p w14:paraId="22D7EFF3">
      <w:pPr>
        <w:widowControl/>
        <w:adjustRightInd w:val="0"/>
        <w:snapToGrid w:val="0"/>
        <w:spacing w:line="360" w:lineRule="auto"/>
        <w:ind w:firstLine="0" w:firstLineChars="0"/>
        <w:jc w:val="left"/>
        <w:rPr>
          <w:rFonts w:eastAsia="宋体" w:cs="Times New Roman"/>
          <w:bCs/>
          <w:sz w:val="21"/>
          <w:szCs w:val="21"/>
          <w:lang w:bidi="ar"/>
        </w:rPr>
      </w:pPr>
      <w:r>
        <w:rPr>
          <w:rFonts w:hint="eastAsia" w:eastAsia="宋体" w:cs="Times New Roman"/>
          <w:bCs/>
          <w:sz w:val="21"/>
          <w:szCs w:val="21"/>
          <w:lang w:bidi="ar"/>
        </w:rPr>
        <w:t>7.5.1</w:t>
      </w:r>
      <w:r>
        <w:rPr>
          <w:rFonts w:eastAsia="宋体" w:cs="Times New Roman"/>
          <w:bCs/>
          <w:sz w:val="21"/>
          <w:szCs w:val="21"/>
          <w:lang w:bidi="ar"/>
        </w:rPr>
        <w:t xml:space="preserve"> </w:t>
      </w:r>
      <w:r>
        <w:rPr>
          <w:rFonts w:hint="eastAsia" w:eastAsia="宋体" w:cs="Times New Roman"/>
          <w:bCs/>
          <w:sz w:val="21"/>
          <w:szCs w:val="21"/>
          <w:lang w:bidi="ar"/>
        </w:rPr>
        <w:t>监测设施</w:t>
      </w:r>
      <w:r>
        <w:rPr>
          <w:rFonts w:eastAsia="宋体" w:cs="Times New Roman"/>
          <w:bCs/>
          <w:sz w:val="21"/>
          <w:szCs w:val="21"/>
          <w:lang w:bidi="ar"/>
        </w:rPr>
        <w:t>在</w:t>
      </w:r>
      <w:r>
        <w:rPr>
          <w:rFonts w:hint="eastAsia" w:eastAsia="宋体" w:cs="Times New Roman"/>
          <w:bCs/>
          <w:sz w:val="21"/>
          <w:szCs w:val="21"/>
          <w:lang w:bidi="ar"/>
        </w:rPr>
        <w:t>交付</w:t>
      </w:r>
      <w:r>
        <w:rPr>
          <w:rFonts w:eastAsia="宋体" w:cs="Times New Roman"/>
          <w:bCs/>
          <w:sz w:val="21"/>
          <w:szCs w:val="21"/>
          <w:lang w:bidi="ar"/>
        </w:rPr>
        <w:t>实施之前，应</w:t>
      </w:r>
      <w:r>
        <w:rPr>
          <w:rFonts w:hint="eastAsia" w:eastAsia="宋体" w:cs="Times New Roman"/>
          <w:bCs/>
          <w:sz w:val="21"/>
          <w:szCs w:val="21"/>
          <w:lang w:bidi="ar"/>
        </w:rPr>
        <w:t>在单类设备和单个功能模块调试后进行综合调适，保证所有模块协同运行，整体功能达到设计要求。</w:t>
      </w:r>
    </w:p>
    <w:p w14:paraId="43B90737">
      <w:pPr>
        <w:widowControl/>
        <w:adjustRightInd w:val="0"/>
        <w:snapToGrid w:val="0"/>
        <w:spacing w:line="360" w:lineRule="auto"/>
        <w:ind w:firstLine="0" w:firstLineChars="0"/>
        <w:jc w:val="left"/>
        <w:rPr>
          <w:rFonts w:eastAsia="宋体" w:cs="Times New Roman"/>
          <w:bCs/>
          <w:sz w:val="21"/>
          <w:szCs w:val="21"/>
          <w:lang w:bidi="ar"/>
        </w:rPr>
      </w:pPr>
      <w:r>
        <w:rPr>
          <w:rFonts w:hint="eastAsia" w:eastAsia="宋体" w:cs="Times New Roman"/>
          <w:bCs/>
          <w:sz w:val="21"/>
          <w:szCs w:val="21"/>
          <w:lang w:bidi="ar"/>
        </w:rPr>
        <w:t>7.5.2</w:t>
      </w:r>
      <w:r>
        <w:rPr>
          <w:rFonts w:eastAsia="宋体" w:cs="Times New Roman"/>
          <w:bCs/>
          <w:sz w:val="21"/>
          <w:szCs w:val="21"/>
          <w:lang w:bidi="ar"/>
        </w:rPr>
        <w:t xml:space="preserve"> 综合调适宜</w:t>
      </w:r>
      <w:r>
        <w:rPr>
          <w:rFonts w:hint="eastAsia" w:eastAsia="宋体" w:cs="Times New Roman"/>
          <w:bCs/>
          <w:sz w:val="21"/>
          <w:szCs w:val="21"/>
          <w:lang w:bidi="ar"/>
        </w:rPr>
        <w:t>组建</w:t>
      </w:r>
      <w:r>
        <w:rPr>
          <w:rFonts w:eastAsia="宋体" w:cs="Times New Roman"/>
          <w:bCs/>
          <w:sz w:val="21"/>
          <w:szCs w:val="21"/>
          <w:lang w:bidi="ar"/>
        </w:rPr>
        <w:t>调适</w:t>
      </w:r>
      <w:r>
        <w:rPr>
          <w:rFonts w:hint="eastAsia" w:eastAsia="宋体" w:cs="Times New Roman"/>
          <w:bCs/>
          <w:sz w:val="21"/>
          <w:szCs w:val="21"/>
          <w:lang w:bidi="ar"/>
        </w:rPr>
        <w:t>小组，制定</w:t>
      </w:r>
      <w:r>
        <w:rPr>
          <w:rFonts w:eastAsia="宋体" w:cs="Times New Roman"/>
          <w:bCs/>
          <w:sz w:val="21"/>
          <w:szCs w:val="21"/>
          <w:lang w:bidi="ar"/>
        </w:rPr>
        <w:t>调适</w:t>
      </w:r>
      <w:r>
        <w:rPr>
          <w:rFonts w:hint="eastAsia" w:eastAsia="宋体" w:cs="Times New Roman"/>
          <w:bCs/>
          <w:sz w:val="21"/>
          <w:szCs w:val="21"/>
          <w:lang w:bidi="ar"/>
        </w:rPr>
        <w:t>计划，明确各方职责。</w:t>
      </w:r>
    </w:p>
    <w:p w14:paraId="2DFA07BE">
      <w:pPr>
        <w:widowControl/>
        <w:adjustRightInd w:val="0"/>
        <w:snapToGrid w:val="0"/>
        <w:spacing w:line="360" w:lineRule="auto"/>
        <w:ind w:firstLine="0" w:firstLineChars="0"/>
        <w:jc w:val="left"/>
        <w:rPr>
          <w:rFonts w:eastAsia="宋体" w:cs="Times New Roman"/>
          <w:bCs/>
          <w:sz w:val="21"/>
          <w:szCs w:val="21"/>
          <w:lang w:bidi="ar"/>
        </w:rPr>
      </w:pPr>
      <w:r>
        <w:rPr>
          <w:rFonts w:hint="eastAsia" w:eastAsia="宋体" w:cs="Times New Roman"/>
          <w:bCs/>
          <w:sz w:val="21"/>
          <w:szCs w:val="21"/>
          <w:lang w:bidi="ar"/>
        </w:rPr>
        <w:t>7.5.3 实施综合调适之前，应对监测设施的完整性、功能性和可操作性等调适条件和建设质量进行查验。</w:t>
      </w:r>
    </w:p>
    <w:p w14:paraId="4A1B96D3">
      <w:pPr>
        <w:widowControl/>
        <w:adjustRightInd w:val="0"/>
        <w:snapToGrid w:val="0"/>
        <w:spacing w:line="360" w:lineRule="auto"/>
        <w:ind w:firstLine="0" w:firstLineChars="0"/>
        <w:jc w:val="left"/>
        <w:rPr>
          <w:rFonts w:eastAsia="宋体" w:cs="Times New Roman"/>
          <w:bCs/>
          <w:sz w:val="21"/>
          <w:szCs w:val="21"/>
          <w:lang w:bidi="ar"/>
        </w:rPr>
      </w:pPr>
      <w:r>
        <w:rPr>
          <w:rFonts w:hint="eastAsia" w:eastAsia="宋体" w:cs="Times New Roman"/>
          <w:bCs/>
          <w:sz w:val="21"/>
          <w:szCs w:val="21"/>
          <w:lang w:bidi="ar"/>
        </w:rPr>
        <w:t>7.5.4 综合调适中，应分阶段交付监测设施的功能模块和相关资料。</w:t>
      </w:r>
    </w:p>
    <w:p w14:paraId="73629280">
      <w:pPr>
        <w:widowControl/>
        <w:adjustRightInd w:val="0"/>
        <w:snapToGrid w:val="0"/>
        <w:spacing w:line="360" w:lineRule="auto"/>
        <w:ind w:firstLine="0" w:firstLineChars="0"/>
        <w:jc w:val="left"/>
        <w:rPr>
          <w:rFonts w:eastAsia="宋体" w:cs="Times New Roman"/>
          <w:bCs/>
          <w:sz w:val="21"/>
          <w:szCs w:val="21"/>
          <w:lang w:bidi="ar"/>
        </w:rPr>
      </w:pPr>
      <w:r>
        <w:rPr>
          <w:rFonts w:hint="eastAsia" w:eastAsia="宋体" w:cs="Times New Roman"/>
          <w:bCs/>
          <w:sz w:val="21"/>
          <w:szCs w:val="21"/>
          <w:lang w:bidi="ar"/>
        </w:rPr>
        <w:t>7.5.5</w:t>
      </w:r>
      <w:r>
        <w:rPr>
          <w:rFonts w:eastAsia="宋体" w:cs="Times New Roman"/>
          <w:bCs/>
          <w:sz w:val="21"/>
          <w:szCs w:val="21"/>
          <w:lang w:bidi="ar"/>
        </w:rPr>
        <w:t xml:space="preserve"> </w:t>
      </w:r>
      <w:r>
        <w:rPr>
          <w:rFonts w:hint="eastAsia" w:eastAsia="宋体" w:cs="Times New Roman"/>
          <w:bCs/>
          <w:sz w:val="21"/>
          <w:szCs w:val="21"/>
          <w:lang w:bidi="ar"/>
        </w:rPr>
        <w:t>监测设施</w:t>
      </w:r>
      <w:r>
        <w:rPr>
          <w:rFonts w:eastAsia="宋体" w:cs="Times New Roman"/>
          <w:bCs/>
          <w:sz w:val="21"/>
          <w:szCs w:val="21"/>
          <w:lang w:bidi="ar"/>
        </w:rPr>
        <w:t>交付</w:t>
      </w:r>
      <w:r>
        <w:rPr>
          <w:rFonts w:hint="eastAsia" w:eastAsia="宋体" w:cs="Times New Roman"/>
          <w:bCs/>
          <w:sz w:val="21"/>
          <w:szCs w:val="21"/>
          <w:lang w:bidi="ar"/>
        </w:rPr>
        <w:t>使用</w:t>
      </w:r>
      <w:r>
        <w:rPr>
          <w:rFonts w:eastAsia="宋体" w:cs="Times New Roman"/>
          <w:bCs/>
          <w:sz w:val="21"/>
          <w:szCs w:val="21"/>
          <w:lang w:bidi="ar"/>
        </w:rPr>
        <w:t>时，</w:t>
      </w:r>
      <w:r>
        <w:rPr>
          <w:rFonts w:hint="eastAsia" w:eastAsia="宋体" w:cs="Times New Roman"/>
          <w:bCs/>
          <w:sz w:val="21"/>
          <w:szCs w:val="21"/>
          <w:lang w:bidi="ar"/>
        </w:rPr>
        <w:t>应对相关人员进行培训，并移交监测设施</w:t>
      </w:r>
      <w:r>
        <w:rPr>
          <w:rFonts w:eastAsia="宋体" w:cs="Times New Roman"/>
          <w:bCs/>
          <w:sz w:val="21"/>
          <w:szCs w:val="21"/>
          <w:lang w:bidi="ar"/>
        </w:rPr>
        <w:t>运行维护手册、综合调适全过程资料和调适报告</w:t>
      </w:r>
      <w:r>
        <w:rPr>
          <w:rFonts w:hint="eastAsia" w:eastAsia="宋体" w:cs="Times New Roman"/>
          <w:bCs/>
          <w:sz w:val="21"/>
          <w:szCs w:val="21"/>
          <w:lang w:bidi="ar"/>
        </w:rPr>
        <w:t>等材料，材料要求应具体附录B的表B.0.1的规定。</w:t>
      </w:r>
    </w:p>
    <w:p w14:paraId="1BF4F592">
      <w:pPr>
        <w:adjustRightInd w:val="0"/>
        <w:snapToGrid w:val="0"/>
        <w:spacing w:line="360" w:lineRule="auto"/>
        <w:ind w:firstLine="0" w:firstLineChars="0"/>
        <w:rPr>
          <w:rFonts w:eastAsia="宋体" w:cs="Times New Roman"/>
          <w:bCs/>
          <w:sz w:val="21"/>
          <w:szCs w:val="21"/>
        </w:rPr>
      </w:pPr>
    </w:p>
    <w:p w14:paraId="38247DED">
      <w:pPr>
        <w:widowControl/>
        <w:ind w:firstLine="0" w:firstLineChars="0"/>
        <w:jc w:val="left"/>
        <w:rPr>
          <w:rFonts w:eastAsia="宋体" w:cs="Times New Roman"/>
          <w:bCs/>
          <w:sz w:val="24"/>
          <w:szCs w:val="24"/>
        </w:rPr>
      </w:pPr>
      <w:bookmarkStart w:id="113" w:name="_Toc81553186"/>
      <w:bookmarkStart w:id="114" w:name="_Toc80621507"/>
      <w:bookmarkStart w:id="115" w:name="_Toc172221073"/>
      <w:r>
        <w:rPr>
          <w:rFonts w:eastAsia="宋体" w:cs="Times New Roman"/>
          <w:bCs/>
          <w:sz w:val="24"/>
          <w:szCs w:val="24"/>
        </w:rPr>
        <w:br w:type="page"/>
      </w:r>
    </w:p>
    <w:bookmarkEnd w:id="113"/>
    <w:bookmarkEnd w:id="114"/>
    <w:bookmarkEnd w:id="115"/>
    <w:p w14:paraId="673356B6">
      <w:pPr>
        <w:keepNext/>
        <w:keepLines/>
        <w:spacing w:before="120" w:beforeLines="50" w:after="120" w:afterLines="50" w:line="360" w:lineRule="auto"/>
        <w:ind w:firstLine="0" w:firstLineChars="0"/>
        <w:jc w:val="center"/>
        <w:outlineLvl w:val="0"/>
        <w:rPr>
          <w:rFonts w:cs="Times New Roman" w:eastAsiaTheme="minorEastAsia"/>
          <w:b/>
          <w:bCs/>
          <w:kern w:val="44"/>
          <w:sz w:val="36"/>
          <w:szCs w:val="36"/>
        </w:rPr>
      </w:pPr>
      <w:bookmarkStart w:id="116" w:name="_Toc80621508"/>
      <w:bookmarkStart w:id="117" w:name="_Toc172221076"/>
      <w:bookmarkStart w:id="118" w:name="_Toc81553187"/>
      <w:bookmarkStart w:id="119" w:name="_Toc192799322"/>
      <w:r>
        <w:rPr>
          <w:rFonts w:hint="eastAsia" w:ascii="宋体" w:hAnsi="宋体" w:eastAsia="宋体" w:cs="宋体"/>
          <w:b/>
          <w:bCs/>
          <w:color w:val="000000" w:themeColor="text1"/>
          <w:kern w:val="44"/>
          <w:sz w:val="30"/>
          <w:szCs w:val="30"/>
          <w14:textFill>
            <w14:solidFill>
              <w14:schemeClr w14:val="tx1"/>
            </w14:solidFill>
          </w14:textFill>
        </w:rPr>
        <w:t>附录</w:t>
      </w:r>
      <w:r>
        <w:rPr>
          <w:rFonts w:cs="Times New Roman" w:eastAsiaTheme="minorEastAsia"/>
          <w:b/>
          <w:bCs/>
          <w:color w:val="000000" w:themeColor="text1"/>
          <w:kern w:val="44"/>
          <w:sz w:val="30"/>
          <w:szCs w:val="30"/>
          <w14:textFill>
            <w14:solidFill>
              <w14:schemeClr w14:val="tx1"/>
            </w14:solidFill>
          </w14:textFill>
        </w:rPr>
        <w:t xml:space="preserve">A  </w:t>
      </w:r>
      <w:r>
        <w:rPr>
          <w:rFonts w:hint="eastAsia" w:ascii="宋体" w:hAnsi="宋体" w:eastAsia="宋体" w:cs="宋体"/>
          <w:b/>
          <w:bCs/>
          <w:color w:val="000000" w:themeColor="text1"/>
          <w:kern w:val="44"/>
          <w:sz w:val="30"/>
          <w:szCs w:val="30"/>
          <w14:textFill>
            <w14:solidFill>
              <w14:schemeClr w14:val="tx1"/>
            </w14:solidFill>
          </w14:textFill>
        </w:rPr>
        <w:t>监测设施</w:t>
      </w:r>
      <w:bookmarkEnd w:id="116"/>
      <w:r>
        <w:rPr>
          <w:rFonts w:hint="eastAsia" w:ascii="宋体" w:hAnsi="宋体" w:eastAsia="宋体" w:cs="宋体"/>
          <w:b/>
          <w:bCs/>
          <w:color w:val="000000" w:themeColor="text1"/>
          <w:kern w:val="44"/>
          <w:sz w:val="30"/>
          <w:szCs w:val="30"/>
          <w14:textFill>
            <w14:solidFill>
              <w14:schemeClr w14:val="tx1"/>
            </w14:solidFill>
          </w14:textFill>
        </w:rPr>
        <w:t>验收</w:t>
      </w:r>
      <w:bookmarkEnd w:id="117"/>
      <w:bookmarkEnd w:id="118"/>
      <w:r>
        <w:rPr>
          <w:rFonts w:hint="eastAsia" w:ascii="宋体" w:hAnsi="宋体" w:eastAsia="宋体" w:cs="宋体"/>
          <w:b/>
          <w:bCs/>
          <w:color w:val="000000" w:themeColor="text1"/>
          <w:kern w:val="44"/>
          <w:sz w:val="30"/>
          <w:szCs w:val="30"/>
          <w14:textFill>
            <w14:solidFill>
              <w14:schemeClr w14:val="tx1"/>
            </w14:solidFill>
          </w14:textFill>
        </w:rPr>
        <w:t>表</w:t>
      </w:r>
      <w:bookmarkEnd w:id="119"/>
    </w:p>
    <w:p w14:paraId="5D0256DB">
      <w:pPr>
        <w:spacing w:line="360" w:lineRule="auto"/>
        <w:ind w:firstLine="0" w:firstLineChars="0"/>
        <w:rPr>
          <w:rFonts w:eastAsia="宋体" w:cs="Times New Roman"/>
          <w:b/>
          <w:kern w:val="0"/>
          <w:sz w:val="21"/>
          <w:szCs w:val="21"/>
        </w:rPr>
      </w:pPr>
      <w:r>
        <w:rPr>
          <w:rFonts w:eastAsia="宋体" w:cs="Times New Roman"/>
          <w:b/>
          <w:kern w:val="0"/>
          <w:sz w:val="21"/>
          <w:szCs w:val="21"/>
        </w:rPr>
        <w:t>表</w:t>
      </w:r>
      <w:r>
        <w:rPr>
          <w:rFonts w:eastAsia="宋体" w:cs="Times New Roman"/>
          <w:b/>
          <w:iCs/>
          <w:color w:val="000000" w:themeColor="text1"/>
          <w:sz w:val="21"/>
          <w:szCs w:val="21"/>
          <w14:textFill>
            <w14:solidFill>
              <w14:schemeClr w14:val="tx1"/>
            </w14:solidFill>
          </w14:textFill>
        </w:rPr>
        <w:t xml:space="preserve">A.0.1 </w:t>
      </w:r>
      <w:r>
        <w:rPr>
          <w:rFonts w:eastAsia="宋体" w:cs="Times New Roman"/>
          <w:b/>
          <w:kern w:val="0"/>
          <w:sz w:val="21"/>
          <w:szCs w:val="21"/>
        </w:rPr>
        <w:t xml:space="preserve"> 监测设施质量验收记录</w:t>
      </w:r>
    </w:p>
    <w:p w14:paraId="2A025097">
      <w:pPr>
        <w:spacing w:line="360" w:lineRule="auto"/>
        <w:ind w:firstLine="0" w:firstLineChars="0"/>
        <w:jc w:val="center"/>
        <w:rPr>
          <w:rFonts w:eastAsia="宋体" w:cs="Times New Roman"/>
          <w:bCs/>
          <w:kern w:val="0"/>
          <w:sz w:val="18"/>
          <w:szCs w:val="18"/>
        </w:rPr>
      </w:pPr>
      <w:r>
        <w:rPr>
          <w:rFonts w:eastAsia="宋体" w:cs="Times New Roman"/>
          <w:b/>
          <w:kern w:val="0"/>
          <w:sz w:val="18"/>
          <w:szCs w:val="18"/>
        </w:rPr>
        <w:t>表</w:t>
      </w:r>
      <w:r>
        <w:rPr>
          <w:rFonts w:eastAsia="宋体" w:cs="Times New Roman"/>
          <w:b/>
          <w:iCs/>
          <w:color w:val="000000" w:themeColor="text1"/>
          <w:sz w:val="18"/>
          <w:szCs w:val="18"/>
          <w14:textFill>
            <w14:solidFill>
              <w14:schemeClr w14:val="tx1"/>
            </w14:solidFill>
          </w14:textFill>
        </w:rPr>
        <w:t xml:space="preserve">A.01 </w:t>
      </w:r>
      <w:r>
        <w:rPr>
          <w:rFonts w:eastAsia="宋体" w:cs="Times New Roman"/>
          <w:b/>
          <w:kern w:val="0"/>
          <w:sz w:val="18"/>
          <w:szCs w:val="18"/>
        </w:rPr>
        <w:t xml:space="preserve"> 监测设施质量验收记录表</w:t>
      </w:r>
    </w:p>
    <w:tbl>
      <w:tblPr>
        <w:tblStyle w:val="60"/>
        <w:tblW w:w="9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127"/>
        <w:gridCol w:w="1842"/>
        <w:gridCol w:w="251"/>
        <w:gridCol w:w="1243"/>
        <w:gridCol w:w="350"/>
        <w:gridCol w:w="500"/>
        <w:gridCol w:w="644"/>
        <w:gridCol w:w="1495"/>
      </w:tblGrid>
      <w:tr w14:paraId="27D25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tcBorders>
              <w:top w:val="single" w:color="auto" w:sz="4" w:space="0"/>
              <w:left w:val="single" w:color="auto" w:sz="4" w:space="0"/>
              <w:bottom w:val="single" w:color="auto" w:sz="4" w:space="0"/>
              <w:right w:val="single" w:color="auto" w:sz="4" w:space="0"/>
            </w:tcBorders>
            <w:vAlign w:val="center"/>
          </w:tcPr>
          <w:p w14:paraId="56FCD971">
            <w:pPr>
              <w:ind w:firstLine="0" w:firstLineChars="0"/>
              <w:jc w:val="center"/>
              <w:rPr>
                <w:rFonts w:eastAsia="宋体" w:cs="Times New Roman"/>
                <w:sz w:val="18"/>
                <w:szCs w:val="18"/>
              </w:rPr>
            </w:pPr>
            <w:r>
              <w:rPr>
                <w:rFonts w:eastAsia="宋体" w:cs="Times New Roman"/>
                <w:sz w:val="18"/>
                <w:szCs w:val="18"/>
              </w:rPr>
              <w:t>工程名称</w:t>
            </w:r>
          </w:p>
        </w:tc>
        <w:tc>
          <w:tcPr>
            <w:tcW w:w="2127" w:type="dxa"/>
            <w:tcBorders>
              <w:top w:val="single" w:color="auto" w:sz="4" w:space="0"/>
              <w:left w:val="single" w:color="auto" w:sz="4" w:space="0"/>
              <w:bottom w:val="single" w:color="auto" w:sz="4" w:space="0"/>
              <w:right w:val="single" w:color="auto" w:sz="4" w:space="0"/>
            </w:tcBorders>
            <w:vAlign w:val="center"/>
          </w:tcPr>
          <w:p w14:paraId="16EB7606">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7DA763F2">
            <w:pPr>
              <w:ind w:firstLine="0" w:firstLineChars="0"/>
              <w:jc w:val="center"/>
              <w:rPr>
                <w:rFonts w:eastAsia="宋体" w:cs="Times New Roman"/>
                <w:sz w:val="18"/>
                <w:szCs w:val="18"/>
              </w:rPr>
            </w:pPr>
            <w:r>
              <w:rPr>
                <w:rFonts w:eastAsia="宋体" w:cs="Times New Roman"/>
                <w:sz w:val="18"/>
                <w:szCs w:val="18"/>
              </w:rPr>
              <w:t>编 号</w:t>
            </w:r>
          </w:p>
        </w:tc>
        <w:tc>
          <w:tcPr>
            <w:tcW w:w="4483" w:type="dxa"/>
            <w:gridSpan w:val="6"/>
            <w:tcBorders>
              <w:top w:val="single" w:color="auto" w:sz="4" w:space="0"/>
              <w:left w:val="single" w:color="auto" w:sz="4" w:space="0"/>
              <w:bottom w:val="single" w:color="auto" w:sz="4" w:space="0"/>
              <w:right w:val="single" w:color="auto" w:sz="4" w:space="0"/>
            </w:tcBorders>
            <w:vAlign w:val="center"/>
          </w:tcPr>
          <w:p w14:paraId="540C0EB4">
            <w:pPr>
              <w:ind w:firstLine="0" w:firstLineChars="0"/>
              <w:jc w:val="center"/>
              <w:rPr>
                <w:rFonts w:eastAsia="宋体" w:cs="Times New Roman"/>
                <w:sz w:val="18"/>
                <w:szCs w:val="18"/>
              </w:rPr>
            </w:pPr>
          </w:p>
        </w:tc>
      </w:tr>
      <w:tr w14:paraId="25F9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tcBorders>
              <w:top w:val="single" w:color="auto" w:sz="4" w:space="0"/>
              <w:left w:val="single" w:color="auto" w:sz="4" w:space="0"/>
              <w:bottom w:val="single" w:color="auto" w:sz="4" w:space="0"/>
              <w:right w:val="single" w:color="auto" w:sz="4" w:space="0"/>
            </w:tcBorders>
            <w:vAlign w:val="center"/>
          </w:tcPr>
          <w:p w14:paraId="52B25253">
            <w:pPr>
              <w:ind w:firstLine="0" w:firstLineChars="0"/>
              <w:jc w:val="center"/>
              <w:rPr>
                <w:rFonts w:eastAsia="宋体" w:cs="Times New Roman"/>
                <w:sz w:val="18"/>
                <w:szCs w:val="18"/>
              </w:rPr>
            </w:pPr>
            <w:r>
              <w:rPr>
                <w:rFonts w:eastAsia="宋体" w:cs="Times New Roman"/>
                <w:sz w:val="18"/>
                <w:szCs w:val="18"/>
              </w:rPr>
              <w:t>施工单位</w:t>
            </w:r>
          </w:p>
        </w:tc>
        <w:tc>
          <w:tcPr>
            <w:tcW w:w="2127" w:type="dxa"/>
            <w:tcBorders>
              <w:top w:val="single" w:color="auto" w:sz="4" w:space="0"/>
              <w:left w:val="single" w:color="auto" w:sz="4" w:space="0"/>
              <w:bottom w:val="single" w:color="auto" w:sz="4" w:space="0"/>
              <w:right w:val="single" w:color="auto" w:sz="4" w:space="0"/>
            </w:tcBorders>
            <w:vAlign w:val="center"/>
          </w:tcPr>
          <w:p w14:paraId="4786E7D5">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3A1F77D0">
            <w:pPr>
              <w:ind w:firstLine="0" w:firstLineChars="0"/>
              <w:jc w:val="center"/>
              <w:rPr>
                <w:rFonts w:eastAsia="宋体" w:cs="Times New Roman"/>
                <w:sz w:val="18"/>
                <w:szCs w:val="18"/>
              </w:rPr>
            </w:pPr>
            <w:r>
              <w:rPr>
                <w:rFonts w:eastAsia="宋体" w:cs="Times New Roman"/>
                <w:sz w:val="18"/>
                <w:szCs w:val="18"/>
              </w:rPr>
              <w:t>技术负责人</w:t>
            </w:r>
          </w:p>
        </w:tc>
        <w:tc>
          <w:tcPr>
            <w:tcW w:w="1494" w:type="dxa"/>
            <w:gridSpan w:val="2"/>
            <w:tcBorders>
              <w:top w:val="single" w:color="auto" w:sz="4" w:space="0"/>
              <w:left w:val="single" w:color="auto" w:sz="4" w:space="0"/>
              <w:bottom w:val="single" w:color="auto" w:sz="4" w:space="0"/>
              <w:right w:val="single" w:color="auto" w:sz="4" w:space="0"/>
            </w:tcBorders>
            <w:vAlign w:val="center"/>
          </w:tcPr>
          <w:p w14:paraId="4903F54A">
            <w:pPr>
              <w:ind w:firstLine="0" w:firstLineChars="0"/>
              <w:jc w:val="center"/>
              <w:rPr>
                <w:rFonts w:eastAsia="宋体" w:cs="Times New Roman"/>
                <w:sz w:val="18"/>
                <w:szCs w:val="18"/>
              </w:rPr>
            </w:pPr>
          </w:p>
        </w:tc>
        <w:tc>
          <w:tcPr>
            <w:tcW w:w="1494" w:type="dxa"/>
            <w:gridSpan w:val="3"/>
            <w:tcBorders>
              <w:top w:val="single" w:color="auto" w:sz="4" w:space="0"/>
              <w:left w:val="single" w:color="auto" w:sz="4" w:space="0"/>
              <w:bottom w:val="single" w:color="auto" w:sz="4" w:space="0"/>
              <w:right w:val="single" w:color="auto" w:sz="4" w:space="0"/>
            </w:tcBorders>
            <w:vAlign w:val="center"/>
          </w:tcPr>
          <w:p w14:paraId="07A44C93">
            <w:pPr>
              <w:ind w:firstLine="0" w:firstLineChars="0"/>
              <w:jc w:val="center"/>
              <w:rPr>
                <w:rFonts w:eastAsia="宋体" w:cs="Times New Roman"/>
                <w:sz w:val="18"/>
                <w:szCs w:val="18"/>
              </w:rPr>
            </w:pPr>
            <w:r>
              <w:rPr>
                <w:rFonts w:eastAsia="宋体" w:cs="Times New Roman"/>
                <w:sz w:val="18"/>
                <w:szCs w:val="18"/>
              </w:rPr>
              <w:t>质量负责人</w:t>
            </w:r>
          </w:p>
        </w:tc>
        <w:tc>
          <w:tcPr>
            <w:tcW w:w="1495" w:type="dxa"/>
            <w:tcBorders>
              <w:top w:val="single" w:color="auto" w:sz="4" w:space="0"/>
              <w:left w:val="single" w:color="auto" w:sz="4" w:space="0"/>
              <w:bottom w:val="single" w:color="auto" w:sz="4" w:space="0"/>
              <w:right w:val="single" w:color="auto" w:sz="4" w:space="0"/>
            </w:tcBorders>
            <w:vAlign w:val="center"/>
          </w:tcPr>
          <w:p w14:paraId="13EFDDBF">
            <w:pPr>
              <w:ind w:firstLine="0" w:firstLineChars="0"/>
              <w:jc w:val="center"/>
              <w:rPr>
                <w:rFonts w:eastAsia="宋体" w:cs="Times New Roman"/>
                <w:sz w:val="18"/>
                <w:szCs w:val="18"/>
              </w:rPr>
            </w:pPr>
          </w:p>
        </w:tc>
      </w:tr>
      <w:tr w14:paraId="0BA51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tcBorders>
              <w:top w:val="single" w:color="auto" w:sz="4" w:space="0"/>
              <w:left w:val="single" w:color="auto" w:sz="4" w:space="0"/>
              <w:bottom w:val="single" w:color="auto" w:sz="4" w:space="0"/>
              <w:right w:val="single" w:color="auto" w:sz="4" w:space="0"/>
            </w:tcBorders>
            <w:vAlign w:val="center"/>
          </w:tcPr>
          <w:p w14:paraId="237AD57B">
            <w:pPr>
              <w:ind w:firstLine="0" w:firstLineChars="0"/>
              <w:jc w:val="center"/>
              <w:rPr>
                <w:rFonts w:eastAsia="宋体" w:cs="Times New Roman"/>
                <w:sz w:val="18"/>
                <w:szCs w:val="18"/>
              </w:rPr>
            </w:pPr>
            <w:r>
              <w:rPr>
                <w:rFonts w:eastAsia="宋体" w:cs="Times New Roman"/>
                <w:sz w:val="18"/>
                <w:szCs w:val="18"/>
              </w:rPr>
              <w:t>序号</w:t>
            </w:r>
          </w:p>
        </w:tc>
        <w:tc>
          <w:tcPr>
            <w:tcW w:w="2127" w:type="dxa"/>
            <w:tcBorders>
              <w:top w:val="single" w:color="auto" w:sz="4" w:space="0"/>
              <w:left w:val="single" w:color="auto" w:sz="4" w:space="0"/>
              <w:bottom w:val="single" w:color="auto" w:sz="4" w:space="0"/>
              <w:right w:val="single" w:color="auto" w:sz="4" w:space="0"/>
            </w:tcBorders>
            <w:vAlign w:val="center"/>
          </w:tcPr>
          <w:p w14:paraId="0AC1930D">
            <w:pPr>
              <w:ind w:firstLine="0" w:firstLineChars="0"/>
              <w:jc w:val="center"/>
              <w:rPr>
                <w:rFonts w:eastAsia="宋体" w:cs="Times New Roman"/>
                <w:sz w:val="18"/>
                <w:szCs w:val="18"/>
              </w:rPr>
            </w:pPr>
            <w:r>
              <w:rPr>
                <w:rFonts w:eastAsia="宋体" w:cs="Times New Roman"/>
                <w:sz w:val="18"/>
                <w:szCs w:val="18"/>
              </w:rPr>
              <w:t>验收项目</w:t>
            </w:r>
          </w:p>
        </w:tc>
        <w:tc>
          <w:tcPr>
            <w:tcW w:w="1842" w:type="dxa"/>
            <w:tcBorders>
              <w:top w:val="single" w:color="auto" w:sz="4" w:space="0"/>
              <w:left w:val="single" w:color="auto" w:sz="4" w:space="0"/>
              <w:bottom w:val="single" w:color="auto" w:sz="4" w:space="0"/>
              <w:right w:val="single" w:color="auto" w:sz="4" w:space="0"/>
            </w:tcBorders>
            <w:vAlign w:val="center"/>
          </w:tcPr>
          <w:p w14:paraId="01BB5146">
            <w:pPr>
              <w:ind w:firstLine="0" w:firstLineChars="0"/>
              <w:jc w:val="center"/>
              <w:rPr>
                <w:rFonts w:eastAsia="宋体" w:cs="Times New Roman"/>
                <w:sz w:val="18"/>
                <w:szCs w:val="18"/>
              </w:rPr>
            </w:pPr>
            <w:r>
              <w:rPr>
                <w:rFonts w:eastAsia="宋体" w:cs="Times New Roman"/>
                <w:sz w:val="18"/>
                <w:szCs w:val="18"/>
              </w:rPr>
              <w:t>验收数量</w:t>
            </w:r>
          </w:p>
        </w:tc>
        <w:tc>
          <w:tcPr>
            <w:tcW w:w="2344" w:type="dxa"/>
            <w:gridSpan w:val="4"/>
            <w:tcBorders>
              <w:top w:val="single" w:color="auto" w:sz="4" w:space="0"/>
              <w:left w:val="single" w:color="auto" w:sz="4" w:space="0"/>
              <w:bottom w:val="single" w:color="auto" w:sz="4" w:space="0"/>
              <w:right w:val="single" w:color="auto" w:sz="4" w:space="0"/>
            </w:tcBorders>
            <w:vAlign w:val="center"/>
          </w:tcPr>
          <w:p w14:paraId="3631DF62">
            <w:pPr>
              <w:ind w:firstLine="0" w:firstLineChars="0"/>
              <w:jc w:val="center"/>
              <w:rPr>
                <w:rFonts w:eastAsia="宋体" w:cs="Times New Roman"/>
                <w:sz w:val="18"/>
                <w:szCs w:val="18"/>
              </w:rPr>
            </w:pPr>
            <w:r>
              <w:rPr>
                <w:rFonts w:eastAsia="宋体" w:cs="Times New Roman"/>
                <w:sz w:val="18"/>
                <w:szCs w:val="18"/>
              </w:rPr>
              <w:t>施工单位检查评定</w:t>
            </w:r>
          </w:p>
        </w:tc>
        <w:tc>
          <w:tcPr>
            <w:tcW w:w="2139" w:type="dxa"/>
            <w:gridSpan w:val="2"/>
            <w:tcBorders>
              <w:top w:val="single" w:color="auto" w:sz="4" w:space="0"/>
              <w:left w:val="single" w:color="auto" w:sz="4" w:space="0"/>
              <w:bottom w:val="single" w:color="auto" w:sz="4" w:space="0"/>
              <w:right w:val="single" w:color="auto" w:sz="4" w:space="0"/>
            </w:tcBorders>
            <w:vAlign w:val="center"/>
          </w:tcPr>
          <w:p w14:paraId="35D260C1">
            <w:pPr>
              <w:ind w:firstLine="0" w:firstLineChars="0"/>
              <w:jc w:val="center"/>
              <w:rPr>
                <w:rFonts w:eastAsia="宋体" w:cs="Times New Roman"/>
                <w:sz w:val="18"/>
                <w:szCs w:val="18"/>
              </w:rPr>
            </w:pPr>
            <w:r>
              <w:rPr>
                <w:rFonts w:eastAsia="宋体" w:cs="Times New Roman"/>
                <w:sz w:val="18"/>
                <w:szCs w:val="18"/>
              </w:rPr>
              <w:t>验收意见</w:t>
            </w:r>
          </w:p>
        </w:tc>
      </w:tr>
      <w:tr w14:paraId="22C85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Merge w:val="restart"/>
            <w:tcBorders>
              <w:top w:val="single" w:color="auto" w:sz="4" w:space="0"/>
              <w:left w:val="single" w:color="auto" w:sz="4" w:space="0"/>
              <w:right w:val="single" w:color="auto" w:sz="4" w:space="0"/>
            </w:tcBorders>
            <w:vAlign w:val="center"/>
          </w:tcPr>
          <w:p w14:paraId="6DFD20C6">
            <w:pPr>
              <w:ind w:firstLine="0" w:firstLineChars="0"/>
              <w:jc w:val="center"/>
              <w:rPr>
                <w:rFonts w:eastAsia="宋体" w:cs="Times New Roman"/>
                <w:sz w:val="18"/>
                <w:szCs w:val="18"/>
              </w:rPr>
            </w:pPr>
            <w:r>
              <w:rPr>
                <w:rFonts w:eastAsia="宋体" w:cs="Times New Roman"/>
                <w:sz w:val="18"/>
                <w:szCs w:val="18"/>
              </w:rPr>
              <w:t>1</w:t>
            </w:r>
          </w:p>
        </w:tc>
        <w:tc>
          <w:tcPr>
            <w:tcW w:w="2127" w:type="dxa"/>
            <w:tcBorders>
              <w:top w:val="single" w:color="auto" w:sz="4" w:space="0"/>
              <w:left w:val="single" w:color="auto" w:sz="4" w:space="0"/>
              <w:bottom w:val="single" w:color="auto" w:sz="4" w:space="0"/>
              <w:right w:val="single" w:color="auto" w:sz="4" w:space="0"/>
            </w:tcBorders>
            <w:vAlign w:val="center"/>
          </w:tcPr>
          <w:p w14:paraId="7D98B5DA">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051D2F33">
            <w:pPr>
              <w:ind w:firstLine="0" w:firstLineChars="0"/>
              <w:jc w:val="center"/>
              <w:rPr>
                <w:rFonts w:eastAsia="宋体" w:cs="Times New Roman"/>
                <w:sz w:val="18"/>
                <w:szCs w:val="18"/>
              </w:rPr>
            </w:pPr>
          </w:p>
        </w:tc>
        <w:tc>
          <w:tcPr>
            <w:tcW w:w="2344" w:type="dxa"/>
            <w:gridSpan w:val="4"/>
            <w:tcBorders>
              <w:top w:val="single" w:color="auto" w:sz="4" w:space="0"/>
              <w:left w:val="single" w:color="auto" w:sz="4" w:space="0"/>
              <w:bottom w:val="single" w:color="auto" w:sz="4" w:space="0"/>
              <w:right w:val="single" w:color="auto" w:sz="4" w:space="0"/>
            </w:tcBorders>
            <w:vAlign w:val="center"/>
          </w:tcPr>
          <w:p w14:paraId="1E3882E4">
            <w:pPr>
              <w:ind w:firstLine="0" w:firstLineChars="0"/>
              <w:jc w:val="center"/>
              <w:rPr>
                <w:rFonts w:eastAsia="宋体" w:cs="Times New Roman"/>
                <w:sz w:val="18"/>
                <w:szCs w:val="18"/>
              </w:rPr>
            </w:pPr>
          </w:p>
        </w:tc>
        <w:tc>
          <w:tcPr>
            <w:tcW w:w="2139" w:type="dxa"/>
            <w:gridSpan w:val="2"/>
            <w:vMerge w:val="restart"/>
            <w:tcBorders>
              <w:top w:val="single" w:color="auto" w:sz="4" w:space="0"/>
              <w:left w:val="single" w:color="auto" w:sz="4" w:space="0"/>
              <w:right w:val="single" w:color="auto" w:sz="4" w:space="0"/>
            </w:tcBorders>
            <w:vAlign w:val="center"/>
          </w:tcPr>
          <w:p w14:paraId="47744DAA">
            <w:pPr>
              <w:ind w:firstLine="0" w:firstLineChars="0"/>
              <w:jc w:val="center"/>
              <w:rPr>
                <w:rFonts w:eastAsia="宋体" w:cs="Times New Roman"/>
                <w:sz w:val="18"/>
                <w:szCs w:val="18"/>
              </w:rPr>
            </w:pPr>
          </w:p>
        </w:tc>
      </w:tr>
      <w:tr w14:paraId="0651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Merge w:val="continue"/>
            <w:tcBorders>
              <w:left w:val="single" w:color="auto" w:sz="4" w:space="0"/>
              <w:right w:val="single" w:color="auto" w:sz="4" w:space="0"/>
            </w:tcBorders>
            <w:vAlign w:val="center"/>
          </w:tcPr>
          <w:p w14:paraId="773CCAEB">
            <w:pPr>
              <w:ind w:firstLine="0" w:firstLineChars="0"/>
              <w:jc w:val="center"/>
              <w:rPr>
                <w:rFonts w:eastAsia="宋体" w:cs="Times New Roman"/>
                <w:sz w:val="18"/>
                <w:szCs w:val="18"/>
              </w:rPr>
            </w:pPr>
          </w:p>
        </w:tc>
        <w:tc>
          <w:tcPr>
            <w:tcW w:w="2127" w:type="dxa"/>
            <w:tcBorders>
              <w:top w:val="single" w:color="auto" w:sz="4" w:space="0"/>
              <w:left w:val="single" w:color="auto" w:sz="4" w:space="0"/>
              <w:bottom w:val="single" w:color="auto" w:sz="4" w:space="0"/>
              <w:right w:val="single" w:color="auto" w:sz="4" w:space="0"/>
            </w:tcBorders>
            <w:vAlign w:val="center"/>
          </w:tcPr>
          <w:p w14:paraId="260062A0">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70FCEFD2">
            <w:pPr>
              <w:ind w:firstLine="0" w:firstLineChars="0"/>
              <w:jc w:val="center"/>
              <w:rPr>
                <w:rFonts w:eastAsia="宋体" w:cs="Times New Roman"/>
                <w:sz w:val="18"/>
                <w:szCs w:val="18"/>
              </w:rPr>
            </w:pPr>
          </w:p>
        </w:tc>
        <w:tc>
          <w:tcPr>
            <w:tcW w:w="2344" w:type="dxa"/>
            <w:gridSpan w:val="4"/>
            <w:tcBorders>
              <w:top w:val="single" w:color="auto" w:sz="4" w:space="0"/>
              <w:left w:val="single" w:color="auto" w:sz="4" w:space="0"/>
              <w:bottom w:val="single" w:color="auto" w:sz="4" w:space="0"/>
              <w:right w:val="single" w:color="auto" w:sz="4" w:space="0"/>
            </w:tcBorders>
            <w:vAlign w:val="center"/>
          </w:tcPr>
          <w:p w14:paraId="1D502F8E">
            <w:pPr>
              <w:ind w:firstLine="0" w:firstLineChars="0"/>
              <w:jc w:val="center"/>
              <w:rPr>
                <w:rFonts w:eastAsia="宋体" w:cs="Times New Roman"/>
                <w:sz w:val="18"/>
                <w:szCs w:val="18"/>
              </w:rPr>
            </w:pPr>
          </w:p>
        </w:tc>
        <w:tc>
          <w:tcPr>
            <w:tcW w:w="2139" w:type="dxa"/>
            <w:gridSpan w:val="2"/>
            <w:vMerge w:val="continue"/>
            <w:tcBorders>
              <w:left w:val="single" w:color="auto" w:sz="4" w:space="0"/>
              <w:right w:val="single" w:color="auto" w:sz="4" w:space="0"/>
            </w:tcBorders>
            <w:vAlign w:val="center"/>
          </w:tcPr>
          <w:p w14:paraId="76DC729C">
            <w:pPr>
              <w:ind w:firstLine="0" w:firstLineChars="0"/>
              <w:jc w:val="center"/>
              <w:rPr>
                <w:rFonts w:eastAsia="宋体" w:cs="Times New Roman"/>
                <w:sz w:val="18"/>
                <w:szCs w:val="18"/>
              </w:rPr>
            </w:pPr>
          </w:p>
        </w:tc>
      </w:tr>
      <w:tr w14:paraId="046A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Merge w:val="continue"/>
            <w:tcBorders>
              <w:left w:val="single" w:color="auto" w:sz="4" w:space="0"/>
              <w:right w:val="single" w:color="auto" w:sz="4" w:space="0"/>
            </w:tcBorders>
            <w:vAlign w:val="center"/>
          </w:tcPr>
          <w:p w14:paraId="4D5D0C09">
            <w:pPr>
              <w:ind w:firstLine="0" w:firstLineChars="0"/>
              <w:jc w:val="center"/>
              <w:rPr>
                <w:rFonts w:eastAsia="宋体" w:cs="Times New Roman"/>
                <w:sz w:val="18"/>
                <w:szCs w:val="18"/>
              </w:rPr>
            </w:pPr>
          </w:p>
        </w:tc>
        <w:tc>
          <w:tcPr>
            <w:tcW w:w="2127" w:type="dxa"/>
            <w:tcBorders>
              <w:top w:val="single" w:color="auto" w:sz="4" w:space="0"/>
              <w:left w:val="single" w:color="auto" w:sz="4" w:space="0"/>
              <w:bottom w:val="single" w:color="auto" w:sz="4" w:space="0"/>
              <w:right w:val="single" w:color="auto" w:sz="4" w:space="0"/>
            </w:tcBorders>
            <w:vAlign w:val="center"/>
          </w:tcPr>
          <w:p w14:paraId="6F6BDF47">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2E5DDCAB">
            <w:pPr>
              <w:ind w:firstLine="0" w:firstLineChars="0"/>
              <w:jc w:val="center"/>
              <w:rPr>
                <w:rFonts w:eastAsia="宋体" w:cs="Times New Roman"/>
                <w:sz w:val="18"/>
                <w:szCs w:val="18"/>
              </w:rPr>
            </w:pPr>
          </w:p>
        </w:tc>
        <w:tc>
          <w:tcPr>
            <w:tcW w:w="2344" w:type="dxa"/>
            <w:gridSpan w:val="4"/>
            <w:tcBorders>
              <w:top w:val="single" w:color="auto" w:sz="4" w:space="0"/>
              <w:left w:val="single" w:color="auto" w:sz="4" w:space="0"/>
              <w:bottom w:val="single" w:color="auto" w:sz="4" w:space="0"/>
              <w:right w:val="single" w:color="auto" w:sz="4" w:space="0"/>
            </w:tcBorders>
            <w:vAlign w:val="center"/>
          </w:tcPr>
          <w:p w14:paraId="0F8CB731">
            <w:pPr>
              <w:ind w:firstLine="0" w:firstLineChars="0"/>
              <w:jc w:val="center"/>
              <w:rPr>
                <w:rFonts w:eastAsia="宋体" w:cs="Times New Roman"/>
                <w:sz w:val="18"/>
                <w:szCs w:val="18"/>
              </w:rPr>
            </w:pPr>
          </w:p>
        </w:tc>
        <w:tc>
          <w:tcPr>
            <w:tcW w:w="2139" w:type="dxa"/>
            <w:gridSpan w:val="2"/>
            <w:vMerge w:val="continue"/>
            <w:tcBorders>
              <w:left w:val="single" w:color="auto" w:sz="4" w:space="0"/>
              <w:right w:val="single" w:color="auto" w:sz="4" w:space="0"/>
            </w:tcBorders>
            <w:vAlign w:val="center"/>
          </w:tcPr>
          <w:p w14:paraId="2E090B62">
            <w:pPr>
              <w:ind w:firstLine="0" w:firstLineChars="0"/>
              <w:jc w:val="center"/>
              <w:rPr>
                <w:rFonts w:eastAsia="宋体" w:cs="Times New Roman"/>
                <w:sz w:val="18"/>
                <w:szCs w:val="18"/>
              </w:rPr>
            </w:pPr>
          </w:p>
        </w:tc>
      </w:tr>
      <w:tr w14:paraId="57A3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Merge w:val="continue"/>
            <w:tcBorders>
              <w:left w:val="single" w:color="auto" w:sz="4" w:space="0"/>
              <w:right w:val="single" w:color="auto" w:sz="4" w:space="0"/>
            </w:tcBorders>
            <w:vAlign w:val="center"/>
          </w:tcPr>
          <w:p w14:paraId="0314B911">
            <w:pPr>
              <w:ind w:firstLine="0" w:firstLineChars="0"/>
              <w:jc w:val="center"/>
              <w:rPr>
                <w:rFonts w:eastAsia="宋体" w:cs="Times New Roman"/>
                <w:sz w:val="18"/>
                <w:szCs w:val="18"/>
              </w:rPr>
            </w:pPr>
          </w:p>
        </w:tc>
        <w:tc>
          <w:tcPr>
            <w:tcW w:w="2127" w:type="dxa"/>
            <w:tcBorders>
              <w:top w:val="single" w:color="auto" w:sz="4" w:space="0"/>
              <w:left w:val="single" w:color="auto" w:sz="4" w:space="0"/>
              <w:bottom w:val="single" w:color="auto" w:sz="4" w:space="0"/>
              <w:right w:val="single" w:color="auto" w:sz="4" w:space="0"/>
            </w:tcBorders>
            <w:vAlign w:val="center"/>
          </w:tcPr>
          <w:p w14:paraId="63E2DBD1">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6A35B095">
            <w:pPr>
              <w:ind w:firstLine="0" w:firstLineChars="0"/>
              <w:jc w:val="center"/>
              <w:rPr>
                <w:rFonts w:eastAsia="宋体" w:cs="Times New Roman"/>
                <w:sz w:val="18"/>
                <w:szCs w:val="18"/>
              </w:rPr>
            </w:pPr>
          </w:p>
        </w:tc>
        <w:tc>
          <w:tcPr>
            <w:tcW w:w="2344" w:type="dxa"/>
            <w:gridSpan w:val="4"/>
            <w:tcBorders>
              <w:top w:val="single" w:color="auto" w:sz="4" w:space="0"/>
              <w:left w:val="single" w:color="auto" w:sz="4" w:space="0"/>
              <w:bottom w:val="single" w:color="auto" w:sz="4" w:space="0"/>
              <w:right w:val="single" w:color="auto" w:sz="4" w:space="0"/>
            </w:tcBorders>
            <w:vAlign w:val="center"/>
          </w:tcPr>
          <w:p w14:paraId="6B58D752">
            <w:pPr>
              <w:ind w:firstLine="0" w:firstLineChars="0"/>
              <w:jc w:val="center"/>
              <w:rPr>
                <w:rFonts w:eastAsia="宋体" w:cs="Times New Roman"/>
                <w:sz w:val="18"/>
                <w:szCs w:val="18"/>
              </w:rPr>
            </w:pPr>
          </w:p>
        </w:tc>
        <w:tc>
          <w:tcPr>
            <w:tcW w:w="2139" w:type="dxa"/>
            <w:gridSpan w:val="2"/>
            <w:vMerge w:val="continue"/>
            <w:tcBorders>
              <w:left w:val="single" w:color="auto" w:sz="4" w:space="0"/>
              <w:right w:val="single" w:color="auto" w:sz="4" w:space="0"/>
            </w:tcBorders>
            <w:vAlign w:val="center"/>
          </w:tcPr>
          <w:p w14:paraId="7F297622">
            <w:pPr>
              <w:ind w:firstLine="0" w:firstLineChars="0"/>
              <w:jc w:val="center"/>
              <w:rPr>
                <w:rFonts w:eastAsia="宋体" w:cs="Times New Roman"/>
                <w:sz w:val="18"/>
                <w:szCs w:val="18"/>
              </w:rPr>
            </w:pPr>
          </w:p>
        </w:tc>
      </w:tr>
      <w:tr w14:paraId="0E85E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Merge w:val="continue"/>
            <w:tcBorders>
              <w:left w:val="single" w:color="auto" w:sz="4" w:space="0"/>
              <w:right w:val="single" w:color="auto" w:sz="4" w:space="0"/>
            </w:tcBorders>
            <w:vAlign w:val="center"/>
          </w:tcPr>
          <w:p w14:paraId="538567FF">
            <w:pPr>
              <w:ind w:firstLine="0" w:firstLineChars="0"/>
              <w:jc w:val="center"/>
              <w:rPr>
                <w:rFonts w:eastAsia="宋体" w:cs="Times New Roman"/>
                <w:sz w:val="18"/>
                <w:szCs w:val="18"/>
              </w:rPr>
            </w:pPr>
          </w:p>
        </w:tc>
        <w:tc>
          <w:tcPr>
            <w:tcW w:w="2127" w:type="dxa"/>
            <w:tcBorders>
              <w:top w:val="single" w:color="auto" w:sz="4" w:space="0"/>
              <w:left w:val="single" w:color="auto" w:sz="4" w:space="0"/>
              <w:bottom w:val="single" w:color="auto" w:sz="4" w:space="0"/>
              <w:right w:val="single" w:color="auto" w:sz="4" w:space="0"/>
            </w:tcBorders>
            <w:vAlign w:val="center"/>
          </w:tcPr>
          <w:p w14:paraId="26581F6A">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1B6D4B17">
            <w:pPr>
              <w:ind w:firstLine="0" w:firstLineChars="0"/>
              <w:jc w:val="center"/>
              <w:rPr>
                <w:rFonts w:eastAsia="宋体" w:cs="Times New Roman"/>
                <w:sz w:val="18"/>
                <w:szCs w:val="18"/>
              </w:rPr>
            </w:pPr>
          </w:p>
        </w:tc>
        <w:tc>
          <w:tcPr>
            <w:tcW w:w="2344" w:type="dxa"/>
            <w:gridSpan w:val="4"/>
            <w:tcBorders>
              <w:top w:val="single" w:color="auto" w:sz="4" w:space="0"/>
              <w:left w:val="single" w:color="auto" w:sz="4" w:space="0"/>
              <w:bottom w:val="single" w:color="auto" w:sz="4" w:space="0"/>
              <w:right w:val="single" w:color="auto" w:sz="4" w:space="0"/>
            </w:tcBorders>
            <w:vAlign w:val="center"/>
          </w:tcPr>
          <w:p w14:paraId="0DDAB818">
            <w:pPr>
              <w:ind w:firstLine="0" w:firstLineChars="0"/>
              <w:jc w:val="center"/>
              <w:rPr>
                <w:rFonts w:eastAsia="宋体" w:cs="Times New Roman"/>
                <w:sz w:val="18"/>
                <w:szCs w:val="18"/>
              </w:rPr>
            </w:pPr>
          </w:p>
        </w:tc>
        <w:tc>
          <w:tcPr>
            <w:tcW w:w="2139" w:type="dxa"/>
            <w:gridSpan w:val="2"/>
            <w:vMerge w:val="continue"/>
            <w:tcBorders>
              <w:left w:val="single" w:color="auto" w:sz="4" w:space="0"/>
              <w:right w:val="single" w:color="auto" w:sz="4" w:space="0"/>
            </w:tcBorders>
            <w:vAlign w:val="center"/>
          </w:tcPr>
          <w:p w14:paraId="5AFA0A06">
            <w:pPr>
              <w:ind w:firstLine="0" w:firstLineChars="0"/>
              <w:jc w:val="center"/>
              <w:rPr>
                <w:rFonts w:eastAsia="宋体" w:cs="Times New Roman"/>
                <w:sz w:val="18"/>
                <w:szCs w:val="18"/>
              </w:rPr>
            </w:pPr>
          </w:p>
        </w:tc>
      </w:tr>
      <w:tr w14:paraId="506B8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Merge w:val="continue"/>
            <w:tcBorders>
              <w:left w:val="single" w:color="auto" w:sz="4" w:space="0"/>
              <w:right w:val="single" w:color="auto" w:sz="4" w:space="0"/>
            </w:tcBorders>
            <w:vAlign w:val="center"/>
          </w:tcPr>
          <w:p w14:paraId="1DB2CE3F">
            <w:pPr>
              <w:ind w:firstLine="0" w:firstLineChars="0"/>
              <w:jc w:val="center"/>
              <w:rPr>
                <w:rFonts w:eastAsia="宋体" w:cs="Times New Roman"/>
                <w:sz w:val="18"/>
                <w:szCs w:val="18"/>
              </w:rPr>
            </w:pPr>
          </w:p>
        </w:tc>
        <w:tc>
          <w:tcPr>
            <w:tcW w:w="2127" w:type="dxa"/>
            <w:tcBorders>
              <w:top w:val="single" w:color="auto" w:sz="4" w:space="0"/>
              <w:left w:val="single" w:color="auto" w:sz="4" w:space="0"/>
              <w:bottom w:val="single" w:color="auto" w:sz="4" w:space="0"/>
              <w:right w:val="single" w:color="auto" w:sz="4" w:space="0"/>
            </w:tcBorders>
            <w:vAlign w:val="center"/>
          </w:tcPr>
          <w:p w14:paraId="0198C49B">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51AF547C">
            <w:pPr>
              <w:ind w:firstLine="0" w:firstLineChars="0"/>
              <w:jc w:val="center"/>
              <w:rPr>
                <w:rFonts w:eastAsia="宋体" w:cs="Times New Roman"/>
                <w:sz w:val="18"/>
                <w:szCs w:val="18"/>
              </w:rPr>
            </w:pPr>
          </w:p>
        </w:tc>
        <w:tc>
          <w:tcPr>
            <w:tcW w:w="2344" w:type="dxa"/>
            <w:gridSpan w:val="4"/>
            <w:tcBorders>
              <w:top w:val="single" w:color="auto" w:sz="4" w:space="0"/>
              <w:left w:val="single" w:color="auto" w:sz="4" w:space="0"/>
              <w:bottom w:val="single" w:color="auto" w:sz="4" w:space="0"/>
              <w:right w:val="single" w:color="auto" w:sz="4" w:space="0"/>
            </w:tcBorders>
            <w:vAlign w:val="center"/>
          </w:tcPr>
          <w:p w14:paraId="77F0E9FD">
            <w:pPr>
              <w:ind w:firstLine="0" w:firstLineChars="0"/>
              <w:jc w:val="center"/>
              <w:rPr>
                <w:rFonts w:eastAsia="宋体" w:cs="Times New Roman"/>
                <w:sz w:val="18"/>
                <w:szCs w:val="18"/>
              </w:rPr>
            </w:pPr>
          </w:p>
        </w:tc>
        <w:tc>
          <w:tcPr>
            <w:tcW w:w="2139" w:type="dxa"/>
            <w:gridSpan w:val="2"/>
            <w:vMerge w:val="continue"/>
            <w:tcBorders>
              <w:left w:val="single" w:color="auto" w:sz="4" w:space="0"/>
              <w:right w:val="single" w:color="auto" w:sz="4" w:space="0"/>
            </w:tcBorders>
            <w:vAlign w:val="center"/>
          </w:tcPr>
          <w:p w14:paraId="60F061D5">
            <w:pPr>
              <w:ind w:firstLine="0" w:firstLineChars="0"/>
              <w:jc w:val="center"/>
              <w:rPr>
                <w:rFonts w:eastAsia="宋体" w:cs="Times New Roman"/>
                <w:sz w:val="18"/>
                <w:szCs w:val="18"/>
              </w:rPr>
            </w:pPr>
          </w:p>
        </w:tc>
      </w:tr>
      <w:tr w14:paraId="25EFA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Merge w:val="continue"/>
            <w:tcBorders>
              <w:left w:val="single" w:color="auto" w:sz="4" w:space="0"/>
              <w:right w:val="single" w:color="auto" w:sz="4" w:space="0"/>
            </w:tcBorders>
            <w:vAlign w:val="center"/>
          </w:tcPr>
          <w:p w14:paraId="7F8034AD">
            <w:pPr>
              <w:ind w:firstLine="0" w:firstLineChars="0"/>
              <w:jc w:val="center"/>
              <w:rPr>
                <w:rFonts w:eastAsia="宋体" w:cs="Times New Roman"/>
                <w:sz w:val="18"/>
                <w:szCs w:val="18"/>
              </w:rPr>
            </w:pPr>
          </w:p>
        </w:tc>
        <w:tc>
          <w:tcPr>
            <w:tcW w:w="2127" w:type="dxa"/>
            <w:tcBorders>
              <w:top w:val="single" w:color="auto" w:sz="4" w:space="0"/>
              <w:left w:val="single" w:color="auto" w:sz="4" w:space="0"/>
              <w:bottom w:val="single" w:color="auto" w:sz="4" w:space="0"/>
              <w:right w:val="single" w:color="auto" w:sz="4" w:space="0"/>
            </w:tcBorders>
            <w:vAlign w:val="center"/>
          </w:tcPr>
          <w:p w14:paraId="3F179B58">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1443C6BA">
            <w:pPr>
              <w:ind w:firstLine="0" w:firstLineChars="0"/>
              <w:jc w:val="center"/>
              <w:rPr>
                <w:rFonts w:eastAsia="宋体" w:cs="Times New Roman"/>
                <w:sz w:val="18"/>
                <w:szCs w:val="18"/>
              </w:rPr>
            </w:pPr>
          </w:p>
        </w:tc>
        <w:tc>
          <w:tcPr>
            <w:tcW w:w="2344" w:type="dxa"/>
            <w:gridSpan w:val="4"/>
            <w:tcBorders>
              <w:top w:val="single" w:color="auto" w:sz="4" w:space="0"/>
              <w:left w:val="single" w:color="auto" w:sz="4" w:space="0"/>
              <w:bottom w:val="single" w:color="auto" w:sz="4" w:space="0"/>
              <w:right w:val="single" w:color="auto" w:sz="4" w:space="0"/>
            </w:tcBorders>
            <w:vAlign w:val="center"/>
          </w:tcPr>
          <w:p w14:paraId="622A0C2B">
            <w:pPr>
              <w:ind w:firstLine="0" w:firstLineChars="0"/>
              <w:jc w:val="center"/>
              <w:rPr>
                <w:rFonts w:eastAsia="宋体" w:cs="Times New Roman"/>
                <w:sz w:val="18"/>
                <w:szCs w:val="18"/>
              </w:rPr>
            </w:pPr>
          </w:p>
        </w:tc>
        <w:tc>
          <w:tcPr>
            <w:tcW w:w="2139" w:type="dxa"/>
            <w:gridSpan w:val="2"/>
            <w:vMerge w:val="continue"/>
            <w:tcBorders>
              <w:left w:val="single" w:color="auto" w:sz="4" w:space="0"/>
              <w:right w:val="single" w:color="auto" w:sz="4" w:space="0"/>
            </w:tcBorders>
            <w:vAlign w:val="center"/>
          </w:tcPr>
          <w:p w14:paraId="41289AAD">
            <w:pPr>
              <w:ind w:firstLine="0" w:firstLineChars="0"/>
              <w:jc w:val="center"/>
              <w:rPr>
                <w:rFonts w:eastAsia="宋体" w:cs="Times New Roman"/>
                <w:sz w:val="18"/>
                <w:szCs w:val="18"/>
              </w:rPr>
            </w:pPr>
          </w:p>
        </w:tc>
      </w:tr>
      <w:tr w14:paraId="422B1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Merge w:val="continue"/>
            <w:tcBorders>
              <w:left w:val="single" w:color="auto" w:sz="4" w:space="0"/>
              <w:right w:val="single" w:color="auto" w:sz="4" w:space="0"/>
            </w:tcBorders>
            <w:vAlign w:val="center"/>
          </w:tcPr>
          <w:p w14:paraId="613BA888">
            <w:pPr>
              <w:ind w:firstLine="0" w:firstLineChars="0"/>
              <w:jc w:val="center"/>
              <w:rPr>
                <w:rFonts w:eastAsia="宋体" w:cs="Times New Roman"/>
                <w:sz w:val="18"/>
                <w:szCs w:val="18"/>
              </w:rPr>
            </w:pPr>
          </w:p>
        </w:tc>
        <w:tc>
          <w:tcPr>
            <w:tcW w:w="2127" w:type="dxa"/>
            <w:tcBorders>
              <w:top w:val="single" w:color="auto" w:sz="4" w:space="0"/>
              <w:left w:val="single" w:color="auto" w:sz="4" w:space="0"/>
              <w:bottom w:val="single" w:color="auto" w:sz="4" w:space="0"/>
              <w:right w:val="single" w:color="auto" w:sz="4" w:space="0"/>
            </w:tcBorders>
            <w:vAlign w:val="center"/>
          </w:tcPr>
          <w:p w14:paraId="58726E15">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0C7BDDA9">
            <w:pPr>
              <w:ind w:firstLine="0" w:firstLineChars="0"/>
              <w:jc w:val="center"/>
              <w:rPr>
                <w:rFonts w:eastAsia="宋体" w:cs="Times New Roman"/>
                <w:sz w:val="18"/>
                <w:szCs w:val="18"/>
              </w:rPr>
            </w:pPr>
          </w:p>
        </w:tc>
        <w:tc>
          <w:tcPr>
            <w:tcW w:w="2344" w:type="dxa"/>
            <w:gridSpan w:val="4"/>
            <w:tcBorders>
              <w:top w:val="single" w:color="auto" w:sz="4" w:space="0"/>
              <w:left w:val="single" w:color="auto" w:sz="4" w:space="0"/>
              <w:bottom w:val="single" w:color="auto" w:sz="4" w:space="0"/>
              <w:right w:val="single" w:color="auto" w:sz="4" w:space="0"/>
            </w:tcBorders>
            <w:vAlign w:val="center"/>
          </w:tcPr>
          <w:p w14:paraId="4B62C230">
            <w:pPr>
              <w:ind w:firstLine="0" w:firstLineChars="0"/>
              <w:jc w:val="center"/>
              <w:rPr>
                <w:rFonts w:eastAsia="宋体" w:cs="Times New Roman"/>
                <w:sz w:val="18"/>
                <w:szCs w:val="18"/>
              </w:rPr>
            </w:pPr>
          </w:p>
        </w:tc>
        <w:tc>
          <w:tcPr>
            <w:tcW w:w="2139" w:type="dxa"/>
            <w:gridSpan w:val="2"/>
            <w:vMerge w:val="continue"/>
            <w:tcBorders>
              <w:left w:val="single" w:color="auto" w:sz="4" w:space="0"/>
              <w:bottom w:val="single" w:color="auto" w:sz="4" w:space="0"/>
              <w:right w:val="single" w:color="auto" w:sz="4" w:space="0"/>
            </w:tcBorders>
            <w:vAlign w:val="center"/>
          </w:tcPr>
          <w:p w14:paraId="7F1A9BDD">
            <w:pPr>
              <w:ind w:firstLine="0" w:firstLineChars="0"/>
              <w:jc w:val="center"/>
              <w:rPr>
                <w:rFonts w:eastAsia="宋体" w:cs="Times New Roman"/>
                <w:sz w:val="18"/>
                <w:szCs w:val="18"/>
              </w:rPr>
            </w:pPr>
          </w:p>
        </w:tc>
      </w:tr>
      <w:tr w14:paraId="1E4E7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tcBorders>
              <w:left w:val="single" w:color="auto" w:sz="4" w:space="0"/>
              <w:right w:val="single" w:color="auto" w:sz="4" w:space="0"/>
            </w:tcBorders>
            <w:vAlign w:val="center"/>
          </w:tcPr>
          <w:p w14:paraId="417173B8">
            <w:pPr>
              <w:ind w:firstLine="0" w:firstLineChars="0"/>
              <w:jc w:val="center"/>
              <w:rPr>
                <w:rFonts w:eastAsia="宋体" w:cs="Times New Roman"/>
                <w:sz w:val="18"/>
                <w:szCs w:val="18"/>
              </w:rPr>
            </w:pPr>
            <w:r>
              <w:rPr>
                <w:rFonts w:eastAsia="宋体" w:cs="Times New Roman"/>
                <w:sz w:val="18"/>
                <w:szCs w:val="18"/>
              </w:rPr>
              <w:t>2</w:t>
            </w:r>
          </w:p>
        </w:tc>
        <w:tc>
          <w:tcPr>
            <w:tcW w:w="2127" w:type="dxa"/>
            <w:tcBorders>
              <w:top w:val="single" w:color="auto" w:sz="4" w:space="0"/>
              <w:left w:val="single" w:color="auto" w:sz="4" w:space="0"/>
              <w:bottom w:val="single" w:color="auto" w:sz="4" w:space="0"/>
              <w:right w:val="single" w:color="auto" w:sz="4" w:space="0"/>
            </w:tcBorders>
            <w:vAlign w:val="center"/>
          </w:tcPr>
          <w:p w14:paraId="70E5CD33">
            <w:pPr>
              <w:ind w:firstLine="0" w:firstLineChars="0"/>
              <w:jc w:val="center"/>
              <w:rPr>
                <w:rFonts w:eastAsia="宋体" w:cs="Times New Roman"/>
                <w:sz w:val="18"/>
                <w:szCs w:val="18"/>
              </w:rPr>
            </w:pPr>
            <w:r>
              <w:rPr>
                <w:rFonts w:eastAsia="宋体" w:cs="Times New Roman"/>
                <w:sz w:val="18"/>
                <w:szCs w:val="18"/>
              </w:rPr>
              <w:t>质量控制资料</w:t>
            </w:r>
          </w:p>
        </w:tc>
        <w:tc>
          <w:tcPr>
            <w:tcW w:w="4186" w:type="dxa"/>
            <w:gridSpan w:val="5"/>
            <w:tcBorders>
              <w:top w:val="single" w:color="auto" w:sz="4" w:space="0"/>
              <w:left w:val="single" w:color="auto" w:sz="4" w:space="0"/>
              <w:bottom w:val="single" w:color="auto" w:sz="4" w:space="0"/>
              <w:right w:val="single" w:color="auto" w:sz="4" w:space="0"/>
            </w:tcBorders>
            <w:vAlign w:val="center"/>
          </w:tcPr>
          <w:p w14:paraId="11423F90">
            <w:pPr>
              <w:ind w:firstLine="0" w:firstLineChars="0"/>
              <w:jc w:val="center"/>
              <w:rPr>
                <w:rFonts w:eastAsia="宋体" w:cs="Times New Roman"/>
                <w:sz w:val="18"/>
                <w:szCs w:val="18"/>
              </w:rPr>
            </w:pPr>
          </w:p>
        </w:tc>
        <w:tc>
          <w:tcPr>
            <w:tcW w:w="2139" w:type="dxa"/>
            <w:gridSpan w:val="2"/>
            <w:tcBorders>
              <w:top w:val="single" w:color="auto" w:sz="4" w:space="0"/>
              <w:left w:val="single" w:color="auto" w:sz="4" w:space="0"/>
              <w:bottom w:val="single" w:color="auto" w:sz="4" w:space="0"/>
              <w:right w:val="single" w:color="auto" w:sz="4" w:space="0"/>
            </w:tcBorders>
            <w:vAlign w:val="center"/>
          </w:tcPr>
          <w:p w14:paraId="08BD4CC1">
            <w:pPr>
              <w:ind w:firstLine="0" w:firstLineChars="0"/>
              <w:jc w:val="center"/>
              <w:rPr>
                <w:rFonts w:eastAsia="宋体" w:cs="Times New Roman"/>
                <w:sz w:val="18"/>
                <w:szCs w:val="18"/>
              </w:rPr>
            </w:pPr>
          </w:p>
        </w:tc>
      </w:tr>
      <w:tr w14:paraId="18130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tcBorders>
              <w:left w:val="single" w:color="auto" w:sz="4" w:space="0"/>
              <w:right w:val="single" w:color="auto" w:sz="4" w:space="0"/>
            </w:tcBorders>
            <w:vAlign w:val="center"/>
          </w:tcPr>
          <w:p w14:paraId="2FC482B3">
            <w:pPr>
              <w:ind w:firstLine="0" w:firstLineChars="0"/>
              <w:jc w:val="center"/>
              <w:rPr>
                <w:rFonts w:eastAsia="宋体" w:cs="Times New Roman"/>
                <w:sz w:val="18"/>
                <w:szCs w:val="18"/>
              </w:rPr>
            </w:pPr>
            <w:r>
              <w:rPr>
                <w:rFonts w:eastAsia="宋体" w:cs="Times New Roman"/>
                <w:sz w:val="18"/>
                <w:szCs w:val="18"/>
              </w:rPr>
              <w:t>3</w:t>
            </w:r>
          </w:p>
        </w:tc>
        <w:tc>
          <w:tcPr>
            <w:tcW w:w="2127" w:type="dxa"/>
            <w:tcBorders>
              <w:top w:val="single" w:color="auto" w:sz="4" w:space="0"/>
              <w:left w:val="single" w:color="auto" w:sz="4" w:space="0"/>
              <w:bottom w:val="single" w:color="auto" w:sz="4" w:space="0"/>
              <w:right w:val="single" w:color="auto" w:sz="4" w:space="0"/>
            </w:tcBorders>
            <w:vAlign w:val="center"/>
          </w:tcPr>
          <w:p w14:paraId="371BD0FF">
            <w:pPr>
              <w:ind w:firstLine="0" w:firstLineChars="0"/>
              <w:jc w:val="center"/>
              <w:rPr>
                <w:rFonts w:eastAsia="宋体" w:cs="Times New Roman"/>
                <w:sz w:val="18"/>
                <w:szCs w:val="18"/>
              </w:rPr>
            </w:pPr>
            <w:r>
              <w:rPr>
                <w:rFonts w:eastAsia="宋体" w:cs="Times New Roman"/>
                <w:sz w:val="18"/>
                <w:szCs w:val="18"/>
              </w:rPr>
              <w:t>安全和功能检验报告</w:t>
            </w:r>
          </w:p>
        </w:tc>
        <w:tc>
          <w:tcPr>
            <w:tcW w:w="4186" w:type="dxa"/>
            <w:gridSpan w:val="5"/>
            <w:tcBorders>
              <w:top w:val="single" w:color="auto" w:sz="4" w:space="0"/>
              <w:left w:val="single" w:color="auto" w:sz="4" w:space="0"/>
              <w:bottom w:val="single" w:color="auto" w:sz="4" w:space="0"/>
              <w:right w:val="single" w:color="auto" w:sz="4" w:space="0"/>
            </w:tcBorders>
            <w:vAlign w:val="center"/>
          </w:tcPr>
          <w:p w14:paraId="46338CE4">
            <w:pPr>
              <w:ind w:firstLine="0" w:firstLineChars="0"/>
              <w:jc w:val="center"/>
              <w:rPr>
                <w:rFonts w:eastAsia="宋体" w:cs="Times New Roman"/>
                <w:sz w:val="18"/>
                <w:szCs w:val="18"/>
              </w:rPr>
            </w:pPr>
          </w:p>
        </w:tc>
        <w:tc>
          <w:tcPr>
            <w:tcW w:w="2139" w:type="dxa"/>
            <w:gridSpan w:val="2"/>
            <w:tcBorders>
              <w:top w:val="single" w:color="auto" w:sz="4" w:space="0"/>
              <w:left w:val="single" w:color="auto" w:sz="4" w:space="0"/>
              <w:bottom w:val="single" w:color="auto" w:sz="4" w:space="0"/>
              <w:right w:val="single" w:color="auto" w:sz="4" w:space="0"/>
            </w:tcBorders>
            <w:vAlign w:val="center"/>
          </w:tcPr>
          <w:p w14:paraId="5A46C8F4">
            <w:pPr>
              <w:ind w:firstLine="0" w:firstLineChars="0"/>
              <w:jc w:val="center"/>
              <w:rPr>
                <w:rFonts w:eastAsia="宋体" w:cs="Times New Roman"/>
                <w:sz w:val="18"/>
                <w:szCs w:val="18"/>
              </w:rPr>
            </w:pPr>
          </w:p>
        </w:tc>
      </w:tr>
      <w:tr w14:paraId="4982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tcBorders>
              <w:left w:val="single" w:color="auto" w:sz="4" w:space="0"/>
              <w:right w:val="single" w:color="auto" w:sz="4" w:space="0"/>
            </w:tcBorders>
            <w:vAlign w:val="center"/>
          </w:tcPr>
          <w:p w14:paraId="6E9B7D2C">
            <w:pPr>
              <w:ind w:firstLine="0" w:firstLineChars="0"/>
              <w:jc w:val="center"/>
              <w:rPr>
                <w:rFonts w:eastAsia="宋体" w:cs="Times New Roman"/>
                <w:sz w:val="18"/>
                <w:szCs w:val="18"/>
              </w:rPr>
            </w:pPr>
            <w:r>
              <w:rPr>
                <w:rFonts w:eastAsia="宋体" w:cs="Times New Roman"/>
                <w:sz w:val="18"/>
                <w:szCs w:val="18"/>
              </w:rPr>
              <w:t>4</w:t>
            </w:r>
          </w:p>
        </w:tc>
        <w:tc>
          <w:tcPr>
            <w:tcW w:w="2127" w:type="dxa"/>
            <w:tcBorders>
              <w:top w:val="single" w:color="auto" w:sz="4" w:space="0"/>
              <w:left w:val="single" w:color="auto" w:sz="4" w:space="0"/>
              <w:bottom w:val="single" w:color="auto" w:sz="4" w:space="0"/>
              <w:right w:val="single" w:color="auto" w:sz="4" w:space="0"/>
            </w:tcBorders>
            <w:vAlign w:val="center"/>
          </w:tcPr>
          <w:p w14:paraId="64724644">
            <w:pPr>
              <w:ind w:firstLine="0" w:firstLineChars="0"/>
              <w:jc w:val="center"/>
              <w:rPr>
                <w:rFonts w:eastAsia="宋体" w:cs="Times New Roman"/>
                <w:sz w:val="18"/>
                <w:szCs w:val="18"/>
              </w:rPr>
            </w:pPr>
            <w:r>
              <w:rPr>
                <w:rFonts w:eastAsia="宋体" w:cs="Times New Roman"/>
                <w:sz w:val="18"/>
                <w:szCs w:val="18"/>
              </w:rPr>
              <w:t>观感质量验收</w:t>
            </w:r>
          </w:p>
        </w:tc>
        <w:tc>
          <w:tcPr>
            <w:tcW w:w="4186" w:type="dxa"/>
            <w:gridSpan w:val="5"/>
            <w:tcBorders>
              <w:top w:val="single" w:color="auto" w:sz="4" w:space="0"/>
              <w:left w:val="single" w:color="auto" w:sz="4" w:space="0"/>
              <w:bottom w:val="single" w:color="auto" w:sz="4" w:space="0"/>
              <w:right w:val="single" w:color="auto" w:sz="4" w:space="0"/>
            </w:tcBorders>
            <w:vAlign w:val="center"/>
          </w:tcPr>
          <w:p w14:paraId="71DB57EC">
            <w:pPr>
              <w:ind w:firstLine="0" w:firstLineChars="0"/>
              <w:jc w:val="center"/>
              <w:rPr>
                <w:rFonts w:eastAsia="宋体" w:cs="Times New Roman"/>
                <w:sz w:val="18"/>
                <w:szCs w:val="18"/>
              </w:rPr>
            </w:pPr>
          </w:p>
        </w:tc>
        <w:tc>
          <w:tcPr>
            <w:tcW w:w="2139" w:type="dxa"/>
            <w:gridSpan w:val="2"/>
            <w:tcBorders>
              <w:top w:val="single" w:color="auto" w:sz="4" w:space="0"/>
              <w:left w:val="single" w:color="auto" w:sz="4" w:space="0"/>
              <w:bottom w:val="single" w:color="auto" w:sz="4" w:space="0"/>
              <w:right w:val="single" w:color="auto" w:sz="4" w:space="0"/>
            </w:tcBorders>
            <w:vAlign w:val="center"/>
          </w:tcPr>
          <w:p w14:paraId="21E74382">
            <w:pPr>
              <w:ind w:firstLine="0" w:firstLineChars="0"/>
              <w:jc w:val="center"/>
              <w:rPr>
                <w:rFonts w:eastAsia="宋体" w:cs="Times New Roman"/>
                <w:sz w:val="18"/>
                <w:szCs w:val="18"/>
              </w:rPr>
            </w:pPr>
          </w:p>
        </w:tc>
      </w:tr>
      <w:tr w14:paraId="5C99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Merge w:val="restart"/>
            <w:tcBorders>
              <w:left w:val="single" w:color="auto" w:sz="4" w:space="0"/>
              <w:right w:val="single" w:color="auto" w:sz="4" w:space="0"/>
            </w:tcBorders>
            <w:vAlign w:val="center"/>
          </w:tcPr>
          <w:p w14:paraId="4966A54C">
            <w:pPr>
              <w:ind w:firstLine="0" w:firstLineChars="0"/>
              <w:jc w:val="center"/>
              <w:rPr>
                <w:rFonts w:eastAsia="宋体" w:cs="Times New Roman"/>
                <w:sz w:val="18"/>
                <w:szCs w:val="18"/>
              </w:rPr>
            </w:pPr>
            <w:r>
              <w:rPr>
                <w:rFonts w:eastAsia="宋体" w:cs="Times New Roman"/>
                <w:sz w:val="18"/>
                <w:szCs w:val="18"/>
              </w:rPr>
              <w:t>验收单位</w:t>
            </w:r>
          </w:p>
        </w:tc>
        <w:tc>
          <w:tcPr>
            <w:tcW w:w="2127" w:type="dxa"/>
            <w:tcBorders>
              <w:top w:val="single" w:color="auto" w:sz="4" w:space="0"/>
              <w:left w:val="single" w:color="auto" w:sz="4" w:space="0"/>
              <w:bottom w:val="single" w:color="auto" w:sz="4" w:space="0"/>
              <w:right w:val="single" w:color="auto" w:sz="4" w:space="0"/>
            </w:tcBorders>
            <w:vAlign w:val="center"/>
          </w:tcPr>
          <w:p w14:paraId="33D8C34F">
            <w:pPr>
              <w:ind w:firstLine="0" w:firstLineChars="0"/>
              <w:jc w:val="center"/>
              <w:rPr>
                <w:rFonts w:eastAsia="宋体" w:cs="Times New Roman"/>
                <w:sz w:val="18"/>
                <w:szCs w:val="18"/>
              </w:rPr>
            </w:pPr>
            <w:r>
              <w:rPr>
                <w:rFonts w:eastAsia="宋体" w:cs="Times New Roman"/>
                <w:sz w:val="18"/>
                <w:szCs w:val="18"/>
              </w:rPr>
              <w:t>施工单位</w:t>
            </w:r>
          </w:p>
        </w:tc>
        <w:tc>
          <w:tcPr>
            <w:tcW w:w="2093" w:type="dxa"/>
            <w:gridSpan w:val="2"/>
            <w:tcBorders>
              <w:top w:val="single" w:color="auto" w:sz="4" w:space="0"/>
              <w:left w:val="single" w:color="auto" w:sz="4" w:space="0"/>
              <w:bottom w:val="single" w:color="auto" w:sz="4" w:space="0"/>
              <w:right w:val="single" w:color="auto" w:sz="4" w:space="0"/>
            </w:tcBorders>
            <w:vAlign w:val="center"/>
          </w:tcPr>
          <w:p w14:paraId="5E9FF7E4">
            <w:pPr>
              <w:ind w:firstLine="0" w:firstLineChars="0"/>
              <w:jc w:val="center"/>
              <w:rPr>
                <w:rFonts w:eastAsia="宋体" w:cs="Times New Roman"/>
                <w:sz w:val="18"/>
                <w:szCs w:val="18"/>
              </w:rPr>
            </w:pPr>
            <w:r>
              <w:rPr>
                <w:rFonts w:eastAsia="宋体" w:cs="Times New Roman"/>
                <w:sz w:val="18"/>
                <w:szCs w:val="18"/>
              </w:rPr>
              <w:t>项目经理</w:t>
            </w:r>
          </w:p>
        </w:tc>
        <w:tc>
          <w:tcPr>
            <w:tcW w:w="1593" w:type="dxa"/>
            <w:gridSpan w:val="2"/>
            <w:tcBorders>
              <w:top w:val="single" w:color="auto" w:sz="4" w:space="0"/>
              <w:left w:val="single" w:color="auto" w:sz="4" w:space="0"/>
              <w:bottom w:val="single" w:color="auto" w:sz="4" w:space="0"/>
              <w:right w:val="single" w:color="auto" w:sz="4" w:space="0"/>
            </w:tcBorders>
            <w:vAlign w:val="center"/>
          </w:tcPr>
          <w:p w14:paraId="797002A8">
            <w:pPr>
              <w:ind w:firstLine="0" w:firstLineChars="0"/>
              <w:jc w:val="center"/>
              <w:rPr>
                <w:rFonts w:eastAsia="宋体" w:cs="Times New Roman"/>
                <w:sz w:val="18"/>
                <w:szCs w:val="18"/>
              </w:rPr>
            </w:pPr>
          </w:p>
        </w:tc>
        <w:tc>
          <w:tcPr>
            <w:tcW w:w="2639" w:type="dxa"/>
            <w:gridSpan w:val="3"/>
            <w:tcBorders>
              <w:top w:val="single" w:color="auto" w:sz="4" w:space="0"/>
              <w:left w:val="single" w:color="auto" w:sz="4" w:space="0"/>
              <w:bottom w:val="single" w:color="auto" w:sz="4" w:space="0"/>
              <w:right w:val="single" w:color="auto" w:sz="4" w:space="0"/>
            </w:tcBorders>
            <w:vAlign w:val="center"/>
          </w:tcPr>
          <w:p w14:paraId="65DE54E8">
            <w:pPr>
              <w:ind w:firstLine="0" w:firstLineChars="0"/>
              <w:jc w:val="center"/>
              <w:rPr>
                <w:rFonts w:eastAsia="宋体" w:cs="Times New Roman"/>
                <w:sz w:val="18"/>
                <w:szCs w:val="18"/>
              </w:rPr>
            </w:pPr>
            <w:r>
              <w:rPr>
                <w:rFonts w:eastAsia="宋体" w:cs="Times New Roman"/>
                <w:sz w:val="18"/>
                <w:szCs w:val="18"/>
              </w:rPr>
              <w:t xml:space="preserve">            年  月  日</w:t>
            </w:r>
          </w:p>
        </w:tc>
      </w:tr>
      <w:tr w14:paraId="6F1E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Merge w:val="continue"/>
            <w:tcBorders>
              <w:left w:val="single" w:color="auto" w:sz="4" w:space="0"/>
              <w:right w:val="single" w:color="auto" w:sz="4" w:space="0"/>
            </w:tcBorders>
            <w:vAlign w:val="center"/>
          </w:tcPr>
          <w:p w14:paraId="77BC94CA">
            <w:pPr>
              <w:ind w:firstLine="0" w:firstLineChars="0"/>
              <w:jc w:val="center"/>
              <w:rPr>
                <w:rFonts w:eastAsia="宋体" w:cs="Times New Roman"/>
                <w:sz w:val="18"/>
                <w:szCs w:val="18"/>
              </w:rPr>
            </w:pPr>
          </w:p>
        </w:tc>
        <w:tc>
          <w:tcPr>
            <w:tcW w:w="2127" w:type="dxa"/>
            <w:tcBorders>
              <w:top w:val="single" w:color="auto" w:sz="4" w:space="0"/>
              <w:left w:val="single" w:color="auto" w:sz="4" w:space="0"/>
              <w:bottom w:val="single" w:color="auto" w:sz="4" w:space="0"/>
              <w:right w:val="single" w:color="auto" w:sz="4" w:space="0"/>
            </w:tcBorders>
            <w:vAlign w:val="center"/>
          </w:tcPr>
          <w:p w14:paraId="2EFA4649">
            <w:pPr>
              <w:ind w:firstLine="0" w:firstLineChars="0"/>
              <w:jc w:val="center"/>
              <w:rPr>
                <w:rFonts w:eastAsia="宋体" w:cs="Times New Roman"/>
                <w:sz w:val="18"/>
                <w:szCs w:val="18"/>
              </w:rPr>
            </w:pPr>
            <w:r>
              <w:rPr>
                <w:rFonts w:eastAsia="宋体" w:cs="Times New Roman"/>
                <w:sz w:val="18"/>
                <w:szCs w:val="18"/>
              </w:rPr>
              <w:t>设计单位</w:t>
            </w:r>
          </w:p>
        </w:tc>
        <w:tc>
          <w:tcPr>
            <w:tcW w:w="2093" w:type="dxa"/>
            <w:gridSpan w:val="2"/>
            <w:tcBorders>
              <w:top w:val="single" w:color="auto" w:sz="4" w:space="0"/>
              <w:left w:val="single" w:color="auto" w:sz="4" w:space="0"/>
              <w:bottom w:val="single" w:color="auto" w:sz="4" w:space="0"/>
              <w:right w:val="single" w:color="auto" w:sz="4" w:space="0"/>
            </w:tcBorders>
            <w:vAlign w:val="center"/>
          </w:tcPr>
          <w:p w14:paraId="610579BB">
            <w:pPr>
              <w:ind w:firstLine="0" w:firstLineChars="0"/>
              <w:jc w:val="center"/>
              <w:rPr>
                <w:rFonts w:eastAsia="宋体" w:cs="Times New Roman"/>
                <w:sz w:val="18"/>
                <w:szCs w:val="18"/>
              </w:rPr>
            </w:pPr>
            <w:r>
              <w:rPr>
                <w:rFonts w:eastAsia="宋体" w:cs="Times New Roman"/>
                <w:sz w:val="18"/>
                <w:szCs w:val="18"/>
              </w:rPr>
              <w:t>项目负责人</w:t>
            </w:r>
          </w:p>
        </w:tc>
        <w:tc>
          <w:tcPr>
            <w:tcW w:w="1593" w:type="dxa"/>
            <w:gridSpan w:val="2"/>
            <w:tcBorders>
              <w:top w:val="single" w:color="auto" w:sz="4" w:space="0"/>
              <w:left w:val="single" w:color="auto" w:sz="4" w:space="0"/>
              <w:bottom w:val="single" w:color="auto" w:sz="4" w:space="0"/>
              <w:right w:val="single" w:color="auto" w:sz="4" w:space="0"/>
            </w:tcBorders>
            <w:vAlign w:val="center"/>
          </w:tcPr>
          <w:p w14:paraId="76E9AAEE">
            <w:pPr>
              <w:ind w:firstLine="0" w:firstLineChars="0"/>
              <w:jc w:val="center"/>
              <w:rPr>
                <w:rFonts w:eastAsia="宋体" w:cs="Times New Roman"/>
                <w:sz w:val="18"/>
                <w:szCs w:val="18"/>
              </w:rPr>
            </w:pPr>
          </w:p>
        </w:tc>
        <w:tc>
          <w:tcPr>
            <w:tcW w:w="2639" w:type="dxa"/>
            <w:gridSpan w:val="3"/>
            <w:tcBorders>
              <w:top w:val="single" w:color="auto" w:sz="4" w:space="0"/>
              <w:left w:val="single" w:color="auto" w:sz="4" w:space="0"/>
              <w:bottom w:val="single" w:color="auto" w:sz="4" w:space="0"/>
              <w:right w:val="single" w:color="auto" w:sz="4" w:space="0"/>
            </w:tcBorders>
            <w:vAlign w:val="center"/>
          </w:tcPr>
          <w:p w14:paraId="29A8BC41">
            <w:pPr>
              <w:ind w:firstLine="0" w:firstLineChars="0"/>
              <w:jc w:val="center"/>
              <w:rPr>
                <w:rFonts w:eastAsia="宋体" w:cs="Times New Roman"/>
                <w:sz w:val="18"/>
                <w:szCs w:val="18"/>
              </w:rPr>
            </w:pPr>
            <w:r>
              <w:rPr>
                <w:rFonts w:eastAsia="宋体" w:cs="Times New Roman"/>
                <w:sz w:val="18"/>
                <w:szCs w:val="18"/>
              </w:rPr>
              <w:t xml:space="preserve">            年  月  日</w:t>
            </w:r>
          </w:p>
        </w:tc>
      </w:tr>
      <w:tr w14:paraId="26FE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Merge w:val="continue"/>
            <w:tcBorders>
              <w:left w:val="single" w:color="auto" w:sz="4" w:space="0"/>
              <w:bottom w:val="single" w:color="auto" w:sz="4" w:space="0"/>
              <w:right w:val="single" w:color="auto" w:sz="4" w:space="0"/>
            </w:tcBorders>
            <w:vAlign w:val="center"/>
          </w:tcPr>
          <w:p w14:paraId="62AEAFAA">
            <w:pPr>
              <w:ind w:firstLine="0" w:firstLineChars="0"/>
              <w:jc w:val="center"/>
              <w:rPr>
                <w:rFonts w:eastAsia="宋体" w:cs="Times New Roman"/>
                <w:sz w:val="18"/>
                <w:szCs w:val="18"/>
              </w:rPr>
            </w:pPr>
          </w:p>
        </w:tc>
        <w:tc>
          <w:tcPr>
            <w:tcW w:w="2127" w:type="dxa"/>
            <w:tcBorders>
              <w:top w:val="single" w:color="auto" w:sz="4" w:space="0"/>
              <w:left w:val="single" w:color="auto" w:sz="4" w:space="0"/>
              <w:bottom w:val="single" w:color="auto" w:sz="4" w:space="0"/>
              <w:right w:val="single" w:color="auto" w:sz="4" w:space="0"/>
            </w:tcBorders>
            <w:vAlign w:val="center"/>
          </w:tcPr>
          <w:p w14:paraId="0AEC94B8">
            <w:pPr>
              <w:ind w:firstLine="0" w:firstLineChars="0"/>
              <w:jc w:val="center"/>
              <w:rPr>
                <w:rFonts w:eastAsia="宋体" w:cs="Times New Roman"/>
                <w:sz w:val="18"/>
                <w:szCs w:val="18"/>
              </w:rPr>
            </w:pPr>
            <w:r>
              <w:rPr>
                <w:rFonts w:eastAsia="宋体" w:cs="Times New Roman"/>
                <w:sz w:val="18"/>
                <w:szCs w:val="18"/>
              </w:rPr>
              <w:t>监理（建设）单位</w:t>
            </w:r>
          </w:p>
        </w:tc>
        <w:tc>
          <w:tcPr>
            <w:tcW w:w="6325" w:type="dxa"/>
            <w:gridSpan w:val="7"/>
            <w:tcBorders>
              <w:top w:val="single" w:color="auto" w:sz="4" w:space="0"/>
              <w:left w:val="single" w:color="auto" w:sz="4" w:space="0"/>
              <w:bottom w:val="single" w:color="auto" w:sz="4" w:space="0"/>
              <w:right w:val="single" w:color="auto" w:sz="4" w:space="0"/>
            </w:tcBorders>
            <w:vAlign w:val="center"/>
          </w:tcPr>
          <w:p w14:paraId="2BF9423A">
            <w:pPr>
              <w:ind w:firstLine="0" w:firstLineChars="0"/>
              <w:jc w:val="center"/>
              <w:rPr>
                <w:rFonts w:eastAsia="宋体" w:cs="Times New Roman"/>
                <w:sz w:val="18"/>
                <w:szCs w:val="18"/>
              </w:rPr>
            </w:pPr>
          </w:p>
        </w:tc>
      </w:tr>
    </w:tbl>
    <w:p w14:paraId="02E6F190">
      <w:pPr>
        <w:spacing w:line="360" w:lineRule="auto"/>
        <w:ind w:firstLine="0" w:firstLineChars="0"/>
        <w:jc w:val="left"/>
        <w:rPr>
          <w:rFonts w:eastAsia="宋体" w:cs="Times New Roman"/>
          <w:b/>
          <w:bCs/>
          <w:kern w:val="0"/>
          <w:sz w:val="24"/>
          <w:szCs w:val="32"/>
        </w:rPr>
      </w:pPr>
    </w:p>
    <w:p w14:paraId="55B3A7A6">
      <w:pPr>
        <w:spacing w:line="360" w:lineRule="auto"/>
        <w:ind w:firstLine="0" w:firstLineChars="0"/>
        <w:jc w:val="left"/>
        <w:rPr>
          <w:rFonts w:eastAsia="宋体" w:cs="Times New Roman"/>
          <w:b/>
          <w:bCs/>
          <w:kern w:val="0"/>
          <w:sz w:val="24"/>
          <w:szCs w:val="32"/>
        </w:rPr>
      </w:pPr>
    </w:p>
    <w:p w14:paraId="5C5AA6B3">
      <w:pPr>
        <w:widowControl/>
        <w:ind w:firstLine="0" w:firstLineChars="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br w:type="page"/>
      </w:r>
    </w:p>
    <w:p w14:paraId="3CF94C12">
      <w:pPr>
        <w:spacing w:line="360" w:lineRule="auto"/>
        <w:ind w:firstLine="0" w:firstLineChars="0"/>
        <w:jc w:val="left"/>
        <w:rPr>
          <w:rFonts w:eastAsia="宋体" w:cs="Times New Roman"/>
          <w:bCs/>
          <w:kern w:val="0"/>
          <w:sz w:val="18"/>
          <w:szCs w:val="18"/>
        </w:rPr>
      </w:pPr>
      <w:r>
        <w:rPr>
          <w:rFonts w:eastAsia="宋体" w:cs="Times New Roman"/>
          <w:b/>
          <w:bCs/>
          <w:iCs/>
          <w:color w:val="000000" w:themeColor="text1"/>
          <w:sz w:val="21"/>
          <w:szCs w:val="21"/>
          <w14:textFill>
            <w14:solidFill>
              <w14:schemeClr w14:val="tx1"/>
            </w14:solidFill>
          </w14:textFill>
        </w:rPr>
        <w:t xml:space="preserve">A.0.2  </w:t>
      </w:r>
      <w:r>
        <w:rPr>
          <w:rFonts w:eastAsia="宋体" w:cs="Times New Roman"/>
          <w:b/>
          <w:bCs/>
          <w:kern w:val="0"/>
          <w:sz w:val="21"/>
          <w:szCs w:val="21"/>
        </w:rPr>
        <w:t>监测设施工程验收资料审查记录</w:t>
      </w:r>
      <w:r>
        <w:rPr>
          <w:rFonts w:eastAsia="宋体" w:cs="Times New Roman"/>
          <w:bCs/>
          <w:kern w:val="0"/>
          <w:sz w:val="18"/>
          <w:szCs w:val="18"/>
        </w:rPr>
        <w:t xml:space="preserve"> </w:t>
      </w:r>
    </w:p>
    <w:p w14:paraId="3C5C7B5F">
      <w:pPr>
        <w:spacing w:line="360" w:lineRule="auto"/>
        <w:ind w:firstLine="0" w:firstLineChars="0"/>
        <w:jc w:val="center"/>
        <w:rPr>
          <w:rFonts w:eastAsia="宋体" w:cs="Times New Roman"/>
          <w:b/>
          <w:kern w:val="0"/>
          <w:sz w:val="18"/>
          <w:szCs w:val="18"/>
        </w:rPr>
      </w:pPr>
      <w:r>
        <w:rPr>
          <w:rFonts w:eastAsia="宋体" w:cs="Times New Roman"/>
          <w:b/>
          <w:kern w:val="0"/>
          <w:sz w:val="18"/>
          <w:szCs w:val="18"/>
        </w:rPr>
        <w:t>表</w:t>
      </w:r>
      <w:r>
        <w:rPr>
          <w:rFonts w:eastAsia="宋体" w:cs="Times New Roman"/>
          <w:b/>
          <w:iCs/>
          <w:color w:val="000000" w:themeColor="text1"/>
          <w:sz w:val="18"/>
          <w:szCs w:val="18"/>
          <w14:textFill>
            <w14:solidFill>
              <w14:schemeClr w14:val="tx1"/>
            </w14:solidFill>
          </w14:textFill>
        </w:rPr>
        <w:t xml:space="preserve">A.0.2 </w:t>
      </w:r>
      <w:r>
        <w:rPr>
          <w:rFonts w:eastAsia="宋体" w:cs="Times New Roman"/>
          <w:b/>
          <w:kern w:val="0"/>
          <w:sz w:val="18"/>
          <w:szCs w:val="18"/>
        </w:rPr>
        <w:t xml:space="preserve"> 监测设施工程验收资料审查记录表</w:t>
      </w:r>
    </w:p>
    <w:tbl>
      <w:tblPr>
        <w:tblStyle w:val="60"/>
        <w:tblW w:w="9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958"/>
        <w:gridCol w:w="1600"/>
        <w:gridCol w:w="1250"/>
        <w:gridCol w:w="1250"/>
        <w:gridCol w:w="1252"/>
      </w:tblGrid>
      <w:tr w14:paraId="6333D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tcBorders>
              <w:top w:val="single" w:color="auto" w:sz="4" w:space="0"/>
              <w:left w:val="single" w:color="auto" w:sz="4" w:space="0"/>
              <w:bottom w:val="single" w:color="auto" w:sz="4" w:space="0"/>
              <w:right w:val="single" w:color="auto" w:sz="4" w:space="0"/>
            </w:tcBorders>
            <w:vAlign w:val="center"/>
          </w:tcPr>
          <w:p w14:paraId="6A1684E4">
            <w:pPr>
              <w:ind w:firstLine="0" w:firstLineChars="0"/>
              <w:jc w:val="center"/>
              <w:rPr>
                <w:rFonts w:eastAsia="宋体" w:cs="Times New Roman"/>
                <w:sz w:val="18"/>
                <w:szCs w:val="18"/>
              </w:rPr>
            </w:pPr>
            <w:r>
              <w:rPr>
                <w:rFonts w:eastAsia="宋体" w:cs="Times New Roman"/>
                <w:sz w:val="18"/>
                <w:szCs w:val="18"/>
              </w:rPr>
              <w:t>工程名称</w:t>
            </w:r>
          </w:p>
        </w:tc>
        <w:tc>
          <w:tcPr>
            <w:tcW w:w="2958" w:type="dxa"/>
            <w:tcBorders>
              <w:top w:val="single" w:color="auto" w:sz="4" w:space="0"/>
              <w:left w:val="single" w:color="auto" w:sz="4" w:space="0"/>
              <w:bottom w:val="single" w:color="auto" w:sz="4" w:space="0"/>
              <w:right w:val="single" w:color="auto" w:sz="4" w:space="0"/>
            </w:tcBorders>
            <w:vAlign w:val="center"/>
          </w:tcPr>
          <w:p w14:paraId="5FC2520F">
            <w:pPr>
              <w:ind w:firstLine="0" w:firstLineChars="0"/>
              <w:jc w:val="center"/>
              <w:rPr>
                <w:rFonts w:eastAsia="宋体" w:cs="Times New Roman"/>
                <w:sz w:val="18"/>
                <w:szCs w:val="18"/>
              </w:rPr>
            </w:pPr>
          </w:p>
        </w:tc>
        <w:tc>
          <w:tcPr>
            <w:tcW w:w="1600" w:type="dxa"/>
            <w:tcBorders>
              <w:top w:val="single" w:color="auto" w:sz="4" w:space="0"/>
              <w:left w:val="single" w:color="auto" w:sz="4" w:space="0"/>
              <w:bottom w:val="single" w:color="auto" w:sz="4" w:space="0"/>
              <w:right w:val="single" w:color="auto" w:sz="4" w:space="0"/>
            </w:tcBorders>
            <w:vAlign w:val="center"/>
          </w:tcPr>
          <w:p w14:paraId="798B7B3F">
            <w:pPr>
              <w:ind w:firstLine="0" w:firstLineChars="0"/>
              <w:jc w:val="center"/>
              <w:rPr>
                <w:rFonts w:eastAsia="宋体" w:cs="Times New Roman"/>
                <w:sz w:val="18"/>
                <w:szCs w:val="18"/>
              </w:rPr>
            </w:pPr>
            <w:r>
              <w:rPr>
                <w:rFonts w:eastAsia="宋体" w:cs="Times New Roman"/>
                <w:sz w:val="18"/>
                <w:szCs w:val="18"/>
              </w:rPr>
              <w:t>施工单位</w:t>
            </w:r>
          </w:p>
        </w:tc>
        <w:tc>
          <w:tcPr>
            <w:tcW w:w="3752" w:type="dxa"/>
            <w:gridSpan w:val="3"/>
            <w:tcBorders>
              <w:top w:val="single" w:color="auto" w:sz="4" w:space="0"/>
              <w:left w:val="single" w:color="auto" w:sz="4" w:space="0"/>
              <w:bottom w:val="single" w:color="auto" w:sz="4" w:space="0"/>
              <w:right w:val="single" w:color="auto" w:sz="4" w:space="0"/>
            </w:tcBorders>
            <w:vAlign w:val="center"/>
          </w:tcPr>
          <w:p w14:paraId="0F1800C8">
            <w:pPr>
              <w:ind w:firstLine="0" w:firstLineChars="0"/>
              <w:jc w:val="center"/>
              <w:rPr>
                <w:rFonts w:eastAsia="宋体" w:cs="Times New Roman"/>
                <w:sz w:val="18"/>
                <w:szCs w:val="18"/>
              </w:rPr>
            </w:pPr>
          </w:p>
        </w:tc>
      </w:tr>
      <w:tr w14:paraId="69B8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tcBorders>
              <w:top w:val="single" w:color="auto" w:sz="4" w:space="0"/>
              <w:left w:val="single" w:color="auto" w:sz="4" w:space="0"/>
              <w:bottom w:val="single" w:color="auto" w:sz="4" w:space="0"/>
              <w:right w:val="single" w:color="auto" w:sz="4" w:space="0"/>
            </w:tcBorders>
            <w:vAlign w:val="center"/>
          </w:tcPr>
          <w:p w14:paraId="3E0E46A3">
            <w:pPr>
              <w:ind w:firstLine="0" w:firstLineChars="0"/>
              <w:rPr>
                <w:rFonts w:eastAsia="宋体" w:cs="Times New Roman"/>
                <w:sz w:val="18"/>
                <w:szCs w:val="18"/>
              </w:rPr>
            </w:pPr>
            <w:r>
              <w:rPr>
                <w:rFonts w:eastAsia="宋体" w:cs="Times New Roman"/>
                <w:sz w:val="18"/>
                <w:szCs w:val="18"/>
              </w:rPr>
              <w:t>序号</w:t>
            </w:r>
          </w:p>
        </w:tc>
        <w:tc>
          <w:tcPr>
            <w:tcW w:w="4558" w:type="dxa"/>
            <w:gridSpan w:val="2"/>
            <w:tcBorders>
              <w:top w:val="single" w:color="auto" w:sz="4" w:space="0"/>
              <w:left w:val="single" w:color="auto" w:sz="4" w:space="0"/>
              <w:bottom w:val="single" w:color="auto" w:sz="4" w:space="0"/>
              <w:right w:val="single" w:color="auto" w:sz="4" w:space="0"/>
            </w:tcBorders>
            <w:vAlign w:val="center"/>
          </w:tcPr>
          <w:p w14:paraId="40D8A49D">
            <w:pPr>
              <w:ind w:firstLine="0" w:firstLineChars="0"/>
              <w:jc w:val="center"/>
              <w:rPr>
                <w:rFonts w:eastAsia="宋体" w:cs="Times New Roman"/>
                <w:sz w:val="18"/>
                <w:szCs w:val="18"/>
              </w:rPr>
            </w:pPr>
            <w:r>
              <w:rPr>
                <w:rFonts w:eastAsia="宋体" w:cs="Times New Roman"/>
                <w:sz w:val="18"/>
                <w:szCs w:val="18"/>
              </w:rPr>
              <w:t>资料名称</w:t>
            </w:r>
          </w:p>
        </w:tc>
        <w:tc>
          <w:tcPr>
            <w:tcW w:w="1250" w:type="dxa"/>
            <w:tcBorders>
              <w:top w:val="single" w:color="auto" w:sz="4" w:space="0"/>
              <w:left w:val="single" w:color="auto" w:sz="4" w:space="0"/>
              <w:bottom w:val="single" w:color="auto" w:sz="4" w:space="0"/>
              <w:right w:val="single" w:color="auto" w:sz="4" w:space="0"/>
            </w:tcBorders>
            <w:vAlign w:val="center"/>
          </w:tcPr>
          <w:p w14:paraId="07C7A45F">
            <w:pPr>
              <w:ind w:firstLine="0" w:firstLineChars="0"/>
              <w:jc w:val="right"/>
              <w:rPr>
                <w:rFonts w:eastAsia="宋体" w:cs="Times New Roman"/>
                <w:sz w:val="18"/>
                <w:szCs w:val="18"/>
              </w:rPr>
            </w:pPr>
            <w:r>
              <w:rPr>
                <w:rFonts w:eastAsia="宋体" w:cs="Times New Roman"/>
                <w:sz w:val="18"/>
                <w:szCs w:val="18"/>
              </w:rPr>
              <w:t xml:space="preserve">份数 </w:t>
            </w:r>
          </w:p>
        </w:tc>
        <w:tc>
          <w:tcPr>
            <w:tcW w:w="1250" w:type="dxa"/>
            <w:tcBorders>
              <w:top w:val="single" w:color="auto" w:sz="4" w:space="0"/>
              <w:left w:val="single" w:color="auto" w:sz="4" w:space="0"/>
              <w:bottom w:val="single" w:color="auto" w:sz="4" w:space="0"/>
              <w:right w:val="single" w:color="auto" w:sz="4" w:space="0"/>
            </w:tcBorders>
            <w:vAlign w:val="center"/>
          </w:tcPr>
          <w:p w14:paraId="30ADE9CD">
            <w:pPr>
              <w:ind w:firstLine="0" w:firstLineChars="0"/>
              <w:jc w:val="right"/>
              <w:rPr>
                <w:rFonts w:eastAsia="宋体" w:cs="Times New Roman"/>
                <w:sz w:val="18"/>
                <w:szCs w:val="18"/>
              </w:rPr>
            </w:pPr>
            <w:r>
              <w:rPr>
                <w:rFonts w:eastAsia="宋体" w:cs="Times New Roman"/>
                <w:sz w:val="18"/>
                <w:szCs w:val="18"/>
              </w:rPr>
              <w:t>审核意见</w:t>
            </w:r>
          </w:p>
        </w:tc>
        <w:tc>
          <w:tcPr>
            <w:tcW w:w="1252" w:type="dxa"/>
            <w:tcBorders>
              <w:top w:val="single" w:color="auto" w:sz="4" w:space="0"/>
              <w:left w:val="single" w:color="auto" w:sz="4" w:space="0"/>
              <w:bottom w:val="single" w:color="auto" w:sz="4" w:space="0"/>
              <w:right w:val="single" w:color="auto" w:sz="4" w:space="0"/>
            </w:tcBorders>
            <w:vAlign w:val="center"/>
          </w:tcPr>
          <w:p w14:paraId="037D42A6">
            <w:pPr>
              <w:ind w:firstLine="0" w:firstLineChars="0"/>
              <w:jc w:val="right"/>
              <w:rPr>
                <w:rFonts w:eastAsia="宋体" w:cs="Times New Roman"/>
                <w:sz w:val="18"/>
                <w:szCs w:val="18"/>
              </w:rPr>
            </w:pPr>
            <w:r>
              <w:rPr>
                <w:rFonts w:eastAsia="宋体" w:cs="Times New Roman"/>
                <w:sz w:val="18"/>
                <w:szCs w:val="18"/>
              </w:rPr>
              <w:t>审核人</w:t>
            </w:r>
          </w:p>
        </w:tc>
      </w:tr>
      <w:tr w14:paraId="4829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tcBorders>
              <w:top w:val="single" w:color="auto" w:sz="4" w:space="0"/>
              <w:left w:val="single" w:color="auto" w:sz="4" w:space="0"/>
              <w:bottom w:val="single" w:color="auto" w:sz="4" w:space="0"/>
              <w:right w:val="single" w:color="auto" w:sz="4" w:space="0"/>
            </w:tcBorders>
            <w:vAlign w:val="center"/>
          </w:tcPr>
          <w:p w14:paraId="5434AE5F">
            <w:pPr>
              <w:ind w:firstLine="0" w:firstLineChars="0"/>
              <w:rPr>
                <w:rFonts w:eastAsia="宋体" w:cs="Times New Roman"/>
                <w:sz w:val="18"/>
                <w:szCs w:val="18"/>
              </w:rPr>
            </w:pPr>
            <w:r>
              <w:rPr>
                <w:rFonts w:eastAsia="宋体" w:cs="Times New Roman"/>
                <w:sz w:val="18"/>
                <w:szCs w:val="18"/>
              </w:rPr>
              <w:t>1</w:t>
            </w:r>
          </w:p>
        </w:tc>
        <w:tc>
          <w:tcPr>
            <w:tcW w:w="4558" w:type="dxa"/>
            <w:gridSpan w:val="2"/>
            <w:tcBorders>
              <w:top w:val="single" w:color="auto" w:sz="4" w:space="0"/>
              <w:left w:val="single" w:color="auto" w:sz="4" w:space="0"/>
              <w:bottom w:val="single" w:color="auto" w:sz="4" w:space="0"/>
              <w:right w:val="single" w:color="auto" w:sz="4" w:space="0"/>
            </w:tcBorders>
            <w:vAlign w:val="center"/>
          </w:tcPr>
          <w:p w14:paraId="123F9DB7">
            <w:pPr>
              <w:ind w:firstLine="0" w:firstLineChars="0"/>
              <w:jc w:val="center"/>
              <w:rPr>
                <w:rFonts w:eastAsia="宋体" w:cs="Times New Roman"/>
                <w:sz w:val="18"/>
                <w:szCs w:val="18"/>
              </w:rPr>
            </w:pPr>
            <w:r>
              <w:rPr>
                <w:rFonts w:eastAsia="宋体" w:cs="Times New Roman"/>
                <w:iCs/>
                <w:sz w:val="18"/>
                <w:szCs w:val="18"/>
              </w:rPr>
              <w:t>图纸会审、设计变更、洽商记录竣工图及设计说明</w:t>
            </w:r>
          </w:p>
        </w:tc>
        <w:tc>
          <w:tcPr>
            <w:tcW w:w="1250" w:type="dxa"/>
            <w:tcBorders>
              <w:top w:val="single" w:color="auto" w:sz="4" w:space="0"/>
              <w:left w:val="single" w:color="auto" w:sz="4" w:space="0"/>
              <w:bottom w:val="single" w:color="auto" w:sz="4" w:space="0"/>
              <w:right w:val="single" w:color="auto" w:sz="4" w:space="0"/>
            </w:tcBorders>
            <w:vAlign w:val="center"/>
          </w:tcPr>
          <w:p w14:paraId="321EF037">
            <w:pPr>
              <w:ind w:firstLine="0" w:firstLineChars="0"/>
              <w:jc w:val="right"/>
              <w:rPr>
                <w:rFonts w:eastAsia="宋体" w:cs="Times New Roman"/>
                <w:sz w:val="18"/>
                <w:szCs w:val="18"/>
              </w:rPr>
            </w:pPr>
            <w:r>
              <w:rPr>
                <w:rFonts w:eastAsia="宋体" w:cs="Times New Roman"/>
                <w:sz w:val="18"/>
                <w:szCs w:val="18"/>
              </w:rPr>
              <w:t xml:space="preserve"> </w:t>
            </w:r>
          </w:p>
        </w:tc>
        <w:tc>
          <w:tcPr>
            <w:tcW w:w="1250" w:type="dxa"/>
            <w:tcBorders>
              <w:top w:val="single" w:color="auto" w:sz="4" w:space="0"/>
              <w:left w:val="single" w:color="auto" w:sz="4" w:space="0"/>
              <w:bottom w:val="single" w:color="auto" w:sz="4" w:space="0"/>
              <w:right w:val="single" w:color="auto" w:sz="4" w:space="0"/>
            </w:tcBorders>
            <w:vAlign w:val="center"/>
          </w:tcPr>
          <w:p w14:paraId="5F1A2718">
            <w:pPr>
              <w:ind w:firstLine="0" w:firstLineChars="0"/>
              <w:jc w:val="right"/>
              <w:rPr>
                <w:rFonts w:eastAsia="宋体" w:cs="Times New Roman"/>
                <w:sz w:val="18"/>
                <w:szCs w:val="18"/>
              </w:rPr>
            </w:pPr>
          </w:p>
        </w:tc>
        <w:tc>
          <w:tcPr>
            <w:tcW w:w="1252" w:type="dxa"/>
            <w:tcBorders>
              <w:top w:val="single" w:color="auto" w:sz="4" w:space="0"/>
              <w:left w:val="single" w:color="auto" w:sz="4" w:space="0"/>
              <w:bottom w:val="single" w:color="auto" w:sz="4" w:space="0"/>
              <w:right w:val="single" w:color="auto" w:sz="4" w:space="0"/>
            </w:tcBorders>
            <w:vAlign w:val="center"/>
          </w:tcPr>
          <w:p w14:paraId="6BC527E8">
            <w:pPr>
              <w:ind w:firstLine="0" w:firstLineChars="0"/>
              <w:jc w:val="right"/>
              <w:rPr>
                <w:rFonts w:eastAsia="宋体" w:cs="Times New Roman"/>
                <w:sz w:val="18"/>
                <w:szCs w:val="18"/>
              </w:rPr>
            </w:pPr>
          </w:p>
        </w:tc>
      </w:tr>
      <w:tr w14:paraId="132A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tcBorders>
              <w:top w:val="single" w:color="auto" w:sz="4" w:space="0"/>
              <w:left w:val="single" w:color="auto" w:sz="4" w:space="0"/>
              <w:bottom w:val="single" w:color="auto" w:sz="4" w:space="0"/>
              <w:right w:val="single" w:color="auto" w:sz="4" w:space="0"/>
            </w:tcBorders>
            <w:vAlign w:val="center"/>
          </w:tcPr>
          <w:p w14:paraId="76E73AD7">
            <w:pPr>
              <w:ind w:firstLine="0" w:firstLineChars="0"/>
              <w:rPr>
                <w:rFonts w:eastAsia="宋体" w:cs="Times New Roman"/>
                <w:sz w:val="18"/>
                <w:szCs w:val="18"/>
              </w:rPr>
            </w:pPr>
            <w:r>
              <w:rPr>
                <w:rFonts w:eastAsia="宋体" w:cs="Times New Roman"/>
                <w:sz w:val="18"/>
                <w:szCs w:val="18"/>
              </w:rPr>
              <w:t>2</w:t>
            </w:r>
          </w:p>
        </w:tc>
        <w:tc>
          <w:tcPr>
            <w:tcW w:w="4558" w:type="dxa"/>
            <w:gridSpan w:val="2"/>
            <w:tcBorders>
              <w:top w:val="single" w:color="auto" w:sz="4" w:space="0"/>
              <w:left w:val="single" w:color="auto" w:sz="4" w:space="0"/>
              <w:bottom w:val="single" w:color="auto" w:sz="4" w:space="0"/>
              <w:right w:val="single" w:color="auto" w:sz="4" w:space="0"/>
            </w:tcBorders>
            <w:vAlign w:val="center"/>
          </w:tcPr>
          <w:p w14:paraId="6C71845B">
            <w:pPr>
              <w:ind w:firstLine="0" w:firstLineChars="0"/>
              <w:jc w:val="center"/>
              <w:rPr>
                <w:rFonts w:eastAsia="宋体" w:cs="Times New Roman"/>
                <w:sz w:val="18"/>
                <w:szCs w:val="18"/>
              </w:rPr>
            </w:pPr>
            <w:r>
              <w:rPr>
                <w:rFonts w:eastAsia="宋体" w:cs="Times New Roman"/>
                <w:sz w:val="18"/>
                <w:szCs w:val="18"/>
              </w:rPr>
              <w:t>材料、设备出厂合格证及技术文件及进场检(试)验报告</w:t>
            </w:r>
          </w:p>
        </w:tc>
        <w:tc>
          <w:tcPr>
            <w:tcW w:w="1250" w:type="dxa"/>
            <w:tcBorders>
              <w:top w:val="single" w:color="auto" w:sz="4" w:space="0"/>
              <w:left w:val="single" w:color="auto" w:sz="4" w:space="0"/>
              <w:bottom w:val="single" w:color="auto" w:sz="4" w:space="0"/>
              <w:right w:val="single" w:color="auto" w:sz="4" w:space="0"/>
            </w:tcBorders>
            <w:vAlign w:val="center"/>
          </w:tcPr>
          <w:p w14:paraId="1DF5BC2D">
            <w:pPr>
              <w:ind w:firstLine="0" w:firstLineChars="0"/>
              <w:jc w:val="right"/>
              <w:rPr>
                <w:rFonts w:eastAsia="宋体" w:cs="Times New Roman"/>
                <w:sz w:val="18"/>
                <w:szCs w:val="18"/>
              </w:rPr>
            </w:pPr>
            <w:r>
              <w:rPr>
                <w:rFonts w:eastAsia="宋体" w:cs="Times New Roman"/>
                <w:sz w:val="18"/>
                <w:szCs w:val="18"/>
              </w:rPr>
              <w:t xml:space="preserve"> </w:t>
            </w:r>
          </w:p>
        </w:tc>
        <w:tc>
          <w:tcPr>
            <w:tcW w:w="1250" w:type="dxa"/>
            <w:tcBorders>
              <w:top w:val="single" w:color="auto" w:sz="4" w:space="0"/>
              <w:left w:val="single" w:color="auto" w:sz="4" w:space="0"/>
              <w:bottom w:val="single" w:color="auto" w:sz="4" w:space="0"/>
              <w:right w:val="single" w:color="auto" w:sz="4" w:space="0"/>
            </w:tcBorders>
            <w:vAlign w:val="center"/>
          </w:tcPr>
          <w:p w14:paraId="3158C4CF">
            <w:pPr>
              <w:ind w:firstLine="0" w:firstLineChars="0"/>
              <w:jc w:val="right"/>
              <w:rPr>
                <w:rFonts w:eastAsia="宋体" w:cs="Times New Roman"/>
                <w:sz w:val="18"/>
                <w:szCs w:val="18"/>
              </w:rPr>
            </w:pPr>
          </w:p>
        </w:tc>
        <w:tc>
          <w:tcPr>
            <w:tcW w:w="1252" w:type="dxa"/>
            <w:tcBorders>
              <w:top w:val="single" w:color="auto" w:sz="4" w:space="0"/>
              <w:left w:val="single" w:color="auto" w:sz="4" w:space="0"/>
              <w:bottom w:val="single" w:color="auto" w:sz="4" w:space="0"/>
              <w:right w:val="single" w:color="auto" w:sz="4" w:space="0"/>
            </w:tcBorders>
            <w:vAlign w:val="center"/>
          </w:tcPr>
          <w:p w14:paraId="2528C4C8">
            <w:pPr>
              <w:ind w:firstLine="0" w:firstLineChars="0"/>
              <w:jc w:val="right"/>
              <w:rPr>
                <w:rFonts w:eastAsia="宋体" w:cs="Times New Roman"/>
                <w:sz w:val="18"/>
                <w:szCs w:val="18"/>
              </w:rPr>
            </w:pPr>
          </w:p>
        </w:tc>
      </w:tr>
      <w:tr w14:paraId="38406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tcBorders>
              <w:top w:val="single" w:color="auto" w:sz="4" w:space="0"/>
              <w:left w:val="single" w:color="auto" w:sz="4" w:space="0"/>
              <w:bottom w:val="single" w:color="auto" w:sz="4" w:space="0"/>
              <w:right w:val="single" w:color="auto" w:sz="4" w:space="0"/>
            </w:tcBorders>
            <w:vAlign w:val="center"/>
          </w:tcPr>
          <w:p w14:paraId="2505AFEF">
            <w:pPr>
              <w:ind w:firstLine="0" w:firstLineChars="0"/>
              <w:rPr>
                <w:rFonts w:eastAsia="宋体" w:cs="Times New Roman"/>
                <w:sz w:val="18"/>
                <w:szCs w:val="18"/>
              </w:rPr>
            </w:pPr>
            <w:r>
              <w:rPr>
                <w:rFonts w:eastAsia="宋体" w:cs="Times New Roman"/>
                <w:sz w:val="18"/>
                <w:szCs w:val="18"/>
              </w:rPr>
              <w:t>3</w:t>
            </w:r>
          </w:p>
        </w:tc>
        <w:tc>
          <w:tcPr>
            <w:tcW w:w="4558" w:type="dxa"/>
            <w:gridSpan w:val="2"/>
            <w:tcBorders>
              <w:top w:val="single" w:color="auto" w:sz="4" w:space="0"/>
              <w:left w:val="single" w:color="auto" w:sz="4" w:space="0"/>
              <w:bottom w:val="single" w:color="auto" w:sz="4" w:space="0"/>
              <w:right w:val="single" w:color="auto" w:sz="4" w:space="0"/>
            </w:tcBorders>
            <w:vAlign w:val="center"/>
          </w:tcPr>
          <w:p w14:paraId="525704DB">
            <w:pPr>
              <w:ind w:firstLine="0" w:firstLineChars="0"/>
              <w:jc w:val="center"/>
              <w:rPr>
                <w:rFonts w:eastAsia="宋体" w:cs="Times New Roman"/>
                <w:sz w:val="18"/>
                <w:szCs w:val="18"/>
              </w:rPr>
            </w:pPr>
            <w:r>
              <w:rPr>
                <w:rFonts w:eastAsia="宋体" w:cs="Times New Roman"/>
                <w:sz w:val="18"/>
                <w:szCs w:val="18"/>
              </w:rPr>
              <w:t>隐蔽工程验收记录</w:t>
            </w:r>
          </w:p>
        </w:tc>
        <w:tc>
          <w:tcPr>
            <w:tcW w:w="1250" w:type="dxa"/>
            <w:tcBorders>
              <w:top w:val="single" w:color="auto" w:sz="4" w:space="0"/>
              <w:left w:val="single" w:color="auto" w:sz="4" w:space="0"/>
              <w:bottom w:val="single" w:color="auto" w:sz="4" w:space="0"/>
              <w:right w:val="single" w:color="auto" w:sz="4" w:space="0"/>
            </w:tcBorders>
            <w:vAlign w:val="center"/>
          </w:tcPr>
          <w:p w14:paraId="73474C30">
            <w:pPr>
              <w:ind w:firstLine="0" w:firstLineChars="0"/>
              <w:jc w:val="right"/>
              <w:rPr>
                <w:rFonts w:eastAsia="宋体" w:cs="Times New Roman"/>
                <w:sz w:val="18"/>
                <w:szCs w:val="18"/>
              </w:rPr>
            </w:pPr>
          </w:p>
        </w:tc>
        <w:tc>
          <w:tcPr>
            <w:tcW w:w="1250" w:type="dxa"/>
            <w:tcBorders>
              <w:top w:val="single" w:color="auto" w:sz="4" w:space="0"/>
              <w:left w:val="single" w:color="auto" w:sz="4" w:space="0"/>
              <w:bottom w:val="single" w:color="auto" w:sz="4" w:space="0"/>
              <w:right w:val="single" w:color="auto" w:sz="4" w:space="0"/>
            </w:tcBorders>
            <w:vAlign w:val="center"/>
          </w:tcPr>
          <w:p w14:paraId="33477E8A">
            <w:pPr>
              <w:ind w:firstLine="0" w:firstLineChars="0"/>
              <w:jc w:val="right"/>
              <w:rPr>
                <w:rFonts w:eastAsia="宋体" w:cs="Times New Roman"/>
                <w:sz w:val="18"/>
                <w:szCs w:val="18"/>
              </w:rPr>
            </w:pPr>
          </w:p>
        </w:tc>
        <w:tc>
          <w:tcPr>
            <w:tcW w:w="1252" w:type="dxa"/>
            <w:tcBorders>
              <w:top w:val="single" w:color="auto" w:sz="4" w:space="0"/>
              <w:left w:val="single" w:color="auto" w:sz="4" w:space="0"/>
              <w:bottom w:val="single" w:color="auto" w:sz="4" w:space="0"/>
              <w:right w:val="single" w:color="auto" w:sz="4" w:space="0"/>
            </w:tcBorders>
            <w:vAlign w:val="center"/>
          </w:tcPr>
          <w:p w14:paraId="79F8A526">
            <w:pPr>
              <w:ind w:firstLine="0" w:firstLineChars="0"/>
              <w:jc w:val="right"/>
              <w:rPr>
                <w:rFonts w:eastAsia="宋体" w:cs="Times New Roman"/>
                <w:sz w:val="18"/>
                <w:szCs w:val="18"/>
              </w:rPr>
            </w:pPr>
          </w:p>
        </w:tc>
      </w:tr>
      <w:tr w14:paraId="7378D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tcBorders>
              <w:top w:val="single" w:color="auto" w:sz="4" w:space="0"/>
              <w:left w:val="single" w:color="auto" w:sz="4" w:space="0"/>
              <w:bottom w:val="single" w:color="auto" w:sz="4" w:space="0"/>
              <w:right w:val="single" w:color="auto" w:sz="4" w:space="0"/>
            </w:tcBorders>
            <w:vAlign w:val="center"/>
          </w:tcPr>
          <w:p w14:paraId="002FA9C8">
            <w:pPr>
              <w:ind w:firstLine="0" w:firstLineChars="0"/>
              <w:rPr>
                <w:rFonts w:eastAsia="宋体" w:cs="Times New Roman"/>
                <w:sz w:val="18"/>
                <w:szCs w:val="18"/>
              </w:rPr>
            </w:pPr>
            <w:r>
              <w:rPr>
                <w:rFonts w:eastAsia="宋体" w:cs="Times New Roman"/>
                <w:sz w:val="18"/>
                <w:szCs w:val="18"/>
              </w:rPr>
              <w:t>4</w:t>
            </w:r>
          </w:p>
        </w:tc>
        <w:tc>
          <w:tcPr>
            <w:tcW w:w="4558" w:type="dxa"/>
            <w:gridSpan w:val="2"/>
            <w:tcBorders>
              <w:top w:val="single" w:color="auto" w:sz="4" w:space="0"/>
              <w:left w:val="single" w:color="auto" w:sz="4" w:space="0"/>
              <w:bottom w:val="single" w:color="auto" w:sz="4" w:space="0"/>
              <w:right w:val="single" w:color="auto" w:sz="4" w:space="0"/>
            </w:tcBorders>
            <w:vAlign w:val="center"/>
          </w:tcPr>
          <w:p w14:paraId="43085C6A">
            <w:pPr>
              <w:ind w:firstLine="0" w:firstLineChars="0"/>
              <w:jc w:val="center"/>
              <w:rPr>
                <w:rFonts w:eastAsia="宋体" w:cs="Times New Roman"/>
                <w:sz w:val="18"/>
                <w:szCs w:val="18"/>
              </w:rPr>
            </w:pPr>
            <w:r>
              <w:rPr>
                <w:rFonts w:eastAsia="宋体" w:cs="Times New Roman"/>
                <w:sz w:val="18"/>
                <w:szCs w:val="18"/>
              </w:rPr>
              <w:t>系统功能测定及设备调试记录</w:t>
            </w:r>
          </w:p>
        </w:tc>
        <w:tc>
          <w:tcPr>
            <w:tcW w:w="1250" w:type="dxa"/>
            <w:tcBorders>
              <w:top w:val="single" w:color="auto" w:sz="4" w:space="0"/>
              <w:left w:val="single" w:color="auto" w:sz="4" w:space="0"/>
              <w:bottom w:val="single" w:color="auto" w:sz="4" w:space="0"/>
              <w:right w:val="single" w:color="auto" w:sz="4" w:space="0"/>
            </w:tcBorders>
            <w:vAlign w:val="center"/>
          </w:tcPr>
          <w:p w14:paraId="2B5355D9">
            <w:pPr>
              <w:ind w:firstLine="0" w:firstLineChars="0"/>
              <w:jc w:val="right"/>
              <w:rPr>
                <w:rFonts w:eastAsia="宋体" w:cs="Times New Roman"/>
                <w:sz w:val="18"/>
                <w:szCs w:val="18"/>
              </w:rPr>
            </w:pPr>
          </w:p>
        </w:tc>
        <w:tc>
          <w:tcPr>
            <w:tcW w:w="1250" w:type="dxa"/>
            <w:tcBorders>
              <w:top w:val="single" w:color="auto" w:sz="4" w:space="0"/>
              <w:left w:val="single" w:color="auto" w:sz="4" w:space="0"/>
              <w:bottom w:val="single" w:color="auto" w:sz="4" w:space="0"/>
              <w:right w:val="single" w:color="auto" w:sz="4" w:space="0"/>
            </w:tcBorders>
            <w:vAlign w:val="center"/>
          </w:tcPr>
          <w:p w14:paraId="128CFC69">
            <w:pPr>
              <w:ind w:firstLine="0" w:firstLineChars="0"/>
              <w:jc w:val="right"/>
              <w:rPr>
                <w:rFonts w:eastAsia="宋体" w:cs="Times New Roman"/>
                <w:sz w:val="18"/>
                <w:szCs w:val="18"/>
              </w:rPr>
            </w:pPr>
          </w:p>
        </w:tc>
        <w:tc>
          <w:tcPr>
            <w:tcW w:w="1252" w:type="dxa"/>
            <w:tcBorders>
              <w:top w:val="single" w:color="auto" w:sz="4" w:space="0"/>
              <w:left w:val="single" w:color="auto" w:sz="4" w:space="0"/>
              <w:bottom w:val="single" w:color="auto" w:sz="4" w:space="0"/>
              <w:right w:val="single" w:color="auto" w:sz="4" w:space="0"/>
            </w:tcBorders>
            <w:vAlign w:val="center"/>
          </w:tcPr>
          <w:p w14:paraId="7887C425">
            <w:pPr>
              <w:ind w:firstLine="0" w:firstLineChars="0"/>
              <w:jc w:val="right"/>
              <w:rPr>
                <w:rFonts w:eastAsia="宋体" w:cs="Times New Roman"/>
                <w:sz w:val="18"/>
                <w:szCs w:val="18"/>
              </w:rPr>
            </w:pPr>
          </w:p>
        </w:tc>
      </w:tr>
      <w:tr w14:paraId="6B8D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tcBorders>
              <w:top w:val="single" w:color="auto" w:sz="4" w:space="0"/>
              <w:left w:val="single" w:color="auto" w:sz="4" w:space="0"/>
              <w:bottom w:val="single" w:color="auto" w:sz="4" w:space="0"/>
              <w:right w:val="single" w:color="auto" w:sz="4" w:space="0"/>
            </w:tcBorders>
            <w:vAlign w:val="center"/>
          </w:tcPr>
          <w:p w14:paraId="490A451C">
            <w:pPr>
              <w:ind w:firstLine="0" w:firstLineChars="0"/>
              <w:rPr>
                <w:rFonts w:eastAsia="宋体" w:cs="Times New Roman"/>
                <w:sz w:val="18"/>
                <w:szCs w:val="18"/>
              </w:rPr>
            </w:pPr>
            <w:r>
              <w:rPr>
                <w:rFonts w:eastAsia="宋体" w:cs="Times New Roman"/>
                <w:sz w:val="18"/>
                <w:szCs w:val="18"/>
              </w:rPr>
              <w:t>5</w:t>
            </w:r>
          </w:p>
        </w:tc>
        <w:tc>
          <w:tcPr>
            <w:tcW w:w="4558" w:type="dxa"/>
            <w:gridSpan w:val="2"/>
            <w:tcBorders>
              <w:top w:val="single" w:color="auto" w:sz="4" w:space="0"/>
              <w:left w:val="single" w:color="auto" w:sz="4" w:space="0"/>
              <w:bottom w:val="single" w:color="auto" w:sz="4" w:space="0"/>
              <w:right w:val="single" w:color="auto" w:sz="4" w:space="0"/>
            </w:tcBorders>
            <w:vAlign w:val="center"/>
          </w:tcPr>
          <w:p w14:paraId="1FFC73E8">
            <w:pPr>
              <w:ind w:firstLine="0" w:firstLineChars="0"/>
              <w:jc w:val="center"/>
              <w:rPr>
                <w:rFonts w:eastAsia="宋体" w:cs="Times New Roman"/>
                <w:sz w:val="18"/>
                <w:szCs w:val="18"/>
              </w:rPr>
            </w:pPr>
            <w:r>
              <w:rPr>
                <w:rFonts w:eastAsia="宋体" w:cs="Times New Roman"/>
                <w:sz w:val="18"/>
                <w:szCs w:val="18"/>
              </w:rPr>
              <w:t>系统技术、操作和维护手册</w:t>
            </w:r>
          </w:p>
        </w:tc>
        <w:tc>
          <w:tcPr>
            <w:tcW w:w="1250" w:type="dxa"/>
            <w:tcBorders>
              <w:top w:val="single" w:color="auto" w:sz="4" w:space="0"/>
              <w:left w:val="single" w:color="auto" w:sz="4" w:space="0"/>
              <w:bottom w:val="single" w:color="auto" w:sz="4" w:space="0"/>
              <w:right w:val="single" w:color="auto" w:sz="4" w:space="0"/>
            </w:tcBorders>
            <w:vAlign w:val="center"/>
          </w:tcPr>
          <w:p w14:paraId="129EEDF7">
            <w:pPr>
              <w:ind w:firstLine="0" w:firstLineChars="0"/>
              <w:jc w:val="right"/>
              <w:rPr>
                <w:rFonts w:eastAsia="宋体" w:cs="Times New Roman"/>
                <w:sz w:val="18"/>
                <w:szCs w:val="18"/>
              </w:rPr>
            </w:pPr>
            <w:r>
              <w:rPr>
                <w:rFonts w:eastAsia="宋体" w:cs="Times New Roman"/>
                <w:sz w:val="18"/>
                <w:szCs w:val="18"/>
              </w:rPr>
              <w:t xml:space="preserve"> </w:t>
            </w:r>
          </w:p>
        </w:tc>
        <w:tc>
          <w:tcPr>
            <w:tcW w:w="1250" w:type="dxa"/>
            <w:tcBorders>
              <w:top w:val="single" w:color="auto" w:sz="4" w:space="0"/>
              <w:left w:val="single" w:color="auto" w:sz="4" w:space="0"/>
              <w:bottom w:val="single" w:color="auto" w:sz="4" w:space="0"/>
              <w:right w:val="single" w:color="auto" w:sz="4" w:space="0"/>
            </w:tcBorders>
            <w:vAlign w:val="center"/>
          </w:tcPr>
          <w:p w14:paraId="6E5F9822">
            <w:pPr>
              <w:ind w:firstLine="0" w:firstLineChars="0"/>
              <w:jc w:val="right"/>
              <w:rPr>
                <w:rFonts w:eastAsia="宋体" w:cs="Times New Roman"/>
                <w:sz w:val="18"/>
                <w:szCs w:val="18"/>
              </w:rPr>
            </w:pPr>
          </w:p>
        </w:tc>
        <w:tc>
          <w:tcPr>
            <w:tcW w:w="1252" w:type="dxa"/>
            <w:tcBorders>
              <w:top w:val="single" w:color="auto" w:sz="4" w:space="0"/>
              <w:left w:val="single" w:color="auto" w:sz="4" w:space="0"/>
              <w:bottom w:val="single" w:color="auto" w:sz="4" w:space="0"/>
              <w:right w:val="single" w:color="auto" w:sz="4" w:space="0"/>
            </w:tcBorders>
            <w:vAlign w:val="center"/>
          </w:tcPr>
          <w:p w14:paraId="7AB59909">
            <w:pPr>
              <w:ind w:firstLine="0" w:firstLineChars="0"/>
              <w:jc w:val="right"/>
              <w:rPr>
                <w:rFonts w:eastAsia="宋体" w:cs="Times New Roman"/>
                <w:sz w:val="18"/>
                <w:szCs w:val="18"/>
              </w:rPr>
            </w:pPr>
          </w:p>
        </w:tc>
      </w:tr>
      <w:tr w14:paraId="0980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tcBorders>
              <w:top w:val="single" w:color="auto" w:sz="4" w:space="0"/>
              <w:left w:val="single" w:color="auto" w:sz="4" w:space="0"/>
              <w:bottom w:val="single" w:color="auto" w:sz="4" w:space="0"/>
              <w:right w:val="single" w:color="auto" w:sz="4" w:space="0"/>
            </w:tcBorders>
            <w:vAlign w:val="center"/>
          </w:tcPr>
          <w:p w14:paraId="4CCD3209">
            <w:pPr>
              <w:ind w:firstLine="0" w:firstLineChars="0"/>
              <w:rPr>
                <w:rFonts w:eastAsia="宋体" w:cs="Times New Roman"/>
                <w:sz w:val="18"/>
                <w:szCs w:val="18"/>
              </w:rPr>
            </w:pPr>
            <w:r>
              <w:rPr>
                <w:rFonts w:eastAsia="宋体" w:cs="Times New Roman"/>
                <w:sz w:val="18"/>
                <w:szCs w:val="18"/>
              </w:rPr>
              <w:t>6</w:t>
            </w:r>
          </w:p>
        </w:tc>
        <w:tc>
          <w:tcPr>
            <w:tcW w:w="4558" w:type="dxa"/>
            <w:gridSpan w:val="2"/>
            <w:tcBorders>
              <w:top w:val="single" w:color="auto" w:sz="4" w:space="0"/>
              <w:left w:val="single" w:color="auto" w:sz="4" w:space="0"/>
              <w:bottom w:val="single" w:color="auto" w:sz="4" w:space="0"/>
              <w:right w:val="single" w:color="auto" w:sz="4" w:space="0"/>
            </w:tcBorders>
            <w:vAlign w:val="center"/>
          </w:tcPr>
          <w:p w14:paraId="2F190C04">
            <w:pPr>
              <w:ind w:firstLine="0" w:firstLineChars="0"/>
              <w:jc w:val="center"/>
              <w:rPr>
                <w:rFonts w:eastAsia="宋体" w:cs="Times New Roman"/>
                <w:sz w:val="18"/>
                <w:szCs w:val="18"/>
              </w:rPr>
            </w:pPr>
            <w:r>
              <w:rPr>
                <w:rFonts w:eastAsia="宋体" w:cs="Times New Roman"/>
                <w:sz w:val="18"/>
                <w:szCs w:val="18"/>
              </w:rPr>
              <w:t>系统管理、操作人员培训记录</w:t>
            </w:r>
          </w:p>
        </w:tc>
        <w:tc>
          <w:tcPr>
            <w:tcW w:w="1250" w:type="dxa"/>
            <w:tcBorders>
              <w:top w:val="single" w:color="auto" w:sz="4" w:space="0"/>
              <w:left w:val="single" w:color="auto" w:sz="4" w:space="0"/>
              <w:bottom w:val="single" w:color="auto" w:sz="4" w:space="0"/>
              <w:right w:val="single" w:color="auto" w:sz="4" w:space="0"/>
            </w:tcBorders>
            <w:vAlign w:val="center"/>
          </w:tcPr>
          <w:p w14:paraId="27A339EA">
            <w:pPr>
              <w:ind w:firstLine="0" w:firstLineChars="0"/>
              <w:jc w:val="right"/>
              <w:rPr>
                <w:rFonts w:eastAsia="宋体" w:cs="Times New Roman"/>
                <w:sz w:val="18"/>
                <w:szCs w:val="18"/>
              </w:rPr>
            </w:pPr>
            <w:r>
              <w:rPr>
                <w:rFonts w:eastAsia="宋体" w:cs="Times New Roman"/>
                <w:sz w:val="18"/>
                <w:szCs w:val="18"/>
              </w:rPr>
              <w:t xml:space="preserve"> </w:t>
            </w:r>
          </w:p>
        </w:tc>
        <w:tc>
          <w:tcPr>
            <w:tcW w:w="1250" w:type="dxa"/>
            <w:tcBorders>
              <w:top w:val="single" w:color="auto" w:sz="4" w:space="0"/>
              <w:left w:val="single" w:color="auto" w:sz="4" w:space="0"/>
              <w:bottom w:val="single" w:color="auto" w:sz="4" w:space="0"/>
              <w:right w:val="single" w:color="auto" w:sz="4" w:space="0"/>
            </w:tcBorders>
            <w:vAlign w:val="center"/>
          </w:tcPr>
          <w:p w14:paraId="01652833">
            <w:pPr>
              <w:ind w:firstLine="0" w:firstLineChars="0"/>
              <w:jc w:val="right"/>
              <w:rPr>
                <w:rFonts w:eastAsia="宋体" w:cs="Times New Roman"/>
                <w:sz w:val="18"/>
                <w:szCs w:val="18"/>
              </w:rPr>
            </w:pPr>
          </w:p>
        </w:tc>
        <w:tc>
          <w:tcPr>
            <w:tcW w:w="1252" w:type="dxa"/>
            <w:tcBorders>
              <w:top w:val="single" w:color="auto" w:sz="4" w:space="0"/>
              <w:left w:val="single" w:color="auto" w:sz="4" w:space="0"/>
              <w:bottom w:val="single" w:color="auto" w:sz="4" w:space="0"/>
              <w:right w:val="single" w:color="auto" w:sz="4" w:space="0"/>
            </w:tcBorders>
            <w:vAlign w:val="center"/>
          </w:tcPr>
          <w:p w14:paraId="606BF083">
            <w:pPr>
              <w:ind w:firstLine="0" w:firstLineChars="0"/>
              <w:jc w:val="right"/>
              <w:rPr>
                <w:rFonts w:eastAsia="宋体" w:cs="Times New Roman"/>
                <w:sz w:val="18"/>
                <w:szCs w:val="18"/>
              </w:rPr>
            </w:pPr>
          </w:p>
        </w:tc>
      </w:tr>
      <w:tr w14:paraId="1C01A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71" w:type="dxa"/>
            <w:tcBorders>
              <w:top w:val="single" w:color="auto" w:sz="4" w:space="0"/>
              <w:left w:val="single" w:color="auto" w:sz="4" w:space="0"/>
              <w:bottom w:val="single" w:color="auto" w:sz="4" w:space="0"/>
              <w:right w:val="single" w:color="auto" w:sz="4" w:space="0"/>
            </w:tcBorders>
            <w:vAlign w:val="center"/>
          </w:tcPr>
          <w:p w14:paraId="00737915">
            <w:pPr>
              <w:ind w:firstLine="0" w:firstLineChars="0"/>
              <w:rPr>
                <w:rFonts w:eastAsia="宋体" w:cs="Times New Roman"/>
                <w:sz w:val="18"/>
                <w:szCs w:val="18"/>
              </w:rPr>
            </w:pPr>
            <w:r>
              <w:rPr>
                <w:rFonts w:eastAsia="宋体" w:cs="Times New Roman"/>
                <w:sz w:val="18"/>
                <w:szCs w:val="18"/>
              </w:rPr>
              <w:t>7</w:t>
            </w:r>
          </w:p>
        </w:tc>
        <w:tc>
          <w:tcPr>
            <w:tcW w:w="4558" w:type="dxa"/>
            <w:gridSpan w:val="2"/>
            <w:tcBorders>
              <w:top w:val="single" w:color="auto" w:sz="4" w:space="0"/>
              <w:left w:val="single" w:color="auto" w:sz="4" w:space="0"/>
              <w:bottom w:val="single" w:color="auto" w:sz="4" w:space="0"/>
              <w:right w:val="single" w:color="auto" w:sz="4" w:space="0"/>
            </w:tcBorders>
            <w:vAlign w:val="center"/>
          </w:tcPr>
          <w:p w14:paraId="14C5B607">
            <w:pPr>
              <w:ind w:firstLine="0" w:firstLineChars="0"/>
              <w:jc w:val="center"/>
              <w:rPr>
                <w:rFonts w:eastAsia="宋体" w:cs="Times New Roman"/>
                <w:sz w:val="18"/>
                <w:szCs w:val="18"/>
              </w:rPr>
            </w:pPr>
            <w:r>
              <w:rPr>
                <w:rFonts w:eastAsia="宋体" w:cs="Times New Roman"/>
                <w:sz w:val="18"/>
                <w:szCs w:val="18"/>
              </w:rPr>
              <w:t>系统检测报告</w:t>
            </w:r>
          </w:p>
        </w:tc>
        <w:tc>
          <w:tcPr>
            <w:tcW w:w="1250" w:type="dxa"/>
            <w:tcBorders>
              <w:top w:val="single" w:color="auto" w:sz="4" w:space="0"/>
              <w:left w:val="single" w:color="auto" w:sz="4" w:space="0"/>
              <w:bottom w:val="single" w:color="auto" w:sz="4" w:space="0"/>
              <w:right w:val="single" w:color="auto" w:sz="4" w:space="0"/>
            </w:tcBorders>
            <w:vAlign w:val="center"/>
          </w:tcPr>
          <w:p w14:paraId="47E791C6">
            <w:pPr>
              <w:wordWrap w:val="0"/>
              <w:ind w:firstLine="0" w:firstLineChars="0"/>
              <w:jc w:val="right"/>
              <w:rPr>
                <w:rFonts w:eastAsia="宋体" w:cs="Times New Roman"/>
                <w:sz w:val="18"/>
                <w:szCs w:val="18"/>
              </w:rPr>
            </w:pPr>
            <w:r>
              <w:rPr>
                <w:rFonts w:eastAsia="宋体" w:cs="Times New Roman"/>
                <w:sz w:val="18"/>
                <w:szCs w:val="18"/>
              </w:rPr>
              <w:t xml:space="preserve"> </w:t>
            </w:r>
          </w:p>
        </w:tc>
        <w:tc>
          <w:tcPr>
            <w:tcW w:w="1250" w:type="dxa"/>
            <w:tcBorders>
              <w:top w:val="single" w:color="auto" w:sz="4" w:space="0"/>
              <w:left w:val="single" w:color="auto" w:sz="4" w:space="0"/>
              <w:bottom w:val="single" w:color="auto" w:sz="4" w:space="0"/>
              <w:right w:val="single" w:color="auto" w:sz="4" w:space="0"/>
            </w:tcBorders>
            <w:vAlign w:val="center"/>
          </w:tcPr>
          <w:p w14:paraId="1ECF8DE8">
            <w:pPr>
              <w:wordWrap w:val="0"/>
              <w:ind w:firstLine="0" w:firstLineChars="0"/>
              <w:jc w:val="right"/>
              <w:rPr>
                <w:rFonts w:eastAsia="宋体" w:cs="Times New Roman"/>
                <w:sz w:val="18"/>
                <w:szCs w:val="18"/>
              </w:rPr>
            </w:pPr>
          </w:p>
        </w:tc>
        <w:tc>
          <w:tcPr>
            <w:tcW w:w="1252" w:type="dxa"/>
            <w:tcBorders>
              <w:top w:val="single" w:color="auto" w:sz="4" w:space="0"/>
              <w:left w:val="single" w:color="auto" w:sz="4" w:space="0"/>
              <w:bottom w:val="single" w:color="auto" w:sz="4" w:space="0"/>
              <w:right w:val="single" w:color="auto" w:sz="4" w:space="0"/>
            </w:tcBorders>
            <w:vAlign w:val="center"/>
          </w:tcPr>
          <w:p w14:paraId="5D522C14">
            <w:pPr>
              <w:wordWrap w:val="0"/>
              <w:ind w:firstLine="0" w:firstLineChars="0"/>
              <w:jc w:val="right"/>
              <w:rPr>
                <w:rFonts w:eastAsia="宋体" w:cs="Times New Roman"/>
                <w:sz w:val="18"/>
                <w:szCs w:val="18"/>
              </w:rPr>
            </w:pPr>
          </w:p>
        </w:tc>
      </w:tr>
      <w:tr w14:paraId="75C1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tcBorders>
              <w:top w:val="single" w:color="auto" w:sz="4" w:space="0"/>
              <w:left w:val="single" w:color="auto" w:sz="4" w:space="0"/>
              <w:bottom w:val="single" w:color="auto" w:sz="4" w:space="0"/>
              <w:right w:val="single" w:color="auto" w:sz="4" w:space="0"/>
            </w:tcBorders>
            <w:vAlign w:val="center"/>
          </w:tcPr>
          <w:p w14:paraId="478E7748">
            <w:pPr>
              <w:ind w:firstLine="0" w:firstLineChars="0"/>
              <w:rPr>
                <w:rFonts w:eastAsia="宋体" w:cs="Times New Roman"/>
                <w:sz w:val="18"/>
                <w:szCs w:val="18"/>
              </w:rPr>
            </w:pPr>
            <w:r>
              <w:rPr>
                <w:rFonts w:eastAsia="宋体" w:cs="Times New Roman"/>
                <w:sz w:val="18"/>
                <w:szCs w:val="18"/>
              </w:rPr>
              <w:t>8</w:t>
            </w:r>
          </w:p>
        </w:tc>
        <w:tc>
          <w:tcPr>
            <w:tcW w:w="4558" w:type="dxa"/>
            <w:gridSpan w:val="2"/>
            <w:tcBorders>
              <w:top w:val="single" w:color="auto" w:sz="4" w:space="0"/>
              <w:left w:val="single" w:color="auto" w:sz="4" w:space="0"/>
              <w:bottom w:val="single" w:color="auto" w:sz="4" w:space="0"/>
              <w:right w:val="single" w:color="auto" w:sz="4" w:space="0"/>
            </w:tcBorders>
            <w:vAlign w:val="center"/>
          </w:tcPr>
          <w:p w14:paraId="4E24E70E">
            <w:pPr>
              <w:ind w:firstLine="0" w:firstLineChars="0"/>
              <w:jc w:val="center"/>
              <w:rPr>
                <w:rFonts w:eastAsia="宋体" w:cs="Times New Roman"/>
                <w:sz w:val="18"/>
                <w:szCs w:val="18"/>
              </w:rPr>
            </w:pPr>
            <w:r>
              <w:rPr>
                <w:rFonts w:eastAsia="宋体" w:cs="Times New Roman"/>
                <w:iCs/>
                <w:sz w:val="18"/>
                <w:szCs w:val="18"/>
              </w:rPr>
              <w:t>工程质量验收记录</w:t>
            </w:r>
          </w:p>
        </w:tc>
        <w:tc>
          <w:tcPr>
            <w:tcW w:w="1250" w:type="dxa"/>
            <w:tcBorders>
              <w:top w:val="single" w:color="auto" w:sz="4" w:space="0"/>
              <w:left w:val="single" w:color="auto" w:sz="4" w:space="0"/>
              <w:bottom w:val="single" w:color="auto" w:sz="4" w:space="0"/>
              <w:right w:val="single" w:color="auto" w:sz="4" w:space="0"/>
            </w:tcBorders>
            <w:vAlign w:val="center"/>
          </w:tcPr>
          <w:p w14:paraId="10863CEA">
            <w:pPr>
              <w:wordWrap w:val="0"/>
              <w:ind w:firstLine="0" w:firstLineChars="0"/>
              <w:jc w:val="right"/>
              <w:rPr>
                <w:rFonts w:eastAsia="宋体" w:cs="Times New Roman"/>
                <w:sz w:val="18"/>
                <w:szCs w:val="18"/>
              </w:rPr>
            </w:pPr>
            <w:r>
              <w:rPr>
                <w:rFonts w:eastAsia="宋体" w:cs="Times New Roman"/>
                <w:sz w:val="18"/>
                <w:szCs w:val="18"/>
              </w:rPr>
              <w:t xml:space="preserve"> </w:t>
            </w:r>
          </w:p>
        </w:tc>
        <w:tc>
          <w:tcPr>
            <w:tcW w:w="1250" w:type="dxa"/>
            <w:tcBorders>
              <w:top w:val="single" w:color="auto" w:sz="4" w:space="0"/>
              <w:left w:val="single" w:color="auto" w:sz="4" w:space="0"/>
              <w:bottom w:val="single" w:color="auto" w:sz="4" w:space="0"/>
              <w:right w:val="single" w:color="auto" w:sz="4" w:space="0"/>
            </w:tcBorders>
            <w:vAlign w:val="center"/>
          </w:tcPr>
          <w:p w14:paraId="36076BAB">
            <w:pPr>
              <w:wordWrap w:val="0"/>
              <w:ind w:firstLine="0" w:firstLineChars="0"/>
              <w:jc w:val="right"/>
              <w:rPr>
                <w:rFonts w:eastAsia="宋体" w:cs="Times New Roman"/>
                <w:sz w:val="18"/>
                <w:szCs w:val="18"/>
              </w:rPr>
            </w:pPr>
          </w:p>
        </w:tc>
        <w:tc>
          <w:tcPr>
            <w:tcW w:w="1252" w:type="dxa"/>
            <w:tcBorders>
              <w:top w:val="single" w:color="auto" w:sz="4" w:space="0"/>
              <w:left w:val="single" w:color="auto" w:sz="4" w:space="0"/>
              <w:bottom w:val="single" w:color="auto" w:sz="4" w:space="0"/>
              <w:right w:val="single" w:color="auto" w:sz="4" w:space="0"/>
            </w:tcBorders>
            <w:vAlign w:val="center"/>
          </w:tcPr>
          <w:p w14:paraId="5500C3EF">
            <w:pPr>
              <w:wordWrap w:val="0"/>
              <w:ind w:firstLine="0" w:firstLineChars="0"/>
              <w:jc w:val="right"/>
              <w:rPr>
                <w:rFonts w:eastAsia="宋体" w:cs="Times New Roman"/>
                <w:sz w:val="18"/>
                <w:szCs w:val="18"/>
              </w:rPr>
            </w:pPr>
          </w:p>
        </w:tc>
      </w:tr>
      <w:tr w14:paraId="3773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1" w:hRule="atLeast"/>
        </w:trPr>
        <w:tc>
          <w:tcPr>
            <w:tcW w:w="9581" w:type="dxa"/>
            <w:gridSpan w:val="6"/>
            <w:tcBorders>
              <w:top w:val="single" w:color="auto" w:sz="4" w:space="0"/>
              <w:left w:val="single" w:color="auto" w:sz="4" w:space="0"/>
              <w:bottom w:val="single" w:color="auto" w:sz="4" w:space="0"/>
              <w:right w:val="single" w:color="auto" w:sz="4" w:space="0"/>
            </w:tcBorders>
          </w:tcPr>
          <w:p w14:paraId="2BA2A3FE">
            <w:pPr>
              <w:spacing w:after="120"/>
              <w:ind w:firstLine="0" w:firstLineChars="0"/>
              <w:rPr>
                <w:rFonts w:eastAsia="宋体" w:cs="Times New Roman"/>
                <w:sz w:val="18"/>
                <w:szCs w:val="18"/>
              </w:rPr>
            </w:pPr>
            <w:r>
              <w:rPr>
                <w:rFonts w:eastAsia="宋体" w:cs="Times New Roman"/>
                <w:sz w:val="18"/>
                <w:szCs w:val="18"/>
              </w:rPr>
              <w:t>结论：</w:t>
            </w:r>
          </w:p>
          <w:p w14:paraId="096D218B">
            <w:pPr>
              <w:spacing w:after="120"/>
              <w:ind w:firstLine="0" w:firstLineChars="0"/>
              <w:rPr>
                <w:rFonts w:eastAsia="宋体" w:cs="Times New Roman"/>
                <w:sz w:val="18"/>
                <w:szCs w:val="18"/>
              </w:rPr>
            </w:pPr>
          </w:p>
          <w:p w14:paraId="0CEC7C2D">
            <w:pPr>
              <w:spacing w:after="120"/>
              <w:ind w:firstLine="0" w:firstLineChars="0"/>
              <w:rPr>
                <w:rFonts w:eastAsia="宋体" w:cs="Times New Roman"/>
                <w:sz w:val="18"/>
                <w:szCs w:val="18"/>
              </w:rPr>
            </w:pPr>
          </w:p>
          <w:p w14:paraId="2099BBFA">
            <w:pPr>
              <w:spacing w:after="120"/>
              <w:ind w:firstLine="0" w:firstLineChars="0"/>
              <w:rPr>
                <w:rFonts w:eastAsia="宋体" w:cs="Times New Roman"/>
                <w:sz w:val="18"/>
                <w:szCs w:val="18"/>
              </w:rPr>
            </w:pPr>
          </w:p>
          <w:p w14:paraId="071E7A7D">
            <w:pPr>
              <w:spacing w:after="120"/>
              <w:ind w:firstLine="0" w:firstLineChars="0"/>
              <w:rPr>
                <w:rFonts w:eastAsia="宋体" w:cs="Times New Roman"/>
                <w:sz w:val="18"/>
                <w:szCs w:val="18"/>
              </w:rPr>
            </w:pPr>
          </w:p>
          <w:p w14:paraId="0D3FEF91">
            <w:pPr>
              <w:spacing w:after="120"/>
              <w:ind w:firstLine="0" w:firstLineChars="0"/>
              <w:rPr>
                <w:rFonts w:eastAsia="宋体" w:cs="Times New Roman"/>
                <w:sz w:val="18"/>
                <w:szCs w:val="18"/>
              </w:rPr>
            </w:pPr>
          </w:p>
          <w:p w14:paraId="221ED53D">
            <w:pPr>
              <w:spacing w:after="120"/>
              <w:ind w:firstLine="0" w:firstLineChars="0"/>
              <w:rPr>
                <w:rFonts w:eastAsia="宋体" w:cs="Times New Roman"/>
                <w:sz w:val="18"/>
                <w:szCs w:val="18"/>
              </w:rPr>
            </w:pPr>
          </w:p>
          <w:p w14:paraId="2D31C4DC">
            <w:pPr>
              <w:spacing w:after="120"/>
              <w:ind w:firstLine="0" w:firstLineChars="0"/>
              <w:rPr>
                <w:rFonts w:eastAsia="宋体" w:cs="Times New Roman"/>
                <w:sz w:val="18"/>
                <w:szCs w:val="18"/>
              </w:rPr>
            </w:pPr>
          </w:p>
          <w:p w14:paraId="183A8E07">
            <w:pPr>
              <w:spacing w:after="120"/>
              <w:ind w:firstLine="0" w:firstLineChars="0"/>
              <w:rPr>
                <w:rFonts w:eastAsia="宋体" w:cs="Times New Roman"/>
                <w:sz w:val="18"/>
                <w:szCs w:val="18"/>
              </w:rPr>
            </w:pPr>
          </w:p>
          <w:p w14:paraId="4B3937F3">
            <w:pPr>
              <w:spacing w:after="120"/>
              <w:ind w:firstLine="0" w:firstLineChars="0"/>
              <w:rPr>
                <w:rFonts w:eastAsia="宋体" w:cs="Times New Roman"/>
                <w:sz w:val="18"/>
                <w:szCs w:val="18"/>
              </w:rPr>
            </w:pPr>
            <w:r>
              <w:rPr>
                <w:rFonts w:eastAsia="宋体" w:cs="Times New Roman"/>
                <w:sz w:val="18"/>
                <w:szCs w:val="18"/>
              </w:rPr>
              <w:t xml:space="preserve">                                                                          总监理工程师：</w:t>
            </w:r>
          </w:p>
          <w:p w14:paraId="3842C109">
            <w:pPr>
              <w:spacing w:after="120"/>
              <w:ind w:firstLine="0" w:firstLineChars="0"/>
              <w:rPr>
                <w:rFonts w:eastAsia="宋体" w:cs="Times New Roman"/>
                <w:sz w:val="18"/>
                <w:szCs w:val="18"/>
              </w:rPr>
            </w:pPr>
            <w:r>
              <w:rPr>
                <w:rFonts w:eastAsia="宋体" w:cs="Times New Roman"/>
                <w:sz w:val="18"/>
                <w:szCs w:val="18"/>
              </w:rPr>
              <w:t>施工单位项目经理：                                                     （建设单位项目负责人）</w:t>
            </w:r>
          </w:p>
          <w:p w14:paraId="360AF6DC">
            <w:pPr>
              <w:spacing w:after="120"/>
              <w:ind w:firstLine="0" w:firstLineChars="0"/>
              <w:rPr>
                <w:rFonts w:eastAsia="宋体" w:cs="Times New Roman"/>
                <w:sz w:val="18"/>
                <w:szCs w:val="18"/>
              </w:rPr>
            </w:pPr>
          </w:p>
          <w:p w14:paraId="6DC09FAE">
            <w:pPr>
              <w:spacing w:after="120"/>
              <w:ind w:left="440" w:firstLine="360"/>
              <w:rPr>
                <w:rFonts w:eastAsia="宋体" w:cs="Times New Roman"/>
                <w:sz w:val="18"/>
                <w:szCs w:val="18"/>
              </w:rPr>
            </w:pPr>
            <w:r>
              <w:rPr>
                <w:rFonts w:eastAsia="宋体" w:cs="Times New Roman"/>
                <w:sz w:val="18"/>
                <w:szCs w:val="18"/>
              </w:rPr>
              <w:t xml:space="preserve"> </w:t>
            </w:r>
          </w:p>
          <w:p w14:paraId="03600579">
            <w:pPr>
              <w:spacing w:line="360" w:lineRule="auto"/>
              <w:ind w:firstLine="0" w:firstLineChars="0"/>
              <w:rPr>
                <w:rFonts w:eastAsia="宋体" w:cs="Times New Roman"/>
                <w:sz w:val="18"/>
                <w:szCs w:val="18"/>
              </w:rPr>
            </w:pPr>
            <w:r>
              <w:rPr>
                <w:rFonts w:eastAsia="宋体" w:cs="Times New Roman"/>
                <w:sz w:val="18"/>
                <w:szCs w:val="18"/>
              </w:rPr>
              <w:t xml:space="preserve">                年     月    日                                                      年     月    日</w:t>
            </w:r>
          </w:p>
        </w:tc>
      </w:tr>
    </w:tbl>
    <w:p w14:paraId="261F12D1">
      <w:pPr>
        <w:spacing w:line="360" w:lineRule="auto"/>
        <w:ind w:firstLine="0" w:firstLineChars="0"/>
        <w:jc w:val="left"/>
        <w:rPr>
          <w:rFonts w:cs="Times New Roman" w:eastAsiaTheme="minorEastAsia"/>
          <w:iCs/>
          <w:color w:val="000000" w:themeColor="text1"/>
          <w:sz w:val="21"/>
          <w:szCs w:val="21"/>
          <w14:textFill>
            <w14:solidFill>
              <w14:schemeClr w14:val="tx1"/>
            </w14:solidFill>
          </w14:textFill>
        </w:rPr>
      </w:pPr>
    </w:p>
    <w:p w14:paraId="003D9DD9">
      <w:pPr>
        <w:spacing w:line="360" w:lineRule="auto"/>
        <w:ind w:firstLine="0" w:firstLineChars="0"/>
        <w:jc w:val="left"/>
        <w:rPr>
          <w:rFonts w:cs="Times New Roman" w:eastAsiaTheme="minorEastAsia"/>
          <w:iCs/>
          <w:color w:val="000000" w:themeColor="text1"/>
          <w:sz w:val="21"/>
          <w:szCs w:val="21"/>
          <w14:textFill>
            <w14:solidFill>
              <w14:schemeClr w14:val="tx1"/>
            </w14:solidFill>
          </w14:textFill>
        </w:rPr>
      </w:pPr>
    </w:p>
    <w:p w14:paraId="65F25E2F">
      <w:pPr>
        <w:spacing w:line="360" w:lineRule="auto"/>
        <w:ind w:firstLine="0" w:firstLineChars="0"/>
        <w:jc w:val="left"/>
        <w:rPr>
          <w:rFonts w:cs="Times New Roman" w:eastAsiaTheme="minorEastAsia"/>
          <w:iCs/>
          <w:color w:val="000000" w:themeColor="text1"/>
          <w:sz w:val="21"/>
          <w:szCs w:val="21"/>
          <w14:textFill>
            <w14:solidFill>
              <w14:schemeClr w14:val="tx1"/>
            </w14:solidFill>
          </w14:textFill>
        </w:rPr>
      </w:pPr>
    </w:p>
    <w:p w14:paraId="02484D39">
      <w:pPr>
        <w:spacing w:line="360" w:lineRule="auto"/>
        <w:ind w:firstLine="0" w:firstLineChars="0"/>
        <w:jc w:val="left"/>
        <w:rPr>
          <w:rFonts w:cs="Times New Roman" w:eastAsiaTheme="minorEastAsia"/>
          <w:iCs/>
          <w:color w:val="000000" w:themeColor="text1"/>
          <w:sz w:val="21"/>
          <w:szCs w:val="21"/>
          <w14:textFill>
            <w14:solidFill>
              <w14:schemeClr w14:val="tx1"/>
            </w14:solidFill>
          </w14:textFill>
        </w:rPr>
      </w:pPr>
    </w:p>
    <w:p w14:paraId="4F58056E">
      <w:pPr>
        <w:widowControl/>
        <w:ind w:firstLine="0" w:firstLineChars="0"/>
        <w:jc w:val="left"/>
        <w:rPr>
          <w:rFonts w:cs="Times New Roman" w:eastAsiaTheme="minorEastAsia"/>
          <w:iCs/>
          <w:color w:val="000000" w:themeColor="text1"/>
          <w:sz w:val="21"/>
          <w:szCs w:val="21"/>
          <w14:textFill>
            <w14:solidFill>
              <w14:schemeClr w14:val="tx1"/>
            </w14:solidFill>
          </w14:textFill>
        </w:rPr>
      </w:pPr>
      <w:r>
        <w:rPr>
          <w:rFonts w:cs="Times New Roman" w:eastAsiaTheme="minorEastAsia"/>
          <w:iCs/>
          <w:color w:val="000000" w:themeColor="text1"/>
          <w:sz w:val="21"/>
          <w:szCs w:val="21"/>
          <w14:textFill>
            <w14:solidFill>
              <w14:schemeClr w14:val="tx1"/>
            </w14:solidFill>
          </w14:textFill>
        </w:rPr>
        <w:br w:type="page"/>
      </w:r>
    </w:p>
    <w:p w14:paraId="7B3E79CF">
      <w:pPr>
        <w:spacing w:line="360" w:lineRule="auto"/>
        <w:ind w:firstLine="0" w:firstLineChars="0"/>
        <w:jc w:val="left"/>
        <w:rPr>
          <w:rFonts w:eastAsia="宋体" w:cs="Times New Roman"/>
          <w:bCs/>
          <w:kern w:val="0"/>
          <w:sz w:val="18"/>
          <w:szCs w:val="18"/>
        </w:rPr>
      </w:pPr>
      <w:r>
        <w:rPr>
          <w:rFonts w:eastAsia="宋体" w:cs="Times New Roman"/>
          <w:b/>
          <w:bCs/>
          <w:iCs/>
          <w:color w:val="000000" w:themeColor="text1"/>
          <w:sz w:val="21"/>
          <w:szCs w:val="21"/>
          <w14:textFill>
            <w14:solidFill>
              <w14:schemeClr w14:val="tx1"/>
            </w14:solidFill>
          </w14:textFill>
        </w:rPr>
        <w:t xml:space="preserve">A.0.3  </w:t>
      </w:r>
      <w:r>
        <w:rPr>
          <w:rFonts w:eastAsia="宋体" w:cs="Times New Roman"/>
          <w:b/>
          <w:bCs/>
          <w:kern w:val="0"/>
          <w:sz w:val="21"/>
          <w:szCs w:val="21"/>
        </w:rPr>
        <w:t>监测设施验收结论汇总记录</w:t>
      </w:r>
      <w:r>
        <w:rPr>
          <w:rFonts w:eastAsia="宋体" w:cs="Times New Roman"/>
          <w:bCs/>
          <w:kern w:val="0"/>
          <w:sz w:val="18"/>
          <w:szCs w:val="18"/>
        </w:rPr>
        <w:t xml:space="preserve"> </w:t>
      </w:r>
    </w:p>
    <w:p w14:paraId="6CE409AC">
      <w:pPr>
        <w:spacing w:line="360" w:lineRule="auto"/>
        <w:ind w:firstLine="0" w:firstLineChars="0"/>
        <w:jc w:val="center"/>
        <w:rPr>
          <w:rFonts w:eastAsia="宋体" w:cs="Times New Roman"/>
          <w:b/>
          <w:kern w:val="0"/>
          <w:sz w:val="18"/>
          <w:szCs w:val="18"/>
        </w:rPr>
      </w:pPr>
      <w:r>
        <w:rPr>
          <w:rFonts w:eastAsia="宋体" w:cs="Times New Roman"/>
          <w:b/>
          <w:kern w:val="0"/>
          <w:sz w:val="18"/>
          <w:szCs w:val="18"/>
        </w:rPr>
        <w:t>表</w:t>
      </w:r>
      <w:r>
        <w:rPr>
          <w:rFonts w:eastAsia="宋体" w:cs="Times New Roman"/>
          <w:b/>
          <w:iCs/>
          <w:color w:val="000000" w:themeColor="text1"/>
          <w:sz w:val="18"/>
          <w:szCs w:val="18"/>
          <w14:textFill>
            <w14:solidFill>
              <w14:schemeClr w14:val="tx1"/>
            </w14:solidFill>
          </w14:textFill>
        </w:rPr>
        <w:t xml:space="preserve">A.0.3 </w:t>
      </w:r>
      <w:r>
        <w:rPr>
          <w:rFonts w:eastAsia="宋体" w:cs="Times New Roman"/>
          <w:b/>
          <w:kern w:val="0"/>
          <w:sz w:val="18"/>
          <w:szCs w:val="18"/>
        </w:rPr>
        <w:t xml:space="preserve"> 监测设施验收结论汇总记录表</w:t>
      </w:r>
    </w:p>
    <w:tbl>
      <w:tblPr>
        <w:tblStyle w:val="60"/>
        <w:tblW w:w="9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127"/>
        <w:gridCol w:w="1842"/>
        <w:gridCol w:w="4483"/>
      </w:tblGrid>
      <w:tr w14:paraId="21AE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tcBorders>
              <w:top w:val="single" w:color="auto" w:sz="4" w:space="0"/>
              <w:left w:val="single" w:color="auto" w:sz="4" w:space="0"/>
              <w:bottom w:val="single" w:color="auto" w:sz="4" w:space="0"/>
              <w:right w:val="single" w:color="auto" w:sz="4" w:space="0"/>
            </w:tcBorders>
            <w:vAlign w:val="center"/>
          </w:tcPr>
          <w:p w14:paraId="66758A8D">
            <w:pPr>
              <w:ind w:firstLine="0" w:firstLineChars="0"/>
              <w:jc w:val="center"/>
              <w:rPr>
                <w:rFonts w:eastAsia="宋体" w:cs="Times New Roman"/>
                <w:sz w:val="18"/>
                <w:szCs w:val="18"/>
              </w:rPr>
            </w:pPr>
            <w:r>
              <w:rPr>
                <w:rFonts w:eastAsia="宋体" w:cs="Times New Roman"/>
                <w:sz w:val="18"/>
                <w:szCs w:val="18"/>
              </w:rPr>
              <w:t>工程名称</w:t>
            </w:r>
          </w:p>
        </w:tc>
        <w:tc>
          <w:tcPr>
            <w:tcW w:w="2127" w:type="dxa"/>
            <w:tcBorders>
              <w:top w:val="single" w:color="auto" w:sz="4" w:space="0"/>
              <w:left w:val="single" w:color="auto" w:sz="4" w:space="0"/>
              <w:bottom w:val="single" w:color="auto" w:sz="4" w:space="0"/>
              <w:right w:val="single" w:color="auto" w:sz="4" w:space="0"/>
            </w:tcBorders>
            <w:vAlign w:val="center"/>
          </w:tcPr>
          <w:p w14:paraId="578B7FD6">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3A6A11EE">
            <w:pPr>
              <w:ind w:firstLine="0" w:firstLineChars="0"/>
              <w:jc w:val="center"/>
              <w:rPr>
                <w:rFonts w:eastAsia="宋体" w:cs="Times New Roman"/>
                <w:sz w:val="18"/>
                <w:szCs w:val="18"/>
              </w:rPr>
            </w:pPr>
            <w:r>
              <w:rPr>
                <w:rFonts w:eastAsia="宋体" w:cs="Times New Roman"/>
                <w:sz w:val="18"/>
                <w:szCs w:val="18"/>
              </w:rPr>
              <w:t>编 号</w:t>
            </w:r>
          </w:p>
        </w:tc>
        <w:tc>
          <w:tcPr>
            <w:tcW w:w="4483" w:type="dxa"/>
            <w:tcBorders>
              <w:top w:val="single" w:color="auto" w:sz="4" w:space="0"/>
              <w:left w:val="single" w:color="auto" w:sz="4" w:space="0"/>
              <w:bottom w:val="single" w:color="auto" w:sz="4" w:space="0"/>
              <w:right w:val="single" w:color="auto" w:sz="4" w:space="0"/>
            </w:tcBorders>
            <w:vAlign w:val="center"/>
          </w:tcPr>
          <w:p w14:paraId="33FD3425">
            <w:pPr>
              <w:ind w:firstLine="0" w:firstLineChars="0"/>
              <w:jc w:val="center"/>
              <w:rPr>
                <w:rFonts w:eastAsia="宋体" w:cs="Times New Roman"/>
                <w:sz w:val="18"/>
                <w:szCs w:val="18"/>
              </w:rPr>
            </w:pPr>
          </w:p>
        </w:tc>
      </w:tr>
      <w:tr w14:paraId="3FA7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tcBorders>
              <w:top w:val="single" w:color="auto" w:sz="4" w:space="0"/>
              <w:left w:val="single" w:color="auto" w:sz="4" w:space="0"/>
              <w:bottom w:val="single" w:color="auto" w:sz="4" w:space="0"/>
              <w:right w:val="single" w:color="auto" w:sz="4" w:space="0"/>
            </w:tcBorders>
            <w:vAlign w:val="center"/>
          </w:tcPr>
          <w:p w14:paraId="24DF08F3">
            <w:pPr>
              <w:ind w:firstLine="0" w:firstLineChars="0"/>
              <w:jc w:val="center"/>
              <w:rPr>
                <w:rFonts w:eastAsia="宋体" w:cs="Times New Roman"/>
                <w:sz w:val="18"/>
                <w:szCs w:val="18"/>
              </w:rPr>
            </w:pPr>
            <w:r>
              <w:rPr>
                <w:rFonts w:eastAsia="宋体" w:cs="Times New Roman"/>
                <w:sz w:val="18"/>
                <w:szCs w:val="18"/>
              </w:rPr>
              <w:t>设计单位</w:t>
            </w:r>
          </w:p>
        </w:tc>
        <w:tc>
          <w:tcPr>
            <w:tcW w:w="2127" w:type="dxa"/>
            <w:tcBorders>
              <w:top w:val="single" w:color="auto" w:sz="4" w:space="0"/>
              <w:left w:val="single" w:color="auto" w:sz="4" w:space="0"/>
              <w:bottom w:val="single" w:color="auto" w:sz="4" w:space="0"/>
              <w:right w:val="single" w:color="auto" w:sz="4" w:space="0"/>
            </w:tcBorders>
            <w:vAlign w:val="center"/>
          </w:tcPr>
          <w:p w14:paraId="6B2D42D7">
            <w:pPr>
              <w:ind w:firstLine="0" w:firstLineChars="0"/>
              <w:jc w:val="center"/>
              <w:rPr>
                <w:rFonts w:eastAsia="宋体"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7A0A26CC">
            <w:pPr>
              <w:ind w:firstLine="0" w:firstLineChars="0"/>
              <w:jc w:val="center"/>
              <w:rPr>
                <w:rFonts w:eastAsia="宋体" w:cs="Times New Roman"/>
                <w:sz w:val="18"/>
                <w:szCs w:val="18"/>
              </w:rPr>
            </w:pPr>
            <w:r>
              <w:rPr>
                <w:rFonts w:eastAsia="宋体" w:cs="Times New Roman"/>
                <w:sz w:val="18"/>
                <w:szCs w:val="18"/>
              </w:rPr>
              <w:t>施工单位</w:t>
            </w:r>
          </w:p>
        </w:tc>
        <w:tc>
          <w:tcPr>
            <w:tcW w:w="4483" w:type="dxa"/>
            <w:tcBorders>
              <w:top w:val="single" w:color="auto" w:sz="4" w:space="0"/>
              <w:left w:val="single" w:color="auto" w:sz="4" w:space="0"/>
              <w:bottom w:val="single" w:color="auto" w:sz="4" w:space="0"/>
              <w:right w:val="single" w:color="auto" w:sz="4" w:space="0"/>
            </w:tcBorders>
            <w:vAlign w:val="center"/>
          </w:tcPr>
          <w:p w14:paraId="670C682C">
            <w:pPr>
              <w:ind w:firstLine="0" w:firstLineChars="0"/>
              <w:jc w:val="center"/>
              <w:rPr>
                <w:rFonts w:eastAsia="宋体" w:cs="Times New Roman"/>
                <w:sz w:val="18"/>
                <w:szCs w:val="18"/>
              </w:rPr>
            </w:pPr>
          </w:p>
        </w:tc>
      </w:tr>
      <w:tr w14:paraId="7DD8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6" w:type="dxa"/>
            <w:gridSpan w:val="2"/>
            <w:tcBorders>
              <w:top w:val="single" w:color="auto" w:sz="4" w:space="0"/>
              <w:left w:val="single" w:color="auto" w:sz="4" w:space="0"/>
              <w:bottom w:val="single" w:color="auto" w:sz="4" w:space="0"/>
              <w:right w:val="single" w:color="auto" w:sz="4" w:space="0"/>
            </w:tcBorders>
            <w:vAlign w:val="center"/>
          </w:tcPr>
          <w:p w14:paraId="4833438E">
            <w:pPr>
              <w:ind w:firstLine="0" w:firstLineChars="0"/>
              <w:rPr>
                <w:rFonts w:eastAsia="宋体" w:cs="Times New Roman"/>
                <w:sz w:val="18"/>
                <w:szCs w:val="18"/>
              </w:rPr>
            </w:pPr>
            <w:r>
              <w:rPr>
                <w:rFonts w:eastAsia="宋体" w:cs="Times New Roman"/>
                <w:sz w:val="18"/>
                <w:szCs w:val="18"/>
              </w:rPr>
              <w:t>工程实施的质量控制检验结论</w:t>
            </w:r>
          </w:p>
        </w:tc>
        <w:tc>
          <w:tcPr>
            <w:tcW w:w="1842" w:type="dxa"/>
            <w:tcBorders>
              <w:top w:val="single" w:color="auto" w:sz="4" w:space="0"/>
              <w:left w:val="single" w:color="auto" w:sz="4" w:space="0"/>
              <w:bottom w:val="single" w:color="auto" w:sz="4" w:space="0"/>
              <w:right w:val="single" w:color="auto" w:sz="4" w:space="0"/>
            </w:tcBorders>
            <w:vAlign w:val="center"/>
          </w:tcPr>
          <w:p w14:paraId="7A98BEC1">
            <w:pPr>
              <w:ind w:firstLine="0" w:firstLineChars="0"/>
              <w:jc w:val="center"/>
              <w:rPr>
                <w:rFonts w:eastAsia="宋体" w:cs="Times New Roman"/>
                <w:sz w:val="18"/>
                <w:szCs w:val="18"/>
              </w:rPr>
            </w:pPr>
          </w:p>
        </w:tc>
        <w:tc>
          <w:tcPr>
            <w:tcW w:w="4483" w:type="dxa"/>
            <w:tcBorders>
              <w:top w:val="single" w:color="auto" w:sz="4" w:space="0"/>
              <w:left w:val="single" w:color="auto" w:sz="4" w:space="0"/>
              <w:bottom w:val="single" w:color="auto" w:sz="4" w:space="0"/>
              <w:right w:val="single" w:color="auto" w:sz="4" w:space="0"/>
            </w:tcBorders>
            <w:vAlign w:val="center"/>
          </w:tcPr>
          <w:p w14:paraId="5D0E5129">
            <w:pPr>
              <w:ind w:firstLine="0" w:firstLineChars="0"/>
              <w:rPr>
                <w:rFonts w:eastAsia="宋体" w:cs="Times New Roman"/>
                <w:sz w:val="18"/>
                <w:szCs w:val="18"/>
              </w:rPr>
            </w:pPr>
            <w:r>
              <w:rPr>
                <w:rFonts w:eastAsia="宋体" w:cs="Times New Roman"/>
                <w:sz w:val="18"/>
                <w:szCs w:val="18"/>
              </w:rPr>
              <w:t xml:space="preserve">验收人签名：                        </w:t>
            </w:r>
          </w:p>
          <w:p w14:paraId="26011CC5">
            <w:pPr>
              <w:ind w:firstLine="0" w:firstLineChars="0"/>
              <w:jc w:val="right"/>
              <w:rPr>
                <w:rFonts w:eastAsia="宋体" w:cs="Times New Roman"/>
                <w:sz w:val="18"/>
                <w:szCs w:val="18"/>
              </w:rPr>
            </w:pPr>
            <w:r>
              <w:rPr>
                <w:rFonts w:eastAsia="宋体" w:cs="Times New Roman"/>
                <w:sz w:val="18"/>
                <w:szCs w:val="18"/>
              </w:rPr>
              <w:t xml:space="preserve"> 年       月       日</w:t>
            </w:r>
          </w:p>
        </w:tc>
      </w:tr>
      <w:tr w14:paraId="5DEC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6" w:type="dxa"/>
            <w:gridSpan w:val="2"/>
            <w:tcBorders>
              <w:top w:val="single" w:color="auto" w:sz="4" w:space="0"/>
              <w:left w:val="single" w:color="auto" w:sz="4" w:space="0"/>
              <w:bottom w:val="single" w:color="auto" w:sz="4" w:space="0"/>
              <w:right w:val="single" w:color="auto" w:sz="4" w:space="0"/>
            </w:tcBorders>
            <w:vAlign w:val="center"/>
          </w:tcPr>
          <w:p w14:paraId="44FD8E82">
            <w:pPr>
              <w:ind w:firstLine="0" w:firstLineChars="0"/>
              <w:rPr>
                <w:rFonts w:eastAsia="宋体" w:cs="Times New Roman"/>
                <w:sz w:val="18"/>
                <w:szCs w:val="18"/>
              </w:rPr>
            </w:pPr>
            <w:r>
              <w:rPr>
                <w:rFonts w:eastAsia="宋体" w:cs="Times New Roman"/>
                <w:sz w:val="18"/>
                <w:szCs w:val="18"/>
              </w:rPr>
              <w:t>系统检测结论</w:t>
            </w:r>
          </w:p>
        </w:tc>
        <w:tc>
          <w:tcPr>
            <w:tcW w:w="1842" w:type="dxa"/>
            <w:tcBorders>
              <w:top w:val="single" w:color="auto" w:sz="4" w:space="0"/>
              <w:left w:val="single" w:color="auto" w:sz="4" w:space="0"/>
              <w:bottom w:val="single" w:color="auto" w:sz="4" w:space="0"/>
              <w:right w:val="single" w:color="auto" w:sz="4" w:space="0"/>
            </w:tcBorders>
            <w:vAlign w:val="center"/>
          </w:tcPr>
          <w:p w14:paraId="38FE46DE">
            <w:pPr>
              <w:ind w:firstLine="0" w:firstLineChars="0"/>
              <w:jc w:val="center"/>
              <w:rPr>
                <w:rFonts w:eastAsia="宋体" w:cs="Times New Roman"/>
                <w:sz w:val="18"/>
                <w:szCs w:val="18"/>
              </w:rPr>
            </w:pPr>
          </w:p>
        </w:tc>
        <w:tc>
          <w:tcPr>
            <w:tcW w:w="4483" w:type="dxa"/>
            <w:tcBorders>
              <w:top w:val="single" w:color="auto" w:sz="4" w:space="0"/>
              <w:left w:val="single" w:color="auto" w:sz="4" w:space="0"/>
              <w:bottom w:val="single" w:color="auto" w:sz="4" w:space="0"/>
              <w:right w:val="single" w:color="auto" w:sz="4" w:space="0"/>
            </w:tcBorders>
            <w:vAlign w:val="center"/>
          </w:tcPr>
          <w:p w14:paraId="23FBB712">
            <w:pPr>
              <w:ind w:firstLine="0" w:firstLineChars="0"/>
              <w:rPr>
                <w:rFonts w:eastAsia="宋体" w:cs="Times New Roman"/>
                <w:sz w:val="18"/>
                <w:szCs w:val="18"/>
              </w:rPr>
            </w:pPr>
            <w:r>
              <w:rPr>
                <w:rFonts w:eastAsia="宋体" w:cs="Times New Roman"/>
                <w:sz w:val="18"/>
                <w:szCs w:val="18"/>
              </w:rPr>
              <w:t xml:space="preserve">验收人签名：                        </w:t>
            </w:r>
          </w:p>
          <w:p w14:paraId="57C693CA">
            <w:pPr>
              <w:ind w:firstLine="0" w:firstLineChars="0"/>
              <w:jc w:val="right"/>
              <w:rPr>
                <w:rFonts w:eastAsia="宋体" w:cs="Times New Roman"/>
                <w:sz w:val="18"/>
                <w:szCs w:val="18"/>
              </w:rPr>
            </w:pPr>
            <w:r>
              <w:rPr>
                <w:rFonts w:eastAsia="宋体" w:cs="Times New Roman"/>
                <w:sz w:val="18"/>
                <w:szCs w:val="18"/>
              </w:rPr>
              <w:t xml:space="preserve"> 年       月       日</w:t>
            </w:r>
          </w:p>
        </w:tc>
      </w:tr>
      <w:tr w14:paraId="0514A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6" w:type="dxa"/>
            <w:gridSpan w:val="2"/>
            <w:tcBorders>
              <w:top w:val="single" w:color="auto" w:sz="4" w:space="0"/>
              <w:left w:val="single" w:color="auto" w:sz="4" w:space="0"/>
              <w:bottom w:val="single" w:color="auto" w:sz="4" w:space="0"/>
              <w:right w:val="single" w:color="auto" w:sz="4" w:space="0"/>
            </w:tcBorders>
            <w:vAlign w:val="center"/>
          </w:tcPr>
          <w:p w14:paraId="7BE6C01C">
            <w:pPr>
              <w:ind w:firstLine="0" w:firstLineChars="0"/>
              <w:rPr>
                <w:rFonts w:eastAsia="宋体" w:cs="Times New Roman"/>
                <w:sz w:val="18"/>
                <w:szCs w:val="18"/>
              </w:rPr>
            </w:pPr>
            <w:r>
              <w:rPr>
                <w:rFonts w:eastAsia="宋体" w:cs="Times New Roman"/>
                <w:sz w:val="18"/>
                <w:szCs w:val="18"/>
              </w:rPr>
              <w:t>系统检测抽检结果</w:t>
            </w:r>
          </w:p>
        </w:tc>
        <w:tc>
          <w:tcPr>
            <w:tcW w:w="1842" w:type="dxa"/>
            <w:tcBorders>
              <w:top w:val="single" w:color="auto" w:sz="4" w:space="0"/>
              <w:left w:val="single" w:color="auto" w:sz="4" w:space="0"/>
              <w:bottom w:val="single" w:color="auto" w:sz="4" w:space="0"/>
              <w:right w:val="single" w:color="auto" w:sz="4" w:space="0"/>
            </w:tcBorders>
            <w:vAlign w:val="center"/>
          </w:tcPr>
          <w:p w14:paraId="39170F54">
            <w:pPr>
              <w:ind w:firstLine="0" w:firstLineChars="0"/>
              <w:jc w:val="center"/>
              <w:rPr>
                <w:rFonts w:eastAsia="宋体" w:cs="Times New Roman"/>
                <w:sz w:val="18"/>
                <w:szCs w:val="18"/>
              </w:rPr>
            </w:pPr>
          </w:p>
        </w:tc>
        <w:tc>
          <w:tcPr>
            <w:tcW w:w="4483" w:type="dxa"/>
            <w:tcBorders>
              <w:top w:val="single" w:color="auto" w:sz="4" w:space="0"/>
              <w:left w:val="single" w:color="auto" w:sz="4" w:space="0"/>
              <w:bottom w:val="single" w:color="auto" w:sz="4" w:space="0"/>
              <w:right w:val="single" w:color="auto" w:sz="4" w:space="0"/>
            </w:tcBorders>
            <w:vAlign w:val="center"/>
          </w:tcPr>
          <w:p w14:paraId="4A22A34F">
            <w:pPr>
              <w:ind w:firstLine="0" w:firstLineChars="0"/>
              <w:rPr>
                <w:rFonts w:eastAsia="宋体" w:cs="Times New Roman"/>
                <w:sz w:val="18"/>
                <w:szCs w:val="18"/>
              </w:rPr>
            </w:pPr>
            <w:r>
              <w:rPr>
                <w:rFonts w:eastAsia="宋体" w:cs="Times New Roman"/>
                <w:sz w:val="18"/>
                <w:szCs w:val="18"/>
              </w:rPr>
              <w:t xml:space="preserve">验收人签名：                        </w:t>
            </w:r>
          </w:p>
          <w:p w14:paraId="1C684ECA">
            <w:pPr>
              <w:ind w:firstLine="0" w:firstLineChars="0"/>
              <w:jc w:val="right"/>
              <w:rPr>
                <w:rFonts w:eastAsia="宋体" w:cs="Times New Roman"/>
                <w:sz w:val="18"/>
                <w:szCs w:val="18"/>
              </w:rPr>
            </w:pPr>
            <w:r>
              <w:rPr>
                <w:rFonts w:eastAsia="宋体" w:cs="Times New Roman"/>
                <w:sz w:val="18"/>
                <w:szCs w:val="18"/>
              </w:rPr>
              <w:t xml:space="preserve"> 年       月       日</w:t>
            </w:r>
          </w:p>
        </w:tc>
      </w:tr>
      <w:tr w14:paraId="0AEFA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6" w:type="dxa"/>
            <w:gridSpan w:val="2"/>
            <w:tcBorders>
              <w:top w:val="single" w:color="auto" w:sz="4" w:space="0"/>
              <w:left w:val="single" w:color="auto" w:sz="4" w:space="0"/>
              <w:bottom w:val="single" w:color="auto" w:sz="4" w:space="0"/>
              <w:right w:val="single" w:color="auto" w:sz="4" w:space="0"/>
            </w:tcBorders>
            <w:vAlign w:val="center"/>
          </w:tcPr>
          <w:p w14:paraId="507E4BF6">
            <w:pPr>
              <w:ind w:firstLine="0" w:firstLineChars="0"/>
              <w:rPr>
                <w:rFonts w:eastAsia="宋体" w:cs="Times New Roman"/>
                <w:sz w:val="18"/>
                <w:szCs w:val="18"/>
              </w:rPr>
            </w:pPr>
            <w:r>
              <w:rPr>
                <w:rFonts w:eastAsia="宋体" w:cs="Times New Roman"/>
                <w:sz w:val="18"/>
                <w:szCs w:val="18"/>
              </w:rPr>
              <w:t>观感质量验收</w:t>
            </w:r>
          </w:p>
        </w:tc>
        <w:tc>
          <w:tcPr>
            <w:tcW w:w="1842" w:type="dxa"/>
            <w:tcBorders>
              <w:top w:val="single" w:color="auto" w:sz="4" w:space="0"/>
              <w:left w:val="single" w:color="auto" w:sz="4" w:space="0"/>
              <w:bottom w:val="single" w:color="auto" w:sz="4" w:space="0"/>
              <w:right w:val="single" w:color="auto" w:sz="4" w:space="0"/>
            </w:tcBorders>
            <w:vAlign w:val="center"/>
          </w:tcPr>
          <w:p w14:paraId="5CE3C5D2">
            <w:pPr>
              <w:ind w:firstLine="0" w:firstLineChars="0"/>
              <w:jc w:val="center"/>
              <w:rPr>
                <w:rFonts w:eastAsia="宋体" w:cs="Times New Roman"/>
                <w:sz w:val="18"/>
                <w:szCs w:val="18"/>
              </w:rPr>
            </w:pPr>
          </w:p>
        </w:tc>
        <w:tc>
          <w:tcPr>
            <w:tcW w:w="4483" w:type="dxa"/>
            <w:tcBorders>
              <w:top w:val="single" w:color="auto" w:sz="4" w:space="0"/>
              <w:left w:val="single" w:color="auto" w:sz="4" w:space="0"/>
              <w:bottom w:val="single" w:color="auto" w:sz="4" w:space="0"/>
              <w:right w:val="single" w:color="auto" w:sz="4" w:space="0"/>
            </w:tcBorders>
            <w:vAlign w:val="center"/>
          </w:tcPr>
          <w:p w14:paraId="25B88399">
            <w:pPr>
              <w:ind w:firstLine="0" w:firstLineChars="0"/>
              <w:rPr>
                <w:rFonts w:eastAsia="宋体" w:cs="Times New Roman"/>
                <w:sz w:val="18"/>
                <w:szCs w:val="18"/>
              </w:rPr>
            </w:pPr>
            <w:r>
              <w:rPr>
                <w:rFonts w:eastAsia="宋体" w:cs="Times New Roman"/>
                <w:sz w:val="18"/>
                <w:szCs w:val="18"/>
              </w:rPr>
              <w:t xml:space="preserve">验收人签名：                        </w:t>
            </w:r>
          </w:p>
          <w:p w14:paraId="437D860F">
            <w:pPr>
              <w:ind w:firstLine="0" w:firstLineChars="0"/>
              <w:jc w:val="right"/>
              <w:rPr>
                <w:rFonts w:eastAsia="宋体" w:cs="Times New Roman"/>
                <w:sz w:val="18"/>
                <w:szCs w:val="18"/>
              </w:rPr>
            </w:pPr>
            <w:r>
              <w:rPr>
                <w:rFonts w:eastAsia="宋体" w:cs="Times New Roman"/>
                <w:sz w:val="18"/>
                <w:szCs w:val="18"/>
              </w:rPr>
              <w:t xml:space="preserve"> 年       月       日</w:t>
            </w:r>
          </w:p>
        </w:tc>
      </w:tr>
      <w:tr w14:paraId="1EB1A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6" w:type="dxa"/>
            <w:gridSpan w:val="2"/>
            <w:tcBorders>
              <w:top w:val="single" w:color="auto" w:sz="4" w:space="0"/>
              <w:left w:val="single" w:color="auto" w:sz="4" w:space="0"/>
              <w:bottom w:val="single" w:color="auto" w:sz="4" w:space="0"/>
              <w:right w:val="single" w:color="auto" w:sz="4" w:space="0"/>
            </w:tcBorders>
            <w:vAlign w:val="center"/>
          </w:tcPr>
          <w:p w14:paraId="2F3BD2D0">
            <w:pPr>
              <w:ind w:firstLine="0" w:firstLineChars="0"/>
              <w:rPr>
                <w:rFonts w:eastAsia="宋体" w:cs="Times New Roman"/>
                <w:sz w:val="18"/>
                <w:szCs w:val="18"/>
              </w:rPr>
            </w:pPr>
            <w:r>
              <w:rPr>
                <w:rFonts w:eastAsia="宋体" w:cs="Times New Roman"/>
                <w:sz w:val="18"/>
                <w:szCs w:val="18"/>
              </w:rPr>
              <w:t>资料审查结论</w:t>
            </w:r>
          </w:p>
        </w:tc>
        <w:tc>
          <w:tcPr>
            <w:tcW w:w="1842" w:type="dxa"/>
            <w:tcBorders>
              <w:top w:val="single" w:color="auto" w:sz="4" w:space="0"/>
              <w:left w:val="single" w:color="auto" w:sz="4" w:space="0"/>
              <w:bottom w:val="single" w:color="auto" w:sz="4" w:space="0"/>
              <w:right w:val="single" w:color="auto" w:sz="4" w:space="0"/>
            </w:tcBorders>
            <w:vAlign w:val="center"/>
          </w:tcPr>
          <w:p w14:paraId="4FC2546C">
            <w:pPr>
              <w:ind w:firstLine="0" w:firstLineChars="0"/>
              <w:jc w:val="center"/>
              <w:rPr>
                <w:rFonts w:eastAsia="宋体" w:cs="Times New Roman"/>
                <w:sz w:val="18"/>
                <w:szCs w:val="18"/>
              </w:rPr>
            </w:pPr>
          </w:p>
        </w:tc>
        <w:tc>
          <w:tcPr>
            <w:tcW w:w="4483" w:type="dxa"/>
            <w:tcBorders>
              <w:top w:val="single" w:color="auto" w:sz="4" w:space="0"/>
              <w:left w:val="single" w:color="auto" w:sz="4" w:space="0"/>
              <w:bottom w:val="single" w:color="auto" w:sz="4" w:space="0"/>
              <w:right w:val="single" w:color="auto" w:sz="4" w:space="0"/>
            </w:tcBorders>
            <w:vAlign w:val="center"/>
          </w:tcPr>
          <w:p w14:paraId="1DE07B08">
            <w:pPr>
              <w:ind w:firstLine="0" w:firstLineChars="0"/>
              <w:rPr>
                <w:rFonts w:eastAsia="宋体" w:cs="Times New Roman"/>
                <w:sz w:val="18"/>
                <w:szCs w:val="18"/>
              </w:rPr>
            </w:pPr>
            <w:r>
              <w:rPr>
                <w:rFonts w:eastAsia="宋体" w:cs="Times New Roman"/>
                <w:sz w:val="18"/>
                <w:szCs w:val="18"/>
              </w:rPr>
              <w:t xml:space="preserve">验收人签名：                        </w:t>
            </w:r>
          </w:p>
          <w:p w14:paraId="770CC221">
            <w:pPr>
              <w:ind w:firstLine="0" w:firstLineChars="0"/>
              <w:jc w:val="right"/>
              <w:rPr>
                <w:rFonts w:eastAsia="宋体" w:cs="Times New Roman"/>
                <w:sz w:val="18"/>
                <w:szCs w:val="18"/>
              </w:rPr>
            </w:pPr>
            <w:r>
              <w:rPr>
                <w:rFonts w:eastAsia="宋体" w:cs="Times New Roman"/>
                <w:sz w:val="18"/>
                <w:szCs w:val="18"/>
              </w:rPr>
              <w:t xml:space="preserve"> 年       月       日</w:t>
            </w:r>
          </w:p>
        </w:tc>
      </w:tr>
      <w:tr w14:paraId="26B4F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6" w:type="dxa"/>
            <w:gridSpan w:val="2"/>
            <w:tcBorders>
              <w:top w:val="single" w:color="auto" w:sz="4" w:space="0"/>
              <w:left w:val="single" w:color="auto" w:sz="4" w:space="0"/>
              <w:bottom w:val="single" w:color="auto" w:sz="4" w:space="0"/>
              <w:right w:val="single" w:color="auto" w:sz="4" w:space="0"/>
            </w:tcBorders>
            <w:vAlign w:val="center"/>
          </w:tcPr>
          <w:p w14:paraId="5A6DD7E7">
            <w:pPr>
              <w:ind w:firstLine="0" w:firstLineChars="0"/>
              <w:rPr>
                <w:rFonts w:eastAsia="宋体" w:cs="Times New Roman"/>
                <w:sz w:val="18"/>
                <w:szCs w:val="18"/>
              </w:rPr>
            </w:pPr>
            <w:r>
              <w:rPr>
                <w:rFonts w:eastAsia="宋体" w:cs="Times New Roman"/>
                <w:sz w:val="18"/>
                <w:szCs w:val="18"/>
              </w:rPr>
              <w:t>人员培训考评结论</w:t>
            </w:r>
          </w:p>
        </w:tc>
        <w:tc>
          <w:tcPr>
            <w:tcW w:w="1842" w:type="dxa"/>
            <w:tcBorders>
              <w:top w:val="single" w:color="auto" w:sz="4" w:space="0"/>
              <w:left w:val="single" w:color="auto" w:sz="4" w:space="0"/>
              <w:bottom w:val="single" w:color="auto" w:sz="4" w:space="0"/>
              <w:right w:val="single" w:color="auto" w:sz="4" w:space="0"/>
            </w:tcBorders>
            <w:vAlign w:val="center"/>
          </w:tcPr>
          <w:p w14:paraId="79616501">
            <w:pPr>
              <w:ind w:firstLine="0" w:firstLineChars="0"/>
              <w:jc w:val="center"/>
              <w:rPr>
                <w:rFonts w:eastAsia="宋体" w:cs="Times New Roman"/>
                <w:sz w:val="18"/>
                <w:szCs w:val="18"/>
              </w:rPr>
            </w:pPr>
          </w:p>
        </w:tc>
        <w:tc>
          <w:tcPr>
            <w:tcW w:w="4483" w:type="dxa"/>
            <w:tcBorders>
              <w:top w:val="single" w:color="auto" w:sz="4" w:space="0"/>
              <w:left w:val="single" w:color="auto" w:sz="4" w:space="0"/>
              <w:bottom w:val="single" w:color="auto" w:sz="4" w:space="0"/>
              <w:right w:val="single" w:color="auto" w:sz="4" w:space="0"/>
            </w:tcBorders>
            <w:vAlign w:val="center"/>
          </w:tcPr>
          <w:p w14:paraId="1CAA5E2F">
            <w:pPr>
              <w:ind w:firstLine="0" w:firstLineChars="0"/>
              <w:rPr>
                <w:rFonts w:eastAsia="宋体" w:cs="Times New Roman"/>
                <w:sz w:val="18"/>
                <w:szCs w:val="18"/>
              </w:rPr>
            </w:pPr>
            <w:r>
              <w:rPr>
                <w:rFonts w:eastAsia="宋体" w:cs="Times New Roman"/>
                <w:sz w:val="18"/>
                <w:szCs w:val="18"/>
              </w:rPr>
              <w:t xml:space="preserve">验收人签名：                        </w:t>
            </w:r>
          </w:p>
          <w:p w14:paraId="3C8DEFCE">
            <w:pPr>
              <w:ind w:firstLine="0" w:firstLineChars="0"/>
              <w:jc w:val="right"/>
              <w:rPr>
                <w:rFonts w:eastAsia="宋体" w:cs="Times New Roman"/>
                <w:sz w:val="18"/>
                <w:szCs w:val="18"/>
              </w:rPr>
            </w:pPr>
            <w:r>
              <w:rPr>
                <w:rFonts w:eastAsia="宋体" w:cs="Times New Roman"/>
                <w:sz w:val="18"/>
                <w:szCs w:val="18"/>
              </w:rPr>
              <w:t xml:space="preserve"> 年       月       日</w:t>
            </w:r>
          </w:p>
        </w:tc>
      </w:tr>
      <w:tr w14:paraId="6AEF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6" w:type="dxa"/>
            <w:gridSpan w:val="2"/>
            <w:tcBorders>
              <w:top w:val="single" w:color="auto" w:sz="4" w:space="0"/>
              <w:left w:val="single" w:color="auto" w:sz="4" w:space="0"/>
              <w:bottom w:val="single" w:color="auto" w:sz="4" w:space="0"/>
              <w:right w:val="single" w:color="auto" w:sz="4" w:space="0"/>
            </w:tcBorders>
            <w:vAlign w:val="center"/>
          </w:tcPr>
          <w:p w14:paraId="699F978C">
            <w:pPr>
              <w:ind w:firstLine="0" w:firstLineChars="0"/>
              <w:rPr>
                <w:rFonts w:eastAsia="宋体" w:cs="Times New Roman"/>
                <w:sz w:val="18"/>
                <w:szCs w:val="18"/>
              </w:rPr>
            </w:pPr>
            <w:r>
              <w:rPr>
                <w:rFonts w:eastAsia="宋体" w:cs="Times New Roman"/>
                <w:sz w:val="18"/>
                <w:szCs w:val="18"/>
              </w:rPr>
              <w:t>运行管理队伍及规章制度审查</w:t>
            </w:r>
          </w:p>
        </w:tc>
        <w:tc>
          <w:tcPr>
            <w:tcW w:w="1842" w:type="dxa"/>
            <w:tcBorders>
              <w:top w:val="single" w:color="auto" w:sz="4" w:space="0"/>
              <w:left w:val="single" w:color="auto" w:sz="4" w:space="0"/>
              <w:bottom w:val="single" w:color="auto" w:sz="4" w:space="0"/>
              <w:right w:val="single" w:color="auto" w:sz="4" w:space="0"/>
            </w:tcBorders>
            <w:vAlign w:val="center"/>
          </w:tcPr>
          <w:p w14:paraId="13A90360">
            <w:pPr>
              <w:ind w:firstLine="0" w:firstLineChars="0"/>
              <w:jc w:val="center"/>
              <w:rPr>
                <w:rFonts w:eastAsia="宋体" w:cs="Times New Roman"/>
                <w:sz w:val="18"/>
                <w:szCs w:val="18"/>
              </w:rPr>
            </w:pPr>
          </w:p>
        </w:tc>
        <w:tc>
          <w:tcPr>
            <w:tcW w:w="4483" w:type="dxa"/>
            <w:tcBorders>
              <w:top w:val="single" w:color="auto" w:sz="4" w:space="0"/>
              <w:left w:val="single" w:color="auto" w:sz="4" w:space="0"/>
              <w:bottom w:val="single" w:color="auto" w:sz="4" w:space="0"/>
              <w:right w:val="single" w:color="auto" w:sz="4" w:space="0"/>
            </w:tcBorders>
            <w:vAlign w:val="center"/>
          </w:tcPr>
          <w:p w14:paraId="5CD11DC5">
            <w:pPr>
              <w:ind w:firstLine="0" w:firstLineChars="0"/>
              <w:rPr>
                <w:rFonts w:eastAsia="宋体" w:cs="Times New Roman"/>
                <w:sz w:val="18"/>
                <w:szCs w:val="18"/>
              </w:rPr>
            </w:pPr>
            <w:r>
              <w:rPr>
                <w:rFonts w:eastAsia="宋体" w:cs="Times New Roman"/>
                <w:sz w:val="18"/>
                <w:szCs w:val="18"/>
              </w:rPr>
              <w:t xml:space="preserve">验收人签名：                        </w:t>
            </w:r>
          </w:p>
          <w:p w14:paraId="55C9DC5E">
            <w:pPr>
              <w:ind w:firstLine="0" w:firstLineChars="0"/>
              <w:jc w:val="right"/>
              <w:rPr>
                <w:rFonts w:eastAsia="宋体" w:cs="Times New Roman"/>
                <w:sz w:val="18"/>
                <w:szCs w:val="18"/>
              </w:rPr>
            </w:pPr>
            <w:r>
              <w:rPr>
                <w:rFonts w:eastAsia="宋体" w:cs="Times New Roman"/>
                <w:sz w:val="18"/>
                <w:szCs w:val="18"/>
              </w:rPr>
              <w:t xml:space="preserve"> 年       月       日</w:t>
            </w:r>
          </w:p>
        </w:tc>
      </w:tr>
      <w:tr w14:paraId="2C783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6" w:type="dxa"/>
            <w:gridSpan w:val="2"/>
            <w:tcBorders>
              <w:top w:val="single" w:color="auto" w:sz="4" w:space="0"/>
              <w:left w:val="single" w:color="auto" w:sz="4" w:space="0"/>
              <w:bottom w:val="single" w:color="auto" w:sz="4" w:space="0"/>
              <w:right w:val="single" w:color="auto" w:sz="4" w:space="0"/>
            </w:tcBorders>
            <w:vAlign w:val="center"/>
          </w:tcPr>
          <w:p w14:paraId="1D67620D">
            <w:pPr>
              <w:ind w:firstLine="0" w:firstLineChars="0"/>
              <w:rPr>
                <w:rFonts w:eastAsia="宋体" w:cs="Times New Roman"/>
                <w:sz w:val="18"/>
                <w:szCs w:val="18"/>
              </w:rPr>
            </w:pPr>
            <w:r>
              <w:rPr>
                <w:rFonts w:eastAsia="宋体" w:cs="Times New Roman"/>
                <w:sz w:val="18"/>
                <w:szCs w:val="18"/>
              </w:rPr>
              <w:t>设计等级要求评定</w:t>
            </w:r>
          </w:p>
        </w:tc>
        <w:tc>
          <w:tcPr>
            <w:tcW w:w="1842" w:type="dxa"/>
            <w:tcBorders>
              <w:top w:val="single" w:color="auto" w:sz="4" w:space="0"/>
              <w:left w:val="single" w:color="auto" w:sz="4" w:space="0"/>
              <w:bottom w:val="single" w:color="auto" w:sz="4" w:space="0"/>
              <w:right w:val="single" w:color="auto" w:sz="4" w:space="0"/>
            </w:tcBorders>
            <w:vAlign w:val="center"/>
          </w:tcPr>
          <w:p w14:paraId="7E1D8DF6">
            <w:pPr>
              <w:ind w:firstLine="0" w:firstLineChars="0"/>
              <w:jc w:val="center"/>
              <w:rPr>
                <w:rFonts w:eastAsia="宋体" w:cs="Times New Roman"/>
                <w:sz w:val="18"/>
                <w:szCs w:val="18"/>
              </w:rPr>
            </w:pPr>
          </w:p>
        </w:tc>
        <w:tc>
          <w:tcPr>
            <w:tcW w:w="4483" w:type="dxa"/>
            <w:tcBorders>
              <w:top w:val="single" w:color="auto" w:sz="4" w:space="0"/>
              <w:left w:val="single" w:color="auto" w:sz="4" w:space="0"/>
              <w:bottom w:val="single" w:color="auto" w:sz="4" w:space="0"/>
              <w:right w:val="single" w:color="auto" w:sz="4" w:space="0"/>
            </w:tcBorders>
            <w:vAlign w:val="center"/>
          </w:tcPr>
          <w:p w14:paraId="78CD11D7">
            <w:pPr>
              <w:ind w:firstLine="0" w:firstLineChars="0"/>
              <w:rPr>
                <w:rFonts w:eastAsia="宋体" w:cs="Times New Roman"/>
                <w:sz w:val="18"/>
                <w:szCs w:val="18"/>
              </w:rPr>
            </w:pPr>
            <w:r>
              <w:rPr>
                <w:rFonts w:eastAsia="宋体" w:cs="Times New Roman"/>
                <w:sz w:val="18"/>
                <w:szCs w:val="18"/>
              </w:rPr>
              <w:t xml:space="preserve">验收人签名：                        </w:t>
            </w:r>
          </w:p>
          <w:p w14:paraId="43E3D232">
            <w:pPr>
              <w:ind w:firstLine="0" w:firstLineChars="0"/>
              <w:jc w:val="right"/>
              <w:rPr>
                <w:rFonts w:eastAsia="宋体" w:cs="Times New Roman"/>
                <w:sz w:val="18"/>
                <w:szCs w:val="18"/>
              </w:rPr>
            </w:pPr>
            <w:r>
              <w:rPr>
                <w:rFonts w:eastAsia="宋体" w:cs="Times New Roman"/>
                <w:sz w:val="18"/>
                <w:szCs w:val="18"/>
              </w:rPr>
              <w:t xml:space="preserve"> 年       月       日</w:t>
            </w:r>
          </w:p>
        </w:tc>
      </w:tr>
      <w:tr w14:paraId="2B59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6" w:type="dxa"/>
            <w:gridSpan w:val="2"/>
            <w:tcBorders>
              <w:top w:val="single" w:color="auto" w:sz="4" w:space="0"/>
              <w:left w:val="single" w:color="auto" w:sz="4" w:space="0"/>
              <w:bottom w:val="single" w:color="auto" w:sz="4" w:space="0"/>
              <w:right w:val="single" w:color="auto" w:sz="4" w:space="0"/>
            </w:tcBorders>
            <w:vAlign w:val="center"/>
          </w:tcPr>
          <w:p w14:paraId="55785A06">
            <w:pPr>
              <w:ind w:firstLine="0" w:firstLineChars="0"/>
              <w:rPr>
                <w:rFonts w:eastAsia="宋体" w:cs="Times New Roman"/>
                <w:sz w:val="18"/>
                <w:szCs w:val="18"/>
              </w:rPr>
            </w:pPr>
            <w:r>
              <w:rPr>
                <w:rFonts w:eastAsia="宋体" w:cs="Times New Roman"/>
                <w:sz w:val="18"/>
                <w:szCs w:val="18"/>
              </w:rPr>
              <w:t>……</w:t>
            </w:r>
          </w:p>
        </w:tc>
        <w:tc>
          <w:tcPr>
            <w:tcW w:w="1842" w:type="dxa"/>
            <w:tcBorders>
              <w:top w:val="single" w:color="auto" w:sz="4" w:space="0"/>
              <w:left w:val="single" w:color="auto" w:sz="4" w:space="0"/>
              <w:bottom w:val="single" w:color="auto" w:sz="4" w:space="0"/>
              <w:right w:val="single" w:color="auto" w:sz="4" w:space="0"/>
            </w:tcBorders>
            <w:vAlign w:val="center"/>
          </w:tcPr>
          <w:p w14:paraId="570754E2">
            <w:pPr>
              <w:ind w:firstLine="0" w:firstLineChars="0"/>
              <w:jc w:val="center"/>
              <w:rPr>
                <w:rFonts w:eastAsia="宋体" w:cs="Times New Roman"/>
                <w:sz w:val="18"/>
                <w:szCs w:val="18"/>
              </w:rPr>
            </w:pPr>
          </w:p>
        </w:tc>
        <w:tc>
          <w:tcPr>
            <w:tcW w:w="4483" w:type="dxa"/>
            <w:tcBorders>
              <w:top w:val="single" w:color="auto" w:sz="4" w:space="0"/>
              <w:left w:val="single" w:color="auto" w:sz="4" w:space="0"/>
              <w:bottom w:val="single" w:color="auto" w:sz="4" w:space="0"/>
              <w:right w:val="single" w:color="auto" w:sz="4" w:space="0"/>
            </w:tcBorders>
            <w:vAlign w:val="center"/>
          </w:tcPr>
          <w:p w14:paraId="26DDF0BD">
            <w:pPr>
              <w:ind w:firstLine="0" w:firstLineChars="0"/>
              <w:rPr>
                <w:rFonts w:eastAsia="宋体" w:cs="Times New Roman"/>
                <w:sz w:val="18"/>
                <w:szCs w:val="18"/>
              </w:rPr>
            </w:pPr>
            <w:r>
              <w:rPr>
                <w:rFonts w:eastAsia="宋体" w:cs="Times New Roman"/>
                <w:sz w:val="18"/>
                <w:szCs w:val="18"/>
              </w:rPr>
              <w:t xml:space="preserve">验收人签名：                        </w:t>
            </w:r>
          </w:p>
          <w:p w14:paraId="66A0CDBC">
            <w:pPr>
              <w:ind w:firstLine="0" w:firstLineChars="0"/>
              <w:jc w:val="right"/>
              <w:rPr>
                <w:rFonts w:eastAsia="宋体" w:cs="Times New Roman"/>
                <w:sz w:val="18"/>
                <w:szCs w:val="18"/>
              </w:rPr>
            </w:pPr>
            <w:r>
              <w:rPr>
                <w:rFonts w:eastAsia="宋体" w:cs="Times New Roman"/>
                <w:sz w:val="18"/>
                <w:szCs w:val="18"/>
              </w:rPr>
              <w:t xml:space="preserve"> 年       月       日</w:t>
            </w:r>
          </w:p>
        </w:tc>
      </w:tr>
      <w:tr w14:paraId="2D0E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trPr>
        <w:tc>
          <w:tcPr>
            <w:tcW w:w="3256" w:type="dxa"/>
            <w:gridSpan w:val="2"/>
            <w:tcBorders>
              <w:top w:val="single" w:color="auto" w:sz="4" w:space="0"/>
              <w:left w:val="single" w:color="auto" w:sz="4" w:space="0"/>
              <w:bottom w:val="single" w:color="auto" w:sz="4" w:space="0"/>
              <w:right w:val="single" w:color="auto" w:sz="4" w:space="0"/>
            </w:tcBorders>
          </w:tcPr>
          <w:p w14:paraId="4684E4C5">
            <w:pPr>
              <w:spacing w:before="120" w:beforeLines="50"/>
              <w:ind w:firstLine="0" w:firstLineChars="0"/>
              <w:rPr>
                <w:rFonts w:eastAsia="宋体" w:cs="Times New Roman"/>
                <w:sz w:val="18"/>
                <w:szCs w:val="18"/>
              </w:rPr>
            </w:pPr>
            <w:r>
              <w:rPr>
                <w:rFonts w:eastAsia="宋体" w:cs="Times New Roman"/>
                <w:sz w:val="18"/>
                <w:szCs w:val="18"/>
              </w:rPr>
              <w:t>验收结论：</w:t>
            </w:r>
          </w:p>
        </w:tc>
        <w:tc>
          <w:tcPr>
            <w:tcW w:w="1842" w:type="dxa"/>
            <w:tcBorders>
              <w:top w:val="single" w:color="auto" w:sz="4" w:space="0"/>
              <w:left w:val="single" w:color="auto" w:sz="4" w:space="0"/>
              <w:bottom w:val="single" w:color="auto" w:sz="4" w:space="0"/>
              <w:right w:val="single" w:color="auto" w:sz="4" w:space="0"/>
            </w:tcBorders>
            <w:vAlign w:val="center"/>
          </w:tcPr>
          <w:p w14:paraId="2195B8D2">
            <w:pPr>
              <w:ind w:firstLine="0" w:firstLineChars="0"/>
              <w:jc w:val="center"/>
              <w:rPr>
                <w:rFonts w:eastAsia="宋体" w:cs="Times New Roman"/>
                <w:sz w:val="18"/>
                <w:szCs w:val="18"/>
              </w:rPr>
            </w:pPr>
          </w:p>
        </w:tc>
        <w:tc>
          <w:tcPr>
            <w:tcW w:w="4483" w:type="dxa"/>
            <w:tcBorders>
              <w:top w:val="single" w:color="auto" w:sz="4" w:space="0"/>
              <w:left w:val="single" w:color="auto" w:sz="4" w:space="0"/>
              <w:bottom w:val="single" w:color="auto" w:sz="4" w:space="0"/>
              <w:right w:val="single" w:color="auto" w:sz="4" w:space="0"/>
            </w:tcBorders>
            <w:vAlign w:val="center"/>
          </w:tcPr>
          <w:p w14:paraId="035AA47A">
            <w:pPr>
              <w:ind w:firstLine="0" w:firstLineChars="0"/>
              <w:rPr>
                <w:rFonts w:eastAsia="宋体" w:cs="Times New Roman"/>
                <w:sz w:val="18"/>
                <w:szCs w:val="18"/>
              </w:rPr>
            </w:pPr>
            <w:r>
              <w:rPr>
                <w:rFonts w:eastAsia="宋体" w:cs="Times New Roman"/>
                <w:sz w:val="18"/>
                <w:szCs w:val="18"/>
              </w:rPr>
              <w:t>验收责任人签字：</w:t>
            </w:r>
          </w:p>
          <w:p w14:paraId="7A0C2797">
            <w:pPr>
              <w:ind w:firstLine="0" w:firstLineChars="0"/>
              <w:rPr>
                <w:rFonts w:eastAsia="宋体" w:cs="Times New Roman"/>
                <w:sz w:val="18"/>
                <w:szCs w:val="18"/>
              </w:rPr>
            </w:pPr>
          </w:p>
          <w:p w14:paraId="6EF1DFAC">
            <w:pPr>
              <w:ind w:firstLine="0" w:firstLineChars="0"/>
              <w:rPr>
                <w:rFonts w:eastAsia="宋体" w:cs="Times New Roman"/>
                <w:sz w:val="18"/>
                <w:szCs w:val="18"/>
              </w:rPr>
            </w:pPr>
          </w:p>
          <w:p w14:paraId="167ED199">
            <w:pPr>
              <w:spacing w:after="120"/>
              <w:ind w:left="440" w:firstLine="360"/>
              <w:rPr>
                <w:rFonts w:eastAsia="宋体" w:cs="Times New Roman"/>
                <w:sz w:val="18"/>
                <w:szCs w:val="18"/>
              </w:rPr>
            </w:pPr>
            <w:r>
              <w:rPr>
                <w:rFonts w:eastAsia="宋体" w:cs="Times New Roman"/>
                <w:sz w:val="18"/>
                <w:szCs w:val="18"/>
              </w:rPr>
              <w:t>日期：</w:t>
            </w:r>
          </w:p>
        </w:tc>
      </w:tr>
      <w:tr w14:paraId="103D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9581" w:type="dxa"/>
            <w:gridSpan w:val="4"/>
            <w:tcBorders>
              <w:top w:val="single" w:color="auto" w:sz="4" w:space="0"/>
              <w:left w:val="single" w:color="auto" w:sz="4" w:space="0"/>
              <w:bottom w:val="single" w:color="auto" w:sz="4" w:space="0"/>
              <w:right w:val="single" w:color="auto" w:sz="4" w:space="0"/>
            </w:tcBorders>
          </w:tcPr>
          <w:p w14:paraId="430FF374">
            <w:pPr>
              <w:spacing w:before="120" w:beforeLines="50"/>
              <w:ind w:firstLine="0" w:firstLineChars="0"/>
              <w:rPr>
                <w:rFonts w:eastAsia="宋体" w:cs="Times New Roman"/>
                <w:sz w:val="18"/>
                <w:szCs w:val="18"/>
              </w:rPr>
            </w:pPr>
            <w:r>
              <w:rPr>
                <w:rFonts w:eastAsia="宋体" w:cs="Times New Roman"/>
                <w:sz w:val="18"/>
                <w:szCs w:val="18"/>
              </w:rPr>
              <w:t>建议与要求：</w:t>
            </w:r>
          </w:p>
          <w:p w14:paraId="3F31B0D6">
            <w:pPr>
              <w:spacing w:after="120"/>
              <w:ind w:left="440" w:firstLine="360"/>
              <w:rPr>
                <w:rFonts w:eastAsia="宋体" w:cs="Times New Roman"/>
                <w:sz w:val="18"/>
                <w:szCs w:val="18"/>
              </w:rPr>
            </w:pPr>
          </w:p>
          <w:p w14:paraId="79CDA6AE">
            <w:pPr>
              <w:spacing w:after="120"/>
              <w:ind w:left="440" w:firstLine="360"/>
              <w:rPr>
                <w:rFonts w:eastAsia="宋体" w:cs="Times New Roman"/>
                <w:sz w:val="18"/>
                <w:szCs w:val="18"/>
              </w:rPr>
            </w:pPr>
          </w:p>
        </w:tc>
      </w:tr>
      <w:tr w14:paraId="5796B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9581" w:type="dxa"/>
            <w:gridSpan w:val="4"/>
            <w:tcBorders>
              <w:top w:val="single" w:color="auto" w:sz="4" w:space="0"/>
              <w:left w:val="single" w:color="auto" w:sz="4" w:space="0"/>
              <w:bottom w:val="single" w:color="auto" w:sz="4" w:space="0"/>
              <w:right w:val="single" w:color="auto" w:sz="4" w:space="0"/>
            </w:tcBorders>
            <w:vAlign w:val="center"/>
          </w:tcPr>
          <w:p w14:paraId="3A893BF5">
            <w:pPr>
              <w:spacing w:before="120" w:beforeLines="50" w:line="360" w:lineRule="auto"/>
              <w:ind w:firstLine="0" w:firstLineChars="0"/>
              <w:rPr>
                <w:rFonts w:eastAsia="宋体" w:cs="Times New Roman"/>
                <w:sz w:val="18"/>
                <w:szCs w:val="18"/>
              </w:rPr>
            </w:pPr>
            <w:r>
              <w:rPr>
                <w:rFonts w:eastAsia="宋体" w:cs="Times New Roman"/>
                <w:sz w:val="18"/>
                <w:szCs w:val="18"/>
              </w:rPr>
              <w:t>注：1. 本汇总表须附本附录所有表格、行业要求的其他文件及参与验收人员名单。</w:t>
            </w:r>
          </w:p>
          <w:p w14:paraId="5A2848BD">
            <w:pPr>
              <w:spacing w:line="360" w:lineRule="auto"/>
              <w:ind w:firstLine="0" w:firstLineChars="0"/>
              <w:rPr>
                <w:rFonts w:eastAsia="宋体" w:cs="Times New Roman"/>
                <w:sz w:val="18"/>
                <w:szCs w:val="18"/>
              </w:rPr>
            </w:pPr>
            <w:r>
              <w:rPr>
                <w:rFonts w:eastAsia="宋体" w:cs="Times New Roman"/>
                <w:sz w:val="18"/>
                <w:szCs w:val="18"/>
              </w:rPr>
              <w:t xml:space="preserve">    2. 验收结论一律填写“合格”或“不合格”。</w:t>
            </w:r>
          </w:p>
        </w:tc>
      </w:tr>
    </w:tbl>
    <w:p w14:paraId="628C5B26">
      <w:pPr>
        <w:adjustRightInd w:val="0"/>
        <w:snapToGrid w:val="0"/>
        <w:spacing w:line="360" w:lineRule="auto"/>
        <w:ind w:firstLine="0" w:firstLineChars="0"/>
        <w:jc w:val="left"/>
        <w:rPr>
          <w:rFonts w:eastAsia="宋体" w:cs="Times New Roman"/>
          <w:sz w:val="24"/>
          <w:szCs w:val="21"/>
        </w:rPr>
      </w:pPr>
    </w:p>
    <w:p w14:paraId="6DD3809A">
      <w:pPr>
        <w:keepNext/>
        <w:keepLines/>
        <w:spacing w:before="120" w:beforeLines="50" w:after="120" w:afterLines="50" w:line="360" w:lineRule="auto"/>
        <w:ind w:firstLine="0" w:firstLineChars="0"/>
        <w:jc w:val="center"/>
        <w:outlineLvl w:val="0"/>
        <w:rPr>
          <w:rFonts w:cs="Times New Roman" w:eastAsiaTheme="minorEastAsia"/>
          <w:b/>
          <w:bCs/>
          <w:color w:val="000000" w:themeColor="text1"/>
          <w:kern w:val="44"/>
          <w:sz w:val="30"/>
          <w:szCs w:val="30"/>
          <w14:textFill>
            <w14:solidFill>
              <w14:schemeClr w14:val="tx1"/>
            </w14:solidFill>
          </w14:textFill>
        </w:rPr>
      </w:pPr>
      <w:r>
        <w:rPr>
          <w:rFonts w:eastAsia="宋体" w:cs="Times New Roman"/>
          <w:b/>
          <w:bCs/>
          <w:kern w:val="0"/>
          <w:sz w:val="24"/>
          <w:szCs w:val="32"/>
        </w:rPr>
        <w:br w:type="page"/>
      </w:r>
      <w:bookmarkStart w:id="120" w:name="_Toc192799323"/>
      <w:r>
        <w:rPr>
          <w:rFonts w:hint="eastAsia" w:ascii="宋体" w:hAnsi="宋体" w:eastAsia="宋体" w:cs="宋体"/>
          <w:b/>
          <w:bCs/>
          <w:color w:val="000000" w:themeColor="text1"/>
          <w:kern w:val="44"/>
          <w:sz w:val="30"/>
          <w:szCs w:val="30"/>
          <w14:textFill>
            <w14:solidFill>
              <w14:schemeClr w14:val="tx1"/>
            </w14:solidFill>
          </w14:textFill>
        </w:rPr>
        <w:t>附录</w:t>
      </w:r>
      <w:r>
        <w:rPr>
          <w:rFonts w:hint="eastAsia" w:cs="Times New Roman" w:eastAsiaTheme="minorEastAsia"/>
          <w:b/>
          <w:bCs/>
          <w:color w:val="000000" w:themeColor="text1"/>
          <w:kern w:val="44"/>
          <w:sz w:val="30"/>
          <w:szCs w:val="30"/>
          <w14:textFill>
            <w14:solidFill>
              <w14:schemeClr w14:val="tx1"/>
            </w14:solidFill>
          </w14:textFill>
        </w:rPr>
        <w:t>B</w:t>
      </w:r>
      <w:r>
        <w:rPr>
          <w:rFonts w:cs="Times New Roman" w:eastAsiaTheme="minorEastAsia"/>
          <w:b/>
          <w:bCs/>
          <w:color w:val="000000" w:themeColor="text1"/>
          <w:kern w:val="44"/>
          <w:sz w:val="30"/>
          <w:szCs w:val="30"/>
          <w14:textFill>
            <w14:solidFill>
              <w14:schemeClr w14:val="tx1"/>
            </w14:solidFill>
          </w14:textFill>
        </w:rPr>
        <w:t xml:space="preserve">  </w:t>
      </w:r>
      <w:r>
        <w:rPr>
          <w:rFonts w:hint="eastAsia" w:ascii="宋体" w:hAnsi="宋体" w:eastAsia="宋体" w:cs="宋体"/>
          <w:b/>
          <w:bCs/>
          <w:color w:val="000000" w:themeColor="text1"/>
          <w:kern w:val="44"/>
          <w:sz w:val="30"/>
          <w:szCs w:val="30"/>
          <w14:textFill>
            <w14:solidFill>
              <w14:schemeClr w14:val="tx1"/>
            </w14:solidFill>
          </w14:textFill>
        </w:rPr>
        <w:t>综合调适与交付清单</w:t>
      </w:r>
      <w:bookmarkEnd w:id="120"/>
    </w:p>
    <w:p w14:paraId="711D1506">
      <w:pPr>
        <w:spacing w:line="360" w:lineRule="auto"/>
        <w:ind w:firstLine="0" w:firstLineChars="0"/>
        <w:jc w:val="center"/>
        <w:rPr>
          <w:rFonts w:eastAsia="宋体" w:cs="Times New Roman"/>
          <w:b/>
          <w:kern w:val="0"/>
          <w:sz w:val="18"/>
          <w:szCs w:val="18"/>
        </w:rPr>
      </w:pPr>
      <w:r>
        <w:rPr>
          <w:rFonts w:eastAsia="宋体" w:cs="Times New Roman"/>
          <w:b/>
          <w:kern w:val="0"/>
          <w:sz w:val="18"/>
          <w:szCs w:val="18"/>
        </w:rPr>
        <w:t>表</w:t>
      </w:r>
      <w:r>
        <w:rPr>
          <w:rFonts w:hint="eastAsia" w:eastAsia="宋体" w:cs="Times New Roman"/>
          <w:b/>
          <w:iCs/>
          <w:color w:val="000000" w:themeColor="text1"/>
          <w:sz w:val="18"/>
          <w:szCs w:val="18"/>
          <w14:textFill>
            <w14:solidFill>
              <w14:schemeClr w14:val="tx1"/>
            </w14:solidFill>
          </w14:textFill>
        </w:rPr>
        <w:t>B</w:t>
      </w:r>
      <w:r>
        <w:rPr>
          <w:rFonts w:eastAsia="宋体" w:cs="Times New Roman"/>
          <w:b/>
          <w:iCs/>
          <w:color w:val="000000" w:themeColor="text1"/>
          <w:sz w:val="18"/>
          <w:szCs w:val="18"/>
          <w14:textFill>
            <w14:solidFill>
              <w14:schemeClr w14:val="tx1"/>
            </w14:solidFill>
          </w14:textFill>
        </w:rPr>
        <w:t xml:space="preserve">.01 </w:t>
      </w:r>
      <w:r>
        <w:rPr>
          <w:rFonts w:eastAsia="宋体" w:cs="Times New Roman"/>
          <w:b/>
          <w:kern w:val="0"/>
          <w:sz w:val="18"/>
          <w:szCs w:val="18"/>
        </w:rPr>
        <w:t xml:space="preserve"> </w:t>
      </w:r>
      <w:r>
        <w:rPr>
          <w:rFonts w:hint="eastAsia" w:eastAsia="宋体" w:cs="Times New Roman"/>
          <w:b/>
          <w:kern w:val="0"/>
          <w:sz w:val="18"/>
          <w:szCs w:val="18"/>
        </w:rPr>
        <w:t>综合调适与交付清单</w:t>
      </w:r>
      <w:r>
        <w:rPr>
          <w:rFonts w:eastAsia="宋体" w:cs="Times New Roman"/>
          <w:b/>
          <w:kern w:val="0"/>
          <w:sz w:val="18"/>
          <w:szCs w:val="18"/>
        </w:rPr>
        <w:t>表</w:t>
      </w:r>
    </w:p>
    <w:tbl>
      <w:tblPr>
        <w:tblStyle w:val="19"/>
        <w:tblW w:w="9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735"/>
      </w:tblGrid>
      <w:tr w14:paraId="3704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4240D83C">
            <w:pPr>
              <w:ind w:firstLine="0" w:firstLineChars="0"/>
              <w:jc w:val="center"/>
              <w:rPr>
                <w:rFonts w:eastAsia="宋体" w:cs="Times New Roman"/>
                <w:sz w:val="18"/>
                <w:szCs w:val="18"/>
              </w:rPr>
            </w:pPr>
            <w:r>
              <w:rPr>
                <w:rFonts w:eastAsia="宋体" w:cs="Times New Roman"/>
                <w:sz w:val="18"/>
                <w:szCs w:val="18"/>
              </w:rPr>
              <w:t>序号</w:t>
            </w:r>
          </w:p>
        </w:tc>
        <w:tc>
          <w:tcPr>
            <w:tcW w:w="8735" w:type="dxa"/>
            <w:tcBorders>
              <w:top w:val="single" w:color="auto" w:sz="4" w:space="0"/>
              <w:left w:val="single" w:color="auto" w:sz="4" w:space="0"/>
              <w:bottom w:val="single" w:color="auto" w:sz="4" w:space="0"/>
              <w:right w:val="single" w:color="auto" w:sz="4" w:space="0"/>
            </w:tcBorders>
            <w:vAlign w:val="center"/>
          </w:tcPr>
          <w:p w14:paraId="69B3134C">
            <w:pPr>
              <w:ind w:firstLine="0" w:firstLineChars="0"/>
              <w:jc w:val="center"/>
              <w:rPr>
                <w:rFonts w:eastAsia="宋体" w:cs="Times New Roman"/>
                <w:sz w:val="18"/>
                <w:szCs w:val="18"/>
              </w:rPr>
            </w:pPr>
            <w:r>
              <w:rPr>
                <w:rFonts w:eastAsia="宋体" w:cs="Times New Roman"/>
                <w:sz w:val="18"/>
                <w:szCs w:val="18"/>
              </w:rPr>
              <w:t>资料名称</w:t>
            </w:r>
          </w:p>
        </w:tc>
      </w:tr>
      <w:tr w14:paraId="2D1B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24845BD5">
            <w:pPr>
              <w:ind w:firstLine="0" w:firstLineChars="0"/>
              <w:jc w:val="center"/>
              <w:rPr>
                <w:rFonts w:eastAsia="宋体" w:cs="Times New Roman"/>
                <w:sz w:val="18"/>
                <w:szCs w:val="18"/>
              </w:rPr>
            </w:pPr>
            <w:r>
              <w:rPr>
                <w:rFonts w:eastAsia="宋体" w:cs="Times New Roman"/>
                <w:sz w:val="18"/>
                <w:szCs w:val="18"/>
              </w:rPr>
              <w:t>1</w:t>
            </w:r>
          </w:p>
        </w:tc>
        <w:tc>
          <w:tcPr>
            <w:tcW w:w="8735" w:type="dxa"/>
            <w:tcBorders>
              <w:top w:val="single" w:color="auto" w:sz="4" w:space="0"/>
              <w:left w:val="single" w:color="auto" w:sz="4" w:space="0"/>
              <w:bottom w:val="single" w:color="auto" w:sz="4" w:space="0"/>
              <w:right w:val="single" w:color="auto" w:sz="4" w:space="0"/>
            </w:tcBorders>
            <w:vAlign w:val="center"/>
          </w:tcPr>
          <w:p w14:paraId="3D8C9EA4">
            <w:pPr>
              <w:widowControl/>
              <w:ind w:firstLine="0" w:firstLineChars="0"/>
              <w:jc w:val="left"/>
              <w:rPr>
                <w:rFonts w:eastAsia="宋体" w:cs="Times New Roman"/>
                <w:sz w:val="18"/>
                <w:szCs w:val="18"/>
              </w:rPr>
            </w:pPr>
            <w:r>
              <w:rPr>
                <w:rFonts w:eastAsia="宋体" w:cs="Times New Roman"/>
                <w:color w:val="000000"/>
                <w:kern w:val="0"/>
                <w:sz w:val="18"/>
                <w:szCs w:val="18"/>
                <w:lang w:bidi="ar"/>
              </w:rPr>
              <w:t>运维对象详细说明文件</w:t>
            </w:r>
          </w:p>
        </w:tc>
      </w:tr>
      <w:tr w14:paraId="5516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52966F0E">
            <w:pPr>
              <w:ind w:firstLine="0" w:firstLineChars="0"/>
              <w:jc w:val="center"/>
              <w:rPr>
                <w:rFonts w:eastAsia="宋体" w:cs="Times New Roman"/>
                <w:sz w:val="18"/>
                <w:szCs w:val="18"/>
              </w:rPr>
            </w:pPr>
            <w:r>
              <w:rPr>
                <w:rFonts w:eastAsia="宋体" w:cs="Times New Roman"/>
                <w:sz w:val="18"/>
                <w:szCs w:val="18"/>
              </w:rPr>
              <w:t>2</w:t>
            </w:r>
          </w:p>
        </w:tc>
        <w:tc>
          <w:tcPr>
            <w:tcW w:w="8735" w:type="dxa"/>
            <w:tcBorders>
              <w:top w:val="single" w:color="auto" w:sz="4" w:space="0"/>
              <w:left w:val="single" w:color="auto" w:sz="4" w:space="0"/>
              <w:bottom w:val="single" w:color="auto" w:sz="4" w:space="0"/>
              <w:right w:val="single" w:color="auto" w:sz="4" w:space="0"/>
            </w:tcBorders>
            <w:vAlign w:val="center"/>
          </w:tcPr>
          <w:p w14:paraId="1B0BB10B">
            <w:pPr>
              <w:widowControl/>
              <w:ind w:firstLine="0" w:firstLineChars="0"/>
              <w:jc w:val="left"/>
              <w:rPr>
                <w:rFonts w:eastAsia="宋体" w:cs="Times New Roman"/>
                <w:sz w:val="18"/>
                <w:szCs w:val="18"/>
              </w:rPr>
            </w:pPr>
            <w:r>
              <w:rPr>
                <w:rFonts w:eastAsia="宋体" w:cs="Times New Roman"/>
                <w:color w:val="000000"/>
                <w:kern w:val="0"/>
                <w:sz w:val="18"/>
                <w:szCs w:val="18"/>
                <w:lang w:bidi="ar"/>
              </w:rPr>
              <w:t>设备系统合格证、技术资料、维护资料、明细表和台账</w:t>
            </w:r>
          </w:p>
        </w:tc>
      </w:tr>
      <w:tr w14:paraId="243FA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70F148E4">
            <w:pPr>
              <w:ind w:firstLine="0" w:firstLineChars="0"/>
              <w:jc w:val="center"/>
              <w:rPr>
                <w:rFonts w:eastAsia="宋体" w:cs="Times New Roman"/>
                <w:sz w:val="18"/>
                <w:szCs w:val="18"/>
              </w:rPr>
            </w:pPr>
            <w:r>
              <w:rPr>
                <w:rFonts w:eastAsia="宋体" w:cs="Times New Roman"/>
                <w:sz w:val="18"/>
                <w:szCs w:val="18"/>
              </w:rPr>
              <w:t>3</w:t>
            </w:r>
          </w:p>
        </w:tc>
        <w:tc>
          <w:tcPr>
            <w:tcW w:w="8735" w:type="dxa"/>
            <w:tcBorders>
              <w:top w:val="single" w:color="auto" w:sz="4" w:space="0"/>
              <w:left w:val="single" w:color="auto" w:sz="4" w:space="0"/>
              <w:bottom w:val="single" w:color="auto" w:sz="4" w:space="0"/>
              <w:right w:val="single" w:color="auto" w:sz="4" w:space="0"/>
            </w:tcBorders>
            <w:vAlign w:val="center"/>
          </w:tcPr>
          <w:p w14:paraId="668F2C61">
            <w:pPr>
              <w:widowControl/>
              <w:ind w:firstLine="0" w:firstLineChars="0"/>
              <w:jc w:val="left"/>
              <w:rPr>
                <w:rFonts w:eastAsia="宋体" w:cs="Times New Roman"/>
                <w:sz w:val="18"/>
                <w:szCs w:val="18"/>
              </w:rPr>
            </w:pPr>
            <w:r>
              <w:rPr>
                <w:rFonts w:eastAsia="宋体" w:cs="Times New Roman"/>
                <w:color w:val="000000"/>
                <w:kern w:val="0"/>
                <w:sz w:val="18"/>
                <w:szCs w:val="18"/>
                <w:lang w:bidi="ar"/>
              </w:rPr>
              <w:t>设备和系统安装图纸</w:t>
            </w:r>
          </w:p>
        </w:tc>
      </w:tr>
      <w:tr w14:paraId="66BC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34357FE0">
            <w:pPr>
              <w:ind w:firstLine="0" w:firstLineChars="0"/>
              <w:jc w:val="center"/>
              <w:rPr>
                <w:rFonts w:eastAsia="宋体" w:cs="Times New Roman"/>
                <w:sz w:val="18"/>
                <w:szCs w:val="18"/>
              </w:rPr>
            </w:pPr>
            <w:r>
              <w:rPr>
                <w:rFonts w:eastAsia="宋体" w:cs="Times New Roman"/>
                <w:sz w:val="18"/>
                <w:szCs w:val="18"/>
              </w:rPr>
              <w:t>4</w:t>
            </w:r>
          </w:p>
        </w:tc>
        <w:tc>
          <w:tcPr>
            <w:tcW w:w="8735" w:type="dxa"/>
            <w:tcBorders>
              <w:top w:val="single" w:color="auto" w:sz="4" w:space="0"/>
              <w:left w:val="single" w:color="auto" w:sz="4" w:space="0"/>
              <w:bottom w:val="single" w:color="auto" w:sz="4" w:space="0"/>
              <w:right w:val="single" w:color="auto" w:sz="4" w:space="0"/>
            </w:tcBorders>
            <w:vAlign w:val="center"/>
          </w:tcPr>
          <w:p w14:paraId="4D98F64D">
            <w:pPr>
              <w:widowControl/>
              <w:ind w:firstLine="0" w:firstLineChars="0"/>
              <w:jc w:val="left"/>
              <w:rPr>
                <w:rFonts w:eastAsia="宋体" w:cs="Times New Roman"/>
                <w:sz w:val="18"/>
                <w:szCs w:val="18"/>
              </w:rPr>
            </w:pPr>
            <w:r>
              <w:rPr>
                <w:rFonts w:eastAsia="宋体" w:cs="Times New Roman"/>
                <w:color w:val="000000"/>
                <w:kern w:val="0"/>
                <w:sz w:val="18"/>
                <w:szCs w:val="18"/>
                <w:lang w:bidi="ar"/>
              </w:rPr>
              <w:t>主要运维材料台账及放置位置</w:t>
            </w:r>
          </w:p>
        </w:tc>
      </w:tr>
      <w:tr w14:paraId="0538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35B48BE7">
            <w:pPr>
              <w:ind w:firstLine="0" w:firstLineChars="0"/>
              <w:jc w:val="center"/>
              <w:rPr>
                <w:rFonts w:eastAsia="宋体" w:cs="Times New Roman"/>
                <w:sz w:val="18"/>
                <w:szCs w:val="18"/>
              </w:rPr>
            </w:pPr>
            <w:r>
              <w:rPr>
                <w:rFonts w:eastAsia="宋体" w:cs="Times New Roman"/>
                <w:sz w:val="18"/>
                <w:szCs w:val="18"/>
              </w:rPr>
              <w:t>5</w:t>
            </w:r>
          </w:p>
        </w:tc>
        <w:tc>
          <w:tcPr>
            <w:tcW w:w="8735" w:type="dxa"/>
            <w:tcBorders>
              <w:top w:val="single" w:color="auto" w:sz="4" w:space="0"/>
              <w:left w:val="single" w:color="auto" w:sz="4" w:space="0"/>
              <w:bottom w:val="single" w:color="auto" w:sz="4" w:space="0"/>
              <w:right w:val="single" w:color="auto" w:sz="4" w:space="0"/>
            </w:tcBorders>
            <w:vAlign w:val="center"/>
          </w:tcPr>
          <w:p w14:paraId="23D24C63">
            <w:pPr>
              <w:widowControl/>
              <w:ind w:firstLine="0" w:firstLineChars="0"/>
              <w:jc w:val="left"/>
              <w:rPr>
                <w:rFonts w:eastAsia="宋体" w:cs="Times New Roman"/>
                <w:sz w:val="18"/>
                <w:szCs w:val="18"/>
              </w:rPr>
            </w:pPr>
            <w:r>
              <w:rPr>
                <w:rFonts w:eastAsia="宋体" w:cs="Times New Roman"/>
                <w:color w:val="000000"/>
                <w:kern w:val="0"/>
                <w:sz w:val="18"/>
                <w:szCs w:val="18"/>
                <w:lang w:bidi="ar"/>
              </w:rPr>
              <w:t>设备运维工具设备清单和校检记录</w:t>
            </w:r>
          </w:p>
        </w:tc>
      </w:tr>
      <w:tr w14:paraId="1E718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121853E6">
            <w:pPr>
              <w:ind w:firstLine="0" w:firstLineChars="0"/>
              <w:jc w:val="center"/>
              <w:rPr>
                <w:rFonts w:eastAsia="宋体" w:cs="Times New Roman"/>
                <w:sz w:val="18"/>
                <w:szCs w:val="18"/>
              </w:rPr>
            </w:pPr>
            <w:r>
              <w:rPr>
                <w:rFonts w:eastAsia="宋体" w:cs="Times New Roman"/>
                <w:sz w:val="18"/>
                <w:szCs w:val="18"/>
              </w:rPr>
              <w:t>6</w:t>
            </w:r>
          </w:p>
        </w:tc>
        <w:tc>
          <w:tcPr>
            <w:tcW w:w="8735" w:type="dxa"/>
            <w:tcBorders>
              <w:top w:val="single" w:color="auto" w:sz="4" w:space="0"/>
              <w:left w:val="single" w:color="auto" w:sz="4" w:space="0"/>
              <w:bottom w:val="single" w:color="auto" w:sz="4" w:space="0"/>
              <w:right w:val="single" w:color="auto" w:sz="4" w:space="0"/>
            </w:tcBorders>
            <w:vAlign w:val="center"/>
          </w:tcPr>
          <w:p w14:paraId="5084D1D6">
            <w:pPr>
              <w:widowControl/>
              <w:ind w:firstLine="0" w:firstLineChars="0"/>
              <w:jc w:val="left"/>
              <w:rPr>
                <w:rFonts w:eastAsia="宋体" w:cs="Times New Roman"/>
                <w:sz w:val="18"/>
                <w:szCs w:val="18"/>
              </w:rPr>
            </w:pPr>
            <w:r>
              <w:rPr>
                <w:rFonts w:eastAsia="宋体" w:cs="Times New Roman"/>
                <w:color w:val="000000"/>
                <w:kern w:val="0"/>
                <w:sz w:val="18"/>
                <w:szCs w:val="18"/>
                <w:lang w:bidi="ar"/>
              </w:rPr>
              <w:t>隐蔽部位内容检查验收记录和必要的图像资料</w:t>
            </w:r>
          </w:p>
        </w:tc>
      </w:tr>
      <w:tr w14:paraId="1784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FA9B649">
            <w:pPr>
              <w:ind w:firstLine="0" w:firstLineChars="0"/>
              <w:jc w:val="center"/>
              <w:rPr>
                <w:rFonts w:eastAsia="宋体" w:cs="Times New Roman"/>
                <w:sz w:val="18"/>
                <w:szCs w:val="18"/>
              </w:rPr>
            </w:pPr>
            <w:r>
              <w:rPr>
                <w:rFonts w:eastAsia="宋体" w:cs="Times New Roman"/>
                <w:sz w:val="18"/>
                <w:szCs w:val="18"/>
              </w:rPr>
              <w:t>7</w:t>
            </w:r>
          </w:p>
        </w:tc>
        <w:tc>
          <w:tcPr>
            <w:tcW w:w="8735" w:type="dxa"/>
            <w:tcBorders>
              <w:top w:val="single" w:color="auto" w:sz="4" w:space="0"/>
              <w:left w:val="single" w:color="auto" w:sz="4" w:space="0"/>
              <w:bottom w:val="single" w:color="auto" w:sz="4" w:space="0"/>
              <w:right w:val="single" w:color="auto" w:sz="4" w:space="0"/>
            </w:tcBorders>
            <w:vAlign w:val="center"/>
          </w:tcPr>
          <w:p w14:paraId="317C36B0">
            <w:pPr>
              <w:widowControl/>
              <w:ind w:firstLine="0" w:firstLineChars="0"/>
              <w:jc w:val="left"/>
              <w:rPr>
                <w:rFonts w:eastAsia="宋体" w:cs="Times New Roman"/>
                <w:sz w:val="18"/>
                <w:szCs w:val="18"/>
              </w:rPr>
            </w:pPr>
            <w:r>
              <w:rPr>
                <w:rFonts w:eastAsia="宋体" w:cs="Times New Roman"/>
                <w:color w:val="000000"/>
                <w:kern w:val="0"/>
                <w:sz w:val="18"/>
                <w:szCs w:val="18"/>
                <w:lang w:bidi="ar"/>
              </w:rPr>
              <w:t>综合调适全过程工作记录</w:t>
            </w:r>
          </w:p>
        </w:tc>
      </w:tr>
      <w:tr w14:paraId="30DD3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59DA0D9">
            <w:pPr>
              <w:ind w:firstLine="0" w:firstLineChars="0"/>
              <w:jc w:val="center"/>
              <w:rPr>
                <w:rFonts w:eastAsia="宋体" w:cs="Times New Roman"/>
                <w:sz w:val="18"/>
                <w:szCs w:val="18"/>
              </w:rPr>
            </w:pPr>
            <w:r>
              <w:rPr>
                <w:rFonts w:eastAsia="宋体" w:cs="Times New Roman"/>
                <w:sz w:val="18"/>
                <w:szCs w:val="18"/>
              </w:rPr>
              <w:t>8</w:t>
            </w:r>
          </w:p>
        </w:tc>
        <w:tc>
          <w:tcPr>
            <w:tcW w:w="8735" w:type="dxa"/>
            <w:tcBorders>
              <w:top w:val="single" w:color="auto" w:sz="4" w:space="0"/>
              <w:left w:val="single" w:color="auto" w:sz="4" w:space="0"/>
              <w:bottom w:val="single" w:color="auto" w:sz="4" w:space="0"/>
              <w:right w:val="single" w:color="auto" w:sz="4" w:space="0"/>
            </w:tcBorders>
            <w:vAlign w:val="center"/>
          </w:tcPr>
          <w:p w14:paraId="55376549">
            <w:pPr>
              <w:widowControl/>
              <w:ind w:firstLine="0" w:firstLineChars="0"/>
              <w:jc w:val="left"/>
              <w:rPr>
                <w:rFonts w:eastAsia="宋体" w:cs="Times New Roman"/>
                <w:sz w:val="18"/>
                <w:szCs w:val="18"/>
              </w:rPr>
            </w:pPr>
            <w:r>
              <w:rPr>
                <w:rFonts w:eastAsia="宋体" w:cs="Times New Roman"/>
                <w:color w:val="000000"/>
                <w:kern w:val="0"/>
                <w:sz w:val="18"/>
                <w:szCs w:val="18"/>
                <w:lang w:bidi="ar"/>
              </w:rPr>
              <w:t>设备的安装位置</w:t>
            </w:r>
          </w:p>
        </w:tc>
      </w:tr>
      <w:tr w14:paraId="6E515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3C033317">
            <w:pPr>
              <w:ind w:firstLine="0" w:firstLineChars="0"/>
              <w:jc w:val="center"/>
              <w:rPr>
                <w:rFonts w:eastAsia="宋体" w:cs="Times New Roman"/>
                <w:sz w:val="18"/>
                <w:szCs w:val="18"/>
              </w:rPr>
            </w:pPr>
            <w:r>
              <w:rPr>
                <w:rFonts w:eastAsia="宋体" w:cs="Times New Roman"/>
                <w:sz w:val="18"/>
                <w:szCs w:val="18"/>
              </w:rPr>
              <w:t>9</w:t>
            </w:r>
          </w:p>
        </w:tc>
        <w:tc>
          <w:tcPr>
            <w:tcW w:w="8735" w:type="dxa"/>
            <w:tcBorders>
              <w:top w:val="single" w:color="auto" w:sz="4" w:space="0"/>
              <w:left w:val="single" w:color="auto" w:sz="4" w:space="0"/>
              <w:bottom w:val="single" w:color="auto" w:sz="4" w:space="0"/>
              <w:right w:val="single" w:color="auto" w:sz="4" w:space="0"/>
            </w:tcBorders>
            <w:vAlign w:val="center"/>
          </w:tcPr>
          <w:p w14:paraId="17454D3F">
            <w:pPr>
              <w:widowControl/>
              <w:ind w:firstLine="0" w:firstLineChars="0"/>
              <w:jc w:val="left"/>
              <w:rPr>
                <w:rFonts w:eastAsia="宋体" w:cs="Times New Roman"/>
                <w:sz w:val="18"/>
                <w:szCs w:val="18"/>
              </w:rPr>
            </w:pPr>
            <w:r>
              <w:rPr>
                <w:rFonts w:eastAsia="宋体" w:cs="Times New Roman"/>
                <w:color w:val="000000"/>
                <w:kern w:val="0"/>
                <w:sz w:val="18"/>
                <w:szCs w:val="18"/>
                <w:lang w:bidi="ar"/>
              </w:rPr>
              <w:t>相关应用软件的运行环境、版本号和使用维护说明</w:t>
            </w:r>
          </w:p>
        </w:tc>
      </w:tr>
      <w:tr w14:paraId="327A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19EA1D04">
            <w:pPr>
              <w:ind w:firstLine="0" w:firstLineChars="0"/>
              <w:jc w:val="center"/>
              <w:rPr>
                <w:rFonts w:eastAsia="宋体" w:cs="Times New Roman"/>
                <w:sz w:val="18"/>
                <w:szCs w:val="18"/>
              </w:rPr>
            </w:pPr>
            <w:r>
              <w:rPr>
                <w:rFonts w:eastAsia="宋体" w:cs="Times New Roman"/>
                <w:sz w:val="18"/>
                <w:szCs w:val="18"/>
              </w:rPr>
              <w:t>10</w:t>
            </w:r>
          </w:p>
        </w:tc>
        <w:tc>
          <w:tcPr>
            <w:tcW w:w="8735" w:type="dxa"/>
            <w:tcBorders>
              <w:top w:val="single" w:color="auto" w:sz="4" w:space="0"/>
              <w:left w:val="single" w:color="auto" w:sz="4" w:space="0"/>
              <w:bottom w:val="single" w:color="auto" w:sz="4" w:space="0"/>
              <w:right w:val="single" w:color="auto" w:sz="4" w:space="0"/>
            </w:tcBorders>
            <w:vAlign w:val="center"/>
          </w:tcPr>
          <w:p w14:paraId="613DC464">
            <w:pPr>
              <w:widowControl/>
              <w:ind w:firstLine="0" w:firstLineChars="0"/>
              <w:jc w:val="left"/>
              <w:rPr>
                <w:rFonts w:eastAsia="宋体" w:cs="Times New Roman"/>
                <w:sz w:val="18"/>
                <w:szCs w:val="18"/>
              </w:rPr>
            </w:pPr>
            <w:r>
              <w:rPr>
                <w:rFonts w:eastAsia="宋体" w:cs="Times New Roman"/>
                <w:color w:val="000000"/>
                <w:kern w:val="0"/>
                <w:sz w:val="18"/>
                <w:szCs w:val="18"/>
                <w:lang w:bidi="ar"/>
              </w:rPr>
              <w:t>设备变更记录</w:t>
            </w:r>
          </w:p>
        </w:tc>
      </w:tr>
      <w:tr w14:paraId="26FE7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3CE20910">
            <w:pPr>
              <w:ind w:firstLine="0" w:firstLineChars="0"/>
              <w:jc w:val="center"/>
              <w:rPr>
                <w:rFonts w:eastAsia="宋体" w:cs="Times New Roman"/>
                <w:sz w:val="18"/>
                <w:szCs w:val="18"/>
              </w:rPr>
            </w:pPr>
            <w:r>
              <w:rPr>
                <w:rFonts w:eastAsia="宋体" w:cs="Times New Roman"/>
                <w:sz w:val="18"/>
                <w:szCs w:val="18"/>
              </w:rPr>
              <w:t>11</w:t>
            </w:r>
          </w:p>
        </w:tc>
        <w:tc>
          <w:tcPr>
            <w:tcW w:w="8735" w:type="dxa"/>
            <w:tcBorders>
              <w:top w:val="single" w:color="auto" w:sz="4" w:space="0"/>
              <w:left w:val="single" w:color="auto" w:sz="4" w:space="0"/>
              <w:bottom w:val="single" w:color="auto" w:sz="4" w:space="0"/>
              <w:right w:val="single" w:color="auto" w:sz="4" w:space="0"/>
            </w:tcBorders>
            <w:vAlign w:val="center"/>
          </w:tcPr>
          <w:p w14:paraId="742A3230">
            <w:pPr>
              <w:widowControl/>
              <w:ind w:firstLine="0" w:firstLineChars="0"/>
              <w:jc w:val="left"/>
              <w:rPr>
                <w:rFonts w:eastAsia="宋体" w:cs="Times New Roman"/>
                <w:sz w:val="18"/>
                <w:szCs w:val="18"/>
              </w:rPr>
            </w:pPr>
            <w:r>
              <w:rPr>
                <w:rFonts w:eastAsia="宋体" w:cs="Times New Roman"/>
                <w:color w:val="000000"/>
                <w:kern w:val="0"/>
                <w:sz w:val="18"/>
                <w:szCs w:val="18"/>
                <w:lang w:bidi="ar"/>
              </w:rPr>
              <w:t>设备安全检测报告</w:t>
            </w:r>
          </w:p>
        </w:tc>
      </w:tr>
      <w:tr w14:paraId="57C5F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5B566165">
            <w:pPr>
              <w:ind w:firstLine="0" w:firstLineChars="0"/>
              <w:jc w:val="center"/>
              <w:rPr>
                <w:rFonts w:eastAsia="宋体" w:cs="Times New Roman"/>
                <w:sz w:val="18"/>
                <w:szCs w:val="18"/>
              </w:rPr>
            </w:pPr>
            <w:r>
              <w:rPr>
                <w:rFonts w:eastAsia="宋体" w:cs="Times New Roman"/>
                <w:sz w:val="18"/>
                <w:szCs w:val="18"/>
              </w:rPr>
              <w:t>12</w:t>
            </w:r>
          </w:p>
        </w:tc>
        <w:tc>
          <w:tcPr>
            <w:tcW w:w="8735" w:type="dxa"/>
            <w:tcBorders>
              <w:top w:val="single" w:color="auto" w:sz="4" w:space="0"/>
              <w:left w:val="single" w:color="auto" w:sz="4" w:space="0"/>
              <w:bottom w:val="single" w:color="auto" w:sz="4" w:space="0"/>
              <w:right w:val="single" w:color="auto" w:sz="4" w:space="0"/>
            </w:tcBorders>
            <w:vAlign w:val="center"/>
          </w:tcPr>
          <w:p w14:paraId="227E321F">
            <w:pPr>
              <w:widowControl/>
              <w:ind w:firstLine="0" w:firstLineChars="0"/>
              <w:jc w:val="left"/>
              <w:rPr>
                <w:rFonts w:eastAsia="宋体" w:cs="Times New Roman"/>
                <w:sz w:val="18"/>
                <w:szCs w:val="18"/>
              </w:rPr>
            </w:pPr>
            <w:r>
              <w:rPr>
                <w:rFonts w:eastAsia="宋体" w:cs="Times New Roman"/>
                <w:color w:val="000000"/>
                <w:kern w:val="0"/>
                <w:sz w:val="18"/>
                <w:szCs w:val="18"/>
                <w:lang w:bidi="ar"/>
              </w:rPr>
              <w:t>综合调适报告</w:t>
            </w:r>
          </w:p>
        </w:tc>
      </w:tr>
      <w:tr w14:paraId="18615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002FF421">
            <w:pPr>
              <w:ind w:firstLine="0" w:firstLineChars="0"/>
              <w:jc w:val="center"/>
              <w:rPr>
                <w:rFonts w:eastAsia="宋体" w:cs="Times New Roman"/>
                <w:sz w:val="28"/>
                <w:szCs w:val="28"/>
              </w:rPr>
            </w:pPr>
          </w:p>
        </w:tc>
        <w:tc>
          <w:tcPr>
            <w:tcW w:w="8735" w:type="dxa"/>
            <w:tcBorders>
              <w:top w:val="single" w:color="auto" w:sz="4" w:space="0"/>
              <w:left w:val="single" w:color="auto" w:sz="4" w:space="0"/>
              <w:bottom w:val="single" w:color="auto" w:sz="4" w:space="0"/>
              <w:right w:val="single" w:color="auto" w:sz="4" w:space="0"/>
            </w:tcBorders>
            <w:vAlign w:val="center"/>
          </w:tcPr>
          <w:p w14:paraId="21B7F4BB">
            <w:pPr>
              <w:ind w:firstLine="0" w:firstLineChars="0"/>
              <w:jc w:val="left"/>
              <w:rPr>
                <w:rFonts w:eastAsia="宋体" w:cs="Times New Roman"/>
                <w:sz w:val="28"/>
                <w:szCs w:val="28"/>
              </w:rPr>
            </w:pPr>
          </w:p>
        </w:tc>
      </w:tr>
      <w:tr w14:paraId="5554E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3873867E">
            <w:pPr>
              <w:ind w:firstLine="0" w:firstLineChars="0"/>
              <w:jc w:val="center"/>
              <w:rPr>
                <w:rFonts w:eastAsia="宋体" w:cs="Times New Roman"/>
                <w:sz w:val="18"/>
                <w:szCs w:val="18"/>
              </w:rPr>
            </w:pPr>
          </w:p>
        </w:tc>
        <w:tc>
          <w:tcPr>
            <w:tcW w:w="8735" w:type="dxa"/>
            <w:tcBorders>
              <w:top w:val="single" w:color="auto" w:sz="4" w:space="0"/>
              <w:left w:val="single" w:color="auto" w:sz="4" w:space="0"/>
              <w:bottom w:val="single" w:color="auto" w:sz="4" w:space="0"/>
              <w:right w:val="single" w:color="auto" w:sz="4" w:space="0"/>
            </w:tcBorders>
            <w:vAlign w:val="center"/>
          </w:tcPr>
          <w:p w14:paraId="4A63C581">
            <w:pPr>
              <w:ind w:firstLine="0" w:firstLineChars="0"/>
              <w:jc w:val="left"/>
              <w:rPr>
                <w:rFonts w:eastAsia="宋体" w:cs="Times New Roman"/>
                <w:sz w:val="18"/>
                <w:szCs w:val="18"/>
              </w:rPr>
            </w:pPr>
          </w:p>
        </w:tc>
      </w:tr>
      <w:tr w14:paraId="52B69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27C48047">
            <w:pPr>
              <w:ind w:firstLine="0" w:firstLineChars="0"/>
              <w:jc w:val="center"/>
              <w:rPr>
                <w:rFonts w:eastAsia="宋体" w:cs="Times New Roman"/>
                <w:sz w:val="18"/>
                <w:szCs w:val="18"/>
              </w:rPr>
            </w:pPr>
          </w:p>
        </w:tc>
        <w:tc>
          <w:tcPr>
            <w:tcW w:w="8735" w:type="dxa"/>
            <w:tcBorders>
              <w:top w:val="single" w:color="auto" w:sz="4" w:space="0"/>
              <w:left w:val="single" w:color="auto" w:sz="4" w:space="0"/>
              <w:bottom w:val="single" w:color="auto" w:sz="4" w:space="0"/>
              <w:right w:val="single" w:color="auto" w:sz="4" w:space="0"/>
            </w:tcBorders>
            <w:vAlign w:val="center"/>
          </w:tcPr>
          <w:p w14:paraId="7C3E1571">
            <w:pPr>
              <w:ind w:firstLine="0" w:firstLineChars="0"/>
              <w:jc w:val="left"/>
              <w:rPr>
                <w:rFonts w:eastAsia="宋体" w:cs="Times New Roman"/>
                <w:sz w:val="18"/>
                <w:szCs w:val="18"/>
              </w:rPr>
            </w:pPr>
          </w:p>
        </w:tc>
      </w:tr>
      <w:tr w14:paraId="48E01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00647CF2">
            <w:pPr>
              <w:ind w:firstLine="0" w:firstLineChars="0"/>
              <w:jc w:val="center"/>
              <w:rPr>
                <w:rFonts w:eastAsia="宋体" w:cs="Times New Roman"/>
                <w:sz w:val="18"/>
                <w:szCs w:val="18"/>
              </w:rPr>
            </w:pPr>
          </w:p>
        </w:tc>
        <w:tc>
          <w:tcPr>
            <w:tcW w:w="8735" w:type="dxa"/>
            <w:tcBorders>
              <w:top w:val="single" w:color="auto" w:sz="4" w:space="0"/>
              <w:left w:val="single" w:color="auto" w:sz="4" w:space="0"/>
              <w:bottom w:val="single" w:color="auto" w:sz="4" w:space="0"/>
              <w:right w:val="single" w:color="auto" w:sz="4" w:space="0"/>
            </w:tcBorders>
            <w:vAlign w:val="center"/>
          </w:tcPr>
          <w:p w14:paraId="7C0C4EE1">
            <w:pPr>
              <w:ind w:firstLine="0" w:firstLineChars="0"/>
              <w:jc w:val="left"/>
              <w:rPr>
                <w:rFonts w:eastAsia="宋体" w:cs="Times New Roman"/>
                <w:sz w:val="18"/>
                <w:szCs w:val="18"/>
              </w:rPr>
            </w:pPr>
          </w:p>
        </w:tc>
      </w:tr>
    </w:tbl>
    <w:p w14:paraId="728D7A50">
      <w:pPr>
        <w:widowControl/>
        <w:spacing w:line="360" w:lineRule="auto"/>
        <w:ind w:firstLine="0" w:firstLineChars="0"/>
        <w:jc w:val="left"/>
        <w:rPr>
          <w:rFonts w:eastAsia="宋体" w:cs="Times New Roman"/>
          <w:bCs/>
          <w:sz w:val="24"/>
          <w:szCs w:val="21"/>
        </w:rPr>
      </w:pPr>
    </w:p>
    <w:p w14:paraId="3EDFA554">
      <w:pPr>
        <w:widowControl/>
        <w:spacing w:line="360" w:lineRule="auto"/>
        <w:ind w:firstLine="0" w:firstLineChars="0"/>
        <w:jc w:val="left"/>
        <w:rPr>
          <w:rFonts w:eastAsia="宋体" w:cs="Times New Roman"/>
          <w:bCs/>
          <w:sz w:val="24"/>
          <w:szCs w:val="21"/>
        </w:rPr>
      </w:pPr>
    </w:p>
    <w:p w14:paraId="33A732C2">
      <w:pPr>
        <w:widowControl/>
        <w:spacing w:line="360" w:lineRule="auto"/>
        <w:ind w:firstLine="0" w:firstLineChars="0"/>
        <w:jc w:val="left"/>
        <w:rPr>
          <w:rFonts w:eastAsia="宋体" w:cs="Times New Roman"/>
          <w:bCs/>
          <w:sz w:val="24"/>
          <w:szCs w:val="21"/>
        </w:rPr>
      </w:pPr>
    </w:p>
    <w:p w14:paraId="761506DD">
      <w:pPr>
        <w:widowControl/>
        <w:spacing w:line="360" w:lineRule="auto"/>
        <w:ind w:firstLine="0" w:firstLineChars="0"/>
        <w:jc w:val="left"/>
        <w:rPr>
          <w:rFonts w:eastAsia="宋体" w:cs="Times New Roman"/>
          <w:bCs/>
          <w:sz w:val="24"/>
          <w:szCs w:val="21"/>
        </w:rPr>
      </w:pPr>
    </w:p>
    <w:p w14:paraId="6094DE42">
      <w:pPr>
        <w:widowControl/>
        <w:spacing w:line="360" w:lineRule="auto"/>
        <w:ind w:firstLine="0" w:firstLineChars="0"/>
        <w:jc w:val="left"/>
        <w:rPr>
          <w:rFonts w:eastAsia="宋体" w:cs="Times New Roman"/>
          <w:bCs/>
          <w:sz w:val="24"/>
          <w:szCs w:val="21"/>
        </w:rPr>
      </w:pPr>
    </w:p>
    <w:p w14:paraId="31C6E502">
      <w:pPr>
        <w:widowControl/>
        <w:spacing w:line="360" w:lineRule="auto"/>
        <w:ind w:firstLine="0" w:firstLineChars="0"/>
        <w:jc w:val="left"/>
        <w:rPr>
          <w:rFonts w:eastAsia="宋体" w:cs="Times New Roman"/>
          <w:bCs/>
          <w:sz w:val="24"/>
          <w:szCs w:val="21"/>
        </w:rPr>
      </w:pPr>
    </w:p>
    <w:bookmarkEnd w:id="105"/>
    <w:p w14:paraId="3EFDB52B">
      <w:pPr>
        <w:keepNext/>
        <w:keepLines/>
        <w:spacing w:before="120" w:beforeLines="50" w:after="120" w:afterLines="50" w:line="360" w:lineRule="auto"/>
        <w:ind w:firstLine="0" w:firstLineChars="0"/>
        <w:jc w:val="center"/>
        <w:outlineLvl w:val="0"/>
        <w:rPr>
          <w:rFonts w:cs="Times New Roman" w:eastAsiaTheme="minorEastAsia"/>
          <w:b/>
          <w:bCs/>
          <w:color w:val="000000" w:themeColor="text1"/>
          <w:kern w:val="44"/>
          <w:sz w:val="30"/>
          <w:szCs w:val="30"/>
          <w14:textFill>
            <w14:solidFill>
              <w14:schemeClr w14:val="tx1"/>
            </w14:solidFill>
          </w14:textFill>
        </w:rPr>
      </w:pPr>
      <w:bookmarkStart w:id="121" w:name="_Toc192799324"/>
      <w:r>
        <w:rPr>
          <w:rFonts w:hint="eastAsia" w:ascii="宋体" w:hAnsi="宋体" w:eastAsia="宋体" w:cs="宋体"/>
          <w:b/>
          <w:bCs/>
          <w:color w:val="000000" w:themeColor="text1"/>
          <w:kern w:val="44"/>
          <w:sz w:val="30"/>
          <w:szCs w:val="30"/>
          <w14:textFill>
            <w14:solidFill>
              <w14:schemeClr w14:val="tx1"/>
            </w14:solidFill>
          </w14:textFill>
        </w:rPr>
        <w:t>本标准用词说明</w:t>
      </w:r>
      <w:bookmarkEnd w:id="121"/>
    </w:p>
    <w:p w14:paraId="09C92DFB">
      <w:pPr>
        <w:spacing w:line="360" w:lineRule="auto"/>
        <w:ind w:firstLine="420"/>
        <w:jc w:val="left"/>
        <w:rPr>
          <w:rFonts w:eastAsia="宋体" w:cs="Times New Roman"/>
          <w:bCs/>
          <w:kern w:val="0"/>
          <w:sz w:val="21"/>
          <w:szCs w:val="21"/>
        </w:rPr>
      </w:pPr>
      <w:r>
        <w:rPr>
          <w:rFonts w:cs="Times New Roman" w:eastAsiaTheme="minorEastAsia"/>
          <w:bCs/>
          <w:sz w:val="21"/>
          <w:szCs w:val="21"/>
        </w:rPr>
        <w:t xml:space="preserve">1 </w:t>
      </w:r>
      <w:r>
        <w:rPr>
          <w:rFonts w:eastAsia="宋体" w:cs="Times New Roman"/>
          <w:bCs/>
          <w:kern w:val="0"/>
          <w:sz w:val="21"/>
          <w:szCs w:val="21"/>
        </w:rPr>
        <w:t>为便于在执行本规范条文时区别对待，对要求严格程度不同的用词说明如下：</w:t>
      </w:r>
    </w:p>
    <w:p w14:paraId="266A4199">
      <w:pPr>
        <w:numPr>
          <w:ilvl w:val="0"/>
          <w:numId w:val="1"/>
        </w:numPr>
        <w:spacing w:line="360" w:lineRule="auto"/>
        <w:ind w:firstLine="743" w:firstLineChars="354"/>
        <w:jc w:val="left"/>
        <w:rPr>
          <w:rFonts w:eastAsia="宋体" w:cs="Times New Roman"/>
          <w:bCs/>
          <w:kern w:val="0"/>
          <w:sz w:val="21"/>
          <w:szCs w:val="21"/>
        </w:rPr>
      </w:pPr>
      <w:r>
        <w:rPr>
          <w:rFonts w:eastAsia="宋体" w:cs="Times New Roman"/>
          <w:bCs/>
          <w:kern w:val="0"/>
          <w:sz w:val="21"/>
          <w:szCs w:val="21"/>
        </w:rPr>
        <w:t>表示很严格，非这样做不可的：</w:t>
      </w:r>
    </w:p>
    <w:p w14:paraId="64857C33">
      <w:pPr>
        <w:spacing w:line="360" w:lineRule="auto"/>
        <w:ind w:firstLine="743" w:firstLineChars="354"/>
        <w:jc w:val="left"/>
        <w:rPr>
          <w:rFonts w:eastAsia="宋体" w:cs="Times New Roman"/>
          <w:bCs/>
          <w:kern w:val="0"/>
          <w:sz w:val="21"/>
          <w:szCs w:val="21"/>
        </w:rPr>
      </w:pPr>
      <w:r>
        <w:rPr>
          <w:rFonts w:eastAsia="宋体" w:cs="Times New Roman"/>
          <w:bCs/>
          <w:kern w:val="0"/>
          <w:sz w:val="21"/>
          <w:szCs w:val="21"/>
        </w:rPr>
        <w:t>正面词采用“必须”，反面词采用“严禁”；</w:t>
      </w:r>
    </w:p>
    <w:p w14:paraId="548D3661">
      <w:pPr>
        <w:numPr>
          <w:ilvl w:val="0"/>
          <w:numId w:val="1"/>
        </w:numPr>
        <w:spacing w:line="360" w:lineRule="auto"/>
        <w:ind w:firstLine="743" w:firstLineChars="354"/>
        <w:jc w:val="left"/>
        <w:rPr>
          <w:rFonts w:eastAsia="宋体" w:cs="Times New Roman"/>
          <w:bCs/>
          <w:kern w:val="0"/>
          <w:sz w:val="21"/>
          <w:szCs w:val="21"/>
        </w:rPr>
      </w:pPr>
      <w:r>
        <w:rPr>
          <w:rFonts w:eastAsia="宋体" w:cs="Times New Roman"/>
          <w:bCs/>
          <w:kern w:val="0"/>
          <w:sz w:val="21"/>
          <w:szCs w:val="21"/>
        </w:rPr>
        <w:t>表示严格，在正常情况下均应这样做的：</w:t>
      </w:r>
    </w:p>
    <w:p w14:paraId="6BBDE3A8">
      <w:pPr>
        <w:spacing w:line="360" w:lineRule="auto"/>
        <w:ind w:firstLine="743" w:firstLineChars="354"/>
        <w:jc w:val="left"/>
        <w:rPr>
          <w:rFonts w:eastAsia="宋体" w:cs="Times New Roman"/>
          <w:bCs/>
          <w:kern w:val="0"/>
          <w:sz w:val="21"/>
          <w:szCs w:val="21"/>
        </w:rPr>
      </w:pPr>
      <w:r>
        <w:rPr>
          <w:rFonts w:eastAsia="宋体" w:cs="Times New Roman"/>
          <w:bCs/>
          <w:kern w:val="0"/>
          <w:sz w:val="21"/>
          <w:szCs w:val="21"/>
        </w:rPr>
        <w:t>正面词采用“应”，反面词采用“不应”或“不得”；</w:t>
      </w:r>
    </w:p>
    <w:p w14:paraId="3A108FA5">
      <w:pPr>
        <w:numPr>
          <w:ilvl w:val="0"/>
          <w:numId w:val="1"/>
        </w:numPr>
        <w:spacing w:line="360" w:lineRule="auto"/>
        <w:ind w:firstLine="743" w:firstLineChars="354"/>
        <w:jc w:val="left"/>
        <w:rPr>
          <w:rFonts w:eastAsia="宋体" w:cs="Times New Roman"/>
          <w:bCs/>
          <w:kern w:val="0"/>
          <w:sz w:val="21"/>
          <w:szCs w:val="21"/>
        </w:rPr>
      </w:pPr>
      <w:r>
        <w:rPr>
          <w:rFonts w:eastAsia="宋体" w:cs="Times New Roman"/>
          <w:bCs/>
          <w:kern w:val="0"/>
          <w:sz w:val="21"/>
          <w:szCs w:val="21"/>
        </w:rPr>
        <w:t>表示允许稍有选择，在条件许可时首先应这样做的：</w:t>
      </w:r>
    </w:p>
    <w:p w14:paraId="39EEC19C">
      <w:pPr>
        <w:spacing w:line="360" w:lineRule="auto"/>
        <w:ind w:firstLine="743" w:firstLineChars="354"/>
        <w:jc w:val="left"/>
        <w:rPr>
          <w:rFonts w:eastAsia="宋体" w:cs="Times New Roman"/>
          <w:bCs/>
          <w:kern w:val="0"/>
          <w:sz w:val="21"/>
          <w:szCs w:val="21"/>
        </w:rPr>
      </w:pPr>
      <w:r>
        <w:rPr>
          <w:rFonts w:eastAsia="宋体" w:cs="Times New Roman"/>
          <w:bCs/>
          <w:kern w:val="0"/>
          <w:sz w:val="21"/>
          <w:szCs w:val="21"/>
        </w:rPr>
        <w:t>正面词采用“宜”，反面词采用“不宜”；</w:t>
      </w:r>
    </w:p>
    <w:p w14:paraId="70949158">
      <w:pPr>
        <w:numPr>
          <w:ilvl w:val="0"/>
          <w:numId w:val="1"/>
        </w:numPr>
        <w:spacing w:line="360" w:lineRule="auto"/>
        <w:ind w:firstLine="743" w:firstLineChars="354"/>
        <w:jc w:val="left"/>
        <w:rPr>
          <w:rFonts w:eastAsia="宋体" w:cs="Times New Roman"/>
          <w:bCs/>
          <w:kern w:val="0"/>
          <w:sz w:val="21"/>
          <w:szCs w:val="21"/>
        </w:rPr>
      </w:pPr>
      <w:r>
        <w:rPr>
          <w:rFonts w:eastAsia="宋体" w:cs="Times New Roman"/>
          <w:bCs/>
          <w:kern w:val="0"/>
          <w:sz w:val="21"/>
          <w:szCs w:val="21"/>
        </w:rPr>
        <w:t>表示有选择，在一定条件下可以这样做的，采用“可”。</w:t>
      </w:r>
    </w:p>
    <w:p w14:paraId="28A74AA0">
      <w:pPr>
        <w:spacing w:line="360" w:lineRule="auto"/>
        <w:ind w:firstLine="420"/>
        <w:jc w:val="left"/>
        <w:rPr>
          <w:rFonts w:eastAsia="宋体" w:cs="Times New Roman"/>
          <w:bCs/>
          <w:kern w:val="0"/>
          <w:sz w:val="21"/>
          <w:szCs w:val="21"/>
        </w:rPr>
        <w:sectPr>
          <w:footerReference r:id="rId9" w:type="default"/>
          <w:pgSz w:w="11910" w:h="16840"/>
          <w:pgMar w:top="2410" w:right="1134" w:bottom="1134" w:left="1134" w:header="720" w:footer="720" w:gutter="0"/>
          <w:cols w:space="720" w:num="1"/>
          <w:docGrid w:linePitch="286" w:charSpace="0"/>
        </w:sectPr>
      </w:pPr>
      <w:r>
        <w:rPr>
          <w:rFonts w:cs="Times New Roman" w:eastAsiaTheme="minorEastAsia"/>
          <w:bCs/>
          <w:sz w:val="21"/>
          <w:szCs w:val="21"/>
        </w:rPr>
        <w:t xml:space="preserve">2 </w:t>
      </w:r>
      <w:r>
        <w:rPr>
          <w:rFonts w:eastAsia="宋体" w:cs="Times New Roman"/>
          <w:bCs/>
          <w:kern w:val="0"/>
          <w:sz w:val="21"/>
          <w:szCs w:val="21"/>
        </w:rPr>
        <w:t>条文中指明应按其他有关标准执行的写法为：“应符合……的规定”或“应按……执行”。</w:t>
      </w:r>
    </w:p>
    <w:p w14:paraId="1E420CB3">
      <w:pPr>
        <w:keepNext/>
        <w:keepLines/>
        <w:spacing w:before="156" w:beforeLines="50" w:after="156" w:afterLines="50" w:line="360" w:lineRule="auto"/>
        <w:ind w:firstLine="0" w:firstLineChars="0"/>
        <w:jc w:val="center"/>
        <w:outlineLvl w:val="0"/>
        <w:rPr>
          <w:rFonts w:cs="Times New Roman" w:eastAsiaTheme="minorEastAsia"/>
          <w:b/>
          <w:bCs/>
          <w:color w:val="000000" w:themeColor="text1"/>
          <w:kern w:val="44"/>
          <w:sz w:val="30"/>
          <w:szCs w:val="30"/>
          <w14:textFill>
            <w14:solidFill>
              <w14:schemeClr w14:val="tx1"/>
            </w14:solidFill>
          </w14:textFill>
        </w:rPr>
      </w:pPr>
      <w:bookmarkStart w:id="122" w:name="_Toc172221078"/>
      <w:bookmarkStart w:id="123" w:name="_Toc192799325"/>
      <w:r>
        <w:rPr>
          <w:rFonts w:hint="eastAsia" w:ascii="宋体" w:hAnsi="宋体" w:eastAsia="宋体" w:cs="宋体"/>
          <w:b/>
          <w:bCs/>
          <w:color w:val="000000" w:themeColor="text1"/>
          <w:kern w:val="44"/>
          <w:sz w:val="30"/>
          <w:szCs w:val="30"/>
          <w14:textFill>
            <w14:solidFill>
              <w14:schemeClr w14:val="tx1"/>
            </w14:solidFill>
          </w14:textFill>
        </w:rPr>
        <w:t>引用标准名录</w:t>
      </w:r>
      <w:bookmarkEnd w:id="122"/>
      <w:bookmarkEnd w:id="123"/>
    </w:p>
    <w:bookmarkEnd w:id="8"/>
    <w:bookmarkEnd w:id="9"/>
    <w:bookmarkEnd w:id="10"/>
    <w:bookmarkEnd w:id="11"/>
    <w:bookmarkEnd w:id="12"/>
    <w:bookmarkEnd w:id="13"/>
    <w:bookmarkEnd w:id="14"/>
    <w:bookmarkEnd w:id="15"/>
    <w:bookmarkEnd w:id="16"/>
    <w:bookmarkEnd w:id="17"/>
    <w:bookmarkEnd w:id="18"/>
    <w:bookmarkEnd w:id="19"/>
    <w:p w14:paraId="747A4804">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《外壳防护等级(IP代码)》</w:t>
      </w:r>
      <w:r>
        <w:rPr>
          <w:rFonts w:cs="Times New Roman" w:eastAsiaTheme="minorEastAsia"/>
          <w:iCs/>
          <w:sz w:val="21"/>
          <w:szCs w:val="21"/>
        </w:rPr>
        <w:t>GB/T 4208</w:t>
      </w:r>
    </w:p>
    <w:p w14:paraId="0AADBE4B">
      <w:pPr>
        <w:adjustRightInd w:val="0"/>
        <w:snapToGrid w:val="0"/>
        <w:spacing w:line="360" w:lineRule="auto"/>
        <w:ind w:firstLine="0" w:firstLineChars="0"/>
        <w:jc w:val="left"/>
        <w:rPr>
          <w:rFonts w:eastAsia="宋体" w:cs="Times New Roman"/>
          <w:sz w:val="21"/>
          <w:szCs w:val="21"/>
        </w:rPr>
      </w:pPr>
      <w:r>
        <w:rPr>
          <w:rFonts w:eastAsia="宋体" w:cs="Times New Roman"/>
          <w:sz w:val="21"/>
          <w:szCs w:val="21"/>
        </w:rPr>
        <w:t>《无损检测 金属管道熔化焊环向对接接头射线照相检测方法》</w:t>
      </w:r>
      <w:r>
        <w:rPr>
          <w:rFonts w:cs="Times New Roman" w:eastAsiaTheme="minorEastAsia"/>
          <w:iCs/>
          <w:sz w:val="21"/>
          <w:szCs w:val="21"/>
        </w:rPr>
        <w:t>GB/T 12605</w:t>
      </w:r>
    </w:p>
    <w:p w14:paraId="693CA2EF">
      <w:pPr>
        <w:adjustRightInd w:val="0"/>
        <w:snapToGrid w:val="0"/>
        <w:spacing w:line="360" w:lineRule="auto"/>
        <w:ind w:left="420" w:hanging="420" w:hangingChars="200"/>
        <w:jc w:val="left"/>
        <w:rPr>
          <w:rFonts w:cs="Times New Roman" w:eastAsiaTheme="minorEastAsia"/>
          <w:iCs/>
          <w:sz w:val="21"/>
          <w:szCs w:val="21"/>
        </w:rPr>
      </w:pPr>
      <w:r>
        <w:rPr>
          <w:rFonts w:eastAsia="宋体" w:cs="Times New Roman"/>
          <w:sz w:val="21"/>
          <w:szCs w:val="21"/>
        </w:rPr>
        <w:t>《可燃气体探测器第1部分：工业及商业用途点型可燃气体探测器》</w:t>
      </w:r>
      <w:r>
        <w:rPr>
          <w:rFonts w:cs="Times New Roman" w:eastAsiaTheme="minorEastAsia"/>
          <w:iCs/>
          <w:sz w:val="21"/>
          <w:szCs w:val="21"/>
        </w:rPr>
        <w:t>GB 15322.1</w:t>
      </w:r>
    </w:p>
    <w:p w14:paraId="1D4B65FD">
      <w:pPr>
        <w:adjustRightInd w:val="0"/>
        <w:snapToGrid w:val="0"/>
        <w:spacing w:line="360" w:lineRule="auto"/>
        <w:ind w:left="420" w:hanging="420" w:hangingChars="200"/>
        <w:jc w:val="left"/>
        <w:rPr>
          <w:rFonts w:cs="Times New Roman" w:eastAsiaTheme="minorEastAsia"/>
          <w:iCs/>
          <w:sz w:val="21"/>
          <w:szCs w:val="21"/>
        </w:rPr>
      </w:pPr>
      <w:r>
        <w:rPr>
          <w:rFonts w:eastAsia="宋体" w:cs="Times New Roman"/>
          <w:sz w:val="21"/>
          <w:szCs w:val="21"/>
        </w:rPr>
        <w:t>《可燃气体探测器第2部分：家用可燃气体探测器》</w:t>
      </w:r>
      <w:r>
        <w:rPr>
          <w:rFonts w:cs="Times New Roman" w:eastAsiaTheme="minorEastAsia"/>
          <w:iCs/>
          <w:sz w:val="21"/>
          <w:szCs w:val="21"/>
        </w:rPr>
        <w:t>GB 15322.2</w:t>
      </w:r>
    </w:p>
    <w:p w14:paraId="498E381B">
      <w:pPr>
        <w:adjustRightInd w:val="0"/>
        <w:snapToGrid w:val="0"/>
        <w:spacing w:line="360" w:lineRule="auto"/>
        <w:ind w:left="420" w:hanging="420" w:hangingChars="200"/>
        <w:jc w:val="left"/>
        <w:rPr>
          <w:rFonts w:cs="Times New Roman" w:eastAsiaTheme="minorEastAsia"/>
          <w:iCs/>
          <w:sz w:val="21"/>
          <w:szCs w:val="21"/>
        </w:rPr>
      </w:pPr>
      <w:r>
        <w:rPr>
          <w:rFonts w:eastAsia="宋体" w:cs="Times New Roman"/>
          <w:sz w:val="21"/>
          <w:szCs w:val="21"/>
        </w:rPr>
        <w:t>《可燃气体探测器第3部分：工业及商业用途便携式可燃气体探测器》</w:t>
      </w:r>
      <w:r>
        <w:rPr>
          <w:rFonts w:cs="Times New Roman" w:eastAsiaTheme="minorEastAsia"/>
          <w:iCs/>
          <w:sz w:val="21"/>
          <w:szCs w:val="21"/>
        </w:rPr>
        <w:t>GB 15322.3</w:t>
      </w:r>
    </w:p>
    <w:p w14:paraId="3A416444">
      <w:pPr>
        <w:adjustRightInd w:val="0"/>
        <w:snapToGrid w:val="0"/>
        <w:spacing w:line="360" w:lineRule="auto"/>
        <w:ind w:left="420" w:hanging="420" w:hangingChars="200"/>
        <w:jc w:val="left"/>
        <w:rPr>
          <w:rFonts w:cs="Times New Roman" w:eastAsiaTheme="minorEastAsia"/>
          <w:iCs/>
          <w:sz w:val="21"/>
          <w:szCs w:val="21"/>
        </w:rPr>
      </w:pPr>
      <w:r>
        <w:rPr>
          <w:rFonts w:eastAsia="宋体" w:cs="Times New Roman"/>
          <w:sz w:val="21"/>
          <w:szCs w:val="21"/>
        </w:rPr>
        <w:t>《可燃气体探测器第4部分：工业及商业用途线型光束可燃气体探测器》</w:t>
      </w:r>
      <w:r>
        <w:rPr>
          <w:rFonts w:cs="Times New Roman" w:eastAsiaTheme="minorEastAsia"/>
          <w:iCs/>
          <w:sz w:val="21"/>
          <w:szCs w:val="21"/>
        </w:rPr>
        <w:t>GB 15322.4</w:t>
      </w:r>
    </w:p>
    <w:p w14:paraId="5EFD52F8">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《计算机信息系统安全保护等级划分准则》</w:t>
      </w:r>
      <w:r>
        <w:rPr>
          <w:rFonts w:cs="Times New Roman" w:eastAsiaTheme="minorEastAsia"/>
          <w:iCs/>
          <w:sz w:val="21"/>
          <w:szCs w:val="21"/>
        </w:rPr>
        <w:t>GB 17859</w:t>
      </w:r>
    </w:p>
    <w:p w14:paraId="6A7961C3">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《信息安全技术网络安全等级保护实施指南》</w:t>
      </w:r>
      <w:r>
        <w:rPr>
          <w:rFonts w:cs="Times New Roman" w:eastAsiaTheme="minorEastAsia"/>
          <w:iCs/>
          <w:sz w:val="21"/>
          <w:szCs w:val="21"/>
        </w:rPr>
        <w:t>GB/T 25058</w:t>
      </w:r>
    </w:p>
    <w:p w14:paraId="7F547F46">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《风险管理 风险评估技术》</w:t>
      </w:r>
      <w:r>
        <w:rPr>
          <w:rFonts w:cs="Times New Roman" w:eastAsiaTheme="minorEastAsia"/>
          <w:iCs/>
          <w:sz w:val="21"/>
          <w:szCs w:val="21"/>
        </w:rPr>
        <w:t>GB/T 27921</w:t>
      </w:r>
    </w:p>
    <w:p w14:paraId="0C976976">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《软件系统验收规范》</w:t>
      </w:r>
      <w:r>
        <w:rPr>
          <w:rFonts w:cs="Times New Roman" w:eastAsiaTheme="minorEastAsia"/>
          <w:iCs/>
          <w:sz w:val="21"/>
          <w:szCs w:val="21"/>
        </w:rPr>
        <w:t>GB/T 28035</w:t>
      </w:r>
    </w:p>
    <w:p w14:paraId="618CBDDB">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《信息技术服务运行维护》</w:t>
      </w:r>
      <w:r>
        <w:rPr>
          <w:rFonts w:cs="Times New Roman" w:eastAsiaTheme="minorEastAsia"/>
          <w:iCs/>
          <w:sz w:val="21"/>
          <w:szCs w:val="21"/>
        </w:rPr>
        <w:t>GB/T 28827</w:t>
      </w:r>
    </w:p>
    <w:p w14:paraId="15EE2ED6">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《电缆及光缆燃烧性能分级》</w:t>
      </w:r>
      <w:r>
        <w:rPr>
          <w:rFonts w:cs="Times New Roman" w:eastAsiaTheme="minorEastAsia"/>
          <w:iCs/>
          <w:sz w:val="21"/>
          <w:szCs w:val="21"/>
        </w:rPr>
        <w:t>GB 31247</w:t>
      </w:r>
    </w:p>
    <w:p w14:paraId="4A1AF01D">
      <w:pPr>
        <w:adjustRightInd w:val="0"/>
        <w:snapToGrid w:val="0"/>
        <w:spacing w:line="360" w:lineRule="auto"/>
        <w:ind w:firstLine="0" w:firstLineChars="0"/>
        <w:jc w:val="left"/>
        <w:rPr>
          <w:rFonts w:cs="Times New Roman" w:eastAsiaTheme="minorEastAsia"/>
          <w:iCs/>
          <w:sz w:val="21"/>
          <w:szCs w:val="21"/>
        </w:rPr>
      </w:pPr>
      <w:r>
        <w:rPr>
          <w:rFonts w:eastAsia="宋体" w:cs="Times New Roman"/>
          <w:bCs/>
          <w:sz w:val="21"/>
          <w:szCs w:val="21"/>
        </w:rPr>
        <w:t>《智慧城市 数据融合》</w:t>
      </w:r>
      <w:r>
        <w:rPr>
          <w:rFonts w:cs="Times New Roman" w:eastAsiaTheme="minorEastAsia"/>
          <w:iCs/>
          <w:sz w:val="21"/>
          <w:szCs w:val="21"/>
        </w:rPr>
        <w:t>GB/T 36625</w:t>
      </w:r>
    </w:p>
    <w:p w14:paraId="64B520E3">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《信息安全技术物联网数据传输安全技术要求》</w:t>
      </w:r>
      <w:r>
        <w:rPr>
          <w:rFonts w:cs="Times New Roman" w:eastAsiaTheme="minorEastAsia"/>
          <w:iCs/>
          <w:sz w:val="21"/>
          <w:szCs w:val="21"/>
        </w:rPr>
        <w:t>GB/T 37025</w:t>
      </w:r>
    </w:p>
    <w:p w14:paraId="6A10E5CC">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《城镇燃气设计规范》</w:t>
      </w:r>
      <w:r>
        <w:rPr>
          <w:rFonts w:cs="Times New Roman" w:eastAsiaTheme="minorEastAsia"/>
          <w:iCs/>
          <w:sz w:val="21"/>
          <w:szCs w:val="21"/>
        </w:rPr>
        <w:t>GB 50028</w:t>
      </w:r>
    </w:p>
    <w:p w14:paraId="34B9C5EA">
      <w:pPr>
        <w:adjustRightInd w:val="0"/>
        <w:snapToGrid w:val="0"/>
        <w:spacing w:line="360" w:lineRule="auto"/>
        <w:ind w:firstLine="0" w:firstLineChars="0"/>
        <w:jc w:val="left"/>
        <w:rPr>
          <w:rFonts w:cs="Times New Roman" w:eastAsiaTheme="minorEastAsia"/>
          <w:iCs/>
          <w:sz w:val="21"/>
          <w:szCs w:val="21"/>
        </w:rPr>
      </w:pPr>
      <w:r>
        <w:rPr>
          <w:rFonts w:eastAsia="宋体" w:cs="Times New Roman"/>
          <w:bCs/>
          <w:sz w:val="21"/>
          <w:szCs w:val="21"/>
        </w:rPr>
        <w:t>《室外给水排水和燃气热力工程抗震设计规范》</w:t>
      </w:r>
      <w:r>
        <w:rPr>
          <w:rFonts w:cs="Times New Roman" w:eastAsiaTheme="minorEastAsia"/>
          <w:iCs/>
          <w:sz w:val="21"/>
          <w:szCs w:val="21"/>
        </w:rPr>
        <w:t xml:space="preserve"> GB 50032</w:t>
      </w:r>
    </w:p>
    <w:p w14:paraId="093A1B92">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《建筑物防雷设计规范》</w:t>
      </w:r>
      <w:r>
        <w:rPr>
          <w:rFonts w:cs="Times New Roman" w:eastAsiaTheme="minorEastAsia"/>
          <w:iCs/>
          <w:sz w:val="21"/>
          <w:szCs w:val="21"/>
        </w:rPr>
        <w:t>GB 50057</w:t>
      </w:r>
    </w:p>
    <w:p w14:paraId="54DE33E6">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《数据中心设计规范》</w:t>
      </w:r>
      <w:r>
        <w:rPr>
          <w:rFonts w:cs="Times New Roman" w:eastAsiaTheme="minorEastAsia"/>
          <w:iCs/>
          <w:sz w:val="21"/>
          <w:szCs w:val="21"/>
        </w:rPr>
        <w:t>GB 50174</w:t>
      </w:r>
    </w:p>
    <w:p w14:paraId="3CEA0E3B">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《综合布线系统工程设计规范》</w:t>
      </w:r>
      <w:r>
        <w:rPr>
          <w:rFonts w:cs="Times New Roman" w:eastAsiaTheme="minorEastAsia"/>
          <w:iCs/>
          <w:sz w:val="21"/>
          <w:szCs w:val="21"/>
        </w:rPr>
        <w:t>GB 50311</w:t>
      </w:r>
    </w:p>
    <w:p w14:paraId="5834DD24">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《建设工程文件归档整理规范》</w:t>
      </w:r>
      <w:r>
        <w:rPr>
          <w:rFonts w:cs="Times New Roman" w:eastAsiaTheme="minorEastAsia"/>
          <w:iCs/>
          <w:sz w:val="21"/>
          <w:szCs w:val="21"/>
        </w:rPr>
        <w:t>GB/T 50328</w:t>
      </w:r>
    </w:p>
    <w:p w14:paraId="2737EE0E">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《建筑物电子信息系统防雷技术规范》</w:t>
      </w:r>
      <w:r>
        <w:rPr>
          <w:rFonts w:cs="Times New Roman" w:eastAsiaTheme="minorEastAsia"/>
          <w:iCs/>
          <w:sz w:val="21"/>
          <w:szCs w:val="21"/>
        </w:rPr>
        <w:t>GB 50343</w:t>
      </w:r>
    </w:p>
    <w:p w14:paraId="49A84A8D">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《通信管道与通道工程设计标准》</w:t>
      </w:r>
      <w:r>
        <w:rPr>
          <w:rFonts w:cs="Times New Roman" w:eastAsiaTheme="minorEastAsia"/>
          <w:iCs/>
          <w:sz w:val="21"/>
          <w:szCs w:val="21"/>
        </w:rPr>
        <w:t>GB 50373</w:t>
      </w:r>
    </w:p>
    <w:p w14:paraId="1C3ADF4C">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《数据中心基础设施施工及验收标准》</w:t>
      </w:r>
      <w:r>
        <w:rPr>
          <w:rFonts w:cs="Times New Roman" w:eastAsiaTheme="minorEastAsia"/>
          <w:iCs/>
          <w:sz w:val="21"/>
          <w:szCs w:val="21"/>
        </w:rPr>
        <w:t>GB 50462</w:t>
      </w:r>
    </w:p>
    <w:p w14:paraId="2ADF8928">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《通信局(站)防雷接地工程设计规范》</w:t>
      </w:r>
      <w:r>
        <w:rPr>
          <w:rFonts w:cs="Times New Roman" w:eastAsiaTheme="minorEastAsia"/>
          <w:iCs/>
          <w:sz w:val="21"/>
          <w:szCs w:val="21"/>
        </w:rPr>
        <w:t>GB 50689</w:t>
      </w:r>
    </w:p>
    <w:p w14:paraId="5705985D">
      <w:pPr>
        <w:adjustRightInd w:val="0"/>
        <w:snapToGrid w:val="0"/>
        <w:spacing w:line="360" w:lineRule="auto"/>
        <w:ind w:firstLine="0" w:firstLineChars="0"/>
        <w:jc w:val="left"/>
        <w:rPr>
          <w:rFonts w:eastAsia="宋体" w:cs="Times New Roman"/>
          <w:sz w:val="21"/>
          <w:szCs w:val="21"/>
        </w:rPr>
      </w:pPr>
      <w:r>
        <w:rPr>
          <w:rFonts w:hint="eastAsia" w:eastAsia="宋体" w:cs="Times New Roman"/>
          <w:sz w:val="21"/>
          <w:szCs w:val="21"/>
        </w:rPr>
        <w:t>《城市综合管廊工程技术规范》GB 50838</w:t>
      </w:r>
    </w:p>
    <w:p w14:paraId="1B556300">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《住宅区和住宅建筑内光纤到户通信设施工程设计规范》</w:t>
      </w:r>
      <w:r>
        <w:rPr>
          <w:rFonts w:cs="Times New Roman" w:eastAsiaTheme="minorEastAsia"/>
          <w:iCs/>
          <w:sz w:val="21"/>
          <w:szCs w:val="21"/>
        </w:rPr>
        <w:t>GB 50846</w:t>
      </w:r>
    </w:p>
    <w:p w14:paraId="446FD58F">
      <w:pPr>
        <w:adjustRightInd w:val="0"/>
        <w:snapToGrid w:val="0"/>
        <w:spacing w:line="360" w:lineRule="auto"/>
        <w:ind w:firstLine="0" w:firstLineChars="0"/>
        <w:jc w:val="left"/>
        <w:rPr>
          <w:rFonts w:eastAsia="宋体" w:cs="Times New Roman"/>
          <w:sz w:val="21"/>
          <w:szCs w:val="21"/>
        </w:rPr>
      </w:pPr>
      <w:r>
        <w:rPr>
          <w:rFonts w:hint="eastAsia" w:eastAsia="宋体" w:cs="Times New Roman"/>
          <w:sz w:val="21"/>
          <w:szCs w:val="21"/>
        </w:rPr>
        <w:t>《消防给水及消火栓系统技术规范》GB 50974</w:t>
      </w:r>
    </w:p>
    <w:p w14:paraId="6E8B6599">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《建筑与桥梁结构监测技术规范》</w:t>
      </w:r>
      <w:r>
        <w:rPr>
          <w:rFonts w:cs="Times New Roman" w:eastAsiaTheme="minorEastAsia"/>
          <w:iCs/>
          <w:sz w:val="21"/>
          <w:szCs w:val="21"/>
        </w:rPr>
        <w:t>GB 50982</w:t>
      </w:r>
    </w:p>
    <w:p w14:paraId="7A92305D">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《城镇综合管廊监控与报警系统工程技术标准》</w:t>
      </w:r>
      <w:r>
        <w:rPr>
          <w:rFonts w:cs="Times New Roman" w:eastAsiaTheme="minorEastAsia"/>
          <w:iCs/>
          <w:sz w:val="21"/>
          <w:szCs w:val="21"/>
        </w:rPr>
        <w:t>GB/T 51274</w:t>
      </w:r>
    </w:p>
    <w:p w14:paraId="5267B5D5">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《民用建筑电气设计标准》</w:t>
      </w:r>
      <w:r>
        <w:rPr>
          <w:rFonts w:cs="Times New Roman" w:eastAsiaTheme="minorEastAsia"/>
          <w:iCs/>
          <w:sz w:val="21"/>
          <w:szCs w:val="21"/>
        </w:rPr>
        <w:t>GB 51348</w:t>
      </w:r>
    </w:p>
    <w:p w14:paraId="7C6C438F">
      <w:pPr>
        <w:adjustRightInd w:val="0"/>
        <w:snapToGrid w:val="0"/>
        <w:spacing w:line="360" w:lineRule="auto"/>
        <w:ind w:firstLine="0" w:firstLineChars="0"/>
        <w:jc w:val="left"/>
        <w:rPr>
          <w:rFonts w:eastAsia="宋体" w:cs="Times New Roman"/>
          <w:sz w:val="21"/>
          <w:szCs w:val="21"/>
        </w:rPr>
      </w:pPr>
      <w:r>
        <w:rPr>
          <w:rFonts w:hint="eastAsia" w:eastAsia="宋体" w:cs="Times New Roman"/>
          <w:sz w:val="21"/>
          <w:szCs w:val="21"/>
        </w:rPr>
        <w:t>《城市地下综合管廊运行维护及安全技术标准》GB 51354</w:t>
      </w:r>
    </w:p>
    <w:p w14:paraId="3440541B">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《公共建筑光纤宽带接入工程技术标准》</w:t>
      </w:r>
      <w:r>
        <w:rPr>
          <w:rFonts w:cs="Times New Roman" w:eastAsiaTheme="minorEastAsia"/>
          <w:iCs/>
          <w:sz w:val="21"/>
          <w:szCs w:val="21"/>
        </w:rPr>
        <w:t>GB 51433</w:t>
      </w:r>
    </w:p>
    <w:p w14:paraId="5C0CB6EA">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《建筑电气与智能化通用规范》</w:t>
      </w:r>
      <w:r>
        <w:rPr>
          <w:rFonts w:cs="Times New Roman" w:eastAsiaTheme="minorEastAsia"/>
          <w:iCs/>
          <w:sz w:val="21"/>
          <w:szCs w:val="21"/>
        </w:rPr>
        <w:t>GB 55024</w:t>
      </w:r>
    </w:p>
    <w:p w14:paraId="05570EAF">
      <w:pPr>
        <w:adjustRightInd w:val="0"/>
        <w:snapToGrid w:val="0"/>
        <w:spacing w:line="360" w:lineRule="auto"/>
        <w:ind w:firstLine="0" w:firstLineChars="0"/>
        <w:jc w:val="left"/>
        <w:rPr>
          <w:rFonts w:eastAsia="宋体" w:cs="Times New Roman"/>
          <w:sz w:val="21"/>
          <w:szCs w:val="21"/>
        </w:rPr>
      </w:pPr>
      <w:r>
        <w:rPr>
          <w:rFonts w:hint="eastAsia" w:eastAsia="宋体" w:cs="Times New Roman"/>
          <w:sz w:val="21"/>
          <w:szCs w:val="21"/>
        </w:rPr>
        <w:t>《城镇燃气设施运行、维护和抢修安全技术规程》CJJ 51</w:t>
      </w:r>
    </w:p>
    <w:p w14:paraId="3F76C0E8">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《城镇燃气报警控制系统技术规程》</w:t>
      </w:r>
      <w:r>
        <w:rPr>
          <w:rFonts w:cs="Times New Roman" w:eastAsiaTheme="minorEastAsia"/>
          <w:iCs/>
          <w:sz w:val="21"/>
          <w:szCs w:val="21"/>
        </w:rPr>
        <w:t>CJJ/T 146</w:t>
      </w:r>
    </w:p>
    <w:p w14:paraId="52BC84B9">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《城镇供水管网漏水探测技术规程》</w:t>
      </w:r>
      <w:r>
        <w:rPr>
          <w:rFonts w:cs="Times New Roman" w:eastAsiaTheme="minorEastAsia"/>
          <w:iCs/>
          <w:sz w:val="21"/>
          <w:szCs w:val="21"/>
        </w:rPr>
        <w:t>CJJ 159</w:t>
      </w:r>
    </w:p>
    <w:p w14:paraId="6A413BE1">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《城镇供水管网运行、维护及安全技术规程》</w:t>
      </w:r>
      <w:r>
        <w:rPr>
          <w:rFonts w:cs="Times New Roman" w:eastAsiaTheme="minorEastAsia"/>
          <w:iCs/>
          <w:sz w:val="21"/>
          <w:szCs w:val="21"/>
        </w:rPr>
        <w:t>CJJ 207</w:t>
      </w:r>
    </w:p>
    <w:p w14:paraId="19993267">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《城镇燃气管网泄漏检测技术规程》</w:t>
      </w:r>
      <w:r>
        <w:rPr>
          <w:rFonts w:cs="Times New Roman" w:eastAsiaTheme="minorEastAsia"/>
          <w:iCs/>
          <w:sz w:val="21"/>
          <w:szCs w:val="21"/>
        </w:rPr>
        <w:t>CJJ/T 215</w:t>
      </w:r>
    </w:p>
    <w:p w14:paraId="2DF66F44">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《城镇供热监测与调控系统技术规程》</w:t>
      </w:r>
      <w:r>
        <w:rPr>
          <w:rFonts w:cs="Times New Roman" w:eastAsiaTheme="minorEastAsia"/>
          <w:iCs/>
          <w:sz w:val="21"/>
          <w:szCs w:val="21"/>
        </w:rPr>
        <w:t>CJJ/T 241</w:t>
      </w:r>
    </w:p>
    <w:p w14:paraId="3EDFB211">
      <w:pPr>
        <w:adjustRightInd w:val="0"/>
        <w:snapToGrid w:val="0"/>
        <w:spacing w:line="360" w:lineRule="auto"/>
        <w:ind w:firstLine="0" w:firstLineChars="0"/>
        <w:jc w:val="left"/>
        <w:rPr>
          <w:rFonts w:eastAsia="宋体" w:cs="Times New Roman"/>
          <w:sz w:val="21"/>
          <w:szCs w:val="21"/>
        </w:rPr>
      </w:pPr>
      <w:r>
        <w:rPr>
          <w:rFonts w:hint="eastAsia" w:eastAsia="宋体" w:cs="Times New Roman"/>
          <w:sz w:val="21"/>
          <w:szCs w:val="21"/>
        </w:rPr>
        <w:t>《城镇排水水质水量在线监测系统技术要求》CJ/T 252</w:t>
      </w:r>
    </w:p>
    <w:p w14:paraId="61129644">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《城镇供热直埋热水管道泄漏监测系统技术规程》</w:t>
      </w:r>
      <w:r>
        <w:rPr>
          <w:rFonts w:cs="Times New Roman" w:eastAsiaTheme="minorEastAsia"/>
          <w:iCs/>
          <w:sz w:val="21"/>
          <w:szCs w:val="21"/>
        </w:rPr>
        <w:t>CJJ/T 254</w:t>
      </w:r>
    </w:p>
    <w:p w14:paraId="5BF5D5B0">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《城镇燃气工程智能化技术规范》</w:t>
      </w:r>
      <w:r>
        <w:rPr>
          <w:rFonts w:cs="Times New Roman" w:eastAsiaTheme="minorEastAsia"/>
          <w:iCs/>
          <w:sz w:val="21"/>
          <w:szCs w:val="21"/>
        </w:rPr>
        <w:t>CJJ/T 268</w:t>
      </w:r>
    </w:p>
    <w:p w14:paraId="13AB3AAC">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《城市综合地下管线信息系统技术规范》</w:t>
      </w:r>
      <w:r>
        <w:rPr>
          <w:rFonts w:cs="Times New Roman" w:eastAsiaTheme="minorEastAsia"/>
          <w:iCs/>
          <w:sz w:val="21"/>
          <w:szCs w:val="21"/>
        </w:rPr>
        <w:t>CJJ/T 269</w:t>
      </w:r>
    </w:p>
    <w:p w14:paraId="3113D32C">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《城镇供水水质在线监测技术标准》</w:t>
      </w:r>
      <w:r>
        <w:rPr>
          <w:rFonts w:cs="Times New Roman" w:eastAsiaTheme="minorEastAsia"/>
          <w:iCs/>
          <w:sz w:val="21"/>
          <w:szCs w:val="21"/>
        </w:rPr>
        <w:t>CJJ/T 271</w:t>
      </w:r>
    </w:p>
    <w:p w14:paraId="5DD22C44">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《信息系统密码应用基本要求》</w:t>
      </w:r>
      <w:r>
        <w:rPr>
          <w:rFonts w:cs="Times New Roman" w:eastAsiaTheme="minorEastAsia"/>
          <w:iCs/>
          <w:sz w:val="21"/>
          <w:szCs w:val="21"/>
        </w:rPr>
        <w:t xml:space="preserve">GM/T </w:t>
      </w:r>
      <w:r>
        <w:rPr>
          <w:rFonts w:hint="eastAsia" w:cs="Times New Roman" w:eastAsiaTheme="minorEastAsia"/>
          <w:iCs/>
          <w:sz w:val="21"/>
          <w:szCs w:val="21"/>
        </w:rPr>
        <w:t>00</w:t>
      </w:r>
      <w:r>
        <w:rPr>
          <w:rFonts w:cs="Times New Roman" w:eastAsiaTheme="minorEastAsia"/>
          <w:iCs/>
          <w:sz w:val="21"/>
          <w:szCs w:val="21"/>
        </w:rPr>
        <w:t>54</w:t>
      </w:r>
    </w:p>
    <w:p w14:paraId="6F246A02">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《污染物在线监控（监测）系统数据传输标准》</w:t>
      </w:r>
      <w:r>
        <w:rPr>
          <w:rFonts w:cs="Times New Roman" w:eastAsiaTheme="minorEastAsia"/>
          <w:iCs/>
          <w:sz w:val="21"/>
          <w:szCs w:val="21"/>
        </w:rPr>
        <w:t>HJ 212</w:t>
      </w:r>
    </w:p>
    <w:p w14:paraId="1DBB3557">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《公路桥梁结构安全监测系统技术规程》</w:t>
      </w:r>
      <w:r>
        <w:rPr>
          <w:rFonts w:cs="Times New Roman" w:eastAsiaTheme="minorEastAsia"/>
          <w:iCs/>
          <w:sz w:val="21"/>
          <w:szCs w:val="21"/>
        </w:rPr>
        <w:t>JT</w:t>
      </w:r>
      <w:r>
        <w:rPr>
          <w:rFonts w:hint="eastAsia" w:cs="Times New Roman" w:eastAsiaTheme="minorEastAsia"/>
          <w:iCs/>
          <w:sz w:val="21"/>
          <w:szCs w:val="21"/>
        </w:rPr>
        <w:t>/</w:t>
      </w:r>
      <w:r>
        <w:rPr>
          <w:rFonts w:cs="Times New Roman" w:eastAsiaTheme="minorEastAsia"/>
          <w:iCs/>
          <w:sz w:val="21"/>
          <w:szCs w:val="21"/>
        </w:rPr>
        <w:t>T 1037</w:t>
      </w:r>
    </w:p>
    <w:p w14:paraId="4184991D">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《通信电源集中监控系统工程技术规范》</w:t>
      </w:r>
      <w:r>
        <w:rPr>
          <w:rFonts w:cs="Times New Roman" w:eastAsiaTheme="minorEastAsia"/>
          <w:iCs/>
          <w:sz w:val="21"/>
          <w:szCs w:val="21"/>
        </w:rPr>
        <w:t>YD/T 5027</w:t>
      </w:r>
    </w:p>
    <w:p w14:paraId="37502A86">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《桥梁结构健康监测系统设计规范》</w:t>
      </w:r>
      <w:r>
        <w:rPr>
          <w:rFonts w:cs="Times New Roman" w:eastAsiaTheme="minorEastAsia"/>
          <w:iCs/>
          <w:sz w:val="21"/>
          <w:szCs w:val="21"/>
        </w:rPr>
        <w:t>DB32/T 3562</w:t>
      </w:r>
    </w:p>
    <w:p w14:paraId="30089F96">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《信息化项目验收规范》</w:t>
      </w:r>
      <w:r>
        <w:rPr>
          <w:rFonts w:cs="Times New Roman" w:eastAsiaTheme="minorEastAsia"/>
          <w:iCs/>
          <w:sz w:val="21"/>
          <w:szCs w:val="21"/>
        </w:rPr>
        <w:t>DB34/T 3059</w:t>
      </w:r>
    </w:p>
    <w:p w14:paraId="2627DF9E">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《城市生命线工程安全运行监测技术标准》</w:t>
      </w:r>
      <w:r>
        <w:rPr>
          <w:rFonts w:cs="Times New Roman" w:eastAsiaTheme="minorEastAsia"/>
          <w:iCs/>
          <w:sz w:val="21"/>
          <w:szCs w:val="21"/>
        </w:rPr>
        <w:t>DB34/T 4021</w:t>
      </w:r>
    </w:p>
    <w:p w14:paraId="23188E39">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《结构健康监测系统设计标准》</w:t>
      </w:r>
      <w:r>
        <w:rPr>
          <w:rFonts w:cs="Times New Roman" w:eastAsiaTheme="minorEastAsia"/>
          <w:iCs/>
          <w:sz w:val="21"/>
          <w:szCs w:val="21"/>
        </w:rPr>
        <w:t>T/CECS 333</w:t>
      </w:r>
    </w:p>
    <w:p w14:paraId="3E47E47D">
      <w:pPr>
        <w:adjustRightInd w:val="0"/>
        <w:snapToGrid w:val="0"/>
        <w:spacing w:line="360" w:lineRule="auto"/>
        <w:ind w:firstLine="0" w:firstLineChars="0"/>
        <w:jc w:val="left"/>
        <w:rPr>
          <w:rFonts w:cs="Times New Roman" w:eastAsiaTheme="minorEastAsia"/>
          <w:iCs/>
          <w:sz w:val="21"/>
          <w:szCs w:val="21"/>
        </w:rPr>
      </w:pPr>
      <w:r>
        <w:rPr>
          <w:rFonts w:eastAsia="宋体" w:cs="Times New Roman"/>
          <w:sz w:val="21"/>
          <w:szCs w:val="21"/>
        </w:rPr>
        <w:t>《大跨度桥梁结构健康监测系统预警阈值标准》</w:t>
      </w:r>
      <w:r>
        <w:rPr>
          <w:rFonts w:cs="Times New Roman" w:eastAsiaTheme="minorEastAsia"/>
          <w:iCs/>
          <w:sz w:val="21"/>
          <w:szCs w:val="21"/>
        </w:rPr>
        <w:t>T/CECS 529</w:t>
      </w:r>
    </w:p>
    <w:p w14:paraId="598DDF28">
      <w:pPr>
        <w:adjustRightInd w:val="0"/>
        <w:snapToGrid w:val="0"/>
        <w:spacing w:line="360" w:lineRule="auto"/>
        <w:ind w:firstLine="0" w:firstLineChars="0"/>
        <w:jc w:val="left"/>
        <w:rPr>
          <w:rFonts w:cs="Times New Roman" w:eastAsiaTheme="minorEastAsia"/>
          <w:iCs/>
          <w:color w:val="000000" w:themeColor="text1"/>
          <w:sz w:val="21"/>
          <w:szCs w:val="21"/>
          <w14:textFill>
            <w14:solidFill>
              <w14:schemeClr w14:val="tx1"/>
            </w14:solidFill>
          </w14:textFill>
        </w:rPr>
      </w:pPr>
    </w:p>
    <w:p w14:paraId="7BCCFA18">
      <w:pPr>
        <w:adjustRightInd w:val="0"/>
        <w:snapToGrid w:val="0"/>
        <w:spacing w:line="360" w:lineRule="auto"/>
        <w:ind w:firstLine="0" w:firstLineChars="0"/>
        <w:jc w:val="left"/>
        <w:rPr>
          <w:rFonts w:eastAsia="宋体" w:cs="Times New Roman"/>
          <w:sz w:val="24"/>
          <w:szCs w:val="21"/>
        </w:rPr>
      </w:pPr>
    </w:p>
    <w:p w14:paraId="1FD1E4A6">
      <w:pPr>
        <w:adjustRightInd w:val="0"/>
        <w:snapToGrid w:val="0"/>
        <w:spacing w:line="360" w:lineRule="auto"/>
        <w:ind w:firstLine="0" w:firstLineChars="0"/>
        <w:jc w:val="left"/>
        <w:rPr>
          <w:rFonts w:eastAsia="宋体" w:cs="Times New Roman"/>
          <w:sz w:val="24"/>
          <w:szCs w:val="21"/>
        </w:rPr>
      </w:pPr>
    </w:p>
    <w:p w14:paraId="7447CEAE">
      <w:pPr>
        <w:adjustRightInd w:val="0"/>
        <w:snapToGrid w:val="0"/>
        <w:spacing w:line="360" w:lineRule="auto"/>
        <w:ind w:firstLine="0" w:firstLineChars="0"/>
        <w:jc w:val="left"/>
        <w:rPr>
          <w:rFonts w:eastAsia="宋体" w:cs="Times New Roman"/>
          <w:sz w:val="24"/>
          <w:szCs w:val="21"/>
        </w:rPr>
        <w:sectPr>
          <w:headerReference r:id="rId10" w:type="default"/>
          <w:footerReference r:id="rId11" w:type="default"/>
          <w:pgSz w:w="11906" w:h="16838"/>
          <w:pgMar w:top="2410" w:right="1134" w:bottom="1134" w:left="1134" w:header="851" w:footer="992" w:gutter="284"/>
          <w:cols w:space="425" w:num="1"/>
          <w:docGrid w:type="lines" w:linePitch="312" w:charSpace="0"/>
        </w:sectPr>
      </w:pPr>
    </w:p>
    <w:p w14:paraId="3C8F0EB6">
      <w:pPr>
        <w:ind w:firstLine="0" w:firstLineChars="0"/>
        <w:jc w:val="center"/>
        <w:rPr>
          <w:rFonts w:eastAsia="宋体" w:cs="Times New Roman"/>
          <w:b/>
          <w:color w:val="000000"/>
          <w:sz w:val="44"/>
          <w:szCs w:val="44"/>
        </w:rPr>
      </w:pPr>
      <w:r>
        <w:rPr>
          <w:rFonts w:eastAsia="宋体" w:cs="Times New Roman"/>
          <w:b/>
          <w:color w:val="000000"/>
          <w:sz w:val="44"/>
          <w:szCs w:val="44"/>
        </w:rPr>
        <w:t>安 徽 省 地 方 标 准</w:t>
      </w:r>
    </w:p>
    <w:p w14:paraId="1583D731">
      <w:pPr>
        <w:spacing w:line="680" w:lineRule="exact"/>
        <w:ind w:firstLine="720" w:firstLineChars="150"/>
        <w:textAlignment w:val="center"/>
        <w:rPr>
          <w:rFonts w:eastAsia="宋体" w:cs="Times New Roman"/>
          <w:color w:val="000000"/>
          <w:sz w:val="48"/>
          <w:szCs w:val="48"/>
        </w:rPr>
      </w:pPr>
    </w:p>
    <w:p w14:paraId="20EE24A4">
      <w:pPr>
        <w:ind w:firstLine="0" w:firstLineChars="0"/>
        <w:jc w:val="center"/>
        <w:rPr>
          <w:rFonts w:eastAsia="黑体" w:cs="Times New Roman"/>
          <w:b/>
          <w:color w:val="000000"/>
          <w:sz w:val="28"/>
          <w:szCs w:val="28"/>
        </w:rPr>
      </w:pPr>
      <w:r>
        <w:rPr>
          <w:rFonts w:hint="eastAsia" w:eastAsia="宋体" w:cs="Times New Roman"/>
          <w:b/>
          <w:color w:val="000000"/>
          <w:sz w:val="44"/>
          <w:szCs w:val="44"/>
        </w:rPr>
        <w:t>城市生命线工程监测设施技术标准</w:t>
      </w:r>
    </w:p>
    <w:p w14:paraId="24D611CA">
      <w:pPr>
        <w:ind w:firstLine="0" w:firstLineChars="0"/>
        <w:jc w:val="center"/>
        <w:rPr>
          <w:rFonts w:eastAsia="黑体" w:cs="Times New Roman"/>
          <w:b/>
          <w:color w:val="000000"/>
          <w:sz w:val="28"/>
          <w:szCs w:val="28"/>
        </w:rPr>
      </w:pPr>
    </w:p>
    <w:p w14:paraId="7A68C124">
      <w:pPr>
        <w:ind w:firstLine="0" w:firstLineChars="0"/>
        <w:jc w:val="center"/>
        <w:rPr>
          <w:rFonts w:eastAsia="黑体" w:cs="Times New Roman"/>
          <w:b/>
          <w:color w:val="000000"/>
          <w:sz w:val="28"/>
          <w:szCs w:val="28"/>
        </w:rPr>
      </w:pPr>
      <w:r>
        <w:rPr>
          <w:rFonts w:hint="eastAsia" w:eastAsia="黑体" w:cs="Times New Roman"/>
          <w:b/>
          <w:color w:val="000000"/>
          <w:sz w:val="28"/>
          <w:szCs w:val="28"/>
        </w:rPr>
        <w:t>DB34/T***-****</w:t>
      </w:r>
    </w:p>
    <w:p w14:paraId="58B66C7B">
      <w:pPr>
        <w:ind w:firstLine="0" w:firstLineChars="0"/>
        <w:jc w:val="center"/>
        <w:rPr>
          <w:rFonts w:eastAsia="宋体" w:cs="Times New Roman"/>
          <w:color w:val="000000"/>
          <w:sz w:val="24"/>
        </w:rPr>
      </w:pPr>
      <w:r>
        <w:rPr>
          <w:rFonts w:hint="eastAsia" w:eastAsia="宋体" w:cs="Times New Roman"/>
          <w:b/>
          <w:color w:val="000000"/>
          <w:sz w:val="21"/>
        </w:rPr>
        <w:t xml:space="preserve">Technical standard for monitoring facilities of urban lifeline </w:t>
      </w:r>
      <w:r>
        <w:rPr>
          <w:rFonts w:eastAsia="宋体" w:cs="Times New Roman"/>
          <w:b/>
          <w:color w:val="000000"/>
          <w:sz w:val="21"/>
        </w:rPr>
        <w:t>engineering</w:t>
      </w:r>
    </w:p>
    <w:p w14:paraId="19CE0EAA">
      <w:pPr>
        <w:ind w:firstLine="0" w:firstLineChars="0"/>
        <w:jc w:val="center"/>
        <w:rPr>
          <w:rFonts w:eastAsia="宋体" w:cs="Times New Roman"/>
          <w:color w:val="000000"/>
          <w:sz w:val="24"/>
        </w:rPr>
      </w:pPr>
    </w:p>
    <w:p w14:paraId="369D18AA">
      <w:pPr>
        <w:ind w:firstLine="0" w:firstLineChars="0"/>
        <w:rPr>
          <w:rFonts w:eastAsia="宋体" w:cs="Times New Roman"/>
          <w:color w:val="000000"/>
          <w:sz w:val="24"/>
        </w:rPr>
      </w:pPr>
    </w:p>
    <w:p w14:paraId="38949B6A">
      <w:pPr>
        <w:ind w:firstLine="0" w:firstLineChars="0"/>
        <w:jc w:val="center"/>
        <w:rPr>
          <w:rFonts w:eastAsia="宋体" w:cs="Times New Roman"/>
          <w:color w:val="000000"/>
          <w:sz w:val="24"/>
        </w:rPr>
      </w:pPr>
    </w:p>
    <w:p w14:paraId="63FFA0AA">
      <w:pPr>
        <w:pStyle w:val="2"/>
        <w:spacing w:before="340" w:after="156" w:line="578" w:lineRule="auto"/>
        <w:jc w:val="center"/>
        <w:rPr>
          <w:rFonts w:cs="Times New Roman"/>
          <w:color w:val="000000"/>
          <w:szCs w:val="30"/>
        </w:rPr>
        <w:sectPr>
          <w:pgSz w:w="11906" w:h="16838"/>
          <w:pgMar w:top="1440" w:right="1800" w:bottom="1440" w:left="1800" w:header="851" w:footer="992" w:gutter="0"/>
          <w:cols w:space="425" w:num="1"/>
          <w:docGrid w:type="lines" w:linePitch="312" w:charSpace="0"/>
        </w:sectPr>
      </w:pPr>
      <w:bookmarkStart w:id="124" w:name="_Toc140052661"/>
      <w:bookmarkStart w:id="125" w:name="_Toc135234946"/>
      <w:bookmarkStart w:id="126" w:name="_Toc139814589"/>
      <w:bookmarkStart w:id="127" w:name="_Toc522137644"/>
      <w:bookmarkStart w:id="128" w:name="_Toc137050175"/>
      <w:bookmarkStart w:id="129" w:name="_Toc137066778"/>
      <w:bookmarkStart w:id="130" w:name="_Toc282719933"/>
      <w:bookmarkStart w:id="131" w:name="_Toc140160813"/>
      <w:r>
        <w:rPr>
          <w:rFonts w:hint="eastAsia" w:ascii="宋体" w:hAnsi="宋体" w:eastAsia="宋体" w:cs="宋体"/>
          <w:b/>
          <w:color w:val="000000" w:themeColor="text1"/>
          <w:sz w:val="44"/>
          <w:szCs w:val="30"/>
          <w14:textFill>
            <w14:solidFill>
              <w14:schemeClr w14:val="tx1"/>
            </w14:solidFill>
          </w14:textFill>
        </w:rPr>
        <w:t>条  文  说  明</w:t>
      </w:r>
      <w:bookmarkEnd w:id="124"/>
      <w:bookmarkEnd w:id="125"/>
      <w:bookmarkEnd w:id="126"/>
      <w:bookmarkEnd w:id="127"/>
      <w:bookmarkEnd w:id="128"/>
      <w:bookmarkEnd w:id="129"/>
      <w:bookmarkEnd w:id="130"/>
      <w:bookmarkEnd w:id="131"/>
    </w:p>
    <w:p w14:paraId="155D6122">
      <w:pPr>
        <w:ind w:firstLine="0" w:firstLineChars="0"/>
        <w:jc w:val="center"/>
        <w:rPr>
          <w:rFonts w:eastAsia="宋体" w:cs="Times New Roman"/>
          <w:b/>
          <w:bCs/>
          <w:sz w:val="30"/>
          <w:szCs w:val="30"/>
        </w:rPr>
      </w:pPr>
      <w:r>
        <w:rPr>
          <w:rFonts w:eastAsia="宋体" w:cs="Times New Roman"/>
          <w:b/>
          <w:bCs/>
          <w:sz w:val="30"/>
          <w:szCs w:val="30"/>
        </w:rPr>
        <w:t>制订说明</w:t>
      </w:r>
    </w:p>
    <w:p w14:paraId="341AF9D1">
      <w:pPr>
        <w:spacing w:line="360" w:lineRule="auto"/>
        <w:ind w:firstLine="424" w:firstLineChars="202"/>
        <w:rPr>
          <w:rFonts w:eastAsia="宋体" w:cs="Times New Roman"/>
          <w:color w:val="000000"/>
          <w:sz w:val="21"/>
          <w:szCs w:val="21"/>
        </w:rPr>
      </w:pPr>
      <w:r>
        <w:rPr>
          <w:rFonts w:eastAsia="宋体" w:cs="Times New Roman"/>
          <w:color w:val="000000"/>
          <w:sz w:val="21"/>
          <w:szCs w:val="21"/>
        </w:rPr>
        <w:t>《</w:t>
      </w:r>
      <w:r>
        <w:rPr>
          <w:rFonts w:hint="eastAsia" w:eastAsia="宋体" w:cs="Times New Roman"/>
          <w:color w:val="000000"/>
          <w:sz w:val="21"/>
          <w:szCs w:val="21"/>
        </w:rPr>
        <w:t>城市生命线工程监测设施技术标准</w:t>
      </w:r>
      <w:r>
        <w:rPr>
          <w:rFonts w:eastAsia="宋体" w:cs="Times New Roman"/>
          <w:color w:val="000000"/>
          <w:sz w:val="21"/>
          <w:szCs w:val="21"/>
        </w:rPr>
        <w:t>》DB34/T***-20</w:t>
      </w:r>
      <w:r>
        <w:rPr>
          <w:rFonts w:hint="eastAsia" w:eastAsia="宋体" w:cs="Times New Roman"/>
          <w:color w:val="000000"/>
          <w:sz w:val="21"/>
          <w:szCs w:val="21"/>
        </w:rPr>
        <w:t>2*</w:t>
      </w:r>
      <w:r>
        <w:rPr>
          <w:rFonts w:eastAsia="宋体" w:cs="Times New Roman"/>
          <w:color w:val="000000"/>
          <w:sz w:val="21"/>
          <w:szCs w:val="21"/>
        </w:rPr>
        <w:t>，经安徽省市场监督管理局20xx年xx月xx日以第xx号公告批准发布。</w:t>
      </w:r>
    </w:p>
    <w:p w14:paraId="30AB2A83">
      <w:pPr>
        <w:spacing w:line="360" w:lineRule="auto"/>
        <w:ind w:firstLine="424" w:firstLineChars="202"/>
        <w:rPr>
          <w:rFonts w:eastAsia="宋体" w:cs="Times New Roman"/>
          <w:color w:val="000000"/>
          <w:sz w:val="21"/>
          <w:szCs w:val="21"/>
        </w:rPr>
      </w:pPr>
      <w:r>
        <w:rPr>
          <w:rFonts w:eastAsia="宋体" w:cs="Times New Roman"/>
          <w:color w:val="000000"/>
          <w:sz w:val="21"/>
          <w:szCs w:val="21"/>
        </w:rPr>
        <w:t>本标准制订过程中，编制组对</w:t>
      </w:r>
      <w:r>
        <w:rPr>
          <w:rFonts w:hint="eastAsia" w:eastAsia="宋体" w:cs="Times New Roman"/>
          <w:color w:val="000000"/>
          <w:sz w:val="21"/>
          <w:szCs w:val="21"/>
        </w:rPr>
        <w:t>城市生命线工程监测设施</w:t>
      </w:r>
      <w:r>
        <w:rPr>
          <w:rFonts w:eastAsia="宋体" w:cs="Times New Roman"/>
          <w:color w:val="000000"/>
          <w:sz w:val="21"/>
          <w:szCs w:val="21"/>
        </w:rPr>
        <w:t>系统建设进行了广泛调查研究，结合我省</w:t>
      </w:r>
      <w:r>
        <w:rPr>
          <w:rFonts w:hint="eastAsia" w:eastAsia="宋体" w:cs="Times New Roman"/>
          <w:color w:val="000000"/>
          <w:sz w:val="21"/>
          <w:szCs w:val="21"/>
        </w:rPr>
        <w:t>城市生命线工程监测设施</w:t>
      </w:r>
      <w:r>
        <w:rPr>
          <w:rFonts w:eastAsia="宋体" w:cs="Times New Roman"/>
          <w:color w:val="000000"/>
          <w:sz w:val="21"/>
          <w:szCs w:val="21"/>
        </w:rPr>
        <w:t>系统建设的实际情况，认真总结实践经验，参考了国内外、行业和地方的技术法规、技术标准，取得了制订本标准所必要的重要技术参数，并在广泛征求意见的基础上，最后经审查定稿。</w:t>
      </w:r>
    </w:p>
    <w:p w14:paraId="0FFEC877">
      <w:pPr>
        <w:spacing w:line="360" w:lineRule="auto"/>
        <w:ind w:firstLine="424" w:firstLineChars="202"/>
        <w:rPr>
          <w:rFonts w:eastAsia="宋体" w:cs="Times New Roman"/>
          <w:color w:val="000000"/>
          <w:sz w:val="21"/>
          <w:szCs w:val="21"/>
        </w:rPr>
      </w:pPr>
      <w:r>
        <w:rPr>
          <w:rFonts w:eastAsia="宋体" w:cs="Times New Roman"/>
          <w:color w:val="000000"/>
          <w:sz w:val="21"/>
          <w:szCs w:val="21"/>
        </w:rPr>
        <w:t>为便于广大设计、科研、学校等单位有关人员在使用本标准时能正确理解和执行条文规定，《</w:t>
      </w:r>
      <w:r>
        <w:rPr>
          <w:rFonts w:hint="eastAsia" w:eastAsia="宋体" w:cs="Times New Roman"/>
          <w:color w:val="000000"/>
          <w:sz w:val="21"/>
          <w:szCs w:val="21"/>
        </w:rPr>
        <w:t>城市生命线工程监测设施</w:t>
      </w:r>
      <w:r>
        <w:rPr>
          <w:rFonts w:eastAsia="宋体" w:cs="Times New Roman"/>
          <w:color w:val="000000"/>
          <w:sz w:val="21"/>
          <w:szCs w:val="21"/>
        </w:rPr>
        <w:t>技术标准》编制组按章、节、条顺序编制了本标准的条文说明，对条文规定的目的、依据以及执行中需注意的有关事项进行了说明。但是，本条文说明不具备与标准正文同等的法律效力，仅供使用者作为理解和把握标准规定的参考。</w:t>
      </w:r>
    </w:p>
    <w:p w14:paraId="4900DC51">
      <w:pPr>
        <w:ind w:firstLine="640"/>
        <w:sectPr>
          <w:pgSz w:w="11906" w:h="16838"/>
          <w:pgMar w:top="1440" w:right="1800" w:bottom="1440" w:left="1800" w:header="851" w:footer="992" w:gutter="0"/>
          <w:cols w:space="425" w:num="1"/>
          <w:docGrid w:type="lines" w:linePitch="312" w:charSpace="0"/>
        </w:sectPr>
      </w:pPr>
    </w:p>
    <w:p w14:paraId="0686E13B">
      <w:pPr>
        <w:widowControl/>
        <w:ind w:firstLine="0" w:firstLineChars="0"/>
        <w:jc w:val="center"/>
        <w:rPr>
          <w:rFonts w:eastAsia="宋体" w:cs="Times New Roman"/>
          <w:b/>
          <w:sz w:val="28"/>
          <w:szCs w:val="36"/>
        </w:rPr>
      </w:pPr>
      <w:bookmarkStart w:id="132" w:name="_Toc19588"/>
      <w:bookmarkStart w:id="133" w:name="_Toc452651995"/>
      <w:bookmarkStart w:id="134" w:name="_Toc32733"/>
      <w:bookmarkStart w:id="135" w:name="_Toc452713563"/>
      <w:bookmarkStart w:id="136" w:name="_Toc452714220"/>
      <w:bookmarkStart w:id="137" w:name="_Toc1940"/>
      <w:bookmarkStart w:id="138" w:name="_Toc452714414"/>
      <w:bookmarkStart w:id="139" w:name="_Toc452729997"/>
      <w:bookmarkStart w:id="140" w:name="_Toc452712136"/>
      <w:r>
        <w:rPr>
          <w:rFonts w:eastAsia="宋体" w:cs="Times New Roman"/>
          <w:b/>
          <w:sz w:val="28"/>
          <w:szCs w:val="36"/>
        </w:rPr>
        <w:t>条文说明目次</w:t>
      </w:r>
      <w:bookmarkEnd w:id="132"/>
      <w:bookmarkEnd w:id="133"/>
      <w:bookmarkEnd w:id="134"/>
      <w:bookmarkEnd w:id="135"/>
      <w:bookmarkEnd w:id="136"/>
      <w:bookmarkEnd w:id="137"/>
      <w:bookmarkEnd w:id="138"/>
      <w:bookmarkEnd w:id="139"/>
      <w:bookmarkEnd w:id="140"/>
    </w:p>
    <w:p w14:paraId="6CB1DDCE">
      <w:pPr>
        <w:widowControl/>
        <w:ind w:firstLine="0" w:firstLineChars="0"/>
        <w:jc w:val="center"/>
        <w:rPr>
          <w:rFonts w:eastAsia="宋体" w:cs="Times New Roman"/>
          <w:b/>
          <w:sz w:val="28"/>
          <w:szCs w:val="36"/>
        </w:rPr>
      </w:pPr>
    </w:p>
    <w:sdt>
      <w:sdtPr>
        <w:rPr>
          <w:rFonts w:ascii="Calibri" w:hAnsi="Calibri" w:eastAsia="宋体" w:cs="Times New Roman"/>
          <w:smallCaps/>
          <w:sz w:val="21"/>
          <w:lang w:val="zh-CN"/>
        </w:rPr>
        <w:id w:val="-1044365103"/>
        <w:docPartObj>
          <w:docPartGallery w:val="Table of Contents"/>
          <w:docPartUnique/>
        </w:docPartObj>
      </w:sdtPr>
      <w:sdtEndPr>
        <w:rPr>
          <w:rFonts w:ascii="Times New Roman" w:hAnsi="Times New Roman" w:eastAsia="宋体" w:cs="Times New Roman"/>
          <w:smallCaps/>
          <w:sz w:val="20"/>
          <w:szCs w:val="20"/>
          <w:lang w:val="zh-CN"/>
        </w:rPr>
      </w:sdtEndPr>
      <w:sdtContent>
        <w:p w14:paraId="082BDE48">
          <w:pPr>
            <w:tabs>
              <w:tab w:val="right" w:leader="dot" w:pos="8296"/>
            </w:tabs>
            <w:spacing w:before="120" w:after="120"/>
            <w:ind w:firstLine="0" w:firstLineChars="0"/>
            <w:rPr>
              <w:rFonts w:eastAsia="宋体" w:cs="Times New Roman"/>
              <w:sz w:val="21"/>
            </w:rPr>
          </w:pPr>
          <w:r>
            <w:rPr>
              <w:rFonts w:eastAsia="宋体" w:cs="Times New Roman"/>
              <w:b/>
              <w:bCs/>
              <w:caps/>
              <w:sz w:val="21"/>
            </w:rPr>
            <w:fldChar w:fldCharType="begin"/>
          </w:r>
          <w:r>
            <w:rPr>
              <w:rFonts w:eastAsia="宋体" w:cs="Times New Roman"/>
              <w:b/>
              <w:bCs/>
              <w:caps/>
              <w:sz w:val="21"/>
            </w:rPr>
            <w:instrText xml:space="preserve"> TOC \o "1-3" \h \z \u </w:instrText>
          </w:r>
          <w:r>
            <w:rPr>
              <w:rFonts w:eastAsia="宋体" w:cs="Times New Roman"/>
              <w:b/>
              <w:bCs/>
              <w:caps/>
              <w:sz w:val="21"/>
            </w:rPr>
            <w:fldChar w:fldCharType="separate"/>
          </w:r>
          <w:r>
            <w:fldChar w:fldCharType="begin"/>
          </w:r>
          <w:r>
            <w:instrText xml:space="preserve"> HYPERLINK \l "_Toc140052662" </w:instrText>
          </w:r>
          <w:r>
            <w:fldChar w:fldCharType="separate"/>
          </w:r>
          <w:r>
            <w:rPr>
              <w:rFonts w:hint="eastAsia" w:eastAsia="宋体" w:cs="Times New Roman"/>
              <w:b/>
              <w:bCs/>
              <w:caps/>
              <w:sz w:val="20"/>
              <w:szCs w:val="20"/>
            </w:rPr>
            <w:t xml:space="preserve">1 </w:t>
          </w:r>
          <w:r>
            <w:rPr>
              <w:rFonts w:ascii="Calibri" w:hAnsi="Calibri" w:eastAsia="宋体" w:cs="Times New Roman"/>
              <w:b/>
              <w:bCs/>
              <w:caps/>
              <w:sz w:val="20"/>
              <w:szCs w:val="20"/>
              <w:u w:val="single"/>
            </w:rPr>
            <w:t>总  则</w:t>
          </w:r>
          <w:r>
            <w:rPr>
              <w:rFonts w:eastAsia="宋体" w:cs="Times New Roman"/>
              <w:b/>
              <w:bCs/>
              <w:caps/>
              <w:sz w:val="21"/>
            </w:rPr>
            <w:tab/>
          </w:r>
          <w:r>
            <w:rPr>
              <w:rFonts w:eastAsia="宋体" w:cs="Times New Roman"/>
              <w:b/>
              <w:bCs/>
              <w:caps/>
              <w:sz w:val="20"/>
              <w:szCs w:val="20"/>
              <w:u w:val="single"/>
            </w:rPr>
            <w:t>4</w:t>
          </w:r>
          <w:r>
            <w:rPr>
              <w:rFonts w:eastAsia="宋体" w:cs="Times New Roman"/>
              <w:b/>
              <w:bCs/>
              <w:caps/>
              <w:sz w:val="20"/>
              <w:szCs w:val="20"/>
              <w:u w:val="single"/>
            </w:rPr>
            <w:fldChar w:fldCharType="end"/>
          </w:r>
          <w:r>
            <w:rPr>
              <w:rFonts w:hint="eastAsia" w:eastAsia="宋体" w:cs="Times New Roman"/>
              <w:b/>
              <w:bCs/>
              <w:caps/>
              <w:sz w:val="20"/>
              <w:szCs w:val="20"/>
            </w:rPr>
            <w:t>8</w:t>
          </w:r>
        </w:p>
        <w:p w14:paraId="26F2D7C2">
          <w:pPr>
            <w:tabs>
              <w:tab w:val="right" w:leader="dot" w:pos="8296"/>
            </w:tabs>
            <w:spacing w:before="120" w:after="120"/>
            <w:ind w:firstLine="0" w:firstLineChars="0"/>
            <w:rPr>
              <w:rFonts w:ascii="Calibri" w:hAnsi="Calibri" w:eastAsia="宋体" w:cs="Times New Roman"/>
              <w:b/>
              <w:bCs/>
              <w:caps/>
              <w:sz w:val="21"/>
              <w:u w:val="single"/>
            </w:rPr>
          </w:pPr>
          <w:r>
            <w:fldChar w:fldCharType="begin"/>
          </w:r>
          <w:r>
            <w:instrText xml:space="preserve"> HYPERLINK \l "_Toc140052663" </w:instrText>
          </w:r>
          <w:r>
            <w:fldChar w:fldCharType="separate"/>
          </w:r>
          <w:r>
            <w:rPr>
              <w:rFonts w:eastAsia="宋体" w:cs="Times New Roman"/>
              <w:b/>
              <w:bCs/>
              <w:caps/>
              <w:sz w:val="20"/>
              <w:szCs w:val="20"/>
              <w:u w:val="single"/>
            </w:rPr>
            <w:t xml:space="preserve">2 </w:t>
          </w:r>
          <w:r>
            <w:rPr>
              <w:rFonts w:ascii="Calibri" w:hAnsi="Calibri" w:eastAsia="宋体" w:cs="Times New Roman"/>
              <w:b/>
              <w:bCs/>
              <w:caps/>
              <w:sz w:val="20"/>
              <w:szCs w:val="20"/>
              <w:u w:val="single"/>
            </w:rPr>
            <w:t>术语、符号和缩略语</w:t>
          </w:r>
          <w:r>
            <w:rPr>
              <w:rFonts w:ascii="Calibri" w:hAnsi="Calibri" w:eastAsia="宋体" w:cs="Times New Roman"/>
              <w:b/>
              <w:bCs/>
              <w:caps/>
              <w:sz w:val="21"/>
              <w:u w:val="single"/>
            </w:rPr>
            <w:tab/>
          </w:r>
          <w:r>
            <w:rPr>
              <w:rFonts w:eastAsia="宋体" w:cs="Times New Roman"/>
              <w:b/>
              <w:bCs/>
              <w:caps/>
              <w:sz w:val="20"/>
              <w:szCs w:val="20"/>
              <w:u w:val="single"/>
            </w:rPr>
            <w:t>4</w:t>
          </w:r>
          <w:r>
            <w:rPr>
              <w:rFonts w:eastAsia="宋体" w:cs="Times New Roman"/>
              <w:b/>
              <w:bCs/>
              <w:caps/>
              <w:sz w:val="20"/>
              <w:szCs w:val="20"/>
              <w:u w:val="single"/>
            </w:rPr>
            <w:fldChar w:fldCharType="end"/>
          </w:r>
          <w:r>
            <w:rPr>
              <w:rFonts w:eastAsia="宋体" w:cs="Times New Roman"/>
              <w:b/>
              <w:bCs/>
              <w:caps/>
              <w:sz w:val="20"/>
              <w:szCs w:val="20"/>
              <w:u w:val="single"/>
            </w:rPr>
            <w:t>8</w:t>
          </w:r>
        </w:p>
        <w:p w14:paraId="10E4A566">
          <w:pPr>
            <w:tabs>
              <w:tab w:val="right" w:leader="dot" w:pos="8296"/>
            </w:tabs>
            <w:ind w:left="210" w:firstLine="0" w:firstLineChars="0"/>
            <w:rPr>
              <w:rFonts w:eastAsia="宋体" w:cs="Times New Roman"/>
              <w:smallCaps/>
              <w:sz w:val="21"/>
            </w:rPr>
          </w:pPr>
          <w:r>
            <w:fldChar w:fldCharType="begin"/>
          </w:r>
          <w:r>
            <w:instrText xml:space="preserve"> HYPERLINK \l "_Toc140052666" </w:instrText>
          </w:r>
          <w:r>
            <w:fldChar w:fldCharType="separate"/>
          </w:r>
          <w:r>
            <w:rPr>
              <w:rFonts w:hint="eastAsia" w:eastAsia="宋体" w:cs="Times New Roman"/>
              <w:smallCaps/>
              <w:sz w:val="21"/>
            </w:rPr>
            <w:t>2</w:t>
          </w:r>
          <w:r>
            <w:rPr>
              <w:rFonts w:eastAsia="宋体" w:cs="Times New Roman"/>
              <w:smallCaps/>
              <w:sz w:val="21"/>
            </w:rPr>
            <w:t xml:space="preserve">.1 </w:t>
          </w:r>
          <w:r>
            <w:rPr>
              <w:rFonts w:hint="eastAsia" w:ascii="宋体" w:hAnsi="宋体" w:eastAsia="宋体" w:cs="宋体"/>
              <w:sz w:val="20"/>
              <w:szCs w:val="20"/>
            </w:rPr>
            <w:t>术  语</w:t>
          </w:r>
          <w:r>
            <w:rPr>
              <w:rFonts w:eastAsia="宋体" w:cs="Times New Roman"/>
              <w:smallCaps/>
              <w:sz w:val="21"/>
            </w:rPr>
            <w:tab/>
          </w:r>
          <w:r>
            <w:rPr>
              <w:rFonts w:eastAsia="宋体" w:cs="Times New Roman"/>
              <w:smallCaps/>
              <w:sz w:val="21"/>
            </w:rPr>
            <w:fldChar w:fldCharType="begin"/>
          </w:r>
          <w:r>
            <w:rPr>
              <w:rFonts w:eastAsia="宋体" w:cs="Times New Roman"/>
              <w:smallCaps/>
              <w:sz w:val="21"/>
            </w:rPr>
            <w:instrText xml:space="preserve"> PAGEREF _Toc140052666 \h </w:instrText>
          </w:r>
          <w:r>
            <w:rPr>
              <w:rFonts w:eastAsia="宋体" w:cs="Times New Roman"/>
              <w:smallCaps/>
              <w:sz w:val="21"/>
            </w:rPr>
            <w:fldChar w:fldCharType="separate"/>
          </w:r>
          <w:r>
            <w:rPr>
              <w:rFonts w:eastAsia="宋体" w:cs="Times New Roman"/>
              <w:smallCaps/>
              <w:sz w:val="21"/>
            </w:rPr>
            <w:t>4</w:t>
          </w:r>
          <w:r>
            <w:rPr>
              <w:rFonts w:hint="eastAsia" w:eastAsia="宋体" w:cs="Times New Roman"/>
              <w:smallCaps/>
              <w:sz w:val="21"/>
            </w:rPr>
            <w:t>8</w:t>
          </w:r>
          <w:r>
            <w:rPr>
              <w:rFonts w:eastAsia="宋体" w:cs="Times New Roman"/>
              <w:smallCaps/>
              <w:sz w:val="21"/>
            </w:rPr>
            <w:fldChar w:fldCharType="end"/>
          </w:r>
          <w:r>
            <w:rPr>
              <w:rFonts w:eastAsia="宋体" w:cs="Times New Roman"/>
              <w:smallCaps/>
              <w:sz w:val="21"/>
            </w:rPr>
            <w:fldChar w:fldCharType="end"/>
          </w:r>
        </w:p>
        <w:p w14:paraId="2272DA47">
          <w:pPr>
            <w:tabs>
              <w:tab w:val="right" w:leader="dot" w:pos="8296"/>
            </w:tabs>
            <w:spacing w:before="120" w:after="120"/>
            <w:ind w:firstLine="0" w:firstLineChars="0"/>
            <w:rPr>
              <w:rFonts w:eastAsia="宋体" w:cs="Times New Roman"/>
              <w:sz w:val="21"/>
            </w:rPr>
          </w:pPr>
          <w:r>
            <w:fldChar w:fldCharType="begin"/>
          </w:r>
          <w:r>
            <w:instrText xml:space="preserve"> HYPERLINK \l "_Toc140052664" </w:instrText>
          </w:r>
          <w:r>
            <w:fldChar w:fldCharType="separate"/>
          </w:r>
          <w:r>
            <w:rPr>
              <w:rFonts w:eastAsia="宋体" w:cs="Times New Roman"/>
              <w:b/>
              <w:bCs/>
              <w:caps/>
              <w:sz w:val="20"/>
              <w:szCs w:val="20"/>
              <w:u w:val="single"/>
            </w:rPr>
            <w:t>3</w:t>
          </w:r>
          <w:r>
            <w:rPr>
              <w:rFonts w:ascii="Calibri" w:hAnsi="Calibri" w:eastAsia="宋体" w:cs="Times New Roman"/>
              <w:b/>
              <w:bCs/>
              <w:caps/>
              <w:sz w:val="21"/>
              <w:u w:val="single"/>
            </w:rPr>
            <w:t xml:space="preserve"> </w:t>
          </w:r>
          <w:r>
            <w:rPr>
              <w:rFonts w:ascii="Calibri" w:hAnsi="Calibri" w:eastAsia="宋体" w:cs="Times New Roman"/>
              <w:b/>
              <w:bCs/>
              <w:caps/>
              <w:sz w:val="20"/>
              <w:szCs w:val="20"/>
              <w:u w:val="single"/>
            </w:rPr>
            <w:t>基本规定</w:t>
          </w:r>
          <w:r>
            <w:rPr>
              <w:rFonts w:eastAsia="宋体" w:cs="Times New Roman"/>
              <w:b/>
              <w:bCs/>
              <w:caps/>
              <w:sz w:val="21"/>
            </w:rPr>
            <w:tab/>
          </w:r>
          <w:r>
            <w:rPr>
              <w:rFonts w:hint="eastAsia" w:eastAsia="宋体" w:cs="Times New Roman"/>
              <w:b/>
              <w:bCs/>
              <w:caps/>
              <w:sz w:val="20"/>
              <w:szCs w:val="20"/>
              <w:u w:val="single"/>
            </w:rPr>
            <w:t>4</w:t>
          </w:r>
          <w:r>
            <w:rPr>
              <w:rFonts w:hint="eastAsia" w:eastAsia="宋体" w:cs="Times New Roman"/>
              <w:b/>
              <w:bCs/>
              <w:caps/>
              <w:sz w:val="20"/>
              <w:szCs w:val="20"/>
              <w:u w:val="single"/>
            </w:rPr>
            <w:fldChar w:fldCharType="end"/>
          </w:r>
          <w:r>
            <w:rPr>
              <w:rFonts w:hint="eastAsia" w:eastAsia="宋体" w:cs="Times New Roman"/>
              <w:b/>
              <w:bCs/>
              <w:caps/>
              <w:sz w:val="20"/>
              <w:szCs w:val="20"/>
              <w:u w:val="single"/>
            </w:rPr>
            <w:t>8</w:t>
          </w:r>
        </w:p>
        <w:p w14:paraId="34A76B1A">
          <w:pPr>
            <w:tabs>
              <w:tab w:val="right" w:leader="dot" w:pos="8296"/>
            </w:tabs>
            <w:spacing w:before="120" w:after="120"/>
            <w:ind w:firstLine="0" w:firstLineChars="0"/>
            <w:rPr>
              <w:rFonts w:eastAsia="宋体" w:cs="Times New Roman"/>
              <w:sz w:val="21"/>
            </w:rPr>
          </w:pPr>
          <w:r>
            <w:fldChar w:fldCharType="begin"/>
          </w:r>
          <w:r>
            <w:instrText xml:space="preserve"> HYPERLINK \l "_Toc140052665" </w:instrText>
          </w:r>
          <w:r>
            <w:fldChar w:fldCharType="separate"/>
          </w:r>
          <w:r>
            <w:rPr>
              <w:rFonts w:eastAsia="宋体" w:cs="Times New Roman"/>
              <w:b/>
              <w:bCs/>
              <w:caps/>
              <w:sz w:val="20"/>
              <w:szCs w:val="20"/>
              <w:u w:val="single"/>
            </w:rPr>
            <w:t>4</w:t>
          </w:r>
          <w:r>
            <w:rPr>
              <w:rFonts w:ascii="Calibri" w:hAnsi="Calibri" w:eastAsia="宋体" w:cs="Times New Roman"/>
              <w:b/>
              <w:bCs/>
              <w:caps/>
              <w:sz w:val="21"/>
              <w:u w:val="single"/>
            </w:rPr>
            <w:t xml:space="preserve"> </w:t>
          </w:r>
          <w:r>
            <w:rPr>
              <w:rFonts w:ascii="Calibri" w:hAnsi="Calibri" w:eastAsia="宋体" w:cs="Times New Roman"/>
              <w:b/>
              <w:bCs/>
              <w:caps/>
              <w:sz w:val="20"/>
              <w:szCs w:val="20"/>
              <w:u w:val="single"/>
            </w:rPr>
            <w:t>前端监测设施</w:t>
          </w:r>
          <w:r>
            <w:rPr>
              <w:rFonts w:eastAsia="宋体" w:cs="Times New Roman"/>
              <w:b/>
              <w:bCs/>
              <w:caps/>
              <w:sz w:val="21"/>
            </w:rPr>
            <w:tab/>
          </w:r>
          <w:r>
            <w:rPr>
              <w:rFonts w:eastAsia="宋体" w:cs="Times New Roman"/>
              <w:b/>
              <w:bCs/>
              <w:caps/>
              <w:sz w:val="20"/>
              <w:szCs w:val="20"/>
              <w:u w:val="single"/>
            </w:rPr>
            <w:fldChar w:fldCharType="begin"/>
          </w:r>
          <w:r>
            <w:rPr>
              <w:rFonts w:eastAsia="宋体" w:cs="Times New Roman"/>
              <w:b/>
              <w:bCs/>
              <w:caps/>
              <w:sz w:val="20"/>
              <w:szCs w:val="20"/>
              <w:u w:val="single"/>
            </w:rPr>
            <w:instrText xml:space="preserve"> PAGEREF _Toc140052665 \h </w:instrText>
          </w:r>
          <w:r>
            <w:rPr>
              <w:rFonts w:eastAsia="宋体" w:cs="Times New Roman"/>
              <w:b/>
              <w:bCs/>
              <w:caps/>
              <w:sz w:val="20"/>
              <w:szCs w:val="20"/>
              <w:u w:val="single"/>
            </w:rPr>
            <w:fldChar w:fldCharType="separate"/>
          </w:r>
          <w:r>
            <w:rPr>
              <w:rFonts w:eastAsia="宋体" w:cs="Times New Roman"/>
              <w:b/>
              <w:bCs/>
              <w:caps/>
              <w:sz w:val="20"/>
              <w:szCs w:val="20"/>
              <w:u w:val="single"/>
            </w:rPr>
            <w:t>4</w:t>
          </w:r>
          <w:r>
            <w:rPr>
              <w:rFonts w:hint="eastAsia" w:eastAsia="宋体" w:cs="Times New Roman"/>
              <w:b/>
              <w:bCs/>
              <w:caps/>
              <w:sz w:val="20"/>
              <w:szCs w:val="20"/>
              <w:u w:val="single"/>
            </w:rPr>
            <w:t>8</w:t>
          </w:r>
          <w:r>
            <w:rPr>
              <w:rFonts w:eastAsia="宋体" w:cs="Times New Roman"/>
              <w:b/>
              <w:bCs/>
              <w:caps/>
              <w:sz w:val="20"/>
              <w:szCs w:val="20"/>
              <w:u w:val="single"/>
            </w:rPr>
            <w:fldChar w:fldCharType="end"/>
          </w:r>
          <w:r>
            <w:rPr>
              <w:rFonts w:eastAsia="宋体" w:cs="Times New Roman"/>
              <w:b/>
              <w:bCs/>
              <w:caps/>
              <w:sz w:val="20"/>
              <w:szCs w:val="20"/>
              <w:u w:val="single"/>
            </w:rPr>
            <w:fldChar w:fldCharType="end"/>
          </w:r>
        </w:p>
        <w:p w14:paraId="0DA30E86">
          <w:pPr>
            <w:tabs>
              <w:tab w:val="right" w:leader="dot" w:pos="8296"/>
            </w:tabs>
            <w:ind w:left="210" w:firstLine="0" w:firstLineChars="0"/>
            <w:rPr>
              <w:rFonts w:eastAsia="宋体" w:cs="Times New Roman"/>
              <w:sz w:val="21"/>
            </w:rPr>
          </w:pPr>
          <w:r>
            <w:fldChar w:fldCharType="begin"/>
          </w:r>
          <w:r>
            <w:instrText xml:space="preserve"> HYPERLINK \l "_Toc140052666" </w:instrText>
          </w:r>
          <w:r>
            <w:fldChar w:fldCharType="separate"/>
          </w:r>
          <w:r>
            <w:rPr>
              <w:rFonts w:hint="eastAsia" w:eastAsia="宋体" w:cs="Times New Roman"/>
              <w:smallCaps/>
              <w:sz w:val="21"/>
            </w:rPr>
            <w:t>4.3</w:t>
          </w:r>
          <w:r>
            <w:rPr>
              <w:rFonts w:ascii="Calibri" w:hAnsi="Calibri" w:eastAsia="宋体" w:cs="Times New Roman"/>
              <w:smallCaps/>
              <w:sz w:val="21"/>
              <w:u w:val="single"/>
            </w:rPr>
            <w:t xml:space="preserve"> </w:t>
          </w:r>
          <w:r>
            <w:rPr>
              <w:rFonts w:hint="eastAsia" w:ascii="宋体" w:hAnsi="宋体" w:eastAsia="宋体" w:cs="宋体"/>
              <w:sz w:val="20"/>
              <w:szCs w:val="20"/>
            </w:rPr>
            <w:t>供水</w:t>
          </w:r>
          <w:r>
            <w:rPr>
              <w:rFonts w:eastAsia="宋体" w:cs="Times New Roman"/>
              <w:smallCaps/>
              <w:sz w:val="21"/>
            </w:rPr>
            <w:tab/>
          </w:r>
          <w:r>
            <w:rPr>
              <w:rFonts w:eastAsia="宋体" w:cs="Times New Roman"/>
              <w:smallCaps/>
              <w:sz w:val="21"/>
            </w:rPr>
            <w:fldChar w:fldCharType="begin"/>
          </w:r>
          <w:r>
            <w:rPr>
              <w:rFonts w:eastAsia="宋体" w:cs="Times New Roman"/>
              <w:smallCaps/>
              <w:sz w:val="21"/>
            </w:rPr>
            <w:instrText xml:space="preserve"> PAGEREF _Toc140052666 \h </w:instrText>
          </w:r>
          <w:r>
            <w:rPr>
              <w:rFonts w:eastAsia="宋体" w:cs="Times New Roman"/>
              <w:smallCaps/>
              <w:sz w:val="21"/>
            </w:rPr>
            <w:fldChar w:fldCharType="separate"/>
          </w:r>
          <w:r>
            <w:rPr>
              <w:rFonts w:eastAsia="宋体" w:cs="Times New Roman"/>
              <w:smallCaps/>
              <w:sz w:val="21"/>
            </w:rPr>
            <w:t>4</w:t>
          </w:r>
          <w:r>
            <w:rPr>
              <w:rFonts w:hint="eastAsia" w:eastAsia="宋体" w:cs="Times New Roman"/>
              <w:smallCaps/>
              <w:sz w:val="21"/>
            </w:rPr>
            <w:t>8</w:t>
          </w:r>
          <w:r>
            <w:rPr>
              <w:rFonts w:eastAsia="宋体" w:cs="Times New Roman"/>
              <w:smallCaps/>
              <w:sz w:val="21"/>
            </w:rPr>
            <w:fldChar w:fldCharType="end"/>
          </w:r>
          <w:r>
            <w:rPr>
              <w:rFonts w:eastAsia="宋体" w:cs="Times New Roman"/>
              <w:smallCaps/>
              <w:sz w:val="21"/>
            </w:rPr>
            <w:fldChar w:fldCharType="end"/>
          </w:r>
        </w:p>
        <w:p w14:paraId="6620487A">
          <w:pPr>
            <w:tabs>
              <w:tab w:val="right" w:leader="dot" w:pos="8296"/>
            </w:tabs>
            <w:ind w:left="210" w:firstLine="0" w:firstLineChars="0"/>
            <w:rPr>
              <w:rFonts w:eastAsia="宋体" w:cs="Times New Roman"/>
              <w:smallCaps/>
              <w:sz w:val="21"/>
            </w:rPr>
          </w:pPr>
          <w:r>
            <w:fldChar w:fldCharType="begin"/>
          </w:r>
          <w:r>
            <w:instrText xml:space="preserve"> HYPERLINK \l "_Toc140052667" </w:instrText>
          </w:r>
          <w:r>
            <w:fldChar w:fldCharType="separate"/>
          </w:r>
          <w:r>
            <w:rPr>
              <w:rFonts w:hint="eastAsia" w:eastAsia="宋体" w:cs="Times New Roman"/>
              <w:smallCaps/>
              <w:sz w:val="21"/>
            </w:rPr>
            <w:t>4.4</w:t>
          </w:r>
          <w:r>
            <w:rPr>
              <w:rFonts w:ascii="Calibri" w:hAnsi="Calibri" w:eastAsia="宋体" w:cs="Times New Roman"/>
              <w:smallCaps/>
              <w:sz w:val="21"/>
              <w:u w:val="single"/>
            </w:rPr>
            <w:t xml:space="preserve"> </w:t>
          </w:r>
          <w:r>
            <w:rPr>
              <w:rFonts w:hint="eastAsia" w:ascii="宋体" w:hAnsi="宋体" w:eastAsia="宋体" w:cs="宋体"/>
              <w:sz w:val="20"/>
              <w:szCs w:val="20"/>
            </w:rPr>
            <w:t>排水</w:t>
          </w:r>
          <w:r>
            <w:rPr>
              <w:rFonts w:eastAsia="宋体" w:cs="Times New Roman"/>
              <w:smallCaps/>
              <w:sz w:val="21"/>
            </w:rPr>
            <w:tab/>
          </w:r>
          <w:r>
            <w:rPr>
              <w:rFonts w:eastAsia="宋体" w:cs="Times New Roman"/>
              <w:smallCaps/>
              <w:sz w:val="21"/>
            </w:rPr>
            <w:fldChar w:fldCharType="begin"/>
          </w:r>
          <w:r>
            <w:rPr>
              <w:rFonts w:eastAsia="宋体" w:cs="Times New Roman"/>
              <w:smallCaps/>
              <w:sz w:val="21"/>
            </w:rPr>
            <w:instrText xml:space="preserve"> PAGEREF _Toc140052667 \h </w:instrText>
          </w:r>
          <w:r>
            <w:rPr>
              <w:rFonts w:eastAsia="宋体" w:cs="Times New Roman"/>
              <w:smallCaps/>
              <w:sz w:val="21"/>
            </w:rPr>
            <w:fldChar w:fldCharType="separate"/>
          </w:r>
          <w:r>
            <w:rPr>
              <w:rFonts w:eastAsia="宋体" w:cs="Times New Roman"/>
              <w:smallCaps/>
              <w:sz w:val="21"/>
            </w:rPr>
            <w:t>4</w:t>
          </w:r>
          <w:r>
            <w:rPr>
              <w:rFonts w:hint="eastAsia" w:eastAsia="宋体" w:cs="Times New Roman"/>
              <w:smallCaps/>
              <w:sz w:val="21"/>
            </w:rPr>
            <w:t>9</w:t>
          </w:r>
          <w:r>
            <w:rPr>
              <w:rFonts w:eastAsia="宋体" w:cs="Times New Roman"/>
              <w:smallCaps/>
              <w:sz w:val="21"/>
            </w:rPr>
            <w:fldChar w:fldCharType="end"/>
          </w:r>
          <w:r>
            <w:rPr>
              <w:rFonts w:eastAsia="宋体" w:cs="Times New Roman"/>
              <w:smallCaps/>
              <w:sz w:val="21"/>
            </w:rPr>
            <w:fldChar w:fldCharType="end"/>
          </w:r>
        </w:p>
        <w:p w14:paraId="63323F1A">
          <w:pPr>
            <w:tabs>
              <w:tab w:val="right" w:leader="dot" w:pos="8296"/>
            </w:tabs>
            <w:ind w:left="210" w:firstLine="0" w:firstLineChars="0"/>
            <w:rPr>
              <w:rFonts w:eastAsia="宋体" w:cs="Times New Roman"/>
              <w:sz w:val="21"/>
            </w:rPr>
          </w:pPr>
          <w:r>
            <w:fldChar w:fldCharType="begin"/>
          </w:r>
          <w:r>
            <w:instrText xml:space="preserve"> HYPERLINK \l "_Toc140052666" </w:instrText>
          </w:r>
          <w:r>
            <w:fldChar w:fldCharType="separate"/>
          </w:r>
          <w:r>
            <w:rPr>
              <w:rFonts w:hint="eastAsia" w:eastAsia="宋体" w:cs="Times New Roman"/>
              <w:smallCaps/>
              <w:sz w:val="21"/>
            </w:rPr>
            <w:t>4.6</w:t>
          </w:r>
          <w:r>
            <w:rPr>
              <w:rFonts w:ascii="Calibri" w:hAnsi="Calibri" w:eastAsia="宋体" w:cs="Times New Roman"/>
              <w:smallCaps/>
              <w:sz w:val="21"/>
              <w:u w:val="single"/>
            </w:rPr>
            <w:t xml:space="preserve"> </w:t>
          </w:r>
          <w:r>
            <w:rPr>
              <w:rFonts w:hint="eastAsia" w:ascii="宋体" w:hAnsi="宋体" w:eastAsia="宋体" w:cs="宋体"/>
              <w:sz w:val="20"/>
              <w:szCs w:val="20"/>
            </w:rPr>
            <w:t>桥梁</w:t>
          </w:r>
          <w:r>
            <w:rPr>
              <w:rFonts w:eastAsia="宋体" w:cs="Times New Roman"/>
              <w:smallCaps/>
              <w:sz w:val="21"/>
            </w:rPr>
            <w:tab/>
          </w:r>
          <w:r>
            <w:rPr>
              <w:rFonts w:eastAsia="宋体" w:cs="Times New Roman"/>
              <w:smallCaps/>
              <w:sz w:val="21"/>
            </w:rPr>
            <w:fldChar w:fldCharType="begin"/>
          </w:r>
          <w:r>
            <w:rPr>
              <w:rFonts w:eastAsia="宋体" w:cs="Times New Roman"/>
              <w:smallCaps/>
              <w:sz w:val="21"/>
            </w:rPr>
            <w:instrText xml:space="preserve"> PAGEREF _Toc140052666 \h </w:instrText>
          </w:r>
          <w:r>
            <w:rPr>
              <w:rFonts w:eastAsia="宋体" w:cs="Times New Roman"/>
              <w:smallCaps/>
              <w:sz w:val="21"/>
            </w:rPr>
            <w:fldChar w:fldCharType="separate"/>
          </w:r>
          <w:r>
            <w:rPr>
              <w:rFonts w:eastAsia="宋体" w:cs="Times New Roman"/>
              <w:smallCaps/>
              <w:sz w:val="21"/>
            </w:rPr>
            <w:t>4</w:t>
          </w:r>
          <w:r>
            <w:rPr>
              <w:rFonts w:hint="eastAsia" w:eastAsia="宋体" w:cs="Times New Roman"/>
              <w:smallCaps/>
              <w:sz w:val="21"/>
            </w:rPr>
            <w:t>9</w:t>
          </w:r>
          <w:r>
            <w:rPr>
              <w:rFonts w:eastAsia="宋体" w:cs="Times New Roman"/>
              <w:smallCaps/>
              <w:sz w:val="21"/>
            </w:rPr>
            <w:fldChar w:fldCharType="end"/>
          </w:r>
          <w:r>
            <w:rPr>
              <w:rFonts w:eastAsia="宋体" w:cs="Times New Roman"/>
              <w:smallCaps/>
              <w:sz w:val="21"/>
            </w:rPr>
            <w:fldChar w:fldCharType="end"/>
          </w:r>
        </w:p>
        <w:p w14:paraId="100CA03B">
          <w:pPr>
            <w:tabs>
              <w:tab w:val="right" w:leader="dot" w:pos="8296"/>
            </w:tabs>
            <w:ind w:left="210" w:firstLine="0" w:firstLineChars="0"/>
            <w:rPr>
              <w:rFonts w:eastAsia="宋体" w:cs="Times New Roman"/>
              <w:sz w:val="21"/>
            </w:rPr>
          </w:pPr>
          <w:r>
            <w:fldChar w:fldCharType="begin"/>
          </w:r>
          <w:r>
            <w:instrText xml:space="preserve"> HYPERLINK \l "_Toc140052667" </w:instrText>
          </w:r>
          <w:r>
            <w:fldChar w:fldCharType="separate"/>
          </w:r>
          <w:r>
            <w:rPr>
              <w:rFonts w:hint="eastAsia" w:eastAsia="宋体" w:cs="Times New Roman"/>
              <w:smallCaps/>
              <w:sz w:val="21"/>
            </w:rPr>
            <w:t>4.7</w:t>
          </w:r>
          <w:r>
            <w:rPr>
              <w:rFonts w:ascii="Calibri" w:hAnsi="Calibri" w:eastAsia="宋体" w:cs="Times New Roman"/>
              <w:smallCaps/>
              <w:sz w:val="21"/>
              <w:u w:val="single"/>
            </w:rPr>
            <w:t xml:space="preserve"> </w:t>
          </w:r>
          <w:r>
            <w:rPr>
              <w:rFonts w:hint="eastAsia" w:ascii="宋体" w:hAnsi="宋体" w:eastAsia="宋体" w:cs="宋体"/>
              <w:sz w:val="20"/>
              <w:szCs w:val="20"/>
            </w:rPr>
            <w:t>综合管廊</w:t>
          </w:r>
          <w:r>
            <w:rPr>
              <w:rFonts w:eastAsia="宋体" w:cs="Times New Roman"/>
              <w:smallCaps/>
              <w:sz w:val="21"/>
            </w:rPr>
            <w:tab/>
          </w:r>
          <w:r>
            <w:rPr>
              <w:rFonts w:eastAsia="宋体" w:cs="Times New Roman"/>
              <w:smallCaps/>
              <w:sz w:val="21"/>
            </w:rPr>
            <w:fldChar w:fldCharType="begin"/>
          </w:r>
          <w:r>
            <w:rPr>
              <w:rFonts w:eastAsia="宋体" w:cs="Times New Roman"/>
              <w:smallCaps/>
              <w:sz w:val="21"/>
            </w:rPr>
            <w:instrText xml:space="preserve"> PAGEREF _Toc140052667 \h </w:instrText>
          </w:r>
          <w:r>
            <w:rPr>
              <w:rFonts w:eastAsia="宋体" w:cs="Times New Roman"/>
              <w:smallCaps/>
              <w:sz w:val="21"/>
            </w:rPr>
            <w:fldChar w:fldCharType="separate"/>
          </w:r>
          <w:r>
            <w:rPr>
              <w:rFonts w:eastAsia="宋体" w:cs="Times New Roman"/>
              <w:smallCaps/>
              <w:sz w:val="21"/>
            </w:rPr>
            <w:t>4</w:t>
          </w:r>
          <w:r>
            <w:rPr>
              <w:rFonts w:hint="eastAsia" w:eastAsia="宋体" w:cs="Times New Roman"/>
              <w:smallCaps/>
              <w:sz w:val="21"/>
            </w:rPr>
            <w:t>9</w:t>
          </w:r>
          <w:r>
            <w:rPr>
              <w:rFonts w:eastAsia="宋体" w:cs="Times New Roman"/>
              <w:smallCaps/>
              <w:sz w:val="21"/>
            </w:rPr>
            <w:fldChar w:fldCharType="end"/>
          </w:r>
          <w:r>
            <w:rPr>
              <w:rFonts w:eastAsia="宋体" w:cs="Times New Roman"/>
              <w:smallCaps/>
              <w:sz w:val="21"/>
            </w:rPr>
            <w:fldChar w:fldCharType="end"/>
          </w:r>
        </w:p>
        <w:p w14:paraId="7E6BE265">
          <w:pPr>
            <w:tabs>
              <w:tab w:val="right" w:leader="dot" w:pos="8296"/>
            </w:tabs>
            <w:spacing w:before="120" w:after="120"/>
            <w:ind w:firstLine="0" w:firstLineChars="0"/>
            <w:rPr>
              <w:rFonts w:eastAsia="宋体" w:cs="Times New Roman"/>
              <w:sz w:val="21"/>
            </w:rPr>
          </w:pPr>
          <w:r>
            <w:fldChar w:fldCharType="begin"/>
          </w:r>
          <w:r>
            <w:instrText xml:space="preserve"> HYPERLINK \l "_Toc140052670" </w:instrText>
          </w:r>
          <w:r>
            <w:fldChar w:fldCharType="separate"/>
          </w:r>
          <w:r>
            <w:rPr>
              <w:rFonts w:eastAsia="宋体" w:cs="Times New Roman"/>
              <w:b/>
              <w:bCs/>
              <w:caps/>
              <w:sz w:val="20"/>
              <w:szCs w:val="20"/>
              <w:u w:val="single"/>
            </w:rPr>
            <w:t>5</w:t>
          </w:r>
          <w:r>
            <w:rPr>
              <w:rFonts w:ascii="Calibri" w:hAnsi="Calibri" w:eastAsia="宋体" w:cs="Times New Roman"/>
              <w:b/>
              <w:bCs/>
              <w:caps/>
              <w:sz w:val="21"/>
              <w:u w:val="single"/>
            </w:rPr>
            <w:t xml:space="preserve"> </w:t>
          </w:r>
          <w:r>
            <w:rPr>
              <w:rFonts w:ascii="Calibri" w:hAnsi="Calibri" w:eastAsia="宋体" w:cs="Times New Roman"/>
              <w:b/>
              <w:bCs/>
              <w:caps/>
              <w:sz w:val="20"/>
              <w:szCs w:val="20"/>
              <w:u w:val="single"/>
            </w:rPr>
            <w:t>信号传输设施</w:t>
          </w:r>
          <w:r>
            <w:rPr>
              <w:rFonts w:eastAsia="宋体" w:cs="Times New Roman"/>
              <w:b/>
              <w:bCs/>
              <w:caps/>
              <w:sz w:val="21"/>
            </w:rPr>
            <w:tab/>
          </w:r>
          <w:r>
            <w:rPr>
              <w:rFonts w:eastAsia="宋体" w:cs="Times New Roman"/>
              <w:b/>
              <w:bCs/>
              <w:caps/>
              <w:sz w:val="20"/>
              <w:szCs w:val="20"/>
              <w:u w:val="single"/>
            </w:rPr>
            <w:fldChar w:fldCharType="begin"/>
          </w:r>
          <w:r>
            <w:rPr>
              <w:rFonts w:eastAsia="宋体" w:cs="Times New Roman"/>
              <w:b/>
              <w:bCs/>
              <w:caps/>
              <w:sz w:val="20"/>
              <w:szCs w:val="20"/>
              <w:u w:val="single"/>
            </w:rPr>
            <w:instrText xml:space="preserve"> PAGEREF _Toc140052670 \h </w:instrText>
          </w:r>
          <w:r>
            <w:rPr>
              <w:rFonts w:eastAsia="宋体" w:cs="Times New Roman"/>
              <w:b/>
              <w:bCs/>
              <w:caps/>
              <w:sz w:val="20"/>
              <w:szCs w:val="20"/>
              <w:u w:val="single"/>
            </w:rPr>
            <w:fldChar w:fldCharType="separate"/>
          </w:r>
          <w:r>
            <w:rPr>
              <w:rFonts w:eastAsia="宋体" w:cs="Times New Roman"/>
              <w:b/>
              <w:bCs/>
              <w:caps/>
              <w:sz w:val="20"/>
              <w:szCs w:val="20"/>
              <w:u w:val="single"/>
            </w:rPr>
            <w:t>4</w:t>
          </w:r>
          <w:r>
            <w:rPr>
              <w:rFonts w:hint="eastAsia" w:eastAsia="宋体" w:cs="Times New Roman"/>
              <w:b/>
              <w:bCs/>
              <w:caps/>
              <w:sz w:val="20"/>
              <w:szCs w:val="20"/>
              <w:u w:val="single"/>
            </w:rPr>
            <w:t>9</w:t>
          </w:r>
          <w:r>
            <w:rPr>
              <w:rFonts w:eastAsia="宋体" w:cs="Times New Roman"/>
              <w:b/>
              <w:bCs/>
              <w:caps/>
              <w:sz w:val="20"/>
              <w:szCs w:val="20"/>
              <w:u w:val="single"/>
            </w:rPr>
            <w:fldChar w:fldCharType="end"/>
          </w:r>
          <w:r>
            <w:rPr>
              <w:rFonts w:eastAsia="宋体" w:cs="Times New Roman"/>
              <w:b/>
              <w:bCs/>
              <w:caps/>
              <w:sz w:val="20"/>
              <w:szCs w:val="20"/>
              <w:u w:val="single"/>
            </w:rPr>
            <w:fldChar w:fldCharType="end"/>
          </w:r>
        </w:p>
        <w:p w14:paraId="0EA6CB0C">
          <w:pPr>
            <w:tabs>
              <w:tab w:val="right" w:leader="dot" w:pos="8296"/>
            </w:tabs>
            <w:ind w:left="210" w:firstLine="0" w:firstLineChars="0"/>
            <w:rPr>
              <w:rFonts w:eastAsia="宋体" w:cs="Times New Roman"/>
              <w:sz w:val="21"/>
            </w:rPr>
          </w:pPr>
          <w:r>
            <w:fldChar w:fldCharType="begin"/>
          </w:r>
          <w:r>
            <w:instrText xml:space="preserve"> HYPERLINK \l "_Toc140052671" </w:instrText>
          </w:r>
          <w:r>
            <w:fldChar w:fldCharType="separate"/>
          </w:r>
          <w:r>
            <w:rPr>
              <w:rFonts w:hint="eastAsia" w:eastAsia="宋体" w:cs="Times New Roman"/>
              <w:smallCaps/>
              <w:sz w:val="21"/>
            </w:rPr>
            <w:t>5.2</w:t>
          </w:r>
          <w:r>
            <w:rPr>
              <w:rFonts w:ascii="Calibri" w:hAnsi="Calibri" w:eastAsia="宋体" w:cs="Times New Roman"/>
              <w:smallCaps/>
              <w:sz w:val="21"/>
              <w:u w:val="single"/>
            </w:rPr>
            <w:t xml:space="preserve"> </w:t>
          </w:r>
          <w:r>
            <w:rPr>
              <w:rFonts w:hint="eastAsia" w:ascii="宋体" w:hAnsi="宋体" w:eastAsia="宋体" w:cs="宋体"/>
              <w:sz w:val="20"/>
              <w:szCs w:val="20"/>
            </w:rPr>
            <w:t>传输方式</w:t>
          </w:r>
          <w:r>
            <w:rPr>
              <w:rFonts w:eastAsia="宋体" w:cs="Times New Roman"/>
              <w:smallCaps/>
              <w:sz w:val="21"/>
            </w:rPr>
            <w:tab/>
          </w:r>
          <w:r>
            <w:rPr>
              <w:rFonts w:eastAsia="宋体" w:cs="Times New Roman"/>
              <w:smallCaps/>
              <w:sz w:val="21"/>
            </w:rPr>
            <w:fldChar w:fldCharType="begin"/>
          </w:r>
          <w:r>
            <w:rPr>
              <w:rFonts w:eastAsia="宋体" w:cs="Times New Roman"/>
              <w:smallCaps/>
              <w:sz w:val="21"/>
            </w:rPr>
            <w:instrText xml:space="preserve"> PAGEREF _Toc140052671 \h </w:instrText>
          </w:r>
          <w:r>
            <w:rPr>
              <w:rFonts w:eastAsia="宋体" w:cs="Times New Roman"/>
              <w:smallCaps/>
              <w:sz w:val="21"/>
            </w:rPr>
            <w:fldChar w:fldCharType="separate"/>
          </w:r>
          <w:r>
            <w:rPr>
              <w:rFonts w:eastAsia="宋体" w:cs="Times New Roman"/>
              <w:smallCaps/>
              <w:sz w:val="21"/>
            </w:rPr>
            <w:t>4</w:t>
          </w:r>
          <w:r>
            <w:rPr>
              <w:rFonts w:hint="eastAsia" w:eastAsia="宋体" w:cs="Times New Roman"/>
              <w:smallCaps/>
              <w:sz w:val="21"/>
            </w:rPr>
            <w:t>9</w:t>
          </w:r>
          <w:r>
            <w:rPr>
              <w:rFonts w:eastAsia="宋体" w:cs="Times New Roman"/>
              <w:smallCaps/>
              <w:sz w:val="21"/>
            </w:rPr>
            <w:fldChar w:fldCharType="end"/>
          </w:r>
          <w:r>
            <w:rPr>
              <w:rFonts w:eastAsia="宋体" w:cs="Times New Roman"/>
              <w:smallCaps/>
              <w:sz w:val="21"/>
            </w:rPr>
            <w:fldChar w:fldCharType="end"/>
          </w:r>
        </w:p>
        <w:p w14:paraId="4AB1A571">
          <w:pPr>
            <w:tabs>
              <w:tab w:val="right" w:leader="dot" w:pos="8296"/>
            </w:tabs>
            <w:ind w:left="210" w:firstLine="0" w:firstLineChars="0"/>
            <w:rPr>
              <w:rFonts w:eastAsia="宋体" w:cs="Times New Roman"/>
              <w:sz w:val="21"/>
            </w:rPr>
          </w:pPr>
          <w:r>
            <w:fldChar w:fldCharType="begin"/>
          </w:r>
          <w:r>
            <w:instrText xml:space="preserve"> HYPERLINK \l "_Toc140052672" </w:instrText>
          </w:r>
          <w:r>
            <w:fldChar w:fldCharType="separate"/>
          </w:r>
          <w:r>
            <w:rPr>
              <w:rFonts w:hint="eastAsia" w:eastAsia="宋体" w:cs="Times New Roman"/>
              <w:smallCaps/>
              <w:sz w:val="21"/>
            </w:rPr>
            <w:t>5.3</w:t>
          </w:r>
          <w:r>
            <w:rPr>
              <w:rFonts w:ascii="Calibri" w:hAnsi="Calibri" w:eastAsia="宋体" w:cs="Times New Roman"/>
              <w:smallCaps/>
              <w:sz w:val="21"/>
              <w:u w:val="single"/>
            </w:rPr>
            <w:t xml:space="preserve"> </w:t>
          </w:r>
          <w:r>
            <w:rPr>
              <w:rFonts w:hint="eastAsia" w:ascii="宋体" w:hAnsi="宋体" w:eastAsia="宋体" w:cs="宋体"/>
              <w:sz w:val="20"/>
              <w:szCs w:val="20"/>
            </w:rPr>
            <w:t>线缆选择</w:t>
          </w:r>
          <w:r>
            <w:rPr>
              <w:rFonts w:eastAsia="宋体" w:cs="Times New Roman"/>
              <w:smallCaps/>
              <w:sz w:val="21"/>
            </w:rPr>
            <w:tab/>
          </w:r>
          <w:r>
            <w:rPr>
              <w:rFonts w:eastAsia="宋体" w:cs="Times New Roman"/>
              <w:smallCaps/>
              <w:sz w:val="21"/>
            </w:rPr>
            <w:fldChar w:fldCharType="begin"/>
          </w:r>
          <w:r>
            <w:rPr>
              <w:rFonts w:eastAsia="宋体" w:cs="Times New Roman"/>
              <w:smallCaps/>
              <w:sz w:val="21"/>
            </w:rPr>
            <w:instrText xml:space="preserve"> PAGEREF _Toc140052672 \h </w:instrText>
          </w:r>
          <w:r>
            <w:rPr>
              <w:rFonts w:eastAsia="宋体" w:cs="Times New Roman"/>
              <w:smallCaps/>
              <w:sz w:val="21"/>
            </w:rPr>
            <w:fldChar w:fldCharType="separate"/>
          </w:r>
          <w:r>
            <w:rPr>
              <w:rFonts w:eastAsia="宋体" w:cs="Times New Roman"/>
              <w:smallCaps/>
              <w:sz w:val="21"/>
            </w:rPr>
            <w:t>4</w:t>
          </w:r>
          <w:r>
            <w:rPr>
              <w:rFonts w:hint="eastAsia" w:eastAsia="宋体" w:cs="Times New Roman"/>
              <w:smallCaps/>
              <w:sz w:val="21"/>
            </w:rPr>
            <w:t>9</w:t>
          </w:r>
          <w:r>
            <w:rPr>
              <w:rFonts w:eastAsia="宋体" w:cs="Times New Roman"/>
              <w:smallCaps/>
              <w:sz w:val="21"/>
            </w:rPr>
            <w:fldChar w:fldCharType="end"/>
          </w:r>
          <w:r>
            <w:rPr>
              <w:rFonts w:eastAsia="宋体" w:cs="Times New Roman"/>
              <w:smallCaps/>
              <w:sz w:val="21"/>
            </w:rPr>
            <w:fldChar w:fldCharType="end"/>
          </w:r>
        </w:p>
        <w:p w14:paraId="2CA68D3D">
          <w:pPr>
            <w:tabs>
              <w:tab w:val="right" w:leader="dot" w:pos="8296"/>
            </w:tabs>
            <w:ind w:left="210" w:firstLine="0" w:firstLineChars="0"/>
            <w:rPr>
              <w:rFonts w:eastAsia="宋体" w:cs="Times New Roman"/>
              <w:smallCaps/>
              <w:sz w:val="21"/>
            </w:rPr>
          </w:pPr>
          <w:r>
            <w:fldChar w:fldCharType="begin"/>
          </w:r>
          <w:r>
            <w:instrText xml:space="preserve"> HYPERLINK \l "_Toc140052673" </w:instrText>
          </w:r>
          <w:r>
            <w:fldChar w:fldCharType="separate"/>
          </w:r>
          <w:r>
            <w:rPr>
              <w:rFonts w:hint="eastAsia" w:eastAsia="宋体" w:cs="Times New Roman"/>
              <w:smallCaps/>
              <w:sz w:val="21"/>
            </w:rPr>
            <w:t>5.4</w:t>
          </w:r>
          <w:r>
            <w:rPr>
              <w:rFonts w:ascii="Calibri" w:hAnsi="Calibri" w:eastAsia="宋体" w:cs="Times New Roman"/>
              <w:smallCaps/>
              <w:sz w:val="21"/>
              <w:u w:val="single"/>
            </w:rPr>
            <w:t xml:space="preserve"> </w:t>
          </w:r>
          <w:r>
            <w:rPr>
              <w:rFonts w:hint="eastAsia" w:ascii="宋体" w:hAnsi="宋体" w:eastAsia="宋体" w:cs="宋体"/>
              <w:sz w:val="20"/>
              <w:szCs w:val="20"/>
            </w:rPr>
            <w:t>通信网关</w:t>
          </w:r>
          <w:r>
            <w:rPr>
              <w:rFonts w:eastAsia="宋体" w:cs="Times New Roman"/>
              <w:smallCaps/>
              <w:sz w:val="21"/>
            </w:rPr>
            <w:tab/>
          </w:r>
          <w:r>
            <w:rPr>
              <w:rFonts w:eastAsia="宋体" w:cs="Times New Roman"/>
              <w:smallCaps/>
              <w:sz w:val="21"/>
            </w:rPr>
            <w:fldChar w:fldCharType="begin"/>
          </w:r>
          <w:r>
            <w:rPr>
              <w:rFonts w:eastAsia="宋体" w:cs="Times New Roman"/>
              <w:smallCaps/>
              <w:sz w:val="21"/>
            </w:rPr>
            <w:instrText xml:space="preserve"> PAGEREF _Toc140052673 \h </w:instrText>
          </w:r>
          <w:r>
            <w:rPr>
              <w:rFonts w:eastAsia="宋体" w:cs="Times New Roman"/>
              <w:smallCaps/>
              <w:sz w:val="21"/>
            </w:rPr>
            <w:fldChar w:fldCharType="separate"/>
          </w:r>
          <w:r>
            <w:rPr>
              <w:rFonts w:eastAsia="宋体" w:cs="Times New Roman"/>
              <w:smallCaps/>
              <w:sz w:val="21"/>
            </w:rPr>
            <w:t>4</w:t>
          </w:r>
          <w:r>
            <w:rPr>
              <w:rFonts w:hint="eastAsia" w:eastAsia="宋体" w:cs="Times New Roman"/>
              <w:smallCaps/>
              <w:sz w:val="21"/>
            </w:rPr>
            <w:t>9</w:t>
          </w:r>
          <w:r>
            <w:rPr>
              <w:rFonts w:eastAsia="宋体" w:cs="Times New Roman"/>
              <w:smallCaps/>
              <w:sz w:val="21"/>
            </w:rPr>
            <w:fldChar w:fldCharType="end"/>
          </w:r>
          <w:r>
            <w:rPr>
              <w:rFonts w:eastAsia="宋体" w:cs="Times New Roman"/>
              <w:smallCaps/>
              <w:sz w:val="21"/>
            </w:rPr>
            <w:fldChar w:fldCharType="end"/>
          </w:r>
        </w:p>
        <w:p w14:paraId="5C82BECF">
          <w:pPr>
            <w:tabs>
              <w:tab w:val="right" w:leader="dot" w:pos="8296"/>
            </w:tabs>
            <w:ind w:left="210" w:firstLine="0" w:firstLineChars="0"/>
            <w:rPr>
              <w:rFonts w:eastAsia="宋体" w:cs="Times New Roman"/>
              <w:sz w:val="21"/>
            </w:rPr>
          </w:pPr>
          <w:r>
            <w:fldChar w:fldCharType="begin"/>
          </w:r>
          <w:r>
            <w:instrText xml:space="preserve"> HYPERLINK \l "_Toc140052673" </w:instrText>
          </w:r>
          <w:r>
            <w:fldChar w:fldCharType="separate"/>
          </w:r>
          <w:r>
            <w:rPr>
              <w:rFonts w:hint="eastAsia" w:eastAsia="宋体" w:cs="Times New Roman"/>
              <w:smallCaps/>
              <w:sz w:val="21"/>
            </w:rPr>
            <w:t xml:space="preserve">5.5 </w:t>
          </w:r>
          <w:r>
            <w:rPr>
              <w:rFonts w:hint="eastAsia" w:ascii="宋体" w:hAnsi="宋体" w:eastAsia="宋体" w:cs="宋体"/>
              <w:sz w:val="20"/>
              <w:szCs w:val="20"/>
            </w:rPr>
            <w:t>智慧应用</w:t>
          </w:r>
          <w:r>
            <w:rPr>
              <w:rFonts w:eastAsia="宋体" w:cs="Times New Roman"/>
              <w:smallCaps/>
              <w:sz w:val="21"/>
            </w:rPr>
            <w:tab/>
          </w:r>
          <w:r>
            <w:rPr>
              <w:rFonts w:hint="eastAsia" w:eastAsia="宋体" w:cs="Times New Roman"/>
              <w:smallCaps/>
              <w:sz w:val="21"/>
            </w:rPr>
            <w:t>5</w:t>
          </w:r>
          <w:r>
            <w:rPr>
              <w:rFonts w:hint="eastAsia" w:eastAsia="宋体" w:cs="Times New Roman"/>
              <w:smallCaps/>
              <w:sz w:val="21"/>
            </w:rPr>
            <w:fldChar w:fldCharType="end"/>
          </w:r>
          <w:r>
            <w:rPr>
              <w:rFonts w:hint="eastAsia" w:eastAsia="宋体" w:cs="Times New Roman"/>
              <w:smallCaps/>
              <w:sz w:val="21"/>
            </w:rPr>
            <w:t>1</w:t>
          </w:r>
        </w:p>
        <w:p w14:paraId="08C5A247">
          <w:pPr>
            <w:adjustRightInd w:val="0"/>
            <w:snapToGrid w:val="0"/>
            <w:spacing w:line="360" w:lineRule="auto"/>
            <w:ind w:firstLine="0" w:firstLineChars="0"/>
            <w:jc w:val="left"/>
            <w:rPr>
              <w:rFonts w:eastAsia="宋体" w:cs="Times New Roman"/>
              <w:sz w:val="24"/>
              <w:szCs w:val="21"/>
            </w:rPr>
            <w:sectPr>
              <w:pgSz w:w="11906" w:h="16838"/>
              <w:pgMar w:top="2410" w:right="1134" w:bottom="1134" w:left="1134" w:header="851" w:footer="992" w:gutter="284"/>
              <w:cols w:space="425" w:num="1"/>
              <w:docGrid w:type="lines" w:linePitch="312" w:charSpace="0"/>
            </w:sectPr>
          </w:pPr>
          <w:r>
            <w:rPr>
              <w:rFonts w:eastAsia="宋体" w:cs="Times New Roman"/>
              <w:b/>
              <w:bCs/>
              <w:smallCaps/>
              <w:sz w:val="21"/>
              <w:lang w:val="zh-CN"/>
            </w:rPr>
            <w:fldChar w:fldCharType="end"/>
          </w:r>
        </w:p>
      </w:sdtContent>
    </w:sdt>
    <w:p w14:paraId="7549AC96">
      <w:pPr>
        <w:spacing w:before="312" w:beforeLines="100" w:after="312" w:afterLines="100" w:line="578" w:lineRule="auto"/>
        <w:ind w:firstLine="602"/>
        <w:jc w:val="center"/>
        <w:outlineLvl w:val="0"/>
        <w:rPr>
          <w:rFonts w:eastAsia="宋体" w:cs="Times New Roman"/>
          <w:b/>
          <w:bCs/>
          <w:color w:val="000000"/>
          <w:sz w:val="30"/>
          <w:szCs w:val="30"/>
        </w:rPr>
      </w:pPr>
      <w:bookmarkStart w:id="141" w:name="_Toc140052662"/>
      <w:bookmarkStart w:id="142" w:name="_Toc139814521"/>
      <w:bookmarkStart w:id="143" w:name="_Toc140049584"/>
      <w:bookmarkStart w:id="144" w:name="_Toc140160814"/>
      <w:r>
        <w:rPr>
          <w:rFonts w:eastAsia="宋体" w:cs="Times New Roman"/>
          <w:b/>
          <w:bCs/>
          <w:color w:val="000000"/>
          <w:sz w:val="30"/>
          <w:szCs w:val="30"/>
        </w:rPr>
        <w:t>1 总  则</w:t>
      </w:r>
      <w:bookmarkEnd w:id="141"/>
      <w:bookmarkEnd w:id="142"/>
      <w:bookmarkEnd w:id="143"/>
      <w:bookmarkEnd w:id="144"/>
    </w:p>
    <w:p w14:paraId="3FD37B98">
      <w:pPr>
        <w:spacing w:line="360" w:lineRule="auto"/>
        <w:ind w:firstLine="0" w:firstLineChars="0"/>
        <w:rPr>
          <w:rFonts w:eastAsia="宋体" w:cs="Times New Roman"/>
          <w:iCs/>
          <w:color w:val="000000"/>
          <w:sz w:val="21"/>
          <w:szCs w:val="21"/>
        </w:rPr>
      </w:pPr>
      <w:r>
        <w:rPr>
          <w:rFonts w:eastAsia="宋体" w:cs="Times New Roman"/>
          <w:iCs/>
          <w:color w:val="000000"/>
          <w:sz w:val="21"/>
          <w:szCs w:val="21"/>
        </w:rPr>
        <w:t>1.0.</w:t>
      </w:r>
      <w:r>
        <w:rPr>
          <w:rFonts w:hint="eastAsia" w:eastAsia="宋体" w:cs="Times New Roman"/>
          <w:iCs/>
          <w:color w:val="000000"/>
          <w:sz w:val="21"/>
          <w:szCs w:val="21"/>
        </w:rPr>
        <w:t>3</w:t>
      </w:r>
      <w:r>
        <w:rPr>
          <w:rFonts w:eastAsia="宋体" w:cs="Times New Roman"/>
          <w:iCs/>
          <w:color w:val="000000"/>
          <w:sz w:val="21"/>
          <w:szCs w:val="21"/>
        </w:rPr>
        <w:t xml:space="preserve"> </w:t>
      </w:r>
      <w:r>
        <w:rPr>
          <w:rFonts w:hint="eastAsia" w:eastAsia="宋体" w:cs="Times New Roman"/>
          <w:color w:val="000000"/>
          <w:sz w:val="21"/>
          <w:szCs w:val="21"/>
        </w:rPr>
        <w:t>城市基础设施通常包括燃气、供水、排水、交通、通信、供电、桥梁、综合管廊等。由于其安全重要性，需同步建设城市生命线工程监测设施，适当预留安装空间、配线设施和供电、接地等附属设施，保持系统建设一致性和可扩展性，避免重复建设，提升城市管理的智慧化水平。</w:t>
      </w:r>
    </w:p>
    <w:p w14:paraId="0D88E517">
      <w:pPr>
        <w:spacing w:line="360" w:lineRule="auto"/>
        <w:ind w:firstLine="0" w:firstLineChars="0"/>
        <w:rPr>
          <w:rFonts w:eastAsia="宋体" w:cs="Times New Roman"/>
          <w:iCs/>
          <w:color w:val="000000"/>
          <w:sz w:val="21"/>
          <w:szCs w:val="21"/>
        </w:rPr>
      </w:pPr>
      <w:r>
        <w:rPr>
          <w:rFonts w:eastAsia="宋体" w:cs="Times New Roman"/>
          <w:iCs/>
          <w:color w:val="000000"/>
          <w:sz w:val="21"/>
          <w:szCs w:val="21"/>
        </w:rPr>
        <w:t>1.0.</w:t>
      </w:r>
      <w:r>
        <w:rPr>
          <w:rFonts w:hint="eastAsia" w:eastAsia="宋体" w:cs="Times New Roman"/>
          <w:iCs/>
          <w:color w:val="000000"/>
          <w:sz w:val="21"/>
          <w:szCs w:val="21"/>
        </w:rPr>
        <w:t>4</w:t>
      </w:r>
      <w:r>
        <w:rPr>
          <w:rFonts w:eastAsia="宋体" w:cs="Times New Roman"/>
          <w:iCs/>
          <w:color w:val="000000"/>
          <w:sz w:val="21"/>
          <w:szCs w:val="21"/>
        </w:rPr>
        <w:t xml:space="preserve"> </w:t>
      </w:r>
      <w:r>
        <w:rPr>
          <w:rFonts w:hint="eastAsia" w:eastAsia="宋体" w:cs="Times New Roman"/>
          <w:iCs/>
          <w:color w:val="000000"/>
          <w:sz w:val="21"/>
          <w:szCs w:val="21"/>
        </w:rPr>
        <w:t>城市生命线工程监测设施的工程建设应根据相应的管理规定，选用安全可控的产品设备和符合相关条件的设计、施工、检测、验收和运维单位。</w:t>
      </w:r>
    </w:p>
    <w:p w14:paraId="396743A6">
      <w:pPr>
        <w:keepNext/>
        <w:keepLines/>
        <w:spacing w:before="340" w:after="156" w:line="578" w:lineRule="auto"/>
        <w:ind w:firstLine="602"/>
        <w:jc w:val="center"/>
        <w:outlineLvl w:val="0"/>
        <w:rPr>
          <w:rFonts w:eastAsia="宋体" w:cs="Times New Roman"/>
          <w:b/>
          <w:bCs/>
          <w:color w:val="000000"/>
          <w:kern w:val="44"/>
          <w:sz w:val="30"/>
          <w:szCs w:val="30"/>
        </w:rPr>
      </w:pPr>
      <w:bookmarkStart w:id="145" w:name="_Toc140160818"/>
      <w:bookmarkStart w:id="146" w:name="_Toc137046365"/>
      <w:bookmarkStart w:id="147" w:name="_Toc139814524"/>
      <w:bookmarkStart w:id="148" w:name="_Toc140049587"/>
      <w:bookmarkStart w:id="149" w:name="_Toc140052665"/>
      <w:r>
        <w:rPr>
          <w:rFonts w:hint="eastAsia" w:eastAsia="宋体" w:cs="Times New Roman"/>
          <w:b/>
          <w:bCs/>
          <w:color w:val="000000"/>
          <w:kern w:val="44"/>
          <w:sz w:val="30"/>
          <w:szCs w:val="30"/>
        </w:rPr>
        <w:t>2</w:t>
      </w:r>
      <w:r>
        <w:rPr>
          <w:rFonts w:eastAsia="宋体" w:cs="Times New Roman"/>
          <w:b/>
          <w:bCs/>
          <w:color w:val="000000"/>
          <w:kern w:val="44"/>
          <w:sz w:val="30"/>
          <w:szCs w:val="30"/>
        </w:rPr>
        <w:t xml:space="preserve"> </w:t>
      </w:r>
      <w:bookmarkEnd w:id="145"/>
      <w:bookmarkEnd w:id="146"/>
      <w:bookmarkEnd w:id="147"/>
      <w:bookmarkEnd w:id="148"/>
      <w:bookmarkEnd w:id="149"/>
      <w:r>
        <w:rPr>
          <w:rFonts w:hint="eastAsia" w:eastAsia="宋体" w:cs="Times New Roman"/>
          <w:b/>
          <w:bCs/>
          <w:color w:val="000000"/>
          <w:kern w:val="44"/>
          <w:sz w:val="30"/>
          <w:szCs w:val="30"/>
        </w:rPr>
        <w:t>术语、符号和缩略语</w:t>
      </w:r>
    </w:p>
    <w:p w14:paraId="000B886E">
      <w:pPr>
        <w:keepNext/>
        <w:keepLines/>
        <w:spacing w:line="360" w:lineRule="auto"/>
        <w:ind w:firstLine="562"/>
        <w:jc w:val="center"/>
        <w:outlineLvl w:val="1"/>
        <w:rPr>
          <w:rFonts w:eastAsia="宋体" w:cs="Times New Roman"/>
          <w:b/>
          <w:bCs/>
          <w:color w:val="000000"/>
          <w:sz w:val="30"/>
          <w:szCs w:val="30"/>
        </w:rPr>
      </w:pPr>
      <w:bookmarkStart w:id="150" w:name="_Toc140049588"/>
      <w:bookmarkStart w:id="151" w:name="_Toc140160819"/>
      <w:bookmarkStart w:id="152" w:name="_Toc140052666"/>
      <w:bookmarkStart w:id="153" w:name="_Toc139814525"/>
      <w:bookmarkStart w:id="154" w:name="_Toc137046366"/>
      <w:r>
        <w:rPr>
          <w:rFonts w:hint="eastAsia" w:eastAsia="宋体" w:cs="Times New Roman"/>
          <w:b/>
          <w:bCs/>
          <w:color w:val="000000"/>
          <w:sz w:val="28"/>
          <w:szCs w:val="28"/>
        </w:rPr>
        <w:t>2</w:t>
      </w:r>
      <w:r>
        <w:rPr>
          <w:rFonts w:eastAsia="宋体" w:cs="Times New Roman"/>
          <w:b/>
          <w:bCs/>
          <w:color w:val="000000"/>
          <w:sz w:val="28"/>
          <w:szCs w:val="28"/>
        </w:rPr>
        <w:t xml:space="preserve">.1 </w:t>
      </w:r>
      <w:bookmarkEnd w:id="150"/>
      <w:bookmarkEnd w:id="151"/>
      <w:bookmarkEnd w:id="152"/>
      <w:bookmarkEnd w:id="153"/>
      <w:bookmarkEnd w:id="154"/>
      <w:r>
        <w:rPr>
          <w:rFonts w:hint="eastAsia" w:eastAsia="宋体" w:cs="Times New Roman"/>
          <w:b/>
          <w:bCs/>
          <w:color w:val="000000"/>
          <w:sz w:val="28"/>
          <w:szCs w:val="28"/>
        </w:rPr>
        <w:t>术  语</w:t>
      </w:r>
    </w:p>
    <w:p w14:paraId="4758073D">
      <w:pPr>
        <w:spacing w:line="360" w:lineRule="auto"/>
        <w:ind w:firstLine="0" w:firstLineChars="0"/>
        <w:jc w:val="left"/>
        <w:rPr>
          <w:rFonts w:eastAsia="宋体" w:cs="Times New Roman"/>
          <w:sz w:val="24"/>
          <w:szCs w:val="21"/>
        </w:rPr>
      </w:pPr>
      <w:r>
        <w:rPr>
          <w:rFonts w:hint="eastAsia" w:eastAsia="宋体" w:cs="Times New Roman"/>
          <w:iCs/>
          <w:color w:val="000000"/>
          <w:sz w:val="21"/>
          <w:szCs w:val="21"/>
        </w:rPr>
        <w:t>2</w:t>
      </w:r>
      <w:r>
        <w:rPr>
          <w:rFonts w:eastAsia="宋体" w:cs="Times New Roman"/>
          <w:iCs/>
          <w:color w:val="000000"/>
          <w:sz w:val="21"/>
          <w:szCs w:val="21"/>
        </w:rPr>
        <w:t>.</w:t>
      </w:r>
      <w:r>
        <w:rPr>
          <w:rFonts w:hint="eastAsia" w:eastAsia="宋体" w:cs="Times New Roman"/>
          <w:iCs/>
          <w:color w:val="000000"/>
          <w:sz w:val="21"/>
          <w:szCs w:val="21"/>
        </w:rPr>
        <w:t>1</w:t>
      </w:r>
      <w:r>
        <w:rPr>
          <w:rFonts w:eastAsia="宋体" w:cs="Times New Roman"/>
          <w:iCs/>
          <w:color w:val="000000"/>
          <w:sz w:val="21"/>
          <w:szCs w:val="21"/>
        </w:rPr>
        <w:t>.</w:t>
      </w:r>
      <w:r>
        <w:rPr>
          <w:rFonts w:hint="eastAsia" w:eastAsia="宋体" w:cs="Times New Roman"/>
          <w:iCs/>
          <w:color w:val="000000"/>
          <w:sz w:val="21"/>
          <w:szCs w:val="21"/>
        </w:rPr>
        <w:t>5</w:t>
      </w:r>
      <w:r>
        <w:rPr>
          <w:rFonts w:eastAsia="宋体" w:cs="Times New Roman"/>
          <w:iCs/>
          <w:color w:val="000000"/>
          <w:sz w:val="21"/>
          <w:szCs w:val="21"/>
        </w:rPr>
        <w:t xml:space="preserve"> </w:t>
      </w:r>
      <w:r>
        <w:rPr>
          <w:rFonts w:hint="eastAsia" w:eastAsia="宋体" w:cs="Times New Roman"/>
          <w:color w:val="000000"/>
          <w:sz w:val="21"/>
          <w:szCs w:val="21"/>
        </w:rPr>
        <w:t>城市生命线工程安全运行监测平台通常部署在政府云上统一运维与管理。监测中心设置在省、市（区）、县和现场，不仅用于日常监测运行与维护，还能起到及时应急处置的作用。</w:t>
      </w:r>
    </w:p>
    <w:p w14:paraId="1651C56C">
      <w:pPr>
        <w:spacing w:before="312" w:beforeLines="100" w:after="312" w:afterLines="100" w:line="578" w:lineRule="auto"/>
        <w:ind w:firstLine="602"/>
        <w:jc w:val="center"/>
        <w:outlineLvl w:val="0"/>
        <w:rPr>
          <w:rFonts w:eastAsia="宋体" w:cs="Times New Roman"/>
          <w:b/>
          <w:bCs/>
          <w:color w:val="000000"/>
          <w:sz w:val="30"/>
          <w:szCs w:val="30"/>
        </w:rPr>
      </w:pPr>
      <w:r>
        <w:rPr>
          <w:rFonts w:hint="eastAsia" w:eastAsia="宋体" w:cs="Times New Roman"/>
          <w:b/>
          <w:bCs/>
          <w:color w:val="000000"/>
          <w:sz w:val="30"/>
          <w:szCs w:val="30"/>
        </w:rPr>
        <w:t>3</w:t>
      </w:r>
      <w:r>
        <w:rPr>
          <w:rFonts w:eastAsia="宋体" w:cs="Times New Roman"/>
          <w:b/>
          <w:bCs/>
          <w:color w:val="000000"/>
          <w:sz w:val="30"/>
          <w:szCs w:val="30"/>
        </w:rPr>
        <w:t xml:space="preserve"> </w:t>
      </w:r>
      <w:r>
        <w:rPr>
          <w:rFonts w:hint="eastAsia" w:eastAsia="宋体" w:cs="Times New Roman"/>
          <w:b/>
          <w:bCs/>
          <w:color w:val="000000"/>
          <w:sz w:val="30"/>
          <w:szCs w:val="30"/>
        </w:rPr>
        <w:t>基本规定</w:t>
      </w:r>
    </w:p>
    <w:p w14:paraId="5ECB0837">
      <w:pPr>
        <w:spacing w:line="360" w:lineRule="auto"/>
        <w:ind w:firstLine="0" w:firstLineChars="0"/>
        <w:jc w:val="left"/>
        <w:rPr>
          <w:rFonts w:eastAsia="宋体" w:cs="Times New Roman"/>
          <w:sz w:val="24"/>
          <w:szCs w:val="21"/>
        </w:rPr>
      </w:pPr>
      <w:r>
        <w:rPr>
          <w:rFonts w:hint="eastAsia" w:eastAsia="宋体" w:cs="Times New Roman"/>
          <w:iCs/>
          <w:color w:val="000000"/>
          <w:sz w:val="21"/>
          <w:szCs w:val="21"/>
        </w:rPr>
        <w:t>3</w:t>
      </w:r>
      <w:r>
        <w:rPr>
          <w:rFonts w:eastAsia="宋体" w:cs="Times New Roman"/>
          <w:iCs/>
          <w:color w:val="000000"/>
          <w:sz w:val="21"/>
          <w:szCs w:val="21"/>
        </w:rPr>
        <w:t>.0.</w:t>
      </w:r>
      <w:r>
        <w:rPr>
          <w:rFonts w:hint="eastAsia" w:eastAsia="宋体" w:cs="Times New Roman"/>
          <w:iCs/>
          <w:color w:val="000000"/>
          <w:sz w:val="21"/>
          <w:szCs w:val="21"/>
        </w:rPr>
        <w:t>4</w:t>
      </w:r>
      <w:r>
        <w:rPr>
          <w:rFonts w:eastAsia="宋体" w:cs="Times New Roman"/>
          <w:iCs/>
          <w:color w:val="000000"/>
          <w:sz w:val="21"/>
          <w:szCs w:val="21"/>
        </w:rPr>
        <w:t xml:space="preserve"> </w:t>
      </w:r>
      <w:r>
        <w:rPr>
          <w:rFonts w:hint="eastAsia" w:eastAsia="宋体" w:cs="Times New Roman"/>
          <w:color w:val="000000"/>
          <w:sz w:val="21"/>
          <w:szCs w:val="21"/>
        </w:rPr>
        <w:t>重要公共建筑通常指在社会运行、公共服务、公共安全等领域具有核心功能或战略价值的建筑设施，其设计、建造和运维需符合更高安全标准，以满足功能需求、安全保障及社会效益。燃气、供水、排水、热力等在重要公共建筑和重要场所建设时，也应同步建设城市生命线工程监测设施。</w:t>
      </w:r>
    </w:p>
    <w:p w14:paraId="5251EE6D">
      <w:pPr>
        <w:keepNext/>
        <w:keepLines/>
        <w:spacing w:before="340" w:after="156" w:line="578" w:lineRule="auto"/>
        <w:ind w:firstLine="602"/>
        <w:jc w:val="center"/>
        <w:outlineLvl w:val="0"/>
        <w:rPr>
          <w:rFonts w:eastAsia="宋体" w:cs="Times New Roman"/>
          <w:b/>
          <w:bCs/>
          <w:color w:val="000000"/>
          <w:kern w:val="44"/>
          <w:sz w:val="30"/>
          <w:szCs w:val="30"/>
        </w:rPr>
      </w:pPr>
      <w:r>
        <w:rPr>
          <w:rFonts w:hint="eastAsia" w:eastAsia="宋体" w:cs="Times New Roman"/>
          <w:b/>
          <w:bCs/>
          <w:color w:val="000000"/>
          <w:kern w:val="44"/>
          <w:sz w:val="30"/>
          <w:szCs w:val="30"/>
        </w:rPr>
        <w:t>4</w:t>
      </w:r>
      <w:r>
        <w:rPr>
          <w:rFonts w:eastAsia="宋体" w:cs="Times New Roman"/>
          <w:b/>
          <w:bCs/>
          <w:color w:val="000000"/>
          <w:kern w:val="44"/>
          <w:sz w:val="30"/>
          <w:szCs w:val="30"/>
        </w:rPr>
        <w:t xml:space="preserve"> </w:t>
      </w:r>
      <w:r>
        <w:rPr>
          <w:rFonts w:hint="eastAsia" w:eastAsia="宋体" w:cs="Times New Roman"/>
          <w:b/>
          <w:bCs/>
          <w:color w:val="000000"/>
          <w:kern w:val="44"/>
          <w:sz w:val="30"/>
          <w:szCs w:val="30"/>
        </w:rPr>
        <w:t>前端监测设施</w:t>
      </w:r>
    </w:p>
    <w:p w14:paraId="3F537F4D">
      <w:pPr>
        <w:keepNext/>
        <w:keepLines/>
        <w:spacing w:line="360" w:lineRule="auto"/>
        <w:ind w:firstLine="562"/>
        <w:jc w:val="center"/>
        <w:outlineLvl w:val="1"/>
        <w:rPr>
          <w:rFonts w:eastAsia="宋体" w:cs="Times New Roman"/>
          <w:b/>
          <w:bCs/>
          <w:color w:val="000000"/>
          <w:sz w:val="30"/>
          <w:szCs w:val="30"/>
        </w:rPr>
      </w:pPr>
      <w:r>
        <w:rPr>
          <w:rFonts w:hint="eastAsia" w:eastAsia="宋体" w:cs="Times New Roman"/>
          <w:b/>
          <w:bCs/>
          <w:color w:val="000000"/>
          <w:sz w:val="28"/>
          <w:szCs w:val="28"/>
        </w:rPr>
        <w:t>4</w:t>
      </w:r>
      <w:r>
        <w:rPr>
          <w:rFonts w:eastAsia="宋体" w:cs="Times New Roman"/>
          <w:b/>
          <w:bCs/>
          <w:color w:val="000000"/>
          <w:sz w:val="28"/>
          <w:szCs w:val="28"/>
        </w:rPr>
        <w:t>.</w:t>
      </w:r>
      <w:r>
        <w:rPr>
          <w:rFonts w:hint="eastAsia" w:eastAsia="宋体" w:cs="Times New Roman"/>
          <w:b/>
          <w:bCs/>
          <w:color w:val="000000"/>
          <w:sz w:val="28"/>
          <w:szCs w:val="28"/>
        </w:rPr>
        <w:t>3</w:t>
      </w:r>
      <w:r>
        <w:rPr>
          <w:rFonts w:eastAsia="宋体" w:cs="Times New Roman"/>
          <w:b/>
          <w:bCs/>
          <w:color w:val="000000"/>
          <w:sz w:val="28"/>
          <w:szCs w:val="28"/>
        </w:rPr>
        <w:t xml:space="preserve"> </w:t>
      </w:r>
      <w:r>
        <w:rPr>
          <w:rFonts w:hint="eastAsia" w:eastAsia="宋体" w:cs="Times New Roman"/>
          <w:b/>
          <w:bCs/>
          <w:color w:val="000000"/>
          <w:sz w:val="28"/>
          <w:szCs w:val="28"/>
        </w:rPr>
        <w:t>供水</w:t>
      </w:r>
    </w:p>
    <w:p w14:paraId="6DC19C44">
      <w:pPr>
        <w:spacing w:line="360" w:lineRule="auto"/>
        <w:ind w:firstLine="0" w:firstLineChars="0"/>
        <w:rPr>
          <w:rFonts w:eastAsia="宋体" w:cs="Times New Roman"/>
          <w:iCs/>
          <w:color w:val="000000"/>
          <w:sz w:val="21"/>
          <w:szCs w:val="21"/>
        </w:rPr>
      </w:pPr>
      <w:r>
        <w:rPr>
          <w:rFonts w:hint="eastAsia" w:eastAsia="宋体" w:cs="Times New Roman"/>
          <w:iCs/>
          <w:color w:val="000000"/>
          <w:sz w:val="21"/>
          <w:szCs w:val="21"/>
        </w:rPr>
        <w:t>4</w:t>
      </w:r>
      <w:r>
        <w:rPr>
          <w:rFonts w:eastAsia="宋体" w:cs="Times New Roman"/>
          <w:iCs/>
          <w:color w:val="000000"/>
          <w:sz w:val="21"/>
          <w:szCs w:val="21"/>
        </w:rPr>
        <w:t>.</w:t>
      </w:r>
      <w:r>
        <w:rPr>
          <w:rFonts w:hint="eastAsia" w:eastAsia="宋体" w:cs="Times New Roman"/>
          <w:iCs/>
          <w:color w:val="000000"/>
          <w:sz w:val="21"/>
          <w:szCs w:val="21"/>
        </w:rPr>
        <w:t>3</w:t>
      </w:r>
      <w:r>
        <w:rPr>
          <w:rFonts w:eastAsia="宋体" w:cs="Times New Roman"/>
          <w:iCs/>
          <w:color w:val="000000"/>
          <w:sz w:val="21"/>
          <w:szCs w:val="21"/>
        </w:rPr>
        <w:t>.</w:t>
      </w:r>
      <w:r>
        <w:rPr>
          <w:rFonts w:hint="eastAsia" w:eastAsia="宋体" w:cs="Times New Roman"/>
          <w:iCs/>
          <w:color w:val="000000"/>
          <w:sz w:val="21"/>
          <w:szCs w:val="21"/>
        </w:rPr>
        <w:t>3</w:t>
      </w:r>
      <w:r>
        <w:rPr>
          <w:rFonts w:eastAsia="宋体" w:cs="Times New Roman"/>
          <w:iCs/>
          <w:color w:val="000000"/>
          <w:sz w:val="21"/>
          <w:szCs w:val="21"/>
        </w:rPr>
        <w:t xml:space="preserve"> </w:t>
      </w:r>
      <w:r>
        <w:rPr>
          <w:rFonts w:hint="eastAsia" w:eastAsia="宋体" w:cs="Times New Roman"/>
          <w:color w:val="000000"/>
          <w:sz w:val="21"/>
          <w:szCs w:val="21"/>
        </w:rPr>
        <w:t>本条款中，焊接过程中要进行检查井内通风，焊接表面要干燥，环境温度低于0℃但不低于-10℃时，应采取加热或防护措施；表头参数设置应与实际测量值一致（如传感器间距、角度、管径等），配置完成后要进行复查，表头信号特征值要进行记录，表头序列号与安装点位及网关的对应关系要记录。</w:t>
      </w:r>
    </w:p>
    <w:p w14:paraId="2E1740C8">
      <w:pPr>
        <w:spacing w:line="360" w:lineRule="auto"/>
        <w:ind w:firstLine="0" w:firstLineChars="0"/>
        <w:rPr>
          <w:rFonts w:eastAsia="宋体" w:cs="Times New Roman"/>
          <w:iCs/>
          <w:color w:val="000000"/>
          <w:sz w:val="21"/>
          <w:szCs w:val="21"/>
        </w:rPr>
      </w:pPr>
      <w:r>
        <w:rPr>
          <w:rFonts w:hint="eastAsia" w:eastAsia="宋体" w:cs="Times New Roman"/>
          <w:iCs/>
          <w:color w:val="000000"/>
          <w:sz w:val="21"/>
          <w:szCs w:val="21"/>
        </w:rPr>
        <w:t>4</w:t>
      </w:r>
      <w:r>
        <w:rPr>
          <w:rFonts w:eastAsia="宋体" w:cs="Times New Roman"/>
          <w:iCs/>
          <w:color w:val="000000"/>
          <w:sz w:val="21"/>
          <w:szCs w:val="21"/>
        </w:rPr>
        <w:t>.</w:t>
      </w:r>
      <w:r>
        <w:rPr>
          <w:rFonts w:hint="eastAsia" w:eastAsia="宋体" w:cs="Times New Roman"/>
          <w:iCs/>
          <w:color w:val="000000"/>
          <w:sz w:val="21"/>
          <w:szCs w:val="21"/>
        </w:rPr>
        <w:t>3</w:t>
      </w:r>
      <w:r>
        <w:rPr>
          <w:rFonts w:eastAsia="宋体" w:cs="Times New Roman"/>
          <w:iCs/>
          <w:color w:val="000000"/>
          <w:sz w:val="21"/>
          <w:szCs w:val="21"/>
        </w:rPr>
        <w:t>.</w:t>
      </w:r>
      <w:r>
        <w:rPr>
          <w:rFonts w:hint="eastAsia" w:eastAsia="宋体" w:cs="Times New Roman"/>
          <w:iCs/>
          <w:color w:val="000000"/>
          <w:sz w:val="21"/>
          <w:szCs w:val="21"/>
        </w:rPr>
        <w:t>9</w:t>
      </w:r>
      <w:r>
        <w:rPr>
          <w:rFonts w:eastAsia="宋体" w:cs="Times New Roman"/>
          <w:iCs/>
          <w:color w:val="000000"/>
          <w:sz w:val="21"/>
          <w:szCs w:val="21"/>
        </w:rPr>
        <w:t xml:space="preserve"> </w:t>
      </w:r>
      <w:r>
        <w:rPr>
          <w:rFonts w:hint="eastAsia" w:eastAsia="宋体" w:cs="Times New Roman"/>
          <w:iCs/>
          <w:color w:val="000000"/>
          <w:sz w:val="21"/>
          <w:szCs w:val="21"/>
        </w:rPr>
        <w:t>本条款中，漏失在线监测设备安装点优先级依次为管壁、连接件、阀门、阀柄，安装前需保证接触面清洁。</w:t>
      </w:r>
    </w:p>
    <w:p w14:paraId="553AD5EF">
      <w:pPr>
        <w:keepNext/>
        <w:keepLines/>
        <w:spacing w:line="360" w:lineRule="auto"/>
        <w:ind w:firstLine="562"/>
        <w:jc w:val="center"/>
        <w:outlineLvl w:val="1"/>
        <w:rPr>
          <w:rFonts w:eastAsia="宋体" w:cs="Times New Roman"/>
          <w:b/>
          <w:bCs/>
          <w:color w:val="000000"/>
          <w:sz w:val="30"/>
          <w:szCs w:val="30"/>
        </w:rPr>
      </w:pPr>
      <w:r>
        <w:rPr>
          <w:rFonts w:hint="eastAsia" w:eastAsia="宋体" w:cs="Times New Roman"/>
          <w:b/>
          <w:bCs/>
          <w:color w:val="000000"/>
          <w:sz w:val="28"/>
          <w:szCs w:val="28"/>
        </w:rPr>
        <w:t>4</w:t>
      </w:r>
      <w:r>
        <w:rPr>
          <w:rFonts w:eastAsia="宋体" w:cs="Times New Roman"/>
          <w:b/>
          <w:bCs/>
          <w:color w:val="000000"/>
          <w:sz w:val="28"/>
          <w:szCs w:val="28"/>
        </w:rPr>
        <w:t>.</w:t>
      </w:r>
      <w:r>
        <w:rPr>
          <w:rFonts w:hint="eastAsia" w:eastAsia="宋体" w:cs="Times New Roman"/>
          <w:b/>
          <w:bCs/>
          <w:color w:val="000000"/>
          <w:sz w:val="28"/>
          <w:szCs w:val="28"/>
        </w:rPr>
        <w:t>4</w:t>
      </w:r>
      <w:r>
        <w:rPr>
          <w:rFonts w:eastAsia="宋体" w:cs="Times New Roman"/>
          <w:b/>
          <w:bCs/>
          <w:color w:val="000000"/>
          <w:sz w:val="28"/>
          <w:szCs w:val="28"/>
        </w:rPr>
        <w:t xml:space="preserve"> </w:t>
      </w:r>
      <w:r>
        <w:rPr>
          <w:rFonts w:hint="eastAsia" w:eastAsia="宋体" w:cs="Times New Roman"/>
          <w:b/>
          <w:bCs/>
          <w:color w:val="000000"/>
          <w:sz w:val="28"/>
          <w:szCs w:val="28"/>
        </w:rPr>
        <w:t>排水</w:t>
      </w:r>
    </w:p>
    <w:p w14:paraId="03A45D75">
      <w:pPr>
        <w:spacing w:line="360" w:lineRule="auto"/>
        <w:ind w:firstLine="0" w:firstLineChars="0"/>
        <w:jc w:val="left"/>
        <w:rPr>
          <w:rFonts w:eastAsia="宋体" w:cs="Times New Roman"/>
          <w:sz w:val="24"/>
          <w:szCs w:val="21"/>
        </w:rPr>
      </w:pPr>
      <w:r>
        <w:rPr>
          <w:rFonts w:hint="eastAsia" w:eastAsia="宋体" w:cs="Times New Roman"/>
          <w:iCs/>
          <w:color w:val="000000"/>
          <w:sz w:val="21"/>
          <w:szCs w:val="21"/>
        </w:rPr>
        <w:t>4</w:t>
      </w:r>
      <w:r>
        <w:rPr>
          <w:rFonts w:eastAsia="宋体" w:cs="Times New Roman"/>
          <w:iCs/>
          <w:color w:val="000000"/>
          <w:sz w:val="21"/>
          <w:szCs w:val="21"/>
        </w:rPr>
        <w:t>.</w:t>
      </w:r>
      <w:r>
        <w:rPr>
          <w:rFonts w:hint="eastAsia" w:eastAsia="宋体" w:cs="Times New Roman"/>
          <w:iCs/>
          <w:color w:val="000000"/>
          <w:sz w:val="21"/>
          <w:szCs w:val="21"/>
        </w:rPr>
        <w:t>4</w:t>
      </w:r>
      <w:r>
        <w:rPr>
          <w:rFonts w:eastAsia="宋体" w:cs="Times New Roman"/>
          <w:iCs/>
          <w:color w:val="000000"/>
          <w:sz w:val="21"/>
          <w:szCs w:val="21"/>
        </w:rPr>
        <w:t>.</w:t>
      </w:r>
      <w:r>
        <w:rPr>
          <w:rFonts w:hint="eastAsia" w:eastAsia="宋体" w:cs="Times New Roman"/>
          <w:iCs/>
          <w:color w:val="000000"/>
          <w:sz w:val="21"/>
          <w:szCs w:val="21"/>
        </w:rPr>
        <w:t>2</w:t>
      </w:r>
      <w:r>
        <w:rPr>
          <w:rFonts w:eastAsia="宋体" w:cs="Times New Roman"/>
          <w:iCs/>
          <w:color w:val="000000"/>
          <w:sz w:val="21"/>
          <w:szCs w:val="21"/>
        </w:rPr>
        <w:t xml:space="preserve"> </w:t>
      </w:r>
      <w:r>
        <w:rPr>
          <w:rFonts w:hint="eastAsia" w:eastAsia="宋体" w:cs="Times New Roman"/>
          <w:color w:val="000000"/>
          <w:sz w:val="21"/>
          <w:szCs w:val="21"/>
        </w:rPr>
        <w:t>本条款中排水安全监测点位选择宜结合排水分区、历史运行情况等信息，选择能反映管网、河道等监测对象运行特征的点位进行设备布设。</w:t>
      </w:r>
    </w:p>
    <w:p w14:paraId="14B2F5C6">
      <w:pPr>
        <w:keepNext/>
        <w:keepLines/>
        <w:spacing w:line="360" w:lineRule="auto"/>
        <w:ind w:firstLine="562"/>
        <w:jc w:val="center"/>
        <w:outlineLvl w:val="1"/>
        <w:rPr>
          <w:rFonts w:eastAsia="宋体" w:cs="Times New Roman"/>
          <w:b/>
          <w:bCs/>
          <w:color w:val="000000"/>
          <w:sz w:val="30"/>
          <w:szCs w:val="30"/>
        </w:rPr>
      </w:pPr>
      <w:r>
        <w:rPr>
          <w:rFonts w:hint="eastAsia" w:eastAsia="宋体" w:cs="Times New Roman"/>
          <w:b/>
          <w:bCs/>
          <w:color w:val="000000"/>
          <w:sz w:val="28"/>
          <w:szCs w:val="28"/>
        </w:rPr>
        <w:t>4</w:t>
      </w:r>
      <w:r>
        <w:rPr>
          <w:rFonts w:eastAsia="宋体" w:cs="Times New Roman"/>
          <w:b/>
          <w:bCs/>
          <w:color w:val="000000"/>
          <w:sz w:val="28"/>
          <w:szCs w:val="28"/>
        </w:rPr>
        <w:t>.</w:t>
      </w:r>
      <w:r>
        <w:rPr>
          <w:rFonts w:hint="eastAsia" w:eastAsia="宋体" w:cs="Times New Roman"/>
          <w:b/>
          <w:bCs/>
          <w:color w:val="000000"/>
          <w:sz w:val="28"/>
          <w:szCs w:val="28"/>
        </w:rPr>
        <w:t>6</w:t>
      </w:r>
      <w:r>
        <w:rPr>
          <w:rFonts w:eastAsia="宋体" w:cs="Times New Roman"/>
          <w:b/>
          <w:bCs/>
          <w:color w:val="000000"/>
          <w:sz w:val="28"/>
          <w:szCs w:val="28"/>
        </w:rPr>
        <w:t xml:space="preserve"> </w:t>
      </w:r>
      <w:r>
        <w:rPr>
          <w:rFonts w:hint="eastAsia" w:eastAsia="宋体" w:cs="Times New Roman"/>
          <w:b/>
          <w:bCs/>
          <w:color w:val="000000"/>
          <w:sz w:val="28"/>
          <w:szCs w:val="28"/>
        </w:rPr>
        <w:t>桥梁</w:t>
      </w:r>
    </w:p>
    <w:p w14:paraId="0C4419A9">
      <w:pPr>
        <w:spacing w:line="360" w:lineRule="auto"/>
        <w:ind w:firstLine="0" w:firstLineChars="0"/>
        <w:jc w:val="left"/>
        <w:rPr>
          <w:rFonts w:eastAsia="宋体" w:cs="Times New Roman"/>
          <w:sz w:val="24"/>
          <w:szCs w:val="21"/>
        </w:rPr>
      </w:pPr>
      <w:r>
        <w:rPr>
          <w:rFonts w:hint="eastAsia" w:eastAsia="宋体" w:cs="Times New Roman"/>
          <w:iCs/>
          <w:color w:val="000000"/>
          <w:sz w:val="21"/>
          <w:szCs w:val="21"/>
        </w:rPr>
        <w:t>4</w:t>
      </w:r>
      <w:r>
        <w:rPr>
          <w:rFonts w:eastAsia="宋体" w:cs="Times New Roman"/>
          <w:iCs/>
          <w:color w:val="000000"/>
          <w:sz w:val="21"/>
          <w:szCs w:val="21"/>
        </w:rPr>
        <w:t>.</w:t>
      </w:r>
      <w:r>
        <w:rPr>
          <w:rFonts w:hint="eastAsia" w:eastAsia="宋体" w:cs="Times New Roman"/>
          <w:iCs/>
          <w:color w:val="000000"/>
          <w:sz w:val="21"/>
          <w:szCs w:val="21"/>
        </w:rPr>
        <w:t>6</w:t>
      </w:r>
      <w:r>
        <w:rPr>
          <w:rFonts w:eastAsia="宋体" w:cs="Times New Roman"/>
          <w:iCs/>
          <w:color w:val="000000"/>
          <w:sz w:val="21"/>
          <w:szCs w:val="21"/>
        </w:rPr>
        <w:t>.</w:t>
      </w:r>
      <w:r>
        <w:rPr>
          <w:rFonts w:hint="eastAsia" w:eastAsia="宋体" w:cs="Times New Roman"/>
          <w:iCs/>
          <w:color w:val="000000"/>
          <w:sz w:val="21"/>
          <w:szCs w:val="21"/>
        </w:rPr>
        <w:t>1</w:t>
      </w:r>
      <w:r>
        <w:rPr>
          <w:rFonts w:eastAsia="宋体" w:cs="Times New Roman"/>
          <w:iCs/>
          <w:color w:val="000000"/>
          <w:sz w:val="21"/>
          <w:szCs w:val="21"/>
        </w:rPr>
        <w:t xml:space="preserve"> </w:t>
      </w:r>
      <w:r>
        <w:rPr>
          <w:rFonts w:hint="eastAsia" w:eastAsia="宋体" w:cs="Times New Roman"/>
          <w:color w:val="000000"/>
          <w:sz w:val="21"/>
          <w:szCs w:val="21"/>
        </w:rPr>
        <w:t>本条款中，桥梁安全监测测点布设应基于桥梁结构特性、受力行为、潜在风险和监测目标综合得出。</w:t>
      </w:r>
    </w:p>
    <w:p w14:paraId="57C434AF">
      <w:pPr>
        <w:spacing w:line="360" w:lineRule="auto"/>
        <w:ind w:firstLine="0" w:firstLineChars="0"/>
        <w:jc w:val="left"/>
        <w:rPr>
          <w:rFonts w:eastAsia="宋体" w:cs="Times New Roman"/>
          <w:color w:val="000000"/>
          <w:sz w:val="21"/>
          <w:szCs w:val="21"/>
        </w:rPr>
      </w:pPr>
      <w:r>
        <w:rPr>
          <w:rFonts w:hint="eastAsia" w:eastAsia="宋体" w:cs="Times New Roman"/>
          <w:iCs/>
          <w:color w:val="000000"/>
          <w:sz w:val="21"/>
          <w:szCs w:val="21"/>
        </w:rPr>
        <w:t>4</w:t>
      </w:r>
      <w:r>
        <w:rPr>
          <w:rFonts w:eastAsia="宋体" w:cs="Times New Roman"/>
          <w:iCs/>
          <w:color w:val="000000"/>
          <w:sz w:val="21"/>
          <w:szCs w:val="21"/>
        </w:rPr>
        <w:t>.</w:t>
      </w:r>
      <w:r>
        <w:rPr>
          <w:rFonts w:hint="eastAsia" w:eastAsia="宋体" w:cs="Times New Roman"/>
          <w:iCs/>
          <w:color w:val="000000"/>
          <w:sz w:val="21"/>
          <w:szCs w:val="21"/>
        </w:rPr>
        <w:t>6</w:t>
      </w:r>
      <w:r>
        <w:rPr>
          <w:rFonts w:eastAsia="宋体" w:cs="Times New Roman"/>
          <w:iCs/>
          <w:color w:val="000000"/>
          <w:sz w:val="21"/>
          <w:szCs w:val="21"/>
        </w:rPr>
        <w:t>.</w:t>
      </w:r>
      <w:r>
        <w:rPr>
          <w:rFonts w:hint="eastAsia" w:eastAsia="宋体" w:cs="Times New Roman"/>
          <w:iCs/>
          <w:color w:val="000000"/>
          <w:sz w:val="21"/>
          <w:szCs w:val="21"/>
        </w:rPr>
        <w:t>2</w:t>
      </w:r>
      <w:r>
        <w:rPr>
          <w:rFonts w:eastAsia="宋体" w:cs="Times New Roman"/>
          <w:iCs/>
          <w:color w:val="000000"/>
          <w:sz w:val="21"/>
          <w:szCs w:val="21"/>
        </w:rPr>
        <w:t xml:space="preserve"> </w:t>
      </w:r>
      <w:r>
        <w:rPr>
          <w:rFonts w:hint="eastAsia" w:eastAsia="宋体" w:cs="Times New Roman"/>
          <w:color w:val="000000"/>
          <w:sz w:val="21"/>
          <w:szCs w:val="21"/>
        </w:rPr>
        <w:t>由于桥梁监测对象相对繁杂，本条款中监测对象应以主跨不同类型，如梁桥、拱桥、悬索桥、斜拉桥、组合体系桥等进行区分。</w:t>
      </w:r>
    </w:p>
    <w:p w14:paraId="050BDD1C">
      <w:pPr>
        <w:keepNext/>
        <w:keepLines/>
        <w:spacing w:line="360" w:lineRule="auto"/>
        <w:ind w:firstLine="562"/>
        <w:jc w:val="center"/>
        <w:outlineLvl w:val="1"/>
        <w:rPr>
          <w:rFonts w:eastAsia="宋体" w:cs="Times New Roman"/>
          <w:b/>
          <w:bCs/>
          <w:color w:val="000000"/>
          <w:sz w:val="30"/>
          <w:szCs w:val="30"/>
        </w:rPr>
      </w:pPr>
      <w:r>
        <w:rPr>
          <w:rFonts w:hint="eastAsia" w:eastAsia="宋体" w:cs="Times New Roman"/>
          <w:b/>
          <w:bCs/>
          <w:color w:val="000000"/>
          <w:sz w:val="28"/>
          <w:szCs w:val="28"/>
        </w:rPr>
        <w:t>4</w:t>
      </w:r>
      <w:r>
        <w:rPr>
          <w:rFonts w:eastAsia="宋体" w:cs="Times New Roman"/>
          <w:b/>
          <w:bCs/>
          <w:color w:val="000000"/>
          <w:sz w:val="28"/>
          <w:szCs w:val="28"/>
        </w:rPr>
        <w:t>.</w:t>
      </w:r>
      <w:r>
        <w:rPr>
          <w:rFonts w:hint="eastAsia" w:eastAsia="宋体" w:cs="Times New Roman"/>
          <w:b/>
          <w:bCs/>
          <w:color w:val="000000"/>
          <w:sz w:val="28"/>
          <w:szCs w:val="28"/>
        </w:rPr>
        <w:t>7</w:t>
      </w:r>
      <w:r>
        <w:rPr>
          <w:rFonts w:eastAsia="宋体" w:cs="Times New Roman"/>
          <w:b/>
          <w:bCs/>
          <w:color w:val="000000"/>
          <w:sz w:val="28"/>
          <w:szCs w:val="28"/>
        </w:rPr>
        <w:t xml:space="preserve"> </w:t>
      </w:r>
      <w:r>
        <w:rPr>
          <w:rFonts w:hint="eastAsia" w:eastAsia="宋体" w:cs="Times New Roman"/>
          <w:b/>
          <w:bCs/>
          <w:color w:val="000000"/>
          <w:sz w:val="28"/>
          <w:szCs w:val="28"/>
        </w:rPr>
        <w:t>综合管廊</w:t>
      </w:r>
    </w:p>
    <w:p w14:paraId="2FADDADB">
      <w:pPr>
        <w:spacing w:line="360" w:lineRule="auto"/>
        <w:ind w:firstLine="0" w:firstLineChars="0"/>
        <w:jc w:val="left"/>
        <w:rPr>
          <w:rFonts w:eastAsia="宋体" w:cs="Times New Roman"/>
          <w:color w:val="000000"/>
          <w:sz w:val="21"/>
          <w:szCs w:val="21"/>
        </w:rPr>
      </w:pPr>
      <w:r>
        <w:rPr>
          <w:rFonts w:hint="eastAsia" w:eastAsia="宋体" w:cs="Times New Roman"/>
          <w:iCs/>
          <w:color w:val="000000"/>
          <w:sz w:val="21"/>
          <w:szCs w:val="21"/>
        </w:rPr>
        <w:t>4</w:t>
      </w:r>
      <w:r>
        <w:rPr>
          <w:rFonts w:eastAsia="宋体" w:cs="Times New Roman"/>
          <w:iCs/>
          <w:color w:val="000000"/>
          <w:sz w:val="21"/>
          <w:szCs w:val="21"/>
        </w:rPr>
        <w:t>.</w:t>
      </w:r>
      <w:r>
        <w:rPr>
          <w:rFonts w:hint="eastAsia" w:eastAsia="宋体" w:cs="Times New Roman"/>
          <w:iCs/>
          <w:color w:val="000000"/>
          <w:sz w:val="21"/>
          <w:szCs w:val="21"/>
        </w:rPr>
        <w:t>7</w:t>
      </w:r>
      <w:r>
        <w:rPr>
          <w:rFonts w:eastAsia="宋体" w:cs="Times New Roman"/>
          <w:iCs/>
          <w:color w:val="000000"/>
          <w:sz w:val="21"/>
          <w:szCs w:val="21"/>
        </w:rPr>
        <w:t>.</w:t>
      </w:r>
      <w:r>
        <w:rPr>
          <w:rFonts w:hint="eastAsia" w:eastAsia="宋体" w:cs="Times New Roman"/>
          <w:iCs/>
          <w:color w:val="000000"/>
          <w:sz w:val="21"/>
          <w:szCs w:val="21"/>
        </w:rPr>
        <w:t>1</w:t>
      </w:r>
      <w:r>
        <w:rPr>
          <w:rFonts w:eastAsia="宋体" w:cs="Times New Roman"/>
          <w:iCs/>
          <w:color w:val="000000"/>
          <w:sz w:val="21"/>
          <w:szCs w:val="21"/>
        </w:rPr>
        <w:t xml:space="preserve"> </w:t>
      </w:r>
      <w:r>
        <w:rPr>
          <w:rFonts w:hint="eastAsia" w:eastAsia="宋体" w:cs="Times New Roman"/>
          <w:color w:val="000000"/>
          <w:sz w:val="21"/>
          <w:szCs w:val="21"/>
        </w:rPr>
        <w:t>综合管廊的布点位置参考以下标准和规范：1、安徽省城市生命线安全工程二期建设指南(试行)4.10；2、《城镇综合管廊监控与报警系统工程技术标准》GB/T 51274 8.2.3 1；3、《城市综合管廊工程监测技术规程》TCCIAT 0034 7.3.1、7.3.7</w:t>
      </w:r>
    </w:p>
    <w:p w14:paraId="1DCFCCC1">
      <w:pPr>
        <w:keepNext/>
        <w:keepLines/>
        <w:spacing w:before="340" w:after="156" w:line="578" w:lineRule="auto"/>
        <w:ind w:firstLine="602"/>
        <w:jc w:val="center"/>
        <w:outlineLvl w:val="0"/>
        <w:rPr>
          <w:rFonts w:eastAsia="宋体" w:cs="Times New Roman"/>
          <w:b/>
          <w:bCs/>
          <w:color w:val="000000"/>
          <w:kern w:val="44"/>
          <w:sz w:val="30"/>
          <w:szCs w:val="30"/>
        </w:rPr>
      </w:pPr>
      <w:r>
        <w:rPr>
          <w:rFonts w:hint="eastAsia" w:eastAsia="宋体" w:cs="Times New Roman"/>
          <w:b/>
          <w:bCs/>
          <w:color w:val="000000"/>
          <w:kern w:val="44"/>
          <w:sz w:val="30"/>
          <w:szCs w:val="30"/>
        </w:rPr>
        <w:t>5</w:t>
      </w:r>
      <w:r>
        <w:rPr>
          <w:rFonts w:eastAsia="宋体" w:cs="Times New Roman"/>
          <w:b/>
          <w:bCs/>
          <w:color w:val="000000"/>
          <w:kern w:val="44"/>
          <w:sz w:val="30"/>
          <w:szCs w:val="30"/>
        </w:rPr>
        <w:t xml:space="preserve"> </w:t>
      </w:r>
      <w:r>
        <w:rPr>
          <w:rFonts w:hint="eastAsia" w:eastAsia="宋体" w:cs="Times New Roman"/>
          <w:b/>
          <w:bCs/>
          <w:color w:val="000000"/>
          <w:kern w:val="44"/>
          <w:sz w:val="30"/>
          <w:szCs w:val="30"/>
        </w:rPr>
        <w:t>信号传输设施</w:t>
      </w:r>
    </w:p>
    <w:p w14:paraId="6CC1A44E">
      <w:pPr>
        <w:keepNext/>
        <w:keepLines/>
        <w:spacing w:line="360" w:lineRule="auto"/>
        <w:ind w:firstLine="562"/>
        <w:jc w:val="center"/>
        <w:outlineLvl w:val="1"/>
        <w:rPr>
          <w:rFonts w:eastAsia="宋体" w:cs="Times New Roman"/>
          <w:b/>
          <w:bCs/>
          <w:color w:val="000000"/>
          <w:sz w:val="30"/>
          <w:szCs w:val="30"/>
        </w:rPr>
      </w:pPr>
      <w:r>
        <w:rPr>
          <w:rFonts w:hint="eastAsia" w:eastAsia="宋体" w:cs="Times New Roman"/>
          <w:b/>
          <w:bCs/>
          <w:color w:val="000000"/>
          <w:sz w:val="28"/>
          <w:szCs w:val="28"/>
        </w:rPr>
        <w:t>5</w:t>
      </w:r>
      <w:r>
        <w:rPr>
          <w:rFonts w:eastAsia="宋体" w:cs="Times New Roman"/>
          <w:b/>
          <w:bCs/>
          <w:color w:val="000000"/>
          <w:sz w:val="28"/>
          <w:szCs w:val="28"/>
        </w:rPr>
        <w:t>.</w:t>
      </w:r>
      <w:r>
        <w:rPr>
          <w:rFonts w:hint="eastAsia" w:eastAsia="宋体" w:cs="Times New Roman"/>
          <w:b/>
          <w:bCs/>
          <w:color w:val="000000"/>
          <w:sz w:val="28"/>
          <w:szCs w:val="28"/>
        </w:rPr>
        <w:t>2</w:t>
      </w:r>
      <w:r>
        <w:rPr>
          <w:rFonts w:eastAsia="宋体" w:cs="Times New Roman"/>
          <w:b/>
          <w:bCs/>
          <w:color w:val="000000"/>
          <w:sz w:val="28"/>
          <w:szCs w:val="28"/>
        </w:rPr>
        <w:t xml:space="preserve"> </w:t>
      </w:r>
      <w:r>
        <w:rPr>
          <w:rFonts w:hint="eastAsia" w:eastAsia="宋体" w:cs="Times New Roman"/>
          <w:b/>
          <w:bCs/>
          <w:color w:val="000000"/>
          <w:sz w:val="28"/>
          <w:szCs w:val="28"/>
        </w:rPr>
        <w:t>传输方式</w:t>
      </w:r>
    </w:p>
    <w:p w14:paraId="54997BEE">
      <w:pPr>
        <w:spacing w:line="360" w:lineRule="auto"/>
        <w:ind w:firstLine="0" w:firstLineChars="0"/>
        <w:jc w:val="left"/>
        <w:rPr>
          <w:rFonts w:eastAsia="宋体" w:cs="Times New Roman"/>
          <w:color w:val="000000"/>
          <w:sz w:val="21"/>
          <w:szCs w:val="21"/>
        </w:rPr>
      </w:pPr>
      <w:r>
        <w:rPr>
          <w:rFonts w:hint="eastAsia" w:eastAsia="宋体" w:cs="Times New Roman"/>
          <w:iCs/>
          <w:color w:val="000000"/>
          <w:sz w:val="21"/>
          <w:szCs w:val="21"/>
        </w:rPr>
        <w:t>5</w:t>
      </w:r>
      <w:r>
        <w:rPr>
          <w:rFonts w:eastAsia="宋体" w:cs="Times New Roman"/>
          <w:iCs/>
          <w:color w:val="000000"/>
          <w:sz w:val="21"/>
          <w:szCs w:val="21"/>
        </w:rPr>
        <w:t>.</w:t>
      </w:r>
      <w:r>
        <w:rPr>
          <w:rFonts w:hint="eastAsia" w:eastAsia="宋体" w:cs="Times New Roman"/>
          <w:iCs/>
          <w:color w:val="000000"/>
          <w:sz w:val="21"/>
          <w:szCs w:val="21"/>
        </w:rPr>
        <w:t>2</w:t>
      </w:r>
      <w:r>
        <w:rPr>
          <w:rFonts w:eastAsia="宋体" w:cs="Times New Roman"/>
          <w:iCs/>
          <w:color w:val="000000"/>
          <w:sz w:val="21"/>
          <w:szCs w:val="21"/>
        </w:rPr>
        <w:t>.</w:t>
      </w:r>
      <w:r>
        <w:rPr>
          <w:rFonts w:hint="eastAsia" w:eastAsia="宋体" w:cs="Times New Roman"/>
          <w:iCs/>
          <w:color w:val="000000"/>
          <w:sz w:val="21"/>
          <w:szCs w:val="21"/>
        </w:rPr>
        <w:t>4</w:t>
      </w:r>
      <w:r>
        <w:rPr>
          <w:rFonts w:eastAsia="宋体" w:cs="Times New Roman"/>
          <w:iCs/>
          <w:color w:val="000000"/>
          <w:sz w:val="21"/>
          <w:szCs w:val="21"/>
        </w:rPr>
        <w:t xml:space="preserve"> </w:t>
      </w:r>
      <w:r>
        <w:rPr>
          <w:rFonts w:hint="eastAsia" w:eastAsia="宋体" w:cs="Times New Roman"/>
          <w:color w:val="000000"/>
          <w:sz w:val="21"/>
          <w:szCs w:val="21"/>
        </w:rPr>
        <w:t>参考《公众无线局域网网络质量测试方法》YD/T 2405、《数字蜂窝移动通信网通用分组无线业务设备测试方法》YD/T 1171等标准对广域网WAN通信质量要求。</w:t>
      </w:r>
    </w:p>
    <w:p w14:paraId="7A54B2FE">
      <w:pPr>
        <w:keepNext/>
        <w:keepLines/>
        <w:spacing w:line="360" w:lineRule="auto"/>
        <w:ind w:firstLine="562"/>
        <w:jc w:val="center"/>
        <w:outlineLvl w:val="1"/>
        <w:rPr>
          <w:rFonts w:eastAsia="宋体" w:cs="Times New Roman"/>
          <w:b/>
          <w:bCs/>
          <w:color w:val="000000"/>
          <w:sz w:val="30"/>
          <w:szCs w:val="30"/>
        </w:rPr>
      </w:pPr>
      <w:r>
        <w:rPr>
          <w:rFonts w:hint="eastAsia" w:eastAsia="宋体" w:cs="Times New Roman"/>
          <w:b/>
          <w:bCs/>
          <w:color w:val="000000"/>
          <w:sz w:val="28"/>
          <w:szCs w:val="28"/>
        </w:rPr>
        <w:t>5</w:t>
      </w:r>
      <w:r>
        <w:rPr>
          <w:rFonts w:eastAsia="宋体" w:cs="Times New Roman"/>
          <w:b/>
          <w:bCs/>
          <w:color w:val="000000"/>
          <w:sz w:val="28"/>
          <w:szCs w:val="28"/>
        </w:rPr>
        <w:t>.</w:t>
      </w:r>
      <w:r>
        <w:rPr>
          <w:rFonts w:hint="eastAsia" w:eastAsia="宋体" w:cs="Times New Roman"/>
          <w:b/>
          <w:bCs/>
          <w:color w:val="000000"/>
          <w:sz w:val="28"/>
          <w:szCs w:val="28"/>
        </w:rPr>
        <w:t>3</w:t>
      </w:r>
      <w:r>
        <w:rPr>
          <w:rFonts w:eastAsia="宋体" w:cs="Times New Roman"/>
          <w:b/>
          <w:bCs/>
          <w:color w:val="000000"/>
          <w:sz w:val="28"/>
          <w:szCs w:val="28"/>
        </w:rPr>
        <w:t xml:space="preserve"> </w:t>
      </w:r>
      <w:r>
        <w:rPr>
          <w:rFonts w:hint="eastAsia" w:eastAsia="宋体" w:cs="Times New Roman"/>
          <w:b/>
          <w:bCs/>
          <w:color w:val="000000"/>
          <w:sz w:val="28"/>
          <w:szCs w:val="28"/>
        </w:rPr>
        <w:t>线缆选择</w:t>
      </w:r>
    </w:p>
    <w:p w14:paraId="402A9DD7">
      <w:pPr>
        <w:spacing w:line="360" w:lineRule="auto"/>
        <w:ind w:firstLine="0" w:firstLineChars="0"/>
        <w:jc w:val="left"/>
        <w:rPr>
          <w:rFonts w:eastAsia="宋体" w:cs="Times New Roman"/>
          <w:color w:val="000000"/>
          <w:sz w:val="21"/>
          <w:szCs w:val="21"/>
        </w:rPr>
      </w:pPr>
      <w:r>
        <w:rPr>
          <w:rFonts w:hint="eastAsia" w:eastAsia="宋体" w:cs="Times New Roman"/>
          <w:iCs/>
          <w:color w:val="000000"/>
          <w:sz w:val="21"/>
          <w:szCs w:val="21"/>
        </w:rPr>
        <w:t>5</w:t>
      </w:r>
      <w:r>
        <w:rPr>
          <w:rFonts w:eastAsia="宋体" w:cs="Times New Roman"/>
          <w:iCs/>
          <w:color w:val="000000"/>
          <w:sz w:val="21"/>
          <w:szCs w:val="21"/>
        </w:rPr>
        <w:t>.</w:t>
      </w:r>
      <w:r>
        <w:rPr>
          <w:rFonts w:hint="eastAsia" w:eastAsia="宋体" w:cs="Times New Roman"/>
          <w:iCs/>
          <w:color w:val="000000"/>
          <w:sz w:val="21"/>
          <w:szCs w:val="21"/>
        </w:rPr>
        <w:t>3</w:t>
      </w:r>
      <w:r>
        <w:rPr>
          <w:rFonts w:eastAsia="宋体" w:cs="Times New Roman"/>
          <w:iCs/>
          <w:color w:val="000000"/>
          <w:sz w:val="21"/>
          <w:szCs w:val="21"/>
        </w:rPr>
        <w:t>.</w:t>
      </w:r>
      <w:r>
        <w:rPr>
          <w:rFonts w:hint="eastAsia" w:eastAsia="宋体" w:cs="Times New Roman"/>
          <w:iCs/>
          <w:color w:val="000000"/>
          <w:sz w:val="21"/>
          <w:szCs w:val="21"/>
        </w:rPr>
        <w:t>1</w:t>
      </w:r>
      <w:r>
        <w:rPr>
          <w:rFonts w:eastAsia="宋体" w:cs="Times New Roman"/>
          <w:iCs/>
          <w:color w:val="000000"/>
          <w:sz w:val="21"/>
          <w:szCs w:val="21"/>
        </w:rPr>
        <w:t xml:space="preserve"> </w:t>
      </w:r>
      <w:r>
        <w:rPr>
          <w:rFonts w:hint="eastAsia" w:eastAsia="宋体" w:cs="Times New Roman"/>
          <w:color w:val="000000"/>
          <w:sz w:val="21"/>
          <w:szCs w:val="21"/>
        </w:rPr>
        <w:t>智能网关上联接口汇聚至城市生命线监测平台通信线缆为主干线缆，智能网关下联接口至监测传感器通信线缆为末端线缆。</w:t>
      </w:r>
    </w:p>
    <w:p w14:paraId="184265F4">
      <w:pPr>
        <w:spacing w:line="360" w:lineRule="auto"/>
        <w:ind w:firstLine="0" w:firstLineChars="0"/>
        <w:jc w:val="left"/>
        <w:rPr>
          <w:rFonts w:eastAsia="宋体" w:cs="Times New Roman"/>
          <w:color w:val="000000"/>
          <w:sz w:val="21"/>
          <w:szCs w:val="21"/>
        </w:rPr>
      </w:pPr>
      <w:r>
        <w:rPr>
          <w:rFonts w:hint="eastAsia" w:eastAsia="宋体" w:cs="Times New Roman"/>
          <w:iCs/>
          <w:color w:val="000000"/>
          <w:sz w:val="21"/>
          <w:szCs w:val="21"/>
        </w:rPr>
        <w:t>5</w:t>
      </w:r>
      <w:r>
        <w:rPr>
          <w:rFonts w:eastAsia="宋体" w:cs="Times New Roman"/>
          <w:iCs/>
          <w:color w:val="000000"/>
          <w:sz w:val="21"/>
          <w:szCs w:val="21"/>
        </w:rPr>
        <w:t>.</w:t>
      </w:r>
      <w:r>
        <w:rPr>
          <w:rFonts w:hint="eastAsia" w:eastAsia="宋体" w:cs="Times New Roman"/>
          <w:iCs/>
          <w:color w:val="000000"/>
          <w:sz w:val="21"/>
          <w:szCs w:val="21"/>
        </w:rPr>
        <w:t>3</w:t>
      </w:r>
      <w:r>
        <w:rPr>
          <w:rFonts w:eastAsia="宋体" w:cs="Times New Roman"/>
          <w:iCs/>
          <w:color w:val="000000"/>
          <w:sz w:val="21"/>
          <w:szCs w:val="21"/>
        </w:rPr>
        <w:t>.</w:t>
      </w:r>
      <w:r>
        <w:rPr>
          <w:rFonts w:hint="eastAsia" w:eastAsia="宋体" w:cs="Times New Roman"/>
          <w:iCs/>
          <w:color w:val="000000"/>
          <w:sz w:val="21"/>
          <w:szCs w:val="21"/>
        </w:rPr>
        <w:t>2</w:t>
      </w:r>
      <w:r>
        <w:rPr>
          <w:rFonts w:eastAsia="宋体" w:cs="Times New Roman"/>
          <w:iCs/>
          <w:color w:val="000000"/>
          <w:sz w:val="21"/>
          <w:szCs w:val="21"/>
        </w:rPr>
        <w:t xml:space="preserve"> </w:t>
      </w:r>
      <w:r>
        <w:rPr>
          <w:rFonts w:hint="eastAsia" w:eastAsia="宋体" w:cs="Times New Roman"/>
          <w:color w:val="000000"/>
          <w:sz w:val="21"/>
          <w:szCs w:val="21"/>
        </w:rPr>
        <w:t>参考《公共建筑通信标准》“4.5.1 用户接入点至光缆分纤箱之间的用户光缆应采用G.652D光纤”。</w:t>
      </w:r>
    </w:p>
    <w:p w14:paraId="1C9BBEAC">
      <w:pPr>
        <w:spacing w:line="360" w:lineRule="auto"/>
        <w:ind w:firstLine="0" w:firstLineChars="0"/>
        <w:jc w:val="left"/>
        <w:rPr>
          <w:rFonts w:eastAsia="宋体" w:cs="Times New Roman"/>
          <w:color w:val="000000"/>
          <w:sz w:val="21"/>
          <w:szCs w:val="21"/>
        </w:rPr>
      </w:pPr>
      <w:r>
        <w:rPr>
          <w:rFonts w:hint="eastAsia" w:eastAsia="宋体" w:cs="Times New Roman"/>
          <w:iCs/>
          <w:color w:val="000000"/>
          <w:sz w:val="21"/>
          <w:szCs w:val="21"/>
        </w:rPr>
        <w:t>5</w:t>
      </w:r>
      <w:r>
        <w:rPr>
          <w:rFonts w:eastAsia="宋体" w:cs="Times New Roman"/>
          <w:iCs/>
          <w:color w:val="000000"/>
          <w:sz w:val="21"/>
          <w:szCs w:val="21"/>
        </w:rPr>
        <w:t>.</w:t>
      </w:r>
      <w:r>
        <w:rPr>
          <w:rFonts w:hint="eastAsia" w:eastAsia="宋体" w:cs="Times New Roman"/>
          <w:iCs/>
          <w:color w:val="000000"/>
          <w:sz w:val="21"/>
          <w:szCs w:val="21"/>
        </w:rPr>
        <w:t>3</w:t>
      </w:r>
      <w:r>
        <w:rPr>
          <w:rFonts w:eastAsia="宋体" w:cs="Times New Roman"/>
          <w:iCs/>
          <w:color w:val="000000"/>
          <w:sz w:val="21"/>
          <w:szCs w:val="21"/>
        </w:rPr>
        <w:t>.</w:t>
      </w:r>
      <w:r>
        <w:rPr>
          <w:rFonts w:hint="eastAsia" w:eastAsia="宋体" w:cs="Times New Roman"/>
          <w:iCs/>
          <w:color w:val="000000"/>
          <w:sz w:val="21"/>
          <w:szCs w:val="21"/>
        </w:rPr>
        <w:t>3</w:t>
      </w:r>
      <w:r>
        <w:rPr>
          <w:rFonts w:eastAsia="宋体" w:cs="Times New Roman"/>
          <w:iCs/>
          <w:color w:val="000000"/>
          <w:sz w:val="21"/>
          <w:szCs w:val="21"/>
        </w:rPr>
        <w:t xml:space="preserve"> </w:t>
      </w:r>
      <w:r>
        <w:rPr>
          <w:rFonts w:hint="eastAsia" w:eastAsia="宋体" w:cs="Times New Roman"/>
          <w:color w:val="000000"/>
          <w:sz w:val="21"/>
          <w:szCs w:val="21"/>
        </w:rPr>
        <w:t>参考《民用建筑电气设计标准》GB51348，19.4.9的要求。</w:t>
      </w:r>
    </w:p>
    <w:p w14:paraId="5835733D">
      <w:pPr>
        <w:keepNext/>
        <w:keepLines/>
        <w:spacing w:line="360" w:lineRule="auto"/>
        <w:ind w:firstLine="562"/>
        <w:jc w:val="center"/>
        <w:outlineLvl w:val="1"/>
        <w:rPr>
          <w:rFonts w:eastAsia="宋体" w:cs="Times New Roman"/>
          <w:b/>
          <w:bCs/>
          <w:color w:val="000000"/>
          <w:sz w:val="30"/>
          <w:szCs w:val="30"/>
        </w:rPr>
      </w:pPr>
      <w:r>
        <w:rPr>
          <w:rFonts w:hint="eastAsia" w:eastAsia="宋体" w:cs="Times New Roman"/>
          <w:b/>
          <w:bCs/>
          <w:color w:val="000000"/>
          <w:sz w:val="28"/>
          <w:szCs w:val="28"/>
        </w:rPr>
        <w:t>5</w:t>
      </w:r>
      <w:r>
        <w:rPr>
          <w:rFonts w:eastAsia="宋体" w:cs="Times New Roman"/>
          <w:b/>
          <w:bCs/>
          <w:color w:val="000000"/>
          <w:sz w:val="28"/>
          <w:szCs w:val="28"/>
        </w:rPr>
        <w:t>.</w:t>
      </w:r>
      <w:r>
        <w:rPr>
          <w:rFonts w:hint="eastAsia" w:eastAsia="宋体" w:cs="Times New Roman"/>
          <w:b/>
          <w:bCs/>
          <w:color w:val="000000"/>
          <w:sz w:val="28"/>
          <w:szCs w:val="28"/>
        </w:rPr>
        <w:t>4</w:t>
      </w:r>
      <w:r>
        <w:rPr>
          <w:rFonts w:eastAsia="宋体" w:cs="Times New Roman"/>
          <w:b/>
          <w:bCs/>
          <w:color w:val="000000"/>
          <w:sz w:val="28"/>
          <w:szCs w:val="28"/>
        </w:rPr>
        <w:t xml:space="preserve"> </w:t>
      </w:r>
      <w:r>
        <w:rPr>
          <w:rFonts w:hint="eastAsia" w:eastAsia="宋体" w:cs="Times New Roman"/>
          <w:b/>
          <w:bCs/>
          <w:color w:val="000000"/>
          <w:sz w:val="28"/>
          <w:szCs w:val="28"/>
        </w:rPr>
        <w:t>通信网关</w:t>
      </w:r>
    </w:p>
    <w:p w14:paraId="356A94FC">
      <w:pPr>
        <w:spacing w:line="360" w:lineRule="auto"/>
        <w:ind w:firstLine="0" w:firstLineChars="0"/>
        <w:jc w:val="left"/>
        <w:rPr>
          <w:rFonts w:eastAsia="宋体" w:cs="Times New Roman"/>
          <w:color w:val="000000"/>
          <w:sz w:val="21"/>
          <w:szCs w:val="21"/>
        </w:rPr>
      </w:pPr>
      <w:r>
        <w:rPr>
          <w:rFonts w:hint="eastAsia" w:eastAsia="宋体" w:cs="Times New Roman"/>
          <w:iCs/>
          <w:color w:val="000000"/>
          <w:sz w:val="21"/>
          <w:szCs w:val="21"/>
        </w:rPr>
        <w:t>5</w:t>
      </w:r>
      <w:r>
        <w:rPr>
          <w:rFonts w:eastAsia="宋体" w:cs="Times New Roman"/>
          <w:iCs/>
          <w:color w:val="000000"/>
          <w:sz w:val="21"/>
          <w:szCs w:val="21"/>
        </w:rPr>
        <w:t>.</w:t>
      </w:r>
      <w:r>
        <w:rPr>
          <w:rFonts w:hint="eastAsia" w:eastAsia="宋体" w:cs="Times New Roman"/>
          <w:iCs/>
          <w:color w:val="000000"/>
          <w:sz w:val="21"/>
          <w:szCs w:val="21"/>
        </w:rPr>
        <w:t>4</w:t>
      </w:r>
      <w:r>
        <w:rPr>
          <w:rFonts w:eastAsia="宋体" w:cs="Times New Roman"/>
          <w:iCs/>
          <w:color w:val="000000"/>
          <w:sz w:val="21"/>
          <w:szCs w:val="21"/>
        </w:rPr>
        <w:t>.</w:t>
      </w:r>
      <w:r>
        <w:rPr>
          <w:rFonts w:hint="eastAsia" w:eastAsia="宋体" w:cs="Times New Roman"/>
          <w:iCs/>
          <w:color w:val="000000"/>
          <w:sz w:val="21"/>
          <w:szCs w:val="21"/>
        </w:rPr>
        <w:t>6</w:t>
      </w:r>
      <w:r>
        <w:rPr>
          <w:rFonts w:eastAsia="宋体" w:cs="Times New Roman"/>
          <w:iCs/>
          <w:color w:val="000000"/>
          <w:sz w:val="21"/>
          <w:szCs w:val="21"/>
        </w:rPr>
        <w:t xml:space="preserve"> </w:t>
      </w:r>
      <w:r>
        <w:rPr>
          <w:rFonts w:hint="eastAsia" w:eastAsia="宋体" w:cs="Times New Roman"/>
          <w:color w:val="000000"/>
          <w:sz w:val="21"/>
          <w:szCs w:val="21"/>
        </w:rPr>
        <w:t>智能网关可以接入多种网络通信协议和应用层协议，完成数据上传、协议转换等指令要求，详见图5.4.6。</w:t>
      </w:r>
    </w:p>
    <w:p w14:paraId="1CD24FFE">
      <w:pPr>
        <w:spacing w:line="360" w:lineRule="auto"/>
        <w:ind w:firstLine="0" w:firstLineChars="0"/>
        <w:jc w:val="center"/>
        <w:rPr>
          <w:rFonts w:eastAsia="宋体" w:cs="Times New Roman"/>
          <w:bCs/>
          <w:sz w:val="24"/>
          <w:szCs w:val="24"/>
        </w:rPr>
      </w:pPr>
      <w:r>
        <w:drawing>
          <wp:inline distT="0" distB="0" distL="0" distR="0">
            <wp:extent cx="5457190" cy="2618740"/>
            <wp:effectExtent l="0" t="0" r="1016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5524148" cy="2650926"/>
                    </a:xfrm>
                    <a:prstGeom prst="rect">
                      <a:avLst/>
                    </a:prstGeom>
                  </pic:spPr>
                </pic:pic>
              </a:graphicData>
            </a:graphic>
          </wp:inline>
        </w:drawing>
      </w:r>
    </w:p>
    <w:p w14:paraId="1407A872">
      <w:pPr>
        <w:spacing w:line="360" w:lineRule="auto"/>
        <w:ind w:firstLine="0" w:firstLineChars="0"/>
        <w:jc w:val="center"/>
        <w:rPr>
          <w:rFonts w:eastAsia="楷体" w:cs="Times New Roman"/>
          <w:b/>
          <w:bCs/>
          <w:sz w:val="21"/>
          <w:szCs w:val="21"/>
        </w:rPr>
      </w:pPr>
      <w:r>
        <w:rPr>
          <w:rFonts w:eastAsia="楷体" w:cs="Times New Roman"/>
          <w:b/>
          <w:bCs/>
          <w:sz w:val="18"/>
          <w:szCs w:val="18"/>
        </w:rPr>
        <w:t>图5.4.6：智能网关接口协议模型</w:t>
      </w:r>
    </w:p>
    <w:p w14:paraId="0B97300F">
      <w:pPr>
        <w:spacing w:line="360" w:lineRule="auto"/>
        <w:ind w:firstLine="0" w:firstLineChars="0"/>
        <w:jc w:val="left"/>
        <w:rPr>
          <w:rFonts w:eastAsia="宋体" w:cs="Times New Roman"/>
          <w:color w:val="000000"/>
          <w:sz w:val="21"/>
          <w:szCs w:val="21"/>
        </w:rPr>
      </w:pPr>
      <w:r>
        <w:rPr>
          <w:rFonts w:hint="eastAsia" w:eastAsia="宋体" w:cs="Times New Roman"/>
          <w:iCs/>
          <w:color w:val="000000"/>
          <w:sz w:val="21"/>
          <w:szCs w:val="21"/>
        </w:rPr>
        <w:t>5</w:t>
      </w:r>
      <w:r>
        <w:rPr>
          <w:rFonts w:eastAsia="宋体" w:cs="Times New Roman"/>
          <w:iCs/>
          <w:color w:val="000000"/>
          <w:sz w:val="21"/>
          <w:szCs w:val="21"/>
        </w:rPr>
        <w:t>.</w:t>
      </w:r>
      <w:r>
        <w:rPr>
          <w:rFonts w:hint="eastAsia" w:eastAsia="宋体" w:cs="Times New Roman"/>
          <w:iCs/>
          <w:color w:val="000000"/>
          <w:sz w:val="21"/>
          <w:szCs w:val="21"/>
        </w:rPr>
        <w:t>4</w:t>
      </w:r>
      <w:r>
        <w:rPr>
          <w:rFonts w:eastAsia="宋体" w:cs="Times New Roman"/>
          <w:iCs/>
          <w:color w:val="000000"/>
          <w:sz w:val="21"/>
          <w:szCs w:val="21"/>
        </w:rPr>
        <w:t>.</w:t>
      </w:r>
      <w:r>
        <w:rPr>
          <w:rFonts w:hint="eastAsia" w:eastAsia="宋体" w:cs="Times New Roman"/>
          <w:iCs/>
          <w:color w:val="000000"/>
          <w:sz w:val="21"/>
          <w:szCs w:val="21"/>
        </w:rPr>
        <w:t>7</w:t>
      </w:r>
      <w:r>
        <w:rPr>
          <w:rFonts w:eastAsia="宋体" w:cs="Times New Roman"/>
          <w:iCs/>
          <w:color w:val="000000"/>
          <w:sz w:val="21"/>
          <w:szCs w:val="21"/>
        </w:rPr>
        <w:t xml:space="preserve"> </w:t>
      </w:r>
      <w:r>
        <w:rPr>
          <w:rFonts w:hint="eastAsia" w:eastAsia="宋体" w:cs="Times New Roman"/>
          <w:color w:val="000000"/>
          <w:sz w:val="21"/>
          <w:szCs w:val="21"/>
        </w:rPr>
        <w:t>通信网关可以将前端监测传感器数据透传给监测平台，也可以支持协议和数据格式转换，还可以完成前端监测传感器的自组网通信，详见图5.4.7</w:t>
      </w:r>
    </w:p>
    <w:p w14:paraId="76FAF846">
      <w:pPr>
        <w:spacing w:line="360" w:lineRule="auto"/>
        <w:ind w:firstLine="0" w:firstLineChars="0"/>
        <w:jc w:val="center"/>
        <w:rPr>
          <w:rFonts w:eastAsia="宋体" w:cs="Times New Roman"/>
          <w:bCs/>
          <w:sz w:val="24"/>
          <w:szCs w:val="24"/>
        </w:rPr>
      </w:pPr>
      <w:r>
        <w:drawing>
          <wp:inline distT="0" distB="0" distL="0" distR="0">
            <wp:extent cx="3064510" cy="3338830"/>
            <wp:effectExtent l="0" t="0" r="2540"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3096503" cy="3373186"/>
                    </a:xfrm>
                    <a:prstGeom prst="rect">
                      <a:avLst/>
                    </a:prstGeom>
                  </pic:spPr>
                </pic:pic>
              </a:graphicData>
            </a:graphic>
          </wp:inline>
        </w:drawing>
      </w:r>
    </w:p>
    <w:p w14:paraId="5017AF0F">
      <w:pPr>
        <w:spacing w:line="360" w:lineRule="auto"/>
        <w:ind w:firstLine="0" w:firstLineChars="0"/>
        <w:jc w:val="center"/>
        <w:rPr>
          <w:rFonts w:eastAsia="楷体" w:cs="Times New Roman"/>
          <w:b/>
          <w:bCs/>
          <w:sz w:val="18"/>
          <w:szCs w:val="18"/>
        </w:rPr>
      </w:pPr>
      <w:r>
        <w:rPr>
          <w:rFonts w:eastAsia="楷体" w:cs="Times New Roman"/>
          <w:b/>
          <w:bCs/>
          <w:sz w:val="18"/>
          <w:szCs w:val="18"/>
        </w:rPr>
        <w:t>图5.4.7：</w:t>
      </w:r>
      <w:r>
        <w:rPr>
          <w:rFonts w:hint="eastAsia" w:eastAsia="楷体" w:cs="Times New Roman"/>
          <w:b/>
          <w:bCs/>
          <w:sz w:val="18"/>
          <w:szCs w:val="18"/>
        </w:rPr>
        <w:t>通信</w:t>
      </w:r>
      <w:r>
        <w:rPr>
          <w:rFonts w:eastAsia="楷体" w:cs="Times New Roman"/>
          <w:b/>
          <w:bCs/>
          <w:sz w:val="18"/>
          <w:szCs w:val="18"/>
        </w:rPr>
        <w:t>网关通信模式</w:t>
      </w:r>
    </w:p>
    <w:p w14:paraId="0DE09768">
      <w:pPr>
        <w:spacing w:line="360" w:lineRule="auto"/>
        <w:ind w:firstLine="0" w:firstLineChars="0"/>
        <w:jc w:val="left"/>
        <w:rPr>
          <w:rFonts w:eastAsia="宋体" w:cs="Times New Roman"/>
          <w:color w:val="000000"/>
          <w:sz w:val="21"/>
          <w:szCs w:val="21"/>
        </w:rPr>
      </w:pPr>
      <w:r>
        <w:rPr>
          <w:rFonts w:hint="eastAsia" w:eastAsia="宋体" w:cs="Times New Roman"/>
          <w:iCs/>
          <w:color w:val="000000"/>
          <w:sz w:val="21"/>
          <w:szCs w:val="21"/>
        </w:rPr>
        <w:t>5</w:t>
      </w:r>
      <w:r>
        <w:rPr>
          <w:rFonts w:eastAsia="宋体" w:cs="Times New Roman"/>
          <w:iCs/>
          <w:color w:val="000000"/>
          <w:sz w:val="21"/>
          <w:szCs w:val="21"/>
        </w:rPr>
        <w:t>.</w:t>
      </w:r>
      <w:r>
        <w:rPr>
          <w:rFonts w:hint="eastAsia" w:eastAsia="宋体" w:cs="Times New Roman"/>
          <w:iCs/>
          <w:color w:val="000000"/>
          <w:sz w:val="21"/>
          <w:szCs w:val="21"/>
        </w:rPr>
        <w:t>4</w:t>
      </w:r>
      <w:r>
        <w:rPr>
          <w:rFonts w:eastAsia="宋体" w:cs="Times New Roman"/>
          <w:iCs/>
          <w:color w:val="000000"/>
          <w:sz w:val="21"/>
          <w:szCs w:val="21"/>
        </w:rPr>
        <w:t>.</w:t>
      </w:r>
      <w:r>
        <w:rPr>
          <w:rFonts w:hint="eastAsia" w:eastAsia="宋体" w:cs="Times New Roman"/>
          <w:iCs/>
          <w:color w:val="000000"/>
          <w:sz w:val="21"/>
          <w:szCs w:val="21"/>
        </w:rPr>
        <w:t>11</w:t>
      </w:r>
      <w:r>
        <w:rPr>
          <w:rFonts w:eastAsia="宋体" w:cs="Times New Roman"/>
          <w:iCs/>
          <w:color w:val="000000"/>
          <w:sz w:val="21"/>
          <w:szCs w:val="21"/>
        </w:rPr>
        <w:t xml:space="preserve"> </w:t>
      </w:r>
      <w:r>
        <w:rPr>
          <w:rFonts w:hint="eastAsia" w:eastAsia="宋体" w:cs="Times New Roman"/>
          <w:color w:val="000000"/>
          <w:sz w:val="21"/>
          <w:szCs w:val="21"/>
        </w:rPr>
        <w:t>信号防雷参考国家标准《通信局(站)防雷接地工程设计规范》GB 50689。</w:t>
      </w:r>
    </w:p>
    <w:p w14:paraId="58920933">
      <w:pPr>
        <w:keepNext/>
        <w:keepLines/>
        <w:spacing w:line="360" w:lineRule="auto"/>
        <w:ind w:firstLine="562"/>
        <w:jc w:val="center"/>
        <w:outlineLvl w:val="1"/>
        <w:rPr>
          <w:rFonts w:eastAsia="宋体" w:cs="Times New Roman"/>
          <w:b/>
          <w:bCs/>
          <w:color w:val="000000"/>
          <w:sz w:val="30"/>
          <w:szCs w:val="30"/>
        </w:rPr>
      </w:pPr>
      <w:r>
        <w:rPr>
          <w:rFonts w:hint="eastAsia" w:eastAsia="宋体" w:cs="Times New Roman"/>
          <w:b/>
          <w:bCs/>
          <w:color w:val="000000"/>
          <w:sz w:val="28"/>
          <w:szCs w:val="28"/>
        </w:rPr>
        <w:t>5</w:t>
      </w:r>
      <w:r>
        <w:rPr>
          <w:rFonts w:eastAsia="宋体" w:cs="Times New Roman"/>
          <w:b/>
          <w:bCs/>
          <w:color w:val="000000"/>
          <w:sz w:val="28"/>
          <w:szCs w:val="28"/>
        </w:rPr>
        <w:t>.</w:t>
      </w:r>
      <w:r>
        <w:rPr>
          <w:rFonts w:hint="eastAsia" w:eastAsia="宋体" w:cs="Times New Roman"/>
          <w:b/>
          <w:bCs/>
          <w:color w:val="000000"/>
          <w:sz w:val="28"/>
          <w:szCs w:val="28"/>
        </w:rPr>
        <w:t>5</w:t>
      </w:r>
      <w:r>
        <w:rPr>
          <w:rFonts w:eastAsia="宋体" w:cs="Times New Roman"/>
          <w:b/>
          <w:bCs/>
          <w:color w:val="000000"/>
          <w:sz w:val="28"/>
          <w:szCs w:val="28"/>
        </w:rPr>
        <w:t xml:space="preserve"> </w:t>
      </w:r>
      <w:r>
        <w:rPr>
          <w:rFonts w:hint="eastAsia" w:eastAsia="宋体" w:cs="Times New Roman"/>
          <w:b/>
          <w:bCs/>
          <w:color w:val="000000"/>
          <w:sz w:val="28"/>
          <w:szCs w:val="28"/>
        </w:rPr>
        <w:t>智慧应用</w:t>
      </w:r>
    </w:p>
    <w:p w14:paraId="073E743B">
      <w:pPr>
        <w:spacing w:line="360" w:lineRule="auto"/>
        <w:ind w:firstLine="0" w:firstLineChars="0"/>
        <w:jc w:val="left"/>
        <w:rPr>
          <w:rFonts w:eastAsia="宋体" w:cs="Times New Roman"/>
          <w:color w:val="000000"/>
          <w:sz w:val="21"/>
          <w:szCs w:val="21"/>
        </w:rPr>
      </w:pPr>
      <w:r>
        <w:rPr>
          <w:rFonts w:hint="eastAsia" w:eastAsia="宋体" w:cs="Times New Roman"/>
          <w:iCs/>
          <w:color w:val="000000"/>
          <w:sz w:val="21"/>
          <w:szCs w:val="21"/>
        </w:rPr>
        <w:t>5</w:t>
      </w:r>
      <w:r>
        <w:rPr>
          <w:rFonts w:eastAsia="宋体" w:cs="Times New Roman"/>
          <w:iCs/>
          <w:color w:val="000000"/>
          <w:sz w:val="21"/>
          <w:szCs w:val="21"/>
        </w:rPr>
        <w:t>.</w:t>
      </w:r>
      <w:r>
        <w:rPr>
          <w:rFonts w:hint="eastAsia" w:eastAsia="宋体" w:cs="Times New Roman"/>
          <w:iCs/>
          <w:color w:val="000000"/>
          <w:sz w:val="21"/>
          <w:szCs w:val="21"/>
        </w:rPr>
        <w:t>5</w:t>
      </w:r>
      <w:r>
        <w:rPr>
          <w:rFonts w:eastAsia="宋体" w:cs="Times New Roman"/>
          <w:iCs/>
          <w:color w:val="000000"/>
          <w:sz w:val="21"/>
          <w:szCs w:val="21"/>
        </w:rPr>
        <w:t>.</w:t>
      </w:r>
      <w:r>
        <w:rPr>
          <w:rFonts w:hint="eastAsia" w:eastAsia="宋体" w:cs="Times New Roman"/>
          <w:iCs/>
          <w:color w:val="000000"/>
          <w:sz w:val="21"/>
          <w:szCs w:val="21"/>
        </w:rPr>
        <w:t>4</w:t>
      </w:r>
      <w:r>
        <w:rPr>
          <w:rFonts w:eastAsia="宋体" w:cs="Times New Roman"/>
          <w:iCs/>
          <w:color w:val="000000"/>
          <w:sz w:val="21"/>
          <w:szCs w:val="21"/>
        </w:rPr>
        <w:t xml:space="preserve"> </w:t>
      </w:r>
      <w:r>
        <w:rPr>
          <w:rFonts w:hint="eastAsia" w:eastAsia="宋体" w:cs="Times New Roman"/>
          <w:color w:val="000000"/>
          <w:sz w:val="21"/>
          <w:szCs w:val="21"/>
        </w:rPr>
        <w:t>典型应用包括燃气泄漏秒级预警、地下管廊智能应急、供水管网精准运维等，显著提升了城市基础设施的安全性与管理效率。</w:t>
      </w:r>
    </w:p>
    <w:p w14:paraId="053C7C0C">
      <w:pPr>
        <w:spacing w:line="360" w:lineRule="auto"/>
        <w:ind w:firstLine="0" w:firstLineChars="0"/>
        <w:jc w:val="left"/>
        <w:rPr>
          <w:rFonts w:eastAsia="宋体" w:cs="Times New Roman"/>
          <w:color w:val="000000"/>
          <w:sz w:val="21"/>
          <w:szCs w:val="21"/>
        </w:rPr>
      </w:pPr>
    </w:p>
    <w:sectPr>
      <w:pgSz w:w="11906" w:h="16838"/>
      <w:pgMar w:top="2410" w:right="1134" w:bottom="1134" w:left="1134" w:header="851" w:footer="992" w:gutter="284"/>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Book Antiqua">
    <w:altName w:val="Segoe Print"/>
    <w:panose1 w:val="020406020503050303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80F02">
    <w:pPr>
      <w:pStyle w:val="12"/>
      <w:spacing w:before="240" w:beforeLines="100"/>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CB20BD">
                          <w:pPr>
                            <w:pStyle w:val="12"/>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6CB20BD">
                    <w:pPr>
                      <w:pStyle w:val="12"/>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2DC56">
    <w:pPr>
      <w:pStyle w:val="12"/>
      <w:framePr w:wrap="around" w:vAnchor="text" w:hAnchor="margin" w:xAlign="right" w:y="1"/>
      <w:ind w:firstLine="360"/>
      <w:rPr>
        <w:rStyle w:val="23"/>
      </w:rPr>
    </w:pPr>
    <w:r>
      <w:rPr>
        <w:rStyle w:val="23"/>
      </w:rPr>
      <w:fldChar w:fldCharType="begin"/>
    </w:r>
    <w:r>
      <w:rPr>
        <w:rStyle w:val="23"/>
      </w:rPr>
      <w:instrText xml:space="preserve">PAGE  </w:instrText>
    </w:r>
    <w:r>
      <w:rPr>
        <w:rStyle w:val="23"/>
      </w:rPr>
      <w:fldChar w:fldCharType="end"/>
    </w:r>
  </w:p>
  <w:p w14:paraId="070C149B">
    <w:pPr>
      <w:ind w:right="360" w:firstLine="360"/>
      <w:rPr>
        <w:rStyle w:val="23"/>
      </w:rPr>
    </w:pPr>
  </w:p>
  <w:p w14:paraId="7E4F5F77">
    <w:pPr>
      <w:ind w:firstLine="640"/>
    </w:pPr>
  </w:p>
  <w:p w14:paraId="7A6B829D">
    <w:pPr>
      <w:ind w:firstLine="6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D7E0F">
    <w:pPr>
      <w:pStyle w:val="12"/>
      <w:ind w:firstLine="360"/>
      <w:jc w:val="center"/>
      <w:rPr>
        <w:rFonts w:cs="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032521366"/>
                          </w:sdtPr>
                          <w:sdtEndPr>
                            <w:rPr>
                              <w:rFonts w:cs="Times New Roman"/>
                            </w:rPr>
                          </w:sdtEndPr>
                          <w:sdtContent>
                            <w:p w14:paraId="278226D9">
                              <w:pPr>
                                <w:pStyle w:val="12"/>
                                <w:ind w:firstLine="360"/>
                                <w:jc w:val="center"/>
                                <w:rPr>
                                  <w:rFonts w:cs="Times New Roman"/>
                                </w:rPr>
                              </w:pPr>
                              <w:r>
                                <w:rPr>
                                  <w:rFonts w:cs="Times New Roman"/>
                                </w:rPr>
                                <w:fldChar w:fldCharType="begin"/>
                              </w:r>
                              <w:r>
                                <w:rPr>
                                  <w:rFonts w:cs="Times New Roman"/>
                                </w:rPr>
                                <w:instrText xml:space="preserve">PAGE   \* MERGEFORMAT</w:instrText>
                              </w:r>
                              <w:r>
                                <w:rPr>
                                  <w:rFonts w:cs="Times New Roman"/>
                                </w:rPr>
                                <w:fldChar w:fldCharType="separate"/>
                              </w:r>
                              <w:r>
                                <w:rPr>
                                  <w:rFonts w:cs="Times New Roman"/>
                                  <w:lang w:val="zh-CN"/>
                                </w:rPr>
                                <w:t>42</w:t>
                              </w:r>
                              <w:r>
                                <w:rPr>
                                  <w:rFonts w:cs="Times New Roman"/>
                                </w:rPr>
                                <w:fldChar w:fldCharType="end"/>
                              </w:r>
                            </w:p>
                          </w:sdtContent>
                        </w:sdt>
                        <w:p w14:paraId="137AB49F">
                          <w:pPr>
                            <w:ind w:firstLine="640"/>
                            <w:rPr>
                              <w:rFonts w:cs="Times New Roma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sdt>
                    <w:sdtPr>
                      <w:id w:val="2032521366"/>
                    </w:sdtPr>
                    <w:sdtEndPr>
                      <w:rPr>
                        <w:rFonts w:cs="Times New Roman"/>
                      </w:rPr>
                    </w:sdtEndPr>
                    <w:sdtContent>
                      <w:p w14:paraId="278226D9">
                        <w:pPr>
                          <w:pStyle w:val="12"/>
                          <w:ind w:firstLine="360"/>
                          <w:jc w:val="center"/>
                          <w:rPr>
                            <w:rFonts w:cs="Times New Roman"/>
                          </w:rPr>
                        </w:pPr>
                        <w:r>
                          <w:rPr>
                            <w:rFonts w:cs="Times New Roman"/>
                          </w:rPr>
                          <w:fldChar w:fldCharType="begin"/>
                        </w:r>
                        <w:r>
                          <w:rPr>
                            <w:rFonts w:cs="Times New Roman"/>
                          </w:rPr>
                          <w:instrText xml:space="preserve">PAGE   \* MERGEFORMAT</w:instrText>
                        </w:r>
                        <w:r>
                          <w:rPr>
                            <w:rFonts w:cs="Times New Roman"/>
                          </w:rPr>
                          <w:fldChar w:fldCharType="separate"/>
                        </w:r>
                        <w:r>
                          <w:rPr>
                            <w:rFonts w:cs="Times New Roman"/>
                            <w:lang w:val="zh-CN"/>
                          </w:rPr>
                          <w:t>42</w:t>
                        </w:r>
                        <w:r>
                          <w:rPr>
                            <w:rFonts w:cs="Times New Roman"/>
                          </w:rPr>
                          <w:fldChar w:fldCharType="end"/>
                        </w:r>
                      </w:p>
                    </w:sdtContent>
                  </w:sdt>
                  <w:p w14:paraId="137AB49F">
                    <w:pPr>
                      <w:ind w:firstLine="640"/>
                      <w:rPr>
                        <w:rFonts w:cs="Times New Roman"/>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81947">
    <w:pPr>
      <w:pStyle w:val="12"/>
      <w:ind w:firstLine="360"/>
      <w:jc w:val="center"/>
      <w:rPr>
        <w:rFonts w:cs="Times New Roma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602300"/>
                          </w:sdtPr>
                          <w:sdtEndPr>
                            <w:rPr>
                              <w:rFonts w:cs="Times New Roman"/>
                            </w:rPr>
                          </w:sdtEndPr>
                          <w:sdtContent>
                            <w:p w14:paraId="4B546F5A">
                              <w:pPr>
                                <w:pStyle w:val="12"/>
                                <w:ind w:firstLine="360"/>
                                <w:jc w:val="center"/>
                                <w:rPr>
                                  <w:rFonts w:cs="Times New Roman"/>
                                </w:rPr>
                              </w:pPr>
                              <w:r>
                                <w:rPr>
                                  <w:rFonts w:cs="Times New Roman"/>
                                </w:rPr>
                                <w:fldChar w:fldCharType="begin"/>
                              </w:r>
                              <w:r>
                                <w:rPr>
                                  <w:rFonts w:cs="Times New Roman"/>
                                </w:rPr>
                                <w:instrText xml:space="preserve">PAGE   \* MERGEFORMAT</w:instrText>
                              </w:r>
                              <w:r>
                                <w:rPr>
                                  <w:rFonts w:cs="Times New Roman"/>
                                </w:rPr>
                                <w:fldChar w:fldCharType="separate"/>
                              </w:r>
                              <w:r>
                                <w:rPr>
                                  <w:rFonts w:cs="Times New Roman"/>
                                  <w:lang w:val="zh-CN"/>
                                </w:rPr>
                                <w:t>51</w:t>
                              </w:r>
                              <w:r>
                                <w:rPr>
                                  <w:rFonts w:cs="Times New Roman"/>
                                </w:rPr>
                                <w:fldChar w:fldCharType="end"/>
                              </w:r>
                            </w:p>
                          </w:sdtContent>
                        </w:sdt>
                        <w:p w14:paraId="04FB7C0A">
                          <w:pPr>
                            <w:ind w:firstLine="640"/>
                            <w:rPr>
                              <w:rFonts w:cs="Times New Roma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sdt>
                    <w:sdtPr>
                      <w:id w:val="19602300"/>
                    </w:sdtPr>
                    <w:sdtEndPr>
                      <w:rPr>
                        <w:rFonts w:cs="Times New Roman"/>
                      </w:rPr>
                    </w:sdtEndPr>
                    <w:sdtContent>
                      <w:p w14:paraId="4B546F5A">
                        <w:pPr>
                          <w:pStyle w:val="12"/>
                          <w:ind w:firstLine="360"/>
                          <w:jc w:val="center"/>
                          <w:rPr>
                            <w:rFonts w:cs="Times New Roman"/>
                          </w:rPr>
                        </w:pPr>
                        <w:r>
                          <w:rPr>
                            <w:rFonts w:cs="Times New Roman"/>
                          </w:rPr>
                          <w:fldChar w:fldCharType="begin"/>
                        </w:r>
                        <w:r>
                          <w:rPr>
                            <w:rFonts w:cs="Times New Roman"/>
                          </w:rPr>
                          <w:instrText xml:space="preserve">PAGE   \* MERGEFORMAT</w:instrText>
                        </w:r>
                        <w:r>
                          <w:rPr>
                            <w:rFonts w:cs="Times New Roman"/>
                          </w:rPr>
                          <w:fldChar w:fldCharType="separate"/>
                        </w:r>
                        <w:r>
                          <w:rPr>
                            <w:rFonts w:cs="Times New Roman"/>
                            <w:lang w:val="zh-CN"/>
                          </w:rPr>
                          <w:t>51</w:t>
                        </w:r>
                        <w:r>
                          <w:rPr>
                            <w:rFonts w:cs="Times New Roman"/>
                          </w:rPr>
                          <w:fldChar w:fldCharType="end"/>
                        </w:r>
                      </w:p>
                    </w:sdtContent>
                  </w:sdt>
                  <w:p w14:paraId="04FB7C0A">
                    <w:pPr>
                      <w:ind w:firstLine="640"/>
                      <w:rPr>
                        <w:rFonts w:cs="Times New Roman"/>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D99DB">
    <w:pPr>
      <w:tabs>
        <w:tab w:val="left" w:pos="3698"/>
      </w:tabs>
      <w:ind w:firstLine="64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649C6">
    <w:pPr>
      <w:ind w:firstLine="640"/>
    </w:pPr>
  </w:p>
  <w:p w14:paraId="490E05D4">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DF472">
    <w:pPr>
      <w:ind w:firstLine="6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D28590"/>
    <w:multiLevelType w:val="singleLevel"/>
    <w:tmpl w:val="92D2859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jMWZjOGVjNGEwNTVhNzM5MmE3MmViNmUzNjBhNDYifQ=="/>
  </w:docVars>
  <w:rsids>
    <w:rsidRoot w:val="00E9487F"/>
    <w:rsid w:val="00000DB8"/>
    <w:rsid w:val="00000E0D"/>
    <w:rsid w:val="00001E6D"/>
    <w:rsid w:val="00015476"/>
    <w:rsid w:val="00020B47"/>
    <w:rsid w:val="00024028"/>
    <w:rsid w:val="0002561E"/>
    <w:rsid w:val="0003374A"/>
    <w:rsid w:val="000340A9"/>
    <w:rsid w:val="000345EB"/>
    <w:rsid w:val="00047942"/>
    <w:rsid w:val="00053428"/>
    <w:rsid w:val="000556C7"/>
    <w:rsid w:val="00055966"/>
    <w:rsid w:val="000579F9"/>
    <w:rsid w:val="00063D32"/>
    <w:rsid w:val="00064768"/>
    <w:rsid w:val="000668EC"/>
    <w:rsid w:val="00075E64"/>
    <w:rsid w:val="00076493"/>
    <w:rsid w:val="00076ECF"/>
    <w:rsid w:val="000776F7"/>
    <w:rsid w:val="00082A0A"/>
    <w:rsid w:val="00083C23"/>
    <w:rsid w:val="000920B3"/>
    <w:rsid w:val="0009418F"/>
    <w:rsid w:val="00094772"/>
    <w:rsid w:val="00094D0C"/>
    <w:rsid w:val="000B446A"/>
    <w:rsid w:val="000B5A91"/>
    <w:rsid w:val="000C217A"/>
    <w:rsid w:val="000C2AA2"/>
    <w:rsid w:val="000C4DD5"/>
    <w:rsid w:val="000C5D00"/>
    <w:rsid w:val="000C6FED"/>
    <w:rsid w:val="000D1DBB"/>
    <w:rsid w:val="000D2F7E"/>
    <w:rsid w:val="000D3F6B"/>
    <w:rsid w:val="000D7086"/>
    <w:rsid w:val="000E0228"/>
    <w:rsid w:val="000E0BE1"/>
    <w:rsid w:val="000E3F12"/>
    <w:rsid w:val="000E4D86"/>
    <w:rsid w:val="000F7412"/>
    <w:rsid w:val="0010361C"/>
    <w:rsid w:val="001101B4"/>
    <w:rsid w:val="00111A50"/>
    <w:rsid w:val="001155F6"/>
    <w:rsid w:val="0012061C"/>
    <w:rsid w:val="00124C73"/>
    <w:rsid w:val="00134C78"/>
    <w:rsid w:val="001353A6"/>
    <w:rsid w:val="00144142"/>
    <w:rsid w:val="00164152"/>
    <w:rsid w:val="0016641B"/>
    <w:rsid w:val="00166CCF"/>
    <w:rsid w:val="001705A1"/>
    <w:rsid w:val="00170A13"/>
    <w:rsid w:val="001834B2"/>
    <w:rsid w:val="001842FD"/>
    <w:rsid w:val="00185763"/>
    <w:rsid w:val="00185E5E"/>
    <w:rsid w:val="00186A8F"/>
    <w:rsid w:val="00190BDE"/>
    <w:rsid w:val="00193592"/>
    <w:rsid w:val="00196637"/>
    <w:rsid w:val="001971C8"/>
    <w:rsid w:val="00197593"/>
    <w:rsid w:val="001A04F7"/>
    <w:rsid w:val="001A1CB9"/>
    <w:rsid w:val="001A25BB"/>
    <w:rsid w:val="001B05BB"/>
    <w:rsid w:val="001B23BE"/>
    <w:rsid w:val="001B4DA0"/>
    <w:rsid w:val="001C017C"/>
    <w:rsid w:val="001C05A2"/>
    <w:rsid w:val="001C0958"/>
    <w:rsid w:val="001C0B50"/>
    <w:rsid w:val="001C2753"/>
    <w:rsid w:val="001C46DE"/>
    <w:rsid w:val="001C56D5"/>
    <w:rsid w:val="001C79A1"/>
    <w:rsid w:val="001D0025"/>
    <w:rsid w:val="001E089C"/>
    <w:rsid w:val="001E3AEC"/>
    <w:rsid w:val="001F52EB"/>
    <w:rsid w:val="00201806"/>
    <w:rsid w:val="002034B4"/>
    <w:rsid w:val="00206227"/>
    <w:rsid w:val="00206D22"/>
    <w:rsid w:val="00210E4E"/>
    <w:rsid w:val="00210F39"/>
    <w:rsid w:val="00213803"/>
    <w:rsid w:val="00215389"/>
    <w:rsid w:val="0022103E"/>
    <w:rsid w:val="002311E4"/>
    <w:rsid w:val="00233835"/>
    <w:rsid w:val="002363F0"/>
    <w:rsid w:val="002466DC"/>
    <w:rsid w:val="002501D8"/>
    <w:rsid w:val="00250FEA"/>
    <w:rsid w:val="0025181D"/>
    <w:rsid w:val="00252B9A"/>
    <w:rsid w:val="00252FF8"/>
    <w:rsid w:val="00256DEE"/>
    <w:rsid w:val="00260818"/>
    <w:rsid w:val="00264BBE"/>
    <w:rsid w:val="0027158D"/>
    <w:rsid w:val="002758AD"/>
    <w:rsid w:val="00276D74"/>
    <w:rsid w:val="00284C19"/>
    <w:rsid w:val="0028701E"/>
    <w:rsid w:val="00290673"/>
    <w:rsid w:val="00293045"/>
    <w:rsid w:val="002A09DF"/>
    <w:rsid w:val="002A6439"/>
    <w:rsid w:val="002A6B68"/>
    <w:rsid w:val="002A7C08"/>
    <w:rsid w:val="002C137E"/>
    <w:rsid w:val="002C23A2"/>
    <w:rsid w:val="002C6112"/>
    <w:rsid w:val="002E228A"/>
    <w:rsid w:val="002E547D"/>
    <w:rsid w:val="002E61A4"/>
    <w:rsid w:val="00301DA4"/>
    <w:rsid w:val="00302424"/>
    <w:rsid w:val="00303FCF"/>
    <w:rsid w:val="00305555"/>
    <w:rsid w:val="00307AC6"/>
    <w:rsid w:val="00307C71"/>
    <w:rsid w:val="003123CB"/>
    <w:rsid w:val="0031241C"/>
    <w:rsid w:val="00313344"/>
    <w:rsid w:val="00313FB2"/>
    <w:rsid w:val="00314687"/>
    <w:rsid w:val="003210F4"/>
    <w:rsid w:val="00321A92"/>
    <w:rsid w:val="0032482F"/>
    <w:rsid w:val="0033359C"/>
    <w:rsid w:val="00333DC2"/>
    <w:rsid w:val="00335716"/>
    <w:rsid w:val="003510F2"/>
    <w:rsid w:val="00352C6A"/>
    <w:rsid w:val="00356A59"/>
    <w:rsid w:val="00360DD4"/>
    <w:rsid w:val="00360F24"/>
    <w:rsid w:val="00370B01"/>
    <w:rsid w:val="0037352B"/>
    <w:rsid w:val="00373FA3"/>
    <w:rsid w:val="00374D2B"/>
    <w:rsid w:val="00375D75"/>
    <w:rsid w:val="00377FC4"/>
    <w:rsid w:val="00380730"/>
    <w:rsid w:val="00381C71"/>
    <w:rsid w:val="0038274C"/>
    <w:rsid w:val="0038772C"/>
    <w:rsid w:val="003933F8"/>
    <w:rsid w:val="003954D1"/>
    <w:rsid w:val="003B42D1"/>
    <w:rsid w:val="003B53C2"/>
    <w:rsid w:val="003B69F7"/>
    <w:rsid w:val="003B7664"/>
    <w:rsid w:val="003C0143"/>
    <w:rsid w:val="003C5AB0"/>
    <w:rsid w:val="003D0ADD"/>
    <w:rsid w:val="003D260A"/>
    <w:rsid w:val="003D30E7"/>
    <w:rsid w:val="003E5CCE"/>
    <w:rsid w:val="003F0DEB"/>
    <w:rsid w:val="003F374D"/>
    <w:rsid w:val="003F394E"/>
    <w:rsid w:val="003F7917"/>
    <w:rsid w:val="00410414"/>
    <w:rsid w:val="004114A1"/>
    <w:rsid w:val="00412466"/>
    <w:rsid w:val="00416C08"/>
    <w:rsid w:val="004174D3"/>
    <w:rsid w:val="00421204"/>
    <w:rsid w:val="00421C6F"/>
    <w:rsid w:val="004261C6"/>
    <w:rsid w:val="00427856"/>
    <w:rsid w:val="00434726"/>
    <w:rsid w:val="00440BFE"/>
    <w:rsid w:val="00440E14"/>
    <w:rsid w:val="00444EFD"/>
    <w:rsid w:val="00447759"/>
    <w:rsid w:val="00447A84"/>
    <w:rsid w:val="00451333"/>
    <w:rsid w:val="00451BD5"/>
    <w:rsid w:val="00457262"/>
    <w:rsid w:val="00461C29"/>
    <w:rsid w:val="00470ACD"/>
    <w:rsid w:val="00475F04"/>
    <w:rsid w:val="0047709E"/>
    <w:rsid w:val="004800A7"/>
    <w:rsid w:val="00481618"/>
    <w:rsid w:val="00485882"/>
    <w:rsid w:val="00486B3F"/>
    <w:rsid w:val="004976AC"/>
    <w:rsid w:val="004A06AC"/>
    <w:rsid w:val="004A7522"/>
    <w:rsid w:val="004B523B"/>
    <w:rsid w:val="004B5353"/>
    <w:rsid w:val="004C4E26"/>
    <w:rsid w:val="004C4EE2"/>
    <w:rsid w:val="004C58A7"/>
    <w:rsid w:val="004C6ECA"/>
    <w:rsid w:val="004D1E3E"/>
    <w:rsid w:val="004D23B5"/>
    <w:rsid w:val="004D37D3"/>
    <w:rsid w:val="004D58A3"/>
    <w:rsid w:val="004D7AFA"/>
    <w:rsid w:val="004E16E2"/>
    <w:rsid w:val="004F060A"/>
    <w:rsid w:val="004F60C1"/>
    <w:rsid w:val="004F798E"/>
    <w:rsid w:val="00500138"/>
    <w:rsid w:val="005011F0"/>
    <w:rsid w:val="00504F5A"/>
    <w:rsid w:val="005057E8"/>
    <w:rsid w:val="00506DBC"/>
    <w:rsid w:val="00510267"/>
    <w:rsid w:val="0051063D"/>
    <w:rsid w:val="00514A72"/>
    <w:rsid w:val="00523561"/>
    <w:rsid w:val="00523BB3"/>
    <w:rsid w:val="005266D2"/>
    <w:rsid w:val="005342A4"/>
    <w:rsid w:val="005352D4"/>
    <w:rsid w:val="00536E50"/>
    <w:rsid w:val="005430E4"/>
    <w:rsid w:val="00545CD9"/>
    <w:rsid w:val="005467F8"/>
    <w:rsid w:val="00547DD6"/>
    <w:rsid w:val="005512DF"/>
    <w:rsid w:val="005554EF"/>
    <w:rsid w:val="00556E4A"/>
    <w:rsid w:val="00557361"/>
    <w:rsid w:val="005602F2"/>
    <w:rsid w:val="005654F9"/>
    <w:rsid w:val="00574DE1"/>
    <w:rsid w:val="005800F4"/>
    <w:rsid w:val="005804D3"/>
    <w:rsid w:val="0058369F"/>
    <w:rsid w:val="00585851"/>
    <w:rsid w:val="0058627D"/>
    <w:rsid w:val="0058786E"/>
    <w:rsid w:val="005A56FC"/>
    <w:rsid w:val="005A738D"/>
    <w:rsid w:val="005B41B2"/>
    <w:rsid w:val="005B4750"/>
    <w:rsid w:val="005C5879"/>
    <w:rsid w:val="005C648D"/>
    <w:rsid w:val="005D075B"/>
    <w:rsid w:val="005D0B4B"/>
    <w:rsid w:val="005D6346"/>
    <w:rsid w:val="005E1479"/>
    <w:rsid w:val="005F0F24"/>
    <w:rsid w:val="005F25A7"/>
    <w:rsid w:val="005F534C"/>
    <w:rsid w:val="005F6EDD"/>
    <w:rsid w:val="0060489E"/>
    <w:rsid w:val="0060578E"/>
    <w:rsid w:val="00607E39"/>
    <w:rsid w:val="00612359"/>
    <w:rsid w:val="00613063"/>
    <w:rsid w:val="00614F08"/>
    <w:rsid w:val="006228FF"/>
    <w:rsid w:val="00625209"/>
    <w:rsid w:val="0062784E"/>
    <w:rsid w:val="0064044A"/>
    <w:rsid w:val="00640D6E"/>
    <w:rsid w:val="00642816"/>
    <w:rsid w:val="00642A45"/>
    <w:rsid w:val="00645281"/>
    <w:rsid w:val="00651E4F"/>
    <w:rsid w:val="00655EA8"/>
    <w:rsid w:val="006618FD"/>
    <w:rsid w:val="00661E18"/>
    <w:rsid w:val="00662D31"/>
    <w:rsid w:val="00664A59"/>
    <w:rsid w:val="00665106"/>
    <w:rsid w:val="006701D2"/>
    <w:rsid w:val="00670EDB"/>
    <w:rsid w:val="006775D5"/>
    <w:rsid w:val="00680BAF"/>
    <w:rsid w:val="006819DF"/>
    <w:rsid w:val="00682A70"/>
    <w:rsid w:val="00687682"/>
    <w:rsid w:val="00690D42"/>
    <w:rsid w:val="0069391B"/>
    <w:rsid w:val="00693AFA"/>
    <w:rsid w:val="006B1BCF"/>
    <w:rsid w:val="006B540E"/>
    <w:rsid w:val="006C1159"/>
    <w:rsid w:val="006C4508"/>
    <w:rsid w:val="006C4D34"/>
    <w:rsid w:val="006C7F59"/>
    <w:rsid w:val="006D0668"/>
    <w:rsid w:val="006D2639"/>
    <w:rsid w:val="006F34A9"/>
    <w:rsid w:val="007018C7"/>
    <w:rsid w:val="00704746"/>
    <w:rsid w:val="007065D6"/>
    <w:rsid w:val="007171DF"/>
    <w:rsid w:val="00717AAD"/>
    <w:rsid w:val="007254B8"/>
    <w:rsid w:val="0072697C"/>
    <w:rsid w:val="00730391"/>
    <w:rsid w:val="00734CEE"/>
    <w:rsid w:val="00736AE0"/>
    <w:rsid w:val="0074509B"/>
    <w:rsid w:val="007507D0"/>
    <w:rsid w:val="00752968"/>
    <w:rsid w:val="0075301F"/>
    <w:rsid w:val="00771B09"/>
    <w:rsid w:val="00780D44"/>
    <w:rsid w:val="00783F8E"/>
    <w:rsid w:val="00785FF6"/>
    <w:rsid w:val="00786F8B"/>
    <w:rsid w:val="00787F09"/>
    <w:rsid w:val="00790523"/>
    <w:rsid w:val="007961CD"/>
    <w:rsid w:val="00796A0D"/>
    <w:rsid w:val="007A5F9D"/>
    <w:rsid w:val="007B2C09"/>
    <w:rsid w:val="007B5482"/>
    <w:rsid w:val="007B7E84"/>
    <w:rsid w:val="007C217F"/>
    <w:rsid w:val="007D0218"/>
    <w:rsid w:val="007D27E3"/>
    <w:rsid w:val="007D39F2"/>
    <w:rsid w:val="007E2414"/>
    <w:rsid w:val="007E2B63"/>
    <w:rsid w:val="007F3228"/>
    <w:rsid w:val="00802E46"/>
    <w:rsid w:val="00805F43"/>
    <w:rsid w:val="00807B3C"/>
    <w:rsid w:val="00810CDA"/>
    <w:rsid w:val="008111AE"/>
    <w:rsid w:val="00811868"/>
    <w:rsid w:val="00811CC0"/>
    <w:rsid w:val="008133F7"/>
    <w:rsid w:val="00815023"/>
    <w:rsid w:val="0082205B"/>
    <w:rsid w:val="00822EC6"/>
    <w:rsid w:val="008253DA"/>
    <w:rsid w:val="00826276"/>
    <w:rsid w:val="008262AD"/>
    <w:rsid w:val="00833500"/>
    <w:rsid w:val="00835394"/>
    <w:rsid w:val="00845347"/>
    <w:rsid w:val="00846140"/>
    <w:rsid w:val="008505AE"/>
    <w:rsid w:val="00851DBE"/>
    <w:rsid w:val="00852EA1"/>
    <w:rsid w:val="0085406C"/>
    <w:rsid w:val="00855735"/>
    <w:rsid w:val="00855D95"/>
    <w:rsid w:val="008663DB"/>
    <w:rsid w:val="00874152"/>
    <w:rsid w:val="00880550"/>
    <w:rsid w:val="00885D8B"/>
    <w:rsid w:val="008860BB"/>
    <w:rsid w:val="00892094"/>
    <w:rsid w:val="00893A9C"/>
    <w:rsid w:val="00897C77"/>
    <w:rsid w:val="008A5776"/>
    <w:rsid w:val="008B1A0F"/>
    <w:rsid w:val="008B655E"/>
    <w:rsid w:val="008B66DB"/>
    <w:rsid w:val="008C1DC8"/>
    <w:rsid w:val="008C24E1"/>
    <w:rsid w:val="008C7BBF"/>
    <w:rsid w:val="008D1E2F"/>
    <w:rsid w:val="008D2A37"/>
    <w:rsid w:val="008D2AA7"/>
    <w:rsid w:val="008D3399"/>
    <w:rsid w:val="008D53EE"/>
    <w:rsid w:val="008E1078"/>
    <w:rsid w:val="008E2636"/>
    <w:rsid w:val="008E40E7"/>
    <w:rsid w:val="008E62BF"/>
    <w:rsid w:val="008F2900"/>
    <w:rsid w:val="008F4E43"/>
    <w:rsid w:val="0091163B"/>
    <w:rsid w:val="00911BC1"/>
    <w:rsid w:val="00913CBD"/>
    <w:rsid w:val="00925E97"/>
    <w:rsid w:val="0093134F"/>
    <w:rsid w:val="00943070"/>
    <w:rsid w:val="00955BCA"/>
    <w:rsid w:val="009618B7"/>
    <w:rsid w:val="0096214A"/>
    <w:rsid w:val="00963CD0"/>
    <w:rsid w:val="00963EC1"/>
    <w:rsid w:val="00965BBF"/>
    <w:rsid w:val="00972C8A"/>
    <w:rsid w:val="009731C0"/>
    <w:rsid w:val="0097403B"/>
    <w:rsid w:val="0097562E"/>
    <w:rsid w:val="00977D11"/>
    <w:rsid w:val="00980B73"/>
    <w:rsid w:val="00981451"/>
    <w:rsid w:val="00985A02"/>
    <w:rsid w:val="009901D1"/>
    <w:rsid w:val="00991016"/>
    <w:rsid w:val="009918C3"/>
    <w:rsid w:val="00991948"/>
    <w:rsid w:val="0099388E"/>
    <w:rsid w:val="00993920"/>
    <w:rsid w:val="0099673C"/>
    <w:rsid w:val="009970EA"/>
    <w:rsid w:val="00997713"/>
    <w:rsid w:val="009A0DE9"/>
    <w:rsid w:val="009A5791"/>
    <w:rsid w:val="009A637E"/>
    <w:rsid w:val="009A7EF9"/>
    <w:rsid w:val="009B13D0"/>
    <w:rsid w:val="009B6939"/>
    <w:rsid w:val="009B6FF1"/>
    <w:rsid w:val="009C5A86"/>
    <w:rsid w:val="009D7AEE"/>
    <w:rsid w:val="009E22EE"/>
    <w:rsid w:val="009E3946"/>
    <w:rsid w:val="009E6542"/>
    <w:rsid w:val="009F204D"/>
    <w:rsid w:val="009F393E"/>
    <w:rsid w:val="009F4ED1"/>
    <w:rsid w:val="009F5624"/>
    <w:rsid w:val="00A046C5"/>
    <w:rsid w:val="00A208B6"/>
    <w:rsid w:val="00A25E4E"/>
    <w:rsid w:val="00A2779B"/>
    <w:rsid w:val="00A30A42"/>
    <w:rsid w:val="00A31491"/>
    <w:rsid w:val="00A37137"/>
    <w:rsid w:val="00A42160"/>
    <w:rsid w:val="00A421BB"/>
    <w:rsid w:val="00A43173"/>
    <w:rsid w:val="00A4511D"/>
    <w:rsid w:val="00A516A7"/>
    <w:rsid w:val="00A56E63"/>
    <w:rsid w:val="00A57133"/>
    <w:rsid w:val="00A61463"/>
    <w:rsid w:val="00A614D8"/>
    <w:rsid w:val="00A64727"/>
    <w:rsid w:val="00A66B9A"/>
    <w:rsid w:val="00A72852"/>
    <w:rsid w:val="00A72DB4"/>
    <w:rsid w:val="00A846C0"/>
    <w:rsid w:val="00A84C19"/>
    <w:rsid w:val="00A875FA"/>
    <w:rsid w:val="00A92308"/>
    <w:rsid w:val="00A957AF"/>
    <w:rsid w:val="00A95ABD"/>
    <w:rsid w:val="00A96732"/>
    <w:rsid w:val="00A972F3"/>
    <w:rsid w:val="00AA34A8"/>
    <w:rsid w:val="00AA658A"/>
    <w:rsid w:val="00AB4B4C"/>
    <w:rsid w:val="00AB5D38"/>
    <w:rsid w:val="00AC44C2"/>
    <w:rsid w:val="00AC7034"/>
    <w:rsid w:val="00AC7CC8"/>
    <w:rsid w:val="00AD4728"/>
    <w:rsid w:val="00AE4138"/>
    <w:rsid w:val="00AE599A"/>
    <w:rsid w:val="00AE6BD5"/>
    <w:rsid w:val="00AE78E9"/>
    <w:rsid w:val="00AF364B"/>
    <w:rsid w:val="00B001B0"/>
    <w:rsid w:val="00B175AA"/>
    <w:rsid w:val="00B25EE2"/>
    <w:rsid w:val="00B2671C"/>
    <w:rsid w:val="00B26836"/>
    <w:rsid w:val="00B26DD1"/>
    <w:rsid w:val="00B27023"/>
    <w:rsid w:val="00B279C2"/>
    <w:rsid w:val="00B47748"/>
    <w:rsid w:val="00B52DD6"/>
    <w:rsid w:val="00B551C5"/>
    <w:rsid w:val="00B722F8"/>
    <w:rsid w:val="00B72E8D"/>
    <w:rsid w:val="00B77588"/>
    <w:rsid w:val="00B77E7D"/>
    <w:rsid w:val="00B802DE"/>
    <w:rsid w:val="00B8195E"/>
    <w:rsid w:val="00B822EA"/>
    <w:rsid w:val="00B83C08"/>
    <w:rsid w:val="00B910E6"/>
    <w:rsid w:val="00B92226"/>
    <w:rsid w:val="00B923DA"/>
    <w:rsid w:val="00B92E0C"/>
    <w:rsid w:val="00BA4F1B"/>
    <w:rsid w:val="00BA5EA8"/>
    <w:rsid w:val="00BC0371"/>
    <w:rsid w:val="00BC3C05"/>
    <w:rsid w:val="00BC6F44"/>
    <w:rsid w:val="00BC7143"/>
    <w:rsid w:val="00BD0F70"/>
    <w:rsid w:val="00BD6A38"/>
    <w:rsid w:val="00BE140A"/>
    <w:rsid w:val="00BE1479"/>
    <w:rsid w:val="00BE52CB"/>
    <w:rsid w:val="00BF3B98"/>
    <w:rsid w:val="00BF66F9"/>
    <w:rsid w:val="00BF7848"/>
    <w:rsid w:val="00BF7C0C"/>
    <w:rsid w:val="00C0050E"/>
    <w:rsid w:val="00C00F9D"/>
    <w:rsid w:val="00C0122F"/>
    <w:rsid w:val="00C01F15"/>
    <w:rsid w:val="00C02504"/>
    <w:rsid w:val="00C04EC1"/>
    <w:rsid w:val="00C119B1"/>
    <w:rsid w:val="00C21D11"/>
    <w:rsid w:val="00C22340"/>
    <w:rsid w:val="00C2730F"/>
    <w:rsid w:val="00C359F3"/>
    <w:rsid w:val="00C409F1"/>
    <w:rsid w:val="00C42CD6"/>
    <w:rsid w:val="00C440D4"/>
    <w:rsid w:val="00C478B7"/>
    <w:rsid w:val="00C47C86"/>
    <w:rsid w:val="00C606EC"/>
    <w:rsid w:val="00C60E73"/>
    <w:rsid w:val="00C704BD"/>
    <w:rsid w:val="00C71A89"/>
    <w:rsid w:val="00C726B2"/>
    <w:rsid w:val="00C7281C"/>
    <w:rsid w:val="00C757E8"/>
    <w:rsid w:val="00C75BC5"/>
    <w:rsid w:val="00C7780E"/>
    <w:rsid w:val="00C832AF"/>
    <w:rsid w:val="00C83BD0"/>
    <w:rsid w:val="00C87191"/>
    <w:rsid w:val="00C90E63"/>
    <w:rsid w:val="00C922D3"/>
    <w:rsid w:val="00C94CCC"/>
    <w:rsid w:val="00C95FEC"/>
    <w:rsid w:val="00CA2181"/>
    <w:rsid w:val="00CA4079"/>
    <w:rsid w:val="00CA72A4"/>
    <w:rsid w:val="00CB1CA5"/>
    <w:rsid w:val="00CB1CC8"/>
    <w:rsid w:val="00CB5CD2"/>
    <w:rsid w:val="00CB7195"/>
    <w:rsid w:val="00CC0A72"/>
    <w:rsid w:val="00CC1D75"/>
    <w:rsid w:val="00CC5BC2"/>
    <w:rsid w:val="00CD1C9A"/>
    <w:rsid w:val="00CD3D4C"/>
    <w:rsid w:val="00CD6A4A"/>
    <w:rsid w:val="00CD6DE4"/>
    <w:rsid w:val="00CE167F"/>
    <w:rsid w:val="00CE172E"/>
    <w:rsid w:val="00CE43AD"/>
    <w:rsid w:val="00CE690B"/>
    <w:rsid w:val="00CF1516"/>
    <w:rsid w:val="00D024F3"/>
    <w:rsid w:val="00D11C4A"/>
    <w:rsid w:val="00D1454D"/>
    <w:rsid w:val="00D149CF"/>
    <w:rsid w:val="00D16466"/>
    <w:rsid w:val="00D275D7"/>
    <w:rsid w:val="00D310BC"/>
    <w:rsid w:val="00D31D57"/>
    <w:rsid w:val="00D350EE"/>
    <w:rsid w:val="00D4297B"/>
    <w:rsid w:val="00D501C2"/>
    <w:rsid w:val="00D53FD7"/>
    <w:rsid w:val="00D55CF8"/>
    <w:rsid w:val="00D61186"/>
    <w:rsid w:val="00D6506F"/>
    <w:rsid w:val="00D65B60"/>
    <w:rsid w:val="00D67321"/>
    <w:rsid w:val="00D67C0E"/>
    <w:rsid w:val="00D7020E"/>
    <w:rsid w:val="00D729E0"/>
    <w:rsid w:val="00D72A79"/>
    <w:rsid w:val="00D761C7"/>
    <w:rsid w:val="00D83864"/>
    <w:rsid w:val="00D907A5"/>
    <w:rsid w:val="00D93FF3"/>
    <w:rsid w:val="00DA6043"/>
    <w:rsid w:val="00DC6DC0"/>
    <w:rsid w:val="00DD04A3"/>
    <w:rsid w:val="00DD1687"/>
    <w:rsid w:val="00DD23B9"/>
    <w:rsid w:val="00DD4BD3"/>
    <w:rsid w:val="00DD7674"/>
    <w:rsid w:val="00DE3E29"/>
    <w:rsid w:val="00DE509B"/>
    <w:rsid w:val="00DF28C0"/>
    <w:rsid w:val="00DF35C2"/>
    <w:rsid w:val="00E009AA"/>
    <w:rsid w:val="00E00FF7"/>
    <w:rsid w:val="00E0350F"/>
    <w:rsid w:val="00E054B6"/>
    <w:rsid w:val="00E0582C"/>
    <w:rsid w:val="00E065DE"/>
    <w:rsid w:val="00E13EEB"/>
    <w:rsid w:val="00E17722"/>
    <w:rsid w:val="00E20E6D"/>
    <w:rsid w:val="00E2132F"/>
    <w:rsid w:val="00E217F7"/>
    <w:rsid w:val="00E235EE"/>
    <w:rsid w:val="00E26B3A"/>
    <w:rsid w:val="00E32EB8"/>
    <w:rsid w:val="00E34DD0"/>
    <w:rsid w:val="00E34E8F"/>
    <w:rsid w:val="00E357F6"/>
    <w:rsid w:val="00E44426"/>
    <w:rsid w:val="00E55D3B"/>
    <w:rsid w:val="00E60A84"/>
    <w:rsid w:val="00E7087B"/>
    <w:rsid w:val="00E74F7C"/>
    <w:rsid w:val="00E8058C"/>
    <w:rsid w:val="00E80E7C"/>
    <w:rsid w:val="00E93076"/>
    <w:rsid w:val="00E9487F"/>
    <w:rsid w:val="00E95831"/>
    <w:rsid w:val="00E972A2"/>
    <w:rsid w:val="00E97B88"/>
    <w:rsid w:val="00EA0338"/>
    <w:rsid w:val="00EA2A01"/>
    <w:rsid w:val="00EA3A18"/>
    <w:rsid w:val="00EA5D3A"/>
    <w:rsid w:val="00EA7605"/>
    <w:rsid w:val="00EB5FAA"/>
    <w:rsid w:val="00EC1B9F"/>
    <w:rsid w:val="00EC1BBF"/>
    <w:rsid w:val="00EC6D3E"/>
    <w:rsid w:val="00EE083B"/>
    <w:rsid w:val="00EE1406"/>
    <w:rsid w:val="00EE1F48"/>
    <w:rsid w:val="00EF42B9"/>
    <w:rsid w:val="00F14FDE"/>
    <w:rsid w:val="00F33E60"/>
    <w:rsid w:val="00F33F5D"/>
    <w:rsid w:val="00F4290F"/>
    <w:rsid w:val="00F478AC"/>
    <w:rsid w:val="00F47CA3"/>
    <w:rsid w:val="00F53965"/>
    <w:rsid w:val="00F56609"/>
    <w:rsid w:val="00F570AD"/>
    <w:rsid w:val="00F61D24"/>
    <w:rsid w:val="00F65F1F"/>
    <w:rsid w:val="00F7064A"/>
    <w:rsid w:val="00F70E5E"/>
    <w:rsid w:val="00F73510"/>
    <w:rsid w:val="00F774AF"/>
    <w:rsid w:val="00F8394A"/>
    <w:rsid w:val="00F8447D"/>
    <w:rsid w:val="00F86833"/>
    <w:rsid w:val="00FA5200"/>
    <w:rsid w:val="00FA67FE"/>
    <w:rsid w:val="00FA7F39"/>
    <w:rsid w:val="00FB210A"/>
    <w:rsid w:val="00FB6462"/>
    <w:rsid w:val="00FC31E3"/>
    <w:rsid w:val="00FC32D5"/>
    <w:rsid w:val="00FC4B36"/>
    <w:rsid w:val="00FD0856"/>
    <w:rsid w:val="00FD109D"/>
    <w:rsid w:val="00FD2A16"/>
    <w:rsid w:val="00FD6E65"/>
    <w:rsid w:val="00FD6FCF"/>
    <w:rsid w:val="00FE52D8"/>
    <w:rsid w:val="00FF02DD"/>
    <w:rsid w:val="00FF07ED"/>
    <w:rsid w:val="00FF1376"/>
    <w:rsid w:val="00FF1D29"/>
    <w:rsid w:val="013435B5"/>
    <w:rsid w:val="017D100D"/>
    <w:rsid w:val="02105DD0"/>
    <w:rsid w:val="025A34EF"/>
    <w:rsid w:val="02C72207"/>
    <w:rsid w:val="048D21A9"/>
    <w:rsid w:val="04DA26C6"/>
    <w:rsid w:val="05250D6B"/>
    <w:rsid w:val="0560706F"/>
    <w:rsid w:val="06233BF8"/>
    <w:rsid w:val="062E2CC9"/>
    <w:rsid w:val="064A73D7"/>
    <w:rsid w:val="06712BB6"/>
    <w:rsid w:val="06A765D7"/>
    <w:rsid w:val="06F23CF7"/>
    <w:rsid w:val="077129F4"/>
    <w:rsid w:val="081209C3"/>
    <w:rsid w:val="08662407"/>
    <w:rsid w:val="086C7AD9"/>
    <w:rsid w:val="08B7033F"/>
    <w:rsid w:val="08EE0964"/>
    <w:rsid w:val="09C474A0"/>
    <w:rsid w:val="0A0470C7"/>
    <w:rsid w:val="0AA17EBA"/>
    <w:rsid w:val="0B36617C"/>
    <w:rsid w:val="0B61144B"/>
    <w:rsid w:val="0B64718D"/>
    <w:rsid w:val="0CCC6D98"/>
    <w:rsid w:val="0E883192"/>
    <w:rsid w:val="0F114F36"/>
    <w:rsid w:val="0F917E25"/>
    <w:rsid w:val="0FD22917"/>
    <w:rsid w:val="103233B6"/>
    <w:rsid w:val="104E5D16"/>
    <w:rsid w:val="10B22749"/>
    <w:rsid w:val="110E3E23"/>
    <w:rsid w:val="11230F50"/>
    <w:rsid w:val="11537A88"/>
    <w:rsid w:val="115B06EA"/>
    <w:rsid w:val="121216F1"/>
    <w:rsid w:val="12266F4A"/>
    <w:rsid w:val="12394ECF"/>
    <w:rsid w:val="12F86B39"/>
    <w:rsid w:val="13DD7ADC"/>
    <w:rsid w:val="146B158C"/>
    <w:rsid w:val="147D6BCA"/>
    <w:rsid w:val="149A3C1F"/>
    <w:rsid w:val="15EE5FD1"/>
    <w:rsid w:val="169326D4"/>
    <w:rsid w:val="16D056D6"/>
    <w:rsid w:val="16EB2510"/>
    <w:rsid w:val="17214184"/>
    <w:rsid w:val="179761F4"/>
    <w:rsid w:val="17997354"/>
    <w:rsid w:val="17A72DD2"/>
    <w:rsid w:val="18D36D47"/>
    <w:rsid w:val="18DC6565"/>
    <w:rsid w:val="198C7FDB"/>
    <w:rsid w:val="19C05ED6"/>
    <w:rsid w:val="1A8E38DF"/>
    <w:rsid w:val="1AAE5D2F"/>
    <w:rsid w:val="1AE31678"/>
    <w:rsid w:val="1B79458F"/>
    <w:rsid w:val="1B8371BB"/>
    <w:rsid w:val="1BDE0896"/>
    <w:rsid w:val="1BED0AD9"/>
    <w:rsid w:val="1C3861F8"/>
    <w:rsid w:val="1C676B62"/>
    <w:rsid w:val="1C735482"/>
    <w:rsid w:val="1CF361ED"/>
    <w:rsid w:val="1D085F4D"/>
    <w:rsid w:val="1D5F77B4"/>
    <w:rsid w:val="1D905BC0"/>
    <w:rsid w:val="1DAA6C81"/>
    <w:rsid w:val="1DF514EE"/>
    <w:rsid w:val="1F15637C"/>
    <w:rsid w:val="1FDA1374"/>
    <w:rsid w:val="1FE04BDC"/>
    <w:rsid w:val="1FE65F6B"/>
    <w:rsid w:val="1FE67D19"/>
    <w:rsid w:val="20017579"/>
    <w:rsid w:val="204A02A8"/>
    <w:rsid w:val="20BF3F81"/>
    <w:rsid w:val="21110DC5"/>
    <w:rsid w:val="211B39F2"/>
    <w:rsid w:val="211F34E2"/>
    <w:rsid w:val="2164183D"/>
    <w:rsid w:val="21933102"/>
    <w:rsid w:val="21FA60E8"/>
    <w:rsid w:val="22405E06"/>
    <w:rsid w:val="2298179E"/>
    <w:rsid w:val="22A2261D"/>
    <w:rsid w:val="22EF3388"/>
    <w:rsid w:val="23356FED"/>
    <w:rsid w:val="234E6301"/>
    <w:rsid w:val="23614286"/>
    <w:rsid w:val="24FA6740"/>
    <w:rsid w:val="25290DD3"/>
    <w:rsid w:val="254C2D14"/>
    <w:rsid w:val="258C4EBE"/>
    <w:rsid w:val="2705317A"/>
    <w:rsid w:val="276E0181"/>
    <w:rsid w:val="278A3680"/>
    <w:rsid w:val="280E605F"/>
    <w:rsid w:val="28117EE7"/>
    <w:rsid w:val="286F397C"/>
    <w:rsid w:val="28702875"/>
    <w:rsid w:val="29017971"/>
    <w:rsid w:val="294C747A"/>
    <w:rsid w:val="297D524A"/>
    <w:rsid w:val="29F61183"/>
    <w:rsid w:val="2A895E70"/>
    <w:rsid w:val="2AD74E2E"/>
    <w:rsid w:val="2B0B76AE"/>
    <w:rsid w:val="2B3109E2"/>
    <w:rsid w:val="2B863DC8"/>
    <w:rsid w:val="2BD17833"/>
    <w:rsid w:val="2C057779"/>
    <w:rsid w:val="2C0E0D23"/>
    <w:rsid w:val="2C1045D4"/>
    <w:rsid w:val="2C583D4C"/>
    <w:rsid w:val="2C73642E"/>
    <w:rsid w:val="2C923702"/>
    <w:rsid w:val="2D430559"/>
    <w:rsid w:val="2D564730"/>
    <w:rsid w:val="2D572256"/>
    <w:rsid w:val="2D683005"/>
    <w:rsid w:val="2D71156A"/>
    <w:rsid w:val="2D8079FF"/>
    <w:rsid w:val="2DAD226A"/>
    <w:rsid w:val="2DAF5BEE"/>
    <w:rsid w:val="2DCC054E"/>
    <w:rsid w:val="2DF61A6F"/>
    <w:rsid w:val="2E7A444E"/>
    <w:rsid w:val="2EE61AE3"/>
    <w:rsid w:val="2F7D2448"/>
    <w:rsid w:val="2F827A5E"/>
    <w:rsid w:val="2FD23E16"/>
    <w:rsid w:val="303F594F"/>
    <w:rsid w:val="30A26361"/>
    <w:rsid w:val="30B8300C"/>
    <w:rsid w:val="30DD2A72"/>
    <w:rsid w:val="30F07F3F"/>
    <w:rsid w:val="30F15BD9"/>
    <w:rsid w:val="313703D4"/>
    <w:rsid w:val="31462D0D"/>
    <w:rsid w:val="315058C0"/>
    <w:rsid w:val="31B00187"/>
    <w:rsid w:val="31B639EF"/>
    <w:rsid w:val="322A1CE7"/>
    <w:rsid w:val="323D7C6C"/>
    <w:rsid w:val="329A50BF"/>
    <w:rsid w:val="33590AD6"/>
    <w:rsid w:val="33AC2050"/>
    <w:rsid w:val="33D4015C"/>
    <w:rsid w:val="33DF6B01"/>
    <w:rsid w:val="359C73A0"/>
    <w:rsid w:val="35AD335B"/>
    <w:rsid w:val="3635438F"/>
    <w:rsid w:val="366559E4"/>
    <w:rsid w:val="38467B57"/>
    <w:rsid w:val="38855EC9"/>
    <w:rsid w:val="38D429AD"/>
    <w:rsid w:val="38EE133B"/>
    <w:rsid w:val="393F42CA"/>
    <w:rsid w:val="398C3287"/>
    <w:rsid w:val="39A71E6F"/>
    <w:rsid w:val="39CB3DB0"/>
    <w:rsid w:val="39FE23D7"/>
    <w:rsid w:val="3A1C460B"/>
    <w:rsid w:val="3A606BEE"/>
    <w:rsid w:val="3A6164C2"/>
    <w:rsid w:val="3A993694"/>
    <w:rsid w:val="3ACE7FFB"/>
    <w:rsid w:val="3AD66EB0"/>
    <w:rsid w:val="3AE710BD"/>
    <w:rsid w:val="3B4A51A8"/>
    <w:rsid w:val="3B590236"/>
    <w:rsid w:val="3B6A75F8"/>
    <w:rsid w:val="3BA26D92"/>
    <w:rsid w:val="3BC136BC"/>
    <w:rsid w:val="3C0C7FF6"/>
    <w:rsid w:val="3C311E0C"/>
    <w:rsid w:val="3C840D31"/>
    <w:rsid w:val="3CA8487C"/>
    <w:rsid w:val="3D363C36"/>
    <w:rsid w:val="3D78424E"/>
    <w:rsid w:val="3D907D74"/>
    <w:rsid w:val="3D9F5C7F"/>
    <w:rsid w:val="3DC254CA"/>
    <w:rsid w:val="3DDF7E2A"/>
    <w:rsid w:val="3DE204C1"/>
    <w:rsid w:val="3DEA7E97"/>
    <w:rsid w:val="3DF064DB"/>
    <w:rsid w:val="3E0071B7"/>
    <w:rsid w:val="3E210442"/>
    <w:rsid w:val="3E71419B"/>
    <w:rsid w:val="3E784D27"/>
    <w:rsid w:val="3EB41B36"/>
    <w:rsid w:val="3EF20030"/>
    <w:rsid w:val="3F281CA4"/>
    <w:rsid w:val="3F542A99"/>
    <w:rsid w:val="3F6525B0"/>
    <w:rsid w:val="3F724CCD"/>
    <w:rsid w:val="3F8769CB"/>
    <w:rsid w:val="3FFA0F4B"/>
    <w:rsid w:val="40623359"/>
    <w:rsid w:val="410B53D9"/>
    <w:rsid w:val="413E755D"/>
    <w:rsid w:val="416D399E"/>
    <w:rsid w:val="41CA0DF1"/>
    <w:rsid w:val="41F320F5"/>
    <w:rsid w:val="427F6BDF"/>
    <w:rsid w:val="42894808"/>
    <w:rsid w:val="42CD0B98"/>
    <w:rsid w:val="42D33CD5"/>
    <w:rsid w:val="43697AA6"/>
    <w:rsid w:val="43CC70A2"/>
    <w:rsid w:val="44ED5522"/>
    <w:rsid w:val="454F1D39"/>
    <w:rsid w:val="45513D03"/>
    <w:rsid w:val="45594965"/>
    <w:rsid w:val="45F621B4"/>
    <w:rsid w:val="460B409F"/>
    <w:rsid w:val="464078D3"/>
    <w:rsid w:val="464E0242"/>
    <w:rsid w:val="46CC73B9"/>
    <w:rsid w:val="47B265AF"/>
    <w:rsid w:val="47ED0034"/>
    <w:rsid w:val="488A3088"/>
    <w:rsid w:val="48DC7D87"/>
    <w:rsid w:val="48FC6931"/>
    <w:rsid w:val="4AE01660"/>
    <w:rsid w:val="4B1530DD"/>
    <w:rsid w:val="4B427C4A"/>
    <w:rsid w:val="4BC468B1"/>
    <w:rsid w:val="4C6A38FC"/>
    <w:rsid w:val="4CAC0AD9"/>
    <w:rsid w:val="4CDD5274"/>
    <w:rsid w:val="4D1A2C2C"/>
    <w:rsid w:val="4D2E15C8"/>
    <w:rsid w:val="4D987FF5"/>
    <w:rsid w:val="4DB7491F"/>
    <w:rsid w:val="4DC96400"/>
    <w:rsid w:val="4DDE00FE"/>
    <w:rsid w:val="4FAF28BB"/>
    <w:rsid w:val="4FB21842"/>
    <w:rsid w:val="500B71A4"/>
    <w:rsid w:val="50175B49"/>
    <w:rsid w:val="503E6C32"/>
    <w:rsid w:val="51874608"/>
    <w:rsid w:val="5251180D"/>
    <w:rsid w:val="52FB2BBA"/>
    <w:rsid w:val="54041F40"/>
    <w:rsid w:val="54104D89"/>
    <w:rsid w:val="541A79B6"/>
    <w:rsid w:val="54A159E1"/>
    <w:rsid w:val="55A636BA"/>
    <w:rsid w:val="55C37BD9"/>
    <w:rsid w:val="55E24503"/>
    <w:rsid w:val="56644F18"/>
    <w:rsid w:val="56B17B49"/>
    <w:rsid w:val="57FA3D86"/>
    <w:rsid w:val="58313520"/>
    <w:rsid w:val="584414A5"/>
    <w:rsid w:val="59311C11"/>
    <w:rsid w:val="5AA224B3"/>
    <w:rsid w:val="5B7F45A2"/>
    <w:rsid w:val="5BDE751B"/>
    <w:rsid w:val="5C186ED1"/>
    <w:rsid w:val="5C7100BC"/>
    <w:rsid w:val="5CA02A22"/>
    <w:rsid w:val="5CF54B1C"/>
    <w:rsid w:val="5D0B433F"/>
    <w:rsid w:val="5DEF5A0F"/>
    <w:rsid w:val="5E182CE8"/>
    <w:rsid w:val="5E651586"/>
    <w:rsid w:val="5E820631"/>
    <w:rsid w:val="5F812FDF"/>
    <w:rsid w:val="603C1A07"/>
    <w:rsid w:val="61251748"/>
    <w:rsid w:val="612C35D6"/>
    <w:rsid w:val="61B21454"/>
    <w:rsid w:val="62041E0E"/>
    <w:rsid w:val="625E7607"/>
    <w:rsid w:val="62774F17"/>
    <w:rsid w:val="631502E8"/>
    <w:rsid w:val="64682077"/>
    <w:rsid w:val="655D5954"/>
    <w:rsid w:val="656972C8"/>
    <w:rsid w:val="65CC6636"/>
    <w:rsid w:val="65D73958"/>
    <w:rsid w:val="65FC6F1B"/>
    <w:rsid w:val="66A03D4A"/>
    <w:rsid w:val="66D93834"/>
    <w:rsid w:val="670544F5"/>
    <w:rsid w:val="67066B57"/>
    <w:rsid w:val="674C3ED2"/>
    <w:rsid w:val="69E93C5A"/>
    <w:rsid w:val="6A4E41A8"/>
    <w:rsid w:val="6A6B466F"/>
    <w:rsid w:val="6AE0505D"/>
    <w:rsid w:val="6AFC79BD"/>
    <w:rsid w:val="6B923E7E"/>
    <w:rsid w:val="6B930322"/>
    <w:rsid w:val="6BC8789F"/>
    <w:rsid w:val="6C223454"/>
    <w:rsid w:val="6C506213"/>
    <w:rsid w:val="6CF7043C"/>
    <w:rsid w:val="6DEE5CE3"/>
    <w:rsid w:val="6DF57072"/>
    <w:rsid w:val="6E365C6A"/>
    <w:rsid w:val="6E4711F9"/>
    <w:rsid w:val="6E7B5832"/>
    <w:rsid w:val="6E982486"/>
    <w:rsid w:val="6FE020E7"/>
    <w:rsid w:val="70090BB2"/>
    <w:rsid w:val="7020414E"/>
    <w:rsid w:val="70343755"/>
    <w:rsid w:val="7040659E"/>
    <w:rsid w:val="70531E2E"/>
    <w:rsid w:val="70932B72"/>
    <w:rsid w:val="710E21F8"/>
    <w:rsid w:val="71175551"/>
    <w:rsid w:val="712D08D1"/>
    <w:rsid w:val="72A050D2"/>
    <w:rsid w:val="72BD5C84"/>
    <w:rsid w:val="72C65418"/>
    <w:rsid w:val="73944C37"/>
    <w:rsid w:val="73A62BBC"/>
    <w:rsid w:val="73D82472"/>
    <w:rsid w:val="741713C4"/>
    <w:rsid w:val="7428537F"/>
    <w:rsid w:val="74600FBD"/>
    <w:rsid w:val="74956EB9"/>
    <w:rsid w:val="753F766A"/>
    <w:rsid w:val="754F3DA0"/>
    <w:rsid w:val="760421B6"/>
    <w:rsid w:val="76396FD0"/>
    <w:rsid w:val="77E141C3"/>
    <w:rsid w:val="78767001"/>
    <w:rsid w:val="78C0202A"/>
    <w:rsid w:val="78EF46BD"/>
    <w:rsid w:val="7B0501C8"/>
    <w:rsid w:val="7B0D056F"/>
    <w:rsid w:val="7C036DFE"/>
    <w:rsid w:val="7C613431"/>
    <w:rsid w:val="7CDE6F23"/>
    <w:rsid w:val="7D2E7EAA"/>
    <w:rsid w:val="7D690EE2"/>
    <w:rsid w:val="7DB639FC"/>
    <w:rsid w:val="7E553215"/>
    <w:rsid w:val="7EA1645A"/>
    <w:rsid w:val="7F0A04A3"/>
    <w:rsid w:val="7F207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仿宋" w:cstheme="minorBidi"/>
      <w:kern w:val="2"/>
      <w:sz w:val="32"/>
      <w:szCs w:val="22"/>
      <w:lang w:val="en-US" w:eastAsia="zh-CN" w:bidi="ar-SA"/>
    </w:rPr>
  </w:style>
  <w:style w:type="paragraph" w:styleId="2">
    <w:name w:val="heading 1"/>
    <w:basedOn w:val="1"/>
    <w:next w:val="1"/>
    <w:link w:val="32"/>
    <w:qFormat/>
    <w:uiPriority w:val="9"/>
    <w:pPr>
      <w:keepNext/>
      <w:keepLines/>
      <w:ind w:firstLine="0" w:firstLineChars="0"/>
      <w:outlineLvl w:val="0"/>
    </w:pPr>
    <w:rPr>
      <w:rFonts w:eastAsia="黑体"/>
      <w:bCs/>
      <w:kern w:val="44"/>
      <w:szCs w:val="44"/>
    </w:rPr>
  </w:style>
  <w:style w:type="paragraph" w:styleId="3">
    <w:name w:val="heading 2"/>
    <w:basedOn w:val="1"/>
    <w:next w:val="1"/>
    <w:link w:val="33"/>
    <w:unhideWhenUsed/>
    <w:qFormat/>
    <w:uiPriority w:val="9"/>
    <w:pPr>
      <w:keepNext/>
      <w:keepLines/>
      <w:ind w:firstLine="0" w:firstLineChars="0"/>
      <w:outlineLvl w:val="1"/>
    </w:pPr>
    <w:rPr>
      <w:rFonts w:eastAsia="楷体" w:cstheme="majorBidi"/>
      <w:b/>
      <w:bCs/>
      <w:szCs w:val="32"/>
    </w:rPr>
  </w:style>
  <w:style w:type="paragraph" w:styleId="4">
    <w:name w:val="heading 3"/>
    <w:basedOn w:val="1"/>
    <w:next w:val="1"/>
    <w:link w:val="34"/>
    <w:qFormat/>
    <w:uiPriority w:val="9"/>
    <w:pPr>
      <w:spacing w:line="360" w:lineRule="auto"/>
      <w:ind w:firstLine="0" w:firstLineChars="0"/>
      <w:outlineLvl w:val="2"/>
    </w:pPr>
    <w:rPr>
      <w:rFonts w:eastAsia="宋体" w:cs="Times New Roman"/>
      <w:bCs/>
      <w:sz w:val="24"/>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79"/>
    <w:semiHidden/>
    <w:unhideWhenUsed/>
    <w:qFormat/>
    <w:uiPriority w:val="99"/>
    <w:pPr>
      <w:jc w:val="left"/>
    </w:pPr>
  </w:style>
  <w:style w:type="paragraph" w:styleId="6">
    <w:name w:val="Body Text"/>
    <w:basedOn w:val="1"/>
    <w:link w:val="39"/>
    <w:qFormat/>
    <w:uiPriority w:val="1"/>
    <w:pPr>
      <w:spacing w:line="360" w:lineRule="auto"/>
    </w:pPr>
    <w:rPr>
      <w:rFonts w:eastAsia="宋体" w:cs="Times New Roman"/>
      <w:sz w:val="24"/>
      <w:szCs w:val="24"/>
    </w:rPr>
  </w:style>
  <w:style w:type="paragraph" w:styleId="7">
    <w:name w:val="Body Text Indent"/>
    <w:basedOn w:val="1"/>
    <w:link w:val="47"/>
    <w:semiHidden/>
    <w:unhideWhenUsed/>
    <w:qFormat/>
    <w:uiPriority w:val="99"/>
    <w:pPr>
      <w:spacing w:after="120"/>
      <w:ind w:left="420" w:leftChars="200"/>
    </w:pPr>
  </w:style>
  <w:style w:type="paragraph" w:styleId="8">
    <w:name w:val="toc 3"/>
    <w:basedOn w:val="1"/>
    <w:next w:val="1"/>
    <w:autoRedefine/>
    <w:unhideWhenUsed/>
    <w:qFormat/>
    <w:uiPriority w:val="39"/>
    <w:pPr>
      <w:ind w:left="400" w:leftChars="400" w:firstLine="0" w:firstLineChars="0"/>
    </w:pPr>
  </w:style>
  <w:style w:type="paragraph" w:styleId="9">
    <w:name w:val="Plain Text"/>
    <w:basedOn w:val="1"/>
    <w:link w:val="53"/>
    <w:qFormat/>
    <w:uiPriority w:val="0"/>
    <w:pPr>
      <w:widowControl/>
      <w:spacing w:before="100" w:beforeAutospacing="1" w:after="100" w:afterAutospacing="1"/>
      <w:ind w:firstLine="0" w:firstLineChars="0"/>
      <w:jc w:val="left"/>
    </w:pPr>
    <w:rPr>
      <w:rFonts w:eastAsia="宋体" w:cs="Times New Roman"/>
      <w:kern w:val="0"/>
      <w:sz w:val="21"/>
      <w:szCs w:val="24"/>
    </w:rPr>
  </w:style>
  <w:style w:type="paragraph" w:styleId="10">
    <w:name w:val="Date"/>
    <w:basedOn w:val="1"/>
    <w:next w:val="1"/>
    <w:link w:val="37"/>
    <w:unhideWhenUsed/>
    <w:qFormat/>
    <w:uiPriority w:val="99"/>
    <w:pPr>
      <w:ind w:left="100" w:leftChars="2500" w:firstLine="0" w:firstLineChars="0"/>
    </w:pPr>
    <w:rPr>
      <w:rFonts w:ascii="Calibri" w:hAnsi="Calibri" w:eastAsia="宋体"/>
      <w:sz w:val="21"/>
    </w:rPr>
  </w:style>
  <w:style w:type="paragraph" w:styleId="11">
    <w:name w:val="Balloon Text"/>
    <w:basedOn w:val="1"/>
    <w:link w:val="35"/>
    <w:semiHidden/>
    <w:unhideWhenUsed/>
    <w:qFormat/>
    <w:uiPriority w:val="99"/>
    <w:pPr>
      <w:ind w:firstLine="0" w:firstLineChars="0"/>
    </w:pPr>
    <w:rPr>
      <w:rFonts w:ascii="Calibri" w:hAnsi="Calibri" w:eastAsia="宋体"/>
      <w:sz w:val="18"/>
      <w:szCs w:val="18"/>
    </w:rPr>
  </w:style>
  <w:style w:type="paragraph" w:styleId="12">
    <w:name w:val="footer"/>
    <w:basedOn w:val="1"/>
    <w:link w:val="36"/>
    <w:unhideWhenUsed/>
    <w:qFormat/>
    <w:uiPriority w:val="99"/>
    <w:pPr>
      <w:tabs>
        <w:tab w:val="center" w:pos="4153"/>
        <w:tab w:val="right" w:pos="8306"/>
      </w:tabs>
      <w:snapToGrid w:val="0"/>
      <w:jc w:val="left"/>
    </w:pPr>
    <w:rPr>
      <w:sz w:val="18"/>
      <w:szCs w:val="18"/>
    </w:rPr>
  </w:style>
  <w:style w:type="paragraph" w:styleId="13">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ind w:firstLine="0" w:firstLineChars="0"/>
    </w:pPr>
  </w:style>
  <w:style w:type="paragraph" w:styleId="15">
    <w:name w:val="toc 2"/>
    <w:basedOn w:val="1"/>
    <w:next w:val="1"/>
    <w:unhideWhenUsed/>
    <w:qFormat/>
    <w:uiPriority w:val="39"/>
    <w:pPr>
      <w:ind w:left="200" w:leftChars="200" w:firstLine="0" w:firstLineChars="0"/>
    </w:pPr>
  </w:style>
  <w:style w:type="paragraph" w:styleId="16">
    <w:name w:val="Normal (Web)"/>
    <w:basedOn w:val="1"/>
    <w:unhideWhenUsed/>
    <w:qFormat/>
    <w:uiPriority w:val="0"/>
    <w:pPr>
      <w:widowControl/>
      <w:spacing w:before="100" w:beforeAutospacing="1" w:after="100" w:afterAutospacing="1"/>
      <w:ind w:firstLine="0" w:firstLineChars="0"/>
      <w:jc w:val="left"/>
    </w:pPr>
    <w:rPr>
      <w:rFonts w:ascii="宋体" w:hAnsi="宋体" w:eastAsia="宋体" w:cs="宋体"/>
      <w:kern w:val="0"/>
      <w:sz w:val="24"/>
      <w:szCs w:val="24"/>
    </w:rPr>
  </w:style>
  <w:style w:type="paragraph" w:styleId="17">
    <w:name w:val="annotation subject"/>
    <w:basedOn w:val="5"/>
    <w:next w:val="5"/>
    <w:link w:val="59"/>
    <w:semiHidden/>
    <w:unhideWhenUsed/>
    <w:qFormat/>
    <w:uiPriority w:val="99"/>
    <w:rPr>
      <w:rFonts w:asciiTheme="minorHAnsi" w:hAnsiTheme="minorHAnsi" w:eastAsiaTheme="minorEastAsia"/>
      <w:b/>
      <w:bCs/>
      <w:sz w:val="21"/>
    </w:rPr>
  </w:style>
  <w:style w:type="paragraph" w:styleId="18">
    <w:name w:val="Body Text First Indent 2"/>
    <w:basedOn w:val="7"/>
    <w:link w:val="48"/>
    <w:unhideWhenUsed/>
    <w:qFormat/>
    <w:uiPriority w:val="0"/>
    <w:pPr>
      <w:ind w:firstLine="420"/>
    </w:p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rPr>
  </w:style>
  <w:style w:type="character" w:styleId="23">
    <w:name w:val="page number"/>
    <w:qFormat/>
    <w:uiPriority w:val="0"/>
    <w:rPr>
      <w:rFonts w:ascii="Times New Roman" w:hAnsi="Times New Roman" w:eastAsia="宋体"/>
      <w:sz w:val="18"/>
    </w:rPr>
  </w:style>
  <w:style w:type="character" w:styleId="24">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5">
    <w:name w:val="Emphasis"/>
    <w:basedOn w:val="21"/>
    <w:qFormat/>
    <w:uiPriority w:val="20"/>
    <w:rPr>
      <w:i/>
      <w:iCs/>
    </w:rPr>
  </w:style>
  <w:style w:type="character" w:styleId="26">
    <w:name w:val="Hyperlink"/>
    <w:basedOn w:val="21"/>
    <w:unhideWhenUsed/>
    <w:qFormat/>
    <w:uiPriority w:val="99"/>
    <w:rPr>
      <w:color w:val="0563C1" w:themeColor="hyperlink"/>
      <w:u w:val="single"/>
      <w14:textFill>
        <w14:solidFill>
          <w14:schemeClr w14:val="hlink"/>
        </w14:solidFill>
      </w14:textFill>
    </w:rPr>
  </w:style>
  <w:style w:type="character" w:styleId="27">
    <w:name w:val="annotation reference"/>
    <w:basedOn w:val="21"/>
    <w:semiHidden/>
    <w:unhideWhenUsed/>
    <w:qFormat/>
    <w:uiPriority w:val="99"/>
    <w:rPr>
      <w:sz w:val="21"/>
      <w:szCs w:val="21"/>
    </w:rPr>
  </w:style>
  <w:style w:type="paragraph" w:styleId="28">
    <w:name w:val="List Paragraph"/>
    <w:basedOn w:val="1"/>
    <w:qFormat/>
    <w:uiPriority w:val="34"/>
    <w:pPr>
      <w:ind w:firstLine="420"/>
    </w:pPr>
  </w:style>
  <w:style w:type="paragraph" w:customStyle="1" w:styleId="29">
    <w:name w:val="WPSOffice手动目录 1"/>
    <w:qFormat/>
    <w:uiPriority w:val="0"/>
    <w:rPr>
      <w:rFonts w:asciiTheme="minorHAnsi" w:hAnsiTheme="minorHAnsi" w:eastAsiaTheme="minorEastAsia" w:cstheme="minorBidi"/>
      <w:lang w:val="en-US" w:eastAsia="zh-CN" w:bidi="ar-SA"/>
    </w:rPr>
  </w:style>
  <w:style w:type="paragraph" w:customStyle="1" w:styleId="30">
    <w:name w:val="WPSOffice手动目录 2"/>
    <w:qFormat/>
    <w:uiPriority w:val="0"/>
    <w:pPr>
      <w:ind w:left="200" w:leftChars="200"/>
    </w:pPr>
    <w:rPr>
      <w:rFonts w:asciiTheme="minorHAnsi" w:hAnsiTheme="minorHAnsi" w:eastAsiaTheme="minorEastAsia" w:cstheme="minorBidi"/>
      <w:lang w:val="en-US" w:eastAsia="zh-CN" w:bidi="ar-SA"/>
    </w:rPr>
  </w:style>
  <w:style w:type="character" w:customStyle="1" w:styleId="31">
    <w:name w:val="页眉 Char"/>
    <w:basedOn w:val="21"/>
    <w:link w:val="13"/>
    <w:qFormat/>
    <w:uiPriority w:val="99"/>
    <w:rPr>
      <w:rFonts w:ascii="Times New Roman" w:hAnsi="Times New Roman" w:eastAsia="仿宋"/>
      <w:kern w:val="2"/>
      <w:sz w:val="18"/>
      <w:szCs w:val="18"/>
    </w:rPr>
  </w:style>
  <w:style w:type="character" w:customStyle="1" w:styleId="32">
    <w:name w:val="标题 1 Char"/>
    <w:basedOn w:val="21"/>
    <w:link w:val="2"/>
    <w:qFormat/>
    <w:uiPriority w:val="9"/>
    <w:rPr>
      <w:rFonts w:ascii="Times New Roman" w:hAnsi="Times New Roman" w:eastAsia="黑体"/>
      <w:bCs/>
      <w:kern w:val="44"/>
      <w:sz w:val="32"/>
      <w:szCs w:val="44"/>
    </w:rPr>
  </w:style>
  <w:style w:type="character" w:customStyle="1" w:styleId="33">
    <w:name w:val="标题 2 Char2"/>
    <w:basedOn w:val="21"/>
    <w:link w:val="3"/>
    <w:qFormat/>
    <w:uiPriority w:val="9"/>
    <w:rPr>
      <w:rFonts w:ascii="Times New Roman" w:hAnsi="Times New Roman" w:eastAsia="楷体" w:cstheme="majorBidi"/>
      <w:b/>
      <w:bCs/>
      <w:kern w:val="2"/>
      <w:sz w:val="32"/>
      <w:szCs w:val="32"/>
    </w:rPr>
  </w:style>
  <w:style w:type="character" w:customStyle="1" w:styleId="34">
    <w:name w:val="标题 3 Char"/>
    <w:basedOn w:val="21"/>
    <w:link w:val="4"/>
    <w:qFormat/>
    <w:uiPriority w:val="9"/>
    <w:rPr>
      <w:rFonts w:ascii="Times New Roman" w:hAnsi="Times New Roman" w:eastAsia="宋体" w:cs="Times New Roman"/>
      <w:bCs/>
      <w:kern w:val="2"/>
      <w:sz w:val="24"/>
      <w:szCs w:val="32"/>
    </w:rPr>
  </w:style>
  <w:style w:type="character" w:customStyle="1" w:styleId="35">
    <w:name w:val="批注框文本 Char"/>
    <w:basedOn w:val="21"/>
    <w:link w:val="11"/>
    <w:semiHidden/>
    <w:qFormat/>
    <w:uiPriority w:val="99"/>
    <w:rPr>
      <w:rFonts w:ascii="Calibri" w:hAnsi="Calibri" w:eastAsia="宋体"/>
      <w:kern w:val="2"/>
      <w:sz w:val="18"/>
      <w:szCs w:val="18"/>
    </w:rPr>
  </w:style>
  <w:style w:type="character" w:customStyle="1" w:styleId="36">
    <w:name w:val="页脚 Char"/>
    <w:basedOn w:val="21"/>
    <w:link w:val="12"/>
    <w:qFormat/>
    <w:uiPriority w:val="99"/>
    <w:rPr>
      <w:rFonts w:ascii="Times New Roman" w:hAnsi="Times New Roman" w:eastAsia="仿宋"/>
      <w:kern w:val="2"/>
      <w:sz w:val="18"/>
      <w:szCs w:val="18"/>
    </w:rPr>
  </w:style>
  <w:style w:type="character" w:customStyle="1" w:styleId="37">
    <w:name w:val="日期 Char"/>
    <w:basedOn w:val="21"/>
    <w:link w:val="10"/>
    <w:qFormat/>
    <w:uiPriority w:val="99"/>
    <w:rPr>
      <w:rFonts w:ascii="Calibri" w:hAnsi="Calibri" w:eastAsia="宋体"/>
      <w:kern w:val="2"/>
      <w:sz w:val="21"/>
      <w:szCs w:val="22"/>
    </w:rPr>
  </w:style>
  <w:style w:type="character" w:customStyle="1" w:styleId="38">
    <w:name w:val="超链接1"/>
    <w:basedOn w:val="21"/>
    <w:unhideWhenUsed/>
    <w:qFormat/>
    <w:uiPriority w:val="99"/>
    <w:rPr>
      <w:color w:val="0000FF"/>
      <w:u w:val="single"/>
    </w:rPr>
  </w:style>
  <w:style w:type="character" w:customStyle="1" w:styleId="39">
    <w:name w:val="正文文本 Char"/>
    <w:basedOn w:val="21"/>
    <w:link w:val="6"/>
    <w:qFormat/>
    <w:uiPriority w:val="1"/>
    <w:rPr>
      <w:rFonts w:ascii="Times New Roman" w:hAnsi="Times New Roman" w:eastAsia="宋体" w:cs="Times New Roman"/>
      <w:kern w:val="2"/>
      <w:sz w:val="24"/>
      <w:szCs w:val="24"/>
    </w:rPr>
  </w:style>
  <w:style w:type="table" w:customStyle="1" w:styleId="40">
    <w:name w:val="网格型1"/>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
    <w:name w:val="网格型3"/>
    <w:basedOn w:val="19"/>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
    <w:name w:val="网格型11"/>
    <w:basedOn w:val="19"/>
    <w:qFormat/>
    <w:uiPriority w:val="39"/>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
    <w:name w:val="附录标题1"/>
    <w:basedOn w:val="1"/>
    <w:link w:val="45"/>
    <w:qFormat/>
    <w:uiPriority w:val="0"/>
    <w:pPr>
      <w:spacing w:line="360" w:lineRule="auto"/>
      <w:ind w:firstLine="0" w:firstLineChars="0"/>
      <w:jc w:val="center"/>
      <w:outlineLvl w:val="0"/>
    </w:pPr>
    <w:rPr>
      <w:rFonts w:eastAsia="宋体" w:cs="Times New Roman"/>
      <w:b/>
      <w:sz w:val="30"/>
      <w:szCs w:val="30"/>
    </w:rPr>
  </w:style>
  <w:style w:type="paragraph" w:customStyle="1" w:styleId="44">
    <w:name w:val="附录标题2"/>
    <w:basedOn w:val="1"/>
    <w:link w:val="46"/>
    <w:qFormat/>
    <w:uiPriority w:val="0"/>
    <w:pPr>
      <w:spacing w:line="360" w:lineRule="auto"/>
      <w:ind w:firstLine="0" w:firstLineChars="0"/>
      <w:jc w:val="center"/>
      <w:outlineLvl w:val="1"/>
    </w:pPr>
    <w:rPr>
      <w:rFonts w:eastAsia="宋体" w:cs="Times New Roman"/>
      <w:b/>
      <w:sz w:val="24"/>
      <w:szCs w:val="24"/>
    </w:rPr>
  </w:style>
  <w:style w:type="character" w:customStyle="1" w:styleId="45">
    <w:name w:val="附录标题1 字符"/>
    <w:basedOn w:val="21"/>
    <w:link w:val="43"/>
    <w:qFormat/>
    <w:uiPriority w:val="0"/>
    <w:rPr>
      <w:rFonts w:ascii="Times New Roman" w:hAnsi="Times New Roman" w:eastAsia="宋体" w:cs="Times New Roman"/>
      <w:b/>
      <w:kern w:val="2"/>
      <w:sz w:val="30"/>
      <w:szCs w:val="30"/>
    </w:rPr>
  </w:style>
  <w:style w:type="character" w:customStyle="1" w:styleId="46">
    <w:name w:val="附录标题2 字符"/>
    <w:basedOn w:val="21"/>
    <w:link w:val="44"/>
    <w:qFormat/>
    <w:uiPriority w:val="0"/>
    <w:rPr>
      <w:rFonts w:ascii="Times New Roman" w:hAnsi="Times New Roman" w:eastAsia="宋体" w:cs="Times New Roman"/>
      <w:b/>
      <w:kern w:val="2"/>
      <w:sz w:val="24"/>
      <w:szCs w:val="24"/>
    </w:rPr>
  </w:style>
  <w:style w:type="character" w:customStyle="1" w:styleId="47">
    <w:name w:val="正文文本缩进 Char"/>
    <w:basedOn w:val="21"/>
    <w:link w:val="7"/>
    <w:semiHidden/>
    <w:qFormat/>
    <w:uiPriority w:val="99"/>
    <w:rPr>
      <w:rFonts w:ascii="Times New Roman" w:hAnsi="Times New Roman" w:eastAsia="仿宋"/>
      <w:kern w:val="2"/>
      <w:sz w:val="32"/>
      <w:szCs w:val="22"/>
    </w:rPr>
  </w:style>
  <w:style w:type="character" w:customStyle="1" w:styleId="48">
    <w:name w:val="正文首行缩进 2 Char"/>
    <w:basedOn w:val="47"/>
    <w:link w:val="18"/>
    <w:qFormat/>
    <w:uiPriority w:val="0"/>
    <w:rPr>
      <w:rFonts w:ascii="Times New Roman" w:hAnsi="Times New Roman" w:eastAsia="仿宋"/>
      <w:kern w:val="2"/>
      <w:sz w:val="32"/>
      <w:szCs w:val="22"/>
    </w:rPr>
  </w:style>
  <w:style w:type="paragraph" w:customStyle="1" w:styleId="49">
    <w:name w:val="目录 71"/>
    <w:basedOn w:val="1"/>
    <w:next w:val="1"/>
    <w:autoRedefine/>
    <w:unhideWhenUsed/>
    <w:qFormat/>
    <w:uiPriority w:val="39"/>
    <w:pPr>
      <w:ind w:left="1050" w:firstLine="0" w:firstLineChars="0"/>
      <w:jc w:val="left"/>
    </w:pPr>
    <w:rPr>
      <w:rFonts w:ascii="Calibri" w:hAnsi="Calibri" w:eastAsia="宋体" w:cs="Calibri"/>
      <w:sz w:val="20"/>
      <w:szCs w:val="20"/>
    </w:rPr>
  </w:style>
  <w:style w:type="paragraph" w:customStyle="1" w:styleId="50">
    <w:name w:val="批注文字1"/>
    <w:basedOn w:val="1"/>
    <w:next w:val="5"/>
    <w:link w:val="51"/>
    <w:unhideWhenUsed/>
    <w:qFormat/>
    <w:uiPriority w:val="99"/>
    <w:pPr>
      <w:ind w:firstLine="0" w:firstLineChars="0"/>
      <w:jc w:val="left"/>
    </w:pPr>
    <w:rPr>
      <w:rFonts w:asciiTheme="minorHAnsi" w:hAnsiTheme="minorHAnsi" w:eastAsiaTheme="minorEastAsia"/>
      <w:sz w:val="21"/>
    </w:rPr>
  </w:style>
  <w:style w:type="character" w:customStyle="1" w:styleId="51">
    <w:name w:val="批注文字 Char"/>
    <w:basedOn w:val="21"/>
    <w:link w:val="50"/>
    <w:qFormat/>
    <w:uiPriority w:val="99"/>
    <w:rPr>
      <w:kern w:val="2"/>
      <w:sz w:val="21"/>
      <w:szCs w:val="22"/>
    </w:rPr>
  </w:style>
  <w:style w:type="paragraph" w:customStyle="1" w:styleId="52">
    <w:name w:val="目录 51"/>
    <w:basedOn w:val="1"/>
    <w:next w:val="1"/>
    <w:autoRedefine/>
    <w:unhideWhenUsed/>
    <w:qFormat/>
    <w:uiPriority w:val="39"/>
    <w:pPr>
      <w:ind w:left="630" w:firstLine="0" w:firstLineChars="0"/>
      <w:jc w:val="left"/>
    </w:pPr>
    <w:rPr>
      <w:rFonts w:ascii="Calibri" w:hAnsi="Calibri" w:eastAsia="宋体" w:cs="Calibri"/>
      <w:sz w:val="20"/>
      <w:szCs w:val="20"/>
    </w:rPr>
  </w:style>
  <w:style w:type="character" w:customStyle="1" w:styleId="53">
    <w:name w:val="纯文本 Char"/>
    <w:basedOn w:val="21"/>
    <w:link w:val="9"/>
    <w:qFormat/>
    <w:uiPriority w:val="0"/>
    <w:rPr>
      <w:rFonts w:ascii="Times New Roman" w:hAnsi="Times New Roman" w:eastAsia="宋体" w:cs="Times New Roman"/>
      <w:sz w:val="21"/>
      <w:szCs w:val="24"/>
    </w:rPr>
  </w:style>
  <w:style w:type="paragraph" w:customStyle="1" w:styleId="54">
    <w:name w:val="目录 81"/>
    <w:basedOn w:val="1"/>
    <w:next w:val="1"/>
    <w:autoRedefine/>
    <w:unhideWhenUsed/>
    <w:qFormat/>
    <w:uiPriority w:val="39"/>
    <w:pPr>
      <w:ind w:left="1260" w:firstLine="0" w:firstLineChars="0"/>
      <w:jc w:val="left"/>
    </w:pPr>
    <w:rPr>
      <w:rFonts w:ascii="Calibri" w:hAnsi="Calibri" w:eastAsia="宋体" w:cs="Calibri"/>
      <w:sz w:val="20"/>
      <w:szCs w:val="20"/>
    </w:rPr>
  </w:style>
  <w:style w:type="paragraph" w:customStyle="1" w:styleId="55">
    <w:name w:val="目录 41"/>
    <w:basedOn w:val="1"/>
    <w:next w:val="1"/>
    <w:autoRedefine/>
    <w:unhideWhenUsed/>
    <w:qFormat/>
    <w:uiPriority w:val="39"/>
    <w:pPr>
      <w:ind w:left="420" w:firstLine="0" w:firstLineChars="0"/>
      <w:jc w:val="left"/>
    </w:pPr>
    <w:rPr>
      <w:rFonts w:ascii="Calibri" w:hAnsi="Calibri" w:eastAsia="宋体" w:cs="Calibri"/>
      <w:sz w:val="20"/>
      <w:szCs w:val="20"/>
    </w:rPr>
  </w:style>
  <w:style w:type="paragraph" w:customStyle="1" w:styleId="56">
    <w:name w:val="目录 61"/>
    <w:basedOn w:val="1"/>
    <w:next w:val="1"/>
    <w:autoRedefine/>
    <w:unhideWhenUsed/>
    <w:qFormat/>
    <w:uiPriority w:val="39"/>
    <w:pPr>
      <w:ind w:left="840" w:firstLine="0" w:firstLineChars="0"/>
      <w:jc w:val="left"/>
    </w:pPr>
    <w:rPr>
      <w:rFonts w:ascii="Calibri" w:hAnsi="Calibri" w:eastAsia="宋体" w:cs="Calibri"/>
      <w:sz w:val="20"/>
      <w:szCs w:val="20"/>
    </w:rPr>
  </w:style>
  <w:style w:type="paragraph" w:customStyle="1" w:styleId="57">
    <w:name w:val="目录 91"/>
    <w:basedOn w:val="1"/>
    <w:next w:val="1"/>
    <w:autoRedefine/>
    <w:unhideWhenUsed/>
    <w:qFormat/>
    <w:uiPriority w:val="39"/>
    <w:pPr>
      <w:ind w:left="1470" w:firstLine="0" w:firstLineChars="0"/>
      <w:jc w:val="left"/>
    </w:pPr>
    <w:rPr>
      <w:rFonts w:ascii="Calibri" w:hAnsi="Calibri" w:eastAsia="宋体" w:cs="Calibri"/>
      <w:sz w:val="20"/>
      <w:szCs w:val="20"/>
    </w:rPr>
  </w:style>
  <w:style w:type="paragraph" w:customStyle="1" w:styleId="58">
    <w:name w:val="批注主题1"/>
    <w:basedOn w:val="5"/>
    <w:next w:val="5"/>
    <w:semiHidden/>
    <w:unhideWhenUsed/>
    <w:qFormat/>
    <w:uiPriority w:val="99"/>
    <w:pPr>
      <w:ind w:firstLine="0" w:firstLineChars="0"/>
    </w:pPr>
    <w:rPr>
      <w:rFonts w:ascii="Calibri" w:hAnsi="Calibri" w:eastAsia="宋体"/>
      <w:b/>
      <w:bCs/>
      <w:sz w:val="21"/>
    </w:rPr>
  </w:style>
  <w:style w:type="character" w:customStyle="1" w:styleId="59">
    <w:name w:val="批注主题 Char"/>
    <w:basedOn w:val="51"/>
    <w:link w:val="17"/>
    <w:semiHidden/>
    <w:qFormat/>
    <w:uiPriority w:val="99"/>
    <w:rPr>
      <w:b/>
      <w:bCs/>
      <w:kern w:val="2"/>
      <w:sz w:val="21"/>
      <w:szCs w:val="22"/>
    </w:rPr>
  </w:style>
  <w:style w:type="table" w:customStyle="1" w:styleId="60">
    <w:name w:val="网格型2"/>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
    <w:name w:val="访问过的超链接1"/>
    <w:basedOn w:val="21"/>
    <w:semiHidden/>
    <w:unhideWhenUsed/>
    <w:qFormat/>
    <w:uiPriority w:val="99"/>
    <w:rPr>
      <w:color w:val="800080"/>
      <w:u w:val="single"/>
    </w:rPr>
  </w:style>
  <w:style w:type="paragraph" w:customStyle="1" w:styleId="62">
    <w:name w:val="DB1"/>
    <w:basedOn w:val="1"/>
    <w:qFormat/>
    <w:uiPriority w:val="0"/>
    <w:pPr>
      <w:spacing w:beforeLines="100" w:afterLines="100" w:line="360" w:lineRule="auto"/>
      <w:ind w:firstLine="0" w:firstLineChars="0"/>
      <w:jc w:val="center"/>
    </w:pPr>
    <w:rPr>
      <w:rFonts w:ascii="黑体" w:eastAsia="黑体" w:cs="Times New Roman"/>
      <w:b/>
      <w:color w:val="000000"/>
      <w:szCs w:val="24"/>
    </w:rPr>
  </w:style>
  <w:style w:type="paragraph" w:customStyle="1" w:styleId="6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64">
    <w:name w:val="2001版正文样式 Char"/>
    <w:link w:val="65"/>
    <w:qFormat/>
    <w:uiPriority w:val="0"/>
    <w:rPr>
      <w:rFonts w:ascii="宋体" w:hAnsi="宋体" w:cs="Arial"/>
      <w:spacing w:val="20"/>
      <w:sz w:val="24"/>
    </w:rPr>
  </w:style>
  <w:style w:type="paragraph" w:customStyle="1" w:styleId="65">
    <w:name w:val="2001版正文样式"/>
    <w:basedOn w:val="1"/>
    <w:link w:val="64"/>
    <w:qFormat/>
    <w:uiPriority w:val="0"/>
    <w:pPr>
      <w:autoSpaceDE w:val="0"/>
      <w:autoSpaceDN w:val="0"/>
      <w:adjustRightInd w:val="0"/>
      <w:snapToGrid w:val="0"/>
      <w:spacing w:line="360" w:lineRule="auto"/>
      <w:ind w:firstLine="629" w:firstLineChars="242"/>
      <w:textAlignment w:val="bottom"/>
    </w:pPr>
    <w:rPr>
      <w:rFonts w:ascii="宋体" w:hAnsi="宋体" w:cs="Arial" w:eastAsiaTheme="minorEastAsia"/>
      <w:spacing w:val="20"/>
      <w:kern w:val="0"/>
      <w:sz w:val="24"/>
      <w:szCs w:val="20"/>
    </w:rPr>
  </w:style>
  <w:style w:type="paragraph" w:customStyle="1" w:styleId="66">
    <w:name w:val="name"/>
    <w:basedOn w:val="1"/>
    <w:qFormat/>
    <w:uiPriority w:val="0"/>
    <w:pPr>
      <w:widowControl/>
      <w:spacing w:before="100" w:beforeAutospacing="1" w:after="100" w:afterAutospacing="1"/>
      <w:ind w:firstLine="0" w:firstLineChars="0"/>
      <w:jc w:val="left"/>
    </w:pPr>
    <w:rPr>
      <w:rFonts w:ascii="宋体" w:hAnsi="宋体" w:eastAsia="宋体" w:cs="Times New Roman"/>
      <w:kern w:val="0"/>
      <w:sz w:val="24"/>
      <w:szCs w:val="24"/>
    </w:rPr>
  </w:style>
  <w:style w:type="character" w:customStyle="1" w:styleId="67">
    <w:name w:val="markedcontent"/>
    <w:basedOn w:val="21"/>
    <w:qFormat/>
    <w:uiPriority w:val="0"/>
  </w:style>
  <w:style w:type="character" w:customStyle="1" w:styleId="68">
    <w:name w:val="content-right_8zs40"/>
    <w:basedOn w:val="21"/>
    <w:qFormat/>
    <w:uiPriority w:val="0"/>
  </w:style>
  <w:style w:type="character" w:customStyle="1" w:styleId="69">
    <w:name w:val="bjh-p"/>
    <w:basedOn w:val="21"/>
    <w:qFormat/>
    <w:uiPriority w:val="0"/>
  </w:style>
  <w:style w:type="paragraph" w:customStyle="1" w:styleId="70">
    <w:name w:val="TOC 标题1"/>
    <w:basedOn w:val="2"/>
    <w:next w:val="1"/>
    <w:unhideWhenUsed/>
    <w:qFormat/>
    <w:uiPriority w:val="39"/>
    <w:pPr>
      <w:widowControl/>
      <w:spacing w:before="240" w:line="259" w:lineRule="auto"/>
      <w:jc w:val="left"/>
      <w:outlineLvl w:val="9"/>
    </w:pPr>
    <w:rPr>
      <w:rFonts w:ascii="Cambria" w:hAnsi="Cambria" w:eastAsia="宋体" w:cs="Times New Roman"/>
      <w:bCs w:val="0"/>
      <w:color w:val="365F91"/>
      <w:kern w:val="0"/>
      <w:szCs w:val="32"/>
    </w:rPr>
  </w:style>
  <w:style w:type="paragraph" w:customStyle="1" w:styleId="71">
    <w:name w:val="Table Heading"/>
    <w:qFormat/>
    <w:uiPriority w:val="0"/>
    <w:pPr>
      <w:widowControl w:val="0"/>
      <w:snapToGrid w:val="0"/>
      <w:spacing w:before="80" w:after="80"/>
    </w:pPr>
    <w:rPr>
      <w:rFonts w:ascii="Times New Roman" w:hAnsi="Times New Roman" w:eastAsia="宋体" w:cs="Book Antiqua"/>
      <w:b/>
      <w:bCs/>
      <w:sz w:val="18"/>
      <w:szCs w:val="21"/>
      <w:lang w:val="en-US" w:eastAsia="zh-CN" w:bidi="ar-SA"/>
    </w:rPr>
  </w:style>
  <w:style w:type="character" w:customStyle="1" w:styleId="72">
    <w:name w:val="正文首行缩进 2 字符"/>
    <w:basedOn w:val="47"/>
    <w:qFormat/>
    <w:uiPriority w:val="0"/>
    <w:rPr>
      <w:rFonts w:ascii="Times New Roman" w:hAnsi="Times New Roman" w:eastAsia="仿宋"/>
      <w:kern w:val="2"/>
      <w:sz w:val="21"/>
      <w:szCs w:val="22"/>
    </w:rPr>
  </w:style>
  <w:style w:type="paragraph" w:customStyle="1" w:styleId="73">
    <w:name w:val="条文说明_标题3"/>
    <w:basedOn w:val="4"/>
    <w:link w:val="74"/>
    <w:qFormat/>
    <w:uiPriority w:val="0"/>
    <w:pPr>
      <w:jc w:val="left"/>
    </w:pPr>
    <w:rPr>
      <w:kern w:val="0"/>
    </w:rPr>
  </w:style>
  <w:style w:type="character" w:customStyle="1" w:styleId="74">
    <w:name w:val="条文说明_标题3 字符"/>
    <w:basedOn w:val="21"/>
    <w:link w:val="73"/>
    <w:qFormat/>
    <w:uiPriority w:val="0"/>
    <w:rPr>
      <w:rFonts w:ascii="Times New Roman" w:hAnsi="Times New Roman" w:eastAsia="宋体" w:cs="Times New Roman"/>
      <w:bCs/>
      <w:sz w:val="24"/>
      <w:szCs w:val="32"/>
    </w:rPr>
  </w:style>
  <w:style w:type="character" w:customStyle="1" w:styleId="75">
    <w:name w:val="段 Char"/>
    <w:link w:val="76"/>
    <w:qFormat/>
    <w:uiPriority w:val="0"/>
    <w:rPr>
      <w:rFonts w:ascii="宋体"/>
      <w:sz w:val="21"/>
    </w:rPr>
  </w:style>
  <w:style w:type="paragraph" w:customStyle="1" w:styleId="76">
    <w:name w:val="段"/>
    <w:link w:val="75"/>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lang w:val="en-US" w:eastAsia="zh-CN" w:bidi="ar-SA"/>
    </w:rPr>
  </w:style>
  <w:style w:type="table" w:customStyle="1" w:styleId="77">
    <w:name w:val="网格型12"/>
    <w:basedOn w:val="19"/>
    <w:qFormat/>
    <w:uiPriority w:val="59"/>
    <w:rPr>
      <w:rFonts w:ascii="Calibri" w:hAnsi="Calibri"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8">
    <w:name w:val="标题 2 Char1"/>
    <w:basedOn w:val="21"/>
    <w:qFormat/>
    <w:uiPriority w:val="0"/>
    <w:rPr>
      <w:rFonts w:hint="default" w:ascii="Times New Roman" w:hAnsi="Times New Roman" w:cs="Times New Roman"/>
      <w:b/>
      <w:bCs/>
      <w:kern w:val="2"/>
      <w:sz w:val="24"/>
      <w:szCs w:val="32"/>
    </w:rPr>
  </w:style>
  <w:style w:type="character" w:customStyle="1" w:styleId="79">
    <w:name w:val="批注文字 Char1"/>
    <w:basedOn w:val="21"/>
    <w:link w:val="5"/>
    <w:semiHidden/>
    <w:qFormat/>
    <w:uiPriority w:val="99"/>
    <w:rPr>
      <w:rFonts w:ascii="Times New Roman" w:hAnsi="Times New Roman" w:eastAsia="仿宋"/>
      <w:kern w:val="2"/>
      <w:sz w:val="32"/>
      <w:szCs w:val="22"/>
    </w:rPr>
  </w:style>
  <w:style w:type="character" w:customStyle="1" w:styleId="80">
    <w:name w:val="批注主题 Char1"/>
    <w:basedOn w:val="79"/>
    <w:semiHidden/>
    <w:qFormat/>
    <w:uiPriority w:val="99"/>
    <w:rPr>
      <w:rFonts w:ascii="Times New Roman" w:hAnsi="Times New Roman" w:eastAsia="仿宋"/>
      <w:b/>
      <w:bCs/>
      <w:kern w:val="2"/>
      <w:sz w:val="32"/>
      <w:szCs w:val="22"/>
    </w:rPr>
  </w:style>
  <w:style w:type="table" w:customStyle="1" w:styleId="81">
    <w:name w:val="网格型4"/>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2">
    <w:name w:val="标题 2 Char"/>
    <w:basedOn w:val="21"/>
    <w:semiHidden/>
    <w:qFormat/>
    <w:uiPriority w:val="9"/>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75361B-6171-4BE9-A6E5-F1DFCC0AB7F9}">
  <ds:schemaRefs/>
</ds:datastoreItem>
</file>

<file path=docProps/app.xml><?xml version="1.0" encoding="utf-8"?>
<Properties xmlns="http://schemas.openxmlformats.org/officeDocument/2006/extended-properties" xmlns:vt="http://schemas.openxmlformats.org/officeDocument/2006/docPropsVTypes">
  <Template>Normal.dotm</Template>
  <Pages>51</Pages>
  <Words>9141</Words>
  <Characters>11434</Characters>
  <Lines>268</Lines>
  <Paragraphs>75</Paragraphs>
  <TotalTime>229</TotalTime>
  <ScaleCrop>false</ScaleCrop>
  <LinksUpToDate>false</LinksUpToDate>
  <CharactersWithSpaces>12202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2025-03-13T15:15:00Z</dcterms:created>
  <dc:creator>lenovo</dc:creator>
  <cp:lastModifiedBy>ying123lin163com</cp:lastModifiedBy>
  <dcterms:modified xsi:type="dcterms:W3CDTF">2025-04-14T06:47:34Z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DE33F58BD75A403183A4FF64A6EABBB8_13</vt:lpwstr>
  </property>
  <property fmtid="{D5CDD505-2E9C-101B-9397-08002B2CF9AE}" pid="4" name="KSOTemplateDocerSaveRecord">
    <vt:lpwstr>eyJoZGlkIjoiMjY2OGFlZjdiMDkyMmU3Y2M3NGEzMmY5ODE2OTJlMzAiLCJ1c2VySWQiOiI0NzU1MTkzIn0=</vt:lpwstr>
  </property>
</Properties>
</file>